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F3" w:rsidRPr="00F67030" w:rsidRDefault="001F57FC" w:rsidP="00E81264">
      <w:pPr>
        <w:ind w:left="720" w:hanging="720"/>
        <w:outlineLvl w:val="0"/>
        <w:rPr>
          <w:b/>
          <w:sz w:val="36"/>
          <w:szCs w:val="36"/>
        </w:rPr>
      </w:pPr>
      <w:r w:rsidRPr="00F67030">
        <w:rPr>
          <w:b/>
          <w:sz w:val="36"/>
          <w:szCs w:val="36"/>
        </w:rPr>
        <w:t>6.07</w:t>
      </w:r>
      <w:r w:rsidR="00C317F3" w:rsidRPr="00F67030">
        <w:rPr>
          <w:b/>
          <w:sz w:val="36"/>
          <w:szCs w:val="36"/>
        </w:rPr>
        <w:tab/>
      </w:r>
      <w:r w:rsidR="00570EA5" w:rsidRPr="00F67030">
        <w:rPr>
          <w:b/>
          <w:sz w:val="36"/>
          <w:szCs w:val="36"/>
        </w:rPr>
        <w:t>NIVOLUMAB</w:t>
      </w:r>
      <w:r w:rsidR="00C317F3" w:rsidRPr="00F67030">
        <w:rPr>
          <w:b/>
          <w:sz w:val="36"/>
          <w:szCs w:val="36"/>
        </w:rPr>
        <w:t>,</w:t>
      </w:r>
      <w:r w:rsidR="009D4C2A" w:rsidRPr="00F67030">
        <w:rPr>
          <w:b/>
          <w:sz w:val="36"/>
          <w:szCs w:val="36"/>
        </w:rPr>
        <w:br/>
      </w:r>
      <w:r w:rsidR="003C344F" w:rsidRPr="00F67030">
        <w:rPr>
          <w:b/>
          <w:sz w:val="36"/>
          <w:szCs w:val="36"/>
        </w:rPr>
        <w:t>Injection</w:t>
      </w:r>
      <w:r w:rsidR="006D0768" w:rsidRPr="00F67030">
        <w:rPr>
          <w:b/>
          <w:sz w:val="36"/>
          <w:szCs w:val="36"/>
        </w:rPr>
        <w:t xml:space="preserve"> concentrate for I.V. infusion 40 mg in 4 mL, </w:t>
      </w:r>
      <w:r w:rsidR="003C344F" w:rsidRPr="00F67030">
        <w:rPr>
          <w:b/>
          <w:sz w:val="36"/>
          <w:szCs w:val="36"/>
        </w:rPr>
        <w:t>Injection</w:t>
      </w:r>
      <w:r w:rsidR="006D0768" w:rsidRPr="00F67030">
        <w:rPr>
          <w:b/>
          <w:sz w:val="36"/>
          <w:szCs w:val="36"/>
        </w:rPr>
        <w:t xml:space="preserve"> concentrate for I.V. infusion 100 mg in 10 mL,</w:t>
      </w:r>
      <w:r w:rsidR="006D0768" w:rsidRPr="00F67030">
        <w:rPr>
          <w:b/>
          <w:sz w:val="32"/>
        </w:rPr>
        <w:t xml:space="preserve"> </w:t>
      </w:r>
      <w:r w:rsidR="009343CF" w:rsidRPr="00F67030">
        <w:rPr>
          <w:b/>
          <w:sz w:val="36"/>
          <w:szCs w:val="36"/>
        </w:rPr>
        <w:t>Opdivo</w:t>
      </w:r>
      <w:r w:rsidR="00C317F3" w:rsidRPr="00F67030">
        <w:rPr>
          <w:b/>
          <w:sz w:val="36"/>
          <w:szCs w:val="36"/>
        </w:rPr>
        <w:t xml:space="preserve">®, </w:t>
      </w:r>
      <w:r w:rsidR="009343CF" w:rsidRPr="00F67030">
        <w:rPr>
          <w:b/>
          <w:sz w:val="36"/>
          <w:szCs w:val="36"/>
        </w:rPr>
        <w:t>Bristol-Myers Squibb Australia Pty Ltd</w:t>
      </w:r>
    </w:p>
    <w:p w:rsidR="00C317F3" w:rsidRPr="00F67030" w:rsidRDefault="00C317F3" w:rsidP="002001C6">
      <w:pPr>
        <w:pStyle w:val="Heading1"/>
        <w:ind w:left="709" w:hanging="709"/>
      </w:pPr>
      <w:bookmarkStart w:id="0" w:name="_Toc413139271"/>
      <w:bookmarkStart w:id="1" w:name="_Toc493002783"/>
      <w:r w:rsidRPr="00F67030">
        <w:t xml:space="preserve">Purpose of </w:t>
      </w:r>
      <w:r w:rsidR="00661286" w:rsidRPr="00F67030">
        <w:t>a</w:t>
      </w:r>
      <w:r w:rsidRPr="00F67030">
        <w:t>pplication</w:t>
      </w:r>
      <w:bookmarkEnd w:id="0"/>
      <w:bookmarkEnd w:id="1"/>
    </w:p>
    <w:p w:rsidR="00C317F3" w:rsidRPr="00F67030" w:rsidRDefault="00C317F3" w:rsidP="0076622F">
      <w:pPr>
        <w:pStyle w:val="ListParagraph"/>
        <w:numPr>
          <w:ilvl w:val="1"/>
          <w:numId w:val="4"/>
        </w:numPr>
        <w:spacing w:before="0" w:after="120"/>
        <w:jc w:val="both"/>
      </w:pPr>
      <w:r w:rsidRPr="00F67030">
        <w:t>Section 100, Authority Required</w:t>
      </w:r>
      <w:r w:rsidR="00D54621" w:rsidRPr="00F67030">
        <w:t xml:space="preserve"> (streamlined)</w:t>
      </w:r>
      <w:r w:rsidRPr="00F67030">
        <w:t xml:space="preserve"> listing for </w:t>
      </w:r>
      <w:r w:rsidR="009343CF" w:rsidRPr="00F67030">
        <w:t>nivolumab</w:t>
      </w:r>
      <w:r w:rsidRPr="00F67030">
        <w:t xml:space="preserve"> for treatment of </w:t>
      </w:r>
      <w:r w:rsidR="009343CF" w:rsidRPr="00F67030">
        <w:t xml:space="preserve">recurrent or metastatic </w:t>
      </w:r>
      <w:r w:rsidR="00E51F58" w:rsidRPr="00F67030">
        <w:t xml:space="preserve">(RM) </w:t>
      </w:r>
      <w:r w:rsidR="009343CF" w:rsidRPr="00F67030">
        <w:t xml:space="preserve">squamous cell carcinoma of the oral cavity, pharynx or larynx </w:t>
      </w:r>
      <w:r w:rsidR="002A4C26" w:rsidRPr="00F67030">
        <w:t>(S</w:t>
      </w:r>
      <w:r w:rsidR="00765ECF">
        <w:t>C</w:t>
      </w:r>
      <w:r w:rsidR="002A4C26" w:rsidRPr="00F67030">
        <w:t xml:space="preserve">CHN) </w:t>
      </w:r>
      <w:r w:rsidR="009343CF" w:rsidRPr="00F67030">
        <w:t>who have progressed within 6-months after platinum-based chemotherapy</w:t>
      </w:r>
      <w:r w:rsidRPr="00F67030">
        <w:t>.</w:t>
      </w:r>
      <w:r w:rsidR="009343CF" w:rsidRPr="00F67030">
        <w:t xml:space="preserve"> Nivolumab</w:t>
      </w:r>
      <w:r w:rsidR="00F419C5" w:rsidRPr="00F67030">
        <w:t xml:space="preserve"> </w:t>
      </w:r>
      <w:r w:rsidR="009343CF" w:rsidRPr="00F67030">
        <w:t>has not been previously considered by the PBAC for this indication.</w:t>
      </w:r>
    </w:p>
    <w:p w:rsidR="00F44EFB" w:rsidRPr="00F67030" w:rsidRDefault="009343CF" w:rsidP="0076622F">
      <w:pPr>
        <w:pStyle w:val="ListParagraph"/>
        <w:numPr>
          <w:ilvl w:val="1"/>
          <w:numId w:val="4"/>
        </w:numPr>
        <w:spacing w:before="0" w:after="120"/>
        <w:jc w:val="both"/>
      </w:pPr>
      <w:r w:rsidRPr="00F67030">
        <w:t xml:space="preserve">The basis for the requested listing was a cost-utility analysis compared to Australian standard of care </w:t>
      </w:r>
      <w:r w:rsidR="00765354">
        <w:t xml:space="preserve">(SOC) </w:t>
      </w:r>
      <w:r w:rsidRPr="00F67030">
        <w:t>(paclitaxel, docetaxel, methotrexate, or capecitabine)</w:t>
      </w:r>
      <w:r w:rsidR="00661823" w:rsidRPr="00F67030">
        <w:t>.</w:t>
      </w:r>
    </w:p>
    <w:p w:rsidR="00AE513E" w:rsidRPr="00F67030" w:rsidRDefault="00AE513E" w:rsidP="0052159F">
      <w:pPr>
        <w:keepNext/>
        <w:spacing w:before="0" w:after="60"/>
        <w:jc w:val="both"/>
        <w:rPr>
          <w:b/>
        </w:rPr>
      </w:pPr>
      <w:r w:rsidRPr="00F67030">
        <w:rPr>
          <w:rFonts w:ascii="Arial Narrow" w:hAnsi="Arial Narrow"/>
          <w:b/>
          <w:sz w:val="20"/>
          <w:szCs w:val="20"/>
        </w:rPr>
        <w:t xml:space="preserve">Table </w:t>
      </w:r>
      <w:r w:rsidR="009343CF" w:rsidRPr="00F67030">
        <w:rPr>
          <w:rFonts w:ascii="Arial Narrow" w:hAnsi="Arial Narrow"/>
          <w:b/>
          <w:sz w:val="20"/>
          <w:szCs w:val="20"/>
        </w:rPr>
        <w:t>1</w:t>
      </w:r>
      <w:r w:rsidRPr="00F67030">
        <w:rPr>
          <w:rFonts w:ascii="Arial Narrow" w:hAnsi="Arial Narrow"/>
          <w:b/>
          <w:sz w:val="20"/>
          <w:szCs w:val="20"/>
        </w:rPr>
        <w:t>: Key components of the clinical issue addressed by the submission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166"/>
        <w:gridCol w:w="8076"/>
      </w:tblGrid>
      <w:tr w:rsidR="00AE513E" w:rsidRPr="00F67030" w:rsidTr="00F11168">
        <w:trPr>
          <w:cnfStyle w:val="100000000000" w:firstRow="1" w:lastRow="0" w:firstColumn="0" w:lastColumn="0" w:oddVBand="0" w:evenVBand="0" w:oddHBand="0" w:evenHBand="0" w:firstRowFirstColumn="0" w:firstRowLastColumn="0" w:lastRowFirstColumn="0" w:lastRowLastColumn="0"/>
          <w:cantSplit/>
          <w:tblHeader/>
        </w:trPr>
        <w:tc>
          <w:tcPr>
            <w:tcW w:w="631" w:type="pct"/>
            <w:shd w:val="clear" w:color="auto" w:fill="auto"/>
          </w:tcPr>
          <w:p w:rsidR="00AE513E" w:rsidRPr="00F67030" w:rsidRDefault="00AE513E" w:rsidP="0052159F">
            <w:pPr>
              <w:pStyle w:val="TableText"/>
              <w:rPr>
                <w:szCs w:val="20"/>
              </w:rPr>
            </w:pPr>
            <w:r w:rsidRPr="00F67030">
              <w:t>Component</w:t>
            </w:r>
          </w:p>
        </w:tc>
        <w:tc>
          <w:tcPr>
            <w:tcW w:w="4369" w:type="pct"/>
            <w:shd w:val="clear" w:color="auto" w:fill="auto"/>
          </w:tcPr>
          <w:p w:rsidR="00AE513E" w:rsidRPr="00F67030" w:rsidRDefault="00AE513E" w:rsidP="0052159F">
            <w:pPr>
              <w:pStyle w:val="TableText"/>
            </w:pPr>
            <w:r w:rsidRPr="00F67030">
              <w:t>Description</w:t>
            </w:r>
          </w:p>
        </w:tc>
      </w:tr>
      <w:tr w:rsidR="009343CF" w:rsidRPr="00F67030" w:rsidTr="00F11168">
        <w:trPr>
          <w:cantSplit/>
        </w:trPr>
        <w:tc>
          <w:tcPr>
            <w:tcW w:w="631" w:type="pct"/>
            <w:shd w:val="clear" w:color="auto" w:fill="auto"/>
          </w:tcPr>
          <w:p w:rsidR="009343CF" w:rsidRPr="00F67030" w:rsidRDefault="009343CF" w:rsidP="0052159F">
            <w:pPr>
              <w:pStyle w:val="TableText"/>
              <w:widowControl w:val="0"/>
            </w:pPr>
            <w:r w:rsidRPr="00F67030">
              <w:t>Population</w:t>
            </w:r>
          </w:p>
        </w:tc>
        <w:tc>
          <w:tcPr>
            <w:tcW w:w="4369" w:type="pct"/>
            <w:shd w:val="clear" w:color="auto" w:fill="auto"/>
          </w:tcPr>
          <w:p w:rsidR="009343CF" w:rsidRPr="00F67030" w:rsidRDefault="009343CF" w:rsidP="0052159F">
            <w:pPr>
              <w:pStyle w:val="TableText"/>
              <w:widowControl w:val="0"/>
            </w:pPr>
            <w:r w:rsidRPr="00F67030">
              <w:t>Patients with recurrent or metastatic squamous cell carcinoma of the oral cavity, pharynx or larynx who have progressed within 6</w:t>
            </w:r>
            <w:r w:rsidR="00661823" w:rsidRPr="00F67030">
              <w:t xml:space="preserve"> </w:t>
            </w:r>
            <w:r w:rsidRPr="00F67030">
              <w:t xml:space="preserve">months after </w:t>
            </w:r>
            <w:r w:rsidR="00661823" w:rsidRPr="00F67030">
              <w:t xml:space="preserve">receiving </w:t>
            </w:r>
            <w:r w:rsidRPr="00F67030">
              <w:t>platinum-based chemotherapy. Patients must have an ECOG performance score of 0 or 1.</w:t>
            </w:r>
          </w:p>
        </w:tc>
      </w:tr>
      <w:tr w:rsidR="009343CF" w:rsidRPr="00F67030" w:rsidTr="00F11168">
        <w:trPr>
          <w:cantSplit/>
        </w:trPr>
        <w:tc>
          <w:tcPr>
            <w:tcW w:w="631" w:type="pct"/>
            <w:shd w:val="clear" w:color="auto" w:fill="auto"/>
          </w:tcPr>
          <w:p w:rsidR="009343CF" w:rsidRPr="00F67030" w:rsidRDefault="009343CF" w:rsidP="0052159F">
            <w:pPr>
              <w:pStyle w:val="TableText"/>
              <w:widowControl w:val="0"/>
            </w:pPr>
            <w:r w:rsidRPr="00F67030">
              <w:t>Intervention</w:t>
            </w:r>
          </w:p>
        </w:tc>
        <w:tc>
          <w:tcPr>
            <w:tcW w:w="4369" w:type="pct"/>
            <w:shd w:val="clear" w:color="auto" w:fill="auto"/>
          </w:tcPr>
          <w:p w:rsidR="009343CF" w:rsidRPr="00F67030" w:rsidRDefault="00661823" w:rsidP="0052159F">
            <w:pPr>
              <w:pStyle w:val="TableText"/>
              <w:widowControl w:val="0"/>
            </w:pPr>
            <w:r w:rsidRPr="00F67030">
              <w:t>Nivolumab 3 </w:t>
            </w:r>
            <w:r w:rsidR="009343CF" w:rsidRPr="00F67030">
              <w:t>mg/kg administered as a 60</w:t>
            </w:r>
            <w:r w:rsidRPr="00F67030">
              <w:t> </w:t>
            </w:r>
            <w:r w:rsidR="009343CF" w:rsidRPr="00F67030">
              <w:t xml:space="preserve">minute IV infusion every two weeks. </w:t>
            </w:r>
          </w:p>
        </w:tc>
      </w:tr>
      <w:tr w:rsidR="009343CF" w:rsidRPr="00F67030" w:rsidTr="00F11168">
        <w:trPr>
          <w:cantSplit/>
        </w:trPr>
        <w:tc>
          <w:tcPr>
            <w:tcW w:w="631" w:type="pct"/>
            <w:shd w:val="clear" w:color="auto" w:fill="auto"/>
          </w:tcPr>
          <w:p w:rsidR="009343CF" w:rsidRPr="00F67030" w:rsidRDefault="009343CF" w:rsidP="0052159F">
            <w:pPr>
              <w:pStyle w:val="TableText"/>
              <w:widowControl w:val="0"/>
            </w:pPr>
            <w:r w:rsidRPr="00F67030">
              <w:t>Comparator</w:t>
            </w:r>
          </w:p>
        </w:tc>
        <w:tc>
          <w:tcPr>
            <w:tcW w:w="4369" w:type="pct"/>
            <w:shd w:val="clear" w:color="auto" w:fill="auto"/>
          </w:tcPr>
          <w:p w:rsidR="009343CF" w:rsidRPr="00F67030" w:rsidRDefault="009343CF" w:rsidP="0052159F">
            <w:pPr>
              <w:pStyle w:val="TableText"/>
              <w:widowControl w:val="0"/>
            </w:pPr>
            <w:r w:rsidRPr="00F67030">
              <w:t>Standard of care (docetaxel/paclitax</w:t>
            </w:r>
            <w:r w:rsidR="00CC701C" w:rsidRPr="00F67030">
              <w:t>el/methotrexate/capecitabine)</w:t>
            </w:r>
          </w:p>
        </w:tc>
      </w:tr>
      <w:tr w:rsidR="009343CF" w:rsidRPr="00F67030" w:rsidTr="00F11168">
        <w:trPr>
          <w:cantSplit/>
        </w:trPr>
        <w:tc>
          <w:tcPr>
            <w:tcW w:w="631" w:type="pct"/>
            <w:shd w:val="clear" w:color="auto" w:fill="auto"/>
          </w:tcPr>
          <w:p w:rsidR="009343CF" w:rsidRPr="00F67030" w:rsidRDefault="009343CF" w:rsidP="0052159F">
            <w:pPr>
              <w:pStyle w:val="TableText"/>
              <w:widowControl w:val="0"/>
            </w:pPr>
            <w:r w:rsidRPr="00F67030">
              <w:t>Outcomes</w:t>
            </w:r>
          </w:p>
        </w:tc>
        <w:tc>
          <w:tcPr>
            <w:tcW w:w="4369" w:type="pct"/>
            <w:shd w:val="clear" w:color="auto" w:fill="auto"/>
          </w:tcPr>
          <w:p w:rsidR="009343CF" w:rsidRPr="00F67030" w:rsidRDefault="00B718DA" w:rsidP="0052159F">
            <w:pPr>
              <w:pStyle w:val="TableText"/>
              <w:widowControl w:val="0"/>
            </w:pPr>
            <w:r w:rsidRPr="00F67030">
              <w:t>OS</w:t>
            </w:r>
            <w:r w:rsidR="009343CF" w:rsidRPr="00F67030">
              <w:t xml:space="preserve">, </w:t>
            </w:r>
            <w:r w:rsidR="00334D5A" w:rsidRPr="00F67030">
              <w:t>PFS</w:t>
            </w:r>
            <w:r w:rsidR="009343CF" w:rsidRPr="00F67030">
              <w:t>, objective response rate. Quality of life during treatment. The assessment of safety was based on frequency of deaths, AEs, SAEs, AEs leading to discontinuation.</w:t>
            </w:r>
          </w:p>
        </w:tc>
      </w:tr>
      <w:tr w:rsidR="009343CF" w:rsidRPr="00F67030" w:rsidTr="00F11168">
        <w:trPr>
          <w:cantSplit/>
        </w:trPr>
        <w:tc>
          <w:tcPr>
            <w:tcW w:w="631" w:type="pct"/>
            <w:shd w:val="clear" w:color="auto" w:fill="auto"/>
          </w:tcPr>
          <w:p w:rsidR="009343CF" w:rsidRPr="00F67030" w:rsidRDefault="009343CF" w:rsidP="0052159F">
            <w:pPr>
              <w:pStyle w:val="TableText"/>
              <w:widowControl w:val="0"/>
            </w:pPr>
            <w:r w:rsidRPr="00F67030">
              <w:t>Clinical claim</w:t>
            </w:r>
          </w:p>
        </w:tc>
        <w:tc>
          <w:tcPr>
            <w:tcW w:w="4369" w:type="pct"/>
            <w:shd w:val="clear" w:color="auto" w:fill="auto"/>
          </w:tcPr>
          <w:p w:rsidR="009343CF" w:rsidRPr="00F67030" w:rsidRDefault="009343CF" w:rsidP="0052159F">
            <w:pPr>
              <w:pStyle w:val="TableText"/>
              <w:widowControl w:val="0"/>
            </w:pPr>
            <w:r w:rsidRPr="00F67030">
              <w:t>Nivolumab is superior in terms of efficacy compared to standard of care and has a favourable safety profile for the treatment of recurrent or metastatic squamous cell carcinoma of the oral cavity, pharynx or larynx in patients who have progressed following treatment with platinum-based therapy.</w:t>
            </w:r>
          </w:p>
        </w:tc>
      </w:tr>
    </w:tbl>
    <w:p w:rsidR="009343CF" w:rsidRPr="00F67030" w:rsidRDefault="00334D5A" w:rsidP="0052159F">
      <w:pPr>
        <w:keepNext/>
        <w:widowControl w:val="0"/>
        <w:spacing w:before="0" w:after="120"/>
        <w:contextualSpacing/>
        <w:jc w:val="both"/>
        <w:rPr>
          <w:rFonts w:ascii="Arial Narrow" w:eastAsia="Times New Roman" w:hAnsi="Arial Narrow" w:cs="Arial"/>
          <w:snapToGrid w:val="0"/>
          <w:sz w:val="18"/>
          <w:szCs w:val="20"/>
        </w:rPr>
      </w:pPr>
      <w:r w:rsidRPr="00F67030">
        <w:rPr>
          <w:rFonts w:ascii="Arial Narrow" w:eastAsia="Times New Roman" w:hAnsi="Arial Narrow" w:cs="Arial"/>
          <w:snapToGrid w:val="0"/>
          <w:sz w:val="18"/>
          <w:szCs w:val="20"/>
        </w:rPr>
        <w:t xml:space="preserve">AEs: </w:t>
      </w:r>
      <w:r w:rsidR="00D371E3">
        <w:rPr>
          <w:rFonts w:ascii="Arial Narrow" w:eastAsia="Times New Roman" w:hAnsi="Arial Narrow" w:cs="Arial"/>
          <w:snapToGrid w:val="0"/>
          <w:sz w:val="18"/>
          <w:szCs w:val="20"/>
        </w:rPr>
        <w:t>a</w:t>
      </w:r>
      <w:r w:rsidRPr="00F67030">
        <w:rPr>
          <w:rFonts w:ascii="Arial Narrow" w:eastAsia="Times New Roman" w:hAnsi="Arial Narrow" w:cs="Arial"/>
          <w:snapToGrid w:val="0"/>
          <w:sz w:val="18"/>
          <w:szCs w:val="20"/>
        </w:rPr>
        <w:t xml:space="preserve">dverse events; </w:t>
      </w:r>
      <w:r w:rsidR="009343CF" w:rsidRPr="00F67030">
        <w:rPr>
          <w:rFonts w:ascii="Arial Narrow" w:eastAsia="Times New Roman" w:hAnsi="Arial Narrow" w:cs="Arial"/>
          <w:snapToGrid w:val="0"/>
          <w:sz w:val="18"/>
          <w:szCs w:val="20"/>
        </w:rPr>
        <w:t xml:space="preserve">ECOG: Eastern </w:t>
      </w:r>
      <w:r w:rsidR="00CB5EE1" w:rsidRPr="00F67030">
        <w:rPr>
          <w:rFonts w:ascii="Arial Narrow" w:eastAsia="Times New Roman" w:hAnsi="Arial Narrow" w:cs="Arial"/>
          <w:snapToGrid w:val="0"/>
          <w:sz w:val="18"/>
          <w:szCs w:val="20"/>
        </w:rPr>
        <w:t>Cooperative</w:t>
      </w:r>
      <w:r w:rsidR="009343CF" w:rsidRPr="00F67030">
        <w:rPr>
          <w:rFonts w:ascii="Arial Narrow" w:eastAsia="Times New Roman" w:hAnsi="Arial Narrow" w:cs="Arial"/>
          <w:snapToGrid w:val="0"/>
          <w:sz w:val="18"/>
          <w:szCs w:val="20"/>
        </w:rPr>
        <w:t xml:space="preserve"> Oncology Group; </w:t>
      </w:r>
      <w:r w:rsidRPr="00F67030">
        <w:rPr>
          <w:rFonts w:ascii="Arial Narrow" w:eastAsia="Times New Roman" w:hAnsi="Arial Narrow" w:cs="Arial"/>
          <w:snapToGrid w:val="0"/>
          <w:sz w:val="18"/>
          <w:szCs w:val="20"/>
        </w:rPr>
        <w:t xml:space="preserve">OS: </w:t>
      </w:r>
      <w:r w:rsidR="00D371E3">
        <w:rPr>
          <w:rFonts w:ascii="Arial Narrow" w:eastAsia="Times New Roman" w:hAnsi="Arial Narrow" w:cs="Arial"/>
          <w:snapToGrid w:val="0"/>
          <w:sz w:val="18"/>
          <w:szCs w:val="20"/>
        </w:rPr>
        <w:t>o</w:t>
      </w:r>
      <w:r w:rsidRPr="00F67030">
        <w:rPr>
          <w:rFonts w:ascii="Arial Narrow" w:eastAsia="Times New Roman" w:hAnsi="Arial Narrow" w:cs="Arial"/>
          <w:snapToGrid w:val="0"/>
          <w:sz w:val="18"/>
          <w:szCs w:val="20"/>
        </w:rPr>
        <w:t xml:space="preserve">verall survival; PFS: </w:t>
      </w:r>
      <w:r w:rsidR="00D371E3">
        <w:rPr>
          <w:rFonts w:ascii="Arial Narrow" w:eastAsia="Times New Roman" w:hAnsi="Arial Narrow" w:cs="Arial"/>
          <w:snapToGrid w:val="0"/>
          <w:sz w:val="18"/>
          <w:szCs w:val="20"/>
        </w:rPr>
        <w:t>p</w:t>
      </w:r>
      <w:r w:rsidRPr="00F67030">
        <w:rPr>
          <w:rFonts w:ascii="Arial Narrow" w:eastAsia="Times New Roman" w:hAnsi="Arial Narrow" w:cs="Arial"/>
          <w:snapToGrid w:val="0"/>
          <w:sz w:val="18"/>
          <w:szCs w:val="20"/>
        </w:rPr>
        <w:t xml:space="preserve">rogression-free survival; </w:t>
      </w:r>
      <w:r w:rsidR="009343CF" w:rsidRPr="00F67030">
        <w:rPr>
          <w:rFonts w:ascii="Arial Narrow" w:eastAsia="Times New Roman" w:hAnsi="Arial Narrow" w:cs="Arial"/>
          <w:snapToGrid w:val="0"/>
          <w:sz w:val="18"/>
          <w:szCs w:val="20"/>
        </w:rPr>
        <w:t xml:space="preserve">RECIST: Response evaluation criteria in solid tumours; SAEs: </w:t>
      </w:r>
      <w:r w:rsidR="00D371E3">
        <w:rPr>
          <w:rFonts w:ascii="Arial Narrow" w:eastAsia="Times New Roman" w:hAnsi="Arial Narrow" w:cs="Arial"/>
          <w:snapToGrid w:val="0"/>
          <w:sz w:val="18"/>
          <w:szCs w:val="20"/>
        </w:rPr>
        <w:t>s</w:t>
      </w:r>
      <w:r w:rsidR="009343CF" w:rsidRPr="00F67030">
        <w:rPr>
          <w:rFonts w:ascii="Arial Narrow" w:eastAsia="Times New Roman" w:hAnsi="Arial Narrow" w:cs="Arial"/>
          <w:snapToGrid w:val="0"/>
          <w:sz w:val="18"/>
          <w:szCs w:val="20"/>
        </w:rPr>
        <w:t>erious adverse events.</w:t>
      </w:r>
    </w:p>
    <w:p w:rsidR="009343CF" w:rsidRPr="00F67030" w:rsidRDefault="009343CF" w:rsidP="0052159F">
      <w:pPr>
        <w:keepNext/>
        <w:widowControl w:val="0"/>
        <w:spacing w:before="0" w:after="120"/>
        <w:contextualSpacing/>
        <w:jc w:val="both"/>
        <w:rPr>
          <w:rFonts w:ascii="Arial Narrow" w:eastAsia="Times New Roman" w:hAnsi="Arial Narrow" w:cs="Arial"/>
          <w:snapToGrid w:val="0"/>
          <w:sz w:val="18"/>
          <w:szCs w:val="20"/>
        </w:rPr>
      </w:pPr>
      <w:r w:rsidRPr="00F67030">
        <w:rPr>
          <w:rFonts w:ascii="Arial Narrow" w:eastAsia="Times New Roman" w:hAnsi="Arial Narrow" w:cs="Arial"/>
          <w:snapToGrid w:val="0"/>
          <w:sz w:val="18"/>
          <w:szCs w:val="20"/>
        </w:rPr>
        <w:t>Source: Table 1, p12-13 of the submission</w:t>
      </w:r>
    </w:p>
    <w:p w:rsidR="00E4041E" w:rsidRPr="00F67030" w:rsidRDefault="00C317F3" w:rsidP="00457C75">
      <w:pPr>
        <w:pStyle w:val="Heading1"/>
      </w:pPr>
      <w:bookmarkStart w:id="2" w:name="_Toc413139272"/>
      <w:bookmarkStart w:id="3" w:name="_Toc493002784"/>
      <w:r w:rsidRPr="00F67030">
        <w:t>Requested listing</w:t>
      </w:r>
      <w:bookmarkEnd w:id="2"/>
      <w:bookmarkEnd w:id="3"/>
    </w:p>
    <w:p w:rsidR="00E81264" w:rsidRDefault="00B54742" w:rsidP="00457C75">
      <w:pPr>
        <w:pStyle w:val="ListParagraph"/>
        <w:numPr>
          <w:ilvl w:val="1"/>
          <w:numId w:val="1"/>
        </w:numPr>
        <w:spacing w:before="0" w:after="120"/>
        <w:jc w:val="both"/>
        <w:rPr>
          <w:rFonts w:cstheme="minorHAnsi"/>
          <w:szCs w:val="24"/>
        </w:rPr>
      </w:pPr>
      <w:r w:rsidRPr="00457C75">
        <w:rPr>
          <w:rFonts w:cstheme="minorHAnsi"/>
          <w:szCs w:val="24"/>
        </w:rPr>
        <w:t>Suggestions and additions proposed by the Secretariat to the requested listing are added in italics and suggested deletions are crossed out with strikethrough.</w:t>
      </w:r>
    </w:p>
    <w:p w:rsidR="00E81264" w:rsidRDefault="00E81264">
      <w:pPr>
        <w:spacing w:before="0" w:line="259" w:lineRule="auto"/>
        <w:rPr>
          <w:rFonts w:cstheme="minorHAnsi"/>
          <w:szCs w:val="24"/>
        </w:rPr>
      </w:pPr>
      <w:r>
        <w:rPr>
          <w:rFonts w:cstheme="minorHAnsi"/>
          <w:szCs w:val="24"/>
        </w:rPr>
        <w:br w:type="page"/>
      </w:r>
    </w:p>
    <w:p w:rsidR="00B54742" w:rsidRPr="00457C75" w:rsidRDefault="00B54742" w:rsidP="00E81264">
      <w:pPr>
        <w:pStyle w:val="ListParagraph"/>
        <w:spacing w:before="0" w:after="120"/>
        <w:ind w:left="576"/>
        <w:jc w:val="both"/>
        <w:rPr>
          <w:rFonts w:cstheme="minorHAnsi"/>
          <w:szCs w:val="24"/>
        </w:rPr>
      </w:pPr>
    </w:p>
    <w:tbl>
      <w:tblPr>
        <w:tblW w:w="0" w:type="auto"/>
        <w:tblLayout w:type="fixed"/>
        <w:tblLook w:val="04A0" w:firstRow="1" w:lastRow="0" w:firstColumn="1" w:lastColumn="0" w:noHBand="0" w:noVBand="1"/>
      </w:tblPr>
      <w:tblGrid>
        <w:gridCol w:w="2660"/>
        <w:gridCol w:w="850"/>
        <w:gridCol w:w="567"/>
        <w:gridCol w:w="2410"/>
        <w:gridCol w:w="851"/>
        <w:gridCol w:w="1184"/>
      </w:tblGrid>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Name, Restriction,</w:t>
            </w:r>
          </w:p>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Manner of administration and form</w:t>
            </w:r>
          </w:p>
        </w:tc>
        <w:tc>
          <w:tcPr>
            <w:tcW w:w="850"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Max.</w:t>
            </w:r>
          </w:p>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Amount</w:t>
            </w:r>
          </w:p>
        </w:tc>
        <w:tc>
          <w:tcPr>
            <w:tcW w:w="567"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№.of</w:t>
            </w:r>
          </w:p>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Rpts</w:t>
            </w:r>
          </w:p>
        </w:tc>
        <w:tc>
          <w:tcPr>
            <w:tcW w:w="2410"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Dispensed Price for Max. Amount</w:t>
            </w:r>
          </w:p>
        </w:tc>
        <w:tc>
          <w:tcPr>
            <w:tcW w:w="2035" w:type="dxa"/>
            <w:gridSpan w:val="2"/>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Proprietary Name and Manufacturer</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rPr>
                <w:rFonts w:ascii="Arial Narrow" w:hAnsi="Arial Narrow"/>
                <w:sz w:val="20"/>
              </w:rPr>
            </w:pPr>
            <w:r w:rsidRPr="00B74566">
              <w:rPr>
                <w:rFonts w:ascii="Arial Narrow" w:hAnsi="Arial Narrow"/>
                <w:smallCaps/>
                <w:sz w:val="20"/>
              </w:rPr>
              <w:t>NIVOLUMAB</w:t>
            </w:r>
          </w:p>
          <w:p w:rsidR="00B54742" w:rsidRDefault="00B54742" w:rsidP="002148E5">
            <w:pPr>
              <w:keepNext/>
              <w:spacing w:before="0" w:after="0"/>
              <w:ind w:left="-108"/>
              <w:rPr>
                <w:rFonts w:ascii="Arial Narrow" w:hAnsi="Arial Narrow"/>
                <w:sz w:val="20"/>
              </w:rPr>
            </w:pPr>
            <w:r w:rsidRPr="00B74566">
              <w:rPr>
                <w:rFonts w:ascii="Arial Narrow" w:hAnsi="Arial Narrow"/>
                <w:sz w:val="20"/>
              </w:rPr>
              <w:t>nivolumab 40 mg/4 mL injection, 1 x 4 mL vial</w:t>
            </w:r>
          </w:p>
          <w:p w:rsidR="00B54742" w:rsidRPr="00B74566" w:rsidRDefault="00B54742" w:rsidP="002148E5">
            <w:pPr>
              <w:keepNext/>
              <w:spacing w:before="0" w:after="0"/>
              <w:ind w:left="-108"/>
              <w:rPr>
                <w:rFonts w:ascii="Arial Narrow" w:hAnsi="Arial Narrow"/>
                <w:sz w:val="20"/>
              </w:rPr>
            </w:pPr>
          </w:p>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nivolumab 100 mg/10 mL injection, 1 x 10 mL vial</w:t>
            </w:r>
          </w:p>
        </w:tc>
        <w:tc>
          <w:tcPr>
            <w:tcW w:w="850"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rPr>
                <w:rFonts w:ascii="Arial Narrow" w:hAnsi="Arial Narrow"/>
                <w:sz w:val="20"/>
              </w:rPr>
            </w:pPr>
          </w:p>
          <w:p w:rsidR="00B54742" w:rsidRDefault="00B54742" w:rsidP="002148E5">
            <w:pPr>
              <w:keepNext/>
              <w:spacing w:before="0" w:after="0"/>
              <w:ind w:left="-108"/>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p w:rsidR="00B54742" w:rsidRDefault="00B54742" w:rsidP="002148E5">
            <w:pPr>
              <w:keepNext/>
              <w:spacing w:before="0" w:after="0"/>
              <w:ind w:left="-108"/>
              <w:rPr>
                <w:rFonts w:ascii="Arial Narrow" w:hAnsi="Arial Narrow"/>
                <w:sz w:val="20"/>
              </w:rPr>
            </w:pPr>
            <w:r>
              <w:rPr>
                <w:rFonts w:ascii="Arial Narrow" w:hAnsi="Arial Narrow"/>
                <w:sz w:val="20"/>
              </w:rPr>
              <w:br/>
            </w:r>
          </w:p>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tc>
        <w:tc>
          <w:tcPr>
            <w:tcW w:w="567" w:type="dxa"/>
            <w:tcBorders>
              <w:top w:val="single" w:sz="4" w:space="0" w:color="auto"/>
              <w:left w:val="single" w:sz="4" w:space="0" w:color="auto"/>
              <w:bottom w:val="single" w:sz="4" w:space="0" w:color="auto"/>
              <w:right w:val="single" w:sz="4" w:space="0" w:color="auto"/>
            </w:tcBorders>
          </w:tcPr>
          <w:p w:rsidR="00B54742" w:rsidRPr="00526F73" w:rsidRDefault="00B54742" w:rsidP="002148E5">
            <w:pPr>
              <w:keepNext/>
              <w:spacing w:before="0" w:after="0"/>
              <w:ind w:left="-108"/>
              <w:rPr>
                <w:rFonts w:ascii="Arial Narrow" w:hAnsi="Arial Narrow"/>
                <w:strike/>
                <w:sz w:val="20"/>
              </w:rPr>
            </w:pPr>
          </w:p>
          <w:p w:rsidR="00B54742" w:rsidRDefault="00B54742" w:rsidP="002148E5">
            <w:pPr>
              <w:keepNext/>
              <w:spacing w:before="0" w:after="0"/>
              <w:ind w:left="-108"/>
              <w:jc w:val="center"/>
              <w:rPr>
                <w:rFonts w:ascii="Arial Narrow" w:hAnsi="Arial Narrow"/>
                <w:sz w:val="20"/>
              </w:rPr>
            </w:pPr>
            <w:r w:rsidRPr="00C84C78">
              <w:rPr>
                <w:rFonts w:ascii="Arial Narrow" w:hAnsi="Arial Narrow"/>
                <w:sz w:val="20"/>
              </w:rPr>
              <w:t>8</w:t>
            </w:r>
          </w:p>
          <w:p w:rsidR="00B54742" w:rsidRDefault="00B54742" w:rsidP="002148E5">
            <w:pPr>
              <w:keepNext/>
              <w:spacing w:before="0" w:after="0"/>
              <w:ind w:left="-108"/>
              <w:rPr>
                <w:rFonts w:ascii="Arial Narrow" w:hAnsi="Arial Narrow"/>
                <w:sz w:val="20"/>
              </w:rPr>
            </w:pPr>
            <w:r>
              <w:rPr>
                <w:rFonts w:ascii="Arial Narrow" w:hAnsi="Arial Narrow"/>
                <w:sz w:val="20"/>
              </w:rPr>
              <w:br/>
            </w:r>
          </w:p>
          <w:p w:rsidR="00B54742" w:rsidRPr="00C84C78" w:rsidRDefault="00B54742" w:rsidP="002148E5">
            <w:pPr>
              <w:keepNext/>
              <w:spacing w:before="0" w:after="0"/>
              <w:ind w:left="-108"/>
              <w:jc w:val="center"/>
              <w:rPr>
                <w:rFonts w:ascii="Arial Narrow" w:hAnsi="Arial Narrow"/>
                <w:i/>
                <w:sz w:val="20"/>
              </w:rPr>
            </w:pPr>
            <w:r>
              <w:rPr>
                <w:rFonts w:ascii="Arial Narrow" w:hAnsi="Arial Narrow"/>
                <w:sz w:val="20"/>
              </w:rPr>
              <w:t>8</w:t>
            </w:r>
          </w:p>
        </w:tc>
        <w:tc>
          <w:tcPr>
            <w:tcW w:w="2410" w:type="dxa"/>
            <w:tcBorders>
              <w:top w:val="single" w:sz="4" w:space="0" w:color="auto"/>
              <w:left w:val="single" w:sz="4" w:space="0" w:color="auto"/>
              <w:bottom w:val="single" w:sz="4" w:space="0" w:color="auto"/>
              <w:right w:val="single" w:sz="4" w:space="0" w:color="auto"/>
            </w:tcBorders>
          </w:tcPr>
          <w:p w:rsidR="00B54742" w:rsidRPr="00B74566" w:rsidRDefault="00B54742" w:rsidP="002148E5">
            <w:pPr>
              <w:keepNext/>
              <w:spacing w:before="0" w:after="0"/>
              <w:ind w:left="-108"/>
              <w:rPr>
                <w:rFonts w:ascii="Arial Narrow" w:hAnsi="Arial Narrow"/>
                <w:sz w:val="20"/>
              </w:rPr>
            </w:pPr>
          </w:p>
          <w:p w:rsidR="00B54742" w:rsidRDefault="00B54742" w:rsidP="002148E5">
            <w:pPr>
              <w:keepNext/>
              <w:spacing w:before="0" w:after="0"/>
              <w:ind w:left="-108"/>
              <w:rPr>
                <w:rFonts w:ascii="Arial Narrow" w:hAnsi="Arial Narrow"/>
                <w:sz w:val="20"/>
              </w:rPr>
            </w:pPr>
            <w:r w:rsidRPr="00F15216">
              <w:rPr>
                <w:rFonts w:ascii="Arial Narrow" w:hAnsi="Arial Narrow"/>
                <w:sz w:val="20"/>
              </w:rPr>
              <w:t>$</w:t>
            </w:r>
            <w:r w:rsidRPr="0076511A">
              <w:rPr>
                <w:rFonts w:ascii="Arial Narrow" w:hAnsi="Arial Narrow"/>
                <w:sz w:val="20"/>
              </w:rPr>
              <w:t>7560.13</w:t>
            </w:r>
            <w:r>
              <w:rPr>
                <w:rFonts w:ascii="Arial Narrow" w:hAnsi="Arial Narrow"/>
                <w:sz w:val="20"/>
              </w:rPr>
              <w:t xml:space="preserve"> (Public, published)</w:t>
            </w:r>
          </w:p>
          <w:p w:rsidR="00B54742" w:rsidRDefault="00B54742" w:rsidP="002148E5">
            <w:pPr>
              <w:keepNext/>
              <w:spacing w:before="0" w:after="0"/>
              <w:ind w:left="-108"/>
              <w:rPr>
                <w:rFonts w:ascii="Arial Narrow" w:hAnsi="Arial Narrow"/>
                <w:sz w:val="20"/>
              </w:rPr>
            </w:pPr>
            <w:r w:rsidRPr="00F15216">
              <w:rPr>
                <w:rFonts w:ascii="Arial Narrow" w:hAnsi="Arial Narrow"/>
                <w:sz w:val="20"/>
              </w:rPr>
              <w:t>$</w:t>
            </w:r>
            <w:r w:rsidR="00A024C2">
              <w:rPr>
                <w:rFonts w:ascii="Arial Narrow" w:hAnsi="Arial Narrow"/>
                <w:noProof/>
                <w:color w:val="000000"/>
                <w:sz w:val="20"/>
                <w:highlight w:val="black"/>
              </w:rPr>
              <w:t>''''''''''''''''''''''</w:t>
            </w:r>
            <w:r>
              <w:rPr>
                <w:rFonts w:ascii="Arial Narrow" w:hAnsi="Arial Narrow"/>
                <w:sz w:val="20"/>
              </w:rPr>
              <w:t xml:space="preserve"> (Public, effective)</w:t>
            </w:r>
          </w:p>
          <w:p w:rsidR="00B54742" w:rsidRDefault="00B54742" w:rsidP="002148E5">
            <w:pPr>
              <w:keepNext/>
              <w:spacing w:before="0" w:after="0"/>
              <w:ind w:left="-108"/>
              <w:rPr>
                <w:rFonts w:ascii="Arial Narrow" w:hAnsi="Arial Narrow"/>
                <w:sz w:val="20"/>
              </w:rPr>
            </w:pPr>
          </w:p>
          <w:p w:rsidR="00B54742" w:rsidRDefault="00B54742" w:rsidP="002148E5">
            <w:pPr>
              <w:keepNext/>
              <w:spacing w:before="0" w:after="0"/>
              <w:ind w:left="-108"/>
              <w:rPr>
                <w:rFonts w:ascii="Arial Narrow" w:hAnsi="Arial Narrow"/>
                <w:sz w:val="20"/>
              </w:rPr>
            </w:pPr>
            <w:r w:rsidRPr="00F15216">
              <w:rPr>
                <w:rFonts w:ascii="Arial Narrow" w:hAnsi="Arial Narrow"/>
                <w:sz w:val="20"/>
              </w:rPr>
              <w:t>$</w:t>
            </w:r>
            <w:r w:rsidRPr="0076511A">
              <w:rPr>
                <w:rFonts w:ascii="Arial Narrow" w:hAnsi="Arial Narrow"/>
                <w:sz w:val="20"/>
              </w:rPr>
              <w:t>7703.43</w:t>
            </w:r>
            <w:r>
              <w:rPr>
                <w:rFonts w:ascii="Arial Narrow" w:hAnsi="Arial Narrow"/>
                <w:sz w:val="20"/>
              </w:rPr>
              <w:t xml:space="preserve"> (Private, published) </w:t>
            </w:r>
            <w:r w:rsidRPr="00F15216">
              <w:rPr>
                <w:rFonts w:ascii="Arial Narrow" w:hAnsi="Arial Narrow"/>
                <w:sz w:val="20"/>
              </w:rPr>
              <w:t>$</w:t>
            </w:r>
            <w:r w:rsidR="00A024C2">
              <w:rPr>
                <w:rFonts w:ascii="Arial Narrow" w:hAnsi="Arial Narrow"/>
                <w:noProof/>
                <w:color w:val="000000"/>
                <w:sz w:val="20"/>
                <w:highlight w:val="black"/>
              </w:rPr>
              <w:t>'''''''''''''''''''''</w:t>
            </w:r>
            <w:r>
              <w:rPr>
                <w:rFonts w:ascii="Arial Narrow" w:hAnsi="Arial Narrow"/>
                <w:sz w:val="20"/>
              </w:rPr>
              <w:t>(Private, effective)</w:t>
            </w:r>
          </w:p>
          <w:p w:rsidR="00B54742" w:rsidRPr="00B74566" w:rsidRDefault="00B54742" w:rsidP="002148E5">
            <w:pPr>
              <w:keepNext/>
              <w:spacing w:before="0" w:after="0"/>
              <w:ind w:left="-108"/>
              <w:rPr>
                <w:rFonts w:ascii="Arial Narrow" w:hAnsi="Arial Narrow"/>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54742" w:rsidRPr="00B74566" w:rsidRDefault="00B54742" w:rsidP="002148E5">
            <w:pPr>
              <w:keepNext/>
              <w:spacing w:before="0" w:after="0"/>
              <w:jc w:val="center"/>
              <w:rPr>
                <w:rFonts w:ascii="Arial Narrow" w:hAnsi="Arial Narrow"/>
                <w:sz w:val="20"/>
              </w:rPr>
            </w:pPr>
            <w:r w:rsidRPr="00B74566">
              <w:rPr>
                <w:rFonts w:ascii="Arial Narrow" w:hAnsi="Arial Narrow"/>
                <w:sz w:val="20"/>
              </w:rPr>
              <w:t>Opdivo</w:t>
            </w:r>
          </w:p>
        </w:tc>
        <w:tc>
          <w:tcPr>
            <w:tcW w:w="1184" w:type="dxa"/>
            <w:tcBorders>
              <w:top w:val="single" w:sz="4" w:space="0" w:color="auto"/>
              <w:left w:val="single" w:sz="4" w:space="0" w:color="auto"/>
              <w:bottom w:val="single" w:sz="4" w:space="0" w:color="auto"/>
              <w:right w:val="single" w:sz="4" w:space="0" w:color="auto"/>
            </w:tcBorders>
            <w:vAlign w:val="center"/>
          </w:tcPr>
          <w:p w:rsidR="00B54742" w:rsidRPr="00B74566" w:rsidRDefault="00B54742" w:rsidP="002148E5">
            <w:pPr>
              <w:keepNext/>
              <w:spacing w:before="0" w:after="0"/>
              <w:ind w:left="-108"/>
              <w:jc w:val="center"/>
              <w:rPr>
                <w:rFonts w:ascii="Arial Narrow" w:hAnsi="Arial Narrow"/>
                <w:sz w:val="20"/>
              </w:rPr>
            </w:pPr>
            <w:r>
              <w:rPr>
                <w:rFonts w:ascii="Arial Narrow" w:hAnsi="Arial Narrow"/>
                <w:sz w:val="20"/>
              </w:rPr>
              <w:t>Bristol Myers Squibb Pty Ltd.</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 xml:space="preserve">Category / Program </w:t>
            </w:r>
            <w:r>
              <w:rPr>
                <w:rFonts w:ascii="Arial Narrow" w:hAnsi="Arial Narrow"/>
                <w:b/>
                <w:color w:val="000000" w:themeColor="text1"/>
                <w:sz w:val="20"/>
                <w:lang w:eastAsia="en-AU"/>
              </w:rPr>
              <w:t>:</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cs="Times New Roman"/>
                <w:color w:val="000000" w:themeColor="text1"/>
                <w:sz w:val="20"/>
                <w:lang w:eastAsia="en-AU"/>
              </w:rPr>
            </w:pPr>
            <w:r w:rsidRPr="00F15216">
              <w:rPr>
                <w:rFonts w:ascii="Arial Narrow" w:hAnsi="Arial Narrow" w:cs="Times New Roman"/>
                <w:color w:val="000000" w:themeColor="text1"/>
                <w:sz w:val="20"/>
                <w:lang w:eastAsia="en-AU"/>
              </w:rPr>
              <w:t>Section 100 - Efficient funding of Chemotherapy</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hideMark/>
          </w:tcPr>
          <w:p w:rsidR="00B54742" w:rsidRPr="00B74566" w:rsidRDefault="00B54742" w:rsidP="002148E5">
            <w:pPr>
              <w:spacing w:before="0" w:after="0"/>
              <w:rPr>
                <w:rFonts w:ascii="Arial Narrow" w:hAnsi="Arial Narrow"/>
                <w:b/>
                <w:sz w:val="20"/>
              </w:rPr>
            </w:pPr>
            <w:r w:rsidRPr="00B74566">
              <w:rPr>
                <w:rFonts w:ascii="Arial Narrow" w:hAnsi="Arial Narrow"/>
                <w:b/>
                <w:sz w:val="20"/>
              </w:rPr>
              <w:t>Prescriber type:</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B74566" w:rsidRDefault="00B54742" w:rsidP="002148E5">
            <w:pPr>
              <w:spacing w:before="0" w:after="0"/>
              <w:rPr>
                <w:rFonts w:ascii="Arial Narrow" w:hAnsi="Arial Narrow"/>
                <w:sz w:val="20"/>
              </w:rPr>
            </w:pPr>
            <w:r w:rsidRPr="00B74566">
              <w:rPr>
                <w:rFonts w:ascii="Arial Narrow" w:hAnsi="Arial Narrow"/>
                <w:sz w:val="20"/>
              </w:rPr>
              <w:fldChar w:fldCharType="begin">
                <w:ffData>
                  <w:name w:val="Check1"/>
                  <w:enabled/>
                  <w:calcOnExit w:val="0"/>
                  <w:checkBox>
                    <w:sizeAuto/>
                    <w:default w:val="0"/>
                  </w:checkBox>
                </w:ffData>
              </w:fldChar>
            </w:r>
            <w:r w:rsidRPr="00B7456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Dental  </w:t>
            </w:r>
            <w:r w:rsidRPr="00B74566">
              <w:rPr>
                <w:rFonts w:ascii="Arial Narrow" w:hAnsi="Arial Narrow"/>
                <w:sz w:val="20"/>
              </w:rPr>
              <w:fldChar w:fldCharType="begin">
                <w:ffData>
                  <w:name w:val=""/>
                  <w:enabled/>
                  <w:calcOnExit w:val="0"/>
                  <w:checkBox>
                    <w:sizeAuto/>
                    <w:default w:val="1"/>
                  </w:checkBox>
                </w:ffData>
              </w:fldChar>
            </w:r>
            <w:r w:rsidRPr="00B7456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Medical Practitioners  </w:t>
            </w:r>
            <w:r w:rsidRPr="00B74566">
              <w:rPr>
                <w:rFonts w:ascii="Arial Narrow" w:hAnsi="Arial Narrow"/>
                <w:sz w:val="20"/>
              </w:rPr>
              <w:fldChar w:fldCharType="begin">
                <w:ffData>
                  <w:name w:val="Check3"/>
                  <w:enabled/>
                  <w:calcOnExit w:val="0"/>
                  <w:checkBox>
                    <w:sizeAuto/>
                    <w:default w:val="0"/>
                  </w:checkBox>
                </w:ffData>
              </w:fldChar>
            </w:r>
            <w:r w:rsidRPr="00B7456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 xml:space="preserve">Nurse practitioners  </w:t>
            </w:r>
            <w:r w:rsidRPr="00B74566">
              <w:rPr>
                <w:rFonts w:ascii="Arial Narrow" w:hAnsi="Arial Narrow"/>
                <w:sz w:val="20"/>
              </w:rPr>
              <w:fldChar w:fldCharType="begin">
                <w:ffData>
                  <w:name w:val=""/>
                  <w:enabled/>
                  <w:calcOnExit w:val="0"/>
                  <w:checkBox>
                    <w:sizeAuto/>
                    <w:default w:val="0"/>
                  </w:checkBox>
                </w:ffData>
              </w:fldChar>
            </w:r>
            <w:r w:rsidRPr="00B7456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Optometrists</w:t>
            </w:r>
          </w:p>
          <w:p w:rsidR="00B54742" w:rsidRPr="00B74566" w:rsidRDefault="00B54742" w:rsidP="002148E5">
            <w:pPr>
              <w:spacing w:before="0" w:after="0"/>
              <w:rPr>
                <w:rFonts w:ascii="Arial Narrow" w:hAnsi="Arial Narrow"/>
                <w:sz w:val="20"/>
              </w:rPr>
            </w:pPr>
            <w:r w:rsidRPr="00B74566">
              <w:rPr>
                <w:rFonts w:ascii="Arial Narrow" w:hAnsi="Arial Narrow"/>
                <w:sz w:val="20"/>
              </w:rPr>
              <w:fldChar w:fldCharType="begin">
                <w:ffData>
                  <w:name w:val="Check5"/>
                  <w:enabled/>
                  <w:calcOnExit w:val="0"/>
                  <w:checkBox>
                    <w:sizeAuto/>
                    <w:default w:val="0"/>
                  </w:checkBox>
                </w:ffData>
              </w:fldChar>
            </w:r>
            <w:r w:rsidRPr="00B7456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B74566">
              <w:rPr>
                <w:rFonts w:ascii="Arial Narrow" w:hAnsi="Arial Narrow"/>
                <w:sz w:val="20"/>
              </w:rPr>
              <w:fldChar w:fldCharType="end"/>
            </w:r>
            <w:r w:rsidRPr="00B74566">
              <w:rPr>
                <w:rFonts w:ascii="Arial Narrow" w:hAnsi="Arial Narrow"/>
                <w:sz w:val="20"/>
              </w:rPr>
              <w:t>Midwives</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Severity:</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cs="Times New Roman"/>
                <w:color w:val="000000" w:themeColor="text1"/>
                <w:sz w:val="20"/>
                <w:lang w:eastAsia="en-AU"/>
              </w:rPr>
            </w:pPr>
            <w:r w:rsidRPr="00F15216">
              <w:rPr>
                <w:rFonts w:ascii="Arial Narrow" w:hAnsi="Arial Narrow" w:cs="Times New Roman"/>
                <w:color w:val="000000" w:themeColor="text1"/>
                <w:sz w:val="20"/>
                <w:lang w:eastAsia="en-AU"/>
              </w:rPr>
              <w:t>Recurrent or metastatic</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Condition:</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t>Squamous cell carcinoma of the oral cavity, pharynx or larynx</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PBS Indication:</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t>Recurrent or metastatic squamous cell carcinoma of the oral cavity, pharynx or larynx</w:t>
            </w:r>
          </w:p>
        </w:tc>
      </w:tr>
      <w:tr w:rsidR="00B54742" w:rsidRPr="00F15216" w:rsidTr="002148E5">
        <w:trPr>
          <w:trHeight w:val="58"/>
        </w:trPr>
        <w:tc>
          <w:tcPr>
            <w:tcW w:w="2660"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Treatment phase:</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t>Initial treatment</w:t>
            </w:r>
          </w:p>
        </w:tc>
      </w:tr>
      <w:tr w:rsidR="00B54742" w:rsidRPr="00F15216" w:rsidTr="002148E5">
        <w:trPr>
          <w:trHeight w:val="360"/>
        </w:trPr>
        <w:tc>
          <w:tcPr>
            <w:tcW w:w="2660"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Restriction Level / Method:</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fldChar w:fldCharType="begin">
                <w:ffData>
                  <w:name w:val="Check1"/>
                  <w:enabled/>
                  <w:calcOnExit w:val="0"/>
                  <w:checkBox>
                    <w:sizeAuto/>
                    <w:default w:val="0"/>
                  </w:checkBox>
                </w:ffData>
              </w:fldChar>
            </w:r>
            <w:r w:rsidRPr="00F15216">
              <w:rPr>
                <w:rFonts w:ascii="Arial Narrow" w:hAnsi="Arial Narrow"/>
                <w:color w:val="000000" w:themeColor="text1"/>
                <w:sz w:val="20"/>
                <w:lang w:eastAsia="en-AU"/>
              </w:rPr>
              <w:instrText xml:space="preserve"> FORMCHECKBOX </w:instrText>
            </w:r>
            <w:r w:rsidR="00A024C2">
              <w:rPr>
                <w:rFonts w:ascii="Arial Narrow" w:hAnsi="Arial Narrow"/>
                <w:color w:val="000000" w:themeColor="text1"/>
                <w:sz w:val="20"/>
                <w:lang w:eastAsia="en-AU"/>
              </w:rPr>
            </w:r>
            <w:r w:rsidR="00A024C2">
              <w:rPr>
                <w:rFonts w:ascii="Arial Narrow" w:hAnsi="Arial Narrow"/>
                <w:color w:val="000000" w:themeColor="text1"/>
                <w:sz w:val="20"/>
                <w:lang w:eastAsia="en-AU"/>
              </w:rPr>
              <w:fldChar w:fldCharType="separate"/>
            </w:r>
            <w:r w:rsidRPr="00F15216">
              <w:rPr>
                <w:rFonts w:ascii="Arial Narrow" w:hAnsi="Arial Narrow"/>
                <w:color w:val="000000" w:themeColor="text1"/>
                <w:sz w:val="20"/>
                <w:lang w:eastAsia="en-AU"/>
              </w:rPr>
              <w:fldChar w:fldCharType="end"/>
            </w:r>
            <w:r w:rsidRPr="00F15216">
              <w:rPr>
                <w:rFonts w:ascii="Arial Narrow" w:hAnsi="Arial Narrow"/>
                <w:color w:val="000000" w:themeColor="text1"/>
                <w:sz w:val="20"/>
                <w:lang w:eastAsia="en-AU"/>
              </w:rPr>
              <w:t>Restricted benefit</w:t>
            </w:r>
          </w:p>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fldChar w:fldCharType="begin">
                <w:ffData>
                  <w:name w:val=""/>
                  <w:enabled/>
                  <w:calcOnExit w:val="0"/>
                  <w:checkBox>
                    <w:sizeAuto/>
                    <w:default w:val="0"/>
                  </w:checkBox>
                </w:ffData>
              </w:fldChar>
            </w:r>
            <w:r w:rsidRPr="00F15216">
              <w:rPr>
                <w:rFonts w:ascii="Arial Narrow" w:hAnsi="Arial Narrow"/>
                <w:color w:val="000000" w:themeColor="text1"/>
                <w:sz w:val="20"/>
                <w:lang w:eastAsia="en-AU"/>
              </w:rPr>
              <w:instrText xml:space="preserve"> FORMCHECKBOX </w:instrText>
            </w:r>
            <w:r w:rsidR="00A024C2">
              <w:rPr>
                <w:rFonts w:ascii="Arial Narrow" w:hAnsi="Arial Narrow"/>
                <w:color w:val="000000" w:themeColor="text1"/>
                <w:sz w:val="20"/>
                <w:lang w:eastAsia="en-AU"/>
              </w:rPr>
            </w:r>
            <w:r w:rsidR="00A024C2">
              <w:rPr>
                <w:rFonts w:ascii="Arial Narrow" w:hAnsi="Arial Narrow"/>
                <w:color w:val="000000" w:themeColor="text1"/>
                <w:sz w:val="20"/>
                <w:lang w:eastAsia="en-AU"/>
              </w:rPr>
              <w:fldChar w:fldCharType="separate"/>
            </w:r>
            <w:r w:rsidRPr="00F15216">
              <w:rPr>
                <w:rFonts w:ascii="Arial Narrow" w:hAnsi="Arial Narrow"/>
                <w:color w:val="000000" w:themeColor="text1"/>
                <w:sz w:val="20"/>
                <w:lang w:eastAsia="en-AU"/>
              </w:rPr>
              <w:fldChar w:fldCharType="end"/>
            </w:r>
            <w:r w:rsidRPr="00F15216">
              <w:rPr>
                <w:rFonts w:ascii="Arial Narrow" w:hAnsi="Arial Narrow"/>
                <w:color w:val="000000" w:themeColor="text1"/>
                <w:sz w:val="20"/>
                <w:lang w:eastAsia="en-AU"/>
              </w:rPr>
              <w:t>Authority Required - In Writing</w:t>
            </w:r>
          </w:p>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fldChar w:fldCharType="begin">
                <w:ffData>
                  <w:name w:val="Check3"/>
                  <w:enabled/>
                  <w:calcOnExit w:val="0"/>
                  <w:checkBox>
                    <w:sizeAuto/>
                    <w:default w:val="0"/>
                  </w:checkBox>
                </w:ffData>
              </w:fldChar>
            </w:r>
            <w:r w:rsidRPr="00F15216">
              <w:rPr>
                <w:rFonts w:ascii="Arial Narrow" w:hAnsi="Arial Narrow"/>
                <w:color w:val="000000" w:themeColor="text1"/>
                <w:sz w:val="20"/>
                <w:lang w:eastAsia="en-AU"/>
              </w:rPr>
              <w:instrText xml:space="preserve"> FORMCHECKBOX </w:instrText>
            </w:r>
            <w:r w:rsidR="00A024C2">
              <w:rPr>
                <w:rFonts w:ascii="Arial Narrow" w:hAnsi="Arial Narrow"/>
                <w:color w:val="000000" w:themeColor="text1"/>
                <w:sz w:val="20"/>
                <w:lang w:eastAsia="en-AU"/>
              </w:rPr>
            </w:r>
            <w:r w:rsidR="00A024C2">
              <w:rPr>
                <w:rFonts w:ascii="Arial Narrow" w:hAnsi="Arial Narrow"/>
                <w:color w:val="000000" w:themeColor="text1"/>
                <w:sz w:val="20"/>
                <w:lang w:eastAsia="en-AU"/>
              </w:rPr>
              <w:fldChar w:fldCharType="separate"/>
            </w:r>
            <w:r w:rsidRPr="00F15216">
              <w:rPr>
                <w:rFonts w:ascii="Arial Narrow" w:hAnsi="Arial Narrow"/>
                <w:color w:val="000000" w:themeColor="text1"/>
                <w:sz w:val="20"/>
                <w:lang w:eastAsia="en-AU"/>
              </w:rPr>
              <w:fldChar w:fldCharType="end"/>
            </w:r>
            <w:r w:rsidRPr="00F15216">
              <w:rPr>
                <w:rFonts w:ascii="Arial Narrow" w:hAnsi="Arial Narrow"/>
                <w:color w:val="000000" w:themeColor="text1"/>
                <w:sz w:val="20"/>
                <w:lang w:eastAsia="en-AU"/>
              </w:rPr>
              <w:t>Authority Required - Telephone</w:t>
            </w:r>
          </w:p>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fldChar w:fldCharType="begin">
                <w:ffData>
                  <w:name w:val=""/>
                  <w:enabled/>
                  <w:calcOnExit w:val="0"/>
                  <w:checkBox>
                    <w:sizeAuto/>
                    <w:default w:val="0"/>
                  </w:checkBox>
                </w:ffData>
              </w:fldChar>
            </w:r>
            <w:r w:rsidRPr="00F15216">
              <w:rPr>
                <w:rFonts w:ascii="Arial Narrow" w:hAnsi="Arial Narrow"/>
                <w:color w:val="000000" w:themeColor="text1"/>
                <w:sz w:val="20"/>
                <w:lang w:eastAsia="en-AU"/>
              </w:rPr>
              <w:instrText xml:space="preserve"> FORMCHECKBOX </w:instrText>
            </w:r>
            <w:r w:rsidR="00A024C2">
              <w:rPr>
                <w:rFonts w:ascii="Arial Narrow" w:hAnsi="Arial Narrow"/>
                <w:color w:val="000000" w:themeColor="text1"/>
                <w:sz w:val="20"/>
                <w:lang w:eastAsia="en-AU"/>
              </w:rPr>
            </w:r>
            <w:r w:rsidR="00A024C2">
              <w:rPr>
                <w:rFonts w:ascii="Arial Narrow" w:hAnsi="Arial Narrow"/>
                <w:color w:val="000000" w:themeColor="text1"/>
                <w:sz w:val="20"/>
                <w:lang w:eastAsia="en-AU"/>
              </w:rPr>
              <w:fldChar w:fldCharType="separate"/>
            </w:r>
            <w:r w:rsidRPr="00F15216">
              <w:rPr>
                <w:rFonts w:ascii="Arial Narrow" w:hAnsi="Arial Narrow"/>
                <w:color w:val="000000" w:themeColor="text1"/>
                <w:sz w:val="20"/>
                <w:lang w:eastAsia="en-AU"/>
              </w:rPr>
              <w:fldChar w:fldCharType="end"/>
            </w:r>
            <w:r w:rsidRPr="00F15216">
              <w:rPr>
                <w:rFonts w:ascii="Arial Narrow" w:hAnsi="Arial Narrow"/>
                <w:color w:val="000000" w:themeColor="text1"/>
                <w:sz w:val="20"/>
                <w:lang w:eastAsia="en-AU"/>
              </w:rPr>
              <w:t>Authority Required – Emergency</w:t>
            </w:r>
          </w:p>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fldChar w:fldCharType="begin">
                <w:ffData>
                  <w:name w:val="Check5"/>
                  <w:enabled/>
                  <w:calcOnExit w:val="0"/>
                  <w:checkBox>
                    <w:sizeAuto/>
                    <w:default w:val="0"/>
                  </w:checkBox>
                </w:ffData>
              </w:fldChar>
            </w:r>
            <w:r w:rsidRPr="00F15216">
              <w:rPr>
                <w:rFonts w:ascii="Arial Narrow" w:hAnsi="Arial Narrow"/>
                <w:color w:val="000000" w:themeColor="text1"/>
                <w:sz w:val="20"/>
                <w:lang w:eastAsia="en-AU"/>
              </w:rPr>
              <w:instrText xml:space="preserve"> FORMCHECKBOX </w:instrText>
            </w:r>
            <w:r w:rsidR="00A024C2">
              <w:rPr>
                <w:rFonts w:ascii="Arial Narrow" w:hAnsi="Arial Narrow"/>
                <w:color w:val="000000" w:themeColor="text1"/>
                <w:sz w:val="20"/>
                <w:lang w:eastAsia="en-AU"/>
              </w:rPr>
            </w:r>
            <w:r w:rsidR="00A024C2">
              <w:rPr>
                <w:rFonts w:ascii="Arial Narrow" w:hAnsi="Arial Narrow"/>
                <w:color w:val="000000" w:themeColor="text1"/>
                <w:sz w:val="20"/>
                <w:lang w:eastAsia="en-AU"/>
              </w:rPr>
              <w:fldChar w:fldCharType="separate"/>
            </w:r>
            <w:r w:rsidRPr="00F15216">
              <w:rPr>
                <w:rFonts w:ascii="Arial Narrow" w:hAnsi="Arial Narrow"/>
                <w:color w:val="000000" w:themeColor="text1"/>
                <w:sz w:val="20"/>
                <w:lang w:eastAsia="en-AU"/>
              </w:rPr>
              <w:fldChar w:fldCharType="end"/>
            </w:r>
            <w:r w:rsidRPr="00F15216">
              <w:rPr>
                <w:rFonts w:ascii="Arial Narrow" w:hAnsi="Arial Narrow"/>
                <w:color w:val="000000" w:themeColor="text1"/>
                <w:sz w:val="20"/>
                <w:lang w:eastAsia="en-AU"/>
              </w:rPr>
              <w:t>Authority Required - Electronic</w:t>
            </w:r>
          </w:p>
          <w:p w:rsidR="00B54742" w:rsidRPr="00F15216" w:rsidRDefault="00B54742" w:rsidP="002148E5">
            <w:pPr>
              <w:spacing w:before="0" w:after="0"/>
              <w:rPr>
                <w:rFonts w:ascii="Arial Narrow" w:hAnsi="Arial Narrow" w:cs="Times New Roman"/>
                <w:color w:val="000000" w:themeColor="text1"/>
                <w:sz w:val="20"/>
                <w:lang w:eastAsia="en-AU"/>
              </w:rPr>
            </w:pPr>
            <w:r w:rsidRPr="00F15216">
              <w:rPr>
                <w:rFonts w:ascii="Arial Narrow" w:hAnsi="Arial Narrow" w:cs="Times New Roman"/>
                <w:color w:val="000000" w:themeColor="text1"/>
                <w:sz w:val="20"/>
                <w:lang w:eastAsia="en-AU"/>
              </w:rPr>
              <w:fldChar w:fldCharType="begin">
                <w:ffData>
                  <w:name w:val="Check5"/>
                  <w:enabled/>
                  <w:calcOnExit w:val="0"/>
                  <w:checkBox>
                    <w:sizeAuto/>
                    <w:default w:val="1"/>
                  </w:checkBox>
                </w:ffData>
              </w:fldChar>
            </w:r>
            <w:r w:rsidRPr="00F15216">
              <w:rPr>
                <w:rFonts w:ascii="Arial Narrow" w:hAnsi="Arial Narrow" w:cs="Times New Roman"/>
                <w:color w:val="000000" w:themeColor="text1"/>
                <w:sz w:val="20"/>
                <w:lang w:eastAsia="en-AU"/>
              </w:rPr>
              <w:instrText xml:space="preserve"> FORMCHECKBOX </w:instrText>
            </w:r>
            <w:r w:rsidR="00A024C2">
              <w:rPr>
                <w:rFonts w:ascii="Arial Narrow" w:hAnsi="Arial Narrow" w:cs="Times New Roman"/>
                <w:color w:val="000000" w:themeColor="text1"/>
                <w:sz w:val="20"/>
                <w:lang w:eastAsia="en-AU"/>
              </w:rPr>
            </w:r>
            <w:r w:rsidR="00A024C2">
              <w:rPr>
                <w:rFonts w:ascii="Arial Narrow" w:hAnsi="Arial Narrow" w:cs="Times New Roman"/>
                <w:color w:val="000000" w:themeColor="text1"/>
                <w:sz w:val="20"/>
                <w:lang w:eastAsia="en-AU"/>
              </w:rPr>
              <w:fldChar w:fldCharType="separate"/>
            </w:r>
            <w:r w:rsidRPr="00F15216">
              <w:rPr>
                <w:rFonts w:ascii="Arial Narrow" w:hAnsi="Arial Narrow" w:cs="Times New Roman"/>
                <w:color w:val="000000" w:themeColor="text1"/>
                <w:sz w:val="20"/>
                <w:lang w:eastAsia="en-AU"/>
              </w:rPr>
              <w:fldChar w:fldCharType="end"/>
            </w:r>
            <w:r w:rsidRPr="00F15216">
              <w:rPr>
                <w:rFonts w:ascii="Arial Narrow" w:hAnsi="Arial Narrow" w:cs="Times New Roman"/>
                <w:color w:val="000000" w:themeColor="text1"/>
                <w:sz w:val="20"/>
                <w:lang w:eastAsia="en-AU"/>
              </w:rPr>
              <w:t>S</w:t>
            </w:r>
            <w:r w:rsidRPr="00F15216">
              <w:rPr>
                <w:rFonts w:ascii="Arial Narrow" w:hAnsi="Arial Narrow"/>
                <w:color w:val="000000" w:themeColor="text1"/>
                <w:sz w:val="20"/>
                <w:lang w:eastAsia="en-AU"/>
              </w:rPr>
              <w:t>treamlined</w:t>
            </w:r>
          </w:p>
        </w:tc>
      </w:tr>
      <w:tr w:rsidR="00B54742" w:rsidRPr="00F15216" w:rsidTr="002148E5">
        <w:trPr>
          <w:trHeight w:val="274"/>
        </w:trPr>
        <w:tc>
          <w:tcPr>
            <w:tcW w:w="2660" w:type="dxa"/>
            <w:tcBorders>
              <w:top w:val="single" w:sz="4" w:space="0" w:color="auto"/>
              <w:left w:val="single" w:sz="4" w:space="0" w:color="auto"/>
              <w:bottom w:val="single" w:sz="4" w:space="0" w:color="auto"/>
              <w:right w:val="single" w:sz="4" w:space="0" w:color="auto"/>
            </w:tcBorders>
            <w:hideMark/>
          </w:tcPr>
          <w:p w:rsidR="00B54742" w:rsidRPr="00DE23E7" w:rsidRDefault="00B54742" w:rsidP="002148E5">
            <w:pPr>
              <w:spacing w:before="0" w:after="0"/>
              <w:rPr>
                <w:rFonts w:ascii="Arial Narrow" w:hAnsi="Arial Narrow"/>
                <w:b/>
                <w:sz w:val="20"/>
                <w:lang w:eastAsia="en-AU"/>
              </w:rPr>
            </w:pPr>
            <w:r w:rsidRPr="00DE23E7">
              <w:rPr>
                <w:rFonts w:ascii="Arial Narrow" w:hAnsi="Arial Narrow"/>
                <w:b/>
                <w:sz w:val="20"/>
                <w:lang w:eastAsia="en-AU"/>
              </w:rPr>
              <w:t>Clinical criteria:</w:t>
            </w:r>
          </w:p>
        </w:tc>
        <w:tc>
          <w:tcPr>
            <w:tcW w:w="5862" w:type="dxa"/>
            <w:gridSpan w:val="5"/>
            <w:tcBorders>
              <w:top w:val="single" w:sz="4" w:space="0" w:color="auto"/>
              <w:left w:val="single" w:sz="4" w:space="0" w:color="auto"/>
              <w:bottom w:val="single" w:sz="4" w:space="0" w:color="auto"/>
              <w:right w:val="single" w:sz="4" w:space="0" w:color="auto"/>
            </w:tcBorders>
            <w:hideMark/>
          </w:tcPr>
          <w:p w:rsidR="00B54742" w:rsidRPr="00DE23E7" w:rsidRDefault="00B54742" w:rsidP="002148E5">
            <w:pPr>
              <w:spacing w:before="0" w:after="0"/>
              <w:rPr>
                <w:rFonts w:ascii="Arial Narrow" w:hAnsi="Arial Narrow"/>
                <w:sz w:val="20"/>
              </w:rPr>
            </w:pPr>
            <w:r w:rsidRPr="00DE23E7">
              <w:rPr>
                <w:rFonts w:ascii="Arial Narrow" w:hAnsi="Arial Narrow"/>
                <w:sz w:val="20"/>
              </w:rPr>
              <w:t>Patient must have a WHO performance status of 0 or 1</w:t>
            </w:r>
          </w:p>
          <w:p w:rsidR="00B54742" w:rsidRPr="00DE23E7" w:rsidRDefault="00B54742" w:rsidP="002148E5">
            <w:pPr>
              <w:spacing w:before="0" w:after="0"/>
              <w:rPr>
                <w:rFonts w:ascii="Arial Narrow" w:hAnsi="Arial Narrow"/>
                <w:sz w:val="20"/>
              </w:rPr>
            </w:pPr>
            <w:r w:rsidRPr="00DE23E7">
              <w:rPr>
                <w:rFonts w:ascii="Arial Narrow" w:hAnsi="Arial Narrow"/>
                <w:sz w:val="20"/>
              </w:rPr>
              <w:t>AND</w:t>
            </w:r>
          </w:p>
          <w:p w:rsidR="00B54742" w:rsidRPr="00DE23E7" w:rsidRDefault="00B54742" w:rsidP="002148E5">
            <w:pPr>
              <w:spacing w:before="0" w:after="0"/>
              <w:rPr>
                <w:rFonts w:ascii="Arial Narrow" w:hAnsi="Arial Narrow"/>
                <w:sz w:val="20"/>
              </w:rPr>
            </w:pPr>
            <w:r w:rsidRPr="00DE23E7">
              <w:rPr>
                <w:rFonts w:ascii="Arial Narrow" w:hAnsi="Arial Narrow"/>
                <w:sz w:val="20"/>
              </w:rPr>
              <w:t>The treatment must be the sole PBS-subsidised therapy for this condition</w:t>
            </w:r>
          </w:p>
          <w:p w:rsidR="00B54742" w:rsidRPr="00DE23E7" w:rsidRDefault="00B54742" w:rsidP="002148E5">
            <w:pPr>
              <w:spacing w:before="0" w:after="0"/>
              <w:rPr>
                <w:rFonts w:ascii="Arial Narrow" w:hAnsi="Arial Narrow"/>
                <w:sz w:val="20"/>
              </w:rPr>
            </w:pPr>
            <w:r w:rsidRPr="00DE23E7">
              <w:rPr>
                <w:rFonts w:ascii="Arial Narrow" w:hAnsi="Arial Narrow"/>
                <w:sz w:val="20"/>
              </w:rPr>
              <w:t>AND</w:t>
            </w:r>
          </w:p>
          <w:p w:rsidR="00B54742" w:rsidRPr="00DE23E7" w:rsidRDefault="00B54742" w:rsidP="002148E5">
            <w:pPr>
              <w:spacing w:before="0" w:after="0"/>
              <w:rPr>
                <w:rFonts w:ascii="Arial Narrow" w:hAnsi="Arial Narrow"/>
                <w:sz w:val="20"/>
              </w:rPr>
            </w:pPr>
            <w:r w:rsidRPr="00DE23E7">
              <w:rPr>
                <w:rFonts w:ascii="Arial Narrow" w:hAnsi="Arial Narrow"/>
                <w:sz w:val="20"/>
              </w:rPr>
              <w:t>The condition must have progressed within 6 months of receiving prior platinum based chemotherapy.</w:t>
            </w:r>
          </w:p>
          <w:p w:rsidR="00B54742" w:rsidRPr="00DE23E7" w:rsidRDefault="00B54742" w:rsidP="002148E5">
            <w:pPr>
              <w:spacing w:before="0" w:after="0"/>
              <w:rPr>
                <w:rFonts w:ascii="Arial Narrow" w:hAnsi="Arial Narrow"/>
                <w:i/>
                <w:sz w:val="20"/>
              </w:rPr>
            </w:pPr>
            <w:r w:rsidRPr="00DE23E7">
              <w:rPr>
                <w:rFonts w:ascii="Arial Narrow" w:hAnsi="Arial Narrow"/>
                <w:i/>
                <w:sz w:val="20"/>
              </w:rPr>
              <w:t>AND</w:t>
            </w:r>
          </w:p>
          <w:p w:rsidR="00B54742" w:rsidRPr="00DE23E7" w:rsidRDefault="00B54742" w:rsidP="002148E5">
            <w:pPr>
              <w:spacing w:before="0" w:after="0"/>
              <w:rPr>
                <w:rFonts w:ascii="Arial Narrow" w:hAnsi="Arial Narrow"/>
                <w:i/>
                <w:sz w:val="20"/>
                <w:lang w:eastAsia="en-AU"/>
              </w:rPr>
            </w:pPr>
            <w:r w:rsidRPr="00DE23E7">
              <w:rPr>
                <w:rFonts w:ascii="Arial Narrow" w:hAnsi="Arial Narrow"/>
                <w:i/>
                <w:sz w:val="20"/>
              </w:rPr>
              <w:t>Patient must not have received prior treatment with a PD-1 inhibitor for this condition</w:t>
            </w:r>
            <w:r>
              <w:rPr>
                <w:rFonts w:ascii="Arial Narrow" w:hAnsi="Arial Narrow"/>
                <w:i/>
                <w:sz w:val="20"/>
              </w:rPr>
              <w:t>.</w:t>
            </w:r>
          </w:p>
        </w:tc>
      </w:tr>
      <w:tr w:rsidR="00B54742" w:rsidRPr="00F15216" w:rsidTr="002148E5">
        <w:trPr>
          <w:trHeight w:val="278"/>
        </w:trPr>
        <w:tc>
          <w:tcPr>
            <w:tcW w:w="2660" w:type="dxa"/>
            <w:tcBorders>
              <w:top w:val="single" w:sz="4" w:space="0" w:color="auto"/>
              <w:left w:val="single" w:sz="4" w:space="0" w:color="auto"/>
              <w:bottom w:val="single" w:sz="4" w:space="0" w:color="auto"/>
              <w:right w:val="single" w:sz="4" w:space="0" w:color="auto"/>
            </w:tcBorders>
            <w:vAlign w:val="center"/>
            <w:hideMark/>
          </w:tcPr>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b/>
                <w:color w:val="000000" w:themeColor="text1"/>
                <w:sz w:val="20"/>
                <w:lang w:eastAsia="en-AU"/>
              </w:rPr>
              <w:t>Prescriber Instructions</w:t>
            </w:r>
          </w:p>
        </w:tc>
        <w:tc>
          <w:tcPr>
            <w:tcW w:w="5862" w:type="dxa"/>
            <w:gridSpan w:val="5"/>
            <w:tcBorders>
              <w:top w:val="single" w:sz="4" w:space="0" w:color="auto"/>
              <w:left w:val="single" w:sz="4" w:space="0" w:color="auto"/>
              <w:bottom w:val="single" w:sz="4" w:space="0" w:color="auto"/>
              <w:right w:val="single" w:sz="4" w:space="0" w:color="auto"/>
            </w:tcBorders>
            <w:vAlign w:val="center"/>
          </w:tcPr>
          <w:p w:rsidR="00B54742" w:rsidRPr="00F15216"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lang w:eastAsia="en-AU"/>
              </w:rPr>
              <w:t>The patient’s body weight must be documented in the patient’s medical records at the time treatment is initiated.</w:t>
            </w:r>
          </w:p>
        </w:tc>
      </w:tr>
      <w:tr w:rsidR="00B54742" w:rsidRPr="00F15216" w:rsidTr="002148E5">
        <w:trPr>
          <w:trHeight w:val="670"/>
        </w:trPr>
        <w:tc>
          <w:tcPr>
            <w:tcW w:w="2660" w:type="dxa"/>
            <w:tcBorders>
              <w:top w:val="single" w:sz="4" w:space="0" w:color="auto"/>
              <w:left w:val="single" w:sz="4" w:space="0" w:color="auto"/>
              <w:bottom w:val="single" w:sz="4" w:space="0" w:color="auto"/>
              <w:right w:val="single" w:sz="4" w:space="0" w:color="auto"/>
            </w:tcBorders>
            <w:vAlign w:val="center"/>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Administrative Advice</w:t>
            </w:r>
          </w:p>
        </w:tc>
        <w:tc>
          <w:tcPr>
            <w:tcW w:w="5862" w:type="dxa"/>
            <w:gridSpan w:val="5"/>
            <w:tcBorders>
              <w:top w:val="single" w:sz="4" w:space="0" w:color="auto"/>
              <w:left w:val="single" w:sz="4" w:space="0" w:color="auto"/>
              <w:bottom w:val="single" w:sz="4" w:space="0" w:color="auto"/>
              <w:right w:val="single" w:sz="4" w:space="0" w:color="auto"/>
            </w:tcBorders>
            <w:vAlign w:val="center"/>
          </w:tcPr>
          <w:p w:rsidR="00B54742" w:rsidRPr="00F15216" w:rsidRDefault="00B54742" w:rsidP="002148E5">
            <w:pPr>
              <w:spacing w:before="0" w:after="0"/>
              <w:rPr>
                <w:rFonts w:ascii="Arial Narrow" w:hAnsi="Arial Narrow"/>
                <w:color w:val="000000" w:themeColor="text1"/>
                <w:sz w:val="20"/>
              </w:rPr>
            </w:pPr>
            <w:r w:rsidRPr="00F15216">
              <w:rPr>
                <w:rFonts w:ascii="Arial Narrow" w:hAnsi="Arial Narrow"/>
                <w:color w:val="000000" w:themeColor="text1"/>
                <w:sz w:val="20"/>
              </w:rPr>
              <w:t>In the first few months after start of immunotherapy, some patients can have a transient tumour flare with subsequent disease response. When progression is suspected, this should be confirmed through a confirmatory scan, taken at least 4 weeks later.</w:t>
            </w:r>
          </w:p>
          <w:p w:rsidR="00B54742"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rPr>
              <w:t>No increase in the maximum number of repeats may be authorised.</w:t>
            </w:r>
            <w:r w:rsidRPr="00F15216">
              <w:rPr>
                <w:rFonts w:ascii="Arial Narrow" w:hAnsi="Arial Narrow"/>
                <w:color w:val="000000" w:themeColor="text1"/>
                <w:sz w:val="20"/>
                <w:lang w:eastAsia="en-AU"/>
              </w:rPr>
              <w:t xml:space="preserve"> </w:t>
            </w:r>
          </w:p>
          <w:p w:rsidR="00B54742" w:rsidRPr="00F15216" w:rsidRDefault="00B54742" w:rsidP="002148E5">
            <w:pPr>
              <w:spacing w:before="0" w:after="0"/>
              <w:rPr>
                <w:rFonts w:ascii="Arial Narrow" w:hAnsi="Arial Narrow" w:cs="Times New Roman"/>
                <w:sz w:val="20"/>
              </w:rPr>
            </w:pPr>
            <w:r w:rsidRPr="00F15216">
              <w:rPr>
                <w:rFonts w:ascii="Arial Narrow" w:hAnsi="Arial Narrow"/>
                <w:color w:val="000000" w:themeColor="text1"/>
                <w:sz w:val="20"/>
                <w:lang w:eastAsia="en-AU"/>
              </w:rPr>
              <w:t>Special Pricing Arrangements apply.</w:t>
            </w:r>
          </w:p>
        </w:tc>
      </w:tr>
    </w:tbl>
    <w:p w:rsidR="00E81264" w:rsidRDefault="00E81264" w:rsidP="002148E5">
      <w:pPr>
        <w:pStyle w:val="PBACHeading1"/>
        <w:numPr>
          <w:ilvl w:val="0"/>
          <w:numId w:val="0"/>
        </w:numPr>
        <w:ind w:left="720" w:hanging="720"/>
      </w:pPr>
    </w:p>
    <w:p w:rsidR="00E81264" w:rsidRDefault="00E81264">
      <w:pPr>
        <w:spacing w:before="0" w:line="259" w:lineRule="auto"/>
        <w:rPr>
          <w:rFonts w:ascii="Arial" w:eastAsia="Times New Roman" w:hAnsi="Arial" w:cs="Arial"/>
          <w:b/>
          <w:snapToGrid w:val="0"/>
          <w:sz w:val="22"/>
        </w:rPr>
      </w:pPr>
      <w:r>
        <w:br w:type="page"/>
      </w:r>
    </w:p>
    <w:p w:rsidR="00B54742" w:rsidRDefault="00B54742" w:rsidP="002148E5">
      <w:pPr>
        <w:pStyle w:val="PBACHeading1"/>
        <w:numPr>
          <w:ilvl w:val="0"/>
          <w:numId w:val="0"/>
        </w:numPr>
        <w:ind w:left="720" w:hanging="720"/>
      </w:pPr>
    </w:p>
    <w:tbl>
      <w:tblPr>
        <w:tblW w:w="8647" w:type="dxa"/>
        <w:tblInd w:w="-34" w:type="dxa"/>
        <w:tblLayout w:type="fixed"/>
        <w:tblLook w:val="0000" w:firstRow="0" w:lastRow="0" w:firstColumn="0" w:lastColumn="0" w:noHBand="0" w:noVBand="0"/>
      </w:tblPr>
      <w:tblGrid>
        <w:gridCol w:w="2013"/>
        <w:gridCol w:w="681"/>
        <w:gridCol w:w="992"/>
        <w:gridCol w:w="567"/>
        <w:gridCol w:w="2268"/>
        <w:gridCol w:w="1276"/>
        <w:gridCol w:w="850"/>
      </w:tblGrid>
      <w:tr w:rsidR="00B54742" w:rsidRPr="00B74566" w:rsidTr="002148E5">
        <w:trPr>
          <w:cantSplit/>
          <w:trHeight w:val="471"/>
        </w:trPr>
        <w:tc>
          <w:tcPr>
            <w:tcW w:w="2694" w:type="dxa"/>
            <w:gridSpan w:val="2"/>
            <w:tcBorders>
              <w:bottom w:val="single" w:sz="4" w:space="0" w:color="auto"/>
            </w:tcBorders>
          </w:tcPr>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Name, Restriction,</w:t>
            </w:r>
          </w:p>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Manner of administration and form</w:t>
            </w:r>
          </w:p>
        </w:tc>
        <w:tc>
          <w:tcPr>
            <w:tcW w:w="992" w:type="dxa"/>
            <w:tcBorders>
              <w:bottom w:val="single" w:sz="4" w:space="0" w:color="auto"/>
            </w:tcBorders>
          </w:tcPr>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Max.</w:t>
            </w:r>
          </w:p>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Amount</w:t>
            </w:r>
          </w:p>
        </w:tc>
        <w:tc>
          <w:tcPr>
            <w:tcW w:w="567" w:type="dxa"/>
            <w:tcBorders>
              <w:bottom w:val="single" w:sz="4" w:space="0" w:color="auto"/>
            </w:tcBorders>
          </w:tcPr>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№.of</w:t>
            </w:r>
          </w:p>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Rpts</w:t>
            </w:r>
          </w:p>
        </w:tc>
        <w:tc>
          <w:tcPr>
            <w:tcW w:w="2268" w:type="dxa"/>
            <w:tcBorders>
              <w:bottom w:val="single" w:sz="4" w:space="0" w:color="auto"/>
            </w:tcBorders>
          </w:tcPr>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Dispensed Price for Max. Amount</w:t>
            </w:r>
          </w:p>
        </w:tc>
        <w:tc>
          <w:tcPr>
            <w:tcW w:w="2126" w:type="dxa"/>
            <w:gridSpan w:val="2"/>
            <w:tcBorders>
              <w:bottom w:val="single" w:sz="4" w:space="0" w:color="auto"/>
            </w:tcBorders>
          </w:tcPr>
          <w:p w:rsidR="00B54742" w:rsidRPr="00B74566" w:rsidRDefault="00B54742" w:rsidP="002148E5">
            <w:pPr>
              <w:keepNext/>
              <w:spacing w:before="0" w:after="0"/>
              <w:jc w:val="center"/>
              <w:rPr>
                <w:rFonts w:ascii="Arial Narrow" w:hAnsi="Arial Narrow"/>
                <w:sz w:val="20"/>
                <w:lang w:val="fr-FR"/>
              </w:rPr>
            </w:pPr>
            <w:r w:rsidRPr="00B74566">
              <w:rPr>
                <w:rFonts w:ascii="Arial Narrow" w:hAnsi="Arial Narrow"/>
                <w:sz w:val="20"/>
              </w:rPr>
              <w:t>Proprietary Name and Manufacturer</w:t>
            </w:r>
          </w:p>
        </w:tc>
      </w:tr>
      <w:tr w:rsidR="00B54742" w:rsidRPr="00B74566" w:rsidTr="002148E5">
        <w:trPr>
          <w:cantSplit/>
          <w:trHeight w:val="577"/>
        </w:trPr>
        <w:tc>
          <w:tcPr>
            <w:tcW w:w="2694" w:type="dxa"/>
            <w:gridSpan w:val="2"/>
          </w:tcPr>
          <w:p w:rsidR="00B54742" w:rsidRPr="00B74566" w:rsidRDefault="00B54742" w:rsidP="002148E5">
            <w:pPr>
              <w:keepNext/>
              <w:spacing w:before="0" w:after="0"/>
              <w:ind w:left="-108"/>
              <w:rPr>
                <w:rFonts w:ascii="Arial Narrow" w:hAnsi="Arial Narrow"/>
                <w:sz w:val="20"/>
              </w:rPr>
            </w:pPr>
            <w:r w:rsidRPr="00B74566">
              <w:rPr>
                <w:rFonts w:ascii="Arial Narrow" w:hAnsi="Arial Narrow"/>
                <w:smallCaps/>
                <w:sz w:val="20"/>
              </w:rPr>
              <w:t>NIVOLUMAB</w:t>
            </w:r>
          </w:p>
          <w:p w:rsidR="00B54742" w:rsidRDefault="00B54742" w:rsidP="002148E5">
            <w:pPr>
              <w:keepNext/>
              <w:spacing w:before="0" w:after="0"/>
              <w:ind w:left="-108"/>
              <w:rPr>
                <w:rFonts w:ascii="Arial Narrow" w:hAnsi="Arial Narrow"/>
                <w:sz w:val="20"/>
              </w:rPr>
            </w:pPr>
            <w:r w:rsidRPr="00B74566">
              <w:rPr>
                <w:rFonts w:ascii="Arial Narrow" w:hAnsi="Arial Narrow"/>
                <w:sz w:val="20"/>
              </w:rPr>
              <w:t>nivolumab 40 mg/4 mL injection, 1 x 4 mL vial</w:t>
            </w:r>
          </w:p>
          <w:p w:rsidR="00B54742" w:rsidRPr="00B74566" w:rsidRDefault="00B54742" w:rsidP="002148E5">
            <w:pPr>
              <w:keepNext/>
              <w:spacing w:before="0" w:after="0"/>
              <w:ind w:left="-108"/>
              <w:rPr>
                <w:rFonts w:ascii="Arial Narrow" w:hAnsi="Arial Narrow"/>
                <w:sz w:val="20"/>
              </w:rPr>
            </w:pPr>
          </w:p>
          <w:p w:rsidR="00B54742" w:rsidRPr="00B74566" w:rsidRDefault="00B54742" w:rsidP="002148E5">
            <w:pPr>
              <w:keepNext/>
              <w:spacing w:before="0" w:after="0"/>
              <w:ind w:left="-108"/>
              <w:rPr>
                <w:rFonts w:ascii="Arial Narrow" w:hAnsi="Arial Narrow"/>
                <w:sz w:val="20"/>
              </w:rPr>
            </w:pPr>
            <w:r w:rsidRPr="00B74566">
              <w:rPr>
                <w:rFonts w:ascii="Arial Narrow" w:hAnsi="Arial Narrow"/>
                <w:sz w:val="20"/>
              </w:rPr>
              <w:t>nivolumab 100 mg/10 mL injection, 1 x 10 mL vial</w:t>
            </w:r>
          </w:p>
        </w:tc>
        <w:tc>
          <w:tcPr>
            <w:tcW w:w="992" w:type="dxa"/>
          </w:tcPr>
          <w:p w:rsidR="00B54742" w:rsidRPr="00B74566" w:rsidRDefault="00B54742" w:rsidP="002148E5">
            <w:pPr>
              <w:keepNext/>
              <w:spacing w:before="0" w:after="0"/>
              <w:ind w:left="-108"/>
              <w:rPr>
                <w:rFonts w:ascii="Arial Narrow" w:hAnsi="Arial Narrow"/>
                <w:sz w:val="20"/>
              </w:rPr>
            </w:pPr>
          </w:p>
          <w:p w:rsidR="00B54742" w:rsidRDefault="00B54742" w:rsidP="002148E5">
            <w:pPr>
              <w:keepNext/>
              <w:spacing w:before="0" w:after="0"/>
              <w:ind w:left="-108"/>
              <w:jc w:val="center"/>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p w:rsidR="00B54742" w:rsidRDefault="00B54742" w:rsidP="002148E5">
            <w:pPr>
              <w:keepNext/>
              <w:spacing w:before="0" w:after="0"/>
              <w:ind w:left="-108"/>
              <w:jc w:val="center"/>
              <w:rPr>
                <w:rFonts w:ascii="Arial Narrow" w:hAnsi="Arial Narrow"/>
                <w:sz w:val="20"/>
              </w:rPr>
            </w:pPr>
            <w:r>
              <w:rPr>
                <w:rFonts w:ascii="Arial Narrow" w:hAnsi="Arial Narrow"/>
                <w:sz w:val="20"/>
              </w:rPr>
              <w:br/>
            </w:r>
          </w:p>
          <w:p w:rsidR="00B54742" w:rsidRPr="00B74566" w:rsidRDefault="00B54742" w:rsidP="002148E5">
            <w:pPr>
              <w:keepNext/>
              <w:spacing w:before="0" w:after="0"/>
              <w:ind w:left="-108"/>
              <w:jc w:val="center"/>
              <w:rPr>
                <w:rFonts w:ascii="Arial Narrow" w:hAnsi="Arial Narrow"/>
                <w:sz w:val="20"/>
              </w:rPr>
            </w:pPr>
            <w:r w:rsidRPr="00B74566">
              <w:rPr>
                <w:rFonts w:ascii="Arial Narrow" w:hAnsi="Arial Narrow"/>
                <w:sz w:val="20"/>
              </w:rPr>
              <w:t>360</w:t>
            </w:r>
            <w:r>
              <w:rPr>
                <w:rFonts w:ascii="Arial Narrow" w:hAnsi="Arial Narrow"/>
                <w:sz w:val="20"/>
              </w:rPr>
              <w:t> </w:t>
            </w:r>
            <w:r w:rsidRPr="00B74566">
              <w:rPr>
                <w:rFonts w:ascii="Arial Narrow" w:hAnsi="Arial Narrow"/>
                <w:sz w:val="20"/>
              </w:rPr>
              <w:t>mg</w:t>
            </w:r>
          </w:p>
        </w:tc>
        <w:tc>
          <w:tcPr>
            <w:tcW w:w="567" w:type="dxa"/>
          </w:tcPr>
          <w:p w:rsidR="00B54742" w:rsidRPr="00526F73" w:rsidRDefault="00B54742" w:rsidP="002148E5">
            <w:pPr>
              <w:keepNext/>
              <w:spacing w:before="0" w:after="0"/>
              <w:ind w:left="-108"/>
              <w:rPr>
                <w:rFonts w:ascii="Arial Narrow" w:hAnsi="Arial Narrow"/>
                <w:strike/>
                <w:sz w:val="20"/>
              </w:rPr>
            </w:pPr>
          </w:p>
          <w:p w:rsidR="00B54742" w:rsidRDefault="00B54742" w:rsidP="002148E5">
            <w:pPr>
              <w:keepNext/>
              <w:spacing w:before="0" w:after="0"/>
              <w:ind w:left="-108"/>
              <w:jc w:val="center"/>
              <w:rPr>
                <w:rFonts w:ascii="Arial Narrow" w:hAnsi="Arial Narrow"/>
                <w:sz w:val="20"/>
              </w:rPr>
            </w:pPr>
            <w:r>
              <w:rPr>
                <w:rFonts w:ascii="Arial Narrow" w:hAnsi="Arial Narrow"/>
                <w:sz w:val="20"/>
              </w:rPr>
              <w:t>11</w:t>
            </w:r>
          </w:p>
          <w:p w:rsidR="00B54742" w:rsidRDefault="00B54742" w:rsidP="002148E5">
            <w:pPr>
              <w:keepNext/>
              <w:spacing w:before="0" w:after="0"/>
              <w:ind w:left="-108"/>
              <w:jc w:val="center"/>
              <w:rPr>
                <w:rFonts w:ascii="Arial Narrow" w:hAnsi="Arial Narrow"/>
                <w:sz w:val="20"/>
              </w:rPr>
            </w:pPr>
            <w:r>
              <w:rPr>
                <w:rFonts w:ascii="Arial Narrow" w:hAnsi="Arial Narrow"/>
                <w:sz w:val="20"/>
              </w:rPr>
              <w:br/>
            </w:r>
          </w:p>
          <w:p w:rsidR="00B54742" w:rsidRPr="00C84C78" w:rsidRDefault="00B54742" w:rsidP="002148E5">
            <w:pPr>
              <w:keepNext/>
              <w:spacing w:before="0" w:after="0"/>
              <w:ind w:left="-108"/>
              <w:jc w:val="center"/>
              <w:rPr>
                <w:rFonts w:ascii="Arial Narrow" w:hAnsi="Arial Narrow"/>
                <w:i/>
                <w:sz w:val="20"/>
              </w:rPr>
            </w:pPr>
            <w:r>
              <w:rPr>
                <w:rFonts w:ascii="Arial Narrow" w:hAnsi="Arial Narrow"/>
                <w:sz w:val="20"/>
              </w:rPr>
              <w:t>11</w:t>
            </w:r>
          </w:p>
        </w:tc>
        <w:tc>
          <w:tcPr>
            <w:tcW w:w="2268" w:type="dxa"/>
          </w:tcPr>
          <w:p w:rsidR="00B54742" w:rsidRPr="00B74566" w:rsidRDefault="00B54742" w:rsidP="002148E5">
            <w:pPr>
              <w:keepNext/>
              <w:spacing w:before="0" w:after="0"/>
              <w:ind w:left="-108"/>
              <w:rPr>
                <w:rFonts w:ascii="Arial Narrow" w:hAnsi="Arial Narrow"/>
                <w:sz w:val="20"/>
              </w:rPr>
            </w:pPr>
          </w:p>
          <w:p w:rsidR="00B54742" w:rsidRDefault="00B54742" w:rsidP="002148E5">
            <w:pPr>
              <w:keepNext/>
              <w:spacing w:before="0" w:after="0"/>
              <w:ind w:left="-108"/>
              <w:rPr>
                <w:rFonts w:ascii="Arial Narrow" w:hAnsi="Arial Narrow"/>
                <w:sz w:val="20"/>
              </w:rPr>
            </w:pPr>
            <w:r w:rsidRPr="00F15216">
              <w:rPr>
                <w:rFonts w:ascii="Arial Narrow" w:hAnsi="Arial Narrow"/>
                <w:sz w:val="20"/>
              </w:rPr>
              <w:t>$</w:t>
            </w:r>
            <w:r w:rsidRPr="0076511A">
              <w:rPr>
                <w:rFonts w:ascii="Arial Narrow" w:hAnsi="Arial Narrow"/>
                <w:sz w:val="20"/>
              </w:rPr>
              <w:t>7560.13</w:t>
            </w:r>
            <w:r>
              <w:rPr>
                <w:rFonts w:ascii="Arial Narrow" w:hAnsi="Arial Narrow"/>
                <w:sz w:val="20"/>
              </w:rPr>
              <w:t xml:space="preserve"> (Public, published)</w:t>
            </w:r>
          </w:p>
          <w:p w:rsidR="00B54742" w:rsidRDefault="00B54742" w:rsidP="002148E5">
            <w:pPr>
              <w:keepNext/>
              <w:spacing w:before="0" w:after="0"/>
              <w:ind w:left="-108"/>
              <w:rPr>
                <w:rFonts w:ascii="Arial Narrow" w:hAnsi="Arial Narrow"/>
                <w:sz w:val="20"/>
              </w:rPr>
            </w:pPr>
            <w:r w:rsidRPr="00F15216">
              <w:rPr>
                <w:rFonts w:ascii="Arial Narrow" w:hAnsi="Arial Narrow"/>
                <w:sz w:val="20"/>
              </w:rPr>
              <w:t>$</w:t>
            </w:r>
            <w:r w:rsidR="00A024C2">
              <w:rPr>
                <w:rFonts w:ascii="Arial Narrow" w:hAnsi="Arial Narrow"/>
                <w:noProof/>
                <w:color w:val="000000"/>
                <w:sz w:val="20"/>
                <w:highlight w:val="black"/>
              </w:rPr>
              <w:t>'''''''''''''''''''</w:t>
            </w:r>
            <w:r>
              <w:rPr>
                <w:rFonts w:ascii="Arial Narrow" w:hAnsi="Arial Narrow"/>
                <w:sz w:val="20"/>
              </w:rPr>
              <w:t xml:space="preserve"> (Public, effective)</w:t>
            </w:r>
          </w:p>
          <w:p w:rsidR="00B54742" w:rsidRDefault="00B54742" w:rsidP="002148E5">
            <w:pPr>
              <w:keepNext/>
              <w:spacing w:before="0" w:after="0"/>
              <w:ind w:left="-108"/>
              <w:rPr>
                <w:rFonts w:ascii="Arial Narrow" w:hAnsi="Arial Narrow"/>
                <w:sz w:val="20"/>
              </w:rPr>
            </w:pPr>
          </w:p>
          <w:p w:rsidR="00B54742" w:rsidRDefault="00B54742" w:rsidP="002148E5">
            <w:pPr>
              <w:keepNext/>
              <w:spacing w:before="0" w:after="0"/>
              <w:ind w:left="-108"/>
              <w:rPr>
                <w:rFonts w:ascii="Arial Narrow" w:hAnsi="Arial Narrow"/>
                <w:sz w:val="20"/>
              </w:rPr>
            </w:pPr>
            <w:r w:rsidRPr="00F15216">
              <w:rPr>
                <w:rFonts w:ascii="Arial Narrow" w:hAnsi="Arial Narrow"/>
                <w:sz w:val="20"/>
              </w:rPr>
              <w:t>$</w:t>
            </w:r>
            <w:r w:rsidRPr="0076511A">
              <w:rPr>
                <w:rFonts w:ascii="Arial Narrow" w:hAnsi="Arial Narrow"/>
                <w:sz w:val="20"/>
              </w:rPr>
              <w:t>7703.43</w:t>
            </w:r>
            <w:r>
              <w:rPr>
                <w:rFonts w:ascii="Arial Narrow" w:hAnsi="Arial Narrow"/>
                <w:sz w:val="20"/>
              </w:rPr>
              <w:t xml:space="preserve"> (Private, published) </w:t>
            </w:r>
            <w:r w:rsidRPr="00F15216">
              <w:rPr>
                <w:rFonts w:ascii="Arial Narrow" w:hAnsi="Arial Narrow"/>
                <w:sz w:val="20"/>
              </w:rPr>
              <w:t>$</w:t>
            </w:r>
            <w:r w:rsidR="00A024C2">
              <w:rPr>
                <w:rFonts w:ascii="Arial Narrow" w:hAnsi="Arial Narrow"/>
                <w:noProof/>
                <w:color w:val="000000"/>
                <w:sz w:val="20"/>
                <w:highlight w:val="black"/>
              </w:rPr>
              <w:t>''''''''''''''''''''</w:t>
            </w:r>
            <w:r>
              <w:rPr>
                <w:rFonts w:ascii="Arial Narrow" w:hAnsi="Arial Narrow"/>
                <w:sz w:val="20"/>
              </w:rPr>
              <w:t>(Private, effective)</w:t>
            </w:r>
          </w:p>
          <w:p w:rsidR="00B54742" w:rsidRPr="00B74566" w:rsidRDefault="00B54742" w:rsidP="002148E5">
            <w:pPr>
              <w:keepNext/>
              <w:spacing w:before="0" w:after="0"/>
              <w:ind w:left="-108"/>
              <w:rPr>
                <w:rFonts w:ascii="Arial Narrow" w:hAnsi="Arial Narrow"/>
                <w:sz w:val="20"/>
              </w:rPr>
            </w:pPr>
          </w:p>
        </w:tc>
        <w:tc>
          <w:tcPr>
            <w:tcW w:w="1276" w:type="dxa"/>
            <w:vAlign w:val="center"/>
          </w:tcPr>
          <w:p w:rsidR="00B54742" w:rsidRPr="00B74566" w:rsidRDefault="00B54742" w:rsidP="002148E5">
            <w:pPr>
              <w:keepNext/>
              <w:spacing w:before="0" w:after="0"/>
              <w:jc w:val="center"/>
              <w:rPr>
                <w:rFonts w:ascii="Arial Narrow" w:hAnsi="Arial Narrow"/>
                <w:sz w:val="20"/>
              </w:rPr>
            </w:pPr>
            <w:r w:rsidRPr="00B74566">
              <w:rPr>
                <w:rFonts w:ascii="Arial Narrow" w:hAnsi="Arial Narrow"/>
                <w:sz w:val="20"/>
              </w:rPr>
              <w:t>Opdivo</w:t>
            </w:r>
          </w:p>
        </w:tc>
        <w:tc>
          <w:tcPr>
            <w:tcW w:w="850" w:type="dxa"/>
            <w:vAlign w:val="center"/>
          </w:tcPr>
          <w:p w:rsidR="00B54742" w:rsidRPr="00B74566" w:rsidRDefault="00B54742" w:rsidP="002148E5">
            <w:pPr>
              <w:keepNext/>
              <w:spacing w:before="0" w:after="0"/>
              <w:jc w:val="center"/>
              <w:rPr>
                <w:rFonts w:ascii="Arial Narrow" w:hAnsi="Arial Narrow"/>
                <w:sz w:val="20"/>
              </w:rPr>
            </w:pPr>
            <w:r>
              <w:rPr>
                <w:rFonts w:ascii="Arial Narrow" w:hAnsi="Arial Narrow"/>
                <w:sz w:val="20"/>
              </w:rPr>
              <w:t>Bristol Myers Squibb Pty Ltd.</w:t>
            </w:r>
          </w:p>
        </w:tc>
      </w:tr>
      <w:tr w:rsidR="00B54742" w:rsidRPr="00F15216" w:rsidTr="002148E5">
        <w:tblPrEx>
          <w:tblLook w:val="04A0" w:firstRow="1" w:lastRow="0" w:firstColumn="1" w:lastColumn="0" w:noHBand="0" w:noVBand="1"/>
        </w:tblPrEx>
        <w:trPr>
          <w:cantSplit/>
          <w:trHeight w:val="110"/>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Category / Program</w:t>
            </w:r>
            <w:r>
              <w:rPr>
                <w:rFonts w:ascii="Arial Narrow" w:hAnsi="Arial Narrow"/>
                <w:b/>
                <w:color w:val="000000" w:themeColor="text1"/>
                <w:sz w:val="20"/>
                <w:lang w:eastAsia="en-AU"/>
              </w:rPr>
              <w:t>:</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t>Section 100 - Efficient funding of Chemotherapy</w:t>
            </w:r>
          </w:p>
        </w:tc>
      </w:tr>
      <w:tr w:rsidR="00B54742" w:rsidRPr="00F15216" w:rsidTr="002148E5">
        <w:tblPrEx>
          <w:tblLook w:val="04A0" w:firstRow="1" w:lastRow="0" w:firstColumn="1" w:lastColumn="0" w:noHBand="0" w:noVBand="1"/>
        </w:tblPrEx>
        <w:trPr>
          <w:cantSplit/>
          <w:trHeight w:val="58"/>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Prescriber type</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t>Medical Practitioners</w:t>
            </w:r>
          </w:p>
        </w:tc>
      </w:tr>
      <w:tr w:rsidR="00B54742" w:rsidRPr="00F15216" w:rsidTr="002148E5">
        <w:tblPrEx>
          <w:tblLook w:val="04A0" w:firstRow="1" w:lastRow="0" w:firstColumn="1" w:lastColumn="0" w:noHBand="0" w:noVBand="1"/>
        </w:tblPrEx>
        <w:trPr>
          <w:cantSplit/>
          <w:trHeight w:val="58"/>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Severity:</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t>Recurrent or metastatic</w:t>
            </w:r>
          </w:p>
        </w:tc>
      </w:tr>
      <w:tr w:rsidR="00B54742" w:rsidRPr="00F15216" w:rsidTr="002148E5">
        <w:tblPrEx>
          <w:tblLook w:val="04A0" w:firstRow="1" w:lastRow="0" w:firstColumn="1" w:lastColumn="0" w:noHBand="0" w:noVBand="1"/>
        </w:tblPrEx>
        <w:trPr>
          <w:cantSplit/>
          <w:trHeight w:val="91"/>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Condition:</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t>Squamous cell carcinoma of the oral cavity, pharynx or larynx</w:t>
            </w:r>
          </w:p>
        </w:tc>
      </w:tr>
      <w:tr w:rsidR="00B54742" w:rsidRPr="00F15216" w:rsidTr="002148E5">
        <w:tblPrEx>
          <w:tblLook w:val="04A0" w:firstRow="1" w:lastRow="0" w:firstColumn="1" w:lastColumn="0" w:noHBand="0" w:noVBand="1"/>
        </w:tblPrEx>
        <w:trPr>
          <w:cantSplit/>
          <w:trHeight w:val="58"/>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PBS Indication:</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t>Recurrent or metastatic squamous cell carcinoma of the oral cavity, pharynx or larynx</w:t>
            </w:r>
          </w:p>
        </w:tc>
      </w:tr>
      <w:tr w:rsidR="00B54742" w:rsidRPr="00F15216" w:rsidTr="002148E5">
        <w:tblPrEx>
          <w:tblLook w:val="04A0" w:firstRow="1" w:lastRow="0" w:firstColumn="1" w:lastColumn="0" w:noHBand="0" w:noVBand="1"/>
        </w:tblPrEx>
        <w:trPr>
          <w:cantSplit/>
          <w:trHeight w:val="58"/>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Treatment phase:</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t>Continuing treatment</w:t>
            </w:r>
          </w:p>
        </w:tc>
      </w:tr>
      <w:tr w:rsidR="00B54742" w:rsidRPr="00F15216" w:rsidTr="002148E5">
        <w:tblPrEx>
          <w:tblLook w:val="04A0" w:firstRow="1" w:lastRow="0" w:firstColumn="1" w:lastColumn="0" w:noHBand="0" w:noVBand="1"/>
        </w:tblPrEx>
        <w:trPr>
          <w:cantSplit/>
          <w:trHeight w:val="360"/>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Restriction Level / Method:</w:t>
            </w:r>
          </w:p>
        </w:tc>
        <w:tc>
          <w:tcPr>
            <w:tcW w:w="6634" w:type="dxa"/>
            <w:gridSpan w:val="6"/>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sz w:val="20"/>
              </w:rPr>
            </w:pPr>
            <w:r w:rsidRPr="00F15216">
              <w:rPr>
                <w:rFonts w:ascii="Arial Narrow" w:hAnsi="Arial Narrow"/>
                <w:sz w:val="20"/>
              </w:rPr>
              <w:fldChar w:fldCharType="begin">
                <w:ffData>
                  <w:name w:val="Check1"/>
                  <w:enabled/>
                  <w:calcOnExit w:val="0"/>
                  <w:checkBox>
                    <w:sizeAuto/>
                    <w:default w:val="0"/>
                  </w:checkBox>
                </w:ffData>
              </w:fldChar>
            </w:r>
            <w:r w:rsidRPr="00F1521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Restricted benefit</w:t>
            </w:r>
          </w:p>
          <w:p w:rsidR="00B54742" w:rsidRPr="00F15216" w:rsidRDefault="00B54742" w:rsidP="002148E5">
            <w:pPr>
              <w:spacing w:before="0" w:after="0"/>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In Writing</w:t>
            </w:r>
          </w:p>
          <w:p w:rsidR="00B54742" w:rsidRPr="00F15216" w:rsidRDefault="00B54742" w:rsidP="002148E5">
            <w:pPr>
              <w:spacing w:before="0" w:after="0"/>
              <w:rPr>
                <w:rFonts w:ascii="Arial Narrow" w:hAnsi="Arial Narrow"/>
                <w:sz w:val="20"/>
              </w:rPr>
            </w:pPr>
            <w:r w:rsidRPr="00F15216">
              <w:rPr>
                <w:rFonts w:ascii="Arial Narrow" w:hAnsi="Arial Narrow"/>
                <w:sz w:val="20"/>
              </w:rPr>
              <w:fldChar w:fldCharType="begin">
                <w:ffData>
                  <w:name w:val="Check3"/>
                  <w:enabled/>
                  <w:calcOnExit w:val="0"/>
                  <w:checkBox>
                    <w:sizeAuto/>
                    <w:default w:val="0"/>
                  </w:checkBox>
                </w:ffData>
              </w:fldChar>
            </w:r>
            <w:r w:rsidRPr="00F1521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Telephone</w:t>
            </w:r>
          </w:p>
          <w:p w:rsidR="00B54742" w:rsidRPr="00F15216" w:rsidRDefault="00B54742" w:rsidP="002148E5">
            <w:pPr>
              <w:spacing w:before="0" w:after="0"/>
              <w:rPr>
                <w:rFonts w:ascii="Arial Narrow" w:hAnsi="Arial Narrow"/>
                <w:sz w:val="20"/>
              </w:rPr>
            </w:pPr>
            <w:r w:rsidRPr="00F15216">
              <w:rPr>
                <w:rFonts w:ascii="Arial Narrow" w:hAnsi="Arial Narrow"/>
                <w:sz w:val="20"/>
              </w:rPr>
              <w:fldChar w:fldCharType="begin">
                <w:ffData>
                  <w:name w:val=""/>
                  <w:enabled/>
                  <w:calcOnExit w:val="0"/>
                  <w:checkBox>
                    <w:sizeAuto/>
                    <w:default w:val="0"/>
                  </w:checkBox>
                </w:ffData>
              </w:fldChar>
            </w:r>
            <w:r w:rsidRPr="00F1521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Emergency</w:t>
            </w:r>
          </w:p>
          <w:p w:rsidR="00B54742" w:rsidRPr="00F15216" w:rsidRDefault="00B54742" w:rsidP="002148E5">
            <w:pPr>
              <w:spacing w:before="0" w:after="0"/>
              <w:rPr>
                <w:rFonts w:ascii="Arial Narrow" w:hAnsi="Arial Narrow"/>
                <w:sz w:val="20"/>
              </w:rPr>
            </w:pPr>
            <w:r w:rsidRPr="00F15216">
              <w:rPr>
                <w:rFonts w:ascii="Arial Narrow" w:hAnsi="Arial Narrow"/>
                <w:sz w:val="20"/>
              </w:rPr>
              <w:fldChar w:fldCharType="begin">
                <w:ffData>
                  <w:name w:val="Check5"/>
                  <w:enabled/>
                  <w:calcOnExit w:val="0"/>
                  <w:checkBox>
                    <w:sizeAuto/>
                    <w:default w:val="0"/>
                  </w:checkBox>
                </w:ffData>
              </w:fldChar>
            </w:r>
            <w:r w:rsidRPr="00F1521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Authority Required - Electronic</w:t>
            </w:r>
          </w:p>
          <w:p w:rsidR="00B54742" w:rsidRPr="00F15216" w:rsidRDefault="00B54742" w:rsidP="002148E5">
            <w:pPr>
              <w:spacing w:before="0" w:after="0"/>
              <w:rPr>
                <w:rFonts w:ascii="Arial Narrow" w:hAnsi="Arial Narrow"/>
                <w:sz w:val="20"/>
              </w:rPr>
            </w:pPr>
            <w:r w:rsidRPr="00F15216">
              <w:rPr>
                <w:rFonts w:ascii="Arial Narrow" w:hAnsi="Arial Narrow"/>
                <w:sz w:val="20"/>
              </w:rPr>
              <w:fldChar w:fldCharType="begin">
                <w:ffData>
                  <w:name w:val="Check5"/>
                  <w:enabled/>
                  <w:calcOnExit w:val="0"/>
                  <w:checkBox>
                    <w:sizeAuto/>
                    <w:default w:val="1"/>
                  </w:checkBox>
                </w:ffData>
              </w:fldChar>
            </w:r>
            <w:r w:rsidRPr="00F15216">
              <w:rPr>
                <w:rFonts w:ascii="Arial Narrow" w:hAnsi="Arial Narrow"/>
                <w:sz w:val="20"/>
              </w:rPr>
              <w:instrText xml:space="preserve"> FORMCHECKBOX </w:instrText>
            </w:r>
            <w:r w:rsidR="00A024C2">
              <w:rPr>
                <w:rFonts w:ascii="Arial Narrow" w:hAnsi="Arial Narrow"/>
                <w:sz w:val="20"/>
              </w:rPr>
            </w:r>
            <w:r w:rsidR="00A024C2">
              <w:rPr>
                <w:rFonts w:ascii="Arial Narrow" w:hAnsi="Arial Narrow"/>
                <w:sz w:val="20"/>
              </w:rPr>
              <w:fldChar w:fldCharType="separate"/>
            </w:r>
            <w:r w:rsidRPr="00F15216">
              <w:rPr>
                <w:rFonts w:ascii="Arial Narrow" w:hAnsi="Arial Narrow"/>
                <w:sz w:val="20"/>
              </w:rPr>
              <w:fldChar w:fldCharType="end"/>
            </w:r>
            <w:r w:rsidRPr="00F15216">
              <w:rPr>
                <w:rFonts w:ascii="Arial Narrow" w:hAnsi="Arial Narrow"/>
                <w:sz w:val="20"/>
              </w:rPr>
              <w:t>Streamlined</w:t>
            </w:r>
          </w:p>
        </w:tc>
      </w:tr>
      <w:tr w:rsidR="00B54742" w:rsidRPr="00F15216" w:rsidTr="002148E5">
        <w:tblPrEx>
          <w:tblLook w:val="04A0" w:firstRow="1" w:lastRow="0" w:firstColumn="1" w:lastColumn="0" w:noHBand="0" w:noVBand="1"/>
        </w:tblPrEx>
        <w:trPr>
          <w:cantSplit/>
          <w:trHeight w:val="426"/>
        </w:trPr>
        <w:tc>
          <w:tcPr>
            <w:tcW w:w="2013" w:type="dxa"/>
            <w:tcBorders>
              <w:top w:val="single" w:sz="4" w:space="0" w:color="auto"/>
              <w:left w:val="single" w:sz="4" w:space="0" w:color="auto"/>
              <w:bottom w:val="single" w:sz="4" w:space="0" w:color="auto"/>
              <w:right w:val="single" w:sz="4" w:space="0" w:color="auto"/>
            </w:tcBorders>
            <w:hideMark/>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Clinical criteria:</w:t>
            </w:r>
          </w:p>
        </w:tc>
        <w:tc>
          <w:tcPr>
            <w:tcW w:w="6634" w:type="dxa"/>
            <w:gridSpan w:val="6"/>
            <w:tcBorders>
              <w:top w:val="single" w:sz="4" w:space="0" w:color="auto"/>
              <w:left w:val="single" w:sz="4" w:space="0" w:color="auto"/>
              <w:bottom w:val="single" w:sz="4" w:space="0" w:color="auto"/>
              <w:right w:val="single" w:sz="4" w:space="0" w:color="auto"/>
            </w:tcBorders>
          </w:tcPr>
          <w:p w:rsidR="00B54742" w:rsidRPr="00F15216" w:rsidRDefault="00B54742" w:rsidP="002148E5">
            <w:pPr>
              <w:spacing w:before="0" w:after="0"/>
              <w:rPr>
                <w:rFonts w:ascii="Arial Narrow" w:hAnsi="Arial Narrow"/>
                <w:sz w:val="20"/>
              </w:rPr>
            </w:pPr>
            <w:r w:rsidRPr="00F15216">
              <w:rPr>
                <w:rFonts w:ascii="Arial Narrow" w:hAnsi="Arial Narrow"/>
                <w:sz w:val="20"/>
              </w:rPr>
              <w:t>Patient must have previously been issued with an authority prescription for this drug for this condition</w:t>
            </w:r>
          </w:p>
          <w:p w:rsidR="00B54742" w:rsidRPr="00F15216" w:rsidRDefault="00B54742" w:rsidP="002148E5">
            <w:pPr>
              <w:spacing w:before="0" w:after="0"/>
              <w:rPr>
                <w:rFonts w:ascii="Arial Narrow" w:hAnsi="Arial Narrow"/>
                <w:sz w:val="20"/>
              </w:rPr>
            </w:pPr>
            <w:r w:rsidRPr="00F15216">
              <w:rPr>
                <w:rFonts w:ascii="Arial Narrow" w:hAnsi="Arial Narrow"/>
                <w:sz w:val="20"/>
              </w:rPr>
              <w:t>AND</w:t>
            </w:r>
          </w:p>
          <w:p w:rsidR="00B54742" w:rsidRPr="00F15216" w:rsidRDefault="00B54742" w:rsidP="002148E5">
            <w:pPr>
              <w:spacing w:before="0" w:after="0"/>
              <w:rPr>
                <w:rFonts w:ascii="Arial Narrow" w:hAnsi="Arial Narrow"/>
                <w:sz w:val="20"/>
              </w:rPr>
            </w:pPr>
            <w:r w:rsidRPr="00F15216">
              <w:rPr>
                <w:rFonts w:ascii="Arial Narrow" w:hAnsi="Arial Narrow"/>
                <w:sz w:val="20"/>
              </w:rPr>
              <w:t>Patient must have stable or responding disease</w:t>
            </w:r>
          </w:p>
          <w:p w:rsidR="00B54742" w:rsidRPr="00F15216" w:rsidRDefault="00B54742" w:rsidP="002148E5">
            <w:pPr>
              <w:spacing w:before="0" w:after="0"/>
              <w:rPr>
                <w:rFonts w:ascii="Arial Narrow" w:hAnsi="Arial Narrow"/>
                <w:sz w:val="20"/>
              </w:rPr>
            </w:pPr>
            <w:r w:rsidRPr="00F15216">
              <w:rPr>
                <w:rFonts w:ascii="Arial Narrow" w:hAnsi="Arial Narrow"/>
                <w:sz w:val="20"/>
              </w:rPr>
              <w:t>AND</w:t>
            </w:r>
          </w:p>
          <w:p w:rsidR="00B54742" w:rsidRPr="00C5572D" w:rsidRDefault="00B54742" w:rsidP="002148E5">
            <w:pPr>
              <w:spacing w:before="0" w:after="0"/>
              <w:rPr>
                <w:rFonts w:ascii="Arial Narrow" w:hAnsi="Arial Narrow"/>
                <w:i/>
                <w:sz w:val="20"/>
              </w:rPr>
            </w:pPr>
            <w:r w:rsidRPr="00F15216">
              <w:rPr>
                <w:rFonts w:ascii="Arial Narrow" w:hAnsi="Arial Narrow"/>
                <w:sz w:val="20"/>
              </w:rPr>
              <w:t>The treatment must be the sole PBS-subsidised therapy for this condition</w:t>
            </w:r>
          </w:p>
        </w:tc>
      </w:tr>
      <w:tr w:rsidR="00B54742" w:rsidRPr="00F15216" w:rsidTr="002148E5">
        <w:tblPrEx>
          <w:tblLook w:val="04A0" w:firstRow="1" w:lastRow="0" w:firstColumn="1" w:lastColumn="0" w:noHBand="0" w:noVBand="1"/>
        </w:tblPrEx>
        <w:trPr>
          <w:cantSplit/>
          <w:trHeight w:val="408"/>
        </w:trPr>
        <w:tc>
          <w:tcPr>
            <w:tcW w:w="2013" w:type="dxa"/>
            <w:tcBorders>
              <w:top w:val="single" w:sz="4" w:space="0" w:color="auto"/>
              <w:left w:val="single" w:sz="4" w:space="0" w:color="auto"/>
              <w:bottom w:val="single" w:sz="4" w:space="0" w:color="auto"/>
              <w:right w:val="single" w:sz="4" w:space="0" w:color="auto"/>
            </w:tcBorders>
            <w:vAlign w:val="center"/>
          </w:tcPr>
          <w:p w:rsidR="00B54742" w:rsidRPr="00F15216" w:rsidRDefault="00B54742" w:rsidP="002148E5">
            <w:pPr>
              <w:spacing w:before="0" w:after="0"/>
              <w:rPr>
                <w:rFonts w:ascii="Arial Narrow" w:hAnsi="Arial Narrow"/>
                <w:b/>
                <w:color w:val="000000" w:themeColor="text1"/>
                <w:sz w:val="20"/>
                <w:lang w:eastAsia="en-AU"/>
              </w:rPr>
            </w:pPr>
            <w:r w:rsidRPr="00F15216">
              <w:rPr>
                <w:rFonts w:ascii="Arial Narrow" w:hAnsi="Arial Narrow"/>
                <w:b/>
                <w:color w:val="000000" w:themeColor="text1"/>
                <w:sz w:val="20"/>
                <w:lang w:eastAsia="en-AU"/>
              </w:rPr>
              <w:t>Administrative Advice</w:t>
            </w:r>
          </w:p>
        </w:tc>
        <w:tc>
          <w:tcPr>
            <w:tcW w:w="6634" w:type="dxa"/>
            <w:gridSpan w:val="6"/>
            <w:tcBorders>
              <w:top w:val="single" w:sz="4" w:space="0" w:color="auto"/>
              <w:left w:val="single" w:sz="4" w:space="0" w:color="auto"/>
              <w:bottom w:val="single" w:sz="4" w:space="0" w:color="auto"/>
              <w:right w:val="single" w:sz="4" w:space="0" w:color="auto"/>
            </w:tcBorders>
            <w:vAlign w:val="center"/>
          </w:tcPr>
          <w:p w:rsidR="00B54742" w:rsidRDefault="00B54742" w:rsidP="002148E5">
            <w:pPr>
              <w:spacing w:before="0" w:after="0"/>
              <w:rPr>
                <w:rFonts w:ascii="Arial Narrow" w:hAnsi="Arial Narrow"/>
                <w:color w:val="000000" w:themeColor="text1"/>
                <w:sz w:val="20"/>
                <w:lang w:eastAsia="en-AU"/>
              </w:rPr>
            </w:pPr>
            <w:r w:rsidRPr="00F15216">
              <w:rPr>
                <w:rFonts w:ascii="Arial Narrow" w:hAnsi="Arial Narrow"/>
                <w:color w:val="000000" w:themeColor="text1"/>
                <w:sz w:val="20"/>
              </w:rPr>
              <w:t>No increase in the maximum number of repeats may be authorised.</w:t>
            </w:r>
            <w:r w:rsidRPr="00F15216">
              <w:rPr>
                <w:rFonts w:ascii="Arial Narrow" w:hAnsi="Arial Narrow"/>
                <w:color w:val="000000" w:themeColor="text1"/>
                <w:sz w:val="20"/>
                <w:lang w:eastAsia="en-AU"/>
              </w:rPr>
              <w:t xml:space="preserve"> </w:t>
            </w:r>
          </w:p>
          <w:p w:rsidR="00B54742" w:rsidRPr="00F15216" w:rsidRDefault="00B54742" w:rsidP="002148E5">
            <w:pPr>
              <w:spacing w:before="0" w:after="0"/>
              <w:rPr>
                <w:rFonts w:ascii="Arial Narrow" w:hAnsi="Arial Narrow" w:cs="Times New Roman"/>
                <w:sz w:val="20"/>
              </w:rPr>
            </w:pPr>
            <w:r w:rsidRPr="00F15216">
              <w:rPr>
                <w:rFonts w:ascii="Arial Narrow" w:hAnsi="Arial Narrow"/>
                <w:color w:val="000000" w:themeColor="text1"/>
                <w:sz w:val="20"/>
                <w:lang w:eastAsia="en-AU"/>
              </w:rPr>
              <w:t>Special Pricing Arrangements apply.</w:t>
            </w:r>
          </w:p>
        </w:tc>
      </w:tr>
    </w:tbl>
    <w:p w:rsidR="00B54742" w:rsidRPr="002148E5" w:rsidRDefault="00B54742" w:rsidP="002148E5">
      <w:pPr>
        <w:spacing w:before="0" w:after="120"/>
        <w:jc w:val="both"/>
        <w:rPr>
          <w:rFonts w:cstheme="minorHAnsi"/>
          <w:szCs w:val="24"/>
        </w:rPr>
      </w:pPr>
    </w:p>
    <w:p w:rsidR="00E613F1" w:rsidRPr="00F67030" w:rsidRDefault="00E613F1" w:rsidP="00457C75">
      <w:pPr>
        <w:pStyle w:val="ListParagraph"/>
        <w:numPr>
          <w:ilvl w:val="1"/>
          <w:numId w:val="1"/>
        </w:numPr>
        <w:spacing w:before="0" w:after="120"/>
        <w:jc w:val="both"/>
        <w:rPr>
          <w:rFonts w:cstheme="minorHAnsi"/>
          <w:szCs w:val="24"/>
        </w:rPr>
      </w:pPr>
      <w:r w:rsidRPr="00F67030">
        <w:rPr>
          <w:rFonts w:cstheme="minorHAnsi"/>
          <w:szCs w:val="24"/>
        </w:rPr>
        <w:t>The recommended dose regimen for nivolumab is 3</w:t>
      </w:r>
      <w:r w:rsidR="00DF6E8B" w:rsidRPr="00F67030">
        <w:rPr>
          <w:rFonts w:cstheme="minorHAnsi"/>
          <w:szCs w:val="24"/>
        </w:rPr>
        <w:t> </w:t>
      </w:r>
      <w:r w:rsidRPr="00F67030">
        <w:rPr>
          <w:rFonts w:cstheme="minorHAnsi"/>
          <w:szCs w:val="24"/>
        </w:rPr>
        <w:t>mg/kg IV over 60 minutes every 2 weeks.</w:t>
      </w:r>
    </w:p>
    <w:p w:rsidR="00E613F1" w:rsidRPr="00F67030" w:rsidRDefault="00E613F1" w:rsidP="00457C75">
      <w:pPr>
        <w:pStyle w:val="ListParagraph"/>
        <w:numPr>
          <w:ilvl w:val="1"/>
          <w:numId w:val="1"/>
        </w:numPr>
        <w:jc w:val="both"/>
      </w:pPr>
      <w:r w:rsidRPr="00F67030">
        <w:t>Nivolumab is a human anti-PD-1 monoclonal antibody which binds to programmed cell death 1 receptor (PD-1) inhibiting the interaction between the PD-1 receptor and its ligands, PD-L1 and PD-L2.</w:t>
      </w:r>
    </w:p>
    <w:p w:rsidR="001F3AF0" w:rsidRPr="00F67030" w:rsidRDefault="0087530C" w:rsidP="00457C75">
      <w:pPr>
        <w:pStyle w:val="ListParagraph"/>
        <w:numPr>
          <w:ilvl w:val="1"/>
          <w:numId w:val="1"/>
        </w:numPr>
        <w:jc w:val="both"/>
      </w:pPr>
      <w:r w:rsidRPr="00F67030">
        <w:t xml:space="preserve">The clinical criteria in the proposed PBS continuing restriction states that patients must have stable or responding disease. The submission does not propose any criteria for ascertaining whether a patient has stable or responding disease (e.g. Response Evaluation Criteria In Solid Tumours (RECIST) criteria), rather leaving it to the judgment of clinicians. </w:t>
      </w:r>
      <w:r w:rsidR="001F3AF0" w:rsidRPr="00F67030">
        <w:t xml:space="preserve">The submission </w:t>
      </w:r>
      <w:r w:rsidRPr="00F67030">
        <w:t>argued</w:t>
      </w:r>
      <w:r w:rsidR="001F3AF0" w:rsidRPr="00F67030">
        <w:t xml:space="preserve"> that some </w:t>
      </w:r>
      <w:r w:rsidR="004046F8" w:rsidRPr="00F67030">
        <w:t>patients</w:t>
      </w:r>
      <w:r w:rsidR="001F3AF0" w:rsidRPr="00F67030">
        <w:t xml:space="preserve"> treated with immune system stimulating agents may develop progression of disease (by conventional response criteria) before demonstrating clinical objective responses and/or stable disease</w:t>
      </w:r>
      <w:r w:rsidR="00376722" w:rsidRPr="00F67030">
        <w:t>.</w:t>
      </w:r>
    </w:p>
    <w:p w:rsidR="00E613F1" w:rsidRDefault="00E613F1" w:rsidP="00457C75">
      <w:pPr>
        <w:pStyle w:val="ListParagraph"/>
        <w:numPr>
          <w:ilvl w:val="1"/>
          <w:numId w:val="1"/>
        </w:numPr>
        <w:jc w:val="both"/>
      </w:pPr>
      <w:r w:rsidRPr="00F67030">
        <w:t xml:space="preserve">The submission proposed an effective price for nivolumab which </w:t>
      </w:r>
      <w:r w:rsidR="00376722" w:rsidRPr="00F67030">
        <w:t>wa</w:t>
      </w:r>
      <w:r w:rsidRPr="00F67030">
        <w:t xml:space="preserve">s </w:t>
      </w:r>
      <w:r w:rsidR="00A024C2">
        <w:rPr>
          <w:noProof/>
          <w:color w:val="000000"/>
          <w:highlight w:val="black"/>
        </w:rPr>
        <w:t>'''''</w:t>
      </w:r>
      <w:r w:rsidRPr="00F67030">
        <w:t>% lower than the published price.</w:t>
      </w:r>
    </w:p>
    <w:p w:rsidR="00710DB2" w:rsidRPr="00F67030" w:rsidRDefault="00710DB2" w:rsidP="00710DB2">
      <w:pPr>
        <w:pStyle w:val="PBACHeading1"/>
        <w:numPr>
          <w:ilvl w:val="0"/>
          <w:numId w:val="0"/>
        </w:numPr>
        <w:ind w:left="720"/>
      </w:pPr>
      <w:r w:rsidRPr="00C716E3">
        <w:rPr>
          <w:rFonts w:asciiTheme="minorHAnsi" w:eastAsiaTheme="minorHAnsi" w:hAnsiTheme="minorHAnsi" w:cstheme="minorBidi"/>
          <w:b w:val="0"/>
          <w:i/>
          <w:snapToGrid/>
          <w:sz w:val="24"/>
        </w:rPr>
        <w:t>For more detail on PBAC’s view, see section 7 PBAC outcome.</w:t>
      </w:r>
    </w:p>
    <w:p w:rsidR="00C317F3" w:rsidRPr="00F67030" w:rsidRDefault="00C317F3" w:rsidP="002001C6">
      <w:pPr>
        <w:pStyle w:val="Heading1"/>
        <w:ind w:left="709" w:hanging="709"/>
      </w:pPr>
      <w:bookmarkStart w:id="4" w:name="_Toc413139273"/>
      <w:bookmarkStart w:id="5" w:name="_Toc493002785"/>
      <w:r w:rsidRPr="00F67030">
        <w:lastRenderedPageBreak/>
        <w:t>Background</w:t>
      </w:r>
      <w:bookmarkEnd w:id="4"/>
      <w:bookmarkEnd w:id="5"/>
    </w:p>
    <w:p w:rsidR="0017638E" w:rsidRPr="008408CE" w:rsidRDefault="0017638E" w:rsidP="0017638E">
      <w:pPr>
        <w:pStyle w:val="Heading2"/>
      </w:pPr>
      <w:bookmarkStart w:id="6" w:name="_Toc493002786"/>
      <w:r w:rsidRPr="008408CE">
        <w:t>Registration status</w:t>
      </w:r>
      <w:bookmarkEnd w:id="6"/>
    </w:p>
    <w:p w:rsidR="00C317F3" w:rsidRPr="00F67030" w:rsidRDefault="00C317F3" w:rsidP="00457C75">
      <w:pPr>
        <w:pStyle w:val="ListParagraph"/>
        <w:numPr>
          <w:ilvl w:val="1"/>
          <w:numId w:val="1"/>
        </w:numPr>
        <w:jc w:val="both"/>
      </w:pPr>
      <w:r w:rsidRPr="00F67030">
        <w:t xml:space="preserve">TGA status: </w:t>
      </w:r>
      <w:r w:rsidR="005149B9" w:rsidRPr="00F67030">
        <w:t>n</w:t>
      </w:r>
      <w:r w:rsidR="002A4C26" w:rsidRPr="00F67030">
        <w:t xml:space="preserve">ivolumab was </w:t>
      </w:r>
      <w:r w:rsidRPr="00F67030">
        <w:t>TGA registered on</w:t>
      </w:r>
      <w:r w:rsidR="002A4C26" w:rsidRPr="00F67030">
        <w:t xml:space="preserve"> 11 July 2017 for the following indication:</w:t>
      </w:r>
      <w:r w:rsidR="00C045DB" w:rsidRPr="00F67030">
        <w:t xml:space="preserve"> </w:t>
      </w:r>
      <w:r w:rsidR="002A4C26" w:rsidRPr="00F67030">
        <w:t>as monotherapy for the treatment of recurrent or metastatic squamous cell cancer of the head and neck in adults progressing on or after platinum based therapy.</w:t>
      </w:r>
    </w:p>
    <w:p w:rsidR="003918F1" w:rsidRPr="00F67030" w:rsidRDefault="003918F1" w:rsidP="00457C75">
      <w:pPr>
        <w:pStyle w:val="ListParagraph"/>
        <w:numPr>
          <w:ilvl w:val="1"/>
          <w:numId w:val="1"/>
        </w:numPr>
        <w:jc w:val="both"/>
      </w:pPr>
      <w:r w:rsidRPr="00F67030">
        <w:t xml:space="preserve">The proposed </w:t>
      </w:r>
      <w:r w:rsidR="00D82CB2" w:rsidRPr="00F67030">
        <w:t xml:space="preserve">PBS </w:t>
      </w:r>
      <w:r w:rsidR="00587AD4" w:rsidRPr="00F67030">
        <w:t>restriction</w:t>
      </w:r>
      <w:r w:rsidRPr="00F67030">
        <w:t xml:space="preserve"> is narrower than the TGA </w:t>
      </w:r>
      <w:r w:rsidR="00587AD4" w:rsidRPr="00F67030">
        <w:t xml:space="preserve">approved </w:t>
      </w:r>
      <w:r w:rsidRPr="00F67030">
        <w:t xml:space="preserve">indication. While the TGA </w:t>
      </w:r>
      <w:r w:rsidR="00587AD4" w:rsidRPr="00F67030">
        <w:t xml:space="preserve">approved </w:t>
      </w:r>
      <w:r w:rsidRPr="00F67030">
        <w:t xml:space="preserve">indication includes treatment for all SCCHN patients, the PBS restriction </w:t>
      </w:r>
      <w:r w:rsidR="00D82CB2" w:rsidRPr="00F67030">
        <w:t xml:space="preserve">would </w:t>
      </w:r>
      <w:r w:rsidRPr="00F67030">
        <w:t xml:space="preserve">only allow for SCCHN in the oral cavity, larynx and pharynx, thereby excluding the paranasal sinuses, nasal cavity and salivary gland subgroups of SCCHN. Additionally, although pharynx as a whole was included in the proposed PBS </w:t>
      </w:r>
      <w:r w:rsidR="00587AD4" w:rsidRPr="00F67030">
        <w:t>restriction</w:t>
      </w:r>
      <w:r w:rsidRPr="00F67030">
        <w:t>, the key clinical trial (CA209141) excluded patients with any nasopharyngeal involvement.</w:t>
      </w:r>
      <w:r w:rsidR="008408CE" w:rsidRPr="008408CE">
        <w:t xml:space="preserve"> </w:t>
      </w:r>
      <w:r w:rsidR="008408CE">
        <w:t xml:space="preserve">The </w:t>
      </w:r>
      <w:r w:rsidR="008408CE" w:rsidRPr="00577036">
        <w:t xml:space="preserve">DUSC </w:t>
      </w:r>
      <w:r w:rsidR="008408CE">
        <w:t xml:space="preserve">advised that </w:t>
      </w:r>
      <w:r w:rsidR="008408CE" w:rsidRPr="00577036">
        <w:t>the proposed PBS restriction should specifically exclude treatment of patients with nasopharyngeal cancer</w:t>
      </w:r>
      <w:r w:rsidR="008408CE">
        <w:t>, consistent with the inclusion criteria of the trial presented as clinical evidence in the submission.</w:t>
      </w:r>
    </w:p>
    <w:p w:rsidR="009272FD" w:rsidRPr="00F67030" w:rsidRDefault="00E15A3F" w:rsidP="00457C75">
      <w:pPr>
        <w:pStyle w:val="ListParagraph"/>
        <w:numPr>
          <w:ilvl w:val="1"/>
          <w:numId w:val="1"/>
        </w:numPr>
        <w:jc w:val="both"/>
      </w:pPr>
      <w:r w:rsidRPr="00F67030">
        <w:t xml:space="preserve">Nivolumab is PBS listed for </w:t>
      </w:r>
      <w:r w:rsidR="00C87960" w:rsidRPr="00F67030">
        <w:t>u</w:t>
      </w:r>
      <w:r w:rsidRPr="00F67030">
        <w:t>nresectable Stage III or Stage IV malignant melanoma</w:t>
      </w:r>
      <w:r w:rsidR="00184161" w:rsidRPr="00F67030">
        <w:t>,</w:t>
      </w:r>
      <w:r w:rsidRPr="00F67030">
        <w:t xml:space="preserve"> locally advanced or metastatic non-small cell lung cancer, and stage IV clear cell variant renal cell carcinoma</w:t>
      </w:r>
      <w:r w:rsidR="00226EB7">
        <w:t xml:space="preserve"> (RCC)</w:t>
      </w:r>
      <w:r w:rsidRPr="00F67030">
        <w:t xml:space="preserve">. PD-L1 testing is not a pre-requisite for patients accessing nivolumab in these PBS listed indications. </w:t>
      </w:r>
    </w:p>
    <w:p w:rsidR="009272FD" w:rsidRPr="00F67030" w:rsidRDefault="009272FD" w:rsidP="00457C75">
      <w:pPr>
        <w:pStyle w:val="ListParagraph"/>
        <w:numPr>
          <w:ilvl w:val="1"/>
          <w:numId w:val="1"/>
        </w:numPr>
        <w:jc w:val="both"/>
      </w:pPr>
      <w:r w:rsidRPr="00F67030">
        <w:t xml:space="preserve">Co-dependent submissions </w:t>
      </w:r>
      <w:r w:rsidR="006A689E" w:rsidRPr="00F67030">
        <w:t>were</w:t>
      </w:r>
      <w:r w:rsidRPr="00F67030">
        <w:t xml:space="preserve"> </w:t>
      </w:r>
      <w:r w:rsidR="00184161" w:rsidRPr="00F67030">
        <w:t>considered by</w:t>
      </w:r>
      <w:r w:rsidRPr="00F67030">
        <w:t xml:space="preserve"> the PBAC and MSAC for pembrolizumab (another anti-PD-1 monoclonal antibody) for locally advanced or metastatic non-small cell lung cancer (NSCLC)</w:t>
      </w:r>
      <w:r w:rsidR="00E15A3F" w:rsidRPr="00F67030">
        <w:rPr>
          <w:rStyle w:val="FootnoteReference"/>
        </w:rPr>
        <w:footnoteReference w:id="1"/>
      </w:r>
      <w:r w:rsidRPr="00F67030">
        <w:t xml:space="preserve"> and treatment naïve patients with locally advanced or metastatic NSCLC</w:t>
      </w:r>
      <w:r w:rsidR="00E15A3F" w:rsidRPr="00F67030">
        <w:rPr>
          <w:rStyle w:val="FootnoteReference"/>
        </w:rPr>
        <w:footnoteReference w:id="2"/>
      </w:r>
      <w:r w:rsidRPr="00F67030">
        <w:t xml:space="preserve">. MSAC and PBAC raised the following concerns about PD-L1 </w:t>
      </w:r>
      <w:r w:rsidR="00587AD4" w:rsidRPr="00F67030">
        <w:t xml:space="preserve">expression </w:t>
      </w:r>
      <w:r w:rsidRPr="00F67030">
        <w:t xml:space="preserve">testing for </w:t>
      </w:r>
      <w:r w:rsidR="006D26A2" w:rsidRPr="00F67030">
        <w:t xml:space="preserve">accessing pembrolizumab in </w:t>
      </w:r>
      <w:r w:rsidRPr="00F67030">
        <w:t>NSCLC</w:t>
      </w:r>
      <w:r w:rsidR="00E15A3F" w:rsidRPr="00F67030">
        <w:rPr>
          <w:rStyle w:val="FootnoteReference"/>
        </w:rPr>
        <w:footnoteReference w:id="3"/>
      </w:r>
      <w:r w:rsidRPr="00F67030">
        <w:t>:</w:t>
      </w:r>
    </w:p>
    <w:p w:rsidR="00416B11" w:rsidRPr="00F67030" w:rsidRDefault="009272FD" w:rsidP="00DC7739">
      <w:pPr>
        <w:pStyle w:val="ListParagraph"/>
        <w:numPr>
          <w:ilvl w:val="1"/>
          <w:numId w:val="7"/>
        </w:numPr>
        <w:spacing w:before="0" w:after="120"/>
        <w:ind w:left="1134" w:hanging="425"/>
        <w:jc w:val="both"/>
      </w:pPr>
      <w:r w:rsidRPr="00F67030">
        <w:t>PD-L1 immunohistochemistry (IHC) as a companion diagnostic test has weak evidence of clinical validity (lacks ability to predict response to therapy) and clinical utility (insufficient information to guide treatment)</w:t>
      </w:r>
      <w:r w:rsidR="006A689E" w:rsidRPr="00F67030">
        <w:t>.</w:t>
      </w:r>
    </w:p>
    <w:p w:rsidR="009272FD" w:rsidRPr="00F67030" w:rsidRDefault="006A689E" w:rsidP="00DC7739">
      <w:pPr>
        <w:pStyle w:val="ListParagraph"/>
        <w:numPr>
          <w:ilvl w:val="1"/>
          <w:numId w:val="7"/>
        </w:numPr>
        <w:spacing w:before="0" w:after="120"/>
        <w:ind w:left="1134" w:hanging="425"/>
        <w:jc w:val="both"/>
      </w:pPr>
      <w:r w:rsidRPr="00F67030">
        <w:t>U</w:t>
      </w:r>
      <w:r w:rsidR="00416B11" w:rsidRPr="00F67030">
        <w:t>nlike many other companion tests, PD-L1 has a wide range of expression and hence the results reported are not dichotomous and are challenging to quantify</w:t>
      </w:r>
      <w:r w:rsidRPr="00F67030">
        <w:t>.</w:t>
      </w:r>
    </w:p>
    <w:p w:rsidR="009272FD" w:rsidRPr="00F67030" w:rsidRDefault="006A689E" w:rsidP="00DC7739">
      <w:pPr>
        <w:pStyle w:val="ListParagraph"/>
        <w:numPr>
          <w:ilvl w:val="1"/>
          <w:numId w:val="7"/>
        </w:numPr>
        <w:spacing w:before="0" w:after="120"/>
        <w:ind w:left="1134" w:hanging="425"/>
        <w:jc w:val="both"/>
      </w:pPr>
      <w:r w:rsidRPr="00F67030">
        <w:t>T</w:t>
      </w:r>
      <w:r w:rsidR="009272FD" w:rsidRPr="00F67030">
        <w:t>he issue of the optimum threshold for PD-L1 positivity remained unresolved</w:t>
      </w:r>
      <w:r w:rsidRPr="00F67030">
        <w:t>.</w:t>
      </w:r>
    </w:p>
    <w:p w:rsidR="003A5F47" w:rsidRDefault="006A689E" w:rsidP="00DC7739">
      <w:pPr>
        <w:pStyle w:val="ListParagraph"/>
        <w:numPr>
          <w:ilvl w:val="1"/>
          <w:numId w:val="7"/>
        </w:numPr>
        <w:spacing w:before="0" w:after="120"/>
        <w:ind w:left="1134" w:hanging="425"/>
        <w:jc w:val="both"/>
      </w:pPr>
      <w:r w:rsidRPr="00F67030">
        <w:t>I</w:t>
      </w:r>
      <w:r w:rsidR="009272FD" w:rsidRPr="00F67030">
        <w:t xml:space="preserve">f other programmed death 1 (PD-1)/PD-L1 inhibitors become listed in the PBS for NSCLC in the future that also require PD-L1 testing, the required </w:t>
      </w:r>
      <w:r w:rsidR="001A6B65" w:rsidRPr="00F67030">
        <w:t>tumour proportion score (</w:t>
      </w:r>
      <w:r w:rsidR="009272FD" w:rsidRPr="00F67030">
        <w:t>TPS</w:t>
      </w:r>
      <w:r w:rsidR="001A6B65" w:rsidRPr="00F67030">
        <w:t>)</w:t>
      </w:r>
      <w:r w:rsidR="009272FD" w:rsidRPr="00F67030">
        <w:t xml:space="preserve"> threshold for eligibility may vary.</w:t>
      </w:r>
    </w:p>
    <w:p w:rsidR="003A5F47" w:rsidRPr="008554A4" w:rsidRDefault="003A5F47" w:rsidP="00E71362">
      <w:pPr>
        <w:tabs>
          <w:tab w:val="left" w:pos="1134"/>
          <w:tab w:val="left" w:pos="1701"/>
        </w:tabs>
        <w:ind w:left="709"/>
        <w:jc w:val="both"/>
      </w:pPr>
      <w:r w:rsidRPr="008554A4">
        <w:t xml:space="preserve">The ESC considered that the utility of PD-L1 testing was a contentious matter, </w:t>
      </w:r>
      <w:r w:rsidR="00422436" w:rsidRPr="008554A4">
        <w:t>particularly</w:t>
      </w:r>
      <w:r w:rsidR="002148E5" w:rsidRPr="008554A4">
        <w:t xml:space="preserve"> because </w:t>
      </w:r>
      <w:r w:rsidRPr="008554A4">
        <w:t xml:space="preserve">the sensitivity and specificity of the available tests were still an </w:t>
      </w:r>
      <w:r w:rsidRPr="008554A4">
        <w:lastRenderedPageBreak/>
        <w:t>evolving area in molecular pathology. As such, the ESC advised that</w:t>
      </w:r>
      <w:r w:rsidR="002148E5" w:rsidRPr="008554A4">
        <w:t>,</w:t>
      </w:r>
      <w:r w:rsidRPr="008554A4">
        <w:t xml:space="preserve"> at the present time, it was difficult to determine if there was any benefit in stratifying patients based on PD-L1 status for nivolumab for RM SCCHN.</w:t>
      </w:r>
    </w:p>
    <w:p w:rsidR="0017638E" w:rsidRPr="008408CE" w:rsidRDefault="0017638E" w:rsidP="0017638E">
      <w:pPr>
        <w:pStyle w:val="Heading2"/>
      </w:pPr>
      <w:bookmarkStart w:id="7" w:name="_Toc493002787"/>
      <w:r w:rsidRPr="008408CE">
        <w:t>Previous PBAC consideration</w:t>
      </w:r>
      <w:bookmarkEnd w:id="7"/>
    </w:p>
    <w:p w:rsidR="002A4C26" w:rsidRDefault="002A4C26" w:rsidP="00457C75">
      <w:pPr>
        <w:pStyle w:val="ListParagraph"/>
        <w:numPr>
          <w:ilvl w:val="1"/>
          <w:numId w:val="1"/>
        </w:numPr>
        <w:spacing w:before="0" w:after="120"/>
        <w:jc w:val="both"/>
      </w:pPr>
      <w:r w:rsidRPr="00F67030">
        <w:t>Nivolumab has not been previously considered b</w:t>
      </w:r>
      <w:r w:rsidR="001A6B65" w:rsidRPr="00F67030">
        <w:t>y the PBAC for this indication.</w:t>
      </w:r>
    </w:p>
    <w:p w:rsidR="00710DB2" w:rsidRPr="00710DB2" w:rsidRDefault="00710DB2" w:rsidP="00710DB2">
      <w:pPr>
        <w:pStyle w:val="ListParagraph"/>
        <w:spacing w:before="0" w:after="120"/>
        <w:jc w:val="both"/>
        <w:rPr>
          <w:i/>
        </w:rPr>
      </w:pPr>
      <w:r w:rsidRPr="00C716E3">
        <w:rPr>
          <w:i/>
        </w:rPr>
        <w:t>For more detail on PBAC’s view, see section 7 PBAC outcome.</w:t>
      </w:r>
    </w:p>
    <w:p w:rsidR="00C317F3" w:rsidRPr="00F67030" w:rsidRDefault="00C317F3" w:rsidP="002001C6">
      <w:pPr>
        <w:pStyle w:val="Heading1"/>
        <w:ind w:left="709" w:hanging="709"/>
      </w:pPr>
      <w:bookmarkStart w:id="8" w:name="_Toc493002788"/>
      <w:r w:rsidRPr="00F67030">
        <w:t>Population and disease</w:t>
      </w:r>
      <w:bookmarkEnd w:id="8"/>
    </w:p>
    <w:p w:rsidR="002A4C26" w:rsidRPr="00F67030" w:rsidRDefault="002A4C26" w:rsidP="00457C75">
      <w:pPr>
        <w:pStyle w:val="ListParagraph"/>
        <w:numPr>
          <w:ilvl w:val="1"/>
          <w:numId w:val="1"/>
        </w:numPr>
        <w:jc w:val="both"/>
      </w:pPr>
      <w:r w:rsidRPr="00F67030">
        <w:t>Head and neck cancer refers to a range of malignant tumours that develop in or around the throat (pharynx and larynx), nose, sinuses and mouth. Cancers of the oral cavity, pharynx and larynx are the most common types of head and neck cancer, while cancers of the sinuses and salivary glands are less common. In Australia, head and neck cancers accounted for 3.4% of all cancers diagnosed in 2009. While treatment of small localised cancer results in approximately 80% of patients surviving five years after diagnosis, with more advanced disease</w:t>
      </w:r>
      <w:r w:rsidR="001A6B65" w:rsidRPr="00F67030">
        <w:t>,</w:t>
      </w:r>
      <w:r w:rsidRPr="00F67030">
        <w:t xml:space="preserve"> this reduces to 38%.</w:t>
      </w:r>
    </w:p>
    <w:p w:rsidR="00C317F3" w:rsidRPr="00F67030" w:rsidRDefault="00A72969" w:rsidP="00457C75">
      <w:pPr>
        <w:pStyle w:val="ListParagraph"/>
        <w:numPr>
          <w:ilvl w:val="1"/>
          <w:numId w:val="1"/>
        </w:numPr>
        <w:jc w:val="both"/>
      </w:pPr>
      <w:r>
        <w:t xml:space="preserve">The </w:t>
      </w:r>
      <w:r w:rsidR="00F11F8C" w:rsidRPr="00F67030">
        <w:t>mechanism of action</w:t>
      </w:r>
      <w:r>
        <w:t xml:space="preserve"> of nivolumab</w:t>
      </w:r>
      <w:r w:rsidR="00F11F8C" w:rsidRPr="00F67030">
        <w:t xml:space="preserve"> is </w:t>
      </w:r>
      <w:r w:rsidR="00416B11" w:rsidRPr="00F67030">
        <w:t>to</w:t>
      </w:r>
      <w:r w:rsidR="00F11F8C" w:rsidRPr="00F67030">
        <w:t xml:space="preserve"> block the interaction between PD-1 and its ligand</w:t>
      </w:r>
      <w:r w:rsidR="00F65DE6">
        <w:t>s</w:t>
      </w:r>
      <w:r w:rsidR="00F11F8C" w:rsidRPr="00F67030">
        <w:t xml:space="preserve"> PD-L1 and PD-L2. An Australian study reported that </w:t>
      </w:r>
      <w:r w:rsidR="002A4C26" w:rsidRPr="00F67030">
        <w:t xml:space="preserve">round 52.7% of primary SCCHN cases and 44.7% of metastatic SCCHN cases had tumour PD-L1 expression </w:t>
      </w:r>
      <w:r w:rsidR="002A4C26" w:rsidRPr="00F67030">
        <w:rPr>
          <w:rFonts w:cstheme="minorHAnsi"/>
        </w:rPr>
        <w:t>≥</w:t>
      </w:r>
      <w:r w:rsidR="002A4C26" w:rsidRPr="00F67030">
        <w:t xml:space="preserve">1% </w:t>
      </w:r>
      <w:r w:rsidR="00F11F8C" w:rsidRPr="00F67030">
        <w:t>(n=74 and 28, respectively)</w:t>
      </w:r>
      <w:r w:rsidR="002A4C26" w:rsidRPr="00F67030">
        <w:t>.</w:t>
      </w:r>
      <w:r w:rsidR="006A689E" w:rsidRPr="00F67030">
        <w:rPr>
          <w:vertAlign w:val="superscript"/>
        </w:rPr>
        <w:footnoteReference w:id="4"/>
      </w:r>
    </w:p>
    <w:p w:rsidR="00AE7029" w:rsidRPr="00F67030" w:rsidRDefault="00AE7029" w:rsidP="00457C75">
      <w:pPr>
        <w:pStyle w:val="ListParagraph"/>
        <w:numPr>
          <w:ilvl w:val="1"/>
          <w:numId w:val="1"/>
        </w:numPr>
        <w:spacing w:before="0" w:after="120"/>
        <w:jc w:val="both"/>
      </w:pPr>
      <w:r w:rsidRPr="00F67030">
        <w:t xml:space="preserve">The proposed </w:t>
      </w:r>
      <w:r w:rsidR="00A72969">
        <w:t>clinical management algorith</w:t>
      </w:r>
      <w:r w:rsidR="007D58FD" w:rsidRPr="00F67030">
        <w:t>m suggest</w:t>
      </w:r>
      <w:r w:rsidR="00052A82" w:rsidRPr="00F67030">
        <w:t>ed</w:t>
      </w:r>
      <w:r w:rsidR="007D58FD" w:rsidRPr="00F67030">
        <w:t xml:space="preserve"> </w:t>
      </w:r>
      <w:r w:rsidRPr="00F67030">
        <w:t xml:space="preserve">that nivolumab be used as a treatment option for patients with progression within 6 months of </w:t>
      </w:r>
      <w:r w:rsidR="00416B11" w:rsidRPr="00F67030">
        <w:t xml:space="preserve">receiving </w:t>
      </w:r>
      <w:r w:rsidRPr="00F67030">
        <w:t xml:space="preserve">platinum </w:t>
      </w:r>
      <w:r w:rsidR="00416B11" w:rsidRPr="00F67030">
        <w:t xml:space="preserve">based </w:t>
      </w:r>
      <w:r w:rsidRPr="00F67030">
        <w:t xml:space="preserve">therapy; and as a treatment option for patients who progress after 6 months of platinum based </w:t>
      </w:r>
      <w:r w:rsidR="00A72969" w:rsidRPr="00F67030">
        <w:t>therapy;</w:t>
      </w:r>
      <w:r w:rsidRPr="00F67030">
        <w:t xml:space="preserve"> subsequent to rechallenge with further platinum </w:t>
      </w:r>
      <w:r w:rsidR="00416B11" w:rsidRPr="00F67030">
        <w:t xml:space="preserve">based </w:t>
      </w:r>
      <w:r w:rsidRPr="00F67030">
        <w:t>therapy.</w:t>
      </w:r>
    </w:p>
    <w:p w:rsidR="00C317F3" w:rsidRPr="00C716E3" w:rsidRDefault="007E3A26" w:rsidP="00457C75">
      <w:pPr>
        <w:pStyle w:val="ListParagraph"/>
        <w:numPr>
          <w:ilvl w:val="1"/>
          <w:numId w:val="1"/>
        </w:numPr>
        <w:spacing w:before="0" w:after="120"/>
        <w:jc w:val="both"/>
      </w:pPr>
      <w:r w:rsidRPr="00F67030">
        <w:t xml:space="preserve">It </w:t>
      </w:r>
      <w:r w:rsidR="00184161" w:rsidRPr="00F67030">
        <w:t>wa</w:t>
      </w:r>
      <w:r w:rsidRPr="00F67030">
        <w:t xml:space="preserve">s not clear from the clinical management algorithm whether patients </w:t>
      </w:r>
      <w:r w:rsidR="00184161" w:rsidRPr="00F67030">
        <w:t xml:space="preserve">who </w:t>
      </w:r>
      <w:r w:rsidRPr="00F67030">
        <w:t>progress</w:t>
      </w:r>
      <w:r w:rsidR="00184161" w:rsidRPr="00F67030">
        <w:t>ed</w:t>
      </w:r>
      <w:r w:rsidRPr="00F67030">
        <w:t xml:space="preserve"> after 6 months of initial platinum-based therapy </w:t>
      </w:r>
      <w:r w:rsidR="00B1415B" w:rsidRPr="00F67030">
        <w:t xml:space="preserve">and </w:t>
      </w:r>
      <w:r w:rsidR="00184161" w:rsidRPr="00F67030">
        <w:t>we</w:t>
      </w:r>
      <w:r w:rsidR="00B1415B" w:rsidRPr="00F67030">
        <w:t xml:space="preserve">re rechallenged </w:t>
      </w:r>
      <w:r w:rsidR="00B1415B" w:rsidRPr="00C716E3">
        <w:t xml:space="preserve">with platinum-based therapy </w:t>
      </w:r>
      <w:r w:rsidR="00184161" w:rsidRPr="00C716E3">
        <w:t>we</w:t>
      </w:r>
      <w:r w:rsidRPr="00C716E3">
        <w:t>re</w:t>
      </w:r>
      <w:r w:rsidR="00B1415B" w:rsidRPr="00C716E3">
        <w:t xml:space="preserve"> subsequently</w:t>
      </w:r>
      <w:r w:rsidRPr="00C716E3">
        <w:t xml:space="preserve"> eligible for nivolumab following progression within 6 months, or whether they </w:t>
      </w:r>
      <w:r w:rsidR="00184161" w:rsidRPr="00C716E3">
        <w:t>we</w:t>
      </w:r>
      <w:r w:rsidRPr="00C716E3">
        <w:t xml:space="preserve">re eligible </w:t>
      </w:r>
      <w:r w:rsidR="00B1415B" w:rsidRPr="00C716E3">
        <w:t xml:space="preserve">if progression </w:t>
      </w:r>
      <w:r w:rsidR="00184161" w:rsidRPr="00C716E3">
        <w:t>occurred</w:t>
      </w:r>
      <w:r w:rsidR="00B1415B" w:rsidRPr="00C716E3">
        <w:t xml:space="preserve"> after </w:t>
      </w:r>
      <w:r w:rsidRPr="00C716E3">
        <w:t xml:space="preserve">6 months. </w:t>
      </w:r>
      <w:r w:rsidR="00E91C3E" w:rsidRPr="008554A4">
        <w:t xml:space="preserve">The </w:t>
      </w:r>
      <w:r w:rsidR="00E71362" w:rsidRPr="008554A4">
        <w:t>Pre-Sub-</w:t>
      </w:r>
      <w:r w:rsidR="00E81264">
        <w:t>C</w:t>
      </w:r>
      <w:r w:rsidR="00E81264" w:rsidRPr="008554A4">
        <w:t xml:space="preserve">ommittee </w:t>
      </w:r>
      <w:r w:rsidR="00E71362" w:rsidRPr="008554A4">
        <w:t>Response (</w:t>
      </w:r>
      <w:r w:rsidR="00E91C3E" w:rsidRPr="008554A4">
        <w:t>PSCR</w:t>
      </w:r>
      <w:r w:rsidR="00E71362" w:rsidRPr="008554A4">
        <w:t>)</w:t>
      </w:r>
      <w:r w:rsidR="00E91C3E" w:rsidRPr="008554A4">
        <w:t xml:space="preserve"> (p2) clarified that the intention of the proposed PBS restriction was for patients to only be eligible for nivolumab treatment if they have progressed within six months of th</w:t>
      </w:r>
      <w:r w:rsidR="00257604" w:rsidRPr="008554A4">
        <w:t>e last do</w:t>
      </w:r>
      <w:r w:rsidR="002148E5" w:rsidRPr="008554A4">
        <w:t>s</w:t>
      </w:r>
      <w:r w:rsidR="00257604" w:rsidRPr="008554A4">
        <w:t>e of platinum therapy</w:t>
      </w:r>
      <w:r w:rsidR="002148E5" w:rsidRPr="008554A4">
        <w:t xml:space="preserve">. The PSCR further </w:t>
      </w:r>
      <w:r w:rsidR="00257604" w:rsidRPr="008554A4">
        <w:t xml:space="preserve">assumed </w:t>
      </w:r>
      <w:r w:rsidR="002148E5" w:rsidRPr="008554A4">
        <w:t xml:space="preserve">that, </w:t>
      </w:r>
      <w:r w:rsidR="00257604" w:rsidRPr="008554A4">
        <w:t>upon PBS listing, the majority of patients who progress within 6 months would be treated with nivolumab (</w:t>
      </w:r>
      <w:r w:rsidR="00A024C2">
        <w:rPr>
          <w:noProof/>
          <w:color w:val="000000"/>
          <w:highlight w:val="black"/>
        </w:rPr>
        <w:t>'''''</w:t>
      </w:r>
      <w:r w:rsidR="00257604" w:rsidRPr="008554A4">
        <w:t>%), while the remaining w</w:t>
      </w:r>
      <w:r w:rsidR="002148E5" w:rsidRPr="008554A4">
        <w:t>ould</w:t>
      </w:r>
      <w:r w:rsidR="00257604" w:rsidRPr="008554A4">
        <w:t xml:space="preserve"> receive </w:t>
      </w:r>
      <w:r w:rsidR="002148E5" w:rsidRPr="008554A4">
        <w:t xml:space="preserve">a </w:t>
      </w:r>
      <w:r w:rsidR="00257604" w:rsidRPr="008554A4">
        <w:t>single agent (</w:t>
      </w:r>
      <w:r w:rsidR="00A024C2">
        <w:rPr>
          <w:noProof/>
          <w:color w:val="000000"/>
          <w:highlight w:val="black"/>
        </w:rPr>
        <w:t>'''</w:t>
      </w:r>
      <w:r w:rsidR="00257604" w:rsidRPr="008554A4">
        <w:t xml:space="preserve">%) or </w:t>
      </w:r>
      <w:r w:rsidR="002148E5" w:rsidRPr="008554A4">
        <w:t>best supportive care</w:t>
      </w:r>
      <w:r w:rsidR="00257604" w:rsidRPr="008554A4">
        <w:t xml:space="preserve"> (</w:t>
      </w:r>
      <w:r w:rsidR="00A024C2">
        <w:rPr>
          <w:noProof/>
          <w:color w:val="000000"/>
          <w:highlight w:val="black"/>
        </w:rPr>
        <w:t>''''''</w:t>
      </w:r>
      <w:r w:rsidR="00257604" w:rsidRPr="008554A4">
        <w:t>%).</w:t>
      </w:r>
      <w:r w:rsidR="00963BA6" w:rsidRPr="008554A4">
        <w:t xml:space="preserve"> </w:t>
      </w:r>
      <w:r w:rsidR="00E91C3E" w:rsidRPr="008554A4">
        <w:t>The PSCR claimed that this was in alignment with the inclusion criteria for the pivotal Study CA209141.</w:t>
      </w:r>
    </w:p>
    <w:p w:rsidR="00710DB2" w:rsidRPr="00C716E3" w:rsidRDefault="00710DB2" w:rsidP="00710DB2">
      <w:pPr>
        <w:pStyle w:val="ListParagraph"/>
        <w:spacing w:before="0" w:after="120"/>
        <w:jc w:val="both"/>
        <w:rPr>
          <w:i/>
        </w:rPr>
      </w:pPr>
      <w:r w:rsidRPr="00C716E3">
        <w:rPr>
          <w:i/>
        </w:rPr>
        <w:t>For more detail on PBAC’s view, see section 7 PBAC outcome.</w:t>
      </w:r>
    </w:p>
    <w:p w:rsidR="00C317F3" w:rsidRPr="00C716E3" w:rsidRDefault="00C317F3" w:rsidP="002001C6">
      <w:pPr>
        <w:pStyle w:val="Heading1"/>
        <w:ind w:left="709" w:hanging="709"/>
      </w:pPr>
      <w:bookmarkStart w:id="9" w:name="_Toc413139275"/>
      <w:bookmarkStart w:id="10" w:name="_Toc493002789"/>
      <w:r w:rsidRPr="00C716E3">
        <w:lastRenderedPageBreak/>
        <w:t>Comparator</w:t>
      </w:r>
      <w:bookmarkEnd w:id="9"/>
      <w:bookmarkEnd w:id="10"/>
    </w:p>
    <w:p w:rsidR="00E51F58" w:rsidRPr="00C716E3" w:rsidRDefault="00F11F8C" w:rsidP="00457C75">
      <w:pPr>
        <w:pStyle w:val="ListParagraph"/>
        <w:numPr>
          <w:ilvl w:val="1"/>
          <w:numId w:val="1"/>
        </w:numPr>
        <w:jc w:val="both"/>
        <w:rPr>
          <w:lang w:val="en-GB"/>
        </w:rPr>
      </w:pPr>
      <w:r w:rsidRPr="00C716E3">
        <w:t xml:space="preserve">The submission nominated current Australian </w:t>
      </w:r>
      <w:r w:rsidR="00765354">
        <w:t xml:space="preserve">SOC </w:t>
      </w:r>
      <w:r w:rsidRPr="00C716E3">
        <w:t>as the main comparator, specifically one of either paclitaxel, docetaxel, methotrexate, or capecitabine.</w:t>
      </w:r>
      <w:r w:rsidR="00B41F37" w:rsidRPr="00C716E3">
        <w:t xml:space="preserve"> </w:t>
      </w:r>
      <w:r w:rsidRPr="00C716E3">
        <w:t xml:space="preserve">The comparators are included in the United States’ National Comprehensive Cancer Network (NCCN) Head and Neck guidelines provided with the submission, and were supported by minutes from </w:t>
      </w:r>
      <w:r w:rsidR="00FF42A7" w:rsidRPr="00C716E3">
        <w:t>the sponsor-appointed</w:t>
      </w:r>
      <w:r w:rsidRPr="00C716E3">
        <w:t xml:space="preserve"> expert advisory board panel meeting consisting of six advisors.</w:t>
      </w:r>
    </w:p>
    <w:p w:rsidR="00F11F8C" w:rsidRPr="00C716E3" w:rsidRDefault="00F11F8C" w:rsidP="00457C75">
      <w:pPr>
        <w:pStyle w:val="ListParagraph"/>
        <w:numPr>
          <w:ilvl w:val="1"/>
          <w:numId w:val="1"/>
        </w:numPr>
        <w:jc w:val="both"/>
        <w:rPr>
          <w:lang w:val="en-GB"/>
        </w:rPr>
      </w:pPr>
      <w:r w:rsidRPr="00C716E3">
        <w:t xml:space="preserve">The </w:t>
      </w:r>
      <w:r w:rsidR="00E51F58" w:rsidRPr="00C716E3">
        <w:t xml:space="preserve">main </w:t>
      </w:r>
      <w:r w:rsidRPr="00C716E3">
        <w:t xml:space="preserve">comparators </w:t>
      </w:r>
      <w:r w:rsidR="00F034C9" w:rsidRPr="00C716E3">
        <w:t xml:space="preserve">nominated by the submission </w:t>
      </w:r>
      <w:r w:rsidR="00D03C78" w:rsidRPr="00C716E3">
        <w:t xml:space="preserve">were </w:t>
      </w:r>
      <w:r w:rsidRPr="00C716E3">
        <w:t xml:space="preserve">reasonable. The </w:t>
      </w:r>
      <w:r w:rsidR="000600D1">
        <w:t xml:space="preserve">Commentary </w:t>
      </w:r>
      <w:r w:rsidR="008408CE">
        <w:t xml:space="preserve">on the submission </w:t>
      </w:r>
      <w:r w:rsidR="000600D1">
        <w:t xml:space="preserve">queried </w:t>
      </w:r>
      <w:r w:rsidRPr="00C716E3">
        <w:t>whether fluorouracil</w:t>
      </w:r>
      <w:r w:rsidR="00E51F58" w:rsidRPr="00C716E3">
        <w:t xml:space="preserve"> and</w:t>
      </w:r>
      <w:r w:rsidRPr="00C716E3">
        <w:t xml:space="preserve"> gemcitabine </w:t>
      </w:r>
      <w:r w:rsidR="00A72307" w:rsidRPr="00C716E3">
        <w:t>should also be considered as</w:t>
      </w:r>
      <w:r w:rsidR="00F034C9" w:rsidRPr="00C716E3">
        <w:t xml:space="preserve"> </w:t>
      </w:r>
      <w:r w:rsidRPr="00C716E3">
        <w:t>relevant comparators.</w:t>
      </w:r>
      <w:r w:rsidR="00571BCE" w:rsidRPr="00C716E3">
        <w:t xml:space="preserve"> </w:t>
      </w:r>
      <w:r w:rsidR="00571BCE" w:rsidRPr="00765354">
        <w:t xml:space="preserve">The ESC </w:t>
      </w:r>
      <w:r w:rsidR="004D2642" w:rsidRPr="00765354">
        <w:t>advised</w:t>
      </w:r>
      <w:r w:rsidR="00571BCE" w:rsidRPr="00765354">
        <w:t xml:space="preserve"> that the nomination of </w:t>
      </w:r>
      <w:r w:rsidR="00765354" w:rsidRPr="00765354">
        <w:t>SOC</w:t>
      </w:r>
      <w:r w:rsidR="004D2642" w:rsidRPr="00765354">
        <w:t>, represented by p</w:t>
      </w:r>
      <w:r w:rsidR="00571BCE" w:rsidRPr="00765354">
        <w:t>aclita</w:t>
      </w:r>
      <w:r w:rsidR="004D2642" w:rsidRPr="00765354">
        <w:t>xel, docetaxel, methotrexate and</w:t>
      </w:r>
      <w:r w:rsidR="00571BCE" w:rsidRPr="00765354">
        <w:t xml:space="preserve"> capecitabine</w:t>
      </w:r>
      <w:r w:rsidR="004D2642" w:rsidRPr="00765354">
        <w:t>,</w:t>
      </w:r>
      <w:r w:rsidR="00571BCE" w:rsidRPr="00765354">
        <w:t xml:space="preserve"> was appropriate in the Australian treatment paradigm.</w:t>
      </w:r>
    </w:p>
    <w:p w:rsidR="00E51F58" w:rsidRPr="00C716E3" w:rsidRDefault="00F11F8C" w:rsidP="00457C75">
      <w:pPr>
        <w:pStyle w:val="ListParagraph"/>
        <w:numPr>
          <w:ilvl w:val="1"/>
          <w:numId w:val="1"/>
        </w:numPr>
        <w:jc w:val="both"/>
        <w:rPr>
          <w:lang w:val="en-GB"/>
        </w:rPr>
      </w:pPr>
      <w:r w:rsidRPr="00C716E3">
        <w:t xml:space="preserve">The submission also nominated pembrolizumab as a near market comparator, which is </w:t>
      </w:r>
      <w:r w:rsidR="00E51F58" w:rsidRPr="00C716E3">
        <w:t>TGA listed for “the treatment of patients with recurrent or metastatic head and neck squamous cell carcinoma (HNSCC) with disease progression on or after platinum containing chemotherapy”</w:t>
      </w:r>
      <w:r w:rsidRPr="00C716E3">
        <w:t>.</w:t>
      </w:r>
    </w:p>
    <w:p w:rsidR="009925DB" w:rsidRPr="00C716E3" w:rsidRDefault="00F11F8C" w:rsidP="00457C75">
      <w:pPr>
        <w:pStyle w:val="ListParagraph"/>
        <w:numPr>
          <w:ilvl w:val="1"/>
          <w:numId w:val="1"/>
        </w:numPr>
        <w:jc w:val="both"/>
        <w:rPr>
          <w:lang w:val="en-GB"/>
        </w:rPr>
      </w:pPr>
      <w:r w:rsidRPr="00C716E3">
        <w:t>Pembrolizumab has not been considered by the PBAC</w:t>
      </w:r>
      <w:r w:rsidR="00F034C9" w:rsidRPr="00C716E3">
        <w:t xml:space="preserve"> for this indication</w:t>
      </w:r>
      <w:r w:rsidRPr="00C716E3">
        <w:t>. The submission did not provide a formal comparison between nivolumab and pembrolizumab.</w:t>
      </w:r>
    </w:p>
    <w:p w:rsidR="00E51F58" w:rsidRPr="00C716E3" w:rsidRDefault="004042CE" w:rsidP="00457C75">
      <w:pPr>
        <w:pStyle w:val="ListParagraph"/>
        <w:numPr>
          <w:ilvl w:val="1"/>
          <w:numId w:val="1"/>
        </w:numPr>
        <w:jc w:val="both"/>
      </w:pPr>
      <w:r w:rsidRPr="00C716E3">
        <w:t>C</w:t>
      </w:r>
      <w:r w:rsidR="00E51F58" w:rsidRPr="00C716E3">
        <w:t>etuximab</w:t>
      </w:r>
      <w:r w:rsidR="00EA6E9D" w:rsidRPr="00C716E3">
        <w:t xml:space="preserve"> </w:t>
      </w:r>
      <w:r w:rsidRPr="00C716E3">
        <w:t xml:space="preserve">could also </w:t>
      </w:r>
      <w:r w:rsidR="00CB5EE1" w:rsidRPr="00C716E3">
        <w:t>be considered</w:t>
      </w:r>
      <w:r w:rsidRPr="00C716E3">
        <w:t xml:space="preserve"> as a </w:t>
      </w:r>
      <w:r w:rsidR="00E51F58" w:rsidRPr="00C716E3">
        <w:t xml:space="preserve">relevant near market comparator. Cetuximab was not recommended by the PBAC for the treatment of </w:t>
      </w:r>
      <w:r w:rsidR="00571BCE" w:rsidRPr="00C716E3">
        <w:rPr>
          <w:i/>
        </w:rPr>
        <w:t xml:space="preserve">previously untreated </w:t>
      </w:r>
      <w:r w:rsidR="00E51F58" w:rsidRPr="00C716E3">
        <w:t xml:space="preserve">RM SCCHN on the basis of </w:t>
      </w:r>
      <w:r w:rsidRPr="00C716E3">
        <w:t>uncertain magnitude of clinical benefit and likely high and unacceptable cost-effectiveness</w:t>
      </w:r>
      <w:r w:rsidR="00030642" w:rsidRPr="00C716E3">
        <w:t xml:space="preserve"> (paragraph 7.1, cetuximab Public Summary Document (PSD), March 2016 PBAC meeting</w:t>
      </w:r>
      <w:r w:rsidR="00523BAE" w:rsidRPr="00C716E3">
        <w:t xml:space="preserve"> and paragraph 6.1, cetuximab PSD, November 201</w:t>
      </w:r>
      <w:r w:rsidR="00D82CB2" w:rsidRPr="00C716E3">
        <w:t>6</w:t>
      </w:r>
      <w:r w:rsidR="00523BAE" w:rsidRPr="00C716E3">
        <w:t xml:space="preserve"> PBAC meeting</w:t>
      </w:r>
      <w:r w:rsidR="00030642" w:rsidRPr="00C716E3">
        <w:t>)</w:t>
      </w:r>
      <w:r w:rsidRPr="00C716E3">
        <w:t>.</w:t>
      </w:r>
      <w:r w:rsidR="00571BCE" w:rsidRPr="00C716E3">
        <w:t xml:space="preserve"> </w:t>
      </w:r>
      <w:r w:rsidR="00571BCE" w:rsidRPr="008554A4">
        <w:t xml:space="preserve">The ESC considered that cetuximab was not a relevant comparator, noting that the PBAC’s previous consideration of cetuximab was for </w:t>
      </w:r>
      <w:r w:rsidR="00571BCE" w:rsidRPr="008554A4">
        <w:rPr>
          <w:u w:val="single"/>
        </w:rPr>
        <w:t>previously untreated</w:t>
      </w:r>
      <w:r w:rsidR="00571BCE" w:rsidRPr="008554A4">
        <w:t xml:space="preserve"> RM SCCHN.</w:t>
      </w:r>
    </w:p>
    <w:p w:rsidR="00710DB2" w:rsidRPr="00C716E3" w:rsidRDefault="00710DB2" w:rsidP="00710DB2">
      <w:pPr>
        <w:pStyle w:val="ListParagraph"/>
        <w:jc w:val="both"/>
        <w:rPr>
          <w:i/>
        </w:rPr>
      </w:pPr>
      <w:r w:rsidRPr="00C716E3">
        <w:rPr>
          <w:i/>
        </w:rPr>
        <w:t>For more detail on PBAC’s view, see section 7 PBAC outcome.</w:t>
      </w:r>
    </w:p>
    <w:p w:rsidR="00DC7739" w:rsidRPr="00C716E3" w:rsidRDefault="00DC7739" w:rsidP="00DC7739">
      <w:pPr>
        <w:pStyle w:val="Heading1"/>
        <w:ind w:left="709" w:hanging="709"/>
      </w:pPr>
      <w:bookmarkStart w:id="11" w:name="_Toc413139277"/>
      <w:bookmarkStart w:id="12" w:name="_Toc493002791"/>
      <w:r w:rsidRPr="00C716E3">
        <w:t>Co</w:t>
      </w:r>
      <w:r>
        <w:t>nsideration of evidence</w:t>
      </w:r>
    </w:p>
    <w:p w:rsidR="00DC7739" w:rsidRPr="00DC7739" w:rsidRDefault="00DC7739" w:rsidP="00E81264">
      <w:pPr>
        <w:widowControl w:val="0"/>
        <w:spacing w:before="240" w:line="276" w:lineRule="auto"/>
        <w:jc w:val="both"/>
        <w:outlineLvl w:val="1"/>
        <w:rPr>
          <w:rFonts w:cs="Arial"/>
          <w:b/>
          <w:bCs/>
          <w:i/>
          <w:snapToGrid w:val="0"/>
          <w:sz w:val="28"/>
          <w:szCs w:val="28"/>
        </w:rPr>
      </w:pPr>
      <w:r w:rsidRPr="00DC7739">
        <w:rPr>
          <w:rFonts w:cs="Arial"/>
          <w:b/>
          <w:bCs/>
          <w:i/>
          <w:snapToGrid w:val="0"/>
          <w:sz w:val="28"/>
          <w:szCs w:val="28"/>
        </w:rPr>
        <w:t>Sponsor hearing</w:t>
      </w:r>
    </w:p>
    <w:p w:rsidR="00C716E3" w:rsidRPr="0032518F" w:rsidRDefault="00C716E3" w:rsidP="00457C75">
      <w:pPr>
        <w:pStyle w:val="ListParagraph"/>
        <w:numPr>
          <w:ilvl w:val="1"/>
          <w:numId w:val="1"/>
        </w:numPr>
        <w:spacing w:before="0" w:after="120"/>
        <w:jc w:val="both"/>
      </w:pPr>
      <w:r w:rsidRPr="0032518F">
        <w:t xml:space="preserve">The sponsor requested a hearing for this item. At the hearing, </w:t>
      </w:r>
      <w:r w:rsidR="008554A4">
        <w:t xml:space="preserve">representatives of the sponsor </w:t>
      </w:r>
      <w:r w:rsidRPr="0032518F">
        <w:t>discussed the benefit</w:t>
      </w:r>
      <w:r w:rsidR="008554A4">
        <w:t>s</w:t>
      </w:r>
      <w:r w:rsidRPr="0032518F">
        <w:t xml:space="preserve"> of </w:t>
      </w:r>
      <w:r w:rsidR="008554A4">
        <w:t>nivolumab</w:t>
      </w:r>
      <w:r w:rsidRPr="0032518F">
        <w:t xml:space="preserve"> treatment in</w:t>
      </w:r>
      <w:r w:rsidR="008554A4">
        <w:t xml:space="preserve"> an area of high clinical need, highlighting its effects in improving quality of life in particular. While it was</w:t>
      </w:r>
      <w:r w:rsidR="008554A4" w:rsidRPr="008554A4">
        <w:t xml:space="preserve"> acknowledge</w:t>
      </w:r>
      <w:r w:rsidR="008554A4">
        <w:t>d</w:t>
      </w:r>
      <w:r w:rsidR="008554A4" w:rsidRPr="008554A4">
        <w:t xml:space="preserve"> that capecitabine is more commonly used in Australia than cetuximab, </w:t>
      </w:r>
      <w:r w:rsidR="008554A4">
        <w:t xml:space="preserve">the sponsor also urged PBAC to consider that </w:t>
      </w:r>
      <w:r w:rsidR="008554A4" w:rsidRPr="008554A4">
        <w:t xml:space="preserve">Australian clinical experts treating SCCHN </w:t>
      </w:r>
      <w:r w:rsidR="00891173">
        <w:t xml:space="preserve">have </w:t>
      </w:r>
      <w:r w:rsidR="008554A4">
        <w:t>advise</w:t>
      </w:r>
      <w:r w:rsidR="00891173">
        <w:t>d</w:t>
      </w:r>
      <w:r w:rsidR="008554A4">
        <w:t xml:space="preserve"> that SOC in Australia for treating this condition is varied, and therefore the treatments in the </w:t>
      </w:r>
      <w:r w:rsidR="008554A4" w:rsidRPr="008554A4">
        <w:t xml:space="preserve">study’s </w:t>
      </w:r>
      <w:r w:rsidR="008554A4">
        <w:t>comparator arm we</w:t>
      </w:r>
      <w:r w:rsidR="008554A4" w:rsidRPr="008554A4">
        <w:t xml:space="preserve">re representative of the results expected with SOC in Australia. </w:t>
      </w:r>
      <w:r w:rsidR="00DB75AC">
        <w:t xml:space="preserve">The sponsor also contended </w:t>
      </w:r>
      <w:r w:rsidR="00891173">
        <w:t xml:space="preserve">against </w:t>
      </w:r>
      <w:r w:rsidR="008408CE">
        <w:t>the ESC</w:t>
      </w:r>
      <w:r w:rsidR="00DB75AC">
        <w:t xml:space="preserve"> advice that a multivariate analysis with revised inputs for certain parameters resulted in </w:t>
      </w:r>
      <w:r w:rsidR="00DB75AC" w:rsidRPr="00DB75AC">
        <w:t>the more</w:t>
      </w:r>
      <w:r w:rsidR="00DB75AC">
        <w:t xml:space="preserve"> realistic </w:t>
      </w:r>
      <w:r w:rsidR="001343EE">
        <w:t>incremental cost-effectiveness ratio (</w:t>
      </w:r>
      <w:r w:rsidR="00DB75AC">
        <w:t>ICER</w:t>
      </w:r>
      <w:r w:rsidR="001343EE">
        <w:t>)</w:t>
      </w:r>
      <w:r w:rsidR="00DB75AC">
        <w:t xml:space="preserve">, disagreeing with the </w:t>
      </w:r>
      <w:r w:rsidR="00DB75AC">
        <w:lastRenderedPageBreak/>
        <w:t xml:space="preserve">ESC’s preferred extrapolation method and assumptions on post-progression utilities, and partially agreeing on the treatment duration (see </w:t>
      </w:r>
      <w:r w:rsidR="00891173">
        <w:t>T</w:t>
      </w:r>
      <w:r w:rsidR="00DB75AC" w:rsidRPr="00316426">
        <w:t xml:space="preserve">able </w:t>
      </w:r>
      <w:r w:rsidR="00316426" w:rsidRPr="00316426">
        <w:t>10</w:t>
      </w:r>
      <w:r w:rsidR="00DB75AC" w:rsidRPr="00316426">
        <w:t xml:space="preserve"> and paragraph </w:t>
      </w:r>
      <w:r w:rsidR="00316426">
        <w:t>6.</w:t>
      </w:r>
      <w:r w:rsidR="007129EB">
        <w:t>40</w:t>
      </w:r>
      <w:r w:rsidR="00DB75AC">
        <w:t xml:space="preserve"> for further details).</w:t>
      </w:r>
    </w:p>
    <w:p w:rsidR="00C716E3" w:rsidRPr="00C716E3" w:rsidRDefault="00C716E3" w:rsidP="00E81264">
      <w:pPr>
        <w:widowControl w:val="0"/>
        <w:spacing w:before="240" w:line="276" w:lineRule="auto"/>
        <w:jc w:val="both"/>
        <w:outlineLvl w:val="1"/>
        <w:rPr>
          <w:rFonts w:cs="Arial"/>
          <w:b/>
          <w:bCs/>
          <w:i/>
          <w:snapToGrid w:val="0"/>
          <w:sz w:val="28"/>
          <w:szCs w:val="28"/>
        </w:rPr>
      </w:pPr>
      <w:r w:rsidRPr="00C716E3">
        <w:rPr>
          <w:rFonts w:cs="Arial"/>
          <w:b/>
          <w:bCs/>
          <w:i/>
          <w:snapToGrid w:val="0"/>
          <w:sz w:val="28"/>
          <w:szCs w:val="28"/>
        </w:rPr>
        <w:t xml:space="preserve">Consumer </w:t>
      </w:r>
      <w:r w:rsidR="00891173">
        <w:rPr>
          <w:rFonts w:cs="Arial"/>
          <w:b/>
          <w:bCs/>
          <w:i/>
          <w:snapToGrid w:val="0"/>
          <w:sz w:val="28"/>
          <w:szCs w:val="28"/>
        </w:rPr>
        <w:t>c</w:t>
      </w:r>
      <w:r w:rsidRPr="00C716E3">
        <w:rPr>
          <w:rFonts w:cs="Arial"/>
          <w:b/>
          <w:bCs/>
          <w:i/>
          <w:snapToGrid w:val="0"/>
          <w:sz w:val="28"/>
          <w:szCs w:val="28"/>
        </w:rPr>
        <w:t>omments</w:t>
      </w:r>
    </w:p>
    <w:p w:rsidR="00C716E3" w:rsidRDefault="00C716E3" w:rsidP="00457C75">
      <w:pPr>
        <w:numPr>
          <w:ilvl w:val="1"/>
          <w:numId w:val="1"/>
        </w:numPr>
        <w:jc w:val="both"/>
      </w:pPr>
      <w:r w:rsidRPr="009D1375">
        <w:t>The PBAC noted and welcomed the input from individuals (</w:t>
      </w:r>
      <w:r w:rsidR="006F4D15">
        <w:t>1</w:t>
      </w:r>
      <w:r w:rsidRPr="009D1375">
        <w:t>)</w:t>
      </w:r>
      <w:r w:rsidR="006F4D15">
        <w:t>, health professionals (2) and organisations (1)</w:t>
      </w:r>
      <w:r w:rsidRPr="009D1375">
        <w:t xml:space="preserve"> via the Consumer Comments facility on the PBS website. The comments describe</w:t>
      </w:r>
      <w:r>
        <w:t>d</w:t>
      </w:r>
      <w:r w:rsidRPr="009D1375">
        <w:t xml:space="preserve"> the </w:t>
      </w:r>
      <w:r w:rsidR="006F4D15">
        <w:t>benefits and tolerability profile of nivolumab in an aggressive and debilitating malignancy with limited treatment options.</w:t>
      </w:r>
    </w:p>
    <w:p w:rsidR="006F4D15" w:rsidRDefault="006F4D15" w:rsidP="00457C75">
      <w:pPr>
        <w:pStyle w:val="ListParagraph"/>
        <w:numPr>
          <w:ilvl w:val="1"/>
          <w:numId w:val="1"/>
        </w:numPr>
        <w:jc w:val="both"/>
      </w:pPr>
      <w:r>
        <w:t>A letter of support from Rare Cancers Australia indicated that the PBS listing of nivolumab would offer S</w:t>
      </w:r>
      <w:r w:rsidR="00765ECF">
        <w:t>C</w:t>
      </w:r>
      <w:r>
        <w:t xml:space="preserve">CHN patients </w:t>
      </w:r>
      <w:r w:rsidR="005E7E8C">
        <w:t xml:space="preserve">an </w:t>
      </w:r>
      <w:r>
        <w:t xml:space="preserve">effective treatment </w:t>
      </w:r>
      <w:r w:rsidR="005E7E8C">
        <w:t xml:space="preserve">option with </w:t>
      </w:r>
      <w:r>
        <w:t>fewer side effects</w:t>
      </w:r>
      <w:r w:rsidR="005E7E8C">
        <w:t>.</w:t>
      </w:r>
    </w:p>
    <w:p w:rsidR="00710DB2" w:rsidRPr="00C716E3" w:rsidRDefault="00C716E3" w:rsidP="00457C75">
      <w:pPr>
        <w:pStyle w:val="ListParagraph"/>
        <w:numPr>
          <w:ilvl w:val="1"/>
          <w:numId w:val="1"/>
        </w:numPr>
        <w:jc w:val="both"/>
      </w:pPr>
      <w:r w:rsidRPr="00825D93">
        <w:t xml:space="preserve">The Medical Oncology Group of Australia (MOGA) also expressed its support for the </w:t>
      </w:r>
      <w:r w:rsidR="005E7E8C">
        <w:t xml:space="preserve">nivolumab </w:t>
      </w:r>
      <w:r w:rsidR="005E7E8C" w:rsidRPr="00825D93">
        <w:t>submission,</w:t>
      </w:r>
      <w:r w:rsidR="005E7E8C">
        <w:t xml:space="preserve"> noting the limited treatment option</w:t>
      </w:r>
      <w:r w:rsidR="00891173">
        <w:t>s</w:t>
      </w:r>
      <w:r w:rsidR="005E7E8C">
        <w:t xml:space="preserve"> available for S</w:t>
      </w:r>
      <w:r w:rsidR="00765ECF">
        <w:t>C</w:t>
      </w:r>
      <w:r w:rsidR="005E7E8C">
        <w:t>CHN</w:t>
      </w:r>
      <w:r w:rsidRPr="00B96F27">
        <w:t xml:space="preserve">. </w:t>
      </w:r>
      <w:r w:rsidRPr="00825D93">
        <w:t xml:space="preserve">The PBAC noted that the MOGA presented </w:t>
      </w:r>
      <w:r>
        <w:t>a</w:t>
      </w:r>
      <w:r w:rsidRPr="00825D93">
        <w:t xml:space="preserve"> European Society for Medical Oncology Magnitude of Clinical Benefit Scale (ESMO-MCBS) </w:t>
      </w:r>
      <w:r>
        <w:t xml:space="preserve">of 5 for </w:t>
      </w:r>
      <w:r w:rsidR="005E7E8C">
        <w:t>nivolumab for S</w:t>
      </w:r>
      <w:r w:rsidR="00765ECF">
        <w:t>C</w:t>
      </w:r>
      <w:r w:rsidR="005E7E8C">
        <w:t>CHN</w:t>
      </w:r>
      <w:r>
        <w:t xml:space="preserve"> </w:t>
      </w:r>
      <w:r w:rsidRPr="00825D93">
        <w:t>(out of a maximum of 5, where 5 and 4 represent the grade</w:t>
      </w:r>
      <w:r>
        <w:t>s with substantial improvement)</w:t>
      </w:r>
      <w:r>
        <w:rPr>
          <w:rStyle w:val="FootnoteReference"/>
        </w:rPr>
        <w:footnoteReference w:id="5"/>
      </w:r>
      <w:r w:rsidRPr="00825D93">
        <w:t xml:space="preserve">, based on </w:t>
      </w:r>
      <w:r>
        <w:t xml:space="preserve">a comparison against </w:t>
      </w:r>
      <w:r w:rsidR="005E7E8C">
        <w:t>chemotherapy</w:t>
      </w:r>
      <w:r w:rsidRPr="00825D93">
        <w:t>.</w:t>
      </w:r>
      <w:r w:rsidR="001D2AB9">
        <w:t xml:space="preserve"> PBAC considered that an ESMO-MCBS of 3 better reflected the evidence available.</w:t>
      </w:r>
    </w:p>
    <w:p w:rsidR="00C317F3" w:rsidRPr="00424FE4" w:rsidRDefault="00C317F3" w:rsidP="00772501">
      <w:pPr>
        <w:pStyle w:val="Heading2"/>
      </w:pPr>
      <w:r w:rsidRPr="00424FE4">
        <w:t>Clinical trials</w:t>
      </w:r>
      <w:bookmarkEnd w:id="11"/>
      <w:bookmarkEnd w:id="12"/>
    </w:p>
    <w:p w:rsidR="00E613F1" w:rsidRPr="00F67030" w:rsidRDefault="00E613F1" w:rsidP="00457C75">
      <w:pPr>
        <w:pStyle w:val="ListParagraph"/>
        <w:numPr>
          <w:ilvl w:val="1"/>
          <w:numId w:val="1"/>
        </w:numPr>
        <w:jc w:val="both"/>
      </w:pPr>
      <w:r w:rsidRPr="00F67030">
        <w:t xml:space="preserve">The submission </w:t>
      </w:r>
      <w:r w:rsidR="00D9472B" w:rsidRPr="00F67030">
        <w:t>was</w:t>
      </w:r>
      <w:r w:rsidRPr="00F67030">
        <w:t xml:space="preserve"> based on one </w:t>
      </w:r>
      <w:r w:rsidR="00452606" w:rsidRPr="00F67030">
        <w:t>direct randomised trial</w:t>
      </w:r>
      <w:r w:rsidRPr="00F67030">
        <w:t xml:space="preserve"> </w:t>
      </w:r>
      <w:r w:rsidR="0017416F" w:rsidRPr="00F67030">
        <w:t xml:space="preserve">comparing </w:t>
      </w:r>
      <w:r w:rsidRPr="00F67030">
        <w:t xml:space="preserve">nivolumab </w:t>
      </w:r>
      <w:r w:rsidR="0017416F" w:rsidRPr="00F67030">
        <w:t>to</w:t>
      </w:r>
      <w:r w:rsidRPr="00F67030">
        <w:t xml:space="preserve"> investigator's choice </w:t>
      </w:r>
      <w:r w:rsidR="0017416F" w:rsidRPr="00F67030">
        <w:t>of a single agent therapy consisting of either docetaxel OR methotrexate OR cetuximab</w:t>
      </w:r>
      <w:r w:rsidR="003A53F0" w:rsidRPr="00F67030">
        <w:t xml:space="preserve"> (IC</w:t>
      </w:r>
      <w:r w:rsidR="0017416F" w:rsidRPr="00F67030">
        <w:t xml:space="preserve">) </w:t>
      </w:r>
      <w:r w:rsidRPr="00F67030">
        <w:t xml:space="preserve">in </w:t>
      </w:r>
      <w:r w:rsidR="00F034C9" w:rsidRPr="00F67030">
        <w:t>RM SCCHN</w:t>
      </w:r>
      <w:r w:rsidR="004D2642">
        <w:t xml:space="preserve"> </w:t>
      </w:r>
      <w:r w:rsidR="0017416F" w:rsidRPr="00F67030">
        <w:t>(n=</w:t>
      </w:r>
      <w:r w:rsidR="00701E85" w:rsidRPr="00F67030">
        <w:t>361</w:t>
      </w:r>
      <w:r w:rsidR="0017416F" w:rsidRPr="00F67030">
        <w:t>) (Trial CA209141).</w:t>
      </w:r>
    </w:p>
    <w:p w:rsidR="00C317F3" w:rsidRPr="00F67030" w:rsidRDefault="00C317F3" w:rsidP="00457C75">
      <w:pPr>
        <w:pStyle w:val="ListParagraph"/>
        <w:numPr>
          <w:ilvl w:val="1"/>
          <w:numId w:val="1"/>
        </w:numPr>
        <w:spacing w:before="0" w:after="120"/>
        <w:jc w:val="both"/>
      </w:pPr>
      <w:r w:rsidRPr="00F67030">
        <w:t xml:space="preserve">Details of the trial presented in the submission </w:t>
      </w:r>
      <w:r w:rsidR="00416B11" w:rsidRPr="00F67030">
        <w:t>are</w:t>
      </w:r>
      <w:r w:rsidRPr="00F67030">
        <w:t xml:space="preserve"> provided in the table below.</w:t>
      </w:r>
      <w:r w:rsidR="00E613F1" w:rsidRPr="00F67030">
        <w:t xml:space="preserve"> </w:t>
      </w:r>
      <w:r w:rsidR="00E613F1" w:rsidRPr="00F67030">
        <w:rPr>
          <w:rFonts w:cstheme="minorHAnsi"/>
        </w:rPr>
        <w:t>An independent search located no other relevant trials.</w:t>
      </w:r>
    </w:p>
    <w:p w:rsidR="00C317F3" w:rsidRPr="00F67030" w:rsidRDefault="00C317F3" w:rsidP="00772501">
      <w:pPr>
        <w:pStyle w:val="TableHeading0"/>
      </w:pPr>
      <w:r w:rsidRPr="00F67030">
        <w:lastRenderedPageBreak/>
        <w:t xml:space="preserve">Table </w:t>
      </w:r>
      <w:r w:rsidR="0017416F" w:rsidRPr="00F67030">
        <w:t>2</w:t>
      </w:r>
      <w:r w:rsidRPr="00F67030">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7"/>
        <w:gridCol w:w="5998"/>
        <w:gridCol w:w="1947"/>
      </w:tblGrid>
      <w:tr w:rsidR="00C317F3" w:rsidRPr="00F67030" w:rsidTr="00F11168">
        <w:trPr>
          <w:tblHeader/>
        </w:trPr>
        <w:tc>
          <w:tcPr>
            <w:tcW w:w="626" w:type="pct"/>
          </w:tcPr>
          <w:p w:rsidR="00C317F3" w:rsidRPr="00F67030" w:rsidRDefault="00C317F3" w:rsidP="00772501">
            <w:pPr>
              <w:pStyle w:val="TableText"/>
              <w:rPr>
                <w:b/>
              </w:rPr>
            </w:pPr>
            <w:r w:rsidRPr="00F67030">
              <w:rPr>
                <w:b/>
              </w:rPr>
              <w:t>Trial ID/First Author</w:t>
            </w:r>
          </w:p>
        </w:tc>
        <w:tc>
          <w:tcPr>
            <w:tcW w:w="3302" w:type="pct"/>
          </w:tcPr>
          <w:p w:rsidR="00C317F3" w:rsidRPr="00F67030" w:rsidRDefault="00C317F3" w:rsidP="00772501">
            <w:pPr>
              <w:pStyle w:val="TableText"/>
              <w:rPr>
                <w:b/>
              </w:rPr>
            </w:pPr>
            <w:r w:rsidRPr="00F67030">
              <w:rPr>
                <w:b/>
              </w:rPr>
              <w:t>Protocol title/ Publication title</w:t>
            </w:r>
          </w:p>
        </w:tc>
        <w:tc>
          <w:tcPr>
            <w:tcW w:w="1072" w:type="pct"/>
          </w:tcPr>
          <w:p w:rsidR="00C317F3" w:rsidRPr="00F67030" w:rsidRDefault="00C317F3" w:rsidP="00772501">
            <w:pPr>
              <w:pStyle w:val="TableText"/>
              <w:rPr>
                <w:b/>
              </w:rPr>
            </w:pPr>
            <w:r w:rsidRPr="00F67030">
              <w:rPr>
                <w:b/>
              </w:rPr>
              <w:t>Publication citation</w:t>
            </w:r>
          </w:p>
        </w:tc>
      </w:tr>
      <w:tr w:rsidR="00C317F3" w:rsidRPr="00F67030" w:rsidTr="00F11168">
        <w:tc>
          <w:tcPr>
            <w:tcW w:w="5000" w:type="pct"/>
            <w:gridSpan w:val="3"/>
            <w:tcBorders>
              <w:bottom w:val="single" w:sz="4" w:space="0" w:color="auto"/>
            </w:tcBorders>
          </w:tcPr>
          <w:p w:rsidR="00C317F3" w:rsidRPr="00F67030" w:rsidRDefault="00452606" w:rsidP="00772501">
            <w:pPr>
              <w:pStyle w:val="TableText"/>
              <w:rPr>
                <w:b/>
              </w:rPr>
            </w:pPr>
            <w:r w:rsidRPr="00F67030">
              <w:rPr>
                <w:b/>
              </w:rPr>
              <w:t>Direct randomised trial</w:t>
            </w:r>
          </w:p>
        </w:tc>
      </w:tr>
      <w:tr w:rsidR="0017416F" w:rsidRPr="00F67030" w:rsidTr="00F11168">
        <w:tc>
          <w:tcPr>
            <w:tcW w:w="626" w:type="pct"/>
            <w:tcBorders>
              <w:bottom w:val="nil"/>
            </w:tcBorders>
          </w:tcPr>
          <w:p w:rsidR="0017416F" w:rsidRPr="00F67030" w:rsidRDefault="0017416F" w:rsidP="0017416F">
            <w:pPr>
              <w:pStyle w:val="TableText"/>
              <w:rPr>
                <w:rFonts w:ascii="Times" w:eastAsia="Times New Roman" w:hAnsi="Times" w:cs="Times New Roman"/>
              </w:rPr>
            </w:pPr>
            <w:r w:rsidRPr="00F67030">
              <w:t>CA209141</w:t>
            </w:r>
          </w:p>
        </w:tc>
        <w:tc>
          <w:tcPr>
            <w:tcW w:w="3302" w:type="pct"/>
            <w:tcBorders>
              <w:bottom w:val="nil"/>
            </w:tcBorders>
          </w:tcPr>
          <w:p w:rsidR="0017416F" w:rsidRPr="00F67030" w:rsidRDefault="0017416F" w:rsidP="00452606">
            <w:pPr>
              <w:pStyle w:val="TableText"/>
              <w:rPr>
                <w:rFonts w:ascii="Times" w:eastAsia="Times New Roman" w:hAnsi="Times" w:cs="Times New Roman"/>
              </w:rPr>
            </w:pPr>
            <w:r w:rsidRPr="00F67030">
              <w:t>An Open Label, Randomised Phase 3 Clinical Trial of Nivolumab vs Therapy of investigator’s choice in recurrent or metastatic platinum refractory squamous cell carcinoma of the head and neck (SCCHN).</w:t>
            </w:r>
          </w:p>
        </w:tc>
        <w:tc>
          <w:tcPr>
            <w:tcW w:w="1072" w:type="pct"/>
            <w:tcBorders>
              <w:bottom w:val="nil"/>
            </w:tcBorders>
          </w:tcPr>
          <w:p w:rsidR="0017416F" w:rsidRPr="00F67030" w:rsidRDefault="0017416F" w:rsidP="00452606">
            <w:pPr>
              <w:pStyle w:val="TableText"/>
              <w:rPr>
                <w:rFonts w:ascii="Times" w:eastAsia="Times New Roman" w:hAnsi="Times" w:cs="Times New Roman"/>
              </w:rPr>
            </w:pPr>
            <w:r w:rsidRPr="00F67030">
              <w:t>07 June 2016</w:t>
            </w:r>
          </w:p>
        </w:tc>
      </w:tr>
      <w:tr w:rsidR="0017416F" w:rsidRPr="00F67030" w:rsidTr="00F11168">
        <w:tc>
          <w:tcPr>
            <w:tcW w:w="626" w:type="pct"/>
            <w:tcBorders>
              <w:top w:val="nil"/>
              <w:bottom w:val="nil"/>
            </w:tcBorders>
          </w:tcPr>
          <w:p w:rsidR="0017416F" w:rsidRPr="00F67030" w:rsidRDefault="0017416F" w:rsidP="0017416F">
            <w:pPr>
              <w:pStyle w:val="TableText"/>
            </w:pPr>
          </w:p>
        </w:tc>
        <w:tc>
          <w:tcPr>
            <w:tcW w:w="3302" w:type="pct"/>
            <w:tcBorders>
              <w:top w:val="nil"/>
              <w:bottom w:val="nil"/>
            </w:tcBorders>
          </w:tcPr>
          <w:p w:rsidR="0017416F" w:rsidRPr="00F67030" w:rsidRDefault="0017416F" w:rsidP="0017416F">
            <w:pPr>
              <w:pStyle w:val="TableText"/>
              <w:rPr>
                <w:rFonts w:ascii="Times" w:eastAsia="Times New Roman" w:hAnsi="Times" w:cs="Times New Roman"/>
              </w:rPr>
            </w:pPr>
            <w:r w:rsidRPr="00F67030">
              <w:t>American Association for Cancer Research (2016). "Nivolumab Doubles Survival for Patients with HNSCC.”</w:t>
            </w:r>
          </w:p>
        </w:tc>
        <w:tc>
          <w:tcPr>
            <w:tcW w:w="1072" w:type="pct"/>
            <w:tcBorders>
              <w:top w:val="nil"/>
              <w:bottom w:val="nil"/>
            </w:tcBorders>
          </w:tcPr>
          <w:p w:rsidR="0017416F" w:rsidRPr="00F67030" w:rsidRDefault="0017416F" w:rsidP="0017416F">
            <w:pPr>
              <w:pStyle w:val="TableText"/>
              <w:rPr>
                <w:rFonts w:ascii="Times" w:eastAsia="Times New Roman" w:hAnsi="Times" w:cs="Times New Roman"/>
              </w:rPr>
            </w:pPr>
            <w:r w:rsidRPr="00F67030">
              <w:t>Cancer Discov 6(7): Of3.</w:t>
            </w:r>
          </w:p>
        </w:tc>
      </w:tr>
      <w:tr w:rsidR="0017416F" w:rsidRPr="00F67030" w:rsidTr="00F11168">
        <w:tc>
          <w:tcPr>
            <w:tcW w:w="626" w:type="pct"/>
            <w:tcBorders>
              <w:top w:val="nil"/>
              <w:bottom w:val="nil"/>
            </w:tcBorders>
          </w:tcPr>
          <w:p w:rsidR="0017416F" w:rsidRPr="00F67030" w:rsidRDefault="0017416F" w:rsidP="0017416F">
            <w:pPr>
              <w:pStyle w:val="TableText"/>
            </w:pPr>
          </w:p>
        </w:tc>
        <w:tc>
          <w:tcPr>
            <w:tcW w:w="3302" w:type="pct"/>
            <w:tcBorders>
              <w:top w:val="nil"/>
              <w:bottom w:val="nil"/>
            </w:tcBorders>
          </w:tcPr>
          <w:p w:rsidR="0017416F" w:rsidRPr="00F67030" w:rsidRDefault="0017416F" w:rsidP="0017416F">
            <w:pPr>
              <w:pStyle w:val="TableText"/>
            </w:pPr>
            <w:r w:rsidRPr="00F67030">
              <w:t>Ferris, R. L., Blumenschein, G., Fayette, J., Guigay, J., Colevas, A. D., et al. (2016). "Nivolumab for recurrent squamous-cell carcinoma of the head and neck."</w:t>
            </w:r>
          </w:p>
        </w:tc>
        <w:tc>
          <w:tcPr>
            <w:tcW w:w="1072" w:type="pct"/>
            <w:tcBorders>
              <w:top w:val="nil"/>
              <w:bottom w:val="nil"/>
            </w:tcBorders>
          </w:tcPr>
          <w:p w:rsidR="0017416F" w:rsidRPr="00F67030" w:rsidRDefault="0017416F" w:rsidP="00452606">
            <w:pPr>
              <w:pStyle w:val="TableText"/>
            </w:pPr>
            <w:r w:rsidRPr="00F67030">
              <w:t>New England Journal of Medicine 375(19): 1856-7</w:t>
            </w:r>
          </w:p>
        </w:tc>
      </w:tr>
      <w:tr w:rsidR="0017416F" w:rsidRPr="00F67030" w:rsidTr="00F11168">
        <w:tc>
          <w:tcPr>
            <w:tcW w:w="626" w:type="pct"/>
            <w:tcBorders>
              <w:top w:val="nil"/>
              <w:bottom w:val="nil"/>
            </w:tcBorders>
          </w:tcPr>
          <w:p w:rsidR="0017416F" w:rsidRPr="00F67030" w:rsidRDefault="0017416F" w:rsidP="0017416F">
            <w:pPr>
              <w:pStyle w:val="TableText"/>
            </w:pPr>
          </w:p>
        </w:tc>
        <w:tc>
          <w:tcPr>
            <w:tcW w:w="3302" w:type="pct"/>
            <w:tcBorders>
              <w:top w:val="nil"/>
              <w:bottom w:val="nil"/>
            </w:tcBorders>
          </w:tcPr>
          <w:p w:rsidR="0017416F" w:rsidRPr="00F67030" w:rsidRDefault="0017416F" w:rsidP="0017416F">
            <w:pPr>
              <w:pStyle w:val="TableText"/>
            </w:pPr>
            <w:r w:rsidRPr="00F67030">
              <w:t>Gillison, M. L., Blumenschein, G., Fayette, J., Guigay, J., Colevas, A. D., et al. (2016). "Nivolumab (nivo) vs investigator's choice (IC) for recurrent or metastatic (R/M) head and neck squamous cell carcinoma (HNSCC): CheckMate-141."</w:t>
            </w:r>
          </w:p>
        </w:tc>
        <w:tc>
          <w:tcPr>
            <w:tcW w:w="1072" w:type="pct"/>
            <w:tcBorders>
              <w:top w:val="nil"/>
              <w:bottom w:val="nil"/>
            </w:tcBorders>
          </w:tcPr>
          <w:p w:rsidR="0017416F" w:rsidRPr="00F67030" w:rsidRDefault="0017416F" w:rsidP="0017416F">
            <w:pPr>
              <w:pStyle w:val="TableText"/>
            </w:pPr>
            <w:r w:rsidRPr="00F67030">
              <w:t>Cancer Research 76(14).</w:t>
            </w:r>
          </w:p>
        </w:tc>
      </w:tr>
      <w:tr w:rsidR="0017416F" w:rsidRPr="00F67030" w:rsidTr="00F11168">
        <w:tc>
          <w:tcPr>
            <w:tcW w:w="626" w:type="pct"/>
            <w:tcBorders>
              <w:top w:val="nil"/>
              <w:bottom w:val="single" w:sz="4" w:space="0" w:color="auto"/>
            </w:tcBorders>
          </w:tcPr>
          <w:p w:rsidR="0017416F" w:rsidRPr="00F67030" w:rsidRDefault="0017416F" w:rsidP="0017416F">
            <w:pPr>
              <w:pStyle w:val="TableText"/>
            </w:pPr>
          </w:p>
        </w:tc>
        <w:tc>
          <w:tcPr>
            <w:tcW w:w="3302" w:type="pct"/>
            <w:tcBorders>
              <w:top w:val="nil"/>
              <w:bottom w:val="single" w:sz="4" w:space="0" w:color="auto"/>
            </w:tcBorders>
          </w:tcPr>
          <w:p w:rsidR="0017416F" w:rsidRPr="00F67030" w:rsidRDefault="0017416F" w:rsidP="0017416F">
            <w:pPr>
              <w:pStyle w:val="TableText"/>
            </w:pPr>
            <w:r w:rsidRPr="00F67030">
              <w:t>Harrington, K., Ferris, R. L., Shaw, J., Taylor, F., Derosa, M., et al. (2016). "PR Patient-reported outcomes (PROs) in recurrent or metastatic (R/M) squamous cell carcinoma of the head and neck (SCCHN) treated with nivolumab (nivo) or investigator's choice (IC): CheckMate 141."</w:t>
            </w:r>
          </w:p>
        </w:tc>
        <w:tc>
          <w:tcPr>
            <w:tcW w:w="1072" w:type="pct"/>
            <w:tcBorders>
              <w:top w:val="nil"/>
              <w:bottom w:val="single" w:sz="4" w:space="0" w:color="auto"/>
            </w:tcBorders>
          </w:tcPr>
          <w:p w:rsidR="0017416F" w:rsidRPr="00F67030" w:rsidRDefault="0017416F" w:rsidP="0017416F">
            <w:pPr>
              <w:pStyle w:val="TableText"/>
            </w:pPr>
            <w:r w:rsidRPr="00F67030">
              <w:t>Annals of Oncology 27.</w:t>
            </w:r>
          </w:p>
        </w:tc>
      </w:tr>
    </w:tbl>
    <w:p w:rsidR="00C317F3" w:rsidRPr="00F67030" w:rsidRDefault="00C317F3" w:rsidP="00772501">
      <w:pPr>
        <w:pStyle w:val="TableFooter"/>
      </w:pPr>
      <w:r w:rsidRPr="00F67030">
        <w:t xml:space="preserve">Source: </w:t>
      </w:r>
      <w:r w:rsidR="0017416F" w:rsidRPr="00F67030">
        <w:t>Table 14, p43-44 of the submission</w:t>
      </w:r>
    </w:p>
    <w:p w:rsidR="00C317F3" w:rsidRPr="00F67030" w:rsidRDefault="00C317F3" w:rsidP="00457C75">
      <w:pPr>
        <w:pStyle w:val="ListParagraph"/>
        <w:numPr>
          <w:ilvl w:val="1"/>
          <w:numId w:val="1"/>
        </w:numPr>
        <w:spacing w:before="0" w:after="120"/>
        <w:jc w:val="both"/>
      </w:pPr>
      <w:r w:rsidRPr="00F67030">
        <w:t xml:space="preserve">The key features of the direct randomised trial </w:t>
      </w:r>
      <w:r w:rsidR="00FC3671" w:rsidRPr="00F67030">
        <w:t>is</w:t>
      </w:r>
      <w:r w:rsidRPr="00F67030">
        <w:t xml:space="preserve"> summarised in the table below.</w:t>
      </w:r>
    </w:p>
    <w:p w:rsidR="00C317F3" w:rsidRPr="00F67030" w:rsidRDefault="00C317F3" w:rsidP="00772501">
      <w:pPr>
        <w:pStyle w:val="TableHeading0"/>
      </w:pPr>
      <w:r w:rsidRPr="00F67030">
        <w:t xml:space="preserve">Table </w:t>
      </w:r>
      <w:r w:rsidR="00D97459" w:rsidRPr="00F67030">
        <w:t>3</w:t>
      </w:r>
      <w:r w:rsidRPr="00F67030">
        <w:t>: Key features of the included evidence</w:t>
      </w:r>
      <w:r w:rsidR="00624315" w:rsidRPr="00F67030">
        <w:t>,</w:t>
      </w:r>
      <w:r w:rsidR="00701E85" w:rsidRPr="00F67030">
        <w:t xml:space="preserve"> nivolumab versus </w:t>
      </w:r>
      <w:r w:rsidR="00690B99" w:rsidRPr="00F67030">
        <w:t>investigator’s choice</w:t>
      </w:r>
      <w:r w:rsidR="003A53F0" w:rsidRPr="00F67030">
        <w:t xml:space="preserve"> of 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8"/>
        <w:gridCol w:w="333"/>
        <w:gridCol w:w="1410"/>
        <w:gridCol w:w="708"/>
        <w:gridCol w:w="2409"/>
        <w:gridCol w:w="2269"/>
        <w:gridCol w:w="1115"/>
      </w:tblGrid>
      <w:tr w:rsidR="00C317F3" w:rsidRPr="00F67030" w:rsidTr="00452606">
        <w:tc>
          <w:tcPr>
            <w:tcW w:w="461" w:type="pct"/>
            <w:shd w:val="clear" w:color="auto" w:fill="auto"/>
            <w:vAlign w:val="center"/>
          </w:tcPr>
          <w:p w:rsidR="00C317F3" w:rsidRPr="00F67030" w:rsidRDefault="00C317F3" w:rsidP="00772501">
            <w:pPr>
              <w:pStyle w:val="TableText"/>
              <w:rPr>
                <w:b/>
              </w:rPr>
            </w:pPr>
            <w:r w:rsidRPr="00F67030">
              <w:rPr>
                <w:b/>
              </w:rPr>
              <w:t>Trial</w:t>
            </w:r>
          </w:p>
        </w:tc>
        <w:tc>
          <w:tcPr>
            <w:tcW w:w="183" w:type="pct"/>
            <w:shd w:val="clear" w:color="auto" w:fill="auto"/>
            <w:vAlign w:val="center"/>
          </w:tcPr>
          <w:p w:rsidR="00C317F3" w:rsidRPr="00F67030" w:rsidRDefault="00C317F3" w:rsidP="00772501">
            <w:pPr>
              <w:pStyle w:val="TableText"/>
              <w:rPr>
                <w:b/>
              </w:rPr>
            </w:pPr>
            <w:r w:rsidRPr="00F67030">
              <w:rPr>
                <w:b/>
              </w:rPr>
              <w:t>N</w:t>
            </w:r>
          </w:p>
        </w:tc>
        <w:tc>
          <w:tcPr>
            <w:tcW w:w="776" w:type="pct"/>
            <w:shd w:val="clear" w:color="auto" w:fill="auto"/>
            <w:vAlign w:val="center"/>
          </w:tcPr>
          <w:p w:rsidR="00C317F3" w:rsidRPr="00F67030" w:rsidRDefault="00C317F3" w:rsidP="00772501">
            <w:pPr>
              <w:pStyle w:val="TableText"/>
              <w:rPr>
                <w:b/>
              </w:rPr>
            </w:pPr>
            <w:r w:rsidRPr="00F67030">
              <w:rPr>
                <w:b/>
              </w:rPr>
              <w:t xml:space="preserve">Design/ </w:t>
            </w:r>
            <w:r w:rsidR="00701E85" w:rsidRPr="00F67030">
              <w:rPr>
                <w:b/>
              </w:rPr>
              <w:t xml:space="preserve">median </w:t>
            </w:r>
            <w:r w:rsidRPr="00F67030">
              <w:rPr>
                <w:b/>
              </w:rPr>
              <w:t>duration</w:t>
            </w:r>
            <w:r w:rsidR="005F2A6B" w:rsidRPr="00F67030">
              <w:rPr>
                <w:b/>
              </w:rPr>
              <w:t xml:space="preserve"> of follow-up</w:t>
            </w:r>
          </w:p>
        </w:tc>
        <w:tc>
          <w:tcPr>
            <w:tcW w:w="390" w:type="pct"/>
            <w:shd w:val="clear" w:color="auto" w:fill="auto"/>
            <w:vAlign w:val="center"/>
          </w:tcPr>
          <w:p w:rsidR="00C317F3" w:rsidRPr="00F67030" w:rsidRDefault="00C317F3" w:rsidP="00772501">
            <w:pPr>
              <w:pStyle w:val="TableText"/>
              <w:rPr>
                <w:b/>
              </w:rPr>
            </w:pPr>
            <w:r w:rsidRPr="00F67030">
              <w:rPr>
                <w:b/>
              </w:rPr>
              <w:t>Risk of bias</w:t>
            </w:r>
          </w:p>
        </w:tc>
        <w:tc>
          <w:tcPr>
            <w:tcW w:w="1326" w:type="pct"/>
            <w:shd w:val="clear" w:color="auto" w:fill="auto"/>
            <w:vAlign w:val="center"/>
          </w:tcPr>
          <w:p w:rsidR="00C317F3" w:rsidRPr="00F67030" w:rsidRDefault="00C317F3" w:rsidP="00772501">
            <w:pPr>
              <w:pStyle w:val="TableText"/>
              <w:rPr>
                <w:b/>
              </w:rPr>
            </w:pPr>
            <w:r w:rsidRPr="00F67030">
              <w:rPr>
                <w:b/>
              </w:rPr>
              <w:t>Patient population</w:t>
            </w:r>
          </w:p>
        </w:tc>
        <w:tc>
          <w:tcPr>
            <w:tcW w:w="1249" w:type="pct"/>
            <w:shd w:val="clear" w:color="auto" w:fill="auto"/>
            <w:vAlign w:val="center"/>
          </w:tcPr>
          <w:p w:rsidR="00C317F3" w:rsidRPr="00F67030" w:rsidRDefault="00C317F3" w:rsidP="00772501">
            <w:pPr>
              <w:pStyle w:val="TableText"/>
              <w:rPr>
                <w:b/>
              </w:rPr>
            </w:pPr>
            <w:r w:rsidRPr="00F67030">
              <w:rPr>
                <w:b/>
              </w:rPr>
              <w:t>Outcome(s)</w:t>
            </w:r>
          </w:p>
        </w:tc>
        <w:tc>
          <w:tcPr>
            <w:tcW w:w="614" w:type="pct"/>
            <w:shd w:val="clear" w:color="auto" w:fill="auto"/>
            <w:vAlign w:val="center"/>
          </w:tcPr>
          <w:p w:rsidR="00C317F3" w:rsidRPr="00F67030" w:rsidRDefault="00C317F3" w:rsidP="00772501">
            <w:pPr>
              <w:pStyle w:val="TableText"/>
              <w:rPr>
                <w:b/>
              </w:rPr>
            </w:pPr>
            <w:r w:rsidRPr="00F67030">
              <w:rPr>
                <w:b/>
              </w:rPr>
              <w:t>Use in modelled evaluation</w:t>
            </w:r>
          </w:p>
        </w:tc>
      </w:tr>
      <w:tr w:rsidR="00C317F3" w:rsidRPr="00F67030" w:rsidTr="00452606">
        <w:tc>
          <w:tcPr>
            <w:tcW w:w="461" w:type="pct"/>
            <w:shd w:val="clear" w:color="auto" w:fill="auto"/>
            <w:vAlign w:val="center"/>
          </w:tcPr>
          <w:p w:rsidR="00C317F3" w:rsidRPr="00F67030" w:rsidRDefault="001F3ED1" w:rsidP="00772501">
            <w:pPr>
              <w:pStyle w:val="TableText"/>
            </w:pPr>
            <w:r w:rsidRPr="00F67030">
              <w:t>CA209141</w:t>
            </w:r>
          </w:p>
        </w:tc>
        <w:tc>
          <w:tcPr>
            <w:tcW w:w="183" w:type="pct"/>
            <w:shd w:val="clear" w:color="auto" w:fill="auto"/>
            <w:vAlign w:val="center"/>
          </w:tcPr>
          <w:p w:rsidR="00C317F3" w:rsidRPr="00F67030" w:rsidRDefault="00701E85" w:rsidP="00772501">
            <w:pPr>
              <w:pStyle w:val="TableText"/>
              <w:rPr>
                <w:rFonts w:ascii="Times" w:eastAsia="Times New Roman" w:hAnsi="Times" w:cs="Times New Roman"/>
              </w:rPr>
            </w:pPr>
            <w:r w:rsidRPr="00F67030">
              <w:t>361</w:t>
            </w:r>
          </w:p>
        </w:tc>
        <w:tc>
          <w:tcPr>
            <w:tcW w:w="776" w:type="pct"/>
            <w:shd w:val="clear" w:color="auto" w:fill="auto"/>
            <w:vAlign w:val="center"/>
          </w:tcPr>
          <w:p w:rsidR="00C317F3" w:rsidRPr="00F67030" w:rsidRDefault="00C317F3" w:rsidP="00772501">
            <w:pPr>
              <w:pStyle w:val="TableText"/>
              <w:rPr>
                <w:rFonts w:ascii="Times" w:eastAsia="Times New Roman" w:hAnsi="Times" w:cs="Times New Roman"/>
              </w:rPr>
            </w:pPr>
            <w:r w:rsidRPr="00F67030">
              <w:t xml:space="preserve">R, </w:t>
            </w:r>
            <w:r w:rsidR="00701E85" w:rsidRPr="00F67030">
              <w:t>OL</w:t>
            </w:r>
          </w:p>
          <w:p w:rsidR="00C317F3" w:rsidRPr="00F67030" w:rsidRDefault="00701E85" w:rsidP="00772501">
            <w:pPr>
              <w:pStyle w:val="TableText"/>
              <w:rPr>
                <w:rFonts w:ascii="Times" w:eastAsia="Times New Roman" w:hAnsi="Times" w:cs="Times New Roman"/>
              </w:rPr>
            </w:pPr>
            <w:r w:rsidRPr="00F67030">
              <w:t>N</w:t>
            </w:r>
            <w:r w:rsidR="00690B99" w:rsidRPr="00F67030">
              <w:t>ivolumab</w:t>
            </w:r>
            <w:r w:rsidRPr="00F67030">
              <w:t xml:space="preserve">: </w:t>
            </w:r>
            <w:r w:rsidR="00A024C2">
              <w:rPr>
                <w:noProof/>
                <w:color w:val="000000"/>
                <w:highlight w:val="black"/>
              </w:rPr>
              <w:t>''''''' ''''''''''''' ''''''' ''''''' '''''''''''</w:t>
            </w:r>
          </w:p>
        </w:tc>
        <w:tc>
          <w:tcPr>
            <w:tcW w:w="390" w:type="pct"/>
            <w:shd w:val="clear" w:color="auto" w:fill="auto"/>
            <w:vAlign w:val="center"/>
          </w:tcPr>
          <w:p w:rsidR="00C317F3" w:rsidRPr="00F67030" w:rsidRDefault="00701E85" w:rsidP="00772501">
            <w:pPr>
              <w:pStyle w:val="TableText"/>
              <w:rPr>
                <w:rFonts w:ascii="Times" w:eastAsia="Times New Roman" w:hAnsi="Times" w:cs="Times New Roman"/>
              </w:rPr>
            </w:pPr>
            <w:r w:rsidRPr="00F67030">
              <w:t>Medium</w:t>
            </w:r>
          </w:p>
        </w:tc>
        <w:tc>
          <w:tcPr>
            <w:tcW w:w="1326" w:type="pct"/>
            <w:shd w:val="clear" w:color="auto" w:fill="auto"/>
            <w:vAlign w:val="center"/>
          </w:tcPr>
          <w:p w:rsidR="00C317F3" w:rsidRPr="00F67030" w:rsidRDefault="00701E85" w:rsidP="00701E85">
            <w:pPr>
              <w:pStyle w:val="TableText"/>
              <w:rPr>
                <w:rFonts w:ascii="Times" w:eastAsia="Times New Roman" w:hAnsi="Times" w:cs="Times New Roman"/>
              </w:rPr>
            </w:pPr>
            <w:r w:rsidRPr="00F67030">
              <w:t>RM SCCHN, ECOG 0-1, tumour progression or recurrence within 6 months of last dose of platinum therapy</w:t>
            </w:r>
          </w:p>
        </w:tc>
        <w:tc>
          <w:tcPr>
            <w:tcW w:w="1249" w:type="pct"/>
            <w:shd w:val="clear" w:color="auto" w:fill="auto"/>
            <w:vAlign w:val="center"/>
          </w:tcPr>
          <w:p w:rsidR="00BD210F" w:rsidRPr="00F67030" w:rsidRDefault="00BD210F" w:rsidP="00772501">
            <w:pPr>
              <w:pStyle w:val="TableText"/>
            </w:pPr>
            <w:r w:rsidRPr="00F67030">
              <w:t xml:space="preserve">Primary: </w:t>
            </w:r>
            <w:r w:rsidR="00C317F3" w:rsidRPr="00F67030">
              <w:t>OS</w:t>
            </w:r>
          </w:p>
          <w:p w:rsidR="00C317F3" w:rsidRPr="00F67030" w:rsidRDefault="00BD210F" w:rsidP="0073611F">
            <w:pPr>
              <w:pStyle w:val="TableText"/>
              <w:rPr>
                <w:rFonts w:ascii="Times" w:eastAsia="Times New Roman" w:hAnsi="Times" w:cs="Times New Roman"/>
              </w:rPr>
            </w:pPr>
            <w:r w:rsidRPr="00F67030">
              <w:t xml:space="preserve">Secondary: </w:t>
            </w:r>
            <w:r w:rsidR="00701E85" w:rsidRPr="00F67030">
              <w:t>PFS, ORR, EORTC-QLQ-C30, EORTC-QLQ-C30-H&amp;N35, EQ</w:t>
            </w:r>
            <w:r w:rsidR="0073611F" w:rsidRPr="00F67030">
              <w:noBreakHyphen/>
            </w:r>
            <w:r w:rsidR="00701E85" w:rsidRPr="00F67030">
              <w:t>5D</w:t>
            </w:r>
            <w:r w:rsidR="0073611F" w:rsidRPr="00F67030">
              <w:noBreakHyphen/>
            </w:r>
            <w:r w:rsidR="00701E85" w:rsidRPr="00F67030">
              <w:t>3L</w:t>
            </w:r>
          </w:p>
        </w:tc>
        <w:tc>
          <w:tcPr>
            <w:tcW w:w="614" w:type="pct"/>
            <w:shd w:val="clear" w:color="auto" w:fill="auto"/>
            <w:vAlign w:val="center"/>
          </w:tcPr>
          <w:p w:rsidR="00C317F3" w:rsidRPr="00F67030" w:rsidRDefault="00BD210F" w:rsidP="00772501">
            <w:pPr>
              <w:pStyle w:val="TableText"/>
              <w:rPr>
                <w:rFonts w:ascii="Times" w:eastAsia="Times New Roman" w:hAnsi="Times" w:cs="Times New Roman"/>
              </w:rPr>
            </w:pPr>
            <w:r w:rsidRPr="00F67030">
              <w:t>PFS and OS</w:t>
            </w:r>
            <w:r w:rsidR="00701E85" w:rsidRPr="00F67030">
              <w:t xml:space="preserve"> Kaplan-Meier data </w:t>
            </w:r>
            <w:r w:rsidRPr="00F67030">
              <w:t xml:space="preserve">used </w:t>
            </w:r>
            <w:r w:rsidR="00701E85" w:rsidRPr="00F67030">
              <w:t>in model</w:t>
            </w:r>
          </w:p>
        </w:tc>
      </w:tr>
    </w:tbl>
    <w:p w:rsidR="00C317F3" w:rsidRPr="00F67030" w:rsidRDefault="00701E85" w:rsidP="00772501">
      <w:pPr>
        <w:pStyle w:val="TableFooter"/>
      </w:pPr>
      <w:r w:rsidRPr="00F67030">
        <w:t>ECOG:</w:t>
      </w:r>
      <w:r w:rsidR="00E443AA" w:rsidRPr="00F67030">
        <w:t xml:space="preserve"> Eastern Cooperative Oncology Group;</w:t>
      </w:r>
      <w:r w:rsidRPr="00F67030">
        <w:t xml:space="preserve"> </w:t>
      </w:r>
      <w:r w:rsidR="00465F88" w:rsidRPr="00F67030">
        <w:t xml:space="preserve">IC: </w:t>
      </w:r>
      <w:r w:rsidR="00D371E3">
        <w:t>i</w:t>
      </w:r>
      <w:r w:rsidR="00465F88" w:rsidRPr="00F67030">
        <w:t>nvestigator</w:t>
      </w:r>
      <w:r w:rsidR="003A53F0" w:rsidRPr="00F67030">
        <w:t>’</w:t>
      </w:r>
      <w:r w:rsidR="00465F88" w:rsidRPr="00F67030">
        <w:t>s choice</w:t>
      </w:r>
      <w:r w:rsidR="003A53F0" w:rsidRPr="00F67030">
        <w:t xml:space="preserve"> of therapy</w:t>
      </w:r>
      <w:r w:rsidR="00465F88" w:rsidRPr="00F67030">
        <w:t xml:space="preserve">; </w:t>
      </w:r>
      <w:r w:rsidR="00C317F3" w:rsidRPr="00F67030">
        <w:t>OL</w:t>
      </w:r>
      <w:r w:rsidR="00690B99" w:rsidRPr="00F67030">
        <w:t xml:space="preserve">: </w:t>
      </w:r>
      <w:r w:rsidR="0038485B" w:rsidRPr="00F67030">
        <w:t>open-label</w:t>
      </w:r>
      <w:r w:rsidR="00C317F3" w:rsidRPr="00F67030">
        <w:t xml:space="preserve">; </w:t>
      </w:r>
      <w:r w:rsidRPr="00F67030">
        <w:t>ORR</w:t>
      </w:r>
      <w:r w:rsidR="00690B99" w:rsidRPr="00F67030">
        <w:t xml:space="preserve">: </w:t>
      </w:r>
      <w:r w:rsidRPr="00F67030">
        <w:t xml:space="preserve">objective response rate; </w:t>
      </w:r>
      <w:r w:rsidR="00C317F3" w:rsidRPr="00F67030">
        <w:t>OS</w:t>
      </w:r>
      <w:r w:rsidR="00690B99" w:rsidRPr="00F67030">
        <w:t xml:space="preserve">: </w:t>
      </w:r>
      <w:r w:rsidR="00C317F3" w:rsidRPr="00F67030">
        <w:t>overall survival; PFS</w:t>
      </w:r>
      <w:r w:rsidR="00690B99" w:rsidRPr="00F67030">
        <w:t xml:space="preserve">: </w:t>
      </w:r>
      <w:r w:rsidR="00C317F3" w:rsidRPr="00F67030">
        <w:t>progress</w:t>
      </w:r>
      <w:r w:rsidRPr="00F67030">
        <w:t>ion-free survival; R</w:t>
      </w:r>
      <w:r w:rsidR="00690B99" w:rsidRPr="00F67030">
        <w:t xml:space="preserve">: </w:t>
      </w:r>
      <w:r w:rsidRPr="00F67030">
        <w:t>randomised, RM SCCHN: recurrent or metastatic squamous cell carcinoma of the head and neck</w:t>
      </w:r>
      <w:r w:rsidR="00D371E3">
        <w:t>.</w:t>
      </w:r>
    </w:p>
    <w:p w:rsidR="00C317F3" w:rsidRPr="00F67030" w:rsidRDefault="00C317F3" w:rsidP="00772501">
      <w:pPr>
        <w:pStyle w:val="TableFooter"/>
      </w:pPr>
      <w:r w:rsidRPr="00F67030">
        <w:t>Source: compiled during the evaluation</w:t>
      </w:r>
    </w:p>
    <w:p w:rsidR="00D9472B" w:rsidRPr="00F67030" w:rsidRDefault="00D9472B" w:rsidP="00457C75">
      <w:pPr>
        <w:pStyle w:val="ListParagraph"/>
        <w:numPr>
          <w:ilvl w:val="1"/>
          <w:numId w:val="1"/>
        </w:numPr>
        <w:spacing w:before="0" w:after="120"/>
        <w:jc w:val="both"/>
      </w:pPr>
      <w:r w:rsidRPr="00F67030">
        <w:t xml:space="preserve">There was no planned cross-over in the trial design, however in the investigator’s choice </w:t>
      </w:r>
      <w:r w:rsidR="003A53F0" w:rsidRPr="00F67030">
        <w:t xml:space="preserve">of therapy </w:t>
      </w:r>
      <w:r w:rsidRPr="00F67030">
        <w:t>arm</w:t>
      </w:r>
      <w:r w:rsidR="00F034C9" w:rsidRPr="00F67030">
        <w:t>,</w:t>
      </w:r>
      <w:r w:rsidRPr="00F67030">
        <w:t xml:space="preserve"> </w:t>
      </w:r>
      <w:r w:rsidR="00A024C2">
        <w:rPr>
          <w:noProof/>
          <w:color w:val="000000"/>
          <w:highlight w:val="black"/>
        </w:rPr>
        <w:t>'''''''</w:t>
      </w:r>
      <w:r w:rsidRPr="00F67030">
        <w:t xml:space="preserve">% of </w:t>
      </w:r>
      <w:r w:rsidR="004046F8" w:rsidRPr="00F67030">
        <w:t>patients</w:t>
      </w:r>
      <w:r w:rsidRPr="00F67030">
        <w:t xml:space="preserve"> received subsequent therapy with an anti-PD-1 pathway agent (nivolumab [</w:t>
      </w:r>
      <w:r w:rsidR="00A024C2">
        <w:rPr>
          <w:noProof/>
          <w:color w:val="000000"/>
          <w:highlight w:val="black"/>
        </w:rPr>
        <w:t>''''''</w:t>
      </w:r>
      <w:r w:rsidRPr="00F67030">
        <w:t>%] and pembrolizumab [</w:t>
      </w:r>
      <w:r w:rsidR="00A024C2">
        <w:rPr>
          <w:noProof/>
          <w:color w:val="000000"/>
          <w:highlight w:val="black"/>
        </w:rPr>
        <w:t>''''''</w:t>
      </w:r>
      <w:r w:rsidRPr="00F67030">
        <w:t xml:space="preserve">%]). This </w:t>
      </w:r>
      <w:r w:rsidR="00F034C9" w:rsidRPr="00F67030">
        <w:t xml:space="preserve">could have </w:t>
      </w:r>
      <w:r w:rsidR="00CB5EE1" w:rsidRPr="00F67030">
        <w:t>biased the</w:t>
      </w:r>
      <w:r w:rsidRPr="00F67030">
        <w:t xml:space="preserve"> OS results in favour of the investigator’s choice </w:t>
      </w:r>
      <w:r w:rsidR="003A53F0" w:rsidRPr="00F67030">
        <w:t xml:space="preserve">of therapy </w:t>
      </w:r>
      <w:r w:rsidRPr="00F67030">
        <w:t>arm.</w:t>
      </w:r>
    </w:p>
    <w:p w:rsidR="00C317F3" w:rsidRPr="00F67030" w:rsidRDefault="00701E85" w:rsidP="00457C75">
      <w:pPr>
        <w:pStyle w:val="ListParagraph"/>
        <w:numPr>
          <w:ilvl w:val="1"/>
          <w:numId w:val="1"/>
        </w:numPr>
        <w:spacing w:before="0" w:after="120"/>
        <w:jc w:val="both"/>
      </w:pPr>
      <w:r w:rsidRPr="00F67030">
        <w:t xml:space="preserve">The overall risk of bias in Trial CA209141 </w:t>
      </w:r>
      <w:r w:rsidR="00F034C9" w:rsidRPr="00F67030">
        <w:t>was moderate</w:t>
      </w:r>
      <w:r w:rsidRPr="00F67030">
        <w:t xml:space="preserve"> due to the open-label nature of the trial. This </w:t>
      </w:r>
      <w:r w:rsidR="00F034C9" w:rsidRPr="00F67030">
        <w:t>wa</w:t>
      </w:r>
      <w:r w:rsidRPr="00F67030">
        <w:t>s unlikely to affect the primary endpoint (OS), however the trial di</w:t>
      </w:r>
      <w:r w:rsidR="00390AD0" w:rsidRPr="00F67030">
        <w:t>d not utilise</w:t>
      </w:r>
      <w:r w:rsidRPr="00F67030">
        <w:t xml:space="preserve"> a blinded independent review committee to assess </w:t>
      </w:r>
      <w:r w:rsidR="00FF42A7" w:rsidRPr="00F67030">
        <w:t>progression free survival (</w:t>
      </w:r>
      <w:r w:rsidRPr="00F67030">
        <w:t>PFS</w:t>
      </w:r>
      <w:r w:rsidR="00FF42A7" w:rsidRPr="00F67030">
        <w:t>)</w:t>
      </w:r>
      <w:r w:rsidRPr="00F67030">
        <w:t xml:space="preserve"> and </w:t>
      </w:r>
      <w:r w:rsidR="00FF42A7" w:rsidRPr="00F67030">
        <w:t>objective response rate (</w:t>
      </w:r>
      <w:r w:rsidRPr="00F67030">
        <w:t>ORR</w:t>
      </w:r>
      <w:r w:rsidR="00FF42A7" w:rsidRPr="00F67030">
        <w:t>)</w:t>
      </w:r>
      <w:r w:rsidRPr="00F67030">
        <w:t>.</w:t>
      </w:r>
      <w:r w:rsidR="00390AD0" w:rsidRPr="00F67030">
        <w:t xml:space="preserve"> Consequently, </w:t>
      </w:r>
      <w:r w:rsidR="0012101C" w:rsidRPr="00F67030">
        <w:t xml:space="preserve">the trial design </w:t>
      </w:r>
      <w:r w:rsidR="00C42C41" w:rsidRPr="00F67030">
        <w:t xml:space="preserve">did not minimise observer </w:t>
      </w:r>
      <w:r w:rsidR="00E063E5" w:rsidRPr="00F67030">
        <w:t xml:space="preserve">bias </w:t>
      </w:r>
      <w:r w:rsidR="0038485B" w:rsidRPr="00F67030">
        <w:t>that may influence</w:t>
      </w:r>
      <w:r w:rsidR="00E063E5" w:rsidRPr="00F67030">
        <w:t xml:space="preserve"> </w:t>
      </w:r>
      <w:r w:rsidR="00390AD0" w:rsidRPr="00F67030">
        <w:t xml:space="preserve">the results of </w:t>
      </w:r>
      <w:r w:rsidR="0012101C" w:rsidRPr="00F67030">
        <w:t xml:space="preserve">the </w:t>
      </w:r>
      <w:r w:rsidR="00390AD0" w:rsidRPr="00F67030">
        <w:t>secondary outcomes.</w:t>
      </w:r>
    </w:p>
    <w:p w:rsidR="00EE1BF5" w:rsidRPr="00F67030" w:rsidRDefault="00BD210F" w:rsidP="00457C75">
      <w:pPr>
        <w:pStyle w:val="ListParagraph"/>
        <w:numPr>
          <w:ilvl w:val="1"/>
          <w:numId w:val="1"/>
        </w:numPr>
        <w:spacing w:before="0" w:after="120"/>
        <w:jc w:val="both"/>
      </w:pPr>
      <w:r w:rsidRPr="00F67030">
        <w:t xml:space="preserve">Treatment with nivolumab was permitted to continue beyond initial investigator assessed </w:t>
      </w:r>
      <w:r w:rsidR="007E72B0" w:rsidRPr="00F67030">
        <w:t xml:space="preserve">progression in Trial CA209141 according to </w:t>
      </w:r>
      <w:r w:rsidRPr="00F67030">
        <w:t>RECIST version 1.1 criteria</w:t>
      </w:r>
      <w:r w:rsidR="007E72B0" w:rsidRPr="00F67030">
        <w:t>,</w:t>
      </w:r>
      <w:r w:rsidRPr="00F67030">
        <w:t xml:space="preserve"> so long as </w:t>
      </w:r>
      <w:r w:rsidR="007E72B0" w:rsidRPr="00F67030">
        <w:t>the subject had investigator assessed clinical benefit and tolerated nivolumab treatment</w:t>
      </w:r>
      <w:r w:rsidRPr="00F67030">
        <w:t>.</w:t>
      </w:r>
      <w:r w:rsidR="00C10389" w:rsidRPr="00F67030">
        <w:t xml:space="preserve"> </w:t>
      </w:r>
      <w:r w:rsidR="00EA326E" w:rsidRPr="00F67030">
        <w:t xml:space="preserve">A total of </w:t>
      </w:r>
      <w:r w:rsidR="00A024C2">
        <w:rPr>
          <w:noProof/>
          <w:color w:val="000000"/>
          <w:highlight w:val="black"/>
        </w:rPr>
        <w:t>''''''''</w:t>
      </w:r>
      <w:r w:rsidR="00EA326E" w:rsidRPr="00F67030">
        <w:t>%</w:t>
      </w:r>
      <w:r w:rsidR="00C10389" w:rsidRPr="00F67030">
        <w:t xml:space="preserve"> of nivolumab patients continued treatment following progression in Trial CA209141.</w:t>
      </w:r>
      <w:r w:rsidRPr="00F67030">
        <w:t xml:space="preserve"> T</w:t>
      </w:r>
      <w:r w:rsidR="007E72B0" w:rsidRPr="00F67030">
        <w:t>he proposed PBS restriction</w:t>
      </w:r>
      <w:r w:rsidR="003D27C6" w:rsidRPr="00F67030">
        <w:t xml:space="preserve"> </w:t>
      </w:r>
      <w:r w:rsidR="00A72307" w:rsidRPr="00F67030">
        <w:t xml:space="preserve">stated </w:t>
      </w:r>
      <w:r w:rsidR="003D27C6" w:rsidRPr="00F67030">
        <w:t xml:space="preserve">that a patient continuing treatment with nivolumab must have stable or responding disease. The </w:t>
      </w:r>
      <w:r w:rsidR="003D27C6" w:rsidRPr="00F67030">
        <w:lastRenderedPageBreak/>
        <w:t xml:space="preserve">proposed PBS restriction </w:t>
      </w:r>
      <w:r w:rsidR="00A72307" w:rsidRPr="00F67030">
        <w:t xml:space="preserve">did </w:t>
      </w:r>
      <w:r w:rsidR="003D27C6" w:rsidRPr="00F67030">
        <w:t>not contain criteria for ascertaining whether a patient has progressed, rather it is left up to the judgement of clinicians</w:t>
      </w:r>
      <w:bookmarkStart w:id="13" w:name="_Toc413139278"/>
      <w:r w:rsidR="00260024">
        <w:t>.</w:t>
      </w:r>
    </w:p>
    <w:p w:rsidR="00C317F3" w:rsidRPr="00F67030" w:rsidRDefault="00C317F3" w:rsidP="00EE1BF5">
      <w:pPr>
        <w:spacing w:before="0" w:after="120"/>
        <w:jc w:val="both"/>
        <w:rPr>
          <w:rFonts w:eastAsiaTheme="majorEastAsia" w:cstheme="majorBidi"/>
          <w:b/>
          <w:sz w:val="28"/>
          <w:szCs w:val="28"/>
        </w:rPr>
      </w:pPr>
      <w:r w:rsidRPr="00F67030">
        <w:rPr>
          <w:rFonts w:eastAsiaTheme="majorEastAsia" w:cstheme="majorBidi"/>
          <w:b/>
          <w:sz w:val="28"/>
          <w:szCs w:val="28"/>
        </w:rPr>
        <w:t>Comparative effectiveness</w:t>
      </w:r>
      <w:bookmarkEnd w:id="13"/>
    </w:p>
    <w:p w:rsidR="00AF0DF9" w:rsidRPr="00F67030" w:rsidRDefault="00BD210F" w:rsidP="00457C75">
      <w:pPr>
        <w:pStyle w:val="ListParagraph"/>
        <w:numPr>
          <w:ilvl w:val="1"/>
          <w:numId w:val="1"/>
        </w:numPr>
        <w:spacing w:before="0" w:after="120"/>
        <w:jc w:val="both"/>
      </w:pPr>
      <w:r w:rsidRPr="00F67030">
        <w:t>The key results of Trial C</w:t>
      </w:r>
      <w:r w:rsidR="00D97459" w:rsidRPr="00F67030">
        <w:t xml:space="preserve">A209141 </w:t>
      </w:r>
      <w:r w:rsidR="00E063E5" w:rsidRPr="00F67030">
        <w:t>are</w:t>
      </w:r>
      <w:r w:rsidR="00D97459" w:rsidRPr="00F67030">
        <w:t xml:space="preserve"> presented in Table 4 and Figures 1</w:t>
      </w:r>
      <w:r w:rsidR="006B64B3" w:rsidRPr="00F67030">
        <w:t xml:space="preserve"> to 3</w:t>
      </w:r>
      <w:r w:rsidRPr="00F67030">
        <w:t>.</w:t>
      </w:r>
    </w:p>
    <w:p w:rsidR="00C317F3" w:rsidRPr="00F67030" w:rsidRDefault="00C317F3" w:rsidP="00772501">
      <w:pPr>
        <w:pStyle w:val="TableHeading0"/>
      </w:pPr>
      <w:r w:rsidRPr="00F67030">
        <w:t xml:space="preserve">Table </w:t>
      </w:r>
      <w:r w:rsidR="00D97459" w:rsidRPr="00F67030">
        <w:t>4</w:t>
      </w:r>
      <w:r w:rsidRPr="00F67030">
        <w:t>:</w:t>
      </w:r>
      <w:r w:rsidR="00D97459" w:rsidRPr="00F67030">
        <w:t xml:space="preserve"> </w:t>
      </w:r>
      <w:r w:rsidRPr="00F67030">
        <w:t xml:space="preserve">Results of </w:t>
      </w:r>
      <w:r w:rsidR="00BD210F" w:rsidRPr="00F67030">
        <w:t xml:space="preserve">OS and PFS </w:t>
      </w:r>
      <w:r w:rsidRPr="00F67030">
        <w:t>acro</w:t>
      </w:r>
      <w:r w:rsidR="00BD210F" w:rsidRPr="00F67030">
        <w:t>ss the direct randomised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09"/>
        <w:gridCol w:w="1428"/>
        <w:gridCol w:w="1143"/>
        <w:gridCol w:w="1284"/>
        <w:gridCol w:w="1571"/>
        <w:gridCol w:w="570"/>
        <w:gridCol w:w="1377"/>
      </w:tblGrid>
      <w:tr w:rsidR="00D97459" w:rsidRPr="00F67030" w:rsidTr="00D97459">
        <w:tc>
          <w:tcPr>
            <w:tcW w:w="941" w:type="pct"/>
            <w:shd w:val="clear" w:color="auto" w:fill="auto"/>
          </w:tcPr>
          <w:p w:rsidR="00BD210F" w:rsidRPr="00F67030" w:rsidRDefault="00BD210F" w:rsidP="00BD210F">
            <w:pPr>
              <w:pStyle w:val="TableText"/>
              <w:rPr>
                <w:b/>
              </w:rPr>
            </w:pPr>
            <w:r w:rsidRPr="00F67030">
              <w:rPr>
                <w:b/>
              </w:rPr>
              <w:t>Trial ID</w:t>
            </w:r>
          </w:p>
        </w:tc>
        <w:tc>
          <w:tcPr>
            <w:tcW w:w="786" w:type="pct"/>
            <w:shd w:val="clear" w:color="auto" w:fill="auto"/>
            <w:vAlign w:val="center"/>
          </w:tcPr>
          <w:p w:rsidR="00BD210F" w:rsidRPr="00F67030" w:rsidRDefault="00BD210F" w:rsidP="00164F2C">
            <w:pPr>
              <w:pStyle w:val="TableText"/>
              <w:jc w:val="center"/>
              <w:rPr>
                <w:b/>
              </w:rPr>
            </w:pPr>
            <w:r w:rsidRPr="00F67030">
              <w:rPr>
                <w:b/>
              </w:rPr>
              <w:t>Nivolumab</w:t>
            </w:r>
            <w:r w:rsidR="00D97459" w:rsidRPr="00F67030">
              <w:rPr>
                <w:b/>
              </w:rPr>
              <w:t xml:space="preserve">, </w:t>
            </w:r>
            <w:r w:rsidRPr="00F67030">
              <w:rPr>
                <w:b/>
              </w:rPr>
              <w:t>n with event/N (%)</w:t>
            </w:r>
          </w:p>
        </w:tc>
        <w:tc>
          <w:tcPr>
            <w:tcW w:w="629" w:type="pct"/>
            <w:shd w:val="clear" w:color="auto" w:fill="auto"/>
            <w:vAlign w:val="center"/>
          </w:tcPr>
          <w:p w:rsidR="00BD210F" w:rsidRPr="00F67030" w:rsidRDefault="00BD210F" w:rsidP="00164F2C">
            <w:pPr>
              <w:pStyle w:val="TableText"/>
              <w:jc w:val="center"/>
              <w:rPr>
                <w:b/>
              </w:rPr>
            </w:pPr>
            <w:r w:rsidRPr="00F67030">
              <w:rPr>
                <w:b/>
              </w:rPr>
              <w:t>IC</w:t>
            </w:r>
            <w:r w:rsidR="00D97459" w:rsidRPr="00F67030">
              <w:rPr>
                <w:b/>
              </w:rPr>
              <w:t xml:space="preserve">, </w:t>
            </w:r>
            <w:r w:rsidRPr="00F67030">
              <w:rPr>
                <w:b/>
              </w:rPr>
              <w:t>n with event/N (%)</w:t>
            </w:r>
          </w:p>
        </w:tc>
        <w:tc>
          <w:tcPr>
            <w:tcW w:w="707" w:type="pct"/>
            <w:shd w:val="clear" w:color="auto" w:fill="auto"/>
            <w:vAlign w:val="center"/>
          </w:tcPr>
          <w:p w:rsidR="00BD210F" w:rsidRPr="00F67030" w:rsidRDefault="00BD210F" w:rsidP="00164F2C">
            <w:pPr>
              <w:pStyle w:val="TableText"/>
              <w:jc w:val="center"/>
              <w:rPr>
                <w:b/>
              </w:rPr>
            </w:pPr>
            <w:r w:rsidRPr="00F67030">
              <w:rPr>
                <w:b/>
              </w:rPr>
              <w:t>Nivolumab</w:t>
            </w:r>
            <w:r w:rsidR="00D97459" w:rsidRPr="00F67030">
              <w:rPr>
                <w:b/>
              </w:rPr>
              <w:t xml:space="preserve">, </w:t>
            </w:r>
            <w:r w:rsidRPr="00F67030">
              <w:rPr>
                <w:b/>
              </w:rPr>
              <w:t>Median months</w:t>
            </w:r>
          </w:p>
          <w:p w:rsidR="00BD210F" w:rsidRPr="00F67030" w:rsidRDefault="00BD210F" w:rsidP="00164F2C">
            <w:pPr>
              <w:pStyle w:val="TableText"/>
              <w:jc w:val="center"/>
              <w:rPr>
                <w:b/>
              </w:rPr>
            </w:pPr>
            <w:r w:rsidRPr="00F67030">
              <w:rPr>
                <w:b/>
              </w:rPr>
              <w:t>(95% CI)</w:t>
            </w:r>
          </w:p>
        </w:tc>
        <w:tc>
          <w:tcPr>
            <w:tcW w:w="865" w:type="pct"/>
            <w:shd w:val="clear" w:color="auto" w:fill="auto"/>
            <w:vAlign w:val="center"/>
          </w:tcPr>
          <w:p w:rsidR="00BD210F" w:rsidRPr="00F67030" w:rsidRDefault="00BD210F" w:rsidP="00164F2C">
            <w:pPr>
              <w:pStyle w:val="TableText"/>
              <w:jc w:val="center"/>
              <w:rPr>
                <w:b/>
              </w:rPr>
            </w:pPr>
            <w:r w:rsidRPr="00F67030">
              <w:rPr>
                <w:b/>
              </w:rPr>
              <w:t>IC</w:t>
            </w:r>
            <w:r w:rsidR="00D97459" w:rsidRPr="00F67030">
              <w:rPr>
                <w:b/>
              </w:rPr>
              <w:t xml:space="preserve">, </w:t>
            </w:r>
            <w:r w:rsidRPr="00F67030">
              <w:rPr>
                <w:b/>
              </w:rPr>
              <w:t>Median months</w:t>
            </w:r>
          </w:p>
          <w:p w:rsidR="00BD210F" w:rsidRPr="00F67030" w:rsidRDefault="00BD210F" w:rsidP="00164F2C">
            <w:pPr>
              <w:pStyle w:val="TableText"/>
              <w:jc w:val="center"/>
              <w:rPr>
                <w:b/>
              </w:rPr>
            </w:pPr>
            <w:r w:rsidRPr="00F67030">
              <w:rPr>
                <w:b/>
              </w:rPr>
              <w:t>(95% CI)</w:t>
            </w:r>
          </w:p>
        </w:tc>
        <w:tc>
          <w:tcPr>
            <w:tcW w:w="314" w:type="pct"/>
            <w:vAlign w:val="center"/>
          </w:tcPr>
          <w:p w:rsidR="00BD210F" w:rsidRPr="00F67030" w:rsidRDefault="00BD210F" w:rsidP="00164F2C">
            <w:pPr>
              <w:pStyle w:val="TableText"/>
              <w:jc w:val="center"/>
              <w:rPr>
                <w:b/>
              </w:rPr>
            </w:pPr>
            <w:r w:rsidRPr="00F67030">
              <w:rPr>
                <w:b/>
              </w:rPr>
              <w:t>Diff</w:t>
            </w:r>
          </w:p>
        </w:tc>
        <w:tc>
          <w:tcPr>
            <w:tcW w:w="758" w:type="pct"/>
            <w:vAlign w:val="center"/>
          </w:tcPr>
          <w:p w:rsidR="00BD210F" w:rsidRPr="00F67030" w:rsidRDefault="00BD210F" w:rsidP="00164F2C">
            <w:pPr>
              <w:pStyle w:val="TableText"/>
              <w:jc w:val="center"/>
              <w:rPr>
                <w:b/>
              </w:rPr>
            </w:pPr>
            <w:r w:rsidRPr="00F67030">
              <w:rPr>
                <w:b/>
              </w:rPr>
              <w:t>HR (95% CI)</w:t>
            </w:r>
          </w:p>
        </w:tc>
      </w:tr>
      <w:tr w:rsidR="00D97459" w:rsidRPr="00F67030" w:rsidTr="00D97459">
        <w:tc>
          <w:tcPr>
            <w:tcW w:w="941" w:type="pct"/>
            <w:shd w:val="clear" w:color="auto" w:fill="auto"/>
            <w:vAlign w:val="center"/>
          </w:tcPr>
          <w:p w:rsidR="00BD210F" w:rsidRPr="00F67030" w:rsidRDefault="00BD210F" w:rsidP="00772501">
            <w:pPr>
              <w:pStyle w:val="TableText"/>
            </w:pPr>
            <w:r w:rsidRPr="00F67030">
              <w:t>OS</w:t>
            </w:r>
          </w:p>
        </w:tc>
        <w:tc>
          <w:tcPr>
            <w:tcW w:w="786" w:type="pct"/>
            <w:shd w:val="clear" w:color="auto" w:fill="auto"/>
            <w:vAlign w:val="center"/>
          </w:tcPr>
          <w:p w:rsidR="00BD210F" w:rsidRPr="00A024C2" w:rsidRDefault="00A024C2" w:rsidP="00164F2C">
            <w:pPr>
              <w:pStyle w:val="TableText"/>
              <w:jc w:val="center"/>
              <w:rPr>
                <w:highlight w:val="black"/>
              </w:rPr>
            </w:pPr>
            <w:r>
              <w:rPr>
                <w:noProof/>
                <w:color w:val="000000"/>
                <w:highlight w:val="black"/>
              </w:rPr>
              <w:t>''''''''''''''''''''' ''''''''''''''</w:t>
            </w:r>
          </w:p>
        </w:tc>
        <w:tc>
          <w:tcPr>
            <w:tcW w:w="629" w:type="pct"/>
            <w:shd w:val="clear" w:color="auto" w:fill="auto"/>
            <w:vAlign w:val="center"/>
          </w:tcPr>
          <w:p w:rsidR="00BD210F" w:rsidRPr="00A024C2" w:rsidRDefault="00A024C2" w:rsidP="00164F2C">
            <w:pPr>
              <w:pStyle w:val="TableText"/>
              <w:jc w:val="center"/>
              <w:rPr>
                <w:highlight w:val="black"/>
              </w:rPr>
            </w:pPr>
            <w:r>
              <w:rPr>
                <w:noProof/>
                <w:color w:val="000000"/>
                <w:highlight w:val="black"/>
              </w:rPr>
              <w:t>'''''''''' ''''''''''''''</w:t>
            </w:r>
          </w:p>
        </w:tc>
        <w:tc>
          <w:tcPr>
            <w:tcW w:w="707" w:type="pct"/>
            <w:shd w:val="clear" w:color="auto" w:fill="auto"/>
            <w:vAlign w:val="center"/>
          </w:tcPr>
          <w:p w:rsidR="00BD210F" w:rsidRPr="00A024C2" w:rsidRDefault="00A024C2" w:rsidP="00164F2C">
            <w:pPr>
              <w:pStyle w:val="TableText"/>
              <w:jc w:val="center"/>
              <w:rPr>
                <w:highlight w:val="black"/>
              </w:rPr>
            </w:pPr>
            <w:r>
              <w:rPr>
                <w:noProof/>
                <w:color w:val="000000"/>
                <w:highlight w:val="black"/>
              </w:rPr>
              <w:t>'''''''''''' ''''''''''''' '''''''''''''</w:t>
            </w:r>
          </w:p>
        </w:tc>
        <w:tc>
          <w:tcPr>
            <w:tcW w:w="865" w:type="pct"/>
            <w:shd w:val="clear" w:color="auto" w:fill="auto"/>
            <w:vAlign w:val="center"/>
          </w:tcPr>
          <w:p w:rsidR="00BD210F" w:rsidRPr="00A024C2" w:rsidRDefault="00A024C2" w:rsidP="00164F2C">
            <w:pPr>
              <w:pStyle w:val="TableText"/>
              <w:jc w:val="center"/>
              <w:rPr>
                <w:highlight w:val="black"/>
              </w:rPr>
            </w:pPr>
            <w:r>
              <w:rPr>
                <w:noProof/>
                <w:color w:val="000000"/>
                <w:highlight w:val="black"/>
              </w:rPr>
              <w:t>'''''''''' ''''''''''''''' ''''''''''''</w:t>
            </w:r>
          </w:p>
        </w:tc>
        <w:tc>
          <w:tcPr>
            <w:tcW w:w="314" w:type="pct"/>
            <w:vAlign w:val="center"/>
          </w:tcPr>
          <w:p w:rsidR="00BD210F" w:rsidRPr="00A024C2" w:rsidRDefault="00A024C2" w:rsidP="00164F2C">
            <w:pPr>
              <w:pStyle w:val="TableText"/>
              <w:jc w:val="center"/>
              <w:rPr>
                <w:highlight w:val="black"/>
              </w:rPr>
            </w:pPr>
            <w:r>
              <w:rPr>
                <w:noProof/>
                <w:color w:val="000000"/>
                <w:highlight w:val="black"/>
              </w:rPr>
              <w:t>''''''''''''</w:t>
            </w:r>
          </w:p>
        </w:tc>
        <w:tc>
          <w:tcPr>
            <w:tcW w:w="758" w:type="pct"/>
            <w:vAlign w:val="center"/>
          </w:tcPr>
          <w:p w:rsidR="00BD210F" w:rsidRPr="00A024C2" w:rsidRDefault="00A024C2" w:rsidP="00164F2C">
            <w:pPr>
              <w:pStyle w:val="Tabletext0"/>
              <w:jc w:val="center"/>
              <w:rPr>
                <w:highlight w:val="black"/>
              </w:rPr>
            </w:pPr>
            <w:r>
              <w:rPr>
                <w:noProof/>
                <w:color w:val="000000"/>
                <w:highlight w:val="black"/>
              </w:rPr>
              <w:t>'''''''''' ''''''''''''' ''''''''''''</w:t>
            </w:r>
          </w:p>
          <w:p w:rsidR="00BD210F" w:rsidRPr="00A024C2" w:rsidRDefault="00A024C2" w:rsidP="00164F2C">
            <w:pPr>
              <w:pStyle w:val="TableText"/>
              <w:jc w:val="center"/>
              <w:rPr>
                <w:highlight w:val="black"/>
              </w:rPr>
            </w:pPr>
            <w:r>
              <w:rPr>
                <w:noProof/>
                <w:color w:val="000000"/>
                <w:highlight w:val="black"/>
              </w:rPr>
              <w:t>'''''''''''''''' ''''''''''''''''''</w:t>
            </w:r>
          </w:p>
        </w:tc>
      </w:tr>
      <w:tr w:rsidR="00D97459" w:rsidRPr="00F67030" w:rsidTr="00D97459">
        <w:tc>
          <w:tcPr>
            <w:tcW w:w="941" w:type="pct"/>
            <w:shd w:val="clear" w:color="auto" w:fill="auto"/>
            <w:vAlign w:val="center"/>
          </w:tcPr>
          <w:p w:rsidR="00D97459" w:rsidRPr="00F67030" w:rsidRDefault="00D97459" w:rsidP="00D97459">
            <w:pPr>
              <w:pStyle w:val="TableText"/>
              <w:rPr>
                <w:rFonts w:ascii="Times" w:eastAsia="Times New Roman" w:hAnsi="Times" w:cs="Times New Roman"/>
                <w:vertAlign w:val="superscript"/>
              </w:rPr>
            </w:pPr>
            <w:r w:rsidRPr="00F67030">
              <w:t>Primary definition of PFS</w:t>
            </w:r>
            <w:r w:rsidR="009543B2" w:rsidRPr="00F67030">
              <w:rPr>
                <w:vertAlign w:val="superscript"/>
              </w:rPr>
              <w:t>b</w:t>
            </w:r>
          </w:p>
        </w:tc>
        <w:tc>
          <w:tcPr>
            <w:tcW w:w="786"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w:t>
            </w:r>
          </w:p>
        </w:tc>
        <w:tc>
          <w:tcPr>
            <w:tcW w:w="629"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w:t>
            </w:r>
          </w:p>
        </w:tc>
        <w:tc>
          <w:tcPr>
            <w:tcW w:w="707"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 '''''''''''</w:t>
            </w:r>
          </w:p>
        </w:tc>
        <w:tc>
          <w:tcPr>
            <w:tcW w:w="865"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 ''''''''''''</w:t>
            </w:r>
          </w:p>
        </w:tc>
        <w:tc>
          <w:tcPr>
            <w:tcW w:w="314" w:type="pct"/>
            <w:vAlign w:val="center"/>
          </w:tcPr>
          <w:p w:rsidR="00D97459" w:rsidRPr="00A024C2" w:rsidRDefault="00A024C2" w:rsidP="00164F2C">
            <w:pPr>
              <w:pStyle w:val="TableText"/>
              <w:jc w:val="center"/>
              <w:rPr>
                <w:highlight w:val="black"/>
              </w:rPr>
            </w:pPr>
            <w:r>
              <w:rPr>
                <w:noProof/>
                <w:color w:val="000000"/>
                <w:highlight w:val="black"/>
              </w:rPr>
              <w:t>'''''''''''''</w:t>
            </w:r>
          </w:p>
        </w:tc>
        <w:tc>
          <w:tcPr>
            <w:tcW w:w="758" w:type="pct"/>
            <w:vAlign w:val="center"/>
          </w:tcPr>
          <w:p w:rsidR="00D97459" w:rsidRPr="00A024C2" w:rsidRDefault="00A024C2" w:rsidP="00164F2C">
            <w:pPr>
              <w:pStyle w:val="TableText"/>
              <w:jc w:val="center"/>
              <w:rPr>
                <w:highlight w:val="black"/>
              </w:rPr>
            </w:pPr>
            <w:r>
              <w:rPr>
                <w:noProof/>
                <w:color w:val="000000"/>
                <w:highlight w:val="black"/>
              </w:rPr>
              <w:t>'''''''''' ''''''''''''' ''''''''''''</w:t>
            </w:r>
          </w:p>
          <w:p w:rsidR="00D97459" w:rsidRPr="00A024C2" w:rsidRDefault="00A024C2" w:rsidP="00164F2C">
            <w:pPr>
              <w:pStyle w:val="TableText"/>
              <w:jc w:val="center"/>
              <w:rPr>
                <w:highlight w:val="black"/>
              </w:rPr>
            </w:pPr>
            <w:r>
              <w:rPr>
                <w:noProof/>
                <w:color w:val="000000"/>
                <w:highlight w:val="black"/>
              </w:rPr>
              <w:t>''''''''''''''''' ''''''''''''''' ''''</w:t>
            </w:r>
          </w:p>
        </w:tc>
      </w:tr>
      <w:tr w:rsidR="00D97459" w:rsidRPr="00F67030" w:rsidTr="00D97459">
        <w:tc>
          <w:tcPr>
            <w:tcW w:w="941" w:type="pct"/>
            <w:shd w:val="clear" w:color="auto" w:fill="auto"/>
            <w:vAlign w:val="center"/>
          </w:tcPr>
          <w:p w:rsidR="00D97459" w:rsidRPr="00F67030" w:rsidRDefault="00D97459" w:rsidP="00D97459">
            <w:pPr>
              <w:pStyle w:val="TableText"/>
              <w:rPr>
                <w:rFonts w:ascii="Times" w:eastAsia="Times New Roman" w:hAnsi="Times" w:cs="Times New Roman"/>
                <w:vertAlign w:val="superscript"/>
              </w:rPr>
            </w:pPr>
            <w:r w:rsidRPr="00F67030">
              <w:t>Secondary definition of PFS</w:t>
            </w:r>
            <w:r w:rsidR="009543B2" w:rsidRPr="00F67030">
              <w:rPr>
                <w:vertAlign w:val="superscript"/>
              </w:rPr>
              <w:t>c</w:t>
            </w:r>
          </w:p>
        </w:tc>
        <w:tc>
          <w:tcPr>
            <w:tcW w:w="786"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w:t>
            </w:r>
          </w:p>
        </w:tc>
        <w:tc>
          <w:tcPr>
            <w:tcW w:w="629"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w:t>
            </w:r>
          </w:p>
        </w:tc>
        <w:tc>
          <w:tcPr>
            <w:tcW w:w="707"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 ''''''''''''</w:t>
            </w:r>
          </w:p>
        </w:tc>
        <w:tc>
          <w:tcPr>
            <w:tcW w:w="865" w:type="pct"/>
            <w:shd w:val="clear" w:color="auto" w:fill="auto"/>
            <w:vAlign w:val="center"/>
          </w:tcPr>
          <w:p w:rsidR="00D97459" w:rsidRPr="00A024C2" w:rsidRDefault="00A024C2" w:rsidP="00164F2C">
            <w:pPr>
              <w:pStyle w:val="TableText"/>
              <w:jc w:val="center"/>
              <w:rPr>
                <w:highlight w:val="black"/>
              </w:rPr>
            </w:pPr>
            <w:r>
              <w:rPr>
                <w:noProof/>
                <w:color w:val="000000"/>
                <w:highlight w:val="black"/>
              </w:rPr>
              <w:t>'''''''''' ''''''''''''' '''''''''''''</w:t>
            </w:r>
          </w:p>
        </w:tc>
        <w:tc>
          <w:tcPr>
            <w:tcW w:w="314" w:type="pct"/>
            <w:vAlign w:val="center"/>
          </w:tcPr>
          <w:p w:rsidR="00D97459" w:rsidRPr="00A024C2" w:rsidRDefault="00A024C2" w:rsidP="00164F2C">
            <w:pPr>
              <w:pStyle w:val="TableText"/>
              <w:jc w:val="center"/>
              <w:rPr>
                <w:highlight w:val="black"/>
              </w:rPr>
            </w:pPr>
            <w:r>
              <w:rPr>
                <w:noProof/>
                <w:color w:val="000000"/>
                <w:highlight w:val="black"/>
              </w:rPr>
              <w:t>'''''''''''</w:t>
            </w:r>
          </w:p>
        </w:tc>
        <w:tc>
          <w:tcPr>
            <w:tcW w:w="758" w:type="pct"/>
            <w:vAlign w:val="center"/>
          </w:tcPr>
          <w:p w:rsidR="00D97459" w:rsidRPr="00A024C2" w:rsidRDefault="00A024C2" w:rsidP="00164F2C">
            <w:pPr>
              <w:pStyle w:val="TableText"/>
              <w:jc w:val="center"/>
              <w:rPr>
                <w:highlight w:val="black"/>
              </w:rPr>
            </w:pPr>
            <w:r>
              <w:rPr>
                <w:noProof/>
                <w:color w:val="000000"/>
                <w:highlight w:val="black"/>
              </w:rPr>
              <w:t>''''''''''' '''''''''''''' '''''''''''''</w:t>
            </w:r>
          </w:p>
          <w:p w:rsidR="00D97459" w:rsidRPr="00A024C2" w:rsidRDefault="00A024C2" w:rsidP="00164F2C">
            <w:pPr>
              <w:pStyle w:val="TableText"/>
              <w:jc w:val="center"/>
              <w:rPr>
                <w:highlight w:val="black"/>
              </w:rPr>
            </w:pPr>
            <w:r>
              <w:rPr>
                <w:noProof/>
                <w:color w:val="000000"/>
                <w:highlight w:val="black"/>
              </w:rPr>
              <w:t>'''''''''''''''''' '''''''''''''''' '''</w:t>
            </w:r>
          </w:p>
        </w:tc>
      </w:tr>
    </w:tbl>
    <w:p w:rsidR="00BD210F" w:rsidRPr="00F67030" w:rsidRDefault="00690B99" w:rsidP="00772501">
      <w:pPr>
        <w:pStyle w:val="TableFooter"/>
      </w:pPr>
      <w:r w:rsidRPr="00F67030">
        <w:t>a</w:t>
      </w:r>
      <w:r w:rsidR="00BD210F" w:rsidRPr="00F67030">
        <w:t xml:space="preserve"> Stratified Log-rank p-value</w:t>
      </w:r>
    </w:p>
    <w:p w:rsidR="00CA567A" w:rsidRPr="00F67030" w:rsidRDefault="009543B2" w:rsidP="00CA567A">
      <w:pPr>
        <w:pStyle w:val="TableFooter"/>
      </w:pPr>
      <w:r w:rsidRPr="00F67030">
        <w:t>b</w:t>
      </w:r>
      <w:r w:rsidR="00CA567A" w:rsidRPr="00F67030">
        <w:t xml:space="preserve"> The time between the date of randomisation and the first date of documented progression, as determined by the investigator (as per RECIST 1.1 criteria), or death due to any</w:t>
      </w:r>
      <w:r w:rsidR="00260024">
        <w:t xml:space="preserve"> cause, whichever occurs first.</w:t>
      </w:r>
      <w:r w:rsidR="00CA567A" w:rsidRPr="00F67030">
        <w:t xml:space="preserve"> Censoring rules:</w:t>
      </w:r>
    </w:p>
    <w:p w:rsidR="00CA567A" w:rsidRPr="00F67030" w:rsidRDefault="00CA567A" w:rsidP="00CA567A">
      <w:pPr>
        <w:pStyle w:val="TableFooter"/>
      </w:pPr>
      <w:r w:rsidRPr="00F67030">
        <w:t>Patients who did not progress or die were censored on date of last evaluable tumour assessment</w:t>
      </w:r>
    </w:p>
    <w:p w:rsidR="00CA567A" w:rsidRPr="00F67030" w:rsidRDefault="00CA567A" w:rsidP="00CA567A">
      <w:pPr>
        <w:pStyle w:val="TableFooter"/>
      </w:pPr>
      <w:r w:rsidRPr="00F67030">
        <w:t>Patients who did not have any on study tumour assessments and did not die will be censored on their date of randomisation</w:t>
      </w:r>
    </w:p>
    <w:p w:rsidR="00CA567A" w:rsidRPr="00F67030" w:rsidRDefault="00CA567A" w:rsidP="00CA567A">
      <w:pPr>
        <w:pStyle w:val="TableFooter"/>
      </w:pPr>
      <w:r w:rsidRPr="00F67030">
        <w:t>Patients who receive subsequent systemic anti-cancer therapy prior to documented progression will be censored at the date of the last tumour assessment prior to the initiation of the new therapy.</w:t>
      </w:r>
    </w:p>
    <w:p w:rsidR="00CA567A" w:rsidRPr="00F67030" w:rsidRDefault="00CA567A" w:rsidP="00CA567A">
      <w:pPr>
        <w:pStyle w:val="TableFooter"/>
      </w:pPr>
      <w:r w:rsidRPr="00F67030">
        <w:t>c The time between the date of randomisation and the first date of documented progression, as determined by the investigator (as per RECIST 1.1 criteria), or death due to any cause, whichever occurs first. Censoring rules:</w:t>
      </w:r>
    </w:p>
    <w:p w:rsidR="00CA567A" w:rsidRPr="00F67030" w:rsidRDefault="00CA567A" w:rsidP="00CA567A">
      <w:pPr>
        <w:pStyle w:val="TableFooter"/>
      </w:pPr>
      <w:r w:rsidRPr="00F67030">
        <w:t>Patients who did not progress or die were censored on date of last evaluable tumour assessment</w:t>
      </w:r>
    </w:p>
    <w:p w:rsidR="009543B2" w:rsidRPr="00F67030" w:rsidRDefault="00CA567A" w:rsidP="00CA567A">
      <w:pPr>
        <w:pStyle w:val="TableFooter"/>
      </w:pPr>
      <w:r w:rsidRPr="00F67030">
        <w:t>Patients who did not have any on study tumour assessments and did not die will be censored on their date of randomisation</w:t>
      </w:r>
    </w:p>
    <w:p w:rsidR="00690B99" w:rsidRPr="00F67030" w:rsidRDefault="00690B99" w:rsidP="00772501">
      <w:pPr>
        <w:pStyle w:val="TableFooter"/>
      </w:pPr>
      <w:r w:rsidRPr="00F67030">
        <w:t xml:space="preserve">CI: </w:t>
      </w:r>
      <w:r w:rsidR="00C77EC6">
        <w:t>c</w:t>
      </w:r>
      <w:r w:rsidRPr="00F67030">
        <w:t xml:space="preserve">onfidence interval; HR: </w:t>
      </w:r>
      <w:r w:rsidR="00C77EC6">
        <w:t>h</w:t>
      </w:r>
      <w:r w:rsidRPr="00F67030">
        <w:t>azard rat</w:t>
      </w:r>
      <w:r w:rsidR="00C77EC6">
        <w:t>io</w:t>
      </w:r>
      <w:r w:rsidRPr="00F67030">
        <w:t xml:space="preserve">; IC: </w:t>
      </w:r>
      <w:r w:rsidR="00C77EC6">
        <w:t>i</w:t>
      </w:r>
      <w:r w:rsidRPr="00F67030">
        <w:t>nvestigator’s choice</w:t>
      </w:r>
      <w:r w:rsidR="003A53F0" w:rsidRPr="00F67030">
        <w:t xml:space="preserve"> of therapy</w:t>
      </w:r>
      <w:r w:rsidRPr="00F67030">
        <w:t xml:space="preserve">; PFS: </w:t>
      </w:r>
      <w:r w:rsidR="00C77EC6">
        <w:t>p</w:t>
      </w:r>
      <w:r w:rsidRPr="00F67030">
        <w:t xml:space="preserve">rogression-free survival; OS: </w:t>
      </w:r>
      <w:r w:rsidR="00C77EC6">
        <w:t>o</w:t>
      </w:r>
      <w:r w:rsidRPr="00F67030">
        <w:t>verall survival</w:t>
      </w:r>
      <w:r w:rsidR="00C77EC6">
        <w:t>.</w:t>
      </w:r>
    </w:p>
    <w:p w:rsidR="00C317F3" w:rsidRPr="00F67030" w:rsidRDefault="00C317F3" w:rsidP="00772501">
      <w:pPr>
        <w:pStyle w:val="TableFooter"/>
      </w:pPr>
      <w:r w:rsidRPr="00F67030">
        <w:t xml:space="preserve">Source: </w:t>
      </w:r>
      <w:r w:rsidR="00BD210F" w:rsidRPr="00F67030">
        <w:t xml:space="preserve">Table 23 p58 </w:t>
      </w:r>
      <w:r w:rsidR="00D97459" w:rsidRPr="00F67030">
        <w:t xml:space="preserve">and Table 25 p60 </w:t>
      </w:r>
      <w:r w:rsidR="00BD210F" w:rsidRPr="00F67030">
        <w:t>of the submission</w:t>
      </w:r>
    </w:p>
    <w:p w:rsidR="00D97459" w:rsidRPr="00F67030" w:rsidRDefault="00D97459" w:rsidP="00D97459">
      <w:pPr>
        <w:pStyle w:val="TableHeading0"/>
      </w:pPr>
      <w:bookmarkStart w:id="14" w:name="_Ref471208205"/>
      <w:bookmarkStart w:id="15" w:name="_Toc486924221"/>
      <w:r w:rsidRPr="00F67030">
        <w:t xml:space="preserve">Figure 1: Kaplan-Meier </w:t>
      </w:r>
      <w:r w:rsidR="00B718DA" w:rsidRPr="00F67030">
        <w:t>OS</w:t>
      </w:r>
      <w:r w:rsidRPr="00F67030">
        <w:t xml:space="preserve"> plot – All randomised </w:t>
      </w:r>
      <w:r w:rsidR="004046F8" w:rsidRPr="00F67030">
        <w:t>patients</w:t>
      </w:r>
    </w:p>
    <w:bookmarkEnd w:id="14"/>
    <w:bookmarkEnd w:id="15"/>
    <w:p w:rsidR="00BD210F" w:rsidRPr="00F67030" w:rsidRDefault="00A024C2" w:rsidP="00D97459">
      <w:r>
        <w:rPr>
          <w:noProof/>
          <w:lang w:eastAsia="en-AU"/>
        </w:rPr>
        <w:drawing>
          <wp:inline distT="0" distB="0" distL="0" distR="0" wp14:anchorId="17D67C6C" wp14:editId="1A6FF887">
            <wp:extent cx="4647565" cy="2295525"/>
            <wp:effectExtent l="0" t="0" r="635" b="9525"/>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47565" cy="2295525"/>
                    </a:xfrm>
                    <a:prstGeom prst="rect">
                      <a:avLst/>
                    </a:prstGeom>
                  </pic:spPr>
                </pic:pic>
              </a:graphicData>
            </a:graphic>
          </wp:inline>
        </w:drawing>
      </w:r>
    </w:p>
    <w:p w:rsidR="00BD210F" w:rsidRPr="00A024C2" w:rsidRDefault="00A024C2" w:rsidP="00D97459">
      <w:pPr>
        <w:pStyle w:val="TableFooter"/>
        <w:rPr>
          <w:highlight w:val="black"/>
        </w:rPr>
      </w:pPr>
      <w:r>
        <w:rPr>
          <w:noProof/>
          <w:snapToGrid/>
          <w:color w:val="000000"/>
          <w:lang w:eastAsia="en-AU"/>
        </w:rPr>
        <w:drawing>
          <wp:inline distT="0" distB="0" distL="0" distR="0" wp14:anchorId="549E1CD9" wp14:editId="50C58773">
            <wp:extent cx="633730" cy="2095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3730" cy="209550"/>
                    </a:xfrm>
                    <a:prstGeom prst="rect">
                      <a:avLst/>
                    </a:prstGeom>
                  </pic:spPr>
                </pic:pic>
              </a:graphicData>
            </a:graphic>
          </wp:inline>
        </w:drawing>
      </w:r>
      <w:r>
        <w:rPr>
          <w:noProof/>
          <w:color w:val="000000"/>
          <w:highlight w:val="black"/>
        </w:rPr>
        <w:t>'''''''''''''''''''''''''' '''' '''''''''''''''' ''''''''''''''''''''' '''''''''''''''''''' '''''''''''''''''' '''''''' '''''''''' '''''' ''''''''''' '''''''''''' ''''''''''''</w:t>
      </w:r>
    </w:p>
    <w:p w:rsidR="00BD210F" w:rsidRPr="00A024C2" w:rsidRDefault="00A024C2" w:rsidP="00D97459">
      <w:pPr>
        <w:pStyle w:val="TableFooter"/>
        <w:rPr>
          <w:highlight w:val="black"/>
        </w:rPr>
      </w:pPr>
      <w:r>
        <w:rPr>
          <w:noProof/>
          <w:snapToGrid/>
          <w:color w:val="000000"/>
          <w:lang w:eastAsia="en-AU"/>
        </w:rPr>
        <w:drawing>
          <wp:inline distT="0" distB="0" distL="0" distR="0" wp14:anchorId="44EA1FB8" wp14:editId="64CFA09F">
            <wp:extent cx="628650" cy="17462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8650" cy="174625"/>
                    </a:xfrm>
                    <a:prstGeom prst="rect">
                      <a:avLst/>
                    </a:prstGeom>
                  </pic:spPr>
                </pic:pic>
              </a:graphicData>
            </a:graphic>
          </wp:inline>
        </w:drawing>
      </w:r>
      <w:r>
        <w:rPr>
          <w:noProof/>
          <w:color w:val="000000"/>
          <w:highlight w:val="black"/>
        </w:rPr>
        <w:t>'''''''''''''''''''''''''''' '''''''''''''' ''''' ''''''''''''''''' ''''''''''''''''''''' '''''''''''''''''''''' '''''''''''''''' '''''''''' ''''''''''' '''''''' ''''''''''' ''''''''''''' ''''''''''''</w:t>
      </w:r>
    </w:p>
    <w:p w:rsidR="00BD210F" w:rsidRPr="00A024C2" w:rsidRDefault="00A024C2" w:rsidP="00D97459">
      <w:pPr>
        <w:pStyle w:val="TableFooter"/>
        <w:rPr>
          <w:highlight w:val="black"/>
        </w:rPr>
      </w:pPr>
      <w:r>
        <w:rPr>
          <w:noProof/>
          <w:color w:val="000000"/>
          <w:highlight w:val="black"/>
        </w:rPr>
        <w:t>''''''''' ''''''''''''''''' ''''''''''''''''''''''''''''''' ''''''''''''''' ''''' ''''''''''''''''''' ''''''''''''' '''''''''''''''''''''''''</w:t>
      </w:r>
    </w:p>
    <w:p w:rsidR="00BD210F" w:rsidRPr="00A024C2" w:rsidRDefault="00A024C2" w:rsidP="00D97459">
      <w:pPr>
        <w:pStyle w:val="TableFooter"/>
        <w:rPr>
          <w:highlight w:val="black"/>
        </w:rPr>
      </w:pPr>
      <w:r>
        <w:rPr>
          <w:noProof/>
          <w:color w:val="000000"/>
          <w:highlight w:val="black"/>
        </w:rPr>
        <w:t>'''''''''''''''''' '''''''''''''''' ''''' ''''''''' ''''' '''''''' ''''''''''''''''''''''''''</w:t>
      </w:r>
    </w:p>
    <w:p w:rsidR="00D97459" w:rsidRPr="00F67030" w:rsidRDefault="006B64B3" w:rsidP="00D97459">
      <w:pPr>
        <w:pStyle w:val="TableHeading0"/>
      </w:pPr>
      <w:r w:rsidRPr="00F67030">
        <w:lastRenderedPageBreak/>
        <w:t>Figure 2</w:t>
      </w:r>
      <w:r w:rsidR="00D97459" w:rsidRPr="00F67030">
        <w:t xml:space="preserve">: Kaplan-Meier plot of </w:t>
      </w:r>
      <w:r w:rsidR="003D102E" w:rsidRPr="00F67030">
        <w:t xml:space="preserve">PFS </w:t>
      </w:r>
      <w:r w:rsidR="00D97459" w:rsidRPr="00F67030">
        <w:t xml:space="preserve">(primary definition) – All randomised </w:t>
      </w:r>
      <w:r w:rsidR="00925EC2" w:rsidRPr="00F67030">
        <w:t>patients</w:t>
      </w:r>
    </w:p>
    <w:p w:rsidR="00D97459" w:rsidRPr="00F67030" w:rsidRDefault="00A024C2" w:rsidP="00D97459">
      <w:r>
        <w:rPr>
          <w:noProof/>
          <w:lang w:eastAsia="en-AU"/>
        </w:rPr>
        <w:drawing>
          <wp:inline distT="0" distB="0" distL="0" distR="0" wp14:anchorId="0C51D83E" wp14:editId="3AE18C41">
            <wp:extent cx="5219700" cy="2666365"/>
            <wp:effectExtent l="0" t="0" r="0" b="635"/>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19700" cy="2666365"/>
                    </a:xfrm>
                    <a:prstGeom prst="rect">
                      <a:avLst/>
                    </a:prstGeom>
                  </pic:spPr>
                </pic:pic>
              </a:graphicData>
            </a:graphic>
          </wp:inline>
        </w:drawing>
      </w:r>
    </w:p>
    <w:p w:rsidR="00A87349" w:rsidRPr="00F67030" w:rsidRDefault="00A87349" w:rsidP="00A87349">
      <w:pPr>
        <w:pStyle w:val="TableFooter"/>
      </w:pPr>
      <w:r w:rsidRPr="00F67030">
        <w:t>INV Choice</w:t>
      </w:r>
      <w:r w:rsidR="00C77EC6">
        <w:t>:</w:t>
      </w:r>
      <w:r w:rsidRPr="00F67030">
        <w:t xml:space="preserve"> investigator’s choice of therapy; NIVO</w:t>
      </w:r>
      <w:r w:rsidR="00C77EC6">
        <w:t>:</w:t>
      </w:r>
      <w:r w:rsidRPr="00F67030">
        <w:t xml:space="preserve"> nivolumab</w:t>
      </w:r>
      <w:r w:rsidR="00C77EC6">
        <w:t>.</w:t>
      </w:r>
    </w:p>
    <w:p w:rsidR="00D97459" w:rsidRPr="00F67030" w:rsidRDefault="00D97459" w:rsidP="00D97459">
      <w:pPr>
        <w:pStyle w:val="TableFooter"/>
      </w:pPr>
      <w:r w:rsidRPr="00F67030">
        <w:t>Source: Figure 7, p61 of the submission</w:t>
      </w:r>
    </w:p>
    <w:p w:rsidR="00D97459" w:rsidRPr="00F67030" w:rsidRDefault="00D97459" w:rsidP="00D97459">
      <w:pPr>
        <w:pStyle w:val="TableHeading0"/>
      </w:pPr>
      <w:r w:rsidRPr="00F67030">
        <w:t xml:space="preserve">Figure </w:t>
      </w:r>
      <w:r w:rsidR="006B64B3" w:rsidRPr="00F67030">
        <w:t>3</w:t>
      </w:r>
      <w:r w:rsidRPr="00F67030">
        <w:t xml:space="preserve">: Kaplan-Meier plot of </w:t>
      </w:r>
      <w:r w:rsidR="003D102E" w:rsidRPr="00F67030">
        <w:t>PFS</w:t>
      </w:r>
      <w:r w:rsidRPr="00F67030">
        <w:t xml:space="preserve"> (secondary definition) – All randomised </w:t>
      </w:r>
      <w:r w:rsidR="00925EC2" w:rsidRPr="00F67030">
        <w:t>patients</w:t>
      </w:r>
    </w:p>
    <w:p w:rsidR="00D97459" w:rsidRPr="00F67030" w:rsidRDefault="00A024C2" w:rsidP="00D97459">
      <w:r>
        <w:rPr>
          <w:noProof/>
          <w:lang w:eastAsia="en-AU"/>
        </w:rPr>
        <w:drawing>
          <wp:inline distT="0" distB="0" distL="0" distR="0" wp14:anchorId="79CE6942" wp14:editId="7EA90C66">
            <wp:extent cx="5057775" cy="2999740"/>
            <wp:effectExtent l="0" t="0" r="9525"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57775" cy="2999740"/>
                    </a:xfrm>
                    <a:prstGeom prst="rect">
                      <a:avLst/>
                    </a:prstGeom>
                  </pic:spPr>
                </pic:pic>
              </a:graphicData>
            </a:graphic>
          </wp:inline>
        </w:drawing>
      </w:r>
    </w:p>
    <w:p w:rsidR="00A87349" w:rsidRPr="00F67030" w:rsidRDefault="00A87349" w:rsidP="00A87349">
      <w:pPr>
        <w:pStyle w:val="TableFooter"/>
      </w:pPr>
      <w:r w:rsidRPr="00F67030">
        <w:t>INV Choice</w:t>
      </w:r>
      <w:r w:rsidR="00C77EC6">
        <w:t>:</w:t>
      </w:r>
      <w:r w:rsidRPr="00F67030">
        <w:t xml:space="preserve"> investigator’s choice of therapy; NIVO</w:t>
      </w:r>
      <w:r w:rsidR="00C77EC6">
        <w:t>:</w:t>
      </w:r>
      <w:r w:rsidRPr="00F67030">
        <w:t xml:space="preserve"> nivolumab</w:t>
      </w:r>
      <w:r w:rsidR="00C77EC6">
        <w:t>.</w:t>
      </w:r>
    </w:p>
    <w:p w:rsidR="00D97459" w:rsidRPr="00F67030" w:rsidRDefault="00D97459" w:rsidP="00D97459">
      <w:pPr>
        <w:pStyle w:val="TableFooter"/>
      </w:pPr>
      <w:r w:rsidRPr="00F67030">
        <w:t>Source: Figure 8, p61 of the submission</w:t>
      </w:r>
    </w:p>
    <w:p w:rsidR="002A3FC3" w:rsidRPr="00F67030" w:rsidRDefault="00D97459" w:rsidP="00457C75">
      <w:pPr>
        <w:pStyle w:val="ListParagraph"/>
        <w:numPr>
          <w:ilvl w:val="1"/>
          <w:numId w:val="1"/>
        </w:numPr>
        <w:spacing w:before="0" w:after="120"/>
        <w:jc w:val="both"/>
      </w:pPr>
      <w:r w:rsidRPr="00F67030">
        <w:t xml:space="preserve">There was a statistically significant difference in OS between nivolumab and </w:t>
      </w:r>
      <w:r w:rsidR="00A87349" w:rsidRPr="00F67030">
        <w:t>the investigator’s choice of therapy (</w:t>
      </w:r>
      <w:r w:rsidRPr="00F67030">
        <w:t>IC</w:t>
      </w:r>
      <w:r w:rsidR="00A87349" w:rsidRPr="00F67030">
        <w:t>)</w:t>
      </w:r>
      <w:r w:rsidRPr="00F67030">
        <w:t>, however there was no statistically significant difference in PFS.</w:t>
      </w:r>
      <w:r w:rsidR="002A3FC3" w:rsidRPr="00F67030">
        <w:t xml:space="preserve"> </w:t>
      </w:r>
      <w:r w:rsidR="002A3FC3" w:rsidRPr="00F67030">
        <w:rPr>
          <w:rFonts w:cstheme="minorHAnsi"/>
          <w:szCs w:val="24"/>
        </w:rPr>
        <w:t xml:space="preserve">The median difference in OS was </w:t>
      </w:r>
      <w:r w:rsidR="00A024C2">
        <w:rPr>
          <w:rFonts w:cstheme="minorHAnsi"/>
          <w:noProof/>
          <w:color w:val="000000"/>
          <w:szCs w:val="24"/>
          <w:highlight w:val="black"/>
        </w:rPr>
        <w:t>''''''''</w:t>
      </w:r>
      <w:r w:rsidR="002A3FC3" w:rsidRPr="00F67030">
        <w:rPr>
          <w:rFonts w:cstheme="minorHAnsi"/>
          <w:szCs w:val="24"/>
        </w:rPr>
        <w:t xml:space="preserve"> months.</w:t>
      </w:r>
    </w:p>
    <w:p w:rsidR="002A3FC3" w:rsidRPr="00F67030" w:rsidRDefault="00F9643E" w:rsidP="00457C75">
      <w:pPr>
        <w:pStyle w:val="ListParagraph"/>
        <w:numPr>
          <w:ilvl w:val="1"/>
          <w:numId w:val="1"/>
        </w:numPr>
        <w:spacing w:before="0" w:after="120"/>
        <w:jc w:val="both"/>
      </w:pPr>
      <w:r w:rsidRPr="00F67030">
        <w:t xml:space="preserve">Initially there was a rapid </w:t>
      </w:r>
      <w:r w:rsidR="002A4891" w:rsidRPr="00F67030">
        <w:t>occurrence</w:t>
      </w:r>
      <w:r w:rsidRPr="00F67030">
        <w:t xml:space="preserve"> of progression observed in </w:t>
      </w:r>
      <w:r w:rsidR="002A3FC3" w:rsidRPr="00F67030">
        <w:t xml:space="preserve">both </w:t>
      </w:r>
      <w:r w:rsidRPr="00F67030">
        <w:t xml:space="preserve">the </w:t>
      </w:r>
      <w:r w:rsidR="002A3FC3" w:rsidRPr="00F67030">
        <w:t xml:space="preserve">nivolumab and </w:t>
      </w:r>
      <w:r w:rsidR="00690B99" w:rsidRPr="00F67030">
        <w:t>investigator’s choice</w:t>
      </w:r>
      <w:r w:rsidR="003A53F0" w:rsidRPr="00F67030">
        <w:t xml:space="preserve"> of therapy</w:t>
      </w:r>
      <w:r w:rsidRPr="00F67030">
        <w:t xml:space="preserve"> arms</w:t>
      </w:r>
      <w:r w:rsidR="002A3FC3" w:rsidRPr="00F67030">
        <w:t xml:space="preserve">, however there was a delayed separation of the Kaplan-Meier curves favouring nivolumab. </w:t>
      </w:r>
      <w:r w:rsidR="002238A1" w:rsidRPr="00F67030">
        <w:t xml:space="preserve">The submission claimed that “the PFS curves were heavily influenced by the steep drop observed within the first 8 weeks of follow-up and the crossing of curves at about 4 months. The steep drop may be an </w:t>
      </w:r>
      <w:r w:rsidR="006622B5">
        <w:t>arti</w:t>
      </w:r>
      <w:r w:rsidR="00A72969" w:rsidRPr="00F67030">
        <w:t>fact</w:t>
      </w:r>
      <w:r w:rsidR="002238A1" w:rsidRPr="00F67030">
        <w:t xml:space="preserve"> [sic] of the clinical trial design for Study CA209141, whereby the first </w:t>
      </w:r>
      <w:r w:rsidR="002238A1" w:rsidRPr="00F67030">
        <w:lastRenderedPageBreak/>
        <w:t>assessment of disease progression was conducted 8 weeks after randomisation. However, it is also possible that these curves represent an underlying clinical process such as a delayed effect on PFS for nivolumab”.</w:t>
      </w:r>
      <w:r w:rsidR="00267723" w:rsidRPr="00F67030">
        <w:t xml:space="preserve"> This</w:t>
      </w:r>
      <w:r w:rsidR="002238A1" w:rsidRPr="00F67030">
        <w:t xml:space="preserve"> reason </w:t>
      </w:r>
      <w:r w:rsidR="0007584B" w:rsidRPr="00F67030">
        <w:t>wa</w:t>
      </w:r>
      <w:r w:rsidR="00267723" w:rsidRPr="00F67030">
        <w:t xml:space="preserve">s </w:t>
      </w:r>
      <w:r w:rsidR="002238A1" w:rsidRPr="00F67030">
        <w:t xml:space="preserve">plausible, although </w:t>
      </w:r>
      <w:r w:rsidR="00D03C78" w:rsidRPr="00F67030">
        <w:t>this could also be the result of</w:t>
      </w:r>
      <w:r w:rsidR="002238A1" w:rsidRPr="00F67030">
        <w:t xml:space="preserve"> a </w:t>
      </w:r>
      <w:r w:rsidR="002A3FC3" w:rsidRPr="00F67030">
        <w:t>subset of patients who respond</w:t>
      </w:r>
      <w:r w:rsidR="00CA567A" w:rsidRPr="00F67030">
        <w:t xml:space="preserve"> better</w:t>
      </w:r>
      <w:r w:rsidR="002A3FC3" w:rsidRPr="00F67030">
        <w:t xml:space="preserve"> to nivolumab.</w:t>
      </w:r>
    </w:p>
    <w:p w:rsidR="00267723" w:rsidRPr="00F67030" w:rsidRDefault="00BD210F" w:rsidP="00457C75">
      <w:pPr>
        <w:pStyle w:val="ListParagraph"/>
        <w:numPr>
          <w:ilvl w:val="1"/>
          <w:numId w:val="1"/>
        </w:numPr>
        <w:spacing w:before="0" w:after="0"/>
        <w:jc w:val="both"/>
      </w:pPr>
      <w:r w:rsidRPr="00F67030">
        <w:t>S</w:t>
      </w:r>
      <w:r w:rsidR="00267723" w:rsidRPr="00F67030">
        <w:t>ubgroup analys</w:t>
      </w:r>
      <w:r w:rsidR="00E063E5" w:rsidRPr="00F67030">
        <w:t>e</w:t>
      </w:r>
      <w:r w:rsidR="00267723" w:rsidRPr="00F67030">
        <w:t>s found that the OS HR was more favourable when nivolumab was compared to cetuximab, th</w:t>
      </w:r>
      <w:r w:rsidR="00E063E5" w:rsidRPr="00F67030">
        <w:t>a</w:t>
      </w:r>
      <w:r w:rsidR="00267723" w:rsidRPr="00F67030">
        <w:t xml:space="preserve">n </w:t>
      </w:r>
      <w:r w:rsidR="00E063E5" w:rsidRPr="00F67030">
        <w:t xml:space="preserve">to </w:t>
      </w:r>
      <w:r w:rsidR="00267723" w:rsidRPr="00F67030">
        <w:t xml:space="preserve">methotrexate </w:t>
      </w:r>
      <w:r w:rsidR="00E063E5" w:rsidRPr="00F67030">
        <w:t>or</w:t>
      </w:r>
      <w:r w:rsidR="00267723" w:rsidRPr="00F67030">
        <w:t xml:space="preserve"> docetaxel:</w:t>
      </w:r>
    </w:p>
    <w:p w:rsidR="00267723" w:rsidRPr="00A024C2" w:rsidRDefault="00C77EC6" w:rsidP="006D40B7">
      <w:pPr>
        <w:pStyle w:val="ListParagraph"/>
        <w:numPr>
          <w:ilvl w:val="0"/>
          <w:numId w:val="3"/>
        </w:numPr>
        <w:spacing w:before="0" w:after="0"/>
        <w:ind w:left="993" w:hanging="284"/>
        <w:jc w:val="both"/>
        <w:rPr>
          <w:u w:val="single"/>
        </w:rPr>
      </w:pPr>
      <w:r>
        <w:t>n</w:t>
      </w:r>
      <w:r w:rsidR="00267723" w:rsidRPr="00F67030">
        <w:t xml:space="preserve">ivolumab vs. cetuximab: </w:t>
      </w:r>
      <w:r w:rsidR="00A024C2">
        <w:rPr>
          <w:noProof/>
          <w:color w:val="000000"/>
          <w:highlight w:val="black"/>
        </w:rPr>
        <w:t>'''''' ''''' ''''''''' ''''''''' '''''' '''''''''' ''''''''''</w:t>
      </w:r>
    </w:p>
    <w:p w:rsidR="00267723" w:rsidRPr="00F67030" w:rsidRDefault="00C77EC6" w:rsidP="006D40B7">
      <w:pPr>
        <w:pStyle w:val="ListParagraph"/>
        <w:numPr>
          <w:ilvl w:val="0"/>
          <w:numId w:val="3"/>
        </w:numPr>
        <w:spacing w:before="0" w:after="0"/>
        <w:ind w:left="993" w:hanging="284"/>
        <w:jc w:val="both"/>
        <w:rPr>
          <w:u w:val="single"/>
        </w:rPr>
      </w:pPr>
      <w:r>
        <w:t>n</w:t>
      </w:r>
      <w:r w:rsidR="00267723" w:rsidRPr="00F67030">
        <w:t xml:space="preserve">ivolumab vs. methotrexate: </w:t>
      </w:r>
      <w:r w:rsidR="00A024C2">
        <w:rPr>
          <w:noProof/>
          <w:color w:val="000000"/>
          <w:highlight w:val="black"/>
        </w:rPr>
        <w:t>''''' '''''' ''''''''' ''''''''' ''''' '''''''''' ''''''''''</w:t>
      </w:r>
    </w:p>
    <w:p w:rsidR="00267723" w:rsidRPr="00F67030" w:rsidRDefault="00C77EC6" w:rsidP="006D40B7">
      <w:pPr>
        <w:pStyle w:val="ListParagraph"/>
        <w:numPr>
          <w:ilvl w:val="0"/>
          <w:numId w:val="3"/>
        </w:numPr>
        <w:spacing w:before="0" w:after="0"/>
        <w:ind w:left="993" w:hanging="284"/>
        <w:jc w:val="both"/>
        <w:rPr>
          <w:u w:val="single"/>
        </w:rPr>
      </w:pPr>
      <w:r>
        <w:t>n</w:t>
      </w:r>
      <w:r w:rsidR="00267723" w:rsidRPr="00F67030">
        <w:t xml:space="preserve">ivolumab vs. docetaxel: </w:t>
      </w:r>
      <w:r w:rsidR="00A024C2">
        <w:rPr>
          <w:noProof/>
          <w:color w:val="000000"/>
          <w:highlight w:val="black"/>
        </w:rPr>
        <w:t>''''' ''''' '''''''' '''''''''' '''''' '''''''''' '''''''''''</w:t>
      </w:r>
    </w:p>
    <w:p w:rsidR="00A72307" w:rsidRPr="00F67030" w:rsidRDefault="00A72307" w:rsidP="006D40B7">
      <w:pPr>
        <w:ind w:left="709"/>
        <w:jc w:val="both"/>
        <w:rPr>
          <w:u w:val="single"/>
        </w:rPr>
      </w:pPr>
      <w:r w:rsidRPr="00F67030">
        <w:t>However, this analysis was not pre-</w:t>
      </w:r>
      <w:r w:rsidR="002E2549" w:rsidRPr="00F67030">
        <w:t>specified</w:t>
      </w:r>
      <w:r w:rsidRPr="00F67030">
        <w:t xml:space="preserve"> in the </w:t>
      </w:r>
      <w:r w:rsidR="002E2549" w:rsidRPr="00F67030">
        <w:t>trial protocol.</w:t>
      </w:r>
    </w:p>
    <w:p w:rsidR="00267723" w:rsidRPr="00F67030" w:rsidRDefault="002E2E86" w:rsidP="00457C75">
      <w:pPr>
        <w:pStyle w:val="ListParagraph"/>
        <w:numPr>
          <w:ilvl w:val="1"/>
          <w:numId w:val="1"/>
        </w:numPr>
        <w:spacing w:after="0"/>
        <w:jc w:val="both"/>
      </w:pPr>
      <w:r w:rsidRPr="00F67030">
        <w:t>Pre-specified s</w:t>
      </w:r>
      <w:r w:rsidR="00C728EB" w:rsidRPr="00F67030">
        <w:t>ubgroup analys</w:t>
      </w:r>
      <w:r w:rsidR="00E063E5" w:rsidRPr="00F67030">
        <w:t>e</w:t>
      </w:r>
      <w:r w:rsidR="00C728EB" w:rsidRPr="00F67030">
        <w:t xml:space="preserve">s </w:t>
      </w:r>
      <w:r w:rsidR="00267723" w:rsidRPr="00F67030">
        <w:t xml:space="preserve">also </w:t>
      </w:r>
      <w:r w:rsidR="00C728EB" w:rsidRPr="00F67030">
        <w:t xml:space="preserve">found that patients with PD-L1 tumour expression </w:t>
      </w:r>
      <w:r w:rsidR="00C728EB" w:rsidRPr="00F67030">
        <w:rPr>
          <w:rFonts w:cstheme="minorHAnsi"/>
        </w:rPr>
        <w:t>≥</w:t>
      </w:r>
      <w:r w:rsidR="00C728EB" w:rsidRPr="00F67030">
        <w:t>1% experienced a greater gain in OS</w:t>
      </w:r>
      <w:r w:rsidR="00267723" w:rsidRPr="00F67030">
        <w:t>:</w:t>
      </w:r>
    </w:p>
    <w:p w:rsidR="00267723" w:rsidRPr="00F67030" w:rsidRDefault="00267723" w:rsidP="006D40B7">
      <w:pPr>
        <w:pStyle w:val="ListParagraph"/>
        <w:numPr>
          <w:ilvl w:val="0"/>
          <w:numId w:val="3"/>
        </w:numPr>
        <w:spacing w:before="0" w:after="0"/>
        <w:ind w:left="993" w:hanging="284"/>
        <w:jc w:val="both"/>
      </w:pPr>
      <w:r w:rsidRPr="00F67030">
        <w:t xml:space="preserve">PD-L1 expression ≥1%: </w:t>
      </w:r>
      <w:r w:rsidR="00A024C2">
        <w:rPr>
          <w:noProof/>
          <w:color w:val="000000"/>
          <w:highlight w:val="black"/>
        </w:rPr>
        <w:t>'''''' '''''' ''''''''' ''''''''' ''''' '''''''''' '''''''''</w:t>
      </w:r>
    </w:p>
    <w:p w:rsidR="00267723" w:rsidRPr="00F67030" w:rsidRDefault="00267723" w:rsidP="006D40B7">
      <w:pPr>
        <w:pStyle w:val="ListParagraph"/>
        <w:numPr>
          <w:ilvl w:val="0"/>
          <w:numId w:val="3"/>
        </w:numPr>
        <w:spacing w:before="0" w:after="0"/>
        <w:ind w:left="993" w:hanging="284"/>
        <w:jc w:val="both"/>
      </w:pPr>
      <w:r w:rsidRPr="00F67030">
        <w:t xml:space="preserve">PD-L1 expression &lt;1%: </w:t>
      </w:r>
      <w:r w:rsidR="00A024C2">
        <w:rPr>
          <w:noProof/>
          <w:color w:val="000000"/>
          <w:highlight w:val="black"/>
        </w:rPr>
        <w:t>''''' '''''' '''''''' ''''''''' ''''' '''''''''' '''''''''''</w:t>
      </w:r>
    </w:p>
    <w:p w:rsidR="004D2642" w:rsidRPr="008554A4" w:rsidRDefault="004D2642" w:rsidP="00457C75">
      <w:pPr>
        <w:pStyle w:val="ListParagraph"/>
        <w:numPr>
          <w:ilvl w:val="1"/>
          <w:numId w:val="1"/>
        </w:numPr>
        <w:jc w:val="both"/>
      </w:pPr>
      <w:r w:rsidRPr="008554A4">
        <w:t>The PSCR (p2) stated that the results of subgroup analyses based on nivolumab versus individual IC agents should be interpreted with caution due to the small sample sizes treated with each individual agent (docetaxel n=</w:t>
      </w:r>
      <w:r w:rsidR="00A024C2">
        <w:rPr>
          <w:noProof/>
          <w:color w:val="000000"/>
          <w:highlight w:val="black"/>
        </w:rPr>
        <w:t>'''''</w:t>
      </w:r>
      <w:r w:rsidRPr="008554A4">
        <w:t>; methotrexate n=</w:t>
      </w:r>
      <w:r w:rsidR="00A024C2">
        <w:rPr>
          <w:noProof/>
          <w:color w:val="000000"/>
          <w:highlight w:val="black"/>
        </w:rPr>
        <w:t>'''''</w:t>
      </w:r>
      <w:r w:rsidRPr="008554A4">
        <w:t>; cetuximab n=</w:t>
      </w:r>
      <w:r w:rsidR="00A024C2">
        <w:rPr>
          <w:noProof/>
          <w:color w:val="000000"/>
          <w:highlight w:val="black"/>
        </w:rPr>
        <w:t>'''''</w:t>
      </w:r>
      <w:r w:rsidRPr="008554A4">
        <w:t xml:space="preserve">) and may be at risk of selection bias for patient characteristics. The ESC acknowledged that the analyses could have been confounded by </w:t>
      </w:r>
      <w:r w:rsidR="00AD0CB2" w:rsidRPr="008554A4">
        <w:t>po</w:t>
      </w:r>
      <w:r w:rsidR="002365B8" w:rsidRPr="008554A4">
        <w:t>tential</w:t>
      </w:r>
      <w:r w:rsidR="00AD0CB2" w:rsidRPr="008554A4">
        <w:t xml:space="preserve"> selection bias in</w:t>
      </w:r>
      <w:r w:rsidRPr="008554A4">
        <w:t xml:space="preserve"> the individual IC subgroups; however, </w:t>
      </w:r>
      <w:r w:rsidR="00E71362" w:rsidRPr="008554A4">
        <w:t xml:space="preserve">the ESC </w:t>
      </w:r>
      <w:r w:rsidR="00451540" w:rsidRPr="008554A4">
        <w:t>considered</w:t>
      </w:r>
      <w:r w:rsidRPr="008554A4">
        <w:t xml:space="preserve"> that the applicability of the results to the Australian setting remained uncertain. In particular, the ESC advised that it was unclear whether the removal of cetuximab and </w:t>
      </w:r>
      <w:r w:rsidR="00260024" w:rsidRPr="008554A4">
        <w:t xml:space="preserve">the </w:t>
      </w:r>
      <w:r w:rsidRPr="008554A4">
        <w:t xml:space="preserve">addition of capecitabine as a comparator would affect </w:t>
      </w:r>
      <w:r w:rsidR="00451540" w:rsidRPr="008554A4">
        <w:t>the incremental effectiveness of nivolumab</w:t>
      </w:r>
      <w:r w:rsidRPr="008554A4">
        <w:t>.</w:t>
      </w:r>
      <w:r w:rsidR="00316426" w:rsidRPr="00316426">
        <w:t xml:space="preserve"> </w:t>
      </w:r>
      <w:r w:rsidR="00316426">
        <w:t xml:space="preserve">The </w:t>
      </w:r>
      <w:r w:rsidR="00316426" w:rsidRPr="00316426">
        <w:t xml:space="preserve">pre-PBAC response (p1) </w:t>
      </w:r>
      <w:r w:rsidR="00316426">
        <w:t xml:space="preserve">reiterated </w:t>
      </w:r>
      <w:r w:rsidR="00316426" w:rsidRPr="00316426">
        <w:t>that SOC in Australia for treating this condition is varied, and therefore the treatments in the study’s comparator arm were representative of the results expected with SOC in Australia</w:t>
      </w:r>
      <w:r w:rsidR="00AE512A">
        <w:t>.</w:t>
      </w:r>
    </w:p>
    <w:p w:rsidR="00267723" w:rsidRPr="00F67030" w:rsidRDefault="00C728EB" w:rsidP="00457C75">
      <w:pPr>
        <w:pStyle w:val="ListParagraph"/>
        <w:numPr>
          <w:ilvl w:val="1"/>
          <w:numId w:val="1"/>
        </w:numPr>
        <w:jc w:val="both"/>
      </w:pPr>
      <w:r w:rsidRPr="00F67030">
        <w:t>The p-value for the interaction term (</w:t>
      </w:r>
      <w:r w:rsidR="00A024C2">
        <w:rPr>
          <w:noProof/>
          <w:color w:val="000000"/>
          <w:highlight w:val="black"/>
        </w:rPr>
        <w:t>''''''''''''''</w:t>
      </w:r>
      <w:r w:rsidRPr="00F67030">
        <w:t xml:space="preserve">) suggests a possible predictive relationship between PD-L1 expression and OS considering the trial was not powered to detect such </w:t>
      </w:r>
      <w:r w:rsidRPr="00571BCE">
        <w:t>an interaction.</w:t>
      </w:r>
    </w:p>
    <w:p w:rsidR="00BD210F" w:rsidRPr="00F67030" w:rsidRDefault="00C728EB" w:rsidP="00457C75">
      <w:pPr>
        <w:pStyle w:val="ListParagraph"/>
        <w:numPr>
          <w:ilvl w:val="1"/>
          <w:numId w:val="1"/>
        </w:numPr>
        <w:jc w:val="both"/>
      </w:pPr>
      <w:r w:rsidRPr="00F67030">
        <w:t xml:space="preserve">The median gain in OS was </w:t>
      </w:r>
      <w:r w:rsidR="00A024C2">
        <w:rPr>
          <w:noProof/>
          <w:color w:val="000000"/>
          <w:highlight w:val="black"/>
        </w:rPr>
        <w:t>'''''''</w:t>
      </w:r>
      <w:r w:rsidRPr="00F67030">
        <w:t xml:space="preserve"> months for patients with PD-L1 expression </w:t>
      </w:r>
      <w:r w:rsidRPr="00F67030">
        <w:rPr>
          <w:rFonts w:cstheme="minorHAnsi"/>
        </w:rPr>
        <w:t>≥</w:t>
      </w:r>
      <w:r w:rsidRPr="00F67030">
        <w:t xml:space="preserve">1%, compared to </w:t>
      </w:r>
      <w:r w:rsidR="00A024C2">
        <w:rPr>
          <w:noProof/>
          <w:color w:val="000000"/>
          <w:highlight w:val="black"/>
        </w:rPr>
        <w:t>''''''</w:t>
      </w:r>
      <w:r w:rsidRPr="00F67030">
        <w:t xml:space="preserve"> months in patients with PD-L1 expression &lt;1%.</w:t>
      </w:r>
    </w:p>
    <w:p w:rsidR="00C317F3" w:rsidRPr="00424FE4" w:rsidRDefault="00C317F3" w:rsidP="00772501">
      <w:pPr>
        <w:pStyle w:val="Heading2"/>
      </w:pPr>
      <w:bookmarkStart w:id="16" w:name="_Toc413139279"/>
      <w:bookmarkStart w:id="17" w:name="_Toc493002792"/>
      <w:r w:rsidRPr="00424FE4">
        <w:t>Comparative harms</w:t>
      </w:r>
      <w:bookmarkEnd w:id="16"/>
      <w:bookmarkEnd w:id="17"/>
    </w:p>
    <w:p w:rsidR="004B6880" w:rsidRPr="00F67030" w:rsidRDefault="004B6880" w:rsidP="00457C75">
      <w:pPr>
        <w:pStyle w:val="ListParagraph"/>
        <w:numPr>
          <w:ilvl w:val="1"/>
          <w:numId w:val="1"/>
        </w:numPr>
        <w:spacing w:before="0" w:after="120"/>
        <w:jc w:val="both"/>
      </w:pPr>
      <w:r w:rsidRPr="00F67030">
        <w:t xml:space="preserve">Table </w:t>
      </w:r>
      <w:r w:rsidR="00C77EC6">
        <w:t xml:space="preserve">5 </w:t>
      </w:r>
      <w:r w:rsidRPr="00F67030">
        <w:t>presents an overview of the all caus</w:t>
      </w:r>
      <w:r w:rsidR="00164F2C" w:rsidRPr="00F67030">
        <w:t>e</w:t>
      </w:r>
      <w:r w:rsidRPr="00F67030">
        <w:t xml:space="preserve"> AEs, drug related AEs and deaths in Trial CA209141.</w:t>
      </w:r>
    </w:p>
    <w:p w:rsidR="004B6880" w:rsidRPr="00F67030" w:rsidRDefault="004B6880" w:rsidP="0052159F">
      <w:pPr>
        <w:pStyle w:val="TableHeading0"/>
      </w:pPr>
      <w:r w:rsidRPr="00F67030">
        <w:lastRenderedPageBreak/>
        <w:t>Table 5: Summary of key AEs in the direct randomised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83"/>
        <w:gridCol w:w="1633"/>
        <w:gridCol w:w="1633"/>
        <w:gridCol w:w="1400"/>
        <w:gridCol w:w="1633"/>
      </w:tblGrid>
      <w:tr w:rsidR="004B6880" w:rsidRPr="00F67030" w:rsidTr="00F11168">
        <w:trPr>
          <w:tblHeader/>
        </w:trPr>
        <w:tc>
          <w:tcPr>
            <w:tcW w:w="1532" w:type="pct"/>
            <w:tcBorders>
              <w:bottom w:val="single" w:sz="4" w:space="0" w:color="auto"/>
            </w:tcBorders>
            <w:vAlign w:val="center"/>
          </w:tcPr>
          <w:p w:rsidR="004B6880" w:rsidRPr="00F67030" w:rsidRDefault="004B6880" w:rsidP="0052159F">
            <w:pPr>
              <w:pStyle w:val="TableText"/>
              <w:rPr>
                <w:b/>
              </w:rPr>
            </w:pPr>
          </w:p>
        </w:tc>
        <w:tc>
          <w:tcPr>
            <w:tcW w:w="899" w:type="pct"/>
            <w:tcBorders>
              <w:bottom w:val="single" w:sz="4" w:space="0" w:color="auto"/>
            </w:tcBorders>
            <w:vAlign w:val="center"/>
          </w:tcPr>
          <w:p w:rsidR="004B6880" w:rsidRPr="00F67030" w:rsidRDefault="004B6880" w:rsidP="0052159F">
            <w:pPr>
              <w:pStyle w:val="TableText"/>
              <w:jc w:val="center"/>
              <w:rPr>
                <w:b/>
              </w:rPr>
            </w:pPr>
            <w:r w:rsidRPr="00F67030">
              <w:rPr>
                <w:b/>
              </w:rPr>
              <w:t>Nivolumab</w:t>
            </w:r>
          </w:p>
          <w:p w:rsidR="004B6880" w:rsidRPr="00F67030" w:rsidRDefault="004B6880" w:rsidP="0052159F">
            <w:pPr>
              <w:pStyle w:val="TableText"/>
              <w:jc w:val="center"/>
              <w:rPr>
                <w:b/>
              </w:rPr>
            </w:pPr>
            <w:r w:rsidRPr="00F67030">
              <w:rPr>
                <w:b/>
              </w:rPr>
              <w:t>n with event/N (%)</w:t>
            </w:r>
          </w:p>
        </w:tc>
        <w:tc>
          <w:tcPr>
            <w:tcW w:w="899" w:type="pct"/>
            <w:tcBorders>
              <w:bottom w:val="single" w:sz="4" w:space="0" w:color="auto"/>
            </w:tcBorders>
            <w:vAlign w:val="center"/>
          </w:tcPr>
          <w:p w:rsidR="004B6880" w:rsidRPr="00F67030" w:rsidRDefault="004B6880" w:rsidP="0052159F">
            <w:pPr>
              <w:pStyle w:val="TableText"/>
              <w:jc w:val="center"/>
              <w:rPr>
                <w:b/>
              </w:rPr>
            </w:pPr>
            <w:r w:rsidRPr="00F67030">
              <w:rPr>
                <w:b/>
              </w:rPr>
              <w:t>IC</w:t>
            </w:r>
          </w:p>
          <w:p w:rsidR="004B6880" w:rsidRPr="00F67030" w:rsidRDefault="004B6880" w:rsidP="0052159F">
            <w:pPr>
              <w:pStyle w:val="TableText"/>
              <w:jc w:val="center"/>
              <w:rPr>
                <w:b/>
              </w:rPr>
            </w:pPr>
            <w:r w:rsidRPr="00F67030">
              <w:rPr>
                <w:b/>
              </w:rPr>
              <w:t>n with event/N (%)</w:t>
            </w:r>
          </w:p>
        </w:tc>
        <w:tc>
          <w:tcPr>
            <w:tcW w:w="771" w:type="pct"/>
            <w:tcBorders>
              <w:bottom w:val="single" w:sz="4" w:space="0" w:color="auto"/>
            </w:tcBorders>
          </w:tcPr>
          <w:p w:rsidR="004B6880" w:rsidRPr="00F67030" w:rsidRDefault="004B6880" w:rsidP="0052159F">
            <w:pPr>
              <w:pStyle w:val="TableText"/>
              <w:jc w:val="center"/>
              <w:rPr>
                <w:b/>
              </w:rPr>
            </w:pPr>
            <w:r w:rsidRPr="00F67030">
              <w:rPr>
                <w:b/>
              </w:rPr>
              <w:t>RR</w:t>
            </w:r>
            <w:r w:rsidR="00164F2C" w:rsidRPr="00F67030">
              <w:rPr>
                <w:b/>
              </w:rPr>
              <w:t xml:space="preserve"> </w:t>
            </w:r>
            <w:r w:rsidRPr="00F67030">
              <w:rPr>
                <w:b/>
              </w:rPr>
              <w:t>(95% CI)</w:t>
            </w:r>
          </w:p>
        </w:tc>
        <w:tc>
          <w:tcPr>
            <w:tcW w:w="899" w:type="pct"/>
            <w:tcBorders>
              <w:bottom w:val="single" w:sz="4" w:space="0" w:color="auto"/>
            </w:tcBorders>
          </w:tcPr>
          <w:p w:rsidR="004B6880" w:rsidRPr="00F67030" w:rsidRDefault="004B6880" w:rsidP="0052159F">
            <w:pPr>
              <w:pStyle w:val="TableText"/>
              <w:jc w:val="center"/>
              <w:rPr>
                <w:b/>
              </w:rPr>
            </w:pPr>
            <w:r w:rsidRPr="00F67030">
              <w:rPr>
                <w:b/>
              </w:rPr>
              <w:t>RD</w:t>
            </w:r>
            <w:r w:rsidR="00164F2C" w:rsidRPr="00F67030">
              <w:rPr>
                <w:b/>
              </w:rPr>
              <w:t xml:space="preserve"> </w:t>
            </w:r>
            <w:r w:rsidRPr="00F67030">
              <w:rPr>
                <w:b/>
              </w:rPr>
              <w:t>(95% CI)</w:t>
            </w:r>
          </w:p>
        </w:tc>
      </w:tr>
      <w:tr w:rsidR="004B6880" w:rsidRPr="00F67030" w:rsidTr="00F11168">
        <w:tc>
          <w:tcPr>
            <w:tcW w:w="1532" w:type="pct"/>
            <w:tcBorders>
              <w:bottom w:val="nil"/>
            </w:tcBorders>
            <w:vAlign w:val="center"/>
          </w:tcPr>
          <w:p w:rsidR="004B6880" w:rsidRPr="00F67030" w:rsidRDefault="004B6880" w:rsidP="0052159F">
            <w:pPr>
              <w:pStyle w:val="TableText"/>
              <w:widowControl w:val="0"/>
            </w:pPr>
            <w:r w:rsidRPr="00F67030">
              <w:t xml:space="preserve">All </w:t>
            </w:r>
            <w:r w:rsidR="00164F2C" w:rsidRPr="00F67030">
              <w:t>c</w:t>
            </w:r>
            <w:r w:rsidRPr="00F67030">
              <w:t>aus</w:t>
            </w:r>
            <w:r w:rsidR="00164F2C" w:rsidRPr="00F67030">
              <w:t>e</w:t>
            </w:r>
          </w:p>
        </w:tc>
        <w:tc>
          <w:tcPr>
            <w:tcW w:w="899" w:type="pct"/>
            <w:tcBorders>
              <w:bottom w:val="nil"/>
            </w:tcBorders>
            <w:vAlign w:val="center"/>
          </w:tcPr>
          <w:p w:rsidR="004B6880" w:rsidRPr="00F67030" w:rsidRDefault="004B6880" w:rsidP="0052159F">
            <w:pPr>
              <w:pStyle w:val="TableText"/>
              <w:widowControl w:val="0"/>
              <w:jc w:val="center"/>
            </w:pPr>
          </w:p>
        </w:tc>
        <w:tc>
          <w:tcPr>
            <w:tcW w:w="899" w:type="pct"/>
            <w:tcBorders>
              <w:bottom w:val="nil"/>
            </w:tcBorders>
            <w:vAlign w:val="center"/>
          </w:tcPr>
          <w:p w:rsidR="004B6880" w:rsidRPr="00F67030" w:rsidRDefault="004B6880" w:rsidP="0052159F">
            <w:pPr>
              <w:pStyle w:val="TableText"/>
              <w:widowControl w:val="0"/>
              <w:jc w:val="center"/>
            </w:pPr>
          </w:p>
        </w:tc>
        <w:tc>
          <w:tcPr>
            <w:tcW w:w="771" w:type="pct"/>
            <w:tcBorders>
              <w:bottom w:val="nil"/>
            </w:tcBorders>
            <w:vAlign w:val="center"/>
          </w:tcPr>
          <w:p w:rsidR="004B6880" w:rsidRPr="00F67030" w:rsidRDefault="004B6880" w:rsidP="0052159F">
            <w:pPr>
              <w:pStyle w:val="TableText"/>
              <w:widowControl w:val="0"/>
              <w:jc w:val="center"/>
            </w:pPr>
          </w:p>
        </w:tc>
        <w:tc>
          <w:tcPr>
            <w:tcW w:w="899" w:type="pct"/>
            <w:tcBorders>
              <w:bottom w:val="nil"/>
            </w:tcBorders>
            <w:vAlign w:val="center"/>
          </w:tcPr>
          <w:p w:rsidR="004B6880" w:rsidRPr="00F67030" w:rsidRDefault="004B6880" w:rsidP="0052159F">
            <w:pPr>
              <w:pStyle w:val="TableText"/>
              <w:widowControl w:val="0"/>
              <w:jc w:val="center"/>
            </w:pP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Grade 3-4 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SAEs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Grade 3-4 SAEs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 xml:space="preserve">AEs leading to discontinuation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bottom w:val="nil"/>
            </w:tcBorders>
            <w:vAlign w:val="center"/>
          </w:tcPr>
          <w:p w:rsidR="004B6880" w:rsidRPr="00F67030" w:rsidRDefault="004B6880" w:rsidP="0052159F">
            <w:pPr>
              <w:pStyle w:val="TableText"/>
              <w:widowControl w:val="0"/>
            </w:pPr>
            <w:r w:rsidRPr="00F67030">
              <w:t xml:space="preserve">Drug </w:t>
            </w:r>
            <w:r w:rsidR="00164F2C" w:rsidRPr="00F67030">
              <w:t>r</w:t>
            </w:r>
            <w:r w:rsidRPr="00F67030">
              <w:t>elated</w:t>
            </w:r>
          </w:p>
        </w:tc>
        <w:tc>
          <w:tcPr>
            <w:tcW w:w="899" w:type="pct"/>
            <w:tcBorders>
              <w:bottom w:val="nil"/>
            </w:tcBorders>
            <w:vAlign w:val="center"/>
          </w:tcPr>
          <w:p w:rsidR="004B6880" w:rsidRPr="00A024C2" w:rsidRDefault="004B6880" w:rsidP="0052159F">
            <w:pPr>
              <w:pStyle w:val="TableText"/>
              <w:widowControl w:val="0"/>
              <w:jc w:val="center"/>
            </w:pPr>
          </w:p>
        </w:tc>
        <w:tc>
          <w:tcPr>
            <w:tcW w:w="899" w:type="pct"/>
            <w:tcBorders>
              <w:bottom w:val="nil"/>
            </w:tcBorders>
            <w:vAlign w:val="center"/>
          </w:tcPr>
          <w:p w:rsidR="004B6880" w:rsidRPr="00A024C2" w:rsidRDefault="004B6880" w:rsidP="0052159F">
            <w:pPr>
              <w:pStyle w:val="TableText"/>
              <w:widowControl w:val="0"/>
              <w:jc w:val="center"/>
            </w:pPr>
          </w:p>
        </w:tc>
        <w:tc>
          <w:tcPr>
            <w:tcW w:w="771" w:type="pct"/>
            <w:tcBorders>
              <w:bottom w:val="nil"/>
            </w:tcBorders>
            <w:vAlign w:val="center"/>
          </w:tcPr>
          <w:p w:rsidR="004B6880" w:rsidRPr="00A024C2" w:rsidRDefault="004B6880" w:rsidP="0052159F">
            <w:pPr>
              <w:pStyle w:val="TableText"/>
              <w:widowControl w:val="0"/>
              <w:jc w:val="center"/>
            </w:pPr>
          </w:p>
        </w:tc>
        <w:tc>
          <w:tcPr>
            <w:tcW w:w="899" w:type="pct"/>
            <w:tcBorders>
              <w:bottom w:val="nil"/>
            </w:tcBorders>
            <w:vAlign w:val="center"/>
          </w:tcPr>
          <w:p w:rsidR="004B6880" w:rsidRPr="00A024C2" w:rsidRDefault="004B6880" w:rsidP="0052159F">
            <w:pPr>
              <w:pStyle w:val="TableText"/>
              <w:widowControl w:val="0"/>
              <w:jc w:val="center"/>
            </w:pP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Grade 3-4 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SAEs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tcPr>
          <w:p w:rsidR="004B6880" w:rsidRPr="00A024C2" w:rsidRDefault="00A024C2" w:rsidP="0052159F">
            <w:pPr>
              <w:pStyle w:val="TableText"/>
              <w:widowControl w:val="0"/>
              <w:jc w:val="center"/>
              <w:rPr>
                <w:highlight w:val="black"/>
              </w:rPr>
            </w:pPr>
            <w:r>
              <w:rPr>
                <w:noProof/>
                <w:color w:val="000000"/>
                <w:highlight w:val="black"/>
              </w:rPr>
              <w:t>'''''''''''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Grade 3-4 SAEs</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tcPr>
          <w:p w:rsidR="004B6880" w:rsidRPr="00A024C2" w:rsidRDefault="00A024C2" w:rsidP="0052159F">
            <w:pPr>
              <w:pStyle w:val="TableText"/>
              <w:widowControl w:val="0"/>
              <w:jc w:val="center"/>
              <w:rPr>
                <w:highlight w:val="black"/>
              </w:rPr>
            </w:pPr>
            <w:r>
              <w:rPr>
                <w:noProof/>
                <w:color w:val="000000"/>
                <w:highlight w:val="black"/>
              </w:rPr>
              <w:t>'''''''''''''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 xml:space="preserve">AEs leading to discontinuation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bottom w:val="nil"/>
            </w:tcBorders>
            <w:vAlign w:val="center"/>
          </w:tcPr>
          <w:p w:rsidR="004B6880" w:rsidRPr="00F67030" w:rsidRDefault="004B6880" w:rsidP="0052159F">
            <w:pPr>
              <w:pStyle w:val="TableText"/>
              <w:widowControl w:val="0"/>
            </w:pPr>
            <w:r w:rsidRPr="00F67030">
              <w:t>Deaths</w:t>
            </w:r>
          </w:p>
        </w:tc>
        <w:tc>
          <w:tcPr>
            <w:tcW w:w="899" w:type="pct"/>
            <w:tcBorders>
              <w:bottom w:val="nil"/>
            </w:tcBorders>
            <w:vAlign w:val="center"/>
          </w:tcPr>
          <w:p w:rsidR="004B6880" w:rsidRPr="00A024C2" w:rsidRDefault="004B6880" w:rsidP="0052159F">
            <w:pPr>
              <w:pStyle w:val="TableText"/>
              <w:widowControl w:val="0"/>
              <w:jc w:val="center"/>
            </w:pPr>
          </w:p>
        </w:tc>
        <w:tc>
          <w:tcPr>
            <w:tcW w:w="899" w:type="pct"/>
            <w:tcBorders>
              <w:bottom w:val="nil"/>
            </w:tcBorders>
            <w:vAlign w:val="center"/>
          </w:tcPr>
          <w:p w:rsidR="004B6880" w:rsidRPr="00A024C2" w:rsidRDefault="004B6880" w:rsidP="0052159F">
            <w:pPr>
              <w:pStyle w:val="TableText"/>
              <w:widowControl w:val="0"/>
              <w:jc w:val="center"/>
            </w:pPr>
          </w:p>
        </w:tc>
        <w:tc>
          <w:tcPr>
            <w:tcW w:w="771" w:type="pct"/>
            <w:tcBorders>
              <w:bottom w:val="nil"/>
            </w:tcBorders>
            <w:vAlign w:val="center"/>
          </w:tcPr>
          <w:p w:rsidR="004B6880" w:rsidRPr="00A024C2" w:rsidRDefault="004B6880" w:rsidP="0052159F">
            <w:pPr>
              <w:pStyle w:val="TableText"/>
              <w:widowControl w:val="0"/>
              <w:jc w:val="center"/>
            </w:pPr>
          </w:p>
        </w:tc>
        <w:tc>
          <w:tcPr>
            <w:tcW w:w="899" w:type="pct"/>
            <w:tcBorders>
              <w:bottom w:val="nil"/>
            </w:tcBorders>
            <w:vAlign w:val="center"/>
          </w:tcPr>
          <w:p w:rsidR="004B6880" w:rsidRPr="00A024C2" w:rsidRDefault="004B6880" w:rsidP="0052159F">
            <w:pPr>
              <w:pStyle w:val="TableText"/>
              <w:widowControl w:val="0"/>
              <w:jc w:val="center"/>
            </w:pP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Overall</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nil"/>
            </w:tcBorders>
            <w:vAlign w:val="center"/>
          </w:tcPr>
          <w:p w:rsidR="004B6880" w:rsidRPr="00F67030" w:rsidRDefault="004B6880" w:rsidP="0052159F">
            <w:pPr>
              <w:pStyle w:val="TableText"/>
              <w:widowControl w:val="0"/>
              <w:ind w:left="251"/>
            </w:pPr>
            <w:r w:rsidRPr="00F67030">
              <w:t>Within 30 days of last dose</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nil"/>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r w:rsidR="004B6880" w:rsidRPr="00F67030" w:rsidTr="00F11168">
        <w:tc>
          <w:tcPr>
            <w:tcW w:w="1532" w:type="pct"/>
            <w:tcBorders>
              <w:top w:val="nil"/>
              <w:bottom w:val="single" w:sz="4" w:space="0" w:color="auto"/>
            </w:tcBorders>
            <w:vAlign w:val="center"/>
          </w:tcPr>
          <w:p w:rsidR="004B6880" w:rsidRPr="00F67030" w:rsidRDefault="004B6880" w:rsidP="0052159F">
            <w:pPr>
              <w:pStyle w:val="TableText"/>
              <w:widowControl w:val="0"/>
              <w:ind w:left="251"/>
            </w:pPr>
            <w:r w:rsidRPr="00F67030">
              <w:t>Within 100 days of last dose</w:t>
            </w:r>
          </w:p>
        </w:tc>
        <w:tc>
          <w:tcPr>
            <w:tcW w:w="899" w:type="pct"/>
            <w:tcBorders>
              <w:top w:val="nil"/>
              <w:bottom w:val="single" w:sz="4" w:space="0" w:color="auto"/>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899" w:type="pct"/>
            <w:tcBorders>
              <w:top w:val="nil"/>
              <w:bottom w:val="single" w:sz="4" w:space="0" w:color="auto"/>
            </w:tcBorders>
            <w:vAlign w:val="center"/>
          </w:tcPr>
          <w:p w:rsidR="004B6880" w:rsidRPr="00A024C2" w:rsidRDefault="00A024C2" w:rsidP="0052159F">
            <w:pPr>
              <w:pStyle w:val="TableText"/>
              <w:widowControl w:val="0"/>
              <w:jc w:val="center"/>
              <w:rPr>
                <w:highlight w:val="black"/>
              </w:rPr>
            </w:pPr>
            <w:r>
              <w:rPr>
                <w:noProof/>
                <w:color w:val="000000"/>
                <w:highlight w:val="black"/>
              </w:rPr>
              <w:t>''''''''''''''''' ''''''''''''</w:t>
            </w:r>
          </w:p>
        </w:tc>
        <w:tc>
          <w:tcPr>
            <w:tcW w:w="771" w:type="pct"/>
            <w:tcBorders>
              <w:top w:val="nil"/>
              <w:bottom w:val="single" w:sz="4" w:space="0" w:color="auto"/>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c>
          <w:tcPr>
            <w:tcW w:w="899" w:type="pct"/>
            <w:tcBorders>
              <w:top w:val="nil"/>
              <w:bottom w:val="single" w:sz="4" w:space="0" w:color="auto"/>
            </w:tcBorders>
            <w:vAlign w:val="center"/>
          </w:tcPr>
          <w:p w:rsidR="004B6880" w:rsidRPr="00A024C2" w:rsidRDefault="00A024C2" w:rsidP="0052159F">
            <w:pPr>
              <w:pStyle w:val="TableText"/>
              <w:widowControl w:val="0"/>
              <w:jc w:val="center"/>
              <w:rPr>
                <w:highlight w:val="black"/>
              </w:rPr>
            </w:pPr>
            <w:r>
              <w:rPr>
                <w:noProof/>
                <w:color w:val="000000"/>
                <w:highlight w:val="black"/>
              </w:rPr>
              <w:t>'''''''''''' '''''''''''''''' ''''''''''''''</w:t>
            </w:r>
          </w:p>
        </w:tc>
      </w:tr>
    </w:tbl>
    <w:p w:rsidR="004B6880" w:rsidRPr="00F67030" w:rsidRDefault="004B6880" w:rsidP="0052159F">
      <w:pPr>
        <w:pStyle w:val="TableFooter"/>
        <w:keepNext/>
      </w:pPr>
      <w:r w:rsidRPr="00F67030">
        <w:t xml:space="preserve">AE: </w:t>
      </w:r>
      <w:r w:rsidR="00C77EC6">
        <w:t>a</w:t>
      </w:r>
      <w:r w:rsidRPr="00F67030">
        <w:t xml:space="preserve">dverse event; CI: </w:t>
      </w:r>
      <w:r w:rsidR="00C77EC6">
        <w:t>c</w:t>
      </w:r>
      <w:r w:rsidRPr="00F67030">
        <w:t xml:space="preserve">onfidence interval; IC: </w:t>
      </w:r>
      <w:r w:rsidR="00C77EC6">
        <w:t>i</w:t>
      </w:r>
      <w:r w:rsidRPr="00F67030">
        <w:t>nvestigator</w:t>
      </w:r>
      <w:r w:rsidR="003A53F0" w:rsidRPr="00F67030">
        <w:t>’</w:t>
      </w:r>
      <w:r w:rsidRPr="00F67030">
        <w:t>s choice</w:t>
      </w:r>
      <w:r w:rsidR="003A53F0" w:rsidRPr="00F67030">
        <w:t xml:space="preserve"> of therapy</w:t>
      </w:r>
      <w:r w:rsidRPr="00F67030">
        <w:t xml:space="preserve">; RD: </w:t>
      </w:r>
      <w:r w:rsidR="00C77EC6">
        <w:t>r</w:t>
      </w:r>
      <w:r w:rsidRPr="00F67030">
        <w:t xml:space="preserve">isk difference, RR: </w:t>
      </w:r>
      <w:r w:rsidR="00C77EC6">
        <w:t>r</w:t>
      </w:r>
      <w:r w:rsidRPr="00F67030">
        <w:t xml:space="preserve">elative risk; SAE: </w:t>
      </w:r>
      <w:r w:rsidR="00C77EC6">
        <w:t>s</w:t>
      </w:r>
      <w:r w:rsidRPr="00F67030">
        <w:t>erious adverse event.</w:t>
      </w:r>
    </w:p>
    <w:p w:rsidR="004B6880" w:rsidRPr="00F67030" w:rsidRDefault="004B6880" w:rsidP="0052159F">
      <w:pPr>
        <w:pStyle w:val="TableFooter"/>
        <w:keepNext/>
      </w:pPr>
      <w:r w:rsidRPr="00F67030">
        <w:t>Source: Table 30, pp.68-69 of the submission</w:t>
      </w:r>
    </w:p>
    <w:p w:rsidR="00624315" w:rsidRPr="00424FE4" w:rsidRDefault="00624315" w:rsidP="00772501">
      <w:pPr>
        <w:pStyle w:val="Heading2"/>
      </w:pPr>
      <w:bookmarkStart w:id="18" w:name="_Toc493002793"/>
      <w:bookmarkStart w:id="19" w:name="_Toc413139281"/>
      <w:r w:rsidRPr="00424FE4">
        <w:t>Benefits and harms</w:t>
      </w:r>
      <w:bookmarkEnd w:id="18"/>
    </w:p>
    <w:p w:rsidR="00357657" w:rsidRPr="00F67030" w:rsidRDefault="00582EC8" w:rsidP="00457C75">
      <w:pPr>
        <w:pStyle w:val="ListParagraph"/>
        <w:numPr>
          <w:ilvl w:val="1"/>
          <w:numId w:val="1"/>
        </w:numPr>
        <w:spacing w:before="0" w:after="120"/>
        <w:jc w:val="both"/>
      </w:pPr>
      <w:r w:rsidRPr="00F67030">
        <w:t xml:space="preserve">A summary of the comparative benefits and harms for </w:t>
      </w:r>
      <w:r w:rsidR="00465F88" w:rsidRPr="00F67030">
        <w:t xml:space="preserve">nivolumab versus </w:t>
      </w:r>
      <w:r w:rsidR="00690B99" w:rsidRPr="00F67030">
        <w:t>investigator’s choice</w:t>
      </w:r>
      <w:r w:rsidRPr="00F67030">
        <w:t xml:space="preserve"> </w:t>
      </w:r>
      <w:r w:rsidR="003A53F0" w:rsidRPr="00F67030">
        <w:t xml:space="preserve">of therapy </w:t>
      </w:r>
      <w:r w:rsidRPr="00F67030">
        <w:t>is presented in the table below.</w:t>
      </w:r>
    </w:p>
    <w:p w:rsidR="00034404" w:rsidRPr="00F67030" w:rsidRDefault="00034404" w:rsidP="00713472">
      <w:pPr>
        <w:pStyle w:val="TableHeading0"/>
        <w:keepLines/>
      </w:pPr>
      <w:r w:rsidRPr="00F67030">
        <w:lastRenderedPageBreak/>
        <w:t xml:space="preserve">Table </w:t>
      </w:r>
      <w:r w:rsidR="00D460E0" w:rsidRPr="00F67030">
        <w:t>6</w:t>
      </w:r>
      <w:r w:rsidRPr="00F67030">
        <w:t xml:space="preserve">: Summary of comparative benefits and harms for </w:t>
      </w:r>
      <w:r w:rsidR="00582EC8" w:rsidRPr="00F67030">
        <w:t xml:space="preserve">nivolumab and </w:t>
      </w:r>
      <w:r w:rsidR="00690B99" w:rsidRPr="00F67030">
        <w:t>investigator’s choice</w:t>
      </w:r>
      <w:r w:rsidR="003A53F0" w:rsidRPr="00F67030">
        <w:t xml:space="preserve"> of therapy</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6: Summary of comparative benefits and harms for nivolumab and investigator’s choice of therapy"/>
      </w:tblPr>
      <w:tblGrid>
        <w:gridCol w:w="2154"/>
        <w:gridCol w:w="423"/>
        <w:gridCol w:w="708"/>
        <w:gridCol w:w="285"/>
        <w:gridCol w:w="569"/>
        <w:gridCol w:w="225"/>
        <w:gridCol w:w="510"/>
        <w:gridCol w:w="685"/>
        <w:gridCol w:w="1143"/>
        <w:gridCol w:w="714"/>
        <w:gridCol w:w="1666"/>
      </w:tblGrid>
      <w:tr w:rsidR="00FE2431" w:rsidRPr="00F67030" w:rsidTr="00164F2C">
        <w:trPr>
          <w:cnfStyle w:val="100000000000" w:firstRow="1" w:lastRow="0" w:firstColumn="0" w:lastColumn="0" w:oddVBand="0" w:evenVBand="0" w:oddHBand="0" w:evenHBand="0" w:firstRowFirstColumn="0" w:firstRowLastColumn="0" w:lastRowFirstColumn="0" w:lastRowLastColumn="0"/>
          <w:trHeight w:val="150"/>
        </w:trPr>
        <w:tc>
          <w:tcPr>
            <w:tcW w:w="5000" w:type="pct"/>
            <w:gridSpan w:val="11"/>
            <w:shd w:val="clear" w:color="auto" w:fill="auto"/>
            <w:vAlign w:val="center"/>
          </w:tcPr>
          <w:p w:rsidR="00FE2431" w:rsidRPr="00F67030" w:rsidRDefault="00FE2431" w:rsidP="00713472">
            <w:pPr>
              <w:pStyle w:val="TableText"/>
              <w:keepLines/>
              <w:rPr>
                <w:u w:val="single"/>
              </w:rPr>
            </w:pPr>
            <w:r w:rsidRPr="00F67030">
              <w:rPr>
                <w:u w:val="single"/>
              </w:rPr>
              <w:t>Benefits</w:t>
            </w:r>
          </w:p>
        </w:tc>
      </w:tr>
      <w:tr w:rsidR="008C2FA7" w:rsidRPr="00F67030" w:rsidTr="00164F2C">
        <w:tc>
          <w:tcPr>
            <w:tcW w:w="1419" w:type="pct"/>
            <w:gridSpan w:val="2"/>
            <w:tcBorders>
              <w:bottom w:val="single" w:sz="4" w:space="0" w:color="auto"/>
            </w:tcBorders>
            <w:shd w:val="clear" w:color="auto" w:fill="auto"/>
            <w:vAlign w:val="center"/>
          </w:tcPr>
          <w:p w:rsidR="00034404" w:rsidRPr="00F67030" w:rsidRDefault="00164F2C" w:rsidP="00713472">
            <w:pPr>
              <w:pStyle w:val="TableText"/>
              <w:keepLines/>
              <w:rPr>
                <w:b/>
              </w:rPr>
            </w:pPr>
            <w:r w:rsidRPr="00F67030">
              <w:rPr>
                <w:b/>
              </w:rPr>
              <w:t>Outcome</w:t>
            </w:r>
          </w:p>
        </w:tc>
        <w:tc>
          <w:tcPr>
            <w:tcW w:w="547" w:type="pct"/>
            <w:gridSpan w:val="2"/>
            <w:tcBorders>
              <w:bottom w:val="single" w:sz="4" w:space="0" w:color="auto"/>
            </w:tcBorders>
            <w:shd w:val="clear" w:color="auto" w:fill="auto"/>
            <w:vAlign w:val="center"/>
          </w:tcPr>
          <w:p w:rsidR="00034404" w:rsidRPr="00F67030" w:rsidRDefault="00582EC8" w:rsidP="00713472">
            <w:pPr>
              <w:pStyle w:val="TableText"/>
              <w:keepLines/>
              <w:jc w:val="center"/>
              <w:rPr>
                <w:b/>
              </w:rPr>
            </w:pPr>
            <w:r w:rsidRPr="00F67030">
              <w:rPr>
                <w:b/>
              </w:rPr>
              <w:t>Nivolumab</w:t>
            </w:r>
          </w:p>
        </w:tc>
        <w:tc>
          <w:tcPr>
            <w:tcW w:w="437" w:type="pct"/>
            <w:gridSpan w:val="2"/>
            <w:tcBorders>
              <w:bottom w:val="single" w:sz="4" w:space="0" w:color="auto"/>
            </w:tcBorders>
            <w:shd w:val="clear" w:color="auto" w:fill="auto"/>
            <w:vAlign w:val="center"/>
          </w:tcPr>
          <w:p w:rsidR="00034404" w:rsidRPr="00F67030" w:rsidRDefault="00582EC8" w:rsidP="00713472">
            <w:pPr>
              <w:pStyle w:val="TableText"/>
              <w:keepLines/>
              <w:jc w:val="center"/>
              <w:rPr>
                <w:b/>
              </w:rPr>
            </w:pPr>
            <w:r w:rsidRPr="00F67030">
              <w:rPr>
                <w:b/>
              </w:rPr>
              <w:t>IC</w:t>
            </w:r>
          </w:p>
        </w:tc>
        <w:tc>
          <w:tcPr>
            <w:tcW w:w="281" w:type="pct"/>
            <w:tcBorders>
              <w:bottom w:val="single" w:sz="4" w:space="0" w:color="auto"/>
            </w:tcBorders>
            <w:shd w:val="clear" w:color="auto" w:fill="auto"/>
            <w:vAlign w:val="center"/>
          </w:tcPr>
          <w:p w:rsidR="00034404" w:rsidRPr="00F67030" w:rsidRDefault="00582EC8" w:rsidP="00713472">
            <w:pPr>
              <w:pStyle w:val="TableText"/>
              <w:keepLines/>
              <w:jc w:val="center"/>
              <w:rPr>
                <w:rFonts w:asciiTheme="minorHAnsi" w:hAnsiTheme="minorHAnsi"/>
                <w:b/>
              </w:rPr>
            </w:pPr>
            <w:r w:rsidRPr="00F67030">
              <w:rPr>
                <w:b/>
              </w:rPr>
              <w:t>RD</w:t>
            </w:r>
          </w:p>
        </w:tc>
        <w:tc>
          <w:tcPr>
            <w:tcW w:w="2317" w:type="pct"/>
            <w:gridSpan w:val="4"/>
            <w:tcBorders>
              <w:bottom w:val="single" w:sz="4" w:space="0" w:color="auto"/>
            </w:tcBorders>
            <w:shd w:val="clear" w:color="auto" w:fill="auto"/>
            <w:vAlign w:val="center"/>
          </w:tcPr>
          <w:p w:rsidR="00034404" w:rsidRPr="00F67030" w:rsidRDefault="00034404" w:rsidP="00713472">
            <w:pPr>
              <w:pStyle w:val="TableText"/>
              <w:keepLines/>
              <w:jc w:val="center"/>
              <w:rPr>
                <w:b/>
              </w:rPr>
            </w:pPr>
            <w:r w:rsidRPr="00F67030">
              <w:rPr>
                <w:b/>
              </w:rPr>
              <w:t>HR (95% CI)</w:t>
            </w:r>
          </w:p>
        </w:tc>
      </w:tr>
      <w:tr w:rsidR="008C2FA7" w:rsidRPr="00F67030" w:rsidTr="00164F2C">
        <w:tc>
          <w:tcPr>
            <w:tcW w:w="1419" w:type="pct"/>
            <w:gridSpan w:val="2"/>
            <w:shd w:val="clear" w:color="auto" w:fill="auto"/>
            <w:vAlign w:val="center"/>
          </w:tcPr>
          <w:p w:rsidR="00C55967" w:rsidRPr="00F67030" w:rsidRDefault="00C55967" w:rsidP="00713472">
            <w:pPr>
              <w:pStyle w:val="TableText"/>
              <w:keepLines/>
            </w:pPr>
            <w:r w:rsidRPr="00F67030">
              <w:t>Alive at 12 months, n (%)</w:t>
            </w:r>
          </w:p>
        </w:tc>
        <w:tc>
          <w:tcPr>
            <w:tcW w:w="547" w:type="pct"/>
            <w:gridSpan w:val="2"/>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 ''''''''''''</w:t>
            </w:r>
          </w:p>
        </w:tc>
        <w:tc>
          <w:tcPr>
            <w:tcW w:w="437" w:type="pct"/>
            <w:gridSpan w:val="2"/>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 '''''''''''''</w:t>
            </w:r>
          </w:p>
        </w:tc>
        <w:tc>
          <w:tcPr>
            <w:tcW w:w="281" w:type="pct"/>
            <w:shd w:val="clear" w:color="auto" w:fill="auto"/>
            <w:vAlign w:val="center"/>
          </w:tcPr>
          <w:p w:rsidR="00C55967" w:rsidRPr="00A024C2" w:rsidRDefault="00A024C2" w:rsidP="00713472">
            <w:pPr>
              <w:pStyle w:val="TableText"/>
              <w:keepLines/>
              <w:jc w:val="center"/>
              <w:rPr>
                <w:rFonts w:asciiTheme="minorHAnsi" w:hAnsiTheme="minorHAnsi"/>
                <w:highlight w:val="black"/>
              </w:rPr>
            </w:pPr>
            <w:r>
              <w:rPr>
                <w:noProof/>
                <w:color w:val="000000"/>
                <w:highlight w:val="black"/>
              </w:rPr>
              <w:t>'''''''''''</w:t>
            </w:r>
          </w:p>
        </w:tc>
        <w:tc>
          <w:tcPr>
            <w:tcW w:w="2317" w:type="pct"/>
            <w:gridSpan w:val="4"/>
            <w:shd w:val="clear" w:color="auto" w:fill="auto"/>
            <w:vAlign w:val="center"/>
          </w:tcPr>
          <w:p w:rsidR="00C55967" w:rsidRPr="00A024C2" w:rsidRDefault="00A024C2" w:rsidP="00713472">
            <w:pPr>
              <w:pStyle w:val="Tabletext0"/>
              <w:keepNext/>
              <w:keepLines/>
              <w:jc w:val="center"/>
              <w:rPr>
                <w:highlight w:val="black"/>
              </w:rPr>
            </w:pPr>
            <w:r>
              <w:rPr>
                <w:noProof/>
                <w:color w:val="000000"/>
                <w:highlight w:val="black"/>
              </w:rPr>
              <w:t>''''''''''' '''''''''''' ''''''''''''' '''''''''''''''''' ''''''''''''''''</w:t>
            </w:r>
          </w:p>
        </w:tc>
      </w:tr>
      <w:tr w:rsidR="00C55967" w:rsidRPr="00F67030" w:rsidTr="00164F2C">
        <w:tc>
          <w:tcPr>
            <w:tcW w:w="5000" w:type="pct"/>
            <w:gridSpan w:val="11"/>
            <w:tcBorders>
              <w:top w:val="double" w:sz="4" w:space="0" w:color="auto"/>
            </w:tcBorders>
            <w:shd w:val="clear" w:color="auto" w:fill="auto"/>
            <w:vAlign w:val="center"/>
          </w:tcPr>
          <w:p w:rsidR="00C55967" w:rsidRPr="00F67030" w:rsidRDefault="00C55967" w:rsidP="00713472">
            <w:pPr>
              <w:pStyle w:val="TableText"/>
              <w:keepLines/>
              <w:rPr>
                <w:b/>
                <w:u w:val="single"/>
              </w:rPr>
            </w:pPr>
            <w:r w:rsidRPr="00F67030">
              <w:rPr>
                <w:b/>
                <w:u w:val="single"/>
              </w:rPr>
              <w:t>Harms</w:t>
            </w:r>
          </w:p>
        </w:tc>
      </w:tr>
      <w:tr w:rsidR="008C2FA7" w:rsidRPr="00F67030" w:rsidTr="00164F2C">
        <w:trPr>
          <w:trHeight w:val="193"/>
        </w:trPr>
        <w:tc>
          <w:tcPr>
            <w:tcW w:w="1186" w:type="pct"/>
            <w:vMerge w:val="restart"/>
            <w:shd w:val="clear" w:color="auto" w:fill="auto"/>
            <w:vAlign w:val="center"/>
          </w:tcPr>
          <w:p w:rsidR="00C55967" w:rsidRPr="00F67030" w:rsidRDefault="00164F2C" w:rsidP="00713472">
            <w:pPr>
              <w:pStyle w:val="TableText"/>
              <w:keepLines/>
              <w:rPr>
                <w:b/>
              </w:rPr>
            </w:pPr>
            <w:r w:rsidRPr="00F67030">
              <w:rPr>
                <w:b/>
              </w:rPr>
              <w:t>Outcome</w:t>
            </w:r>
          </w:p>
        </w:tc>
        <w:tc>
          <w:tcPr>
            <w:tcW w:w="623" w:type="pct"/>
            <w:gridSpan w:val="2"/>
            <w:vMerge w:val="restart"/>
            <w:shd w:val="clear" w:color="auto" w:fill="auto"/>
            <w:vAlign w:val="center"/>
          </w:tcPr>
          <w:p w:rsidR="00C55967" w:rsidRPr="00F67030" w:rsidRDefault="008C2FA7" w:rsidP="00713472">
            <w:pPr>
              <w:pStyle w:val="TableText"/>
              <w:keepLines/>
              <w:jc w:val="center"/>
              <w:rPr>
                <w:b/>
              </w:rPr>
            </w:pPr>
            <w:r w:rsidRPr="00F67030">
              <w:rPr>
                <w:b/>
              </w:rPr>
              <w:t>Nivolumab</w:t>
            </w:r>
          </w:p>
        </w:tc>
        <w:tc>
          <w:tcPr>
            <w:tcW w:w="470" w:type="pct"/>
            <w:gridSpan w:val="2"/>
            <w:vMerge w:val="restart"/>
            <w:shd w:val="clear" w:color="auto" w:fill="auto"/>
            <w:vAlign w:val="center"/>
          </w:tcPr>
          <w:p w:rsidR="00C55967" w:rsidRPr="00F67030" w:rsidRDefault="008C2FA7" w:rsidP="00713472">
            <w:pPr>
              <w:pStyle w:val="TableText"/>
              <w:keepLines/>
              <w:jc w:val="center"/>
              <w:rPr>
                <w:b/>
              </w:rPr>
            </w:pPr>
            <w:r w:rsidRPr="00F67030">
              <w:rPr>
                <w:b/>
              </w:rPr>
              <w:t>IC</w:t>
            </w:r>
          </w:p>
        </w:tc>
        <w:tc>
          <w:tcPr>
            <w:tcW w:w="782" w:type="pct"/>
            <w:gridSpan w:val="3"/>
            <w:vMerge w:val="restart"/>
            <w:shd w:val="clear" w:color="auto" w:fill="auto"/>
            <w:vAlign w:val="center"/>
          </w:tcPr>
          <w:p w:rsidR="00C55967" w:rsidRPr="00F67030" w:rsidRDefault="00C55967" w:rsidP="00713472">
            <w:pPr>
              <w:pStyle w:val="TableText"/>
              <w:keepLines/>
              <w:jc w:val="center"/>
              <w:rPr>
                <w:b/>
              </w:rPr>
            </w:pPr>
            <w:r w:rsidRPr="00F67030">
              <w:rPr>
                <w:b/>
              </w:rPr>
              <w:t>RR</w:t>
            </w:r>
            <w:r w:rsidR="003A53F0" w:rsidRPr="00F67030">
              <w:rPr>
                <w:b/>
              </w:rPr>
              <w:t xml:space="preserve"> </w:t>
            </w:r>
            <w:r w:rsidRPr="00F67030">
              <w:rPr>
                <w:b/>
              </w:rPr>
              <w:t>(95% CI)</w:t>
            </w:r>
          </w:p>
        </w:tc>
        <w:tc>
          <w:tcPr>
            <w:tcW w:w="1022" w:type="pct"/>
            <w:gridSpan w:val="2"/>
            <w:shd w:val="clear" w:color="auto" w:fill="auto"/>
            <w:vAlign w:val="center"/>
          </w:tcPr>
          <w:p w:rsidR="00C55967" w:rsidRPr="00F67030" w:rsidRDefault="00C55967" w:rsidP="00713472">
            <w:pPr>
              <w:pStyle w:val="TableText"/>
              <w:keepLines/>
              <w:jc w:val="center"/>
              <w:rPr>
                <w:b/>
              </w:rPr>
            </w:pPr>
            <w:r w:rsidRPr="00F67030">
              <w:rPr>
                <w:b/>
              </w:rPr>
              <w:t>Events/100 patients*</w:t>
            </w:r>
          </w:p>
        </w:tc>
        <w:tc>
          <w:tcPr>
            <w:tcW w:w="917" w:type="pct"/>
            <w:vMerge w:val="restart"/>
            <w:shd w:val="clear" w:color="auto" w:fill="auto"/>
            <w:vAlign w:val="center"/>
          </w:tcPr>
          <w:p w:rsidR="00C55967" w:rsidRPr="00F67030" w:rsidRDefault="00C55967" w:rsidP="00713472">
            <w:pPr>
              <w:pStyle w:val="TableText"/>
              <w:keepLines/>
              <w:jc w:val="center"/>
              <w:rPr>
                <w:b/>
              </w:rPr>
            </w:pPr>
            <w:r w:rsidRPr="00F67030">
              <w:rPr>
                <w:b/>
              </w:rPr>
              <w:t>RD</w:t>
            </w:r>
            <w:r w:rsidR="003A53F0" w:rsidRPr="00F67030">
              <w:rPr>
                <w:b/>
              </w:rPr>
              <w:t xml:space="preserve"> </w:t>
            </w:r>
            <w:r w:rsidRPr="00F67030">
              <w:rPr>
                <w:b/>
              </w:rPr>
              <w:t>(95% CI)</w:t>
            </w:r>
          </w:p>
        </w:tc>
      </w:tr>
      <w:tr w:rsidR="008C2FA7" w:rsidRPr="00F67030" w:rsidTr="00164F2C">
        <w:trPr>
          <w:trHeight w:val="58"/>
        </w:trPr>
        <w:tc>
          <w:tcPr>
            <w:tcW w:w="1186" w:type="pct"/>
            <w:vMerge/>
            <w:shd w:val="clear" w:color="auto" w:fill="auto"/>
            <w:vAlign w:val="center"/>
          </w:tcPr>
          <w:p w:rsidR="008C2FA7" w:rsidRPr="00F67030" w:rsidRDefault="008C2FA7" w:rsidP="00713472">
            <w:pPr>
              <w:pStyle w:val="TableText"/>
              <w:keepLines/>
            </w:pPr>
          </w:p>
        </w:tc>
        <w:tc>
          <w:tcPr>
            <w:tcW w:w="623" w:type="pct"/>
            <w:gridSpan w:val="2"/>
            <w:vMerge/>
            <w:shd w:val="clear" w:color="auto" w:fill="auto"/>
            <w:vAlign w:val="center"/>
          </w:tcPr>
          <w:p w:rsidR="008C2FA7" w:rsidRPr="00F67030" w:rsidRDefault="008C2FA7" w:rsidP="00713472">
            <w:pPr>
              <w:pStyle w:val="TableText"/>
              <w:keepLines/>
              <w:jc w:val="center"/>
            </w:pPr>
          </w:p>
        </w:tc>
        <w:tc>
          <w:tcPr>
            <w:tcW w:w="470" w:type="pct"/>
            <w:gridSpan w:val="2"/>
            <w:vMerge/>
            <w:shd w:val="clear" w:color="auto" w:fill="auto"/>
            <w:vAlign w:val="center"/>
          </w:tcPr>
          <w:p w:rsidR="008C2FA7" w:rsidRPr="00F67030" w:rsidRDefault="008C2FA7" w:rsidP="00713472">
            <w:pPr>
              <w:pStyle w:val="TableText"/>
              <w:keepLines/>
              <w:jc w:val="center"/>
            </w:pPr>
          </w:p>
        </w:tc>
        <w:tc>
          <w:tcPr>
            <w:tcW w:w="782" w:type="pct"/>
            <w:gridSpan w:val="3"/>
            <w:vMerge/>
            <w:shd w:val="clear" w:color="auto" w:fill="auto"/>
            <w:vAlign w:val="center"/>
          </w:tcPr>
          <w:p w:rsidR="008C2FA7" w:rsidRPr="00F67030" w:rsidRDefault="008C2FA7" w:rsidP="00713472">
            <w:pPr>
              <w:pStyle w:val="TableText"/>
              <w:keepLines/>
              <w:jc w:val="center"/>
            </w:pPr>
          </w:p>
        </w:tc>
        <w:tc>
          <w:tcPr>
            <w:tcW w:w="629" w:type="pct"/>
            <w:shd w:val="clear" w:color="auto" w:fill="auto"/>
            <w:vAlign w:val="center"/>
          </w:tcPr>
          <w:p w:rsidR="008C2FA7" w:rsidRPr="00F67030" w:rsidRDefault="008C2FA7" w:rsidP="00713472">
            <w:pPr>
              <w:pStyle w:val="TableText"/>
              <w:keepLines/>
              <w:jc w:val="center"/>
              <w:rPr>
                <w:b/>
              </w:rPr>
            </w:pPr>
            <w:r w:rsidRPr="00F67030">
              <w:rPr>
                <w:b/>
              </w:rPr>
              <w:t>Nivolumab</w:t>
            </w:r>
          </w:p>
        </w:tc>
        <w:tc>
          <w:tcPr>
            <w:tcW w:w="393" w:type="pct"/>
            <w:shd w:val="clear" w:color="auto" w:fill="auto"/>
            <w:vAlign w:val="center"/>
          </w:tcPr>
          <w:p w:rsidR="008C2FA7" w:rsidRPr="00F67030" w:rsidRDefault="008C2FA7" w:rsidP="00713472">
            <w:pPr>
              <w:pStyle w:val="TableText"/>
              <w:keepLines/>
              <w:jc w:val="center"/>
              <w:rPr>
                <w:b/>
              </w:rPr>
            </w:pPr>
            <w:r w:rsidRPr="00F67030">
              <w:rPr>
                <w:b/>
              </w:rPr>
              <w:t>IC</w:t>
            </w:r>
          </w:p>
        </w:tc>
        <w:tc>
          <w:tcPr>
            <w:tcW w:w="917" w:type="pct"/>
            <w:vMerge/>
            <w:shd w:val="clear" w:color="auto" w:fill="auto"/>
            <w:vAlign w:val="center"/>
          </w:tcPr>
          <w:p w:rsidR="008C2FA7" w:rsidRPr="00F67030" w:rsidRDefault="008C2FA7" w:rsidP="00713472">
            <w:pPr>
              <w:pStyle w:val="TableText"/>
              <w:keepLines/>
              <w:jc w:val="center"/>
            </w:pPr>
          </w:p>
        </w:tc>
      </w:tr>
      <w:tr w:rsidR="008C2FA7" w:rsidRPr="00F67030" w:rsidTr="00164F2C">
        <w:tc>
          <w:tcPr>
            <w:tcW w:w="1186" w:type="pct"/>
            <w:shd w:val="clear" w:color="auto" w:fill="auto"/>
            <w:vAlign w:val="center"/>
          </w:tcPr>
          <w:p w:rsidR="00C55967" w:rsidRPr="00F67030" w:rsidRDefault="008C36C0" w:rsidP="00713472">
            <w:pPr>
              <w:pStyle w:val="TableText"/>
              <w:keepLines/>
            </w:pPr>
            <w:r w:rsidRPr="00F67030">
              <w:t>Drug related g</w:t>
            </w:r>
            <w:r w:rsidR="000B5974" w:rsidRPr="00F67030">
              <w:t>rade≥3 AEs</w:t>
            </w:r>
          </w:p>
        </w:tc>
        <w:tc>
          <w:tcPr>
            <w:tcW w:w="623" w:type="pct"/>
            <w:gridSpan w:val="2"/>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470" w:type="pct"/>
            <w:gridSpan w:val="2"/>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782" w:type="pct"/>
            <w:gridSpan w:val="3"/>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 ''''''''''''' ''''''''''''''</w:t>
            </w:r>
          </w:p>
        </w:tc>
        <w:tc>
          <w:tcPr>
            <w:tcW w:w="629" w:type="pct"/>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393" w:type="pct"/>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917" w:type="pct"/>
            <w:shd w:val="clear" w:color="auto" w:fill="auto"/>
            <w:vAlign w:val="center"/>
          </w:tcPr>
          <w:p w:rsidR="00C55967" w:rsidRPr="00A024C2" w:rsidRDefault="00A024C2" w:rsidP="002C7730">
            <w:pPr>
              <w:pStyle w:val="TableText"/>
              <w:keepLines/>
              <w:jc w:val="center"/>
              <w:rPr>
                <w:highlight w:val="black"/>
              </w:rPr>
            </w:pPr>
            <w:r>
              <w:rPr>
                <w:noProof/>
                <w:color w:val="000000"/>
                <w:highlight w:val="black"/>
              </w:rPr>
              <w:t>''''''''' '''''''''''' '''''''''</w:t>
            </w:r>
          </w:p>
        </w:tc>
      </w:tr>
      <w:tr w:rsidR="008C2FA7" w:rsidRPr="00F67030" w:rsidTr="00164F2C">
        <w:tc>
          <w:tcPr>
            <w:tcW w:w="1186" w:type="pct"/>
            <w:shd w:val="clear" w:color="auto" w:fill="auto"/>
            <w:vAlign w:val="center"/>
          </w:tcPr>
          <w:p w:rsidR="00C55967" w:rsidRPr="00F67030" w:rsidRDefault="008C36C0" w:rsidP="00713472">
            <w:pPr>
              <w:pStyle w:val="TableText"/>
              <w:keepLines/>
            </w:pPr>
            <w:r w:rsidRPr="00F67030">
              <w:t xml:space="preserve">Drug related </w:t>
            </w:r>
            <w:r w:rsidR="000B5974" w:rsidRPr="00F67030">
              <w:t>SAEs</w:t>
            </w:r>
          </w:p>
        </w:tc>
        <w:tc>
          <w:tcPr>
            <w:tcW w:w="623" w:type="pct"/>
            <w:gridSpan w:val="2"/>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470" w:type="pct"/>
            <w:gridSpan w:val="2"/>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782" w:type="pct"/>
            <w:gridSpan w:val="3"/>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 '''''''''''''''''''''''''''</w:t>
            </w:r>
          </w:p>
        </w:tc>
        <w:tc>
          <w:tcPr>
            <w:tcW w:w="629" w:type="pct"/>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393" w:type="pct"/>
            <w:shd w:val="clear" w:color="auto" w:fill="auto"/>
            <w:vAlign w:val="center"/>
          </w:tcPr>
          <w:p w:rsidR="00C55967" w:rsidRPr="00A024C2" w:rsidRDefault="00A024C2" w:rsidP="00713472">
            <w:pPr>
              <w:pStyle w:val="TableText"/>
              <w:keepLines/>
              <w:jc w:val="center"/>
              <w:rPr>
                <w:highlight w:val="black"/>
              </w:rPr>
            </w:pPr>
            <w:r>
              <w:rPr>
                <w:noProof/>
                <w:color w:val="000000"/>
                <w:highlight w:val="black"/>
              </w:rPr>
              <w:t>'''''''''''</w:t>
            </w:r>
          </w:p>
        </w:tc>
        <w:tc>
          <w:tcPr>
            <w:tcW w:w="917" w:type="pct"/>
            <w:shd w:val="clear" w:color="auto" w:fill="auto"/>
            <w:vAlign w:val="center"/>
          </w:tcPr>
          <w:p w:rsidR="00C55967" w:rsidRPr="00A024C2" w:rsidRDefault="00A024C2" w:rsidP="002C7730">
            <w:pPr>
              <w:pStyle w:val="TableText"/>
              <w:keepLines/>
              <w:jc w:val="center"/>
              <w:rPr>
                <w:highlight w:val="black"/>
              </w:rPr>
            </w:pPr>
            <w:r>
              <w:rPr>
                <w:noProof/>
                <w:color w:val="000000"/>
                <w:highlight w:val="black"/>
              </w:rPr>
              <w:t>''''' '''''''''''''''''''</w:t>
            </w:r>
          </w:p>
        </w:tc>
      </w:tr>
    </w:tbl>
    <w:p w:rsidR="00D4436E" w:rsidRPr="00F67030" w:rsidRDefault="00034404" w:rsidP="00713472">
      <w:pPr>
        <w:pStyle w:val="TableFooter"/>
        <w:keepNext/>
        <w:keepLines/>
      </w:pPr>
      <w:r w:rsidRPr="00F67030">
        <w:t xml:space="preserve">* </w:t>
      </w:r>
      <w:r w:rsidR="00690B99" w:rsidRPr="00F67030">
        <w:t xml:space="preserve">Median duration of follow-up was </w:t>
      </w:r>
      <w:r w:rsidR="00A024C2">
        <w:rPr>
          <w:noProof/>
          <w:color w:val="000000"/>
          <w:highlight w:val="black"/>
        </w:rPr>
        <w:t>''''''''</w:t>
      </w:r>
      <w:r w:rsidR="00690B99" w:rsidRPr="00F67030">
        <w:t xml:space="preserve"> months with nivolumab and </w:t>
      </w:r>
      <w:r w:rsidR="00A024C2">
        <w:rPr>
          <w:noProof/>
          <w:color w:val="000000"/>
          <w:highlight w:val="black"/>
        </w:rPr>
        <w:t>''''''''</w:t>
      </w:r>
      <w:r w:rsidR="00690B99" w:rsidRPr="00F67030">
        <w:t xml:space="preserve"> months with IC.</w:t>
      </w:r>
    </w:p>
    <w:p w:rsidR="00D4436E" w:rsidRPr="00F67030" w:rsidRDefault="00D4436E" w:rsidP="00713472">
      <w:pPr>
        <w:pStyle w:val="TableFooter"/>
        <w:keepNext/>
        <w:keepLines/>
      </w:pPr>
      <w:r w:rsidRPr="00F67030">
        <w:t>a The time between the date of randomisation and the first date of documented progression, as determined by the investigator (as per RECIST 1.1 criteria), or death due to any cause, whichever occurs first. Censoring rules:</w:t>
      </w:r>
    </w:p>
    <w:p w:rsidR="00D4436E" w:rsidRPr="00F67030" w:rsidRDefault="00D4436E" w:rsidP="00713472">
      <w:pPr>
        <w:pStyle w:val="TableFooter"/>
        <w:keepNext/>
        <w:keepLines/>
      </w:pPr>
      <w:r w:rsidRPr="00F67030">
        <w:t>Patients who did not progress or die were censored on date of last evaluable tumour assessment</w:t>
      </w:r>
    </w:p>
    <w:p w:rsidR="00D4436E" w:rsidRPr="00F67030" w:rsidRDefault="00D4436E" w:rsidP="00713472">
      <w:pPr>
        <w:pStyle w:val="TableFooter"/>
        <w:keepNext/>
        <w:keepLines/>
      </w:pPr>
      <w:r w:rsidRPr="00F67030">
        <w:t>Patients who did not have any on study tumour assessments and did not die will be censored on their date of randomisation</w:t>
      </w:r>
    </w:p>
    <w:p w:rsidR="00D4436E" w:rsidRPr="00F67030" w:rsidRDefault="00D4436E" w:rsidP="00713472">
      <w:pPr>
        <w:pStyle w:val="TableFooter"/>
        <w:keepNext/>
        <w:keepLines/>
      </w:pPr>
      <w:r w:rsidRPr="00F67030">
        <w:t>Patients who receive subsequent systemic anti-cancer therapy prior to documented progression will be censored at the date of the last tumour assessment prior to the initiation of the new therapy</w:t>
      </w:r>
    </w:p>
    <w:p w:rsidR="00D4436E" w:rsidRPr="00F67030" w:rsidRDefault="00D4436E" w:rsidP="00713472">
      <w:pPr>
        <w:pStyle w:val="TableFooter"/>
        <w:keepNext/>
        <w:keepLines/>
      </w:pPr>
      <w:r w:rsidRPr="00F67030">
        <w:t>b The time between the date of randomisation and the first date of documented progression, as determined by the investigator (as per RECIST 1.1 criteria), or death due to any cause, whichever occurs first. Censoring rules:</w:t>
      </w:r>
    </w:p>
    <w:p w:rsidR="00D4436E" w:rsidRPr="00F67030" w:rsidRDefault="00D4436E" w:rsidP="00713472">
      <w:pPr>
        <w:pStyle w:val="TableFooter"/>
        <w:keepNext/>
        <w:keepLines/>
      </w:pPr>
      <w:r w:rsidRPr="00F67030">
        <w:t>Patients who did not progress or die were censored on date of last evaluable tumour assessment</w:t>
      </w:r>
    </w:p>
    <w:p w:rsidR="00D4436E" w:rsidRPr="00F67030" w:rsidRDefault="00D4436E" w:rsidP="00713472">
      <w:pPr>
        <w:pStyle w:val="TableFooter"/>
        <w:keepNext/>
        <w:keepLines/>
      </w:pPr>
      <w:r w:rsidRPr="00F67030">
        <w:t>Patients who did not have any on study tumour assessments and did not die will be censored on their date of randomisation</w:t>
      </w:r>
    </w:p>
    <w:p w:rsidR="00034404" w:rsidRPr="00F67030" w:rsidRDefault="00690B99" w:rsidP="00713472">
      <w:pPr>
        <w:pStyle w:val="TableFooter"/>
        <w:keepNext/>
        <w:keepLines/>
      </w:pPr>
      <w:r w:rsidRPr="00F67030">
        <w:t xml:space="preserve">AE: </w:t>
      </w:r>
      <w:r w:rsidR="00C77EC6">
        <w:t>a</w:t>
      </w:r>
      <w:r w:rsidRPr="00F67030">
        <w:t xml:space="preserve">dverse events; HR: </w:t>
      </w:r>
      <w:r w:rsidR="00C77EC6">
        <w:t>h</w:t>
      </w:r>
      <w:r w:rsidRPr="00F67030">
        <w:t>azard rat</w:t>
      </w:r>
      <w:r w:rsidR="00C77EC6">
        <w:t>io</w:t>
      </w:r>
      <w:r w:rsidRPr="00F67030">
        <w:t>; IC: investigator’s choice</w:t>
      </w:r>
      <w:r w:rsidR="003A53F0" w:rsidRPr="00F67030">
        <w:t xml:space="preserve"> of therapy</w:t>
      </w:r>
      <w:r w:rsidRPr="00F67030">
        <w:t xml:space="preserve">; </w:t>
      </w:r>
      <w:r w:rsidR="00621CDD" w:rsidRPr="00F67030">
        <w:t xml:space="preserve">NR: </w:t>
      </w:r>
      <w:r w:rsidR="00C77EC6">
        <w:t>n</w:t>
      </w:r>
      <w:r w:rsidR="00621CDD" w:rsidRPr="00F67030">
        <w:t xml:space="preserve">ot reported; </w:t>
      </w:r>
      <w:r w:rsidR="00034404" w:rsidRPr="00F67030">
        <w:t>RD</w:t>
      </w:r>
      <w:r w:rsidRPr="00F67030">
        <w:t>:</w:t>
      </w:r>
      <w:r w:rsidR="00034404" w:rsidRPr="00F67030">
        <w:t xml:space="preserve"> risk difference; RR</w:t>
      </w:r>
      <w:r w:rsidR="00C77EC6">
        <w:t>:</w:t>
      </w:r>
      <w:r w:rsidR="00034404" w:rsidRPr="00F67030">
        <w:t xml:space="preserve"> risk ratio</w:t>
      </w:r>
      <w:r w:rsidRPr="00F67030">
        <w:t xml:space="preserve">; SAE: </w:t>
      </w:r>
      <w:r w:rsidR="00C77EC6">
        <w:t>s</w:t>
      </w:r>
      <w:r w:rsidRPr="00F67030">
        <w:t xml:space="preserve">erious </w:t>
      </w:r>
      <w:r w:rsidR="00C77EC6">
        <w:t>a</w:t>
      </w:r>
      <w:r w:rsidRPr="00F67030">
        <w:t>dverse event.</w:t>
      </w:r>
    </w:p>
    <w:p w:rsidR="00034404" w:rsidRPr="00F67030" w:rsidRDefault="00034404" w:rsidP="00713472">
      <w:pPr>
        <w:pStyle w:val="TableFooter"/>
        <w:keepNext/>
        <w:keepLines/>
      </w:pPr>
      <w:r w:rsidRPr="00F67030">
        <w:t xml:space="preserve">Source: </w:t>
      </w:r>
      <w:r w:rsidR="008C2FA7" w:rsidRPr="00F67030">
        <w:t>Table 23 p58 and Table 25 p60 of the submission</w:t>
      </w:r>
      <w:r w:rsidR="00C55967" w:rsidRPr="00F67030">
        <w:t xml:space="preserve">, Attachment 13 – Study CA209141 CSR addendum, </w:t>
      </w:r>
      <w:r w:rsidR="008C2FA7" w:rsidRPr="00F67030">
        <w:t xml:space="preserve">Table </w:t>
      </w:r>
      <w:r w:rsidR="00C55967" w:rsidRPr="00F67030">
        <w:t>s.5.2 p116</w:t>
      </w:r>
      <w:r w:rsidR="008C2FA7" w:rsidRPr="00F67030">
        <w:t xml:space="preserve"> and Table s.5.12 p123</w:t>
      </w:r>
      <w:r w:rsidR="00C55967" w:rsidRPr="00F67030">
        <w:t xml:space="preserve">, </w:t>
      </w:r>
      <w:r w:rsidR="008C2FA7" w:rsidRPr="00F67030">
        <w:t xml:space="preserve">and </w:t>
      </w:r>
      <w:r w:rsidR="00C55967" w:rsidRPr="00F67030">
        <w:t>Compil</w:t>
      </w:r>
      <w:r w:rsidR="008C2FA7" w:rsidRPr="00F67030">
        <w:t>ed during the evaluation</w:t>
      </w:r>
    </w:p>
    <w:p w:rsidR="00427E55" w:rsidRPr="00F67030" w:rsidRDefault="00427E55" w:rsidP="00457C75">
      <w:pPr>
        <w:pStyle w:val="ListParagraph"/>
        <w:numPr>
          <w:ilvl w:val="1"/>
          <w:numId w:val="1"/>
        </w:numPr>
        <w:spacing w:before="0" w:after="0"/>
        <w:jc w:val="both"/>
      </w:pPr>
      <w:r w:rsidRPr="00F67030">
        <w:t xml:space="preserve">On the basis of </w:t>
      </w:r>
      <w:r w:rsidR="007E3A03" w:rsidRPr="00F67030">
        <w:t xml:space="preserve">direct evidence presented by the submission, </w:t>
      </w:r>
      <w:r w:rsidRPr="00F67030">
        <w:t xml:space="preserve">for every 100 patients treated with </w:t>
      </w:r>
      <w:r w:rsidR="007E3A03" w:rsidRPr="00F67030">
        <w:t xml:space="preserve">nivolumab </w:t>
      </w:r>
      <w:r w:rsidRPr="00F67030">
        <w:t>in comp</w:t>
      </w:r>
      <w:r w:rsidR="009A6F74" w:rsidRPr="00F67030">
        <w:t xml:space="preserve">arison to </w:t>
      </w:r>
      <w:r w:rsidR="00542327" w:rsidRPr="00F67030">
        <w:t>investigator’s choice</w:t>
      </w:r>
      <w:r w:rsidR="003A53F0" w:rsidRPr="00F67030">
        <w:t xml:space="preserve"> of therapy</w:t>
      </w:r>
      <w:r w:rsidR="009A6F74" w:rsidRPr="00F67030">
        <w:t>:</w:t>
      </w:r>
    </w:p>
    <w:p w:rsidR="00427E55" w:rsidRPr="00F67030" w:rsidRDefault="006D40B7" w:rsidP="0076622F">
      <w:pPr>
        <w:pStyle w:val="ListParagraph"/>
        <w:numPr>
          <w:ilvl w:val="0"/>
          <w:numId w:val="3"/>
        </w:numPr>
        <w:spacing w:before="0" w:after="0"/>
        <w:ind w:left="993" w:hanging="284"/>
        <w:jc w:val="both"/>
      </w:pPr>
      <w:r>
        <w:t>a</w:t>
      </w:r>
      <w:r w:rsidR="00427E55" w:rsidRPr="00F67030">
        <w:t xml:space="preserve">pproximately </w:t>
      </w:r>
      <w:r w:rsidR="008C2FA7" w:rsidRPr="00F67030">
        <w:t>14</w:t>
      </w:r>
      <w:r w:rsidR="00427E55" w:rsidRPr="00F67030">
        <w:t xml:space="preserve"> additional patients would </w:t>
      </w:r>
      <w:r w:rsidR="007E3A03" w:rsidRPr="00F67030">
        <w:t>be alive at 12 months</w:t>
      </w:r>
    </w:p>
    <w:p w:rsidR="00D26F82" w:rsidRPr="00F67030" w:rsidRDefault="006D40B7" w:rsidP="00D26F82">
      <w:pPr>
        <w:pStyle w:val="ListParagraph"/>
        <w:numPr>
          <w:ilvl w:val="0"/>
          <w:numId w:val="3"/>
        </w:numPr>
        <w:spacing w:before="0" w:after="0"/>
        <w:ind w:left="993" w:hanging="284"/>
        <w:jc w:val="both"/>
      </w:pPr>
      <w:r>
        <w:t>a</w:t>
      </w:r>
      <w:r w:rsidR="00D26F82" w:rsidRPr="00F67030">
        <w:t>pproximately 21 fewer patients would experience a drug-related grade</w:t>
      </w:r>
      <w:r w:rsidR="00D26F82" w:rsidRPr="00F67030">
        <w:rPr>
          <w:rFonts w:cstheme="minorHAnsi"/>
        </w:rPr>
        <w:t>≥</w:t>
      </w:r>
      <w:r w:rsidR="00D26F82" w:rsidRPr="00F67030">
        <w:t>3 adverse event</w:t>
      </w:r>
    </w:p>
    <w:p w:rsidR="00FE4C58" w:rsidRPr="00F67030" w:rsidRDefault="006D40B7" w:rsidP="00D26F82">
      <w:pPr>
        <w:pStyle w:val="ListParagraph"/>
        <w:numPr>
          <w:ilvl w:val="0"/>
          <w:numId w:val="3"/>
        </w:numPr>
        <w:spacing w:before="0" w:after="0"/>
        <w:ind w:left="993" w:hanging="284"/>
        <w:jc w:val="both"/>
      </w:pPr>
      <w:r>
        <w:t>a</w:t>
      </w:r>
      <w:r w:rsidR="00427E55" w:rsidRPr="00F67030">
        <w:t xml:space="preserve">pproximately </w:t>
      </w:r>
      <w:r w:rsidR="00D26F82" w:rsidRPr="00F67030">
        <w:t>8 fewer patients would experience a drug-related serious adverse event.</w:t>
      </w:r>
    </w:p>
    <w:p w:rsidR="00C317F3" w:rsidRPr="00424FE4" w:rsidRDefault="008058E8" w:rsidP="00772501">
      <w:pPr>
        <w:pStyle w:val="Heading2"/>
      </w:pPr>
      <w:bookmarkStart w:id="20" w:name="_Toc493002794"/>
      <w:bookmarkEnd w:id="19"/>
      <w:r w:rsidRPr="00424FE4">
        <w:t>Interpretation of clinical evidence</w:t>
      </w:r>
      <w:bookmarkEnd w:id="20"/>
    </w:p>
    <w:p w:rsidR="00EA326E" w:rsidRPr="00F67030" w:rsidRDefault="00EA326E" w:rsidP="00457C75">
      <w:pPr>
        <w:pStyle w:val="ListParagraph"/>
        <w:numPr>
          <w:ilvl w:val="1"/>
          <w:numId w:val="1"/>
        </w:numPr>
        <w:spacing w:before="0" w:after="120"/>
        <w:jc w:val="both"/>
      </w:pPr>
      <w:r w:rsidRPr="00F67030">
        <w:t xml:space="preserve">The submission claimed that nivolumab is superior in terms of effectiveness and favourable in terms of safety compared with single agent </w:t>
      </w:r>
      <w:r w:rsidR="00765354">
        <w:t>SOC</w:t>
      </w:r>
      <w:r w:rsidRPr="00F67030">
        <w:t xml:space="preserve"> in the treatment of patients with recurrent and metastatic SCCHN who have progressed within six months of receiving platinum based chemotherapy.</w:t>
      </w:r>
    </w:p>
    <w:p w:rsidR="00EA326E" w:rsidRPr="00F67030" w:rsidRDefault="00EA326E" w:rsidP="00457C75">
      <w:pPr>
        <w:pStyle w:val="ListParagraph"/>
        <w:numPr>
          <w:ilvl w:val="1"/>
          <w:numId w:val="1"/>
        </w:numPr>
        <w:spacing w:before="0" w:after="120"/>
        <w:jc w:val="both"/>
      </w:pPr>
      <w:r w:rsidRPr="00F67030">
        <w:t xml:space="preserve">The clinical claim of superior effectiveness </w:t>
      </w:r>
      <w:r w:rsidR="00CB5EE1" w:rsidRPr="00F67030">
        <w:t>was adequately</w:t>
      </w:r>
      <w:r w:rsidRPr="00F67030">
        <w:t xml:space="preserve"> supported</w:t>
      </w:r>
      <w:r w:rsidR="00ED09D2" w:rsidRPr="00F67030">
        <w:t>. However, t</w:t>
      </w:r>
      <w:r w:rsidRPr="00F67030">
        <w:t xml:space="preserve">he </w:t>
      </w:r>
      <w:r w:rsidR="000600D1">
        <w:t>following issues were raised in relation to this claim</w:t>
      </w:r>
      <w:r w:rsidRPr="00F67030">
        <w:t>:</w:t>
      </w:r>
    </w:p>
    <w:p w:rsidR="00EA326E" w:rsidRPr="008554A4" w:rsidRDefault="00EA326E" w:rsidP="00DC7739">
      <w:pPr>
        <w:pStyle w:val="ListParagraph"/>
        <w:numPr>
          <w:ilvl w:val="1"/>
          <w:numId w:val="8"/>
        </w:numPr>
        <w:spacing w:before="0" w:after="120"/>
        <w:ind w:left="1134" w:hanging="425"/>
        <w:jc w:val="both"/>
      </w:pPr>
      <w:r w:rsidRPr="00F67030">
        <w:t xml:space="preserve">The OS gain in the ITT population was statistically significant, although the magnitude of benefit was small (median survival gain of </w:t>
      </w:r>
      <w:r w:rsidR="00A024C2">
        <w:rPr>
          <w:noProof/>
          <w:color w:val="000000"/>
          <w:highlight w:val="black"/>
        </w:rPr>
        <w:t>''''''''</w:t>
      </w:r>
      <w:r w:rsidR="00390AD0" w:rsidRPr="00F67030">
        <w:t xml:space="preserve"> months</w:t>
      </w:r>
      <w:r w:rsidRPr="00F67030">
        <w:t xml:space="preserve">). The OS gain </w:t>
      </w:r>
      <w:r w:rsidR="00E90292" w:rsidRPr="00F67030">
        <w:t>wa</w:t>
      </w:r>
      <w:r w:rsidRPr="00F67030">
        <w:t>s similar in magnitude to that previously considered by the PBAC with regards to cetuximab for the treatment of RM SCCHN.</w:t>
      </w:r>
      <w:r w:rsidRPr="00F67030">
        <w:rPr>
          <w:vertAlign w:val="superscript"/>
        </w:rPr>
        <w:footnoteReference w:id="6"/>
      </w:r>
      <w:r w:rsidRPr="00F67030">
        <w:t xml:space="preserve"> </w:t>
      </w:r>
      <w:r w:rsidR="00571BCE" w:rsidRPr="008554A4">
        <w:t xml:space="preserve">However, the ESC noted that the cetuximab submission previously considered by PBAC was for </w:t>
      </w:r>
      <w:r w:rsidR="00057463" w:rsidRPr="008554A4">
        <w:t xml:space="preserve">the treatment of </w:t>
      </w:r>
      <w:r w:rsidR="00057463" w:rsidRPr="008554A4">
        <w:rPr>
          <w:u w:val="single"/>
        </w:rPr>
        <w:t>previously untreated</w:t>
      </w:r>
      <w:r w:rsidR="00571BCE" w:rsidRPr="008554A4">
        <w:t xml:space="preserve"> RM SCCHN, not after progression</w:t>
      </w:r>
      <w:r w:rsidR="00057463" w:rsidRPr="008554A4">
        <w:t xml:space="preserve"> on platinum based chemotherapy</w:t>
      </w:r>
      <w:r w:rsidR="00571BCE" w:rsidRPr="008554A4">
        <w:t xml:space="preserve">. </w:t>
      </w:r>
      <w:r w:rsidRPr="008554A4">
        <w:t xml:space="preserve">The gain in PFS was not statistically significant in either </w:t>
      </w:r>
      <w:r w:rsidRPr="008554A4">
        <w:lastRenderedPageBreak/>
        <w:t>the primary and secondary definitions.</w:t>
      </w:r>
      <w:r w:rsidR="000954F3" w:rsidRPr="008554A4">
        <w:t xml:space="preserve"> The PSCR (p2) claimed that the observation of long term survival benefit from nivolumab, despite the lack of overall differences in RECIST defined PFS, </w:t>
      </w:r>
      <w:r w:rsidR="00E71362" w:rsidRPr="008554A4">
        <w:t>wa</w:t>
      </w:r>
      <w:r w:rsidR="000954F3" w:rsidRPr="008554A4">
        <w:t>s consistent with the hypothesis of sustained immunological disease control in a subset of patients who respond to nivolumab.</w:t>
      </w:r>
    </w:p>
    <w:p w:rsidR="00EA326E" w:rsidRPr="008554A4" w:rsidRDefault="00EA326E" w:rsidP="00DC7739">
      <w:pPr>
        <w:pStyle w:val="ListParagraph"/>
        <w:numPr>
          <w:ilvl w:val="1"/>
          <w:numId w:val="8"/>
        </w:numPr>
        <w:spacing w:before="0" w:after="120"/>
        <w:ind w:left="1134" w:hanging="425"/>
        <w:jc w:val="both"/>
      </w:pPr>
      <w:r w:rsidRPr="008554A4">
        <w:t>The comparators differ</w:t>
      </w:r>
      <w:r w:rsidR="00E90292" w:rsidRPr="008554A4">
        <w:t>ed</w:t>
      </w:r>
      <w:r w:rsidRPr="008554A4">
        <w:t xml:space="preserve"> between those included in the </w:t>
      </w:r>
      <w:r w:rsidR="00542327" w:rsidRPr="008554A4">
        <w:t>investigator’s choice</w:t>
      </w:r>
      <w:r w:rsidR="003A53F0" w:rsidRPr="008554A4">
        <w:t xml:space="preserve"> of therapy</w:t>
      </w:r>
      <w:r w:rsidRPr="008554A4">
        <w:t xml:space="preserve"> arm of Trial CA209141, and </w:t>
      </w:r>
      <w:r w:rsidR="00765354">
        <w:t>SOC</w:t>
      </w:r>
      <w:r w:rsidRPr="008554A4">
        <w:t xml:space="preserve"> in the Australian setting. Subgroup analysis found that the HR </w:t>
      </w:r>
      <w:r w:rsidR="00E90292" w:rsidRPr="008554A4">
        <w:t xml:space="preserve">for OS </w:t>
      </w:r>
      <w:r w:rsidRPr="008554A4">
        <w:t>was more favourable when nivolumab was compared to cetuximab, th</w:t>
      </w:r>
      <w:r w:rsidR="0012101C" w:rsidRPr="008554A4">
        <w:t>a</w:t>
      </w:r>
      <w:r w:rsidRPr="008554A4">
        <w:t xml:space="preserve">n </w:t>
      </w:r>
      <w:r w:rsidR="00A87349" w:rsidRPr="008554A4">
        <w:t xml:space="preserve">to </w:t>
      </w:r>
      <w:r w:rsidRPr="008554A4">
        <w:t xml:space="preserve">methotrexate </w:t>
      </w:r>
      <w:r w:rsidR="00A87349" w:rsidRPr="008554A4">
        <w:t>or</w:t>
      </w:r>
      <w:r w:rsidRPr="008554A4">
        <w:t xml:space="preserve"> docetaxel. </w:t>
      </w:r>
      <w:r w:rsidR="00451540" w:rsidRPr="008554A4">
        <w:t>However, t</w:t>
      </w:r>
      <w:r w:rsidR="00B35212" w:rsidRPr="008554A4">
        <w:t>he ESC noted that these subgroup analyses were not pre-specified. Notwithstanding the PSCR’s arguments (see paragraph 6.1</w:t>
      </w:r>
      <w:r w:rsidR="007129EB">
        <w:t>6</w:t>
      </w:r>
      <w:r w:rsidR="00B35212" w:rsidRPr="008554A4">
        <w:t xml:space="preserve">), the ESC maintained that it was unclear whether the removal of cetuximab and </w:t>
      </w:r>
      <w:r w:rsidR="00260024" w:rsidRPr="008554A4">
        <w:t xml:space="preserve">the </w:t>
      </w:r>
      <w:r w:rsidR="00B35212" w:rsidRPr="008554A4">
        <w:t>addition of capecitabine as a comparator would affect the incremen</w:t>
      </w:r>
      <w:r w:rsidR="000600D1">
        <w:t>tal effectiveness of nivolumab.</w:t>
      </w:r>
    </w:p>
    <w:p w:rsidR="00EA326E" w:rsidRPr="008554A4" w:rsidRDefault="002E2E86" w:rsidP="00DC7739">
      <w:pPr>
        <w:pStyle w:val="ListParagraph"/>
        <w:numPr>
          <w:ilvl w:val="1"/>
          <w:numId w:val="8"/>
        </w:numPr>
        <w:spacing w:before="0" w:after="120"/>
        <w:ind w:left="1134" w:hanging="425"/>
        <w:jc w:val="both"/>
      </w:pPr>
      <w:r w:rsidRPr="00F67030">
        <w:t>Pre-specified exploratory s</w:t>
      </w:r>
      <w:r w:rsidR="00EA326E" w:rsidRPr="00F67030">
        <w:t>ubgroup analys</w:t>
      </w:r>
      <w:r w:rsidR="003873EF" w:rsidRPr="00F67030">
        <w:t>e</w:t>
      </w:r>
      <w:r w:rsidR="00EA326E" w:rsidRPr="00F67030">
        <w:t>s found that patients with PD-L1 tumour expression ≥1% ex</w:t>
      </w:r>
      <w:r w:rsidR="00D460E0" w:rsidRPr="00F67030">
        <w:t>perienced a greater gain in OS.</w:t>
      </w:r>
      <w:r w:rsidR="00082918" w:rsidRPr="00F67030">
        <w:t xml:space="preserve"> The median gain in OS was </w:t>
      </w:r>
      <w:r w:rsidR="00A024C2">
        <w:rPr>
          <w:noProof/>
          <w:color w:val="000000"/>
          <w:highlight w:val="black"/>
        </w:rPr>
        <w:t>''''''' ''''''''''''''</w:t>
      </w:r>
      <w:r w:rsidR="00082918" w:rsidRPr="00F67030">
        <w:t xml:space="preserve"> for patients with PD-L1 expression ≥1%, compared to </w:t>
      </w:r>
      <w:r w:rsidR="00A024C2">
        <w:rPr>
          <w:noProof/>
          <w:color w:val="000000"/>
          <w:highlight w:val="black"/>
        </w:rPr>
        <w:t>''''''' ''''''''''''''</w:t>
      </w:r>
      <w:r w:rsidR="00082918" w:rsidRPr="00F67030">
        <w:t xml:space="preserve"> in patients with PD-L1 expression &lt;1%.</w:t>
      </w:r>
      <w:r w:rsidR="002E4C3F" w:rsidRPr="00F67030">
        <w:t xml:space="preserve"> </w:t>
      </w:r>
      <w:r w:rsidR="00ED09D2" w:rsidRPr="00F67030">
        <w:t>Although th</w:t>
      </w:r>
      <w:r w:rsidR="003873EF" w:rsidRPr="00F67030">
        <w:t>ese subgroup analyses</w:t>
      </w:r>
      <w:r w:rsidR="00ED09D2" w:rsidRPr="00F67030">
        <w:t xml:space="preserve"> suggest that nivolumab may be more effective and more cost-effective for </w:t>
      </w:r>
      <w:r w:rsidR="002E4C3F" w:rsidRPr="00F67030">
        <w:t xml:space="preserve">patients with tumour PD-L1 expression ≥1%, </w:t>
      </w:r>
      <w:r w:rsidR="003873EF" w:rsidRPr="00F67030">
        <w:t xml:space="preserve">both </w:t>
      </w:r>
      <w:r w:rsidR="002E4C3F" w:rsidRPr="00F67030">
        <w:t xml:space="preserve">MSAC and PBAC </w:t>
      </w:r>
      <w:r w:rsidR="003873EF" w:rsidRPr="00F67030">
        <w:t xml:space="preserve">have previously </w:t>
      </w:r>
      <w:r w:rsidR="002E4C3F" w:rsidRPr="00F67030">
        <w:t xml:space="preserve">raised several concerns regarding test accuracy in </w:t>
      </w:r>
      <w:r w:rsidR="00ED09D2" w:rsidRPr="00F67030">
        <w:t xml:space="preserve">the context of integrated </w:t>
      </w:r>
      <w:r w:rsidR="002E4C3F" w:rsidRPr="00F67030">
        <w:t>co</w:t>
      </w:r>
      <w:r w:rsidR="009A1C81" w:rsidRPr="00F67030">
        <w:t>-</w:t>
      </w:r>
      <w:r w:rsidR="002E4C3F" w:rsidRPr="00F67030">
        <w:t>dependent submissions for pembrolizumab (another anti-PD-1 monoclonal an</w:t>
      </w:r>
      <w:r w:rsidR="002E4C3F" w:rsidRPr="008554A4">
        <w:t>tibody) for treatment naïve, locally advanced NSCLC patients (see paragraph 3.4).</w:t>
      </w:r>
      <w:r w:rsidR="000954F3" w:rsidRPr="008554A4">
        <w:t xml:space="preserve"> The ESC considered that the role of PD-L1-based histological stratification of subgroups remained unclear, for reasons discussed earlier (see paragraph 3.4).</w:t>
      </w:r>
    </w:p>
    <w:p w:rsidR="000954F3" w:rsidRPr="008554A4" w:rsidRDefault="000954F3" w:rsidP="00457C75">
      <w:pPr>
        <w:pStyle w:val="ListParagraph"/>
        <w:numPr>
          <w:ilvl w:val="1"/>
          <w:numId w:val="1"/>
        </w:numPr>
        <w:spacing w:before="0" w:after="120"/>
        <w:jc w:val="both"/>
      </w:pPr>
      <w:r w:rsidRPr="008554A4">
        <w:t xml:space="preserve">Overall, the ESC considered that the submission’s claim of superior effectiveness </w:t>
      </w:r>
      <w:r w:rsidR="00260024" w:rsidRPr="008554A4">
        <w:t>over</w:t>
      </w:r>
      <w:r w:rsidRPr="008554A4">
        <w:t xml:space="preserve"> </w:t>
      </w:r>
      <w:r w:rsidR="00765354">
        <w:t>SOC</w:t>
      </w:r>
      <w:r w:rsidRPr="008554A4">
        <w:t xml:space="preserve"> was reasonable. However, </w:t>
      </w:r>
      <w:r w:rsidR="008F6836" w:rsidRPr="008554A4">
        <w:t>the ESC advised that the</w:t>
      </w:r>
      <w:r w:rsidRPr="008554A4">
        <w:t xml:space="preserve"> </w:t>
      </w:r>
      <w:r w:rsidR="00260024" w:rsidRPr="008554A4">
        <w:t xml:space="preserve">extent of </w:t>
      </w:r>
      <w:r w:rsidRPr="008554A4">
        <w:t>incremental benefit of nivolumab treatment was marginal, and was further confounded by the use of cetuximab, instead of capecitabine, in the IC arm of the analysis.</w:t>
      </w:r>
    </w:p>
    <w:p w:rsidR="000954F3" w:rsidRDefault="000954F3" w:rsidP="00457C75">
      <w:pPr>
        <w:pStyle w:val="ListParagraph"/>
        <w:numPr>
          <w:ilvl w:val="1"/>
          <w:numId w:val="1"/>
        </w:numPr>
        <w:spacing w:before="0" w:after="120"/>
        <w:jc w:val="both"/>
      </w:pPr>
      <w:r w:rsidRPr="008554A4">
        <w:t xml:space="preserve">The ESC considered that the submission’s claim of favourable safety, implying superiority over </w:t>
      </w:r>
      <w:r w:rsidR="00F51C9E">
        <w:t>SOC</w:t>
      </w:r>
      <w:r w:rsidRPr="008554A4">
        <w:t>, was adequately supported by the evidence presented in the submission.</w:t>
      </w:r>
    </w:p>
    <w:p w:rsidR="00C312A9" w:rsidRDefault="00C312A9" w:rsidP="00457C75">
      <w:pPr>
        <w:numPr>
          <w:ilvl w:val="1"/>
          <w:numId w:val="1"/>
        </w:numPr>
        <w:spacing w:before="0" w:after="120"/>
        <w:jc w:val="both"/>
      </w:pPr>
      <w:r>
        <w:t>The PBAC accepted that nivolumab treatment resulted in modest clinical benefit, and the magnitude of incremental benefit in Australian clinical practice was confounded by the disparity in comparator choice.</w:t>
      </w:r>
    </w:p>
    <w:p w:rsidR="00C312A9" w:rsidRPr="008554A4" w:rsidRDefault="00C312A9" w:rsidP="00457C75">
      <w:pPr>
        <w:numPr>
          <w:ilvl w:val="1"/>
          <w:numId w:val="1"/>
        </w:numPr>
        <w:spacing w:before="0" w:after="120"/>
        <w:jc w:val="both"/>
      </w:pPr>
      <w:r>
        <w:t xml:space="preserve">The PBAC noted that nivolumab treatment resulted in </w:t>
      </w:r>
      <w:r w:rsidR="000600D1">
        <w:t>few</w:t>
      </w:r>
      <w:r>
        <w:t>er drug-related AEs</w:t>
      </w:r>
      <w:r w:rsidR="000600D1">
        <w:t>,</w:t>
      </w:r>
      <w:r>
        <w:t xml:space="preserve"> but there was minimal difference in all-cause AEs. On balance, the PBAC considered that </w:t>
      </w:r>
      <w:r w:rsidR="000600D1">
        <w:t xml:space="preserve">a conclusion of </w:t>
      </w:r>
      <w:r w:rsidRPr="008554A4">
        <w:t>superior</w:t>
      </w:r>
      <w:r w:rsidR="000600D1">
        <w:t xml:space="preserve"> safe</w:t>
      </w:r>
      <w:r w:rsidRPr="008554A4">
        <w:t xml:space="preserve">ty over </w:t>
      </w:r>
      <w:r>
        <w:t>SOC was reasonable.</w:t>
      </w:r>
    </w:p>
    <w:p w:rsidR="00C317F3" w:rsidRPr="00424FE4" w:rsidRDefault="00C317F3" w:rsidP="00772501">
      <w:pPr>
        <w:pStyle w:val="Heading2"/>
      </w:pPr>
      <w:bookmarkStart w:id="21" w:name="_Toc413139282"/>
      <w:bookmarkStart w:id="22" w:name="_Toc493002795"/>
      <w:r w:rsidRPr="00424FE4">
        <w:t>Economic analysis</w:t>
      </w:r>
      <w:bookmarkEnd w:id="21"/>
      <w:bookmarkEnd w:id="22"/>
    </w:p>
    <w:p w:rsidR="00F651DF" w:rsidRPr="00F67030" w:rsidRDefault="002C1345" w:rsidP="00457C75">
      <w:pPr>
        <w:pStyle w:val="ListParagraph"/>
        <w:numPr>
          <w:ilvl w:val="1"/>
          <w:numId w:val="1"/>
        </w:numPr>
        <w:spacing w:before="0" w:after="120"/>
        <w:jc w:val="both"/>
      </w:pPr>
      <w:r w:rsidRPr="00F67030">
        <w:rPr>
          <w:rFonts w:cstheme="minorHAnsi"/>
          <w:szCs w:val="24"/>
        </w:rPr>
        <w:t>The submission conducted cost-effectiveness (cost per life year gained) and cost-utility (cost per QALY gained) analys</w:t>
      </w:r>
      <w:r w:rsidR="003873EF" w:rsidRPr="00F67030">
        <w:rPr>
          <w:rFonts w:cstheme="minorHAnsi"/>
          <w:szCs w:val="24"/>
        </w:rPr>
        <w:t>e</w:t>
      </w:r>
      <w:r w:rsidRPr="00F67030">
        <w:rPr>
          <w:rFonts w:cstheme="minorHAnsi"/>
          <w:szCs w:val="24"/>
        </w:rPr>
        <w:t xml:space="preserve">s comparing nivolumab to current </w:t>
      </w:r>
      <w:r w:rsidR="00765354">
        <w:rPr>
          <w:rFonts w:cstheme="minorHAnsi"/>
          <w:szCs w:val="24"/>
        </w:rPr>
        <w:t>SOC</w:t>
      </w:r>
      <w:r w:rsidRPr="00765354">
        <w:rPr>
          <w:rFonts w:cstheme="minorHAnsi"/>
          <w:szCs w:val="24"/>
        </w:rPr>
        <w:t xml:space="preserve"> for the treatment of patients with recurrent or metastatic SCCHN.</w:t>
      </w:r>
    </w:p>
    <w:p w:rsidR="00C317F3" w:rsidRPr="00985E30" w:rsidRDefault="00F651DF" w:rsidP="00985E30">
      <w:pPr>
        <w:pStyle w:val="ListParagraph"/>
        <w:numPr>
          <w:ilvl w:val="1"/>
          <w:numId w:val="1"/>
        </w:numPr>
        <w:spacing w:before="0" w:after="120"/>
        <w:jc w:val="both"/>
      </w:pPr>
      <w:r w:rsidRPr="00F67030">
        <w:lastRenderedPageBreak/>
        <w:t>A summary of the model structure is presented in the table below.</w:t>
      </w:r>
    </w:p>
    <w:p w:rsidR="00C317F3" w:rsidRPr="00F67030" w:rsidRDefault="00C317F3" w:rsidP="00527A16">
      <w:pPr>
        <w:pStyle w:val="TableHeading0"/>
      </w:pPr>
      <w:r w:rsidRPr="00F67030">
        <w:lastRenderedPageBreak/>
        <w:t xml:space="preserve">Table </w:t>
      </w:r>
      <w:r w:rsidR="00D460E0" w:rsidRPr="00F67030">
        <w:t>7</w:t>
      </w:r>
      <w:r w:rsidRPr="00F67030">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302"/>
        <w:gridCol w:w="7780"/>
      </w:tblGrid>
      <w:tr w:rsidR="00C317F3" w:rsidRPr="00F67030" w:rsidTr="0063772B">
        <w:trPr>
          <w:tblHeader/>
        </w:trPr>
        <w:tc>
          <w:tcPr>
            <w:tcW w:w="717" w:type="pct"/>
            <w:shd w:val="clear" w:color="auto" w:fill="auto"/>
            <w:vAlign w:val="center"/>
          </w:tcPr>
          <w:p w:rsidR="00C317F3" w:rsidRPr="00F67030" w:rsidRDefault="00C317F3" w:rsidP="00527A16">
            <w:pPr>
              <w:pStyle w:val="TableText"/>
              <w:rPr>
                <w:b/>
              </w:rPr>
            </w:pPr>
            <w:r w:rsidRPr="00F67030">
              <w:rPr>
                <w:b/>
              </w:rPr>
              <w:t>Component</w:t>
            </w:r>
          </w:p>
        </w:tc>
        <w:tc>
          <w:tcPr>
            <w:tcW w:w="4283" w:type="pct"/>
            <w:shd w:val="clear" w:color="auto" w:fill="auto"/>
            <w:vAlign w:val="center"/>
          </w:tcPr>
          <w:p w:rsidR="00C317F3" w:rsidRPr="00F67030" w:rsidRDefault="00C317F3" w:rsidP="00527A16">
            <w:pPr>
              <w:pStyle w:val="TableText"/>
              <w:rPr>
                <w:b/>
              </w:rPr>
            </w:pPr>
            <w:r w:rsidRPr="00F67030">
              <w:rPr>
                <w:b/>
              </w:rPr>
              <w:t>Summary</w:t>
            </w:r>
          </w:p>
        </w:tc>
      </w:tr>
      <w:tr w:rsidR="00C317F3" w:rsidRPr="00F67030" w:rsidTr="0063772B">
        <w:tc>
          <w:tcPr>
            <w:tcW w:w="717" w:type="pct"/>
            <w:shd w:val="clear" w:color="auto" w:fill="auto"/>
            <w:vAlign w:val="center"/>
          </w:tcPr>
          <w:p w:rsidR="00C317F3" w:rsidRPr="00F67030" w:rsidRDefault="00C317F3" w:rsidP="00527A16">
            <w:pPr>
              <w:pStyle w:val="TableText"/>
              <w:widowControl w:val="0"/>
            </w:pPr>
            <w:r w:rsidRPr="00F67030">
              <w:t>Time horizon</w:t>
            </w:r>
          </w:p>
        </w:tc>
        <w:tc>
          <w:tcPr>
            <w:tcW w:w="4283" w:type="pct"/>
            <w:shd w:val="clear" w:color="auto" w:fill="auto"/>
            <w:vAlign w:val="center"/>
          </w:tcPr>
          <w:p w:rsidR="00C317F3" w:rsidRPr="00A024C2" w:rsidRDefault="00A024C2" w:rsidP="00527A16">
            <w:pPr>
              <w:pStyle w:val="TableText"/>
              <w:widowControl w:val="0"/>
              <w:rPr>
                <w:rFonts w:ascii="Times" w:eastAsia="Times New Roman" w:hAnsi="Times" w:cs="Times New Roman"/>
                <w:highlight w:val="black"/>
              </w:rPr>
            </w:pPr>
            <w:r>
              <w:rPr>
                <w:noProof/>
                <w:color w:val="000000"/>
                <w:highlight w:val="black"/>
              </w:rPr>
              <w:t>'''' ''''''''''''' ''''' '''''''' '''''''''''''' ''''''''''' '''''''''' ''''''''''''''' ''''''''''''''''''' ''''''''''''''''''''' '''' ''''''''' ''''''''''''''''' ''''' ''''''' ''''''''''''''''''''''' '''''''''' '''''''''''''''' ''''''''''''''''''''''' '''''''''' '''''''' '''''''''''''''''' '''' ''''''''' ''''''''''''''''''''''''''''''' '''''''''''''''' '''' ''''''''''''''''''' '''''''' '''''''''''''''' ''''''''''''''''''''''' '''''' '''''''' ''''''''''''' '''''''''''''' '''''''''''''''''''''' '''''''''' '''' ''''''''''''''' '''''' ''''''''''''''''' '''''''''''' ''''''''''''''''''''''''''' '''''''''''''' ''''''''' ''''' '''''''''' '''''''''''''''''' ''''''''''''''''' ''''' '''''''' ''''''''''''''''''''''''''' '''''''''' ''''''''' ''''''''' '''' ''''''''' '''''''''''''''''''' ''''''''''''''''' '''' ''''''' '''''''''''''''''''''''''''''' ''''''''''''''' '''' '''''''''''''''''''' '''''''''' ''''''''' ''''''''''''</w:t>
            </w:r>
          </w:p>
        </w:tc>
      </w:tr>
      <w:tr w:rsidR="00334ACB" w:rsidRPr="00F67030" w:rsidTr="0063772B">
        <w:tc>
          <w:tcPr>
            <w:tcW w:w="717" w:type="pct"/>
            <w:shd w:val="clear" w:color="auto" w:fill="auto"/>
            <w:vAlign w:val="center"/>
          </w:tcPr>
          <w:p w:rsidR="00334ACB" w:rsidRPr="00F67030" w:rsidRDefault="00334ACB" w:rsidP="00527A16">
            <w:pPr>
              <w:pStyle w:val="TableText"/>
              <w:widowControl w:val="0"/>
              <w:rPr>
                <w:rFonts w:ascii="Times" w:eastAsia="Times New Roman" w:hAnsi="Times" w:cs="Times New Roman"/>
              </w:rPr>
            </w:pPr>
            <w:r w:rsidRPr="00F67030">
              <w:t>Outcomes</w:t>
            </w:r>
          </w:p>
        </w:tc>
        <w:tc>
          <w:tcPr>
            <w:tcW w:w="4283" w:type="pct"/>
            <w:shd w:val="clear" w:color="auto" w:fill="auto"/>
          </w:tcPr>
          <w:p w:rsidR="00334ACB" w:rsidRPr="00F67030" w:rsidRDefault="00334ACB" w:rsidP="00527A16">
            <w:pPr>
              <w:pStyle w:val="TableText"/>
              <w:widowControl w:val="0"/>
              <w:rPr>
                <w:rFonts w:ascii="Times" w:eastAsia="Times New Roman" w:hAnsi="Times" w:cs="Times New Roman"/>
              </w:rPr>
            </w:pPr>
            <w:r w:rsidRPr="00F67030">
              <w:t>PFS, OS, QALYs and L</w:t>
            </w:r>
            <w:r w:rsidR="00E90292" w:rsidRPr="00F67030">
              <w:t>y</w:t>
            </w:r>
            <w:r w:rsidRPr="00F67030">
              <w:t>s</w:t>
            </w:r>
          </w:p>
        </w:tc>
      </w:tr>
      <w:tr w:rsidR="00334ACB" w:rsidRPr="00F67030" w:rsidTr="0063772B">
        <w:tc>
          <w:tcPr>
            <w:tcW w:w="717" w:type="pct"/>
            <w:shd w:val="clear" w:color="auto" w:fill="auto"/>
            <w:vAlign w:val="center"/>
          </w:tcPr>
          <w:p w:rsidR="00334ACB" w:rsidRPr="00F67030" w:rsidRDefault="00334ACB" w:rsidP="00527A16">
            <w:pPr>
              <w:pStyle w:val="TableText"/>
              <w:widowControl w:val="0"/>
              <w:rPr>
                <w:rFonts w:ascii="Times" w:eastAsia="Times New Roman" w:hAnsi="Times" w:cs="Times New Roman"/>
              </w:rPr>
            </w:pPr>
            <w:r w:rsidRPr="00F67030">
              <w:t>Methods used to generate results</w:t>
            </w:r>
          </w:p>
        </w:tc>
        <w:tc>
          <w:tcPr>
            <w:tcW w:w="4283" w:type="pct"/>
            <w:shd w:val="clear" w:color="auto" w:fill="auto"/>
          </w:tcPr>
          <w:p w:rsidR="00334ACB" w:rsidRPr="00F67030" w:rsidRDefault="00334ACB" w:rsidP="00527A16">
            <w:pPr>
              <w:pStyle w:val="TableText"/>
              <w:widowControl w:val="0"/>
              <w:rPr>
                <w:rFonts w:ascii="Times" w:eastAsia="Times New Roman" w:hAnsi="Times" w:cs="Times New Roman"/>
              </w:rPr>
            </w:pPr>
            <w:r w:rsidRPr="00F67030">
              <w:t>Partitioned survival model</w:t>
            </w:r>
          </w:p>
        </w:tc>
      </w:tr>
      <w:tr w:rsidR="00C317F3" w:rsidRPr="00F67030" w:rsidTr="0063772B">
        <w:tc>
          <w:tcPr>
            <w:tcW w:w="717" w:type="pct"/>
            <w:shd w:val="clear" w:color="auto" w:fill="auto"/>
            <w:vAlign w:val="center"/>
          </w:tcPr>
          <w:p w:rsidR="00C317F3" w:rsidRPr="00F67030" w:rsidRDefault="00C317F3" w:rsidP="00527A16">
            <w:pPr>
              <w:pStyle w:val="TableText"/>
              <w:widowControl w:val="0"/>
              <w:rPr>
                <w:rFonts w:ascii="Times" w:eastAsia="Times New Roman" w:hAnsi="Times" w:cs="Times New Roman"/>
              </w:rPr>
            </w:pPr>
            <w:r w:rsidRPr="00F67030">
              <w:t>Health states</w:t>
            </w:r>
          </w:p>
        </w:tc>
        <w:tc>
          <w:tcPr>
            <w:tcW w:w="4283" w:type="pct"/>
            <w:shd w:val="clear" w:color="auto" w:fill="auto"/>
            <w:vAlign w:val="center"/>
          </w:tcPr>
          <w:p w:rsidR="00334ACB" w:rsidRPr="00F67030" w:rsidRDefault="00AC24FB" w:rsidP="00527A16">
            <w:pPr>
              <w:pStyle w:val="TableText"/>
              <w:widowControl w:val="0"/>
            </w:pPr>
            <w:r w:rsidRPr="00F67030">
              <w:t>‘</w:t>
            </w:r>
            <w:r w:rsidR="00334ACB" w:rsidRPr="00F67030">
              <w:t xml:space="preserve">Alive </w:t>
            </w:r>
            <w:r w:rsidRPr="00F67030">
              <w:t>W</w:t>
            </w:r>
            <w:r w:rsidR="00334ACB" w:rsidRPr="00F67030">
              <w:t xml:space="preserve">ithout </w:t>
            </w:r>
            <w:r w:rsidRPr="00F67030">
              <w:t>P</w:t>
            </w:r>
            <w:r w:rsidR="00334ACB" w:rsidRPr="00F67030">
              <w:t>rogression</w:t>
            </w:r>
            <w:r w:rsidRPr="00F67030">
              <w:t>’</w:t>
            </w:r>
          </w:p>
          <w:p w:rsidR="00334ACB" w:rsidRPr="00F67030" w:rsidRDefault="00AC24FB" w:rsidP="00527A16">
            <w:pPr>
              <w:pStyle w:val="TableText"/>
              <w:widowControl w:val="0"/>
            </w:pPr>
            <w:r w:rsidRPr="00F67030">
              <w:t>‘</w:t>
            </w:r>
            <w:r w:rsidR="00334ACB" w:rsidRPr="00F67030">
              <w:t xml:space="preserve">Alive </w:t>
            </w:r>
            <w:r w:rsidRPr="00F67030">
              <w:t>F</w:t>
            </w:r>
            <w:r w:rsidR="00334ACB" w:rsidRPr="00F67030">
              <w:t xml:space="preserve">ollowing </w:t>
            </w:r>
            <w:r w:rsidRPr="00F67030">
              <w:t>P</w:t>
            </w:r>
            <w:r w:rsidR="00334ACB" w:rsidRPr="00F67030">
              <w:t>rogression</w:t>
            </w:r>
            <w:r w:rsidRPr="00F67030">
              <w:t>’</w:t>
            </w:r>
          </w:p>
          <w:p w:rsidR="00C317F3" w:rsidRPr="00F67030" w:rsidRDefault="00334ACB" w:rsidP="00527A16">
            <w:pPr>
              <w:pStyle w:val="TableText"/>
              <w:widowControl w:val="0"/>
              <w:rPr>
                <w:rFonts w:ascii="Times" w:eastAsia="Times New Roman" w:hAnsi="Times" w:cs="Times New Roman"/>
              </w:rPr>
            </w:pPr>
            <w:r w:rsidRPr="00F67030">
              <w:t>Dead</w:t>
            </w:r>
          </w:p>
        </w:tc>
      </w:tr>
      <w:tr w:rsidR="003A537E" w:rsidRPr="00F67030" w:rsidTr="0063772B">
        <w:tc>
          <w:tcPr>
            <w:tcW w:w="717" w:type="pct"/>
            <w:shd w:val="clear" w:color="auto" w:fill="auto"/>
            <w:vAlign w:val="center"/>
          </w:tcPr>
          <w:p w:rsidR="003A537E" w:rsidRPr="00F67030" w:rsidRDefault="003A537E" w:rsidP="00527A16">
            <w:pPr>
              <w:pStyle w:val="TableText"/>
              <w:widowControl w:val="0"/>
              <w:rPr>
                <w:rFonts w:ascii="Times" w:eastAsia="Times New Roman" w:hAnsi="Times" w:cs="Times New Roman"/>
              </w:rPr>
            </w:pPr>
            <w:r w:rsidRPr="00F67030">
              <w:t>Utilities</w:t>
            </w:r>
          </w:p>
        </w:tc>
        <w:tc>
          <w:tcPr>
            <w:tcW w:w="4283" w:type="pct"/>
            <w:shd w:val="clear" w:color="auto" w:fill="auto"/>
            <w:vAlign w:val="center"/>
          </w:tcPr>
          <w:p w:rsidR="003A537E" w:rsidRPr="00F67030" w:rsidRDefault="002C1345" w:rsidP="00527A16">
            <w:pPr>
              <w:pStyle w:val="TableText"/>
              <w:widowControl w:val="0"/>
            </w:pPr>
            <w:r w:rsidRPr="00F67030">
              <w:rPr>
                <w:rFonts w:eastAsia="Times New Roman" w:cstheme="minorHAnsi"/>
              </w:rPr>
              <w:t xml:space="preserve">Mean utilities were estimated for the </w:t>
            </w:r>
            <w:r w:rsidR="00AC24FB" w:rsidRPr="00F67030">
              <w:rPr>
                <w:rFonts w:eastAsia="Times New Roman" w:cstheme="minorHAnsi"/>
              </w:rPr>
              <w:t xml:space="preserve">health </w:t>
            </w:r>
            <w:r w:rsidRPr="00F67030">
              <w:rPr>
                <w:rFonts w:eastAsia="Times New Roman" w:cstheme="minorHAnsi"/>
              </w:rPr>
              <w:t xml:space="preserve">states of </w:t>
            </w:r>
            <w:r w:rsidR="00437BC4" w:rsidRPr="00F67030">
              <w:rPr>
                <w:rFonts w:eastAsia="Times New Roman" w:cstheme="minorHAnsi"/>
              </w:rPr>
              <w:t>’</w:t>
            </w:r>
            <w:r w:rsidRPr="00F67030">
              <w:rPr>
                <w:rFonts w:eastAsia="Times New Roman" w:cstheme="minorHAnsi"/>
              </w:rPr>
              <w:t xml:space="preserve">Alive Without </w:t>
            </w:r>
            <w:r w:rsidR="003873EF" w:rsidRPr="00F67030">
              <w:rPr>
                <w:rFonts w:eastAsia="Times New Roman" w:cstheme="minorHAnsi"/>
              </w:rPr>
              <w:t>Progression</w:t>
            </w:r>
            <w:r w:rsidR="00437BC4" w:rsidRPr="00F67030">
              <w:rPr>
                <w:rFonts w:eastAsia="Times New Roman" w:cstheme="minorHAnsi"/>
              </w:rPr>
              <w:t>’</w:t>
            </w:r>
            <w:r w:rsidR="003873EF" w:rsidRPr="00F67030">
              <w:rPr>
                <w:rFonts w:eastAsia="Times New Roman" w:cstheme="minorHAnsi"/>
              </w:rPr>
              <w:t xml:space="preserve"> </w:t>
            </w:r>
            <w:r w:rsidRPr="00F67030">
              <w:rPr>
                <w:rFonts w:eastAsia="Times New Roman" w:cstheme="minorHAnsi"/>
              </w:rPr>
              <w:t xml:space="preserve">and </w:t>
            </w:r>
            <w:r w:rsidR="00437BC4" w:rsidRPr="00F67030">
              <w:rPr>
                <w:rFonts w:eastAsia="Times New Roman" w:cstheme="minorHAnsi"/>
              </w:rPr>
              <w:t>‘</w:t>
            </w:r>
            <w:r w:rsidR="00AC24FB" w:rsidRPr="00F67030">
              <w:rPr>
                <w:rFonts w:eastAsia="Times New Roman" w:cstheme="minorHAnsi"/>
              </w:rPr>
              <w:t xml:space="preserve">Alive </w:t>
            </w:r>
            <w:r w:rsidRPr="00F67030">
              <w:rPr>
                <w:rFonts w:eastAsia="Times New Roman" w:cstheme="minorHAnsi"/>
              </w:rPr>
              <w:t>Following Progression</w:t>
            </w:r>
            <w:r w:rsidR="00437BC4" w:rsidRPr="00F67030">
              <w:rPr>
                <w:rFonts w:eastAsia="Times New Roman" w:cstheme="minorHAnsi"/>
              </w:rPr>
              <w:t>’</w:t>
            </w:r>
            <w:r w:rsidRPr="00F67030">
              <w:rPr>
                <w:rFonts w:eastAsia="Times New Roman" w:cstheme="minorHAnsi"/>
              </w:rPr>
              <w:t xml:space="preserve"> using the EQ-5D-3L questionnaire in Trial CA209141. Responses to the EQ-5D-3L were converted to EQ-5D utility values using the Australian-specific scoring algorithm published by Viney et al. (2011).</w:t>
            </w:r>
          </w:p>
          <w:p w:rsidR="00A65FAA" w:rsidRPr="00F67030" w:rsidRDefault="00A65FAA" w:rsidP="00527A16">
            <w:pPr>
              <w:pStyle w:val="TableText"/>
              <w:widowControl w:val="0"/>
            </w:pPr>
            <w:r w:rsidRPr="00F67030">
              <w:t>The submission did not provide any patient level data or STATA code/output to verify the utility values.</w:t>
            </w:r>
          </w:p>
          <w:p w:rsidR="00A65FAA" w:rsidRPr="00F67030" w:rsidRDefault="00A65FAA" w:rsidP="00527A16">
            <w:pPr>
              <w:pStyle w:val="TableText"/>
              <w:widowControl w:val="0"/>
            </w:pPr>
            <w:r w:rsidRPr="00F67030">
              <w:t>The submission did not report how the results were adjusted for differences in utility values across the treatment arms at baseline, or questionnaires that had missing domain scores or were missing in their entirety.</w:t>
            </w:r>
          </w:p>
          <w:p w:rsidR="00A65FAA" w:rsidRPr="00F67030" w:rsidRDefault="00A65FAA" w:rsidP="00527A16">
            <w:pPr>
              <w:pStyle w:val="TableText"/>
              <w:widowControl w:val="0"/>
            </w:pPr>
            <w:r w:rsidRPr="00F67030">
              <w:t xml:space="preserve">It is not known how many observations were used to estimate the utility value in the </w:t>
            </w:r>
            <w:r w:rsidR="00437BC4" w:rsidRPr="00F67030">
              <w:t>’</w:t>
            </w:r>
            <w:r w:rsidR="00AC24FB" w:rsidRPr="00F67030">
              <w:t xml:space="preserve">Alive </w:t>
            </w:r>
            <w:r w:rsidRPr="00F67030">
              <w:t xml:space="preserve">Following </w:t>
            </w:r>
            <w:r w:rsidR="00224EC3" w:rsidRPr="00F67030">
              <w:t>P</w:t>
            </w:r>
            <w:r w:rsidRPr="00F67030">
              <w:t>rogression</w:t>
            </w:r>
            <w:r w:rsidR="00437BC4" w:rsidRPr="00F67030">
              <w:t>’</w:t>
            </w:r>
            <w:r w:rsidRPr="00F67030">
              <w:t xml:space="preserve"> </w:t>
            </w:r>
            <w:r w:rsidR="00AC24FB" w:rsidRPr="00F67030">
              <w:t xml:space="preserve">health </w:t>
            </w:r>
            <w:r w:rsidRPr="00F67030">
              <w:t xml:space="preserve">state, and whether these were driven by one or two end of treatment follow-up visits. It is possible that the utility value for the </w:t>
            </w:r>
            <w:r w:rsidR="00437BC4" w:rsidRPr="00F67030">
              <w:t>‘</w:t>
            </w:r>
            <w:r w:rsidR="00AC24FB" w:rsidRPr="00F67030">
              <w:t xml:space="preserve">Alive </w:t>
            </w:r>
            <w:r w:rsidRPr="00F67030">
              <w:t xml:space="preserve">Following </w:t>
            </w:r>
            <w:r w:rsidR="003873EF" w:rsidRPr="00F67030">
              <w:t>P</w:t>
            </w:r>
            <w:r w:rsidRPr="00F67030">
              <w:t>rogression</w:t>
            </w:r>
            <w:r w:rsidR="00437BC4" w:rsidRPr="00F67030">
              <w:t>’</w:t>
            </w:r>
            <w:r w:rsidRPr="00F67030">
              <w:t xml:space="preserve"> </w:t>
            </w:r>
            <w:r w:rsidR="00AC24FB" w:rsidRPr="00F67030">
              <w:t xml:space="preserve">health </w:t>
            </w:r>
            <w:r w:rsidRPr="00F67030">
              <w:t>state is over-estimated.</w:t>
            </w:r>
          </w:p>
          <w:p w:rsidR="002C1345" w:rsidRPr="00F67030" w:rsidRDefault="002C1345" w:rsidP="00527A16">
            <w:pPr>
              <w:pStyle w:val="TableText"/>
              <w:widowControl w:val="0"/>
            </w:pPr>
            <w:r w:rsidRPr="00F67030">
              <w:t>The results may be subject to bias as Trial CA209141 was an open-label trial.</w:t>
            </w:r>
          </w:p>
          <w:p w:rsidR="00A65FAA" w:rsidRPr="00F67030" w:rsidRDefault="00A65FAA" w:rsidP="00527A16">
            <w:pPr>
              <w:pStyle w:val="TableText"/>
              <w:widowControl w:val="0"/>
            </w:pPr>
            <w:r w:rsidRPr="00F67030">
              <w:t xml:space="preserve">It is questionable whether there should be any ongoing difference in the utility values post-progression if the </w:t>
            </w:r>
            <w:r w:rsidR="00224EC3" w:rsidRPr="00F67030">
              <w:t>AEs</w:t>
            </w:r>
            <w:r w:rsidRPr="00F67030">
              <w:t xml:space="preserve"> are short</w:t>
            </w:r>
            <w:r w:rsidR="00224EC3" w:rsidRPr="00F67030">
              <w:t>-</w:t>
            </w:r>
            <w:r w:rsidRPr="00F67030">
              <w:t>term.</w:t>
            </w:r>
          </w:p>
          <w:p w:rsidR="00F25AB1" w:rsidRPr="00F67030" w:rsidRDefault="00A65FAA" w:rsidP="00527A16">
            <w:pPr>
              <w:pStyle w:val="TableText"/>
              <w:widowControl w:val="0"/>
            </w:pPr>
            <w:r w:rsidRPr="00F67030">
              <w:t xml:space="preserve">The utilities derived from patient level data pick up the impact on </w:t>
            </w:r>
            <w:r w:rsidR="00224EC3" w:rsidRPr="00F67030">
              <w:t>AEs</w:t>
            </w:r>
            <w:r w:rsidRPr="00F67030">
              <w:t xml:space="preserve">, however this does not reflect what would be experienced in clinical practice due to a difference in chemotherapies in Trial CA209141 and medicines typically used in Australian practice. It is not clear whether this bias favours the </w:t>
            </w:r>
            <w:r w:rsidR="00542327" w:rsidRPr="00F67030">
              <w:t>investigator’s choice</w:t>
            </w:r>
            <w:r w:rsidR="00A87349" w:rsidRPr="00F67030">
              <w:t xml:space="preserve"> of therapy</w:t>
            </w:r>
            <w:r w:rsidRPr="00F67030">
              <w:t xml:space="preserve"> or nivolumab arms.</w:t>
            </w:r>
          </w:p>
        </w:tc>
      </w:tr>
      <w:tr w:rsidR="00C317F3" w:rsidRPr="00F67030" w:rsidTr="0063772B">
        <w:tc>
          <w:tcPr>
            <w:tcW w:w="717" w:type="pct"/>
            <w:shd w:val="clear" w:color="auto" w:fill="auto"/>
            <w:vAlign w:val="center"/>
          </w:tcPr>
          <w:p w:rsidR="00C317F3" w:rsidRPr="00F67030" w:rsidRDefault="00C317F3" w:rsidP="00527A16">
            <w:pPr>
              <w:pStyle w:val="TableText"/>
              <w:widowControl w:val="0"/>
              <w:rPr>
                <w:rFonts w:ascii="Times" w:eastAsia="Times New Roman" w:hAnsi="Times" w:cs="Times New Roman"/>
              </w:rPr>
            </w:pPr>
            <w:r w:rsidRPr="00F67030">
              <w:t>Cycle length</w:t>
            </w:r>
          </w:p>
        </w:tc>
        <w:tc>
          <w:tcPr>
            <w:tcW w:w="4283" w:type="pct"/>
            <w:shd w:val="clear" w:color="auto" w:fill="auto"/>
            <w:vAlign w:val="center"/>
          </w:tcPr>
          <w:p w:rsidR="00C317F3" w:rsidRPr="00F67030" w:rsidRDefault="00F25AB1" w:rsidP="00527A16">
            <w:pPr>
              <w:pStyle w:val="TableText"/>
              <w:widowControl w:val="0"/>
              <w:rPr>
                <w:rFonts w:ascii="Times" w:eastAsia="Times New Roman" w:hAnsi="Times" w:cs="Times New Roman"/>
              </w:rPr>
            </w:pPr>
            <w:r w:rsidRPr="00F67030">
              <w:t>3 weeks</w:t>
            </w:r>
          </w:p>
        </w:tc>
      </w:tr>
      <w:tr w:rsidR="00F25AB1" w:rsidRPr="00F67030" w:rsidTr="0063772B">
        <w:tc>
          <w:tcPr>
            <w:tcW w:w="717" w:type="pct"/>
            <w:shd w:val="clear" w:color="auto" w:fill="auto"/>
          </w:tcPr>
          <w:p w:rsidR="00F25AB1" w:rsidRPr="00F67030" w:rsidRDefault="00F25AB1" w:rsidP="00527A16">
            <w:pPr>
              <w:pStyle w:val="TableText"/>
              <w:widowControl w:val="0"/>
              <w:rPr>
                <w:rFonts w:ascii="Times" w:eastAsia="Times New Roman" w:hAnsi="Times" w:cs="Times New Roman"/>
              </w:rPr>
            </w:pPr>
            <w:r w:rsidRPr="00F67030">
              <w:t>Survival rates</w:t>
            </w:r>
          </w:p>
        </w:tc>
        <w:tc>
          <w:tcPr>
            <w:tcW w:w="4283" w:type="pct"/>
            <w:shd w:val="clear" w:color="auto" w:fill="auto"/>
          </w:tcPr>
          <w:p w:rsidR="00F25AB1" w:rsidRPr="00F67030" w:rsidRDefault="00F25AB1" w:rsidP="00527A16">
            <w:pPr>
              <w:pStyle w:val="TableText"/>
              <w:widowControl w:val="0"/>
              <w:rPr>
                <w:bCs/>
                <w:iCs/>
              </w:rPr>
            </w:pPr>
            <w:r w:rsidRPr="00F67030">
              <w:rPr>
                <w:bCs/>
                <w:iCs/>
              </w:rPr>
              <w:t>Investigator assessed PFS and OS rates were used to quantify the proport</w:t>
            </w:r>
            <w:r w:rsidR="00C851AE" w:rsidRPr="00F67030">
              <w:rPr>
                <w:bCs/>
                <w:iCs/>
              </w:rPr>
              <w:t>ions of patients in the ‘Alive W</w:t>
            </w:r>
            <w:r w:rsidRPr="00F67030">
              <w:rPr>
                <w:bCs/>
                <w:iCs/>
              </w:rPr>
              <w:t xml:space="preserve">ithout </w:t>
            </w:r>
            <w:r w:rsidR="00962139" w:rsidRPr="00F67030">
              <w:rPr>
                <w:bCs/>
                <w:iCs/>
              </w:rPr>
              <w:t>P</w:t>
            </w:r>
            <w:r w:rsidRPr="00F67030">
              <w:rPr>
                <w:bCs/>
                <w:iCs/>
              </w:rPr>
              <w:t xml:space="preserve">rogression’ and ‘Dead’ health states, respectively. </w:t>
            </w:r>
            <w:r w:rsidRPr="00F67030">
              <w:t xml:space="preserve">The chemotherapies included in the </w:t>
            </w:r>
            <w:r w:rsidR="00542327" w:rsidRPr="00F67030">
              <w:t>investigator’s choice</w:t>
            </w:r>
            <w:r w:rsidR="00A87349" w:rsidRPr="00F67030">
              <w:t xml:space="preserve"> of therapy</w:t>
            </w:r>
            <w:r w:rsidRPr="00F67030">
              <w:t xml:space="preserve"> (docetaxel, methotrexate or cetuximab) arm in </w:t>
            </w:r>
            <w:r w:rsidR="00A65FAA" w:rsidRPr="00F67030">
              <w:rPr>
                <w:bCs/>
                <w:iCs/>
              </w:rPr>
              <w:t>Trial</w:t>
            </w:r>
            <w:r w:rsidRPr="00F67030">
              <w:rPr>
                <w:bCs/>
                <w:iCs/>
              </w:rPr>
              <w:t xml:space="preserve"> CA209141 </w:t>
            </w:r>
            <w:r w:rsidRPr="00F67030">
              <w:t xml:space="preserve">differ from the comparator medicines used in Australian practice. The impact on the results </w:t>
            </w:r>
            <w:r w:rsidR="00BC5AEF" w:rsidRPr="00F67030">
              <w:t>was</w:t>
            </w:r>
            <w:r w:rsidRPr="00F67030">
              <w:t xml:space="preserve"> uncertain.</w:t>
            </w:r>
          </w:p>
          <w:p w:rsidR="00F25AB1" w:rsidRPr="00F67030" w:rsidRDefault="00F25AB1" w:rsidP="00527A16">
            <w:pPr>
              <w:pStyle w:val="TableText"/>
              <w:widowControl w:val="0"/>
              <w:rPr>
                <w:rFonts w:cstheme="minorHAnsi"/>
                <w:szCs w:val="24"/>
              </w:rPr>
            </w:pPr>
            <w:r w:rsidRPr="00F67030">
              <w:rPr>
                <w:bCs/>
                <w:iCs/>
              </w:rPr>
              <w:t xml:space="preserve">PFS and OS data from </w:t>
            </w:r>
            <w:r w:rsidR="00A65FAA" w:rsidRPr="00F67030">
              <w:rPr>
                <w:bCs/>
                <w:iCs/>
              </w:rPr>
              <w:t>Trial CA209141</w:t>
            </w:r>
            <w:r w:rsidRPr="00F67030">
              <w:rPr>
                <w:bCs/>
                <w:iCs/>
              </w:rPr>
              <w:t xml:space="preserve"> </w:t>
            </w:r>
            <w:r w:rsidR="00C851AE" w:rsidRPr="00F67030">
              <w:rPr>
                <w:bCs/>
                <w:iCs/>
              </w:rPr>
              <w:t>were</w:t>
            </w:r>
            <w:r w:rsidRPr="00F67030">
              <w:rPr>
                <w:bCs/>
                <w:iCs/>
              </w:rPr>
              <w:t xml:space="preserve"> extrapolated to </w:t>
            </w:r>
            <w:r w:rsidR="00A024C2">
              <w:rPr>
                <w:bCs/>
                <w:iCs/>
                <w:noProof/>
                <w:color w:val="000000"/>
                <w:highlight w:val="black"/>
              </w:rPr>
              <w:t>''' '''''''''''' '''''''''''''''' '''''' ''' '''''''''''''''''''' ''''''''' ''''''''''''''''''' ''''''''''' '''' ''''''''' '''''''''' '''''''''' '''''''' '''''''' '''''''''''' '''''''''''''''''' ''''''''''''''''''''''' '''' '''''''' '''''' '''''''''''' ''''''''' '''' '''''''''' ''''''''''''''''''''''' ''''''' '''''''''''''' '''''' ''''''''''''''''''''''''' ''''''''' ''''''''''''''''''' ''''''''' '''''' '''''''''''''''' '''''' ''''''''''''''''''''''''''''''' '''''''''''''' '''' ''''''''''''''''''' '''''''' ''''''''''''''''''''''</w:t>
            </w:r>
            <w:r w:rsidRPr="00F67030">
              <w:t xml:space="preserve">. The point of extrapolation was reasonable. </w:t>
            </w:r>
            <w:r w:rsidRPr="00F67030">
              <w:rPr>
                <w:bCs/>
                <w:iCs/>
              </w:rPr>
              <w:t>The log-logistic function had t</w:t>
            </w:r>
            <w:r w:rsidRPr="00F67030">
              <w:t xml:space="preserve">he best goodness-of-fit compared to other functions tested for both PFS and OS. However, </w:t>
            </w:r>
            <w:r w:rsidR="00EB49C5" w:rsidRPr="00F67030">
              <w:t>the fit of the parametric functions to PFS was poor and the submission should have considered alternative approaches to extrapolating PFS.</w:t>
            </w:r>
            <w:r w:rsidR="00A366B2" w:rsidRPr="00F67030">
              <w:t xml:space="preserve"> </w:t>
            </w:r>
            <w:r w:rsidR="00214D50" w:rsidRPr="00F67030">
              <w:t xml:space="preserve">Regarding OS, </w:t>
            </w:r>
            <w:r w:rsidR="00A366B2" w:rsidRPr="00F67030">
              <w:rPr>
                <w:rFonts w:cstheme="minorHAnsi"/>
                <w:szCs w:val="24"/>
              </w:rPr>
              <w:t xml:space="preserve">there was very little difference in the </w:t>
            </w:r>
            <w:r w:rsidR="000F7275" w:rsidRPr="00F67030">
              <w:rPr>
                <w:rFonts w:cstheme="minorHAnsi"/>
                <w:szCs w:val="24"/>
              </w:rPr>
              <w:t xml:space="preserve">AIC and </w:t>
            </w:r>
            <w:r w:rsidR="00A366B2" w:rsidRPr="00F67030">
              <w:rPr>
                <w:rFonts w:cstheme="minorHAnsi"/>
                <w:szCs w:val="24"/>
              </w:rPr>
              <w:t xml:space="preserve">BIC between the </w:t>
            </w:r>
            <w:r w:rsidR="000F7275" w:rsidRPr="00F67030">
              <w:rPr>
                <w:rFonts w:cstheme="minorHAnsi"/>
                <w:szCs w:val="24"/>
              </w:rPr>
              <w:t>log-logistic (</w:t>
            </w:r>
            <w:r w:rsidR="00A024C2">
              <w:rPr>
                <w:rFonts w:cstheme="minorHAnsi"/>
                <w:noProof/>
                <w:color w:val="000000"/>
                <w:szCs w:val="24"/>
                <w:highlight w:val="black"/>
              </w:rPr>
              <w:t>''''''''''' ''''''''''''''''''' '''''''''' ''''''''''' '''''''''''''''</w:t>
            </w:r>
            <w:r w:rsidR="000F7275" w:rsidRPr="00F67030">
              <w:rPr>
                <w:rFonts w:cstheme="minorHAnsi"/>
                <w:szCs w:val="24"/>
              </w:rPr>
              <w:t>) and exponential (</w:t>
            </w:r>
            <w:r w:rsidR="00A024C2">
              <w:rPr>
                <w:rFonts w:cstheme="minorHAnsi"/>
                <w:noProof/>
                <w:color w:val="000000"/>
                <w:szCs w:val="24"/>
                <w:highlight w:val="black"/>
              </w:rPr>
              <w:t>'''''''''' '''''''''''''''''''' '''''''' '''''''''' ''''''''''''''''''''''</w:t>
            </w:r>
            <w:r w:rsidR="000F7275" w:rsidRPr="00F67030">
              <w:rPr>
                <w:rFonts w:cstheme="minorHAnsi"/>
                <w:szCs w:val="24"/>
              </w:rPr>
              <w:t>) functions</w:t>
            </w:r>
            <w:r w:rsidR="00192359" w:rsidRPr="00F67030">
              <w:rPr>
                <w:rFonts w:cstheme="minorHAnsi"/>
                <w:szCs w:val="24"/>
              </w:rPr>
              <w:t xml:space="preserve"> fitted to the nivolumab arm</w:t>
            </w:r>
            <w:r w:rsidR="00A366B2" w:rsidRPr="00F67030">
              <w:rPr>
                <w:rFonts w:cstheme="minorHAnsi"/>
                <w:szCs w:val="24"/>
              </w:rPr>
              <w:t xml:space="preserve">, however the application of the log-logistic function had a </w:t>
            </w:r>
            <w:r w:rsidR="00CC7A2C" w:rsidRPr="00F67030">
              <w:rPr>
                <w:rFonts w:cstheme="minorHAnsi"/>
                <w:szCs w:val="24"/>
              </w:rPr>
              <w:t xml:space="preserve">substantial </w:t>
            </w:r>
            <w:r w:rsidR="00A366B2" w:rsidRPr="00F67030">
              <w:rPr>
                <w:rFonts w:cstheme="minorHAnsi"/>
                <w:szCs w:val="24"/>
              </w:rPr>
              <w:t>impact on the ICER</w:t>
            </w:r>
            <w:r w:rsidR="002E7DE0" w:rsidRPr="00F67030">
              <w:rPr>
                <w:rFonts w:cstheme="minorHAnsi"/>
                <w:szCs w:val="24"/>
              </w:rPr>
              <w:t>, mainly due to the long tail</w:t>
            </w:r>
            <w:r w:rsidR="00A366B2" w:rsidRPr="00F67030">
              <w:rPr>
                <w:rFonts w:cstheme="minorHAnsi"/>
                <w:szCs w:val="24"/>
              </w:rPr>
              <w:t>.</w:t>
            </w:r>
          </w:p>
          <w:p w:rsidR="00F25AB1" w:rsidRPr="00F67030" w:rsidRDefault="00F25AB1" w:rsidP="00527A16">
            <w:pPr>
              <w:pStyle w:val="TableText"/>
              <w:widowControl w:val="0"/>
              <w:rPr>
                <w:bCs/>
                <w:iCs/>
              </w:rPr>
            </w:pPr>
            <w:r w:rsidRPr="00F67030">
              <w:rPr>
                <w:bCs/>
                <w:iCs/>
              </w:rPr>
              <w:t xml:space="preserve">Treatment continuation was based on PFS in </w:t>
            </w:r>
            <w:r w:rsidR="00A65FAA" w:rsidRPr="00F67030">
              <w:rPr>
                <w:bCs/>
                <w:iCs/>
              </w:rPr>
              <w:t>Trial CA209141</w:t>
            </w:r>
            <w:r w:rsidR="00046226" w:rsidRPr="00F67030">
              <w:rPr>
                <w:bCs/>
                <w:iCs/>
              </w:rPr>
              <w:t xml:space="preserve"> (and thus also extrapolated to </w:t>
            </w:r>
            <w:r w:rsidR="00A024C2">
              <w:rPr>
                <w:bCs/>
                <w:iCs/>
                <w:noProof/>
                <w:color w:val="000000"/>
                <w:highlight w:val="black"/>
              </w:rPr>
              <w:t>'''' ''''''''''''''</w:t>
            </w:r>
            <w:r w:rsidR="00046226" w:rsidRPr="00F67030">
              <w:rPr>
                <w:bCs/>
                <w:iCs/>
              </w:rPr>
              <w:t>)</w:t>
            </w:r>
            <w:r w:rsidRPr="00F67030">
              <w:rPr>
                <w:bCs/>
                <w:iCs/>
              </w:rPr>
              <w:t>.</w:t>
            </w:r>
            <w:r w:rsidRPr="00F67030">
              <w:t xml:space="preserve"> Around </w:t>
            </w:r>
            <w:r w:rsidR="00A024C2">
              <w:rPr>
                <w:noProof/>
                <w:color w:val="000000"/>
                <w:highlight w:val="black"/>
              </w:rPr>
              <w:t>'''''''''''</w:t>
            </w:r>
            <w:r w:rsidRPr="00F67030">
              <w:t xml:space="preserve"> of nivolumab patients continued treatment following progression</w:t>
            </w:r>
            <w:r w:rsidR="00A366B2" w:rsidRPr="00F67030">
              <w:t xml:space="preserve"> in Trial CA209141. Treatment costs were underestimated in the model.</w:t>
            </w:r>
          </w:p>
          <w:p w:rsidR="00F25AB1" w:rsidRPr="00F67030" w:rsidRDefault="00F25AB1" w:rsidP="00527A16">
            <w:pPr>
              <w:pStyle w:val="TableText"/>
              <w:widowControl w:val="0"/>
            </w:pPr>
            <w:r w:rsidRPr="00F67030">
              <w:t>Convergence of health outcomes between the two treatment arms was modelled from the 3</w:t>
            </w:r>
            <w:r w:rsidRPr="00F67030">
              <w:rPr>
                <w:vertAlign w:val="superscript"/>
              </w:rPr>
              <w:t>rd</w:t>
            </w:r>
            <w:r w:rsidRPr="00F67030">
              <w:t xml:space="preserve"> year of the base projection. This is reasonable.</w:t>
            </w:r>
          </w:p>
        </w:tc>
      </w:tr>
    </w:tbl>
    <w:p w:rsidR="006B250D" w:rsidRPr="00F67030" w:rsidRDefault="00224EC3" w:rsidP="00527A16">
      <w:pPr>
        <w:pStyle w:val="TableFooter"/>
        <w:keepNext/>
      </w:pPr>
      <w:r w:rsidRPr="00F67030">
        <w:t xml:space="preserve">AE: adverse event; </w:t>
      </w:r>
      <w:r w:rsidR="006B250D" w:rsidRPr="00F67030">
        <w:t>IC: investigator</w:t>
      </w:r>
      <w:r w:rsidR="00A87349" w:rsidRPr="00F67030">
        <w:t>’s</w:t>
      </w:r>
      <w:r w:rsidR="006B250D" w:rsidRPr="00F67030">
        <w:t xml:space="preserve"> choice</w:t>
      </w:r>
      <w:r w:rsidR="00A87349" w:rsidRPr="00F67030">
        <w:t xml:space="preserve"> of therapy</w:t>
      </w:r>
      <w:r w:rsidRPr="00F67030">
        <w:t>;</w:t>
      </w:r>
      <w:r w:rsidR="006B250D" w:rsidRPr="00F67030">
        <w:t xml:space="preserve"> LY: life year; OS: overall survival; OR: overall response; </w:t>
      </w:r>
      <w:r w:rsidR="003D102E" w:rsidRPr="00F67030">
        <w:t>PFS: progression-</w:t>
      </w:r>
      <w:r w:rsidR="006B250D" w:rsidRPr="00F67030">
        <w:t>free survival; QALY: quality adjusted life year; SD: stable disease</w:t>
      </w:r>
      <w:r w:rsidRPr="00F67030">
        <w:t>.</w:t>
      </w:r>
    </w:p>
    <w:p w:rsidR="00C317F3" w:rsidRPr="00F67030" w:rsidRDefault="00C317F3" w:rsidP="00527A16">
      <w:pPr>
        <w:pStyle w:val="TableFooter"/>
        <w:keepNext/>
      </w:pPr>
      <w:r w:rsidRPr="00F67030">
        <w:t xml:space="preserve">Source: </w:t>
      </w:r>
      <w:r w:rsidR="00F25AB1" w:rsidRPr="00F67030">
        <w:t xml:space="preserve">Table 39, </w:t>
      </w:r>
      <w:r w:rsidR="006B250D" w:rsidRPr="00F67030">
        <w:t>p</w:t>
      </w:r>
      <w:r w:rsidR="00F25AB1" w:rsidRPr="00F67030">
        <w:t>93 of the submission</w:t>
      </w:r>
    </w:p>
    <w:p w:rsidR="00AB7B61" w:rsidRDefault="006E77BE" w:rsidP="00457C75">
      <w:pPr>
        <w:pStyle w:val="ListParagraph"/>
        <w:numPr>
          <w:ilvl w:val="1"/>
          <w:numId w:val="1"/>
        </w:numPr>
        <w:spacing w:before="0" w:after="120"/>
        <w:jc w:val="both"/>
      </w:pPr>
      <w:r w:rsidRPr="00F67030">
        <w:t>Figure</w:t>
      </w:r>
      <w:r w:rsidR="005F4BCD" w:rsidRPr="00F67030">
        <w:t>s</w:t>
      </w:r>
      <w:r w:rsidRPr="00F67030">
        <w:t xml:space="preserve"> </w:t>
      </w:r>
      <w:r w:rsidR="005F4BCD" w:rsidRPr="00F67030">
        <w:t>4 to 7</w:t>
      </w:r>
      <w:r w:rsidR="003873EF" w:rsidRPr="00F67030">
        <w:t xml:space="preserve"> present</w:t>
      </w:r>
      <w:r w:rsidRPr="00F67030">
        <w:t xml:space="preserve"> the extrapolation</w:t>
      </w:r>
      <w:r w:rsidR="005F4BCD" w:rsidRPr="00F67030">
        <w:t xml:space="preserve"> of PFS and OS in the model using different parametric functions.</w:t>
      </w:r>
    </w:p>
    <w:p w:rsidR="00245699" w:rsidRPr="00F67030" w:rsidRDefault="00AB7B61" w:rsidP="00AB7B61">
      <w:pPr>
        <w:spacing w:before="0" w:line="259" w:lineRule="auto"/>
        <w:rPr>
          <w:rFonts w:ascii="Arial Narrow" w:hAnsi="Arial Narrow"/>
          <w:sz w:val="20"/>
        </w:rPr>
      </w:pPr>
      <w:r>
        <w:br w:type="page"/>
      </w:r>
      <w:r w:rsidR="00A024C2">
        <w:rPr>
          <w:noProof/>
          <w:lang w:eastAsia="en-AU"/>
        </w:rPr>
        <w:lastRenderedPageBreak/>
        <w:drawing>
          <wp:anchor distT="0" distB="0" distL="114300" distR="114300" simplePos="0" relativeHeight="251665408" behindDoc="1" locked="0" layoutInCell="1" allowOverlap="1" wp14:anchorId="529CA57B" wp14:editId="5E854A61">
            <wp:simplePos x="0" y="0"/>
            <wp:positionH relativeFrom="column">
              <wp:posOffset>457200</wp:posOffset>
            </wp:positionH>
            <wp:positionV relativeFrom="paragraph">
              <wp:posOffset>241192</wp:posOffset>
            </wp:positionV>
            <wp:extent cx="4298950" cy="2606039"/>
            <wp:effectExtent l="0" t="0" r="6350" b="4445"/>
            <wp:wrapTight wrapText="bothSides">
              <wp:wrapPolygon edited="0">
                <wp:start x="0" y="0"/>
                <wp:lineTo x="0" y="21479"/>
                <wp:lineTo x="21536" y="21479"/>
                <wp:lineTo x="21536"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98950" cy="2606039"/>
                    </a:xfrm>
                    <a:prstGeom prst="rect">
                      <a:avLst/>
                    </a:prstGeom>
                  </pic:spPr>
                </pic:pic>
              </a:graphicData>
            </a:graphic>
            <wp14:sizeRelH relativeFrom="margin">
              <wp14:pctWidth>0</wp14:pctWidth>
            </wp14:sizeRelH>
            <wp14:sizeRelV relativeFrom="margin">
              <wp14:pctHeight>0</wp14:pctHeight>
            </wp14:sizeRelV>
          </wp:anchor>
        </w:drawing>
      </w:r>
      <w:r>
        <w:t>F</w:t>
      </w:r>
      <w:r w:rsidR="00245699" w:rsidRPr="00245699">
        <w:rPr>
          <w:rFonts w:ascii="Arial Narrow" w:hAnsi="Arial Narrow"/>
          <w:b/>
          <w:sz w:val="20"/>
        </w:rPr>
        <w:t>igure 4: Extrapolation of PFS in the nivolumab arm using different parametric functions (base case = log-logistic)</w:t>
      </w: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Default="00245699" w:rsidP="00245699">
      <w:pPr>
        <w:rPr>
          <w:rFonts w:ascii="Arial Narrow" w:hAnsi="Arial Narrow"/>
          <w:sz w:val="20"/>
        </w:rPr>
      </w:pPr>
    </w:p>
    <w:p w:rsidR="00245699" w:rsidRPr="00F67030" w:rsidRDefault="00245699" w:rsidP="00245699">
      <w:pPr>
        <w:pStyle w:val="TableFooter"/>
      </w:pPr>
      <w:r w:rsidRPr="00F67030">
        <w:t>PFS: progression</w:t>
      </w:r>
      <w:r w:rsidR="00D371E3">
        <w:t>-</w:t>
      </w:r>
      <w:r w:rsidRPr="00F67030">
        <w:t>free survival; IC: investigator</w:t>
      </w:r>
      <w:r w:rsidR="00D371E3">
        <w:t>’</w:t>
      </w:r>
      <w:r w:rsidRPr="00F67030">
        <w:t>s choice of therapy</w:t>
      </w:r>
      <w:r w:rsidR="00D371E3">
        <w:t>.</w:t>
      </w:r>
    </w:p>
    <w:p w:rsidR="00245699" w:rsidRPr="00F67030" w:rsidRDefault="00245699" w:rsidP="00245699">
      <w:pPr>
        <w:pStyle w:val="TableFooter"/>
      </w:pPr>
      <w:r w:rsidRPr="00F67030">
        <w:t>Source: App_1_nivo SCCHN economic evaluation.xlsx. The observed curve was added by the Evaluator using data in the Excel workbook.</w:t>
      </w:r>
    </w:p>
    <w:p w:rsidR="00245699" w:rsidRDefault="00245699" w:rsidP="00245699">
      <w:pPr>
        <w:rPr>
          <w:rFonts w:ascii="Arial Narrow" w:hAnsi="Arial Narrow"/>
          <w:sz w:val="20"/>
        </w:rPr>
      </w:pPr>
    </w:p>
    <w:p w:rsidR="00245699" w:rsidRPr="00245699" w:rsidRDefault="00245699" w:rsidP="00245699">
      <w:pPr>
        <w:rPr>
          <w:rFonts w:ascii="Arial Narrow" w:hAnsi="Arial Narrow"/>
          <w:b/>
          <w:sz w:val="20"/>
        </w:rPr>
      </w:pPr>
      <w:r w:rsidRPr="00245699">
        <w:rPr>
          <w:rFonts w:ascii="Arial Narrow" w:hAnsi="Arial Narrow"/>
          <w:b/>
          <w:sz w:val="20"/>
        </w:rPr>
        <w:t>Figure 5: Extrapolation of PFS in the IC arm using different parametric functions (base case = log logistic)</w:t>
      </w:r>
    </w:p>
    <w:p w:rsidR="00245699" w:rsidRDefault="00A024C2" w:rsidP="00245699">
      <w:pPr>
        <w:pStyle w:val="TableFooter"/>
      </w:pPr>
      <w:r>
        <w:rPr>
          <w:noProof/>
          <w:snapToGrid/>
          <w:lang w:eastAsia="en-AU"/>
        </w:rPr>
        <w:drawing>
          <wp:anchor distT="0" distB="0" distL="114300" distR="114300" simplePos="0" relativeHeight="251664384" behindDoc="1" locked="0" layoutInCell="1" allowOverlap="1" wp14:anchorId="3A835E41" wp14:editId="5CC3B67C">
            <wp:simplePos x="0" y="0"/>
            <wp:positionH relativeFrom="column">
              <wp:posOffset>323385</wp:posOffset>
            </wp:positionH>
            <wp:positionV relativeFrom="paragraph">
              <wp:posOffset>90046</wp:posOffset>
            </wp:positionV>
            <wp:extent cx="4312920" cy="2614295"/>
            <wp:effectExtent l="0" t="0" r="0" b="0"/>
            <wp:wrapTight wrapText="bothSides">
              <wp:wrapPolygon edited="0">
                <wp:start x="0" y="0"/>
                <wp:lineTo x="0" y="21406"/>
                <wp:lineTo x="21466" y="21406"/>
                <wp:lineTo x="21466"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12920" cy="2614295"/>
                    </a:xfrm>
                    <a:prstGeom prst="rect">
                      <a:avLst/>
                    </a:prstGeom>
                  </pic:spPr>
                </pic:pic>
              </a:graphicData>
            </a:graphic>
            <wp14:sizeRelH relativeFrom="margin">
              <wp14:pctWidth>0</wp14:pctWidth>
            </wp14:sizeRelH>
            <wp14:sizeRelV relativeFrom="margin">
              <wp14:pctHeight>0</wp14:pctHeight>
            </wp14:sizeRelV>
          </wp:anchor>
        </w:drawing>
      </w: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Default="00245699" w:rsidP="00245699">
      <w:pPr>
        <w:pStyle w:val="TableFooter"/>
      </w:pPr>
    </w:p>
    <w:p w:rsidR="00245699" w:rsidRPr="00F67030" w:rsidRDefault="00245699" w:rsidP="00245699">
      <w:pPr>
        <w:pStyle w:val="TableFooter"/>
      </w:pPr>
      <w:r w:rsidRPr="00F67030">
        <w:t>PFS: progression</w:t>
      </w:r>
      <w:r w:rsidR="00D371E3">
        <w:t>-</w:t>
      </w:r>
      <w:r w:rsidRPr="00F67030">
        <w:t>free survival; IC: investigator</w:t>
      </w:r>
      <w:r w:rsidR="00D371E3">
        <w:t>’</w:t>
      </w:r>
      <w:r w:rsidRPr="00F67030">
        <w:t>s choice of therapy</w:t>
      </w:r>
      <w:r w:rsidR="00D371E3">
        <w:t>.</w:t>
      </w:r>
    </w:p>
    <w:p w:rsidR="00245699" w:rsidRPr="00F67030" w:rsidRDefault="00245699" w:rsidP="00245699">
      <w:pPr>
        <w:pStyle w:val="TableFooter"/>
      </w:pPr>
      <w:r w:rsidRPr="00F67030">
        <w:t>Source: App_1_nivo SCCHN economic evaluation.xlsx. The observed curve was added by the Evaluator using data in the Excel workbook.</w:t>
      </w:r>
    </w:p>
    <w:p w:rsidR="00AB7B61" w:rsidRDefault="00AB7B61">
      <w:pPr>
        <w:spacing w:before="0" w:line="259" w:lineRule="auto"/>
      </w:pPr>
      <w:r>
        <w:br w:type="page"/>
      </w:r>
    </w:p>
    <w:p w:rsidR="00AB7B61" w:rsidRPr="00AB7B61" w:rsidRDefault="00AB7B61" w:rsidP="00AB7B61">
      <w:pPr>
        <w:rPr>
          <w:rFonts w:ascii="Arial Narrow" w:hAnsi="Arial Narrow"/>
          <w:b/>
          <w:sz w:val="20"/>
        </w:rPr>
      </w:pPr>
      <w:r w:rsidRPr="00AB7B61">
        <w:rPr>
          <w:rFonts w:ascii="Arial Narrow" w:hAnsi="Arial Narrow"/>
          <w:b/>
          <w:sz w:val="20"/>
        </w:rPr>
        <w:lastRenderedPageBreak/>
        <w:t>Figure 6: Extrapolation of OS in the nivolumab arm of Trial CA209141 using different parametric function (base case = log logistic)</w:t>
      </w:r>
    </w:p>
    <w:p w:rsidR="00245699" w:rsidRDefault="00A024C2" w:rsidP="005F4BCD">
      <w:r>
        <w:rPr>
          <w:rFonts w:ascii="Arial Narrow" w:hAnsi="Arial Narrow"/>
          <w:b/>
          <w:noProof/>
          <w:sz w:val="20"/>
          <w:lang w:eastAsia="en-AU"/>
        </w:rPr>
        <w:drawing>
          <wp:anchor distT="0" distB="0" distL="114300" distR="114300" simplePos="0" relativeHeight="251662336" behindDoc="1" locked="0" layoutInCell="1" allowOverlap="1" wp14:anchorId="75244E1E" wp14:editId="0CD5D94D">
            <wp:simplePos x="0" y="0"/>
            <wp:positionH relativeFrom="column">
              <wp:posOffset>409575</wp:posOffset>
            </wp:positionH>
            <wp:positionV relativeFrom="paragraph">
              <wp:posOffset>18415</wp:posOffset>
            </wp:positionV>
            <wp:extent cx="4438650" cy="1952625"/>
            <wp:effectExtent l="0" t="0" r="0" b="9525"/>
            <wp:wrapTight wrapText="bothSides">
              <wp:wrapPolygon edited="0">
                <wp:start x="0" y="0"/>
                <wp:lineTo x="0" y="21495"/>
                <wp:lineTo x="21507" y="21495"/>
                <wp:lineTo x="21507"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38650" cy="1952625"/>
                    </a:xfrm>
                    <a:prstGeom prst="rect">
                      <a:avLst/>
                    </a:prstGeom>
                  </pic:spPr>
                </pic:pic>
              </a:graphicData>
            </a:graphic>
            <wp14:sizeRelH relativeFrom="margin">
              <wp14:pctWidth>0</wp14:pctWidth>
            </wp14:sizeRelH>
            <wp14:sizeRelV relativeFrom="margin">
              <wp14:pctHeight>0</wp14:pctHeight>
            </wp14:sizeRelV>
          </wp:anchor>
        </w:drawing>
      </w: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Default="00AB7B61" w:rsidP="00AB7B61">
      <w:pPr>
        <w:rPr>
          <w:rFonts w:ascii="Arial Narrow" w:hAnsi="Arial Narrow"/>
          <w:sz w:val="20"/>
        </w:rPr>
      </w:pPr>
    </w:p>
    <w:p w:rsidR="00AB7B61" w:rsidRPr="00F67030" w:rsidRDefault="00AB7B61" w:rsidP="00AB7B61">
      <w:pPr>
        <w:pStyle w:val="TableFooter"/>
      </w:pPr>
      <w:r w:rsidRPr="00F67030">
        <w:t>OS: overall survival; IC: investigator</w:t>
      </w:r>
      <w:r w:rsidR="00D371E3">
        <w:t>’</w:t>
      </w:r>
      <w:r w:rsidRPr="00F67030">
        <w:t>s choice of therapy</w:t>
      </w:r>
      <w:r w:rsidR="00D371E3">
        <w:t>.</w:t>
      </w:r>
    </w:p>
    <w:p w:rsidR="00AB7B61" w:rsidRPr="00F67030" w:rsidRDefault="00AB7B61" w:rsidP="00AB7B61">
      <w:pPr>
        <w:pStyle w:val="TableFooter"/>
      </w:pPr>
      <w:r w:rsidRPr="00F67030">
        <w:t>Source: App_1_nivo SCCHN economic evaluation.xlsx. The observed curve was added by the Evaluator using data in the Excel workbook.</w:t>
      </w:r>
    </w:p>
    <w:p w:rsidR="00AB7B61" w:rsidRDefault="00AB7B61" w:rsidP="00AB7B61">
      <w:pPr>
        <w:rPr>
          <w:rFonts w:ascii="Arial Narrow" w:hAnsi="Arial Narrow"/>
          <w:sz w:val="20"/>
        </w:rPr>
      </w:pPr>
    </w:p>
    <w:p w:rsidR="00AB7B61" w:rsidRPr="00AB7B61" w:rsidRDefault="00A024C2" w:rsidP="00AB7B61">
      <w:pPr>
        <w:rPr>
          <w:rFonts w:ascii="Arial Narrow" w:hAnsi="Arial Narrow"/>
          <w:b/>
          <w:sz w:val="20"/>
        </w:rPr>
      </w:pPr>
      <w:r>
        <w:rPr>
          <w:rFonts w:ascii="Arial Narrow" w:hAnsi="Arial Narrow"/>
          <w:b/>
          <w:noProof/>
          <w:sz w:val="20"/>
          <w:lang w:eastAsia="en-AU"/>
        </w:rPr>
        <w:drawing>
          <wp:anchor distT="0" distB="0" distL="114300" distR="114300" simplePos="0" relativeHeight="251663360" behindDoc="1" locked="0" layoutInCell="1" allowOverlap="1" wp14:anchorId="79AC0FD7" wp14:editId="58E8B319">
            <wp:simplePos x="0" y="0"/>
            <wp:positionH relativeFrom="column">
              <wp:posOffset>476250</wp:posOffset>
            </wp:positionH>
            <wp:positionV relativeFrom="paragraph">
              <wp:posOffset>368935</wp:posOffset>
            </wp:positionV>
            <wp:extent cx="4371975" cy="2124075"/>
            <wp:effectExtent l="0" t="0" r="9525" b="9525"/>
            <wp:wrapTight wrapText="bothSides">
              <wp:wrapPolygon edited="0">
                <wp:start x="0" y="0"/>
                <wp:lineTo x="0" y="21503"/>
                <wp:lineTo x="21553" y="21503"/>
                <wp:lineTo x="2155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371975" cy="2124075"/>
                    </a:xfrm>
                    <a:prstGeom prst="rect">
                      <a:avLst/>
                    </a:prstGeom>
                  </pic:spPr>
                </pic:pic>
              </a:graphicData>
            </a:graphic>
            <wp14:sizeRelH relativeFrom="margin">
              <wp14:pctWidth>0</wp14:pctWidth>
            </wp14:sizeRelH>
            <wp14:sizeRelV relativeFrom="margin">
              <wp14:pctHeight>0</wp14:pctHeight>
            </wp14:sizeRelV>
          </wp:anchor>
        </w:drawing>
      </w:r>
      <w:r w:rsidR="00AB7B61" w:rsidRPr="00AB7B61">
        <w:rPr>
          <w:rFonts w:ascii="Arial Narrow" w:hAnsi="Arial Narrow"/>
          <w:b/>
          <w:sz w:val="20"/>
        </w:rPr>
        <w:t>Figure 7: Extrapolation of OS in the IC arm of Trial CA209141 using different parametric functions (base case = log logistic)</w:t>
      </w:r>
    </w:p>
    <w:p w:rsidR="00245699" w:rsidRDefault="00245699" w:rsidP="005F4BCD"/>
    <w:p w:rsidR="00AB7B61" w:rsidRDefault="00AB7B61" w:rsidP="005F4BCD"/>
    <w:p w:rsidR="00AB7B61" w:rsidRDefault="00AB7B61" w:rsidP="005F4BCD"/>
    <w:p w:rsidR="00AB7B61" w:rsidRDefault="00AB7B61" w:rsidP="005F4BCD"/>
    <w:p w:rsidR="00AB7B61" w:rsidRDefault="00AB7B61" w:rsidP="005F4BCD"/>
    <w:p w:rsidR="00AB7B61" w:rsidRDefault="00AB7B61" w:rsidP="005F4BCD"/>
    <w:p w:rsidR="00AB7B61" w:rsidRDefault="00AB7B61" w:rsidP="005F4BCD"/>
    <w:p w:rsidR="00AB7B61" w:rsidRDefault="00AB7B61" w:rsidP="005F4BCD"/>
    <w:p w:rsidR="00AB7B61" w:rsidRDefault="00AB7B61" w:rsidP="005F4BCD">
      <w:bookmarkStart w:id="23" w:name="_GoBack"/>
      <w:bookmarkEnd w:id="23"/>
    </w:p>
    <w:p w:rsidR="00AB7B61" w:rsidRPr="00F67030" w:rsidRDefault="00AB7B61" w:rsidP="00AB7B61">
      <w:pPr>
        <w:pStyle w:val="TableFooter"/>
      </w:pPr>
      <w:r w:rsidRPr="00F67030">
        <w:t>OS: overall survival; IC: investigator</w:t>
      </w:r>
      <w:r w:rsidR="00D371E3">
        <w:t>’</w:t>
      </w:r>
      <w:r w:rsidRPr="00F67030">
        <w:t>s choice of therapy</w:t>
      </w:r>
      <w:r w:rsidR="00D371E3">
        <w:t>.</w:t>
      </w:r>
    </w:p>
    <w:p w:rsidR="00AB7B61" w:rsidRPr="00F67030" w:rsidRDefault="00AB7B61" w:rsidP="00AB7B61">
      <w:pPr>
        <w:pStyle w:val="TableFooter"/>
      </w:pPr>
      <w:r w:rsidRPr="00F67030">
        <w:t>Source: App_1_nivo SCCHN economic evaluation.xlsx. The observed curve was added by the Evaluator using data in the Excel workbook.</w:t>
      </w:r>
    </w:p>
    <w:p w:rsidR="00AB7B61" w:rsidRPr="00F67030" w:rsidRDefault="00AB7B61" w:rsidP="005F4BCD">
      <w:pPr>
        <w:sectPr w:rsidR="00AB7B61" w:rsidRPr="00F67030" w:rsidSect="009343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pPr>
    </w:p>
    <w:p w:rsidR="00D23624" w:rsidRPr="00F67030" w:rsidRDefault="00D23624"/>
    <w:p w:rsidR="00E37424" w:rsidRPr="00F67030" w:rsidRDefault="00F651DF" w:rsidP="00457C75">
      <w:pPr>
        <w:pStyle w:val="ListParagraph"/>
        <w:numPr>
          <w:ilvl w:val="1"/>
          <w:numId w:val="1"/>
        </w:numPr>
        <w:spacing w:before="0" w:after="120"/>
        <w:jc w:val="both"/>
      </w:pPr>
      <w:r w:rsidRPr="00F67030">
        <w:t>A summary of the key drivers of the model is presented in the table below.</w:t>
      </w:r>
    </w:p>
    <w:p w:rsidR="00E37424" w:rsidRPr="00F67030" w:rsidRDefault="00E37424" w:rsidP="00772501">
      <w:pPr>
        <w:pStyle w:val="TableHeading0"/>
      </w:pPr>
      <w:r w:rsidRPr="00F67030">
        <w:t xml:space="preserve">Table </w:t>
      </w:r>
      <w:r w:rsidR="00D460E0" w:rsidRPr="00F67030">
        <w:t>8</w:t>
      </w:r>
      <w:r w:rsidRPr="00F67030">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83"/>
        <w:gridCol w:w="4910"/>
        <w:gridCol w:w="2289"/>
      </w:tblGrid>
      <w:tr w:rsidR="00E37424" w:rsidRPr="00F67030" w:rsidTr="00F11168">
        <w:trPr>
          <w:tblHeader/>
        </w:trPr>
        <w:tc>
          <w:tcPr>
            <w:tcW w:w="1037" w:type="pct"/>
            <w:shd w:val="clear" w:color="auto" w:fill="auto"/>
            <w:vAlign w:val="center"/>
          </w:tcPr>
          <w:p w:rsidR="00E37424" w:rsidRPr="00F67030" w:rsidRDefault="00E37424" w:rsidP="00772501">
            <w:pPr>
              <w:pStyle w:val="TableText"/>
              <w:rPr>
                <w:b/>
              </w:rPr>
            </w:pPr>
            <w:r w:rsidRPr="00F67030">
              <w:rPr>
                <w:b/>
              </w:rPr>
              <w:t>Description</w:t>
            </w:r>
          </w:p>
        </w:tc>
        <w:tc>
          <w:tcPr>
            <w:tcW w:w="2703" w:type="pct"/>
            <w:shd w:val="clear" w:color="auto" w:fill="auto"/>
            <w:vAlign w:val="center"/>
          </w:tcPr>
          <w:p w:rsidR="00E37424" w:rsidRPr="00F67030" w:rsidRDefault="00E37424" w:rsidP="00772501">
            <w:pPr>
              <w:pStyle w:val="TableText"/>
              <w:rPr>
                <w:b/>
              </w:rPr>
            </w:pPr>
            <w:r w:rsidRPr="00F67030">
              <w:rPr>
                <w:b/>
              </w:rPr>
              <w:t>Method/Value</w:t>
            </w:r>
          </w:p>
        </w:tc>
        <w:tc>
          <w:tcPr>
            <w:tcW w:w="1260" w:type="pct"/>
            <w:shd w:val="clear" w:color="auto" w:fill="auto"/>
            <w:vAlign w:val="center"/>
          </w:tcPr>
          <w:p w:rsidR="00E37424" w:rsidRPr="00F67030" w:rsidRDefault="00E37424" w:rsidP="00772501">
            <w:pPr>
              <w:pStyle w:val="TableText"/>
              <w:rPr>
                <w:b/>
              </w:rPr>
            </w:pPr>
            <w:r w:rsidRPr="00F67030">
              <w:rPr>
                <w:b/>
              </w:rPr>
              <w:t>Impact</w:t>
            </w:r>
          </w:p>
        </w:tc>
      </w:tr>
      <w:tr w:rsidR="00A366B2" w:rsidRPr="00F67030" w:rsidTr="00F11168">
        <w:tc>
          <w:tcPr>
            <w:tcW w:w="1037" w:type="pct"/>
            <w:shd w:val="clear" w:color="auto" w:fill="auto"/>
            <w:vAlign w:val="center"/>
          </w:tcPr>
          <w:p w:rsidR="00A366B2" w:rsidRPr="00F67030" w:rsidRDefault="00A366B2" w:rsidP="00A366B2">
            <w:pPr>
              <w:pStyle w:val="TableText"/>
              <w:rPr>
                <w:highlight w:val="yellow"/>
              </w:rPr>
            </w:pPr>
            <w:r w:rsidRPr="00F67030">
              <w:rPr>
                <w:rFonts w:cstheme="minorHAnsi"/>
              </w:rPr>
              <w:t>Use of PFS for treatment duration</w:t>
            </w:r>
          </w:p>
        </w:tc>
        <w:tc>
          <w:tcPr>
            <w:tcW w:w="2703" w:type="pct"/>
            <w:shd w:val="clear" w:color="auto" w:fill="auto"/>
            <w:vAlign w:val="center"/>
          </w:tcPr>
          <w:p w:rsidR="00A366B2" w:rsidRPr="00F67030" w:rsidRDefault="00A366B2" w:rsidP="00A366B2">
            <w:pPr>
              <w:pStyle w:val="TableText"/>
              <w:rPr>
                <w:highlight w:val="yellow"/>
              </w:rPr>
            </w:pPr>
            <w:r w:rsidRPr="00F67030">
              <w:rPr>
                <w:rFonts w:cstheme="minorHAnsi"/>
              </w:rPr>
              <w:t>A</w:t>
            </w:r>
            <w:r w:rsidRPr="00F67030">
              <w:t xml:space="preserve">round </w:t>
            </w:r>
            <w:r w:rsidR="00A024C2">
              <w:rPr>
                <w:noProof/>
                <w:color w:val="000000"/>
                <w:highlight w:val="black"/>
              </w:rPr>
              <w:t>''''''''''''</w:t>
            </w:r>
            <w:r w:rsidRPr="00F67030">
              <w:t xml:space="preserve"> of nivolumab patients continued treatment following progression in Trial CA209141. Treatment costs were underestimated in the model</w:t>
            </w:r>
            <w:r w:rsidRPr="00F67030">
              <w:rPr>
                <w:rFonts w:cstheme="minorHAnsi"/>
              </w:rPr>
              <w:t>.</w:t>
            </w:r>
            <w:r w:rsidR="002E2549" w:rsidRPr="00F67030">
              <w:t xml:space="preserve"> </w:t>
            </w:r>
            <w:r w:rsidR="002E2549" w:rsidRPr="00F67030">
              <w:rPr>
                <w:rFonts w:cstheme="minorHAnsi"/>
              </w:rPr>
              <w:t>Duration of treatment is not truncated in the base case.</w:t>
            </w:r>
          </w:p>
        </w:tc>
        <w:tc>
          <w:tcPr>
            <w:tcW w:w="1260" w:type="pct"/>
            <w:shd w:val="clear" w:color="auto" w:fill="auto"/>
            <w:vAlign w:val="center"/>
          </w:tcPr>
          <w:p w:rsidR="00A366B2" w:rsidRPr="00F67030" w:rsidRDefault="00A366B2" w:rsidP="004E6284">
            <w:pPr>
              <w:pStyle w:val="TableText"/>
              <w:rPr>
                <w:highlight w:val="yellow"/>
              </w:rPr>
            </w:pPr>
            <w:r w:rsidRPr="00F67030">
              <w:rPr>
                <w:rFonts w:cstheme="minorHAnsi"/>
              </w:rPr>
              <w:t xml:space="preserve">High. Favours </w:t>
            </w:r>
            <w:r w:rsidR="004E6284" w:rsidRPr="00F67030">
              <w:rPr>
                <w:rFonts w:cstheme="minorHAnsi"/>
              </w:rPr>
              <w:t>n</w:t>
            </w:r>
            <w:r w:rsidRPr="00F67030">
              <w:rPr>
                <w:rFonts w:cstheme="minorHAnsi"/>
              </w:rPr>
              <w:t>ivolumab.</w:t>
            </w:r>
          </w:p>
        </w:tc>
      </w:tr>
      <w:tr w:rsidR="00A366B2" w:rsidRPr="00F67030" w:rsidTr="00F11168">
        <w:tc>
          <w:tcPr>
            <w:tcW w:w="1037" w:type="pct"/>
            <w:shd w:val="clear" w:color="auto" w:fill="auto"/>
            <w:vAlign w:val="center"/>
          </w:tcPr>
          <w:p w:rsidR="00A366B2" w:rsidRPr="00F67030" w:rsidRDefault="00A366B2" w:rsidP="00A366B2">
            <w:pPr>
              <w:pStyle w:val="TableText"/>
              <w:rPr>
                <w:highlight w:val="yellow"/>
              </w:rPr>
            </w:pPr>
            <w:r w:rsidRPr="00F67030">
              <w:rPr>
                <w:rFonts w:cstheme="minorHAnsi"/>
              </w:rPr>
              <w:t>Log-logistic model used for extrapolation of OS</w:t>
            </w:r>
          </w:p>
        </w:tc>
        <w:tc>
          <w:tcPr>
            <w:tcW w:w="2703" w:type="pct"/>
            <w:shd w:val="clear" w:color="auto" w:fill="auto"/>
            <w:vAlign w:val="center"/>
          </w:tcPr>
          <w:p w:rsidR="00A366B2" w:rsidRPr="00A024C2" w:rsidRDefault="00A024C2" w:rsidP="00CC7A2C">
            <w:pPr>
              <w:pStyle w:val="TableText"/>
              <w:rPr>
                <w:highlight w:val="black"/>
              </w:rPr>
            </w:pPr>
            <w:r>
              <w:rPr>
                <w:rFonts w:cstheme="minorHAnsi"/>
                <w:noProof/>
                <w:color w:val="000000"/>
                <w:szCs w:val="24"/>
                <w:highlight w:val="black"/>
              </w:rPr>
              <w:t>''''''''''''''' '''''''''' ''''''''''' '''''''''' ''''''''''''''''''''''' '''' '''''''' ''''''''' ''''''''' '''''''' ''''''''''''''''''''' ''''''''' '''''''''''''''''''''''''' '''''''''''' ''''''''''''''''' ''''''''' '''''''''' '''''''''''''''''''' '''''''''' ''''''''''''''''''''''''''''' ''''''''''''' ''''''''''''''''''' ''''''''' ''''''''' '''''''''''''''''''''' '''''''''''''''''''' '''''''''' '''' ''''''' ''''''''''''''''''''''' '''''''''''' '''''''''''''''''''' '''''''' '''''''''''''''''''''''' '''' '''''''' '''''''''''''''''''''''' ''''''''''''''''''' ''''''''' '''' ''''''''''''''''''''''' ''''''''''''''' '''''' '''''''' '''''''''''''' '''''''''''''''' ''''''''' ''''' '''''''' '''''''''' '''''''''</w:t>
            </w:r>
          </w:p>
        </w:tc>
        <w:tc>
          <w:tcPr>
            <w:tcW w:w="1260" w:type="pct"/>
            <w:shd w:val="clear" w:color="auto" w:fill="auto"/>
            <w:vAlign w:val="center"/>
          </w:tcPr>
          <w:p w:rsidR="00A366B2" w:rsidRPr="00F67030" w:rsidRDefault="00A366B2" w:rsidP="004E6284">
            <w:pPr>
              <w:pStyle w:val="TableText"/>
              <w:rPr>
                <w:highlight w:val="yellow"/>
              </w:rPr>
            </w:pPr>
            <w:r w:rsidRPr="00F67030">
              <w:rPr>
                <w:rFonts w:cstheme="minorHAnsi"/>
              </w:rPr>
              <w:t xml:space="preserve">High. Favours </w:t>
            </w:r>
            <w:r w:rsidR="004E6284" w:rsidRPr="00F67030">
              <w:rPr>
                <w:rFonts w:cstheme="minorHAnsi"/>
              </w:rPr>
              <w:t>n</w:t>
            </w:r>
            <w:r w:rsidRPr="00F67030">
              <w:rPr>
                <w:rFonts w:cstheme="minorHAnsi"/>
              </w:rPr>
              <w:t>ivolumab</w:t>
            </w:r>
          </w:p>
        </w:tc>
      </w:tr>
      <w:tr w:rsidR="004E6284" w:rsidRPr="00F67030" w:rsidTr="00F11168">
        <w:tc>
          <w:tcPr>
            <w:tcW w:w="1037" w:type="pct"/>
            <w:shd w:val="clear" w:color="auto" w:fill="auto"/>
            <w:vAlign w:val="center"/>
          </w:tcPr>
          <w:p w:rsidR="004E6284" w:rsidRPr="00F67030" w:rsidRDefault="004E6284" w:rsidP="00792E8D">
            <w:pPr>
              <w:pStyle w:val="TableText"/>
              <w:rPr>
                <w:rFonts w:cstheme="minorHAnsi"/>
              </w:rPr>
            </w:pPr>
            <w:r w:rsidRPr="00F67030">
              <w:rPr>
                <w:rFonts w:cstheme="minorHAnsi"/>
              </w:rPr>
              <w:t xml:space="preserve">Utilities applied </w:t>
            </w:r>
            <w:r w:rsidR="00792E8D" w:rsidRPr="00F67030">
              <w:rPr>
                <w:rFonts w:cstheme="minorHAnsi"/>
              </w:rPr>
              <w:t xml:space="preserve">Following </w:t>
            </w:r>
            <w:r w:rsidRPr="00F67030">
              <w:rPr>
                <w:rFonts w:cstheme="minorHAnsi"/>
              </w:rPr>
              <w:t>progression</w:t>
            </w:r>
          </w:p>
        </w:tc>
        <w:tc>
          <w:tcPr>
            <w:tcW w:w="2703" w:type="pct"/>
            <w:shd w:val="clear" w:color="auto" w:fill="auto"/>
            <w:vAlign w:val="center"/>
          </w:tcPr>
          <w:p w:rsidR="004E6284" w:rsidRPr="00F67030" w:rsidRDefault="004E6284" w:rsidP="00224EC3">
            <w:pPr>
              <w:pStyle w:val="TableText"/>
              <w:rPr>
                <w:rFonts w:cstheme="minorHAnsi"/>
                <w:szCs w:val="24"/>
              </w:rPr>
            </w:pPr>
            <w:r w:rsidRPr="00F67030">
              <w:rPr>
                <w:rFonts w:cstheme="minorHAnsi"/>
                <w:szCs w:val="24"/>
              </w:rPr>
              <w:t xml:space="preserve">Utilities were based on CA209141. It is questionable whether there should be any ongoing difference in the utility values </w:t>
            </w:r>
            <w:r w:rsidR="00792E8D" w:rsidRPr="00F67030">
              <w:rPr>
                <w:rFonts w:cstheme="minorHAnsi"/>
                <w:szCs w:val="24"/>
              </w:rPr>
              <w:t xml:space="preserve">in the </w:t>
            </w:r>
            <w:r w:rsidR="00AC24FB" w:rsidRPr="00F67030">
              <w:rPr>
                <w:rFonts w:cstheme="minorHAnsi"/>
                <w:szCs w:val="24"/>
              </w:rPr>
              <w:t xml:space="preserve">‘Alive </w:t>
            </w:r>
            <w:r w:rsidR="00792E8D" w:rsidRPr="00F67030">
              <w:rPr>
                <w:rFonts w:cstheme="minorHAnsi"/>
                <w:szCs w:val="24"/>
              </w:rPr>
              <w:t xml:space="preserve">Following </w:t>
            </w:r>
            <w:r w:rsidR="00AC24FB" w:rsidRPr="00F67030">
              <w:rPr>
                <w:rFonts w:cstheme="minorHAnsi"/>
                <w:szCs w:val="24"/>
              </w:rPr>
              <w:t>P</w:t>
            </w:r>
            <w:r w:rsidRPr="00F67030">
              <w:rPr>
                <w:rFonts w:cstheme="minorHAnsi"/>
                <w:szCs w:val="24"/>
              </w:rPr>
              <w:t>rogression</w:t>
            </w:r>
            <w:r w:rsidR="00AC24FB" w:rsidRPr="00F67030">
              <w:rPr>
                <w:rFonts w:cstheme="minorHAnsi"/>
                <w:szCs w:val="24"/>
              </w:rPr>
              <w:t>’ health</w:t>
            </w:r>
            <w:r w:rsidRPr="00F67030">
              <w:rPr>
                <w:rFonts w:cstheme="minorHAnsi"/>
                <w:szCs w:val="24"/>
              </w:rPr>
              <w:t xml:space="preserve"> </w:t>
            </w:r>
            <w:r w:rsidR="00792E8D" w:rsidRPr="00F67030">
              <w:rPr>
                <w:rFonts w:cstheme="minorHAnsi"/>
                <w:szCs w:val="24"/>
              </w:rPr>
              <w:t xml:space="preserve">state </w:t>
            </w:r>
            <w:r w:rsidRPr="00F67030">
              <w:rPr>
                <w:rFonts w:cstheme="minorHAnsi"/>
                <w:szCs w:val="24"/>
              </w:rPr>
              <w:t xml:space="preserve">if the </w:t>
            </w:r>
            <w:r w:rsidR="00224EC3" w:rsidRPr="00F67030">
              <w:rPr>
                <w:rFonts w:cstheme="minorHAnsi"/>
                <w:szCs w:val="24"/>
              </w:rPr>
              <w:t>AEs</w:t>
            </w:r>
            <w:r w:rsidRPr="00F67030">
              <w:rPr>
                <w:rFonts w:cstheme="minorHAnsi"/>
                <w:szCs w:val="24"/>
              </w:rPr>
              <w:t xml:space="preserve"> are short</w:t>
            </w:r>
            <w:r w:rsidR="00224EC3" w:rsidRPr="00F67030">
              <w:rPr>
                <w:rFonts w:cstheme="minorHAnsi"/>
                <w:szCs w:val="24"/>
              </w:rPr>
              <w:t>-</w:t>
            </w:r>
            <w:r w:rsidRPr="00F67030">
              <w:rPr>
                <w:rFonts w:cstheme="minorHAnsi"/>
                <w:szCs w:val="24"/>
              </w:rPr>
              <w:t>term.</w:t>
            </w:r>
          </w:p>
        </w:tc>
        <w:tc>
          <w:tcPr>
            <w:tcW w:w="1260" w:type="pct"/>
            <w:shd w:val="clear" w:color="auto" w:fill="auto"/>
            <w:vAlign w:val="center"/>
          </w:tcPr>
          <w:p w:rsidR="004E6284" w:rsidRPr="00F67030" w:rsidRDefault="004E6284" w:rsidP="00A366B2">
            <w:pPr>
              <w:pStyle w:val="TableText"/>
              <w:rPr>
                <w:rFonts w:cstheme="minorHAnsi"/>
              </w:rPr>
            </w:pPr>
            <w:r w:rsidRPr="00F67030">
              <w:rPr>
                <w:rFonts w:cstheme="minorHAnsi"/>
              </w:rPr>
              <w:t>Moderate. Favours nivolumab</w:t>
            </w:r>
          </w:p>
        </w:tc>
      </w:tr>
      <w:tr w:rsidR="00792E8D" w:rsidRPr="00F67030" w:rsidTr="00F11168">
        <w:tc>
          <w:tcPr>
            <w:tcW w:w="1037" w:type="pct"/>
            <w:shd w:val="clear" w:color="auto" w:fill="auto"/>
            <w:vAlign w:val="center"/>
          </w:tcPr>
          <w:p w:rsidR="00792E8D" w:rsidRPr="00F67030" w:rsidRDefault="00792E8D" w:rsidP="00792E8D">
            <w:pPr>
              <w:pStyle w:val="TableText"/>
              <w:rPr>
                <w:rFonts w:cstheme="minorHAnsi"/>
              </w:rPr>
            </w:pPr>
            <w:r w:rsidRPr="00F67030">
              <w:rPr>
                <w:rFonts w:cstheme="minorHAnsi"/>
              </w:rPr>
              <w:t>Costs for subsequent therapies</w:t>
            </w:r>
          </w:p>
        </w:tc>
        <w:tc>
          <w:tcPr>
            <w:tcW w:w="2703" w:type="pct"/>
            <w:shd w:val="clear" w:color="auto" w:fill="auto"/>
            <w:vAlign w:val="center"/>
          </w:tcPr>
          <w:p w:rsidR="00792E8D" w:rsidRPr="00F67030" w:rsidRDefault="00792E8D" w:rsidP="004E6284">
            <w:pPr>
              <w:pStyle w:val="TableText"/>
            </w:pPr>
            <w:r w:rsidRPr="00F67030">
              <w:t>Costs associated with subsequent therapies were not included in the economic model. Even though patients in each arm are on a similar balance of therapies, they are on the therapies for a longer period on the nivolumab arm due to improved survival.</w:t>
            </w:r>
          </w:p>
        </w:tc>
        <w:tc>
          <w:tcPr>
            <w:tcW w:w="1260" w:type="pct"/>
            <w:shd w:val="clear" w:color="auto" w:fill="auto"/>
            <w:vAlign w:val="center"/>
          </w:tcPr>
          <w:p w:rsidR="00792E8D" w:rsidRPr="00F67030" w:rsidRDefault="00792E8D" w:rsidP="00A366B2">
            <w:pPr>
              <w:pStyle w:val="TableText"/>
              <w:rPr>
                <w:rFonts w:cstheme="minorHAnsi"/>
              </w:rPr>
            </w:pPr>
            <w:r w:rsidRPr="00F67030">
              <w:rPr>
                <w:rFonts w:cstheme="minorHAnsi"/>
              </w:rPr>
              <w:t>Likely to favour nivolumab.</w:t>
            </w:r>
          </w:p>
        </w:tc>
      </w:tr>
    </w:tbl>
    <w:p w:rsidR="00D371E3" w:rsidRDefault="00224EC3" w:rsidP="00772501">
      <w:pPr>
        <w:pStyle w:val="TableFooter"/>
      </w:pPr>
      <w:r w:rsidRPr="00F67030">
        <w:t xml:space="preserve">AE: </w:t>
      </w:r>
      <w:r w:rsidR="00D371E3">
        <w:t>a</w:t>
      </w:r>
      <w:r w:rsidRPr="00F67030">
        <w:t xml:space="preserve">dverse event; PFS: </w:t>
      </w:r>
      <w:r w:rsidR="00D371E3">
        <w:t>p</w:t>
      </w:r>
      <w:r w:rsidRPr="00F67030">
        <w:t>rogression-free survival.</w:t>
      </w:r>
    </w:p>
    <w:p w:rsidR="00E37424" w:rsidRPr="00F67030" w:rsidRDefault="00E37424" w:rsidP="00772501">
      <w:pPr>
        <w:pStyle w:val="TableFooter"/>
      </w:pPr>
      <w:r w:rsidRPr="00F67030">
        <w:t>Source: compiled during the evaluation</w:t>
      </w:r>
      <w:r w:rsidR="00B80B83" w:rsidRPr="00F67030">
        <w:t xml:space="preserve"> (reference sections/tables/spreadsheets within the submission)</w:t>
      </w:r>
    </w:p>
    <w:p w:rsidR="00C317F3" w:rsidRPr="00F67030" w:rsidRDefault="00F651DF" w:rsidP="00457C75">
      <w:pPr>
        <w:pStyle w:val="ListParagraph"/>
        <w:numPr>
          <w:ilvl w:val="1"/>
          <w:numId w:val="1"/>
        </w:numPr>
        <w:spacing w:before="0" w:after="120"/>
        <w:jc w:val="both"/>
      </w:pPr>
      <w:r w:rsidRPr="00F67030">
        <w:t>The results of the economic evaluation are presented in the table below.</w:t>
      </w:r>
    </w:p>
    <w:p w:rsidR="00C317F3" w:rsidRPr="00F67030" w:rsidRDefault="00C317F3" w:rsidP="00772501">
      <w:pPr>
        <w:pStyle w:val="TableHeading0"/>
      </w:pPr>
      <w:r w:rsidRPr="00F67030">
        <w:t xml:space="preserve">Table </w:t>
      </w:r>
      <w:r w:rsidR="00D460E0" w:rsidRPr="00F67030">
        <w:t>9</w:t>
      </w:r>
      <w:r w:rsidRPr="00F67030">
        <w:t>: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78"/>
        <w:gridCol w:w="2468"/>
        <w:gridCol w:w="2314"/>
        <w:gridCol w:w="1522"/>
      </w:tblGrid>
      <w:tr w:rsidR="00C317F3" w:rsidRPr="00F67030" w:rsidTr="00F11168">
        <w:trPr>
          <w:tblHeader/>
        </w:trPr>
        <w:tc>
          <w:tcPr>
            <w:tcW w:w="1529" w:type="pct"/>
            <w:vAlign w:val="center"/>
          </w:tcPr>
          <w:p w:rsidR="00C317F3" w:rsidRPr="00F67030" w:rsidRDefault="00C317F3" w:rsidP="00772501">
            <w:pPr>
              <w:pStyle w:val="TableText"/>
              <w:rPr>
                <w:b/>
              </w:rPr>
            </w:pPr>
            <w:r w:rsidRPr="00F67030">
              <w:rPr>
                <w:b/>
              </w:rPr>
              <w:t>Step and component</w:t>
            </w:r>
          </w:p>
        </w:tc>
        <w:tc>
          <w:tcPr>
            <w:tcW w:w="1359" w:type="pct"/>
            <w:vAlign w:val="center"/>
          </w:tcPr>
          <w:p w:rsidR="00C317F3" w:rsidRPr="00F67030" w:rsidRDefault="009E4336" w:rsidP="005A45D5">
            <w:pPr>
              <w:pStyle w:val="TableText"/>
              <w:jc w:val="center"/>
              <w:rPr>
                <w:b/>
              </w:rPr>
            </w:pPr>
            <w:r w:rsidRPr="00F67030">
              <w:rPr>
                <w:b/>
              </w:rPr>
              <w:t>Nivolumab</w:t>
            </w:r>
          </w:p>
        </w:tc>
        <w:tc>
          <w:tcPr>
            <w:tcW w:w="1274" w:type="pct"/>
            <w:vAlign w:val="center"/>
          </w:tcPr>
          <w:p w:rsidR="00C317F3" w:rsidRPr="00F67030" w:rsidRDefault="009E4336" w:rsidP="005A45D5">
            <w:pPr>
              <w:pStyle w:val="TableText"/>
              <w:jc w:val="center"/>
              <w:rPr>
                <w:b/>
              </w:rPr>
            </w:pPr>
            <w:r w:rsidRPr="00F67030">
              <w:rPr>
                <w:b/>
              </w:rPr>
              <w:t>IC</w:t>
            </w:r>
          </w:p>
        </w:tc>
        <w:tc>
          <w:tcPr>
            <w:tcW w:w="838" w:type="pct"/>
            <w:vAlign w:val="center"/>
          </w:tcPr>
          <w:p w:rsidR="00C317F3" w:rsidRPr="00F67030" w:rsidRDefault="00C317F3" w:rsidP="005A45D5">
            <w:pPr>
              <w:pStyle w:val="TableText"/>
              <w:jc w:val="center"/>
              <w:rPr>
                <w:b/>
              </w:rPr>
            </w:pPr>
            <w:r w:rsidRPr="00F67030">
              <w:rPr>
                <w:b/>
              </w:rPr>
              <w:t>Increment</w:t>
            </w:r>
          </w:p>
        </w:tc>
      </w:tr>
      <w:tr w:rsidR="00C317F3" w:rsidRPr="00F67030" w:rsidTr="00F11168">
        <w:tc>
          <w:tcPr>
            <w:tcW w:w="5000" w:type="pct"/>
            <w:gridSpan w:val="4"/>
            <w:vAlign w:val="center"/>
          </w:tcPr>
          <w:p w:rsidR="00C317F3" w:rsidRPr="00F67030" w:rsidRDefault="00C317F3" w:rsidP="00772501">
            <w:pPr>
              <w:pStyle w:val="TableText"/>
              <w:rPr>
                <w:b/>
                <w:snapToGrid w:val="0"/>
              </w:rPr>
            </w:pPr>
            <w:r w:rsidRPr="00F67030">
              <w:rPr>
                <w:b/>
                <w:snapToGrid w:val="0"/>
              </w:rPr>
              <w:t xml:space="preserve">Step 1: </w:t>
            </w:r>
            <w:r w:rsidR="00EB49C5" w:rsidRPr="00F67030">
              <w:rPr>
                <w:b/>
              </w:rPr>
              <w:t>Cost per life year gained over the Trial CA209141 trial period (approximately 24 months) was estimated.</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Costs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LYG</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highlight w:val="black"/>
              </w:rPr>
            </w:pPr>
            <w:r>
              <w:rPr>
                <w:noProof/>
                <w:color w:val="000000"/>
                <w:highlight w:val="black"/>
              </w:rPr>
              <w:t>'''''''''''''''</w:t>
            </w:r>
          </w:p>
        </w:tc>
      </w:tr>
      <w:tr w:rsidR="009E4336" w:rsidRPr="00F67030" w:rsidTr="00F11168">
        <w:tc>
          <w:tcPr>
            <w:tcW w:w="4162" w:type="pct"/>
            <w:gridSpan w:val="3"/>
            <w:vAlign w:val="center"/>
          </w:tcPr>
          <w:p w:rsidR="009E4336" w:rsidRPr="00F67030" w:rsidRDefault="009E4336" w:rsidP="009E4336">
            <w:pPr>
              <w:pStyle w:val="TableText"/>
              <w:rPr>
                <w:rFonts w:ascii="Times" w:eastAsia="Times New Roman" w:hAnsi="Times" w:cs="Times New Roman"/>
                <w:snapToGrid w:val="0"/>
              </w:rPr>
            </w:pPr>
            <w:r w:rsidRPr="00F67030">
              <w:t>Incremental cost/extra LYG gained</w:t>
            </w:r>
          </w:p>
        </w:tc>
        <w:tc>
          <w:tcPr>
            <w:tcW w:w="838" w:type="pct"/>
            <w:vAlign w:val="center"/>
          </w:tcPr>
          <w:p w:rsidR="009E4336" w:rsidRPr="00A024C2" w:rsidRDefault="00A024C2" w:rsidP="00B93CB3">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5000" w:type="pct"/>
            <w:gridSpan w:val="4"/>
            <w:vAlign w:val="center"/>
          </w:tcPr>
          <w:p w:rsidR="009E4336" w:rsidRPr="00F67030" w:rsidRDefault="009E4336" w:rsidP="009E4336">
            <w:pPr>
              <w:pStyle w:val="TableText"/>
              <w:rPr>
                <w:b/>
                <w:snapToGrid w:val="0"/>
              </w:rPr>
            </w:pPr>
            <w:r w:rsidRPr="00F67030">
              <w:rPr>
                <w:b/>
                <w:snapToGrid w:val="0"/>
              </w:rPr>
              <w:t>Step 2: Trial period data was transformed by QALYs (clinical outcome) and cost per QALY estimated over the trial period</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Costs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QALYs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highlight w:val="black"/>
              </w:rPr>
            </w:pPr>
            <w:r>
              <w:rPr>
                <w:noProof/>
                <w:color w:val="000000"/>
                <w:highlight w:val="black"/>
              </w:rPr>
              <w:t>'''''''''''''</w:t>
            </w:r>
          </w:p>
        </w:tc>
      </w:tr>
      <w:tr w:rsidR="009E4336" w:rsidRPr="00F67030" w:rsidTr="00F11168">
        <w:tc>
          <w:tcPr>
            <w:tcW w:w="4162" w:type="pct"/>
            <w:gridSpan w:val="3"/>
            <w:vAlign w:val="center"/>
          </w:tcPr>
          <w:p w:rsidR="009E4336" w:rsidRPr="00F67030" w:rsidRDefault="009E4336" w:rsidP="009E4336">
            <w:pPr>
              <w:pStyle w:val="TableText"/>
              <w:rPr>
                <w:rFonts w:ascii="Times" w:eastAsia="Times New Roman" w:hAnsi="Times" w:cs="Times New Roman"/>
                <w:snapToGrid w:val="0"/>
              </w:rPr>
            </w:pPr>
            <w:r w:rsidRPr="00F67030">
              <w:t>Incremental cost/extra QALYs gained</w:t>
            </w:r>
          </w:p>
        </w:tc>
        <w:tc>
          <w:tcPr>
            <w:tcW w:w="838" w:type="pct"/>
            <w:vAlign w:val="center"/>
          </w:tcPr>
          <w:p w:rsidR="009E4336" w:rsidRPr="00A024C2" w:rsidRDefault="00A024C2" w:rsidP="00B93CB3">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5000" w:type="pct"/>
            <w:gridSpan w:val="4"/>
            <w:vAlign w:val="center"/>
          </w:tcPr>
          <w:p w:rsidR="009E4336" w:rsidRPr="00F67030" w:rsidRDefault="009E4336" w:rsidP="009E4336">
            <w:pPr>
              <w:pStyle w:val="TableText"/>
              <w:rPr>
                <w:b/>
                <w:snapToGrid w:val="0"/>
              </w:rPr>
            </w:pPr>
            <w:r w:rsidRPr="00F67030">
              <w:rPr>
                <w:b/>
                <w:snapToGrid w:val="0"/>
              </w:rPr>
              <w:t xml:space="preserve">Step 3: </w:t>
            </w:r>
            <w:r w:rsidR="00A65FAA" w:rsidRPr="00F67030">
              <w:rPr>
                <w:b/>
                <w:snapToGrid w:val="0"/>
              </w:rPr>
              <w:t>Trial CA209141</w:t>
            </w:r>
            <w:r w:rsidRPr="00F67030">
              <w:rPr>
                <w:b/>
                <w:snapToGrid w:val="0"/>
              </w:rPr>
              <w:t xml:space="preserve"> outcomes were transformed to QALYs and extrapolated to a </w:t>
            </w:r>
            <w:r w:rsidR="00A024C2">
              <w:rPr>
                <w:b/>
                <w:noProof/>
                <w:snapToGrid w:val="0"/>
                <w:color w:val="000000"/>
                <w:highlight w:val="black"/>
              </w:rPr>
              <w:t>'''</w:t>
            </w:r>
            <w:r w:rsidRPr="00F67030">
              <w:rPr>
                <w:b/>
                <w:snapToGrid w:val="0"/>
              </w:rPr>
              <w:t>-year horizon</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Costs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QALYs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highlight w:val="black"/>
              </w:rPr>
            </w:pPr>
            <w:r>
              <w:rPr>
                <w:noProof/>
                <w:color w:val="000000"/>
                <w:highlight w:val="black"/>
              </w:rPr>
              <w:t>''''''''''''</w:t>
            </w:r>
          </w:p>
        </w:tc>
      </w:tr>
      <w:tr w:rsidR="009E4336" w:rsidRPr="00F67030" w:rsidTr="00F11168">
        <w:tc>
          <w:tcPr>
            <w:tcW w:w="4162" w:type="pct"/>
            <w:gridSpan w:val="3"/>
            <w:vAlign w:val="center"/>
          </w:tcPr>
          <w:p w:rsidR="009E4336" w:rsidRPr="00F67030" w:rsidRDefault="009E4336" w:rsidP="009E4336">
            <w:pPr>
              <w:pStyle w:val="TableText"/>
              <w:rPr>
                <w:rFonts w:ascii="Times" w:eastAsia="Times New Roman" w:hAnsi="Times" w:cs="Times New Roman"/>
              </w:rPr>
            </w:pPr>
            <w:r w:rsidRPr="00F67030">
              <w:t>Incremental cost/extra QALYs gained</w:t>
            </w:r>
          </w:p>
        </w:tc>
        <w:tc>
          <w:tcPr>
            <w:tcW w:w="838" w:type="pct"/>
            <w:vAlign w:val="center"/>
          </w:tcPr>
          <w:p w:rsidR="009E4336" w:rsidRPr="00A024C2" w:rsidRDefault="00A024C2" w:rsidP="00B93CB3">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5000" w:type="pct"/>
            <w:gridSpan w:val="4"/>
            <w:vAlign w:val="center"/>
          </w:tcPr>
          <w:p w:rsidR="009E4336" w:rsidRPr="00F67030" w:rsidRDefault="009E4336" w:rsidP="009E4336">
            <w:pPr>
              <w:pStyle w:val="TableText"/>
              <w:rPr>
                <w:b/>
                <w:snapToGrid w:val="0"/>
              </w:rPr>
            </w:pPr>
            <w:r w:rsidRPr="00F67030">
              <w:rPr>
                <w:b/>
                <w:snapToGrid w:val="0"/>
              </w:rPr>
              <w:t xml:space="preserve">Step 4: </w:t>
            </w:r>
            <w:r w:rsidR="00A65FAA" w:rsidRPr="00F67030">
              <w:rPr>
                <w:b/>
              </w:rPr>
              <w:t>Trial CA209141</w:t>
            </w:r>
            <w:r w:rsidRPr="00F67030">
              <w:rPr>
                <w:b/>
              </w:rPr>
              <w:t xml:space="preserve"> results were transformed and extrapolated over a </w:t>
            </w:r>
            <w:r w:rsidR="00A024C2">
              <w:rPr>
                <w:b/>
                <w:noProof/>
                <w:color w:val="000000"/>
                <w:highlight w:val="black"/>
              </w:rPr>
              <w:t>'''</w:t>
            </w:r>
            <w:r w:rsidRPr="00F67030">
              <w:rPr>
                <w:b/>
              </w:rPr>
              <w:t>-year horizon, with convergence included in extrapolations from 3 years</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Costs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r>
      <w:tr w:rsidR="009E4336" w:rsidRPr="00F67030" w:rsidTr="00F11168">
        <w:tc>
          <w:tcPr>
            <w:tcW w:w="1529" w:type="pct"/>
            <w:vAlign w:val="center"/>
          </w:tcPr>
          <w:p w:rsidR="009E4336" w:rsidRPr="00F67030" w:rsidRDefault="009E4336" w:rsidP="009E4336">
            <w:pPr>
              <w:pStyle w:val="TableText"/>
              <w:rPr>
                <w:rFonts w:ascii="Times" w:eastAsia="Times New Roman" w:hAnsi="Times" w:cs="Times New Roman"/>
              </w:rPr>
            </w:pPr>
            <w:r w:rsidRPr="00F67030">
              <w:t>QALYs</w:t>
            </w:r>
          </w:p>
        </w:tc>
        <w:tc>
          <w:tcPr>
            <w:tcW w:w="1359"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1274" w:type="pct"/>
            <w:vAlign w:val="center"/>
          </w:tcPr>
          <w:p w:rsidR="009E4336" w:rsidRPr="00A024C2" w:rsidRDefault="00A024C2" w:rsidP="005A45D5">
            <w:pPr>
              <w:pStyle w:val="TableText"/>
              <w:jc w:val="center"/>
              <w:rPr>
                <w:rFonts w:ascii="Times" w:eastAsia="Times New Roman" w:hAnsi="Times" w:cs="Times New Roman"/>
                <w:highlight w:val="black"/>
              </w:rPr>
            </w:pPr>
            <w:r>
              <w:rPr>
                <w:noProof/>
                <w:color w:val="000000"/>
                <w:highlight w:val="black"/>
              </w:rPr>
              <w:t>''''''''''''</w:t>
            </w:r>
          </w:p>
        </w:tc>
        <w:tc>
          <w:tcPr>
            <w:tcW w:w="838" w:type="pct"/>
            <w:vAlign w:val="center"/>
          </w:tcPr>
          <w:p w:rsidR="009E4336" w:rsidRPr="00A024C2" w:rsidRDefault="00A024C2" w:rsidP="005A45D5">
            <w:pPr>
              <w:pStyle w:val="TableText"/>
              <w:jc w:val="center"/>
              <w:rPr>
                <w:highlight w:val="black"/>
              </w:rPr>
            </w:pPr>
            <w:r>
              <w:rPr>
                <w:noProof/>
                <w:color w:val="000000"/>
                <w:highlight w:val="black"/>
              </w:rPr>
              <w:t>'''''''''''''</w:t>
            </w:r>
          </w:p>
        </w:tc>
      </w:tr>
      <w:tr w:rsidR="009E4336" w:rsidRPr="00F67030" w:rsidTr="00F11168">
        <w:tc>
          <w:tcPr>
            <w:tcW w:w="4162" w:type="pct"/>
            <w:gridSpan w:val="3"/>
            <w:vAlign w:val="center"/>
          </w:tcPr>
          <w:p w:rsidR="009E4336" w:rsidRPr="00F67030" w:rsidRDefault="009E4336" w:rsidP="009E4336">
            <w:pPr>
              <w:pStyle w:val="TableText"/>
              <w:rPr>
                <w:rFonts w:ascii="Times" w:eastAsia="Times New Roman" w:hAnsi="Times" w:cs="Times New Roman"/>
              </w:rPr>
            </w:pPr>
            <w:r w:rsidRPr="00F67030">
              <w:t>Incremental cost/extra QALYs gained</w:t>
            </w:r>
          </w:p>
        </w:tc>
        <w:tc>
          <w:tcPr>
            <w:tcW w:w="838" w:type="pct"/>
            <w:vAlign w:val="center"/>
          </w:tcPr>
          <w:p w:rsidR="009E4336" w:rsidRPr="00A024C2" w:rsidRDefault="00A024C2" w:rsidP="00B93CB3">
            <w:pPr>
              <w:pStyle w:val="TableText"/>
              <w:jc w:val="center"/>
              <w:rPr>
                <w:rFonts w:ascii="Times" w:eastAsia="Times New Roman" w:hAnsi="Times" w:cs="Times New Roman"/>
                <w:highlight w:val="black"/>
              </w:rPr>
            </w:pPr>
            <w:r>
              <w:rPr>
                <w:noProof/>
                <w:color w:val="000000"/>
                <w:highlight w:val="black"/>
              </w:rPr>
              <w:t>''''''''''''''''''</w:t>
            </w:r>
          </w:p>
        </w:tc>
      </w:tr>
    </w:tbl>
    <w:p w:rsidR="009E4336" w:rsidRPr="00F67030" w:rsidRDefault="009E4336" w:rsidP="009E4336">
      <w:pPr>
        <w:pStyle w:val="TableFooter"/>
        <w:rPr>
          <w:szCs w:val="18"/>
        </w:rPr>
      </w:pPr>
      <w:r w:rsidRPr="00F67030">
        <w:rPr>
          <w:szCs w:val="18"/>
        </w:rPr>
        <w:t xml:space="preserve">LY: </w:t>
      </w:r>
      <w:r w:rsidR="00D371E3">
        <w:rPr>
          <w:szCs w:val="18"/>
        </w:rPr>
        <w:t>l</w:t>
      </w:r>
      <w:r w:rsidRPr="00F67030">
        <w:rPr>
          <w:szCs w:val="18"/>
        </w:rPr>
        <w:t xml:space="preserve">ife years; QALYs: quality adjusted life years. IC: </w:t>
      </w:r>
      <w:r w:rsidR="00D371E3">
        <w:rPr>
          <w:szCs w:val="18"/>
        </w:rPr>
        <w:t>i</w:t>
      </w:r>
      <w:r w:rsidRPr="00F67030">
        <w:rPr>
          <w:szCs w:val="18"/>
        </w:rPr>
        <w:t xml:space="preserve">nvestigator’s </w:t>
      </w:r>
      <w:r w:rsidR="00A87349" w:rsidRPr="00F67030">
        <w:rPr>
          <w:szCs w:val="18"/>
        </w:rPr>
        <w:t>c</w:t>
      </w:r>
      <w:r w:rsidRPr="00F67030">
        <w:rPr>
          <w:szCs w:val="18"/>
        </w:rPr>
        <w:t>hoice</w:t>
      </w:r>
      <w:r w:rsidR="00A87349" w:rsidRPr="00F67030">
        <w:t xml:space="preserve"> </w:t>
      </w:r>
      <w:r w:rsidR="00A87349" w:rsidRPr="00F67030">
        <w:rPr>
          <w:szCs w:val="18"/>
        </w:rPr>
        <w:t>of therapy</w:t>
      </w:r>
      <w:r w:rsidRPr="00F67030">
        <w:rPr>
          <w:szCs w:val="18"/>
        </w:rPr>
        <w:t>; ICER: incremental cost-effectiveness ratio</w:t>
      </w:r>
      <w:r w:rsidR="00D371E3">
        <w:rPr>
          <w:szCs w:val="18"/>
        </w:rPr>
        <w:t>.</w:t>
      </w:r>
    </w:p>
    <w:p w:rsidR="00C317F3" w:rsidRPr="00F67030" w:rsidRDefault="009E4336" w:rsidP="009E4336">
      <w:pPr>
        <w:pStyle w:val="TableFooter"/>
      </w:pPr>
      <w:r w:rsidRPr="00F67030">
        <w:rPr>
          <w:szCs w:val="18"/>
        </w:rPr>
        <w:t>Source: Table 67 p139 of the submission</w:t>
      </w:r>
    </w:p>
    <w:p w:rsidR="00214D50" w:rsidRPr="00F67030" w:rsidRDefault="00214D50" w:rsidP="00457C75">
      <w:pPr>
        <w:pStyle w:val="ListParagraph"/>
        <w:numPr>
          <w:ilvl w:val="1"/>
          <w:numId w:val="1"/>
        </w:numPr>
        <w:spacing w:before="0" w:after="120"/>
        <w:jc w:val="both"/>
      </w:pPr>
      <w:r w:rsidRPr="00F67030">
        <w:t xml:space="preserve">The </w:t>
      </w:r>
      <w:r w:rsidR="002A269E" w:rsidRPr="00F67030">
        <w:t xml:space="preserve">economic evaluation presented in the submission </w:t>
      </w:r>
      <w:r w:rsidRPr="00F67030">
        <w:t>should be considered with caution. The following issues were identified during the evaluation:</w:t>
      </w:r>
    </w:p>
    <w:p w:rsidR="00351E75" w:rsidRPr="008554A4" w:rsidRDefault="00351E75" w:rsidP="00DC7739">
      <w:pPr>
        <w:pStyle w:val="ListParagraph"/>
        <w:numPr>
          <w:ilvl w:val="1"/>
          <w:numId w:val="7"/>
        </w:numPr>
        <w:spacing w:before="0" w:after="120"/>
        <w:ind w:left="1134" w:hanging="425"/>
        <w:jc w:val="both"/>
        <w:rPr>
          <w:lang w:val="en-US"/>
        </w:rPr>
      </w:pPr>
      <w:r w:rsidRPr="008554A4">
        <w:lastRenderedPageBreak/>
        <w:t>The ESC noted that no evidence was provided regarding the impact of the differences in the comparators used to estimate the incremental benefit with nivolumab</w:t>
      </w:r>
      <w:r w:rsidR="00260024" w:rsidRPr="008554A4">
        <w:t xml:space="preserve"> over</w:t>
      </w:r>
      <w:r w:rsidRPr="008554A4">
        <w:t xml:space="preserve"> the </w:t>
      </w:r>
      <w:r w:rsidR="00765354">
        <w:t>SOC</w:t>
      </w:r>
      <w:r w:rsidRPr="008554A4">
        <w:t xml:space="preserve"> in Australian practice. In particular, no evidence was provided on the comparative eff</w:t>
      </w:r>
      <w:r w:rsidR="00260024" w:rsidRPr="008554A4">
        <w:t>ectiveness</w:t>
      </w:r>
      <w:r w:rsidRPr="008554A4">
        <w:t xml:space="preserve"> of cetuximab and capecitabine. </w:t>
      </w:r>
      <w:r w:rsidR="00D7003C" w:rsidRPr="008554A4">
        <w:t>Although the PSCR (p4) argued that all of the drugs included in the IC arm were equally ineffective, t</w:t>
      </w:r>
      <w:r w:rsidRPr="008554A4">
        <w:t xml:space="preserve">he ESC noted that sensitivity analysis was not conducted on the impact of applying the costs of the drugs included in the IC arm (docetaxel, methotrexate, or cetuximab). Consequently, the ESC advised that impact of </w:t>
      </w:r>
      <w:r w:rsidR="00260024" w:rsidRPr="008554A4">
        <w:t>any</w:t>
      </w:r>
      <w:r w:rsidRPr="008554A4">
        <w:t xml:space="preserve"> difference</w:t>
      </w:r>
      <w:r w:rsidR="00260024" w:rsidRPr="008554A4">
        <w:t>s</w:t>
      </w:r>
      <w:r w:rsidRPr="008554A4">
        <w:t xml:space="preserve"> on the cost-effectiveness of nivolumab was uncertain.</w:t>
      </w:r>
    </w:p>
    <w:p w:rsidR="00214D50" w:rsidRPr="008554A4" w:rsidRDefault="00214D50" w:rsidP="00DC7739">
      <w:pPr>
        <w:pStyle w:val="ListParagraph"/>
        <w:numPr>
          <w:ilvl w:val="1"/>
          <w:numId w:val="7"/>
        </w:numPr>
        <w:spacing w:before="0" w:after="120"/>
        <w:ind w:left="1134" w:hanging="425"/>
        <w:jc w:val="both"/>
      </w:pPr>
      <w:r w:rsidRPr="008554A4">
        <w:t xml:space="preserve">The fit of the parametric functions to PFS was poor and the submission should have considered </w:t>
      </w:r>
      <w:r w:rsidR="00CF44FA" w:rsidRPr="008554A4">
        <w:t xml:space="preserve">other, more flexible </w:t>
      </w:r>
      <w:r w:rsidRPr="008554A4">
        <w:t>approaches to extrapolating PFS</w:t>
      </w:r>
      <w:r w:rsidR="00B93CB3" w:rsidRPr="008554A4">
        <w:t xml:space="preserve"> (e.g. generalised gamma</w:t>
      </w:r>
      <w:r w:rsidR="00CF44FA" w:rsidRPr="008554A4">
        <w:t>, generalised F, and spline-based functions</w:t>
      </w:r>
      <w:r w:rsidR="00B93CB3" w:rsidRPr="008554A4">
        <w:t>)</w:t>
      </w:r>
      <w:r w:rsidRPr="008554A4">
        <w:t>.</w:t>
      </w:r>
      <w:r w:rsidR="0024798C" w:rsidRPr="008554A4">
        <w:t xml:space="preserve"> The impact</w:t>
      </w:r>
      <w:r w:rsidR="002E5C54" w:rsidRPr="008554A4">
        <w:t>s</w:t>
      </w:r>
      <w:r w:rsidR="0024798C" w:rsidRPr="008554A4">
        <w:t xml:space="preserve"> on the results are uncertain.</w:t>
      </w:r>
    </w:p>
    <w:p w:rsidR="00351E75" w:rsidRPr="008554A4" w:rsidRDefault="00214D50" w:rsidP="00DC7739">
      <w:pPr>
        <w:pStyle w:val="ListParagraph"/>
        <w:numPr>
          <w:ilvl w:val="1"/>
          <w:numId w:val="7"/>
        </w:numPr>
        <w:spacing w:before="0" w:after="120"/>
        <w:ind w:left="1134" w:hanging="425"/>
        <w:jc w:val="both"/>
        <w:rPr>
          <w:szCs w:val="24"/>
          <w:lang w:val="en-US"/>
        </w:rPr>
      </w:pPr>
      <w:r w:rsidRPr="008554A4">
        <w:t xml:space="preserve">The log-logistic </w:t>
      </w:r>
      <w:r w:rsidR="00154BEB" w:rsidRPr="008554A4">
        <w:t xml:space="preserve">function </w:t>
      </w:r>
      <w:r w:rsidRPr="008554A4">
        <w:t xml:space="preserve">was used to extrapolate OS. </w:t>
      </w:r>
      <w:r w:rsidR="000C0537" w:rsidRPr="008554A4">
        <w:t xml:space="preserve">The PSCR (p3) contended that the application of the log-logistic model to extrapolate OS was appropriate, arguing that the mathematical properties of the log-logistic distribution matches the underlying scientific assumptions of immunotherapy agents, as it allows a clinically plausible plateau in survival. </w:t>
      </w:r>
      <w:r w:rsidR="00351E75" w:rsidRPr="008554A4">
        <w:rPr>
          <w:szCs w:val="24"/>
        </w:rPr>
        <w:t xml:space="preserve">The ESC considered that </w:t>
      </w:r>
      <w:r w:rsidR="00351E75" w:rsidRPr="008554A4">
        <w:t>fitting log-logistic model to the OS curves was the least conservative choice</w:t>
      </w:r>
      <w:r w:rsidR="000C0537" w:rsidRPr="008554A4">
        <w:t xml:space="preserve"> in this instance</w:t>
      </w:r>
      <w:r w:rsidR="00351E75" w:rsidRPr="008554A4">
        <w:t>. Further, the ESC considered that</w:t>
      </w:r>
      <w:r w:rsidR="00260024" w:rsidRPr="008554A4">
        <w:t>,</w:t>
      </w:r>
      <w:r w:rsidR="00351E75" w:rsidRPr="008554A4">
        <w:t xml:space="preserve"> although the Weibull method was the most conservative choice, it was not a good fit. As such, the ESC advised that exponential curves would have been the most appropriate method of extrapolation.</w:t>
      </w:r>
    </w:p>
    <w:p w:rsidR="00D32FAA" w:rsidRPr="008554A4" w:rsidRDefault="00D32FAA" w:rsidP="00DC7739">
      <w:pPr>
        <w:pStyle w:val="ListParagraph"/>
        <w:numPr>
          <w:ilvl w:val="1"/>
          <w:numId w:val="7"/>
        </w:numPr>
        <w:spacing w:before="0" w:after="120"/>
        <w:ind w:left="1134" w:hanging="425"/>
        <w:jc w:val="both"/>
      </w:pPr>
      <w:r w:rsidRPr="008554A4">
        <w:t xml:space="preserve">Treatment duration was based on PFS. However, around </w:t>
      </w:r>
      <w:r w:rsidR="00A024C2">
        <w:rPr>
          <w:noProof/>
          <w:color w:val="000000"/>
          <w:highlight w:val="black"/>
        </w:rPr>
        <w:t>''''''''</w:t>
      </w:r>
      <w:r w:rsidRPr="008554A4">
        <w:t xml:space="preserve"> of nivolumab patients continued treatment following progression in Trial CA209141. The PSCR (p3) argued that it was reasonable to use PFS to estimate the duration of treatment, noting that the PBAC had considered the use of PFS to inform costs twice in the past for nivolumab (paragraph 7.5, nivolumab PSD, July 2016 and paragraph 6.39, nivolumab PSD for </w:t>
      </w:r>
      <w:r w:rsidR="00226EB7">
        <w:t>RCC</w:t>
      </w:r>
      <w:r w:rsidRPr="008554A4">
        <w:t>, March 2017). The ESC considered that</w:t>
      </w:r>
      <w:r w:rsidR="002804DC" w:rsidRPr="008554A4">
        <w:t>,</w:t>
      </w:r>
      <w:r w:rsidRPr="008554A4">
        <w:t xml:space="preserve"> as </w:t>
      </w:r>
      <w:r w:rsidR="00A024C2">
        <w:rPr>
          <w:noProof/>
          <w:color w:val="000000"/>
          <w:highlight w:val="black"/>
        </w:rPr>
        <w:t>'''''''''</w:t>
      </w:r>
      <w:r w:rsidRPr="008554A4">
        <w:t xml:space="preserve"> of nivolumab patients continued treatment following progression, treatment costs were underestimated in the model</w:t>
      </w:r>
      <w:r w:rsidR="002804DC" w:rsidRPr="008554A4">
        <w:t>,</w:t>
      </w:r>
      <w:r w:rsidRPr="008554A4">
        <w:t xml:space="preserve"> and </w:t>
      </w:r>
      <w:r w:rsidR="002804DC" w:rsidRPr="008554A4">
        <w:t xml:space="preserve">these </w:t>
      </w:r>
      <w:r w:rsidRPr="008554A4">
        <w:t>had a substantial impact on the ICER.</w:t>
      </w:r>
    </w:p>
    <w:p w:rsidR="00792E8D" w:rsidRPr="00F67030" w:rsidRDefault="00214D50" w:rsidP="00DC7739">
      <w:pPr>
        <w:pStyle w:val="ListParagraph"/>
        <w:numPr>
          <w:ilvl w:val="1"/>
          <w:numId w:val="7"/>
        </w:numPr>
        <w:spacing w:before="0" w:after="120"/>
        <w:ind w:left="1134" w:hanging="425"/>
        <w:jc w:val="both"/>
      </w:pPr>
      <w:r w:rsidRPr="00F67030">
        <w:t xml:space="preserve">The utility estimates </w:t>
      </w:r>
      <w:r w:rsidR="00542327" w:rsidRPr="00F67030">
        <w:t xml:space="preserve">were </w:t>
      </w:r>
      <w:r w:rsidR="000F7275" w:rsidRPr="00F67030">
        <w:t>unable to be verified. It</w:t>
      </w:r>
      <w:r w:rsidR="00792E8D" w:rsidRPr="00F67030">
        <w:t xml:space="preserve"> </w:t>
      </w:r>
      <w:r w:rsidR="002A269E" w:rsidRPr="00F67030">
        <w:t>was unclear</w:t>
      </w:r>
      <w:r w:rsidR="00792E8D" w:rsidRPr="00F67030">
        <w:t xml:space="preserve"> whether there should be any ongoing difference</w:t>
      </w:r>
      <w:r w:rsidR="002A269E" w:rsidRPr="00F67030">
        <w:t xml:space="preserve"> </w:t>
      </w:r>
      <w:r w:rsidR="00792E8D" w:rsidRPr="00F67030">
        <w:t xml:space="preserve">in the utility values </w:t>
      </w:r>
      <w:r w:rsidR="002A269E" w:rsidRPr="00F67030">
        <w:t xml:space="preserve">of </w:t>
      </w:r>
      <w:r w:rsidR="00792E8D" w:rsidRPr="00F67030">
        <w:t xml:space="preserve">the </w:t>
      </w:r>
      <w:r w:rsidR="002A269E" w:rsidRPr="00F67030">
        <w:t>‘</w:t>
      </w:r>
      <w:r w:rsidR="00AC24FB" w:rsidRPr="00F67030">
        <w:t xml:space="preserve">Alive </w:t>
      </w:r>
      <w:r w:rsidR="00792E8D" w:rsidRPr="00F67030">
        <w:t xml:space="preserve">Following </w:t>
      </w:r>
      <w:r w:rsidR="000F7275" w:rsidRPr="00F67030">
        <w:t>P</w:t>
      </w:r>
      <w:r w:rsidR="00792E8D" w:rsidRPr="00F67030">
        <w:t>rogression</w:t>
      </w:r>
      <w:r w:rsidR="002A269E" w:rsidRPr="00F67030">
        <w:t>’</w:t>
      </w:r>
      <w:r w:rsidR="00792E8D" w:rsidRPr="00F67030">
        <w:t xml:space="preserve"> </w:t>
      </w:r>
      <w:r w:rsidR="00AC24FB" w:rsidRPr="00F67030">
        <w:t xml:space="preserve">health </w:t>
      </w:r>
      <w:r w:rsidR="00792E8D" w:rsidRPr="00F67030">
        <w:t xml:space="preserve">state if the </w:t>
      </w:r>
      <w:r w:rsidR="000F7275" w:rsidRPr="00F67030">
        <w:t>AEs</w:t>
      </w:r>
      <w:r w:rsidR="00792E8D" w:rsidRPr="00F67030">
        <w:t xml:space="preserve"> are short</w:t>
      </w:r>
      <w:r w:rsidR="00224EC3" w:rsidRPr="00F67030">
        <w:t>-</w:t>
      </w:r>
      <w:r w:rsidR="00792E8D" w:rsidRPr="00F67030">
        <w:t>term (</w:t>
      </w:r>
      <w:r w:rsidR="000F7275" w:rsidRPr="00F67030">
        <w:rPr>
          <w:szCs w:val="24"/>
        </w:rPr>
        <w:t xml:space="preserve">these utilities may also be overestimated if </w:t>
      </w:r>
      <w:r w:rsidR="002A269E" w:rsidRPr="00F67030">
        <w:rPr>
          <w:szCs w:val="24"/>
        </w:rPr>
        <w:t xml:space="preserve">they were </w:t>
      </w:r>
      <w:r w:rsidR="000F7275" w:rsidRPr="00F67030">
        <w:rPr>
          <w:szCs w:val="24"/>
        </w:rPr>
        <w:t>based on a single end-of-treatment visit</w:t>
      </w:r>
      <w:r w:rsidR="00792E8D" w:rsidRPr="00F67030">
        <w:t>)</w:t>
      </w:r>
      <w:r w:rsidR="000F7275" w:rsidRPr="00F67030">
        <w:t>. It</w:t>
      </w:r>
      <w:r w:rsidR="00792E8D" w:rsidRPr="00F67030">
        <w:t xml:space="preserve"> </w:t>
      </w:r>
      <w:r w:rsidR="002A269E" w:rsidRPr="00F67030">
        <w:t>wa</w:t>
      </w:r>
      <w:r w:rsidR="00792E8D" w:rsidRPr="00F67030">
        <w:t xml:space="preserve">s </w:t>
      </w:r>
      <w:r w:rsidR="000F7275" w:rsidRPr="00F67030">
        <w:t xml:space="preserve">also </w:t>
      </w:r>
      <w:r w:rsidR="00792E8D" w:rsidRPr="00F67030">
        <w:t xml:space="preserve">unclear whether the utilities for the comparator in the </w:t>
      </w:r>
      <w:r w:rsidR="002A269E" w:rsidRPr="00F67030">
        <w:t>‘</w:t>
      </w:r>
      <w:r w:rsidR="00AC24FB" w:rsidRPr="00F67030">
        <w:t xml:space="preserve">Alive </w:t>
      </w:r>
      <w:r w:rsidR="00792E8D" w:rsidRPr="00F67030">
        <w:t>Without Progression</w:t>
      </w:r>
      <w:r w:rsidR="002A269E" w:rsidRPr="00F67030">
        <w:t>’</w:t>
      </w:r>
      <w:r w:rsidR="00792E8D" w:rsidRPr="00F67030">
        <w:t xml:space="preserve"> </w:t>
      </w:r>
      <w:r w:rsidR="00AC24FB" w:rsidRPr="00F67030">
        <w:t xml:space="preserve">health </w:t>
      </w:r>
      <w:r w:rsidR="00792E8D" w:rsidRPr="00F67030">
        <w:t xml:space="preserve">state reflect the chemotherapies used in </w:t>
      </w:r>
      <w:r w:rsidR="002A269E" w:rsidRPr="00F67030">
        <w:t xml:space="preserve">Australian </w:t>
      </w:r>
      <w:r w:rsidR="00792E8D" w:rsidRPr="00F67030">
        <w:t>clinical practice.</w:t>
      </w:r>
    </w:p>
    <w:p w:rsidR="00214D50" w:rsidRPr="00F67030" w:rsidRDefault="00214D50" w:rsidP="00DC7739">
      <w:pPr>
        <w:pStyle w:val="ListParagraph"/>
        <w:numPr>
          <w:ilvl w:val="1"/>
          <w:numId w:val="7"/>
        </w:numPr>
        <w:spacing w:before="0" w:after="120"/>
        <w:ind w:left="1134" w:hanging="425"/>
        <w:jc w:val="both"/>
      </w:pPr>
      <w:r w:rsidRPr="00F67030">
        <w:t xml:space="preserve">Costs associated with subsequent therapies were not included in the economic model. Even though patients in each arm </w:t>
      </w:r>
      <w:r w:rsidR="002A269E" w:rsidRPr="00F67030">
        <w:t>we</w:t>
      </w:r>
      <w:r w:rsidRPr="00F67030">
        <w:t xml:space="preserve">re on a similar balance of therapies, they </w:t>
      </w:r>
      <w:r w:rsidR="002A269E" w:rsidRPr="00F67030">
        <w:t>underwent treatment</w:t>
      </w:r>
      <w:r w:rsidRPr="00F67030">
        <w:t xml:space="preserve"> for a longer period on the nivolumab arm due to improved survival. </w:t>
      </w:r>
      <w:r w:rsidR="002A269E" w:rsidRPr="00F67030">
        <w:t>Consequently</w:t>
      </w:r>
      <w:r w:rsidRPr="00F67030">
        <w:t xml:space="preserve">, treatment costs </w:t>
      </w:r>
      <w:r w:rsidR="002A269E" w:rsidRPr="00F67030">
        <w:t>were likely to be</w:t>
      </w:r>
      <w:r w:rsidRPr="00F67030">
        <w:t xml:space="preserve"> higher in the nivolumab arm. This approach </w:t>
      </w:r>
      <w:r w:rsidR="002A269E" w:rsidRPr="00F67030">
        <w:t xml:space="preserve">was </w:t>
      </w:r>
      <w:r w:rsidRPr="00F67030">
        <w:t xml:space="preserve">likely </w:t>
      </w:r>
      <w:r w:rsidR="002A269E" w:rsidRPr="00F67030">
        <w:t xml:space="preserve">to </w:t>
      </w:r>
      <w:r w:rsidRPr="00F67030">
        <w:t>favour nivolumab.</w:t>
      </w:r>
    </w:p>
    <w:p w:rsidR="005552C9" w:rsidRPr="00F67030" w:rsidRDefault="00D90DCB" w:rsidP="00457C75">
      <w:pPr>
        <w:pStyle w:val="ListParagraph"/>
        <w:numPr>
          <w:ilvl w:val="1"/>
          <w:numId w:val="1"/>
        </w:numPr>
        <w:spacing w:before="0" w:after="120"/>
        <w:jc w:val="both"/>
      </w:pPr>
      <w:r w:rsidRPr="00F67030">
        <w:lastRenderedPageBreak/>
        <w:t xml:space="preserve">Table </w:t>
      </w:r>
      <w:r w:rsidR="00D460E0" w:rsidRPr="00F67030">
        <w:t>10</w:t>
      </w:r>
      <w:r w:rsidRPr="00F67030">
        <w:t xml:space="preserve"> </w:t>
      </w:r>
      <w:r w:rsidR="005552C9" w:rsidRPr="00F67030">
        <w:t xml:space="preserve">presents the results of the </w:t>
      </w:r>
      <w:r w:rsidR="00313E09" w:rsidRPr="00F67030">
        <w:t xml:space="preserve">key </w:t>
      </w:r>
      <w:r w:rsidRPr="00F67030">
        <w:t xml:space="preserve">univariate </w:t>
      </w:r>
      <w:r w:rsidR="005552C9" w:rsidRPr="00F67030">
        <w:t>sensitivity analyses</w:t>
      </w:r>
      <w:r w:rsidRPr="00F67030">
        <w:t xml:space="preserve"> conducted by the submission and during the evaluation</w:t>
      </w:r>
      <w:r w:rsidR="005552C9" w:rsidRPr="00F67030">
        <w:t>.</w:t>
      </w:r>
    </w:p>
    <w:p w:rsidR="009E1802" w:rsidRPr="00F67030" w:rsidRDefault="009E1802" w:rsidP="00F427E1">
      <w:pPr>
        <w:pStyle w:val="TableHeading0"/>
      </w:pPr>
      <w:r w:rsidRPr="00F67030">
        <w:t xml:space="preserve">Table </w:t>
      </w:r>
      <w:r w:rsidR="00D460E0" w:rsidRPr="00F67030">
        <w:t>10</w:t>
      </w:r>
      <w:r w:rsidRPr="00F67030">
        <w:t>: Results of scenario and univariate sensitivity analyses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scenario and univariate sensitivity analyses"/>
      </w:tblPr>
      <w:tblGrid>
        <w:gridCol w:w="1382"/>
        <w:gridCol w:w="1264"/>
        <w:gridCol w:w="846"/>
        <w:gridCol w:w="3678"/>
        <w:gridCol w:w="971"/>
        <w:gridCol w:w="1101"/>
      </w:tblGrid>
      <w:tr w:rsidR="009E1802" w:rsidRPr="00F67030" w:rsidTr="00351E75">
        <w:trPr>
          <w:cnfStyle w:val="100000000000" w:firstRow="1" w:lastRow="0" w:firstColumn="0" w:lastColumn="0" w:oddVBand="0" w:evenVBand="0" w:oddHBand="0" w:evenHBand="0" w:firstRowFirstColumn="0" w:firstRowLastColumn="0" w:lastRowFirstColumn="0" w:lastRowLastColumn="0"/>
          <w:tblHeader/>
        </w:trPr>
        <w:tc>
          <w:tcPr>
            <w:tcW w:w="749" w:type="pct"/>
            <w:shd w:val="clear" w:color="auto" w:fill="auto"/>
            <w:vAlign w:val="center"/>
          </w:tcPr>
          <w:p w:rsidR="009E1802" w:rsidRPr="00F67030" w:rsidRDefault="009E1802" w:rsidP="00F427E1">
            <w:pPr>
              <w:pStyle w:val="Tabletext0"/>
              <w:keepNext/>
              <w:jc w:val="center"/>
              <w:rPr>
                <w:b w:val="0"/>
              </w:rPr>
            </w:pPr>
            <w:r w:rsidRPr="00F67030">
              <w:t>Variable</w:t>
            </w:r>
          </w:p>
        </w:tc>
        <w:tc>
          <w:tcPr>
            <w:tcW w:w="685" w:type="pct"/>
            <w:shd w:val="clear" w:color="auto" w:fill="auto"/>
            <w:vAlign w:val="center"/>
          </w:tcPr>
          <w:p w:rsidR="009E1802" w:rsidRPr="00F67030" w:rsidRDefault="009E1802" w:rsidP="00F427E1">
            <w:pPr>
              <w:pStyle w:val="Tabletext0"/>
              <w:keepNext/>
              <w:jc w:val="center"/>
              <w:rPr>
                <w:b w:val="0"/>
              </w:rPr>
            </w:pPr>
            <w:r w:rsidRPr="00F67030">
              <w:t>Base case</w:t>
            </w:r>
          </w:p>
        </w:tc>
        <w:tc>
          <w:tcPr>
            <w:tcW w:w="2450" w:type="pct"/>
            <w:gridSpan w:val="2"/>
            <w:shd w:val="clear" w:color="auto" w:fill="auto"/>
            <w:vAlign w:val="center"/>
          </w:tcPr>
          <w:p w:rsidR="009E1802" w:rsidRPr="00F67030" w:rsidRDefault="009E1802" w:rsidP="00F427E1">
            <w:pPr>
              <w:pStyle w:val="Tabletext0"/>
              <w:keepNext/>
              <w:jc w:val="center"/>
              <w:rPr>
                <w:b w:val="0"/>
              </w:rPr>
            </w:pPr>
            <w:r w:rsidRPr="00F67030">
              <w:t>Sensitivity analysis</w:t>
            </w:r>
          </w:p>
        </w:tc>
        <w:tc>
          <w:tcPr>
            <w:tcW w:w="519" w:type="pct"/>
            <w:shd w:val="clear" w:color="auto" w:fill="auto"/>
            <w:vAlign w:val="center"/>
          </w:tcPr>
          <w:p w:rsidR="009E1802" w:rsidRPr="00F67030" w:rsidRDefault="009E1802" w:rsidP="00F427E1">
            <w:pPr>
              <w:pStyle w:val="Tabletext0"/>
              <w:keepNext/>
              <w:jc w:val="center"/>
              <w:rPr>
                <w:b w:val="0"/>
              </w:rPr>
            </w:pPr>
            <w:r w:rsidRPr="00F67030">
              <w:t>Cost/LY</w:t>
            </w:r>
          </w:p>
        </w:tc>
        <w:tc>
          <w:tcPr>
            <w:tcW w:w="598" w:type="pct"/>
            <w:shd w:val="clear" w:color="auto" w:fill="auto"/>
            <w:vAlign w:val="center"/>
          </w:tcPr>
          <w:p w:rsidR="009E1802" w:rsidRPr="00F67030" w:rsidRDefault="009E1802" w:rsidP="00F427E1">
            <w:pPr>
              <w:pStyle w:val="Tabletext0"/>
              <w:keepNext/>
              <w:jc w:val="center"/>
              <w:rPr>
                <w:b w:val="0"/>
              </w:rPr>
            </w:pPr>
            <w:r w:rsidRPr="00F67030">
              <w:t>Cost/QALY</w:t>
            </w:r>
          </w:p>
        </w:tc>
      </w:tr>
      <w:tr w:rsidR="009E1802" w:rsidRPr="00F67030" w:rsidTr="00351E75">
        <w:tc>
          <w:tcPr>
            <w:tcW w:w="3883" w:type="pct"/>
            <w:gridSpan w:val="4"/>
            <w:shd w:val="clear" w:color="auto" w:fill="auto"/>
            <w:vAlign w:val="center"/>
          </w:tcPr>
          <w:p w:rsidR="009E1802" w:rsidRPr="00F67030" w:rsidRDefault="009E1802" w:rsidP="00F427E1">
            <w:pPr>
              <w:pStyle w:val="Tabletext0"/>
              <w:keepNext/>
            </w:pPr>
            <w:r w:rsidRPr="00F67030">
              <w:t>Base case</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val="restart"/>
            <w:shd w:val="clear" w:color="auto" w:fill="auto"/>
            <w:vAlign w:val="center"/>
          </w:tcPr>
          <w:p w:rsidR="009E1802" w:rsidRPr="00F67030" w:rsidRDefault="009E1802" w:rsidP="00F427E1">
            <w:pPr>
              <w:pStyle w:val="Tabletext0"/>
              <w:keepNext/>
            </w:pPr>
            <w:r w:rsidRPr="00F67030">
              <w:t>Time &amp; convergence</w:t>
            </w:r>
          </w:p>
        </w:tc>
        <w:tc>
          <w:tcPr>
            <w:tcW w:w="685" w:type="pct"/>
            <w:vMerge w:val="restart"/>
            <w:shd w:val="clear" w:color="auto" w:fill="auto"/>
            <w:vAlign w:val="center"/>
          </w:tcPr>
          <w:p w:rsidR="009E1802" w:rsidRPr="00F67030" w:rsidRDefault="00A024C2" w:rsidP="00F427E1">
            <w:pPr>
              <w:pStyle w:val="Tabletext0"/>
              <w:keepNext/>
              <w:jc w:val="center"/>
            </w:pPr>
            <w:r>
              <w:rPr>
                <w:noProof/>
                <w:color w:val="000000"/>
                <w:highlight w:val="black"/>
              </w:rPr>
              <w:t>''' '''''''''''''</w:t>
            </w:r>
            <w:r w:rsidR="009E1802" w:rsidRPr="00F67030">
              <w:t xml:space="preserve">; converge from </w:t>
            </w:r>
            <w:r>
              <w:rPr>
                <w:noProof/>
                <w:color w:val="000000"/>
                <w:highlight w:val="black"/>
              </w:rPr>
              <w:t>''' ''''''''''''''</w:t>
            </w:r>
          </w:p>
        </w:tc>
        <w:tc>
          <w:tcPr>
            <w:tcW w:w="459" w:type="pct"/>
            <w:shd w:val="clear" w:color="auto" w:fill="auto"/>
            <w:vAlign w:val="center"/>
          </w:tcPr>
          <w:p w:rsidR="009E1802" w:rsidRPr="00F67030" w:rsidRDefault="009E1802" w:rsidP="00F427E1">
            <w:pPr>
              <w:pStyle w:val="Tabletext0"/>
              <w:keepNext/>
              <w:jc w:val="center"/>
            </w:pPr>
            <w:r w:rsidRPr="00F67030">
              <w:t>SA.1</w:t>
            </w:r>
          </w:p>
        </w:tc>
        <w:tc>
          <w:tcPr>
            <w:tcW w:w="1991" w:type="pct"/>
            <w:shd w:val="clear" w:color="auto" w:fill="auto"/>
            <w:vAlign w:val="center"/>
          </w:tcPr>
          <w:p w:rsidR="009E1802" w:rsidRPr="00F67030" w:rsidRDefault="009E1802" w:rsidP="00F427E1">
            <w:pPr>
              <w:pStyle w:val="Tabletext0"/>
              <w:keepNext/>
              <w:jc w:val="center"/>
            </w:pPr>
            <w:r w:rsidRPr="00F67030">
              <w:t>5 years; no convergence</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r w:rsidRPr="00F67030">
              <w:t>SA.2</w:t>
            </w:r>
          </w:p>
        </w:tc>
        <w:tc>
          <w:tcPr>
            <w:tcW w:w="1991" w:type="pct"/>
            <w:shd w:val="clear" w:color="auto" w:fill="auto"/>
            <w:vAlign w:val="center"/>
          </w:tcPr>
          <w:p w:rsidR="009E1802" w:rsidRPr="00F67030" w:rsidRDefault="009E1802" w:rsidP="00F427E1">
            <w:pPr>
              <w:pStyle w:val="Tabletext0"/>
              <w:keepNext/>
              <w:jc w:val="center"/>
            </w:pPr>
            <w:r w:rsidRPr="00F67030">
              <w:t>7 years; no convergence</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r w:rsidRPr="00F67030">
              <w:t>SA.3</w:t>
            </w:r>
          </w:p>
        </w:tc>
        <w:tc>
          <w:tcPr>
            <w:tcW w:w="1991" w:type="pct"/>
            <w:shd w:val="clear" w:color="auto" w:fill="auto"/>
            <w:vAlign w:val="center"/>
          </w:tcPr>
          <w:p w:rsidR="009E1802" w:rsidRPr="00F67030" w:rsidRDefault="009E1802" w:rsidP="00F427E1">
            <w:pPr>
              <w:pStyle w:val="Tabletext0"/>
              <w:keepNext/>
              <w:jc w:val="center"/>
            </w:pPr>
            <w:r w:rsidRPr="00F67030">
              <w:t>10 years; no convergence</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r w:rsidRPr="00F67030">
              <w:t>SA.4</w:t>
            </w:r>
          </w:p>
        </w:tc>
        <w:tc>
          <w:tcPr>
            <w:tcW w:w="1991" w:type="pct"/>
            <w:shd w:val="clear" w:color="auto" w:fill="auto"/>
            <w:vAlign w:val="center"/>
          </w:tcPr>
          <w:p w:rsidR="009E1802" w:rsidRPr="00F67030" w:rsidRDefault="009E1802" w:rsidP="00F427E1">
            <w:pPr>
              <w:pStyle w:val="Tabletext0"/>
              <w:keepNext/>
              <w:jc w:val="center"/>
            </w:pPr>
            <w:r w:rsidRPr="00F67030">
              <w:t>10 years; converge from 3 yrs</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517B60" w:rsidRPr="00F67030" w:rsidTr="00351E75">
        <w:tc>
          <w:tcPr>
            <w:tcW w:w="749" w:type="pct"/>
            <w:vMerge w:val="restart"/>
            <w:shd w:val="clear" w:color="auto" w:fill="auto"/>
            <w:vAlign w:val="center"/>
          </w:tcPr>
          <w:p w:rsidR="00517B60" w:rsidRPr="00F67030" w:rsidRDefault="00517B60" w:rsidP="00F427E1">
            <w:pPr>
              <w:pStyle w:val="Tabletext0"/>
              <w:keepNext/>
            </w:pPr>
            <w:r w:rsidRPr="00F67030">
              <w:t>Parametric function</w:t>
            </w:r>
          </w:p>
        </w:tc>
        <w:tc>
          <w:tcPr>
            <w:tcW w:w="685" w:type="pct"/>
            <w:vMerge w:val="restart"/>
            <w:shd w:val="clear" w:color="auto" w:fill="auto"/>
            <w:vAlign w:val="center"/>
          </w:tcPr>
          <w:p w:rsidR="00517B60" w:rsidRPr="00F67030" w:rsidRDefault="00517B60" w:rsidP="00F427E1">
            <w:pPr>
              <w:pStyle w:val="Tabletext0"/>
              <w:keepNext/>
              <w:jc w:val="center"/>
            </w:pPr>
            <w:r w:rsidRPr="00F67030">
              <w:t>Log-logistic PFS and OS</w:t>
            </w:r>
          </w:p>
        </w:tc>
        <w:tc>
          <w:tcPr>
            <w:tcW w:w="459" w:type="pct"/>
            <w:shd w:val="clear" w:color="auto" w:fill="auto"/>
            <w:vAlign w:val="center"/>
          </w:tcPr>
          <w:p w:rsidR="00517B60" w:rsidRPr="00F67030" w:rsidRDefault="00517B60" w:rsidP="00F427E1">
            <w:pPr>
              <w:pStyle w:val="Tabletext0"/>
              <w:keepNext/>
              <w:jc w:val="center"/>
            </w:pPr>
            <w:r w:rsidRPr="00F67030">
              <w:t>SA.5</w:t>
            </w:r>
          </w:p>
        </w:tc>
        <w:tc>
          <w:tcPr>
            <w:tcW w:w="1991" w:type="pct"/>
            <w:shd w:val="clear" w:color="auto" w:fill="auto"/>
            <w:vAlign w:val="center"/>
          </w:tcPr>
          <w:p w:rsidR="00517B60" w:rsidRPr="00F67030" w:rsidRDefault="00517B60" w:rsidP="00F427E1">
            <w:pPr>
              <w:pStyle w:val="Tabletext0"/>
              <w:keepNext/>
              <w:jc w:val="center"/>
            </w:pPr>
            <w:r w:rsidRPr="00F67030">
              <w:t xml:space="preserve">Exponential PFS and OS </w:t>
            </w:r>
          </w:p>
        </w:tc>
        <w:tc>
          <w:tcPr>
            <w:tcW w:w="519" w:type="pct"/>
            <w:shd w:val="clear" w:color="auto" w:fill="auto"/>
            <w:vAlign w:val="center"/>
          </w:tcPr>
          <w:p w:rsidR="00517B60"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517B60" w:rsidRPr="00A024C2" w:rsidRDefault="00A024C2" w:rsidP="00F427E1">
            <w:pPr>
              <w:pStyle w:val="Tabletext0"/>
              <w:keepNext/>
              <w:jc w:val="center"/>
              <w:rPr>
                <w:highlight w:val="black"/>
              </w:rPr>
            </w:pPr>
            <w:r>
              <w:rPr>
                <w:noProof/>
                <w:color w:val="000000"/>
                <w:highlight w:val="black"/>
              </w:rPr>
              <w:t>'''''''''''''''''''''</w:t>
            </w:r>
          </w:p>
        </w:tc>
      </w:tr>
      <w:tr w:rsidR="00517B60" w:rsidRPr="00F67030" w:rsidTr="00351E75">
        <w:tc>
          <w:tcPr>
            <w:tcW w:w="749" w:type="pct"/>
            <w:vMerge/>
            <w:shd w:val="clear" w:color="auto" w:fill="auto"/>
            <w:vAlign w:val="center"/>
          </w:tcPr>
          <w:p w:rsidR="00517B60" w:rsidRPr="00F67030" w:rsidRDefault="00517B60" w:rsidP="00F427E1">
            <w:pPr>
              <w:pStyle w:val="Tabletext0"/>
              <w:keepNext/>
            </w:pPr>
          </w:p>
        </w:tc>
        <w:tc>
          <w:tcPr>
            <w:tcW w:w="685" w:type="pct"/>
            <w:vMerge/>
            <w:shd w:val="clear" w:color="auto" w:fill="auto"/>
            <w:vAlign w:val="center"/>
          </w:tcPr>
          <w:p w:rsidR="00517B60" w:rsidRPr="00F67030" w:rsidRDefault="00517B60" w:rsidP="00F427E1">
            <w:pPr>
              <w:pStyle w:val="Tabletext0"/>
              <w:keepNext/>
              <w:jc w:val="center"/>
            </w:pPr>
          </w:p>
        </w:tc>
        <w:tc>
          <w:tcPr>
            <w:tcW w:w="459" w:type="pct"/>
            <w:shd w:val="clear" w:color="auto" w:fill="auto"/>
            <w:vAlign w:val="center"/>
          </w:tcPr>
          <w:p w:rsidR="00517B60" w:rsidRPr="00F67030" w:rsidRDefault="00517B60" w:rsidP="00F427E1">
            <w:pPr>
              <w:pStyle w:val="Tabletext0"/>
              <w:keepNext/>
              <w:jc w:val="center"/>
            </w:pPr>
          </w:p>
        </w:tc>
        <w:tc>
          <w:tcPr>
            <w:tcW w:w="1991" w:type="pct"/>
            <w:shd w:val="clear" w:color="auto" w:fill="auto"/>
            <w:vAlign w:val="center"/>
          </w:tcPr>
          <w:p w:rsidR="00517B60" w:rsidRPr="00F67030" w:rsidRDefault="00517B60" w:rsidP="00F427E1">
            <w:pPr>
              <w:pStyle w:val="Tabletext0"/>
              <w:keepNext/>
              <w:jc w:val="center"/>
            </w:pPr>
            <w:r w:rsidRPr="00F67030">
              <w:t>Weibull PFS and OS</w:t>
            </w:r>
          </w:p>
        </w:tc>
        <w:tc>
          <w:tcPr>
            <w:tcW w:w="519" w:type="pct"/>
            <w:shd w:val="clear" w:color="auto" w:fill="auto"/>
            <w:vAlign w:val="center"/>
          </w:tcPr>
          <w:p w:rsidR="00517B60" w:rsidRPr="00A024C2" w:rsidRDefault="00A024C2" w:rsidP="00F427E1">
            <w:pPr>
              <w:pStyle w:val="Tabletext0"/>
              <w:keepNext/>
              <w:jc w:val="center"/>
              <w:rPr>
                <w:highlight w:val="black"/>
              </w:rPr>
            </w:pPr>
            <w:r>
              <w:rPr>
                <w:rFonts w:cs="Calibri"/>
                <w:iCs/>
                <w:noProof/>
                <w:color w:val="000000"/>
                <w:highlight w:val="black"/>
              </w:rPr>
              <w:t>'''''''''''''''''''''</w:t>
            </w:r>
          </w:p>
        </w:tc>
        <w:tc>
          <w:tcPr>
            <w:tcW w:w="598" w:type="pct"/>
            <w:shd w:val="clear" w:color="auto" w:fill="auto"/>
            <w:vAlign w:val="center"/>
          </w:tcPr>
          <w:p w:rsidR="00517B60" w:rsidRPr="00A024C2" w:rsidRDefault="00A024C2" w:rsidP="00F427E1">
            <w:pPr>
              <w:pStyle w:val="Tabletext0"/>
              <w:keepNext/>
              <w:jc w:val="center"/>
              <w:rPr>
                <w:highlight w:val="black"/>
              </w:rPr>
            </w:pPr>
            <w:r>
              <w:rPr>
                <w:rFonts w:cs="Calibri"/>
                <w:iCs/>
                <w:noProof/>
                <w:color w:val="000000"/>
                <w:highlight w:val="black"/>
              </w:rPr>
              <w:t>'''''''''''''''''''''</w:t>
            </w:r>
          </w:p>
        </w:tc>
      </w:tr>
      <w:tr w:rsidR="00517B60" w:rsidRPr="00F67030" w:rsidTr="00351E75">
        <w:trPr>
          <w:trHeight w:val="58"/>
        </w:trPr>
        <w:tc>
          <w:tcPr>
            <w:tcW w:w="749" w:type="pct"/>
            <w:vMerge/>
            <w:shd w:val="clear" w:color="auto" w:fill="auto"/>
            <w:vAlign w:val="center"/>
          </w:tcPr>
          <w:p w:rsidR="00517B60" w:rsidRPr="00F67030" w:rsidRDefault="00517B60" w:rsidP="00F427E1">
            <w:pPr>
              <w:pStyle w:val="Tabletext0"/>
              <w:keepNext/>
            </w:pPr>
          </w:p>
        </w:tc>
        <w:tc>
          <w:tcPr>
            <w:tcW w:w="685" w:type="pct"/>
            <w:vMerge/>
            <w:shd w:val="clear" w:color="auto" w:fill="auto"/>
            <w:vAlign w:val="center"/>
          </w:tcPr>
          <w:p w:rsidR="00517B60" w:rsidRPr="00F67030" w:rsidRDefault="00517B60" w:rsidP="00F427E1">
            <w:pPr>
              <w:pStyle w:val="Tabletext0"/>
              <w:keepNext/>
              <w:jc w:val="center"/>
            </w:pPr>
          </w:p>
        </w:tc>
        <w:tc>
          <w:tcPr>
            <w:tcW w:w="459" w:type="pct"/>
            <w:shd w:val="clear" w:color="auto" w:fill="auto"/>
            <w:vAlign w:val="center"/>
          </w:tcPr>
          <w:p w:rsidR="00517B60" w:rsidRPr="00F67030" w:rsidRDefault="00517B60" w:rsidP="00F427E1">
            <w:pPr>
              <w:pStyle w:val="Tabletext0"/>
              <w:keepNext/>
              <w:jc w:val="center"/>
            </w:pPr>
          </w:p>
        </w:tc>
        <w:tc>
          <w:tcPr>
            <w:tcW w:w="1991" w:type="pct"/>
            <w:shd w:val="clear" w:color="auto" w:fill="auto"/>
            <w:vAlign w:val="center"/>
          </w:tcPr>
          <w:p w:rsidR="00517B60" w:rsidRPr="00F67030" w:rsidRDefault="00517B60" w:rsidP="00F427E1">
            <w:pPr>
              <w:pStyle w:val="Tabletext0"/>
              <w:keepNext/>
              <w:jc w:val="center"/>
            </w:pPr>
            <w:r w:rsidRPr="00F67030">
              <w:t>Exponential OS</w:t>
            </w:r>
          </w:p>
        </w:tc>
        <w:tc>
          <w:tcPr>
            <w:tcW w:w="519" w:type="pct"/>
            <w:shd w:val="clear" w:color="auto" w:fill="auto"/>
            <w:vAlign w:val="center"/>
          </w:tcPr>
          <w:p w:rsidR="00517B60" w:rsidRPr="00A024C2" w:rsidRDefault="00A024C2" w:rsidP="00F427E1">
            <w:pPr>
              <w:pStyle w:val="Tabletext0"/>
              <w:keepNext/>
              <w:jc w:val="center"/>
              <w:rPr>
                <w:highlight w:val="black"/>
              </w:rPr>
            </w:pPr>
            <w:r>
              <w:rPr>
                <w:rFonts w:cs="Calibri"/>
                <w:iCs/>
                <w:noProof/>
                <w:color w:val="000000"/>
                <w:highlight w:val="black"/>
              </w:rPr>
              <w:t>'''''''''''''''''''''''</w:t>
            </w:r>
          </w:p>
        </w:tc>
        <w:tc>
          <w:tcPr>
            <w:tcW w:w="598" w:type="pct"/>
            <w:shd w:val="clear" w:color="auto" w:fill="auto"/>
            <w:vAlign w:val="center"/>
          </w:tcPr>
          <w:p w:rsidR="00517B60" w:rsidRPr="00A024C2" w:rsidRDefault="00A024C2" w:rsidP="00F427E1">
            <w:pPr>
              <w:pStyle w:val="Tabletext0"/>
              <w:keepNext/>
              <w:jc w:val="center"/>
              <w:rPr>
                <w:highlight w:val="black"/>
              </w:rPr>
            </w:pPr>
            <w:r>
              <w:rPr>
                <w:rFonts w:cs="Calibri"/>
                <w:iCs/>
                <w:noProof/>
                <w:color w:val="000000"/>
                <w:highlight w:val="black"/>
              </w:rPr>
              <w:t>'''''''''''''''''''''''</w:t>
            </w:r>
          </w:p>
        </w:tc>
      </w:tr>
      <w:tr w:rsidR="00517B60" w:rsidRPr="00F67030" w:rsidTr="00351E75">
        <w:trPr>
          <w:trHeight w:val="58"/>
        </w:trPr>
        <w:tc>
          <w:tcPr>
            <w:tcW w:w="749" w:type="pct"/>
            <w:vMerge/>
            <w:shd w:val="clear" w:color="auto" w:fill="auto"/>
            <w:vAlign w:val="center"/>
          </w:tcPr>
          <w:p w:rsidR="00517B60" w:rsidRPr="00F67030" w:rsidRDefault="00517B60" w:rsidP="00F427E1">
            <w:pPr>
              <w:pStyle w:val="Tabletext0"/>
              <w:keepNext/>
            </w:pPr>
          </w:p>
        </w:tc>
        <w:tc>
          <w:tcPr>
            <w:tcW w:w="685" w:type="pct"/>
            <w:vMerge/>
            <w:shd w:val="clear" w:color="auto" w:fill="auto"/>
            <w:vAlign w:val="center"/>
          </w:tcPr>
          <w:p w:rsidR="00517B60" w:rsidRPr="00F67030" w:rsidRDefault="00517B60" w:rsidP="00F427E1">
            <w:pPr>
              <w:pStyle w:val="Tabletext0"/>
              <w:keepNext/>
              <w:jc w:val="center"/>
            </w:pPr>
          </w:p>
        </w:tc>
        <w:tc>
          <w:tcPr>
            <w:tcW w:w="459" w:type="pct"/>
            <w:shd w:val="clear" w:color="auto" w:fill="auto"/>
            <w:vAlign w:val="center"/>
          </w:tcPr>
          <w:p w:rsidR="00517B60" w:rsidRPr="00F67030" w:rsidRDefault="00517B60" w:rsidP="00F427E1">
            <w:pPr>
              <w:pStyle w:val="Tabletext0"/>
              <w:keepNext/>
              <w:jc w:val="center"/>
            </w:pPr>
          </w:p>
        </w:tc>
        <w:tc>
          <w:tcPr>
            <w:tcW w:w="1991" w:type="pct"/>
            <w:shd w:val="clear" w:color="auto" w:fill="auto"/>
            <w:vAlign w:val="center"/>
          </w:tcPr>
          <w:p w:rsidR="00517B60" w:rsidRPr="00F67030" w:rsidRDefault="00517B60" w:rsidP="00F427E1">
            <w:pPr>
              <w:pStyle w:val="Tabletext0"/>
              <w:keepNext/>
              <w:jc w:val="center"/>
            </w:pPr>
            <w:r w:rsidRPr="00F67030">
              <w:t>Weibull OS</w:t>
            </w:r>
          </w:p>
        </w:tc>
        <w:tc>
          <w:tcPr>
            <w:tcW w:w="519" w:type="pct"/>
            <w:shd w:val="clear" w:color="auto" w:fill="auto"/>
            <w:vAlign w:val="center"/>
          </w:tcPr>
          <w:p w:rsidR="00517B60"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c>
          <w:tcPr>
            <w:tcW w:w="598" w:type="pct"/>
            <w:shd w:val="clear" w:color="auto" w:fill="auto"/>
            <w:vAlign w:val="center"/>
          </w:tcPr>
          <w:p w:rsidR="00517B60"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r>
      <w:tr w:rsidR="00517B60" w:rsidRPr="00F67030" w:rsidTr="00351E75">
        <w:trPr>
          <w:trHeight w:val="58"/>
        </w:trPr>
        <w:tc>
          <w:tcPr>
            <w:tcW w:w="749" w:type="pct"/>
            <w:vMerge/>
            <w:shd w:val="clear" w:color="auto" w:fill="auto"/>
            <w:vAlign w:val="center"/>
          </w:tcPr>
          <w:p w:rsidR="00517B60" w:rsidRPr="00F67030" w:rsidRDefault="00517B60" w:rsidP="00F427E1">
            <w:pPr>
              <w:pStyle w:val="Tabletext0"/>
              <w:keepNext/>
            </w:pPr>
          </w:p>
        </w:tc>
        <w:tc>
          <w:tcPr>
            <w:tcW w:w="685" w:type="pct"/>
            <w:vMerge/>
            <w:shd w:val="clear" w:color="auto" w:fill="auto"/>
            <w:vAlign w:val="center"/>
          </w:tcPr>
          <w:p w:rsidR="00517B60" w:rsidRPr="00F67030" w:rsidRDefault="00517B60" w:rsidP="00F427E1">
            <w:pPr>
              <w:pStyle w:val="Tabletext0"/>
              <w:keepNext/>
              <w:jc w:val="center"/>
            </w:pPr>
          </w:p>
        </w:tc>
        <w:tc>
          <w:tcPr>
            <w:tcW w:w="459" w:type="pct"/>
            <w:shd w:val="clear" w:color="auto" w:fill="auto"/>
            <w:vAlign w:val="center"/>
          </w:tcPr>
          <w:p w:rsidR="00517B60" w:rsidRPr="00F67030" w:rsidRDefault="00517B60" w:rsidP="00F427E1">
            <w:pPr>
              <w:pStyle w:val="Tabletext0"/>
              <w:keepNext/>
              <w:jc w:val="center"/>
            </w:pPr>
          </w:p>
        </w:tc>
        <w:tc>
          <w:tcPr>
            <w:tcW w:w="1991" w:type="pct"/>
            <w:shd w:val="clear" w:color="auto" w:fill="auto"/>
            <w:vAlign w:val="center"/>
          </w:tcPr>
          <w:p w:rsidR="00517B60" w:rsidRPr="00F67030" w:rsidRDefault="00517B60" w:rsidP="00F427E1">
            <w:pPr>
              <w:pStyle w:val="Tabletext0"/>
              <w:keepNext/>
              <w:jc w:val="center"/>
            </w:pPr>
            <w:r w:rsidRPr="00F67030">
              <w:t>Exponential PFS</w:t>
            </w:r>
          </w:p>
        </w:tc>
        <w:tc>
          <w:tcPr>
            <w:tcW w:w="519" w:type="pct"/>
            <w:shd w:val="clear" w:color="auto" w:fill="auto"/>
            <w:vAlign w:val="center"/>
          </w:tcPr>
          <w:p w:rsidR="00517B60"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c>
          <w:tcPr>
            <w:tcW w:w="598" w:type="pct"/>
            <w:shd w:val="clear" w:color="auto" w:fill="auto"/>
            <w:vAlign w:val="center"/>
          </w:tcPr>
          <w:p w:rsidR="00517B60"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r>
      <w:tr w:rsidR="00517B60" w:rsidRPr="00F67030" w:rsidTr="00351E75">
        <w:trPr>
          <w:trHeight w:val="58"/>
        </w:trPr>
        <w:tc>
          <w:tcPr>
            <w:tcW w:w="749" w:type="pct"/>
            <w:vMerge/>
            <w:shd w:val="clear" w:color="auto" w:fill="auto"/>
            <w:vAlign w:val="center"/>
          </w:tcPr>
          <w:p w:rsidR="00517B60" w:rsidRPr="00F67030" w:rsidRDefault="00517B60" w:rsidP="00F427E1">
            <w:pPr>
              <w:pStyle w:val="Tabletext0"/>
              <w:keepNext/>
            </w:pPr>
          </w:p>
        </w:tc>
        <w:tc>
          <w:tcPr>
            <w:tcW w:w="685" w:type="pct"/>
            <w:vMerge/>
            <w:shd w:val="clear" w:color="auto" w:fill="auto"/>
            <w:vAlign w:val="center"/>
          </w:tcPr>
          <w:p w:rsidR="00517B60" w:rsidRPr="00F67030" w:rsidRDefault="00517B60" w:rsidP="00F427E1">
            <w:pPr>
              <w:pStyle w:val="Tabletext0"/>
              <w:keepNext/>
              <w:jc w:val="center"/>
            </w:pPr>
          </w:p>
        </w:tc>
        <w:tc>
          <w:tcPr>
            <w:tcW w:w="459" w:type="pct"/>
            <w:shd w:val="clear" w:color="auto" w:fill="auto"/>
            <w:vAlign w:val="center"/>
          </w:tcPr>
          <w:p w:rsidR="00517B60" w:rsidRPr="00F67030" w:rsidRDefault="00517B60" w:rsidP="00F427E1">
            <w:pPr>
              <w:pStyle w:val="Tabletext0"/>
              <w:keepNext/>
              <w:jc w:val="center"/>
            </w:pPr>
          </w:p>
        </w:tc>
        <w:tc>
          <w:tcPr>
            <w:tcW w:w="1991" w:type="pct"/>
            <w:shd w:val="clear" w:color="auto" w:fill="auto"/>
            <w:vAlign w:val="center"/>
          </w:tcPr>
          <w:p w:rsidR="00517B60" w:rsidRPr="00F67030" w:rsidRDefault="00517B60" w:rsidP="00F427E1">
            <w:pPr>
              <w:pStyle w:val="Tabletext0"/>
              <w:keepNext/>
              <w:jc w:val="center"/>
            </w:pPr>
            <w:r w:rsidRPr="00F67030">
              <w:t>Weibull PFS</w:t>
            </w:r>
          </w:p>
        </w:tc>
        <w:tc>
          <w:tcPr>
            <w:tcW w:w="519" w:type="pct"/>
            <w:shd w:val="clear" w:color="auto" w:fill="auto"/>
            <w:vAlign w:val="center"/>
          </w:tcPr>
          <w:p w:rsidR="00517B60"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c>
          <w:tcPr>
            <w:tcW w:w="598" w:type="pct"/>
            <w:shd w:val="clear" w:color="auto" w:fill="auto"/>
            <w:vAlign w:val="center"/>
          </w:tcPr>
          <w:p w:rsidR="00517B60"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r>
      <w:tr w:rsidR="009E1802" w:rsidRPr="00F67030" w:rsidTr="00351E75">
        <w:tc>
          <w:tcPr>
            <w:tcW w:w="749" w:type="pct"/>
            <w:vMerge w:val="restart"/>
            <w:shd w:val="clear" w:color="auto" w:fill="auto"/>
            <w:vAlign w:val="center"/>
          </w:tcPr>
          <w:p w:rsidR="009E1802" w:rsidRPr="00F67030" w:rsidRDefault="009E1802" w:rsidP="00F427E1">
            <w:pPr>
              <w:pStyle w:val="Tabletext0"/>
              <w:keepNext/>
            </w:pPr>
            <w:r w:rsidRPr="00F67030">
              <w:t>Kaplan-Meier estimates</w:t>
            </w:r>
          </w:p>
        </w:tc>
        <w:tc>
          <w:tcPr>
            <w:tcW w:w="685" w:type="pct"/>
            <w:vMerge w:val="restart"/>
            <w:shd w:val="clear" w:color="auto" w:fill="auto"/>
            <w:vAlign w:val="center"/>
          </w:tcPr>
          <w:p w:rsidR="009E1802" w:rsidRPr="00F67030" w:rsidRDefault="009E1802" w:rsidP="00F427E1">
            <w:pPr>
              <w:pStyle w:val="Tabletext0"/>
              <w:keepNext/>
              <w:jc w:val="center"/>
            </w:pPr>
            <w:r w:rsidRPr="00F67030">
              <w:t>Median time to follow-up</w:t>
            </w:r>
          </w:p>
        </w:tc>
        <w:tc>
          <w:tcPr>
            <w:tcW w:w="459" w:type="pct"/>
            <w:shd w:val="clear" w:color="auto" w:fill="auto"/>
            <w:vAlign w:val="center"/>
          </w:tcPr>
          <w:p w:rsidR="009E1802" w:rsidRPr="00F67030" w:rsidRDefault="009E1802" w:rsidP="00F427E1">
            <w:pPr>
              <w:pStyle w:val="Tabletext0"/>
              <w:keepNext/>
              <w:jc w:val="center"/>
            </w:pPr>
            <w:r w:rsidRPr="00F67030">
              <w:t>SA.6</w:t>
            </w:r>
          </w:p>
        </w:tc>
        <w:tc>
          <w:tcPr>
            <w:tcW w:w="1991" w:type="pct"/>
            <w:shd w:val="clear" w:color="auto" w:fill="auto"/>
            <w:vAlign w:val="center"/>
          </w:tcPr>
          <w:p w:rsidR="009E1802" w:rsidRPr="00F67030" w:rsidRDefault="009E1802" w:rsidP="00F427E1">
            <w:pPr>
              <w:pStyle w:val="Tabletext0"/>
              <w:keepNext/>
              <w:jc w:val="center"/>
            </w:pPr>
            <w:r w:rsidRPr="00F67030">
              <w:t>Full extrapolation</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r w:rsidRPr="00F67030">
              <w:t>SA.7</w:t>
            </w:r>
          </w:p>
        </w:tc>
        <w:tc>
          <w:tcPr>
            <w:tcW w:w="1991" w:type="pct"/>
            <w:shd w:val="clear" w:color="auto" w:fill="auto"/>
            <w:vAlign w:val="center"/>
          </w:tcPr>
          <w:p w:rsidR="009E1802" w:rsidRPr="00F67030" w:rsidRDefault="009E1802" w:rsidP="00F427E1">
            <w:pPr>
              <w:pStyle w:val="Tabletext0"/>
              <w:keepNext/>
              <w:jc w:val="center"/>
            </w:pPr>
            <w:r w:rsidRPr="00F67030">
              <w:t>No extrapolation</w:t>
            </w:r>
            <w:r w:rsidR="00A67A39" w:rsidRPr="00F67030">
              <w:t xml:space="preserve"> (within trial analysis)</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p>
        </w:tc>
        <w:tc>
          <w:tcPr>
            <w:tcW w:w="1991" w:type="pct"/>
            <w:shd w:val="clear" w:color="auto" w:fill="auto"/>
            <w:vAlign w:val="center"/>
          </w:tcPr>
          <w:p w:rsidR="009E1802" w:rsidRPr="00F67030" w:rsidRDefault="009E1802" w:rsidP="00F427E1">
            <w:pPr>
              <w:pStyle w:val="Tabletext0"/>
              <w:keepNext/>
              <w:jc w:val="center"/>
            </w:pPr>
            <w:r w:rsidRPr="00F67030">
              <w:t>End Kaplan-Meier data</w:t>
            </w:r>
          </w:p>
        </w:tc>
        <w:tc>
          <w:tcPr>
            <w:tcW w:w="519" w:type="pct"/>
            <w:shd w:val="clear" w:color="auto" w:fill="auto"/>
            <w:vAlign w:val="center"/>
          </w:tcPr>
          <w:p w:rsidR="009E1802" w:rsidRPr="00A024C2" w:rsidRDefault="00A024C2" w:rsidP="00F427E1">
            <w:pPr>
              <w:pStyle w:val="Tabletext0"/>
              <w:keepNext/>
              <w:jc w:val="center"/>
              <w:rPr>
                <w:highlight w:val="black"/>
              </w:rPr>
            </w:pPr>
            <w:r>
              <w:rPr>
                <w:rFonts w:cs="Calibri"/>
                <w:iCs/>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rFonts w:cs="Calibri"/>
                <w:iCs/>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p>
        </w:tc>
        <w:tc>
          <w:tcPr>
            <w:tcW w:w="1991" w:type="pct"/>
            <w:shd w:val="clear" w:color="auto" w:fill="auto"/>
            <w:vAlign w:val="center"/>
          </w:tcPr>
          <w:p w:rsidR="009E1802" w:rsidRPr="00F67030" w:rsidRDefault="009E1802" w:rsidP="00F427E1">
            <w:pPr>
              <w:pStyle w:val="Tabletext0"/>
              <w:keepNext/>
              <w:jc w:val="center"/>
            </w:pPr>
            <w:r w:rsidRPr="00F67030">
              <w:t>Minimum follow-up OS</w:t>
            </w:r>
          </w:p>
        </w:tc>
        <w:tc>
          <w:tcPr>
            <w:tcW w:w="519" w:type="pct"/>
            <w:shd w:val="clear" w:color="auto" w:fill="auto"/>
            <w:vAlign w:val="center"/>
          </w:tcPr>
          <w:p w:rsidR="009E1802" w:rsidRPr="00A024C2" w:rsidRDefault="00A024C2" w:rsidP="00F427E1">
            <w:pPr>
              <w:pStyle w:val="Tabletext0"/>
              <w:keepNext/>
              <w:jc w:val="center"/>
              <w:rPr>
                <w:highlight w:val="black"/>
              </w:rPr>
            </w:pPr>
            <w:r>
              <w:rPr>
                <w:rFonts w:cs="Calibri"/>
                <w:iCs/>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rFonts w:cs="Calibri"/>
                <w:iCs/>
                <w:noProof/>
                <w:color w:val="000000"/>
                <w:highlight w:val="black"/>
              </w:rPr>
              <w:t>'''''''''''''''''''</w:t>
            </w:r>
          </w:p>
        </w:tc>
      </w:tr>
      <w:tr w:rsidR="00313E09" w:rsidRPr="00F67030" w:rsidTr="00351E75">
        <w:tc>
          <w:tcPr>
            <w:tcW w:w="749" w:type="pct"/>
            <w:vMerge w:val="restart"/>
            <w:shd w:val="clear" w:color="auto" w:fill="auto"/>
            <w:vAlign w:val="center"/>
          </w:tcPr>
          <w:p w:rsidR="00313E09" w:rsidRPr="00F67030" w:rsidRDefault="00313E09" w:rsidP="00F427E1">
            <w:pPr>
              <w:pStyle w:val="Tabletext0"/>
              <w:keepNext/>
            </w:pPr>
            <w:r w:rsidRPr="00F67030">
              <w:t>Utilities</w:t>
            </w:r>
          </w:p>
        </w:tc>
        <w:tc>
          <w:tcPr>
            <w:tcW w:w="685" w:type="pct"/>
            <w:vMerge w:val="restart"/>
            <w:shd w:val="clear" w:color="auto" w:fill="auto"/>
            <w:vAlign w:val="center"/>
          </w:tcPr>
          <w:p w:rsidR="00313E09" w:rsidRPr="00F67030" w:rsidRDefault="00313E09" w:rsidP="00F427E1">
            <w:pPr>
              <w:pStyle w:val="Tabletext0"/>
              <w:keepNext/>
              <w:jc w:val="center"/>
            </w:pPr>
            <w:r w:rsidRPr="00F67030">
              <w:t>CA209141 per arm</w:t>
            </w:r>
          </w:p>
        </w:tc>
        <w:tc>
          <w:tcPr>
            <w:tcW w:w="459" w:type="pct"/>
            <w:shd w:val="clear" w:color="auto" w:fill="auto"/>
            <w:vAlign w:val="center"/>
          </w:tcPr>
          <w:p w:rsidR="00313E09" w:rsidRPr="00F67030" w:rsidRDefault="00313E09" w:rsidP="00F427E1">
            <w:pPr>
              <w:pStyle w:val="Tabletext0"/>
              <w:keepNext/>
              <w:jc w:val="center"/>
            </w:pPr>
            <w:r w:rsidRPr="00F67030">
              <w:t>SA.8</w:t>
            </w:r>
          </w:p>
        </w:tc>
        <w:tc>
          <w:tcPr>
            <w:tcW w:w="1991" w:type="pct"/>
            <w:shd w:val="clear" w:color="auto" w:fill="auto"/>
            <w:vAlign w:val="center"/>
          </w:tcPr>
          <w:p w:rsidR="00313E09" w:rsidRPr="00F67030" w:rsidRDefault="00313E09" w:rsidP="00F427E1">
            <w:pPr>
              <w:pStyle w:val="Tabletext0"/>
              <w:keepNext/>
              <w:jc w:val="center"/>
            </w:pPr>
            <w:r w:rsidRPr="00F67030">
              <w:t>Overall results – average used for both arms</w:t>
            </w:r>
          </w:p>
        </w:tc>
        <w:tc>
          <w:tcPr>
            <w:tcW w:w="519" w:type="pct"/>
            <w:shd w:val="clear" w:color="auto" w:fill="auto"/>
            <w:vAlign w:val="center"/>
          </w:tcPr>
          <w:p w:rsidR="00313E09"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313E09" w:rsidRPr="00A024C2" w:rsidRDefault="00A024C2" w:rsidP="00F427E1">
            <w:pPr>
              <w:pStyle w:val="Tabletext0"/>
              <w:keepNext/>
              <w:jc w:val="center"/>
              <w:rPr>
                <w:highlight w:val="black"/>
              </w:rPr>
            </w:pPr>
            <w:r>
              <w:rPr>
                <w:noProof/>
                <w:color w:val="000000"/>
                <w:highlight w:val="black"/>
              </w:rPr>
              <w:t>''''''''''''''''''</w:t>
            </w:r>
          </w:p>
        </w:tc>
      </w:tr>
      <w:tr w:rsidR="00313E09" w:rsidRPr="00F67030" w:rsidTr="00351E75">
        <w:tc>
          <w:tcPr>
            <w:tcW w:w="749" w:type="pct"/>
            <w:vMerge/>
            <w:shd w:val="clear" w:color="auto" w:fill="auto"/>
            <w:vAlign w:val="center"/>
          </w:tcPr>
          <w:p w:rsidR="00313E09" w:rsidRPr="00F67030" w:rsidRDefault="00313E09" w:rsidP="00F427E1">
            <w:pPr>
              <w:pStyle w:val="Tabletext0"/>
              <w:keepNext/>
            </w:pPr>
          </w:p>
        </w:tc>
        <w:tc>
          <w:tcPr>
            <w:tcW w:w="685" w:type="pct"/>
            <w:vMerge/>
            <w:shd w:val="clear" w:color="auto" w:fill="auto"/>
            <w:vAlign w:val="center"/>
          </w:tcPr>
          <w:p w:rsidR="00313E09" w:rsidRPr="00F67030" w:rsidRDefault="00313E09" w:rsidP="00F427E1">
            <w:pPr>
              <w:pStyle w:val="Tabletext0"/>
              <w:keepNext/>
              <w:jc w:val="center"/>
            </w:pPr>
          </w:p>
        </w:tc>
        <w:tc>
          <w:tcPr>
            <w:tcW w:w="459" w:type="pct"/>
            <w:shd w:val="clear" w:color="auto" w:fill="auto"/>
            <w:vAlign w:val="center"/>
          </w:tcPr>
          <w:p w:rsidR="00313E09" w:rsidRPr="00F67030" w:rsidRDefault="00313E09" w:rsidP="00F427E1">
            <w:pPr>
              <w:pStyle w:val="Tabletext0"/>
              <w:keepNext/>
              <w:jc w:val="center"/>
            </w:pPr>
          </w:p>
        </w:tc>
        <w:tc>
          <w:tcPr>
            <w:tcW w:w="1991" w:type="pct"/>
            <w:shd w:val="clear" w:color="auto" w:fill="auto"/>
            <w:vAlign w:val="center"/>
          </w:tcPr>
          <w:p w:rsidR="00313E09" w:rsidRPr="00F67030" w:rsidRDefault="00313E09" w:rsidP="00F427E1">
            <w:pPr>
              <w:pStyle w:val="Tabletext0"/>
              <w:keepNext/>
              <w:jc w:val="center"/>
            </w:pPr>
            <w:r w:rsidRPr="00F67030">
              <w:t xml:space="preserve">Same utilities </w:t>
            </w:r>
            <w:r w:rsidR="00814AA4" w:rsidRPr="00F67030">
              <w:t>for ‘</w:t>
            </w:r>
            <w:r w:rsidRPr="00F67030">
              <w:t xml:space="preserve">Following </w:t>
            </w:r>
            <w:r w:rsidR="00814AA4" w:rsidRPr="00F67030">
              <w:t>P</w:t>
            </w:r>
            <w:r w:rsidRPr="00F67030">
              <w:t>rogression</w:t>
            </w:r>
            <w:r w:rsidR="00814AA4" w:rsidRPr="00F67030">
              <w:t>’</w:t>
            </w:r>
            <w:r w:rsidRPr="00F67030">
              <w:t xml:space="preserve"> applied in each arm (e.g. 0.696)</w:t>
            </w:r>
          </w:p>
        </w:tc>
        <w:tc>
          <w:tcPr>
            <w:tcW w:w="519" w:type="pct"/>
            <w:shd w:val="clear" w:color="auto" w:fill="auto"/>
            <w:vAlign w:val="center"/>
          </w:tcPr>
          <w:p w:rsidR="00313E09"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313E09" w:rsidRPr="00A024C2" w:rsidRDefault="00A024C2" w:rsidP="00F427E1">
            <w:pPr>
              <w:pStyle w:val="Tabletext0"/>
              <w:keepNext/>
              <w:jc w:val="center"/>
              <w:rPr>
                <w:highlight w:val="black"/>
              </w:rPr>
            </w:pPr>
            <w:r>
              <w:rPr>
                <w:noProof/>
                <w:color w:val="000000"/>
                <w:highlight w:val="black"/>
              </w:rPr>
              <w:t>'''''''''''''''''''</w:t>
            </w:r>
          </w:p>
        </w:tc>
      </w:tr>
      <w:tr w:rsidR="00313E09" w:rsidRPr="00F67030" w:rsidTr="00351E75">
        <w:tc>
          <w:tcPr>
            <w:tcW w:w="749" w:type="pct"/>
            <w:vMerge/>
            <w:shd w:val="clear" w:color="auto" w:fill="auto"/>
            <w:vAlign w:val="center"/>
          </w:tcPr>
          <w:p w:rsidR="00313E09" w:rsidRPr="00F67030" w:rsidRDefault="00313E09" w:rsidP="00F427E1">
            <w:pPr>
              <w:pStyle w:val="Tabletext0"/>
              <w:keepNext/>
            </w:pPr>
          </w:p>
        </w:tc>
        <w:tc>
          <w:tcPr>
            <w:tcW w:w="685" w:type="pct"/>
            <w:vMerge/>
            <w:shd w:val="clear" w:color="auto" w:fill="auto"/>
            <w:vAlign w:val="center"/>
          </w:tcPr>
          <w:p w:rsidR="00313E09" w:rsidRPr="00F67030" w:rsidRDefault="00313E09" w:rsidP="00F427E1">
            <w:pPr>
              <w:pStyle w:val="Tabletext0"/>
              <w:keepNext/>
              <w:jc w:val="center"/>
            </w:pPr>
          </w:p>
        </w:tc>
        <w:tc>
          <w:tcPr>
            <w:tcW w:w="459" w:type="pct"/>
            <w:shd w:val="clear" w:color="auto" w:fill="auto"/>
            <w:vAlign w:val="center"/>
          </w:tcPr>
          <w:p w:rsidR="00313E09" w:rsidRPr="00F67030" w:rsidRDefault="00313E09" w:rsidP="00F427E1">
            <w:pPr>
              <w:pStyle w:val="Tabletext0"/>
              <w:keepNext/>
              <w:jc w:val="center"/>
            </w:pPr>
          </w:p>
        </w:tc>
        <w:tc>
          <w:tcPr>
            <w:tcW w:w="1991" w:type="pct"/>
            <w:shd w:val="clear" w:color="auto" w:fill="auto"/>
            <w:vAlign w:val="center"/>
          </w:tcPr>
          <w:p w:rsidR="00313E09" w:rsidRPr="00F67030" w:rsidRDefault="00313E09" w:rsidP="00F427E1">
            <w:pPr>
              <w:pStyle w:val="Tabletext0"/>
              <w:keepNext/>
              <w:jc w:val="center"/>
            </w:pPr>
            <w:r w:rsidRPr="00F67030">
              <w:t xml:space="preserve">Same utilities </w:t>
            </w:r>
            <w:r w:rsidR="00814AA4" w:rsidRPr="00F67030">
              <w:t>for ‘</w:t>
            </w:r>
            <w:r w:rsidRPr="00F67030">
              <w:t xml:space="preserve">Following </w:t>
            </w:r>
            <w:r w:rsidR="00814AA4" w:rsidRPr="00F67030">
              <w:t>P</w:t>
            </w:r>
            <w:r w:rsidRPr="00F67030">
              <w:t>rogression</w:t>
            </w:r>
            <w:r w:rsidR="00814AA4" w:rsidRPr="00F67030">
              <w:t>’</w:t>
            </w:r>
            <w:r w:rsidRPr="00F67030">
              <w:t xml:space="preserve"> applied in each arm (e.g. </w:t>
            </w:r>
            <w:r w:rsidR="00A024C2">
              <w:rPr>
                <w:noProof/>
                <w:color w:val="000000"/>
                <w:highlight w:val="black"/>
              </w:rPr>
              <w:t>''''''''''''''</w:t>
            </w:r>
            <w:r w:rsidRPr="00F67030">
              <w:t xml:space="preserve">) and – </w:t>
            </w:r>
            <w:r w:rsidR="00A024C2">
              <w:rPr>
                <w:noProof/>
                <w:color w:val="000000"/>
                <w:highlight w:val="black"/>
              </w:rPr>
              <w:t>'''''</w:t>
            </w:r>
            <w:r w:rsidRPr="00F67030">
              <w:t>%</w:t>
            </w:r>
          </w:p>
        </w:tc>
        <w:tc>
          <w:tcPr>
            <w:tcW w:w="519" w:type="pct"/>
            <w:shd w:val="clear" w:color="auto" w:fill="auto"/>
            <w:vAlign w:val="center"/>
          </w:tcPr>
          <w:p w:rsidR="00313E09"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313E09"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val="restart"/>
            <w:shd w:val="clear" w:color="auto" w:fill="auto"/>
            <w:vAlign w:val="center"/>
          </w:tcPr>
          <w:p w:rsidR="009E1802" w:rsidRPr="00F67030" w:rsidRDefault="009E1802" w:rsidP="00F427E1">
            <w:pPr>
              <w:pStyle w:val="Tabletext0"/>
              <w:keepNext/>
            </w:pPr>
            <w:r w:rsidRPr="00F67030">
              <w:t>Weight</w:t>
            </w:r>
          </w:p>
        </w:tc>
        <w:tc>
          <w:tcPr>
            <w:tcW w:w="685" w:type="pct"/>
            <w:vMerge w:val="restar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459" w:type="pct"/>
            <w:shd w:val="clear" w:color="auto" w:fill="auto"/>
            <w:vAlign w:val="center"/>
          </w:tcPr>
          <w:p w:rsidR="009E1802" w:rsidRPr="00F67030" w:rsidRDefault="009E1802" w:rsidP="00F427E1">
            <w:pPr>
              <w:pStyle w:val="Tabletext0"/>
              <w:keepNext/>
              <w:jc w:val="center"/>
            </w:pPr>
            <w:r w:rsidRPr="00F67030">
              <w:t>SA.9</w:t>
            </w:r>
          </w:p>
        </w:tc>
        <w:tc>
          <w:tcPr>
            <w:tcW w:w="1991"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r w:rsidRPr="00F67030">
              <w:t>SA.10</w:t>
            </w:r>
          </w:p>
        </w:tc>
        <w:tc>
          <w:tcPr>
            <w:tcW w:w="1991"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val="restart"/>
            <w:shd w:val="clear" w:color="auto" w:fill="auto"/>
            <w:vAlign w:val="center"/>
          </w:tcPr>
          <w:p w:rsidR="009E1802" w:rsidRPr="00F67030" w:rsidRDefault="009E1802" w:rsidP="00F427E1">
            <w:pPr>
              <w:pStyle w:val="Tabletext0"/>
              <w:keepNext/>
            </w:pPr>
            <w:r w:rsidRPr="00F67030">
              <w:t>Maximum DOT</w:t>
            </w:r>
          </w:p>
        </w:tc>
        <w:tc>
          <w:tcPr>
            <w:tcW w:w="685" w:type="pct"/>
            <w:vMerge w:val="restart"/>
            <w:shd w:val="clear" w:color="auto" w:fill="auto"/>
            <w:vAlign w:val="center"/>
          </w:tcPr>
          <w:p w:rsidR="009E1802" w:rsidRPr="00F67030" w:rsidRDefault="009E1802" w:rsidP="00F427E1">
            <w:pPr>
              <w:pStyle w:val="Tabletext0"/>
              <w:keepNext/>
              <w:jc w:val="center"/>
            </w:pPr>
            <w:r w:rsidRPr="00F67030">
              <w:t>Modelled DOT</w:t>
            </w:r>
          </w:p>
        </w:tc>
        <w:tc>
          <w:tcPr>
            <w:tcW w:w="459" w:type="pct"/>
            <w:shd w:val="clear" w:color="auto" w:fill="auto"/>
            <w:vAlign w:val="center"/>
          </w:tcPr>
          <w:p w:rsidR="009E1802" w:rsidRPr="00F67030" w:rsidRDefault="009E1802" w:rsidP="00F427E1">
            <w:pPr>
              <w:pStyle w:val="Tabletext0"/>
              <w:keepNext/>
              <w:jc w:val="center"/>
            </w:pPr>
            <w:r w:rsidRPr="00F67030">
              <w:t>SA.11</w:t>
            </w:r>
          </w:p>
        </w:tc>
        <w:tc>
          <w:tcPr>
            <w:tcW w:w="1991"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 ''''''''''''</w:t>
            </w:r>
          </w:p>
        </w:tc>
        <w:tc>
          <w:tcPr>
            <w:tcW w:w="519"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p>
        </w:tc>
        <w:tc>
          <w:tcPr>
            <w:tcW w:w="1991" w:type="pct"/>
            <w:shd w:val="clear" w:color="auto" w:fill="auto"/>
            <w:vAlign w:val="center"/>
          </w:tcPr>
          <w:p w:rsidR="009E1802" w:rsidRPr="00F67030" w:rsidRDefault="009E1802" w:rsidP="00F427E1">
            <w:pPr>
              <w:pStyle w:val="Tabletext0"/>
              <w:keepNext/>
              <w:jc w:val="center"/>
            </w:pPr>
            <w:r w:rsidRPr="00F67030">
              <w:t xml:space="preserve">Modelled nivolumab PFS DOT + </w:t>
            </w:r>
            <w:r w:rsidR="00A024C2">
              <w:rPr>
                <w:noProof/>
                <w:color w:val="000000"/>
                <w:highlight w:val="black"/>
              </w:rPr>
              <w:t>''''''''''</w:t>
            </w:r>
            <w:r w:rsidR="000303B5" w:rsidRPr="000303B5">
              <w:rPr>
                <w:vertAlign w:val="superscript"/>
              </w:rPr>
              <w:t>a</w:t>
            </w:r>
          </w:p>
        </w:tc>
        <w:tc>
          <w:tcPr>
            <w:tcW w:w="519" w:type="pct"/>
            <w:shd w:val="clear" w:color="auto" w:fill="auto"/>
            <w:vAlign w:val="center"/>
          </w:tcPr>
          <w:p w:rsidR="009E1802" w:rsidRPr="00A024C2" w:rsidRDefault="00A024C2" w:rsidP="00F427E1">
            <w:pPr>
              <w:pStyle w:val="Tabletext0"/>
              <w:keepNext/>
              <w:jc w:val="center"/>
              <w:rPr>
                <w:highlight w:val="black"/>
              </w:rPr>
            </w:pPr>
            <w:r>
              <w:rPr>
                <w:rFonts w:cs="Calibri"/>
                <w:iCs/>
                <w:noProof/>
                <w:color w:val="000000"/>
                <w:highlight w:val="black"/>
              </w:rPr>
              <w:t>'''''''''''''''''''''</w:t>
            </w:r>
          </w:p>
        </w:tc>
        <w:tc>
          <w:tcPr>
            <w:tcW w:w="598" w:type="pct"/>
            <w:shd w:val="clear" w:color="auto" w:fill="auto"/>
            <w:vAlign w:val="center"/>
          </w:tcPr>
          <w:p w:rsidR="009E1802" w:rsidRPr="00A024C2" w:rsidRDefault="00A024C2" w:rsidP="00F427E1">
            <w:pPr>
              <w:pStyle w:val="Tabletext0"/>
              <w:keepNext/>
              <w:jc w:val="center"/>
              <w:rPr>
                <w:highlight w:val="black"/>
              </w:rPr>
            </w:pPr>
            <w:r>
              <w:rPr>
                <w:rFonts w:cs="Calibri"/>
                <w:iCs/>
                <w:noProof/>
                <w:color w:val="000000"/>
                <w:highlight w:val="black"/>
              </w:rPr>
              <w:t>''''''''''''''''''</w:t>
            </w:r>
          </w:p>
        </w:tc>
      </w:tr>
      <w:tr w:rsidR="009E1802" w:rsidRPr="00F67030" w:rsidTr="00351E75">
        <w:tc>
          <w:tcPr>
            <w:tcW w:w="749" w:type="pct"/>
            <w:vMerge/>
            <w:shd w:val="clear" w:color="auto" w:fill="auto"/>
            <w:vAlign w:val="center"/>
          </w:tcPr>
          <w:p w:rsidR="009E1802" w:rsidRPr="00F67030" w:rsidRDefault="009E1802" w:rsidP="00F427E1">
            <w:pPr>
              <w:pStyle w:val="Tabletext0"/>
              <w:keepNext/>
            </w:pPr>
          </w:p>
        </w:tc>
        <w:tc>
          <w:tcPr>
            <w:tcW w:w="685" w:type="pct"/>
            <w:vMerge/>
            <w:shd w:val="clear" w:color="auto" w:fill="auto"/>
            <w:vAlign w:val="center"/>
          </w:tcPr>
          <w:p w:rsidR="009E1802" w:rsidRPr="00F67030" w:rsidRDefault="009E1802" w:rsidP="00F427E1">
            <w:pPr>
              <w:pStyle w:val="Tabletext0"/>
              <w:keepNext/>
              <w:jc w:val="center"/>
            </w:pPr>
          </w:p>
        </w:tc>
        <w:tc>
          <w:tcPr>
            <w:tcW w:w="459" w:type="pct"/>
            <w:shd w:val="clear" w:color="auto" w:fill="auto"/>
            <w:vAlign w:val="center"/>
          </w:tcPr>
          <w:p w:rsidR="009E1802" w:rsidRPr="00F67030" w:rsidRDefault="009E1802" w:rsidP="00F427E1">
            <w:pPr>
              <w:pStyle w:val="Tabletext0"/>
              <w:keepNext/>
              <w:jc w:val="center"/>
            </w:pPr>
          </w:p>
        </w:tc>
        <w:tc>
          <w:tcPr>
            <w:tcW w:w="1991" w:type="pct"/>
            <w:shd w:val="clear" w:color="auto" w:fill="auto"/>
            <w:vAlign w:val="center"/>
          </w:tcPr>
          <w:p w:rsidR="009E1802" w:rsidRPr="00F67030" w:rsidRDefault="009E1802" w:rsidP="00F427E1">
            <w:pPr>
              <w:pStyle w:val="Tabletext0"/>
              <w:keepNext/>
              <w:jc w:val="center"/>
            </w:pPr>
            <w:r w:rsidRPr="00F67030">
              <w:t>Modelled nivolumab OS used as proxy</w:t>
            </w:r>
          </w:p>
        </w:tc>
        <w:tc>
          <w:tcPr>
            <w:tcW w:w="519" w:type="pct"/>
            <w:shd w:val="clear" w:color="auto" w:fill="auto"/>
            <w:vAlign w:val="bottom"/>
          </w:tcPr>
          <w:p w:rsidR="009E1802"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c>
          <w:tcPr>
            <w:tcW w:w="598" w:type="pct"/>
            <w:shd w:val="clear" w:color="auto" w:fill="auto"/>
            <w:vAlign w:val="bottom"/>
          </w:tcPr>
          <w:p w:rsidR="009E1802" w:rsidRPr="00A024C2" w:rsidRDefault="00A024C2" w:rsidP="00F427E1">
            <w:pPr>
              <w:pStyle w:val="Tabletext0"/>
              <w:keepNext/>
              <w:jc w:val="center"/>
              <w:rPr>
                <w:rFonts w:cs="Calibri"/>
                <w:iCs/>
                <w:color w:val="000000"/>
                <w:highlight w:val="black"/>
              </w:rPr>
            </w:pPr>
            <w:r>
              <w:rPr>
                <w:rFonts w:cs="Calibri"/>
                <w:iCs/>
                <w:noProof/>
                <w:color w:val="000000"/>
                <w:highlight w:val="black"/>
              </w:rPr>
              <w:t>'''''''''''''''''''''''</w:t>
            </w:r>
          </w:p>
        </w:tc>
      </w:tr>
      <w:tr w:rsidR="00351E75" w:rsidRPr="00F67030" w:rsidTr="00351E75">
        <w:tc>
          <w:tcPr>
            <w:tcW w:w="749" w:type="pct"/>
            <w:shd w:val="clear" w:color="auto" w:fill="auto"/>
            <w:vAlign w:val="center"/>
          </w:tcPr>
          <w:p w:rsidR="00351E75" w:rsidRPr="00FE7666" w:rsidRDefault="00351E75" w:rsidP="00F427E1">
            <w:pPr>
              <w:pStyle w:val="Tabletext0"/>
              <w:keepNext/>
            </w:pPr>
            <w:r w:rsidRPr="00FE7666">
              <w:t>Multivariate analysis</w:t>
            </w:r>
          </w:p>
        </w:tc>
        <w:tc>
          <w:tcPr>
            <w:tcW w:w="3135" w:type="pct"/>
            <w:gridSpan w:val="3"/>
            <w:shd w:val="clear" w:color="auto" w:fill="auto"/>
            <w:vAlign w:val="center"/>
          </w:tcPr>
          <w:p w:rsidR="00351E75" w:rsidRPr="00FE7666" w:rsidRDefault="00351E75" w:rsidP="000303B5">
            <w:pPr>
              <w:pStyle w:val="Tabletext0"/>
              <w:keepNext/>
              <w:jc w:val="center"/>
            </w:pPr>
            <w:r w:rsidRPr="00FE7666">
              <w:t>Exponential OS curves, equal utilities post-progression</w:t>
            </w:r>
            <w:r w:rsidR="002804DC" w:rsidRPr="00FE7666">
              <w:t>,</w:t>
            </w:r>
            <w:r w:rsidRPr="00FE7666">
              <w:t xml:space="preserve"> and </w:t>
            </w:r>
            <w:r w:rsidR="002804DC" w:rsidRPr="00FE7666">
              <w:t>m</w:t>
            </w:r>
            <w:r w:rsidRPr="00FE7666">
              <w:t xml:space="preserve">odelled nivolumab PFS DOT + </w:t>
            </w:r>
            <w:r w:rsidR="00A024C2">
              <w:rPr>
                <w:noProof/>
                <w:color w:val="000000"/>
                <w:highlight w:val="black"/>
              </w:rPr>
              <w:t>''''''''''</w:t>
            </w:r>
            <w:r w:rsidR="000303B5" w:rsidRPr="00FE7666">
              <w:rPr>
                <w:vertAlign w:val="superscript"/>
              </w:rPr>
              <w:t>a</w:t>
            </w:r>
          </w:p>
        </w:tc>
        <w:tc>
          <w:tcPr>
            <w:tcW w:w="519" w:type="pct"/>
            <w:shd w:val="clear" w:color="auto" w:fill="auto"/>
            <w:vAlign w:val="bottom"/>
          </w:tcPr>
          <w:p w:rsidR="00351E75" w:rsidRPr="00A024C2" w:rsidRDefault="00A024C2" w:rsidP="00351E75">
            <w:pPr>
              <w:pStyle w:val="Tabletext0"/>
              <w:keepNext/>
              <w:jc w:val="center"/>
              <w:rPr>
                <w:rFonts w:cs="Calibri"/>
                <w:iCs/>
                <w:color w:val="000000"/>
                <w:highlight w:val="black"/>
              </w:rPr>
            </w:pPr>
            <w:r>
              <w:rPr>
                <w:rFonts w:cs="Calibri"/>
                <w:iCs/>
                <w:noProof/>
                <w:color w:val="000000"/>
                <w:highlight w:val="black"/>
              </w:rPr>
              <w:t>'''</w:t>
            </w:r>
          </w:p>
        </w:tc>
        <w:tc>
          <w:tcPr>
            <w:tcW w:w="598" w:type="pct"/>
            <w:shd w:val="clear" w:color="auto" w:fill="auto"/>
            <w:vAlign w:val="bottom"/>
          </w:tcPr>
          <w:p w:rsidR="00351E75" w:rsidRPr="00A024C2" w:rsidRDefault="00A024C2" w:rsidP="000303B5">
            <w:pPr>
              <w:pStyle w:val="Tabletext0"/>
              <w:keepNext/>
              <w:jc w:val="center"/>
              <w:rPr>
                <w:rFonts w:cs="Calibri"/>
                <w:iCs/>
                <w:color w:val="000000"/>
                <w:highlight w:val="black"/>
              </w:rPr>
            </w:pPr>
            <w:r>
              <w:rPr>
                <w:rFonts w:cs="Calibri"/>
                <w:iCs/>
                <w:noProof/>
                <w:color w:val="000000"/>
                <w:highlight w:val="black"/>
              </w:rPr>
              <w:t>''''''''''''''''''''</w:t>
            </w:r>
          </w:p>
        </w:tc>
      </w:tr>
    </w:tbl>
    <w:p w:rsidR="00BE6E37" w:rsidRDefault="00BE6E37" w:rsidP="00F427E1">
      <w:pPr>
        <w:pStyle w:val="TableFooter"/>
        <w:keepNext/>
        <w:rPr>
          <w:szCs w:val="18"/>
        </w:rPr>
      </w:pPr>
      <w:r w:rsidRPr="00F67030">
        <w:rPr>
          <w:szCs w:val="18"/>
        </w:rPr>
        <w:t>PFS: progression</w:t>
      </w:r>
      <w:r w:rsidR="00D371E3">
        <w:rPr>
          <w:szCs w:val="18"/>
        </w:rPr>
        <w:t>-</w:t>
      </w:r>
      <w:r w:rsidRPr="00F67030">
        <w:rPr>
          <w:szCs w:val="18"/>
        </w:rPr>
        <w:t>free survival; OS overall survival; DOT: duration of therapy</w:t>
      </w:r>
      <w:r w:rsidR="00D371E3">
        <w:rPr>
          <w:szCs w:val="18"/>
        </w:rPr>
        <w:t>.</w:t>
      </w:r>
    </w:p>
    <w:p w:rsidR="000303B5" w:rsidRPr="00F67030" w:rsidRDefault="000303B5" w:rsidP="00F427E1">
      <w:pPr>
        <w:pStyle w:val="TableFooter"/>
        <w:keepNext/>
        <w:rPr>
          <w:szCs w:val="18"/>
        </w:rPr>
      </w:pPr>
      <w:r>
        <w:rPr>
          <w:szCs w:val="18"/>
        </w:rPr>
        <w:t xml:space="preserve">a </w:t>
      </w:r>
      <w:r w:rsidR="006D40B7">
        <w:rPr>
          <w:szCs w:val="18"/>
        </w:rPr>
        <w:t>I</w:t>
      </w:r>
      <w:r w:rsidRPr="000303B5">
        <w:rPr>
          <w:szCs w:val="18"/>
        </w:rPr>
        <w:t>ncreased cost of nivolumab to proxy the proportion of patients in CA209141 who progressed and remained on treatment</w:t>
      </w:r>
      <w:r w:rsidR="006D40B7">
        <w:rPr>
          <w:szCs w:val="18"/>
        </w:rPr>
        <w:t>.</w:t>
      </w:r>
    </w:p>
    <w:p w:rsidR="009E1802" w:rsidRDefault="009E1802" w:rsidP="00F427E1">
      <w:pPr>
        <w:pStyle w:val="TableFooter"/>
        <w:keepNext/>
        <w:rPr>
          <w:szCs w:val="18"/>
        </w:rPr>
      </w:pPr>
      <w:r w:rsidRPr="00F67030">
        <w:rPr>
          <w:szCs w:val="18"/>
        </w:rPr>
        <w:t>Source: Tab</w:t>
      </w:r>
      <w:r w:rsidR="00D371E3">
        <w:rPr>
          <w:szCs w:val="18"/>
        </w:rPr>
        <w:t>le 74, p. 145 of the submission</w:t>
      </w:r>
    </w:p>
    <w:p w:rsidR="0076511A" w:rsidRDefault="0076511A" w:rsidP="00F427E1">
      <w:pPr>
        <w:pStyle w:val="TableFooter"/>
        <w:keepNext/>
        <w:rPr>
          <w:szCs w:val="18"/>
        </w:rPr>
      </w:pPr>
    </w:p>
    <w:p w:rsidR="0076511A" w:rsidRPr="0076511A" w:rsidRDefault="0076511A" w:rsidP="00F427E1">
      <w:pPr>
        <w:pStyle w:val="TableFooter"/>
        <w:keepNext/>
        <w:rPr>
          <w:rFonts w:asciiTheme="minorHAnsi" w:hAnsiTheme="minorHAnsi"/>
          <w:sz w:val="20"/>
          <w:szCs w:val="18"/>
        </w:rPr>
      </w:pPr>
      <w:r w:rsidRPr="0076511A">
        <w:rPr>
          <w:rFonts w:asciiTheme="minorHAnsi" w:hAnsiTheme="minorHAnsi"/>
          <w:sz w:val="24"/>
          <w:szCs w:val="24"/>
        </w:rPr>
        <w:t xml:space="preserve">The redacted table shows ICERs in the range of $45,000/QALY - $200,000/QALY. </w:t>
      </w:r>
    </w:p>
    <w:p w:rsidR="00FE7666" w:rsidRDefault="0024798C" w:rsidP="00457C75">
      <w:pPr>
        <w:pStyle w:val="ListParagraph"/>
        <w:numPr>
          <w:ilvl w:val="1"/>
          <w:numId w:val="1"/>
        </w:numPr>
        <w:spacing w:before="0" w:after="120"/>
        <w:jc w:val="both"/>
      </w:pPr>
      <w:r w:rsidRPr="00F67030">
        <w:t xml:space="preserve">Overall, the ICER was most sensitive to whether extrapolation was included, the modelling approach used to extrapolate OS and </w:t>
      </w:r>
      <w:r w:rsidR="00517B60" w:rsidRPr="00F67030">
        <w:t xml:space="preserve">the </w:t>
      </w:r>
      <w:r w:rsidRPr="00F67030">
        <w:t xml:space="preserve">inclusion of additional nivolumab costs on the treatment arm to reflect the higher proportion of patients that received treatment in Trial CA209141 than that reflected using the PFS. </w:t>
      </w:r>
      <w:r w:rsidR="009E1802" w:rsidRPr="00F67030">
        <w:t xml:space="preserve">In addition, applying the same utility </w:t>
      </w:r>
      <w:r w:rsidR="00895EC5" w:rsidRPr="00F67030">
        <w:t xml:space="preserve">in both treatment arms </w:t>
      </w:r>
      <w:r w:rsidR="009E1802" w:rsidRPr="00F67030">
        <w:t xml:space="preserve">in the </w:t>
      </w:r>
      <w:r w:rsidR="004740F7" w:rsidRPr="00F67030">
        <w:t>‘</w:t>
      </w:r>
      <w:r w:rsidR="00AC24FB" w:rsidRPr="00F67030">
        <w:t xml:space="preserve">Alive </w:t>
      </w:r>
      <w:r w:rsidR="009E1802" w:rsidRPr="00F67030">
        <w:t xml:space="preserve">Following </w:t>
      </w:r>
      <w:r w:rsidR="00814AA4" w:rsidRPr="00F67030">
        <w:t>P</w:t>
      </w:r>
      <w:r w:rsidR="009E1802" w:rsidRPr="00F67030">
        <w:t>rogression</w:t>
      </w:r>
      <w:r w:rsidR="004740F7" w:rsidRPr="00F67030">
        <w:t>’</w:t>
      </w:r>
      <w:r w:rsidR="009E1802" w:rsidRPr="00F67030">
        <w:t xml:space="preserve"> </w:t>
      </w:r>
      <w:r w:rsidR="00AC24FB" w:rsidRPr="00F67030">
        <w:t xml:space="preserve">health </w:t>
      </w:r>
      <w:r w:rsidR="009E1802" w:rsidRPr="00F67030">
        <w:t>state increased the ICER.</w:t>
      </w:r>
    </w:p>
    <w:p w:rsidR="00517B60" w:rsidRPr="00F67030" w:rsidRDefault="00517B60" w:rsidP="00457C75">
      <w:pPr>
        <w:pStyle w:val="ListParagraph"/>
        <w:numPr>
          <w:ilvl w:val="1"/>
          <w:numId w:val="1"/>
        </w:numPr>
        <w:spacing w:before="0" w:after="120"/>
        <w:jc w:val="both"/>
      </w:pPr>
      <w:r w:rsidRPr="00F67030">
        <w:t xml:space="preserve">The ICER increased to </w:t>
      </w:r>
      <w:r w:rsidR="00985E30">
        <w:t>$105,000/QALY - $200,000/QALY</w:t>
      </w:r>
      <w:r w:rsidRPr="00F67030">
        <w:t xml:space="preserve"> gained when a within trial analysis was conducted.</w:t>
      </w:r>
    </w:p>
    <w:p w:rsidR="00517B60" w:rsidRPr="00F67030" w:rsidRDefault="00517B60" w:rsidP="00457C75">
      <w:pPr>
        <w:pStyle w:val="ListParagraph"/>
        <w:numPr>
          <w:ilvl w:val="1"/>
          <w:numId w:val="1"/>
        </w:numPr>
        <w:spacing w:before="0" w:after="120"/>
        <w:jc w:val="both"/>
      </w:pPr>
      <w:r w:rsidRPr="00F67030">
        <w:t xml:space="preserve">The selection of extrapolation </w:t>
      </w:r>
      <w:r w:rsidR="00FC0994" w:rsidRPr="00F67030">
        <w:t xml:space="preserve">function for OS </w:t>
      </w:r>
      <w:r w:rsidRPr="00F67030">
        <w:t>had a large impact on ICER. There was very little difference in the AIC and BIC between the log-logistic and exponential functions fitted to OS in the nivolumab arm. Applying an exponential function to OS, instead of a log-logistic function, increased th</w:t>
      </w:r>
      <w:r w:rsidR="002E7DE0" w:rsidRPr="00F67030">
        <w:t xml:space="preserve">e ICER to </w:t>
      </w:r>
      <w:r w:rsidR="00985E30">
        <w:t>$105,000/QALY - $200,000/QALY</w:t>
      </w:r>
      <w:r w:rsidR="00985E30" w:rsidRPr="00F67030">
        <w:t xml:space="preserve"> </w:t>
      </w:r>
      <w:r w:rsidR="002E7DE0" w:rsidRPr="00F67030">
        <w:t>gained.</w:t>
      </w:r>
    </w:p>
    <w:p w:rsidR="0024798C" w:rsidRPr="00F67030" w:rsidRDefault="00517B60" w:rsidP="00457C75">
      <w:pPr>
        <w:pStyle w:val="ListParagraph"/>
        <w:numPr>
          <w:ilvl w:val="1"/>
          <w:numId w:val="1"/>
        </w:numPr>
        <w:spacing w:before="0" w:after="120"/>
        <w:jc w:val="both"/>
      </w:pPr>
      <w:r w:rsidRPr="00F67030">
        <w:t xml:space="preserve">Figure 8 presents the ICERs for Weibull, exponential and log-logistic (OS and PFS) extrapolations by month of follow-up, along with the ICER for the within-trial analysis. </w:t>
      </w:r>
      <w:r w:rsidR="00A67A39" w:rsidRPr="00F67030">
        <w:rPr>
          <w:rFonts w:cstheme="minorHAnsi"/>
        </w:rPr>
        <w:lastRenderedPageBreak/>
        <w:t xml:space="preserve">The </w:t>
      </w:r>
      <w:r w:rsidR="0024798C" w:rsidRPr="00F67030">
        <w:rPr>
          <w:rFonts w:cstheme="minorHAnsi"/>
        </w:rPr>
        <w:t xml:space="preserve">ICERs for the projections stabilise at around 35-40 months, which </w:t>
      </w:r>
      <w:r w:rsidR="004740F7" w:rsidRPr="00F67030">
        <w:rPr>
          <w:rFonts w:cstheme="minorHAnsi"/>
        </w:rPr>
        <w:t>wa</w:t>
      </w:r>
      <w:r w:rsidR="0024798C" w:rsidRPr="00F67030">
        <w:rPr>
          <w:rFonts w:cstheme="minorHAnsi"/>
        </w:rPr>
        <w:t xml:space="preserve">s outside the follow-up for observed data in Trial CA209141 (around 24 months). The ICER for </w:t>
      </w:r>
      <w:r w:rsidR="001B0432" w:rsidRPr="00F67030">
        <w:rPr>
          <w:rFonts w:cstheme="minorHAnsi"/>
        </w:rPr>
        <w:t xml:space="preserve">the </w:t>
      </w:r>
      <w:r w:rsidR="0024798C" w:rsidRPr="00F67030">
        <w:rPr>
          <w:rFonts w:cstheme="minorHAnsi"/>
        </w:rPr>
        <w:t xml:space="preserve">observed data </w:t>
      </w:r>
      <w:r w:rsidR="004740F7" w:rsidRPr="00F67030">
        <w:rPr>
          <w:rFonts w:cstheme="minorHAnsi"/>
        </w:rPr>
        <w:t xml:space="preserve">was </w:t>
      </w:r>
      <w:r w:rsidR="0024798C" w:rsidRPr="00F67030">
        <w:rPr>
          <w:rFonts w:cstheme="minorHAnsi"/>
        </w:rPr>
        <w:t xml:space="preserve">between the log-logistic and exponential </w:t>
      </w:r>
      <w:r w:rsidR="00154BEB" w:rsidRPr="00F67030">
        <w:rPr>
          <w:rFonts w:cstheme="minorHAnsi"/>
        </w:rPr>
        <w:t>functions</w:t>
      </w:r>
      <w:r w:rsidR="0024798C" w:rsidRPr="00F67030">
        <w:rPr>
          <w:rFonts w:cstheme="minorHAnsi"/>
        </w:rPr>
        <w:t xml:space="preserve">, </w:t>
      </w:r>
      <w:r w:rsidR="004740F7" w:rsidRPr="00F67030">
        <w:rPr>
          <w:rFonts w:cstheme="minorHAnsi"/>
        </w:rPr>
        <w:t>reflecting</w:t>
      </w:r>
      <w:r w:rsidR="0024798C" w:rsidRPr="00F67030">
        <w:rPr>
          <w:rFonts w:cstheme="minorHAnsi"/>
        </w:rPr>
        <w:t xml:space="preserve"> the small difference in </w:t>
      </w:r>
      <w:r w:rsidRPr="00F67030">
        <w:rPr>
          <w:rFonts w:cstheme="minorHAnsi"/>
        </w:rPr>
        <w:t xml:space="preserve">the </w:t>
      </w:r>
      <w:r w:rsidR="0024798C" w:rsidRPr="00F67030">
        <w:rPr>
          <w:rFonts w:cstheme="minorHAnsi"/>
        </w:rPr>
        <w:t xml:space="preserve">goodness-of-fit for these </w:t>
      </w:r>
      <w:r w:rsidR="00154BEB" w:rsidRPr="00F67030">
        <w:rPr>
          <w:rFonts w:cstheme="minorHAnsi"/>
        </w:rPr>
        <w:t>functions</w:t>
      </w:r>
      <w:r w:rsidR="0024798C" w:rsidRPr="00F67030">
        <w:rPr>
          <w:rFonts w:cstheme="minorHAnsi"/>
        </w:rPr>
        <w:t>.</w:t>
      </w:r>
    </w:p>
    <w:p w:rsidR="00FC0994" w:rsidRPr="00F67030" w:rsidRDefault="00FC0994" w:rsidP="00457C75">
      <w:pPr>
        <w:pStyle w:val="ListParagraph"/>
        <w:numPr>
          <w:ilvl w:val="1"/>
          <w:numId w:val="1"/>
        </w:numPr>
        <w:spacing w:before="0" w:after="120"/>
        <w:jc w:val="both"/>
      </w:pPr>
      <w:r w:rsidRPr="00F67030">
        <w:t xml:space="preserve">The </w:t>
      </w:r>
      <w:r w:rsidR="00154BEB" w:rsidRPr="00F67030">
        <w:t>results were</w:t>
      </w:r>
      <w:r w:rsidRPr="00F67030">
        <w:t xml:space="preserve"> not sensitive to the selection of extrapolation function for PFS, however only a limited range of functions were explored and all functions fitted poorly.</w:t>
      </w:r>
    </w:p>
    <w:p w:rsidR="0024798C" w:rsidRPr="00F67030" w:rsidRDefault="0024798C" w:rsidP="0024798C">
      <w:pPr>
        <w:pStyle w:val="TableHeading0"/>
      </w:pPr>
      <w:r w:rsidRPr="00F67030">
        <w:t xml:space="preserve">Figure </w:t>
      </w:r>
      <w:r w:rsidR="00D460E0" w:rsidRPr="00F67030">
        <w:t>8</w:t>
      </w:r>
      <w:r w:rsidRPr="00F67030">
        <w:t>: ICER</w:t>
      </w:r>
      <w:r w:rsidR="00D460E0" w:rsidRPr="00F67030">
        <w:t>s</w:t>
      </w:r>
      <w:r w:rsidRPr="00F67030">
        <w:t xml:space="preserve"> for different time frames (0-84 m</w:t>
      </w:r>
      <w:r w:rsidR="00192359" w:rsidRPr="00F67030">
        <w:t xml:space="preserve">onths) and extrapolation </w:t>
      </w:r>
      <w:r w:rsidR="00154BEB" w:rsidRPr="00F67030">
        <w:t>functions</w:t>
      </w:r>
    </w:p>
    <w:p w:rsidR="0024798C" w:rsidRPr="00F67030" w:rsidRDefault="00A024C2" w:rsidP="0024798C">
      <w:r>
        <w:rPr>
          <w:noProof/>
          <w:lang w:eastAsia="en-AU"/>
        </w:rPr>
        <w:drawing>
          <wp:inline distT="0" distB="0" distL="0" distR="0">
            <wp:extent cx="4564380" cy="2735580"/>
            <wp:effectExtent l="0" t="0" r="7620" b="762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64380" cy="2735580"/>
                    </a:xfrm>
                    <a:prstGeom prst="rect">
                      <a:avLst/>
                    </a:prstGeom>
                  </pic:spPr>
                </pic:pic>
              </a:graphicData>
            </a:graphic>
          </wp:inline>
        </w:drawing>
      </w:r>
    </w:p>
    <w:p w:rsidR="0024798C" w:rsidRPr="00F67030" w:rsidRDefault="0024798C" w:rsidP="001B0432">
      <w:pPr>
        <w:pStyle w:val="TableFooter"/>
      </w:pPr>
      <w:r w:rsidRPr="00F67030">
        <w:rPr>
          <w:szCs w:val="18"/>
        </w:rPr>
        <w:t>Source: Excel model and a</w:t>
      </w:r>
      <w:r w:rsidR="00D371E3">
        <w:rPr>
          <w:szCs w:val="18"/>
        </w:rPr>
        <w:t>nalyses undertaken by evaluator</w:t>
      </w:r>
    </w:p>
    <w:p w:rsidR="00ED62BE" w:rsidRPr="003D0BEC" w:rsidRDefault="00ED62BE" w:rsidP="00457C75">
      <w:pPr>
        <w:pStyle w:val="ListParagraph"/>
        <w:numPr>
          <w:ilvl w:val="1"/>
          <w:numId w:val="1"/>
        </w:numPr>
        <w:spacing w:before="0" w:after="120"/>
        <w:jc w:val="both"/>
      </w:pPr>
      <w:bookmarkStart w:id="24" w:name="_Toc413139283"/>
      <w:bookmarkStart w:id="25" w:name="_Toc493002796"/>
      <w:r w:rsidRPr="003D0BEC">
        <w:rPr>
          <w:szCs w:val="24"/>
        </w:rPr>
        <w:t xml:space="preserve">The ESC noted that a multivariate sensitivity analysis </w:t>
      </w:r>
      <w:r w:rsidR="002804DC" w:rsidRPr="003D0BEC">
        <w:rPr>
          <w:szCs w:val="24"/>
        </w:rPr>
        <w:t xml:space="preserve">(i) </w:t>
      </w:r>
      <w:r w:rsidRPr="003D0BEC">
        <w:rPr>
          <w:szCs w:val="24"/>
        </w:rPr>
        <w:t xml:space="preserve">applying </w:t>
      </w:r>
      <w:r w:rsidR="002804DC" w:rsidRPr="003D0BEC">
        <w:rPr>
          <w:szCs w:val="24"/>
        </w:rPr>
        <w:t xml:space="preserve">an </w:t>
      </w:r>
      <w:r w:rsidRPr="003D0BEC">
        <w:rPr>
          <w:szCs w:val="24"/>
        </w:rPr>
        <w:t xml:space="preserve">exponential model to extrapolate OS, </w:t>
      </w:r>
      <w:r w:rsidR="002804DC" w:rsidRPr="003D0BEC">
        <w:rPr>
          <w:szCs w:val="24"/>
        </w:rPr>
        <w:t xml:space="preserve">(ii) </w:t>
      </w:r>
      <w:r w:rsidRPr="003D0BEC">
        <w:rPr>
          <w:szCs w:val="24"/>
        </w:rPr>
        <w:t>equal utility values post-progression</w:t>
      </w:r>
      <w:r w:rsidR="00AF06A9" w:rsidRPr="003D0BEC">
        <w:rPr>
          <w:szCs w:val="24"/>
        </w:rPr>
        <w:t xml:space="preserve"> (</w:t>
      </w:r>
      <w:r w:rsidR="00A024C2">
        <w:rPr>
          <w:noProof/>
          <w:color w:val="000000"/>
          <w:szCs w:val="24"/>
          <w:highlight w:val="black"/>
        </w:rPr>
        <w:t>''''''''''''</w:t>
      </w:r>
      <w:r w:rsidR="00AF06A9" w:rsidRPr="003D0BEC">
        <w:rPr>
          <w:szCs w:val="24"/>
        </w:rPr>
        <w:t>)</w:t>
      </w:r>
      <w:r w:rsidR="002804DC" w:rsidRPr="003D0BEC">
        <w:rPr>
          <w:szCs w:val="24"/>
        </w:rPr>
        <w:t>,</w:t>
      </w:r>
      <w:r w:rsidRPr="003D0BEC">
        <w:rPr>
          <w:szCs w:val="24"/>
        </w:rPr>
        <w:t xml:space="preserve"> and </w:t>
      </w:r>
      <w:r w:rsidR="002804DC" w:rsidRPr="003D0BEC">
        <w:rPr>
          <w:szCs w:val="24"/>
        </w:rPr>
        <w:t>(</w:t>
      </w:r>
      <w:r w:rsidR="001615EF" w:rsidRPr="003D0BEC">
        <w:rPr>
          <w:szCs w:val="24"/>
        </w:rPr>
        <w:t>i</w:t>
      </w:r>
      <w:r w:rsidR="002804DC" w:rsidRPr="003D0BEC">
        <w:rPr>
          <w:szCs w:val="24"/>
        </w:rPr>
        <w:t xml:space="preserve">ii) </w:t>
      </w:r>
      <w:r w:rsidR="003C7AC6" w:rsidRPr="003D0BEC">
        <w:rPr>
          <w:szCs w:val="24"/>
        </w:rPr>
        <w:t xml:space="preserve">nivolumab treatment duration increased by </w:t>
      </w:r>
      <w:r w:rsidR="00A024C2">
        <w:rPr>
          <w:noProof/>
          <w:color w:val="000000"/>
          <w:szCs w:val="24"/>
          <w:highlight w:val="black"/>
        </w:rPr>
        <w:t>''''''''</w:t>
      </w:r>
      <w:r w:rsidR="003C7AC6" w:rsidRPr="003D0BEC">
        <w:rPr>
          <w:szCs w:val="24"/>
        </w:rPr>
        <w:t xml:space="preserve"> (</w:t>
      </w:r>
      <w:r w:rsidR="00770D12" w:rsidRPr="003D0BEC">
        <w:rPr>
          <w:szCs w:val="24"/>
        </w:rPr>
        <w:t>i.e.</w:t>
      </w:r>
      <w:r w:rsidR="003C7AC6" w:rsidRPr="003D0BEC">
        <w:rPr>
          <w:szCs w:val="24"/>
        </w:rPr>
        <w:t xml:space="preserve"> PFS DOT + </w:t>
      </w:r>
      <w:r w:rsidR="00A024C2">
        <w:rPr>
          <w:noProof/>
          <w:color w:val="000000"/>
          <w:szCs w:val="24"/>
          <w:highlight w:val="black"/>
        </w:rPr>
        <w:t>'''''''''</w:t>
      </w:r>
      <w:r w:rsidR="003C7AC6" w:rsidRPr="003D0BEC">
        <w:rPr>
          <w:szCs w:val="24"/>
        </w:rPr>
        <w:t>)</w:t>
      </w:r>
      <w:r w:rsidR="006B6888">
        <w:rPr>
          <w:szCs w:val="24"/>
        </w:rPr>
        <w:t xml:space="preserve"> </w:t>
      </w:r>
      <w:r w:rsidRPr="003D0BEC">
        <w:rPr>
          <w:szCs w:val="24"/>
        </w:rPr>
        <w:t xml:space="preserve">resulted in an ICER of </w:t>
      </w:r>
      <w:r w:rsidR="00985E30">
        <w:t>$105,000/QALY - $200,000/QALY</w:t>
      </w:r>
      <w:r w:rsidRPr="003D0BEC">
        <w:rPr>
          <w:szCs w:val="24"/>
        </w:rPr>
        <w:t xml:space="preserve">, compared to </w:t>
      </w:r>
      <w:r w:rsidR="002804DC" w:rsidRPr="003D0BEC">
        <w:rPr>
          <w:szCs w:val="24"/>
        </w:rPr>
        <w:t>the</w:t>
      </w:r>
      <w:r w:rsidRPr="003D0BEC">
        <w:rPr>
          <w:szCs w:val="24"/>
        </w:rPr>
        <w:t xml:space="preserve"> base case of </w:t>
      </w:r>
      <w:r w:rsidR="00985E30">
        <w:rPr>
          <w:szCs w:val="24"/>
        </w:rPr>
        <w:t>$75,000/QALY - $105,000/QALY</w:t>
      </w:r>
      <w:r w:rsidRPr="003D0BEC">
        <w:rPr>
          <w:szCs w:val="24"/>
        </w:rPr>
        <w:t xml:space="preserve"> presented in the submission. The ESC therefore advised that</w:t>
      </w:r>
      <w:r w:rsidR="002804DC" w:rsidRPr="003D0BEC">
        <w:rPr>
          <w:szCs w:val="24"/>
        </w:rPr>
        <w:t>,</w:t>
      </w:r>
      <w:r w:rsidRPr="003D0BEC">
        <w:rPr>
          <w:szCs w:val="24"/>
        </w:rPr>
        <w:t xml:space="preserve"> assuming all other model inputs remained the same, </w:t>
      </w:r>
      <w:r w:rsidR="00985E30">
        <w:t>$105,000/QALY - $200,000/QALY</w:t>
      </w:r>
      <w:r w:rsidR="00985E30" w:rsidRPr="00F67030">
        <w:t xml:space="preserve"> </w:t>
      </w:r>
      <w:r w:rsidRPr="003D0BEC">
        <w:rPr>
          <w:szCs w:val="24"/>
        </w:rPr>
        <w:t>w</w:t>
      </w:r>
      <w:r w:rsidR="002804DC" w:rsidRPr="003D0BEC">
        <w:rPr>
          <w:szCs w:val="24"/>
        </w:rPr>
        <w:t>ould be</w:t>
      </w:r>
      <w:r w:rsidRPr="003D0BEC">
        <w:rPr>
          <w:szCs w:val="24"/>
        </w:rPr>
        <w:t xml:space="preserve"> the mo</w:t>
      </w:r>
      <w:r w:rsidR="002804DC" w:rsidRPr="003D0BEC">
        <w:rPr>
          <w:szCs w:val="24"/>
        </w:rPr>
        <w:t>re</w:t>
      </w:r>
      <w:r w:rsidRPr="003D0BEC">
        <w:rPr>
          <w:szCs w:val="24"/>
        </w:rPr>
        <w:t xml:space="preserve"> realistic ICER.</w:t>
      </w:r>
      <w:r w:rsidR="00745720">
        <w:rPr>
          <w:szCs w:val="24"/>
        </w:rPr>
        <w:t xml:space="preserve"> </w:t>
      </w:r>
      <w:r w:rsidR="00745720">
        <w:t>The pre-PBAC response (p2) disagreed with the use of the log-logistic method of extrapolation and application of the same utility values post progression, arguing that this was again</w:t>
      </w:r>
      <w:r w:rsidR="006622B5">
        <w:t>st precedents set in</w:t>
      </w:r>
      <w:r w:rsidR="00745720">
        <w:t xml:space="preserve"> previous </w:t>
      </w:r>
      <w:r w:rsidR="006622B5">
        <w:t xml:space="preserve">nivolumab </w:t>
      </w:r>
      <w:r w:rsidR="00745720">
        <w:t xml:space="preserve">considerations for second-line NSCLC (March 2016, November 2016 and March 2017 PBAC meetings) and RCC (July 2016, November 2016 and March 2017 PBAC meetings). The pre-PBAC response (p2) then claimed that assuming all other model inputs remaining the same, a reduced </w:t>
      </w:r>
      <w:r w:rsidR="00A024C2">
        <w:rPr>
          <w:noProof/>
          <w:color w:val="000000"/>
          <w:highlight w:val="black"/>
        </w:rPr>
        <w:t>'''''''''''</w:t>
      </w:r>
      <w:r w:rsidR="00745720">
        <w:t xml:space="preserve"> (i.e. PFS DOT + </w:t>
      </w:r>
      <w:r w:rsidR="00A024C2">
        <w:rPr>
          <w:noProof/>
          <w:color w:val="000000"/>
          <w:highlight w:val="black"/>
        </w:rPr>
        <w:t>''''''''''''</w:t>
      </w:r>
      <w:r w:rsidR="00745720">
        <w:t xml:space="preserve"> increase in nivolumab treatment duration </w:t>
      </w:r>
      <w:r w:rsidR="00AB0425">
        <w:t>would be addressed by a reduced requested price of $</w:t>
      </w:r>
      <w:r w:rsidR="00A024C2">
        <w:rPr>
          <w:noProof/>
          <w:color w:val="000000"/>
          <w:highlight w:val="black"/>
        </w:rPr>
        <w:t>'''''''''''''''''</w:t>
      </w:r>
      <w:r w:rsidR="00AB0425">
        <w:t xml:space="preserve"> per 100 </w:t>
      </w:r>
      <w:r w:rsidR="00745720">
        <w:t xml:space="preserve">mg vial (which represented a </w:t>
      </w:r>
      <w:r w:rsidR="00A024C2">
        <w:rPr>
          <w:noProof/>
          <w:color w:val="000000"/>
          <w:highlight w:val="black"/>
        </w:rPr>
        <w:t>'''''''''</w:t>
      </w:r>
      <w:r w:rsidR="00745720">
        <w:t>% price reduction) to result in an ICER that was identical to the base case presented in the submission (</w:t>
      </w:r>
      <w:r w:rsidR="002C5751">
        <w:rPr>
          <w:szCs w:val="24"/>
        </w:rPr>
        <w:t>$75,000/QALY - $105,000/QALY</w:t>
      </w:r>
      <w:r w:rsidR="00745720">
        <w:t xml:space="preserve">). The pre-PBAC response (p2) stated that this estimate of </w:t>
      </w:r>
      <w:r w:rsidR="00A024C2">
        <w:rPr>
          <w:noProof/>
          <w:color w:val="000000"/>
          <w:highlight w:val="black"/>
        </w:rPr>
        <w:t>'''''''''''</w:t>
      </w:r>
      <w:r w:rsidR="00745720">
        <w:t xml:space="preserve"> was “based on the mean additional infusions received per patient treated beyond progression”, but this was not independently verified, including whether this was an underestimate due to truncated follow-up.</w:t>
      </w:r>
    </w:p>
    <w:p w:rsidR="00C317F3" w:rsidRPr="00424FE4" w:rsidRDefault="00C317F3" w:rsidP="00772501">
      <w:pPr>
        <w:pStyle w:val="Heading2"/>
      </w:pPr>
      <w:r w:rsidRPr="00424FE4">
        <w:lastRenderedPageBreak/>
        <w:t>Drug cost/patient/course</w:t>
      </w:r>
      <w:bookmarkEnd w:id="24"/>
      <w:r w:rsidR="009E4336" w:rsidRPr="00424FE4">
        <w:t>: $</w:t>
      </w:r>
      <w:bookmarkEnd w:id="25"/>
      <w:r w:rsidR="00A024C2">
        <w:rPr>
          <w:noProof/>
          <w:color w:val="000000"/>
          <w:highlight w:val="black"/>
        </w:rPr>
        <w:t>'''''''''''''''''''</w:t>
      </w:r>
    </w:p>
    <w:p w:rsidR="0027723A" w:rsidRPr="00F67030" w:rsidRDefault="004501CE" w:rsidP="00457C75">
      <w:pPr>
        <w:pStyle w:val="ListParagraph"/>
        <w:numPr>
          <w:ilvl w:val="1"/>
          <w:numId w:val="1"/>
        </w:numPr>
        <w:spacing w:before="0" w:after="120"/>
        <w:jc w:val="both"/>
      </w:pPr>
      <w:r w:rsidRPr="00F67030">
        <w:t xml:space="preserve">The submission assumed </w:t>
      </w:r>
      <w:r w:rsidR="00F73E01" w:rsidRPr="00F67030">
        <w:t>a cost of $</w:t>
      </w:r>
      <w:r w:rsidR="00A024C2">
        <w:rPr>
          <w:noProof/>
          <w:color w:val="000000"/>
          <w:highlight w:val="black"/>
        </w:rPr>
        <w:t>''''''''''''''''</w:t>
      </w:r>
      <w:r w:rsidR="00F73E01" w:rsidRPr="00F67030">
        <w:t xml:space="preserve"> per infusion and </w:t>
      </w:r>
      <w:r w:rsidRPr="00F67030">
        <w:t xml:space="preserve">patients would receive </w:t>
      </w:r>
      <w:r w:rsidR="00A024C2">
        <w:rPr>
          <w:noProof/>
          <w:color w:val="000000"/>
          <w:highlight w:val="black"/>
        </w:rPr>
        <w:t>''''''</w:t>
      </w:r>
      <w:r w:rsidRPr="00F67030">
        <w:t xml:space="preserve"> infusions of nivolumab, based on the mean number of doses received by patients in the nivolumab arm of Trial CA209141. </w:t>
      </w:r>
      <w:r w:rsidR="002F0C03" w:rsidRPr="00F67030">
        <w:t>T</w:t>
      </w:r>
      <w:r w:rsidRPr="00F67030">
        <w:t xml:space="preserve">he mean duration of therapy in Australian practice </w:t>
      </w:r>
      <w:r w:rsidR="002F0C03" w:rsidRPr="00F67030">
        <w:t xml:space="preserve">may be underestimated </w:t>
      </w:r>
      <w:r w:rsidRPr="00F67030">
        <w:t xml:space="preserve">as </w:t>
      </w:r>
      <w:r w:rsidR="00A024C2">
        <w:rPr>
          <w:noProof/>
          <w:color w:val="000000"/>
          <w:highlight w:val="black"/>
        </w:rPr>
        <w:t>''''''</w:t>
      </w:r>
      <w:r w:rsidRPr="00F67030">
        <w:t>% of patients treated with nivolumab were still being treated</w:t>
      </w:r>
      <w:r w:rsidR="0068064F" w:rsidRPr="00F67030">
        <w:t xml:space="preserve"> at data cut-off</w:t>
      </w:r>
      <w:r w:rsidR="0027723A" w:rsidRPr="00F67030">
        <w:t>.</w:t>
      </w:r>
      <w:r w:rsidR="003D0BEC">
        <w:t xml:space="preserve"> The PBAC noted that these costs were revised</w:t>
      </w:r>
      <w:r w:rsidR="003C60A6">
        <w:t>,</w:t>
      </w:r>
      <w:r w:rsidR="003D0BEC">
        <w:t xml:space="preserve"> but not independently verified</w:t>
      </w:r>
      <w:r w:rsidR="003C60A6">
        <w:t>,</w:t>
      </w:r>
      <w:r w:rsidR="003D0BEC">
        <w:t xml:space="preserve"> after a </w:t>
      </w:r>
      <w:r w:rsidR="00A024C2">
        <w:rPr>
          <w:noProof/>
          <w:color w:val="000000"/>
          <w:highlight w:val="black"/>
        </w:rPr>
        <w:t>''''''''</w:t>
      </w:r>
      <w:r w:rsidR="003D0BEC">
        <w:t>% price reduction was proposed in the pre-PBAC response (p2).</w:t>
      </w:r>
    </w:p>
    <w:p w:rsidR="00C317F3" w:rsidRPr="00424FE4" w:rsidRDefault="00C317F3" w:rsidP="00F67030">
      <w:pPr>
        <w:pStyle w:val="Heading2"/>
      </w:pPr>
      <w:bookmarkStart w:id="26" w:name="_Toc413139284"/>
      <w:r w:rsidRPr="00424FE4">
        <w:t>Estimated PBS usage &amp; financial implications</w:t>
      </w:r>
      <w:bookmarkEnd w:id="26"/>
    </w:p>
    <w:p w:rsidR="00577036" w:rsidRPr="00577036" w:rsidRDefault="00577036" w:rsidP="00457C75">
      <w:pPr>
        <w:pStyle w:val="ListParagraph"/>
        <w:numPr>
          <w:ilvl w:val="1"/>
          <w:numId w:val="1"/>
        </w:numPr>
        <w:spacing w:before="0" w:after="120"/>
        <w:jc w:val="both"/>
      </w:pPr>
      <w:r w:rsidRPr="00577036">
        <w:t>The submission took an epidemiological approach to develop its financial estimates. The submission included patients who progressed after 6 months of platinum-based therapy and those subsequently rechallenged with platinum-based therapy.</w:t>
      </w:r>
    </w:p>
    <w:p w:rsidR="00577036" w:rsidRDefault="00577036" w:rsidP="00577036">
      <w:pPr>
        <w:pStyle w:val="Body"/>
        <w:keepNext/>
        <w:widowControl/>
        <w:spacing w:after="60"/>
        <w:jc w:val="left"/>
        <w:rPr>
          <w:rFonts w:ascii="Arial Narrow" w:eastAsia="Arial Narrow" w:hAnsi="Arial Narrow" w:cs="Arial Narrow"/>
          <w:b/>
          <w:bCs/>
          <w:sz w:val="20"/>
          <w:szCs w:val="20"/>
        </w:rPr>
      </w:pPr>
      <w:r>
        <w:rPr>
          <w:rFonts w:ascii="Arial Narrow" w:hAnsi="Arial Narrow"/>
          <w:b/>
          <w:bCs/>
          <w:sz w:val="20"/>
          <w:szCs w:val="20"/>
          <w:lang w:val="en-US"/>
        </w:rPr>
        <w:t>Table 1</w:t>
      </w:r>
      <w:r w:rsidR="006D40B7">
        <w:rPr>
          <w:rFonts w:ascii="Arial Narrow" w:hAnsi="Arial Narrow"/>
          <w:b/>
          <w:bCs/>
          <w:sz w:val="20"/>
          <w:szCs w:val="20"/>
          <w:lang w:val="en-US"/>
        </w:rPr>
        <w:t>1</w:t>
      </w:r>
      <w:r>
        <w:rPr>
          <w:rFonts w:ascii="Arial Narrow" w:hAnsi="Arial Narrow"/>
          <w:b/>
          <w:bCs/>
          <w:sz w:val="20"/>
          <w:szCs w:val="20"/>
          <w:lang w:val="en-US"/>
        </w:rPr>
        <w:t>: Estimated use and financial implications</w:t>
      </w:r>
    </w:p>
    <w:tbl>
      <w:tblPr>
        <w:tblW w:w="908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032"/>
        <w:gridCol w:w="1175"/>
        <w:gridCol w:w="1175"/>
        <w:gridCol w:w="1175"/>
        <w:gridCol w:w="1175"/>
        <w:gridCol w:w="1175"/>
        <w:gridCol w:w="1175"/>
      </w:tblGrid>
      <w:tr w:rsidR="00577036" w:rsidTr="00AA4055">
        <w:trPr>
          <w:trHeight w:val="230"/>
          <w:tblHeader/>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jc w:val="center"/>
            </w:pPr>
            <w:r>
              <w:rPr>
                <w:rFonts w:ascii="Arial Narrow" w:hAnsi="Arial Narrow"/>
                <w:b/>
                <w:bCs/>
                <w:sz w:val="20"/>
              </w:rPr>
              <w:t>Year 1</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jc w:val="center"/>
            </w:pPr>
            <w:r>
              <w:rPr>
                <w:rFonts w:ascii="Arial Narrow" w:hAnsi="Arial Narrow"/>
                <w:b/>
                <w:bCs/>
                <w:sz w:val="20"/>
              </w:rPr>
              <w:t>Year 2</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jc w:val="center"/>
            </w:pPr>
            <w:r>
              <w:rPr>
                <w:rFonts w:ascii="Arial Narrow" w:hAnsi="Arial Narrow"/>
                <w:b/>
                <w:bCs/>
                <w:sz w:val="20"/>
              </w:rPr>
              <w:t>Year 3</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jc w:val="center"/>
            </w:pPr>
            <w:r>
              <w:rPr>
                <w:rFonts w:ascii="Arial Narrow" w:hAnsi="Arial Narrow"/>
                <w:b/>
                <w:bCs/>
                <w:sz w:val="20"/>
              </w:rPr>
              <w:t>Year 4</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jc w:val="center"/>
            </w:pPr>
            <w:r>
              <w:rPr>
                <w:rFonts w:ascii="Arial Narrow" w:hAnsi="Arial Narrow"/>
                <w:b/>
                <w:bCs/>
                <w:sz w:val="20"/>
              </w:rPr>
              <w:t>Year 5</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jc w:val="center"/>
            </w:pPr>
            <w:r>
              <w:rPr>
                <w:rFonts w:ascii="Arial Narrow" w:hAnsi="Arial Narrow"/>
                <w:b/>
                <w:bCs/>
                <w:sz w:val="20"/>
              </w:rPr>
              <w:t>Year 6</w:t>
            </w:r>
          </w:p>
        </w:tc>
      </w:tr>
      <w:tr w:rsidR="00577036" w:rsidTr="00AA4055">
        <w:tblPrEx>
          <w:shd w:val="clear" w:color="auto" w:fill="CED7E7"/>
        </w:tblPrEx>
        <w:trPr>
          <w:trHeight w:val="230"/>
        </w:trPr>
        <w:tc>
          <w:tcPr>
            <w:tcW w:w="908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b/>
                <w:bCs/>
                <w:sz w:val="20"/>
              </w:rPr>
              <w:t>Estimated extent of use</w:t>
            </w:r>
          </w:p>
        </w:tc>
      </w:tr>
      <w:tr w:rsidR="00577036" w:rsidTr="00AA4055">
        <w:tblPrEx>
          <w:shd w:val="clear" w:color="auto" w:fill="CED7E7"/>
        </w:tblPrEx>
        <w:trPr>
          <w:trHeight w:val="45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20"/>
              </w:rPr>
              <w:t>Number of patients treated</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45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20"/>
              </w:rPr>
              <w:t xml:space="preserve">Number of scripts dispensed / infusions </w:t>
            </w:r>
            <w:r>
              <w:rPr>
                <w:rFonts w:ascii="Arial Narrow" w:hAnsi="Arial Narrow"/>
                <w:sz w:val="20"/>
                <w:vertAlign w:val="superscript"/>
              </w:rPr>
              <w:t>a</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230"/>
        </w:trPr>
        <w:tc>
          <w:tcPr>
            <w:tcW w:w="908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b/>
                <w:bCs/>
                <w:sz w:val="20"/>
              </w:rPr>
              <w:t>Estimated financial implications of nivolumab</w:t>
            </w:r>
          </w:p>
        </w:tc>
      </w:tr>
      <w:tr w:rsidR="00577036" w:rsidTr="00AA4055">
        <w:tblPrEx>
          <w:shd w:val="clear" w:color="auto" w:fill="CED7E7"/>
        </w:tblPrEx>
        <w:trPr>
          <w:trHeight w:val="23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Cost to PBS/RPBS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23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Copayments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45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Cost to PBS/RPBS less copayments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230"/>
        </w:trPr>
        <w:tc>
          <w:tcPr>
            <w:tcW w:w="908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b/>
                <w:bCs/>
                <w:sz w:val="20"/>
              </w:rPr>
              <w:t>Estimated financial implications for other PBS-listed drug</w:t>
            </w:r>
          </w:p>
        </w:tc>
      </w:tr>
      <w:tr w:rsidR="00577036" w:rsidTr="00AA4055">
        <w:tblPrEx>
          <w:shd w:val="clear" w:color="auto" w:fill="CED7E7"/>
        </w:tblPrEx>
        <w:trPr>
          <w:trHeight w:val="23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Cost to PBS/RPBS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23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Copayments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45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Cost to PBS/RPBS less copayments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230"/>
        </w:trPr>
        <w:tc>
          <w:tcPr>
            <w:tcW w:w="908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b/>
                <w:bCs/>
                <w:sz w:val="20"/>
              </w:rPr>
              <w:t>Net financial implications</w:t>
            </w:r>
          </w:p>
        </w:tc>
      </w:tr>
      <w:tr w:rsidR="00577036" w:rsidTr="00AA4055">
        <w:tblPrEx>
          <w:shd w:val="clear" w:color="auto" w:fill="CED7E7"/>
        </w:tblPrEx>
        <w:trPr>
          <w:trHeight w:val="23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Net cost to PBS/RPBS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23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Net cost to MBS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noProof/>
                <w:color w:val="000000"/>
                <w:sz w:val="20"/>
                <w:highlight w:val="black"/>
              </w:rPr>
              <w:t>''''''''''''''''''''''''</w:t>
            </w:r>
          </w:p>
        </w:tc>
      </w:tr>
      <w:tr w:rsidR="00577036" w:rsidTr="00AA4055">
        <w:tblPrEx>
          <w:shd w:val="clear" w:color="auto" w:fill="CED7E7"/>
        </w:tblPrEx>
        <w:trPr>
          <w:trHeight w:val="450"/>
        </w:trPr>
        <w:tc>
          <w:tcPr>
            <w:tcW w:w="20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Default="00577036" w:rsidP="00AA4055">
            <w:pPr>
              <w:pStyle w:val="NoSpacing"/>
            </w:pPr>
            <w:r>
              <w:rPr>
                <w:rFonts w:ascii="Arial Narrow" w:hAnsi="Arial Narrow"/>
                <w:sz w:val="19"/>
                <w:szCs w:val="19"/>
              </w:rPr>
              <w:t>Net cost to PBS/RPBS/MBS/DHS</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b/>
                <w:bCs/>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b/>
                <w:bCs/>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b/>
                <w:bCs/>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b/>
                <w:bCs/>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b/>
                <w:bCs/>
                <w:noProof/>
                <w:color w:val="000000"/>
                <w:sz w:val="20"/>
                <w:highlight w:val="black"/>
              </w:rPr>
              <w:t>''''''''''''''''''''''''''</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77036" w:rsidRPr="00A024C2" w:rsidRDefault="00A024C2" w:rsidP="00AA4055">
            <w:pPr>
              <w:pStyle w:val="NoSpacing"/>
              <w:jc w:val="center"/>
              <w:rPr>
                <w:highlight w:val="black"/>
              </w:rPr>
            </w:pPr>
            <w:r>
              <w:rPr>
                <w:rFonts w:ascii="Arial Narrow" w:hAnsi="Arial Narrow"/>
                <w:b/>
                <w:bCs/>
                <w:noProof/>
                <w:color w:val="000000"/>
                <w:sz w:val="20"/>
                <w:highlight w:val="black"/>
              </w:rPr>
              <w:t>''''''''''''''''''''''''</w:t>
            </w:r>
          </w:p>
        </w:tc>
      </w:tr>
    </w:tbl>
    <w:p w:rsidR="00577036" w:rsidRDefault="00577036" w:rsidP="00577036">
      <w:pPr>
        <w:pStyle w:val="Body"/>
        <w:rPr>
          <w:rFonts w:ascii="Arial Narrow" w:eastAsia="Arial Narrow" w:hAnsi="Arial Narrow" w:cs="Arial Narrow"/>
          <w:sz w:val="18"/>
          <w:szCs w:val="18"/>
        </w:rPr>
      </w:pPr>
      <w:r w:rsidRPr="006D40B7">
        <w:rPr>
          <w:rFonts w:ascii="Arial Narrow" w:hAnsi="Arial Narrow"/>
          <w:sz w:val="18"/>
          <w:szCs w:val="18"/>
        </w:rPr>
        <w:t>a</w:t>
      </w:r>
      <w:r>
        <w:rPr>
          <w:rFonts w:ascii="Arial Narrow" w:hAnsi="Arial Narrow"/>
          <w:sz w:val="18"/>
          <w:szCs w:val="18"/>
          <w:lang w:val="en-US"/>
        </w:rPr>
        <w:t xml:space="preserve"> Assuming </w:t>
      </w:r>
      <w:r w:rsidR="00A024C2">
        <w:rPr>
          <w:rFonts w:ascii="Arial Narrow" w:hAnsi="Arial Narrow"/>
          <w:noProof/>
          <w:sz w:val="18"/>
          <w:szCs w:val="18"/>
          <w:highlight w:val="black"/>
          <w:lang w:val="en-US"/>
        </w:rPr>
        <w:t>''''''''</w:t>
      </w:r>
      <w:r>
        <w:rPr>
          <w:rFonts w:ascii="Arial Narrow" w:hAnsi="Arial Narrow"/>
          <w:sz w:val="18"/>
          <w:szCs w:val="18"/>
          <w:lang w:val="en-US"/>
        </w:rPr>
        <w:t xml:space="preserve"> infusions per year as estimated by the submission.</w:t>
      </w:r>
    </w:p>
    <w:p w:rsidR="00577036" w:rsidRDefault="00577036" w:rsidP="00577036">
      <w:pPr>
        <w:pStyle w:val="Body"/>
        <w:rPr>
          <w:rFonts w:ascii="Arial Narrow" w:eastAsia="Arial Narrow" w:hAnsi="Arial Narrow" w:cs="Arial Narrow"/>
          <w:sz w:val="18"/>
          <w:szCs w:val="18"/>
        </w:rPr>
      </w:pPr>
      <w:r>
        <w:rPr>
          <w:rFonts w:ascii="Arial Narrow" w:hAnsi="Arial Narrow"/>
          <w:sz w:val="18"/>
          <w:szCs w:val="18"/>
          <w:lang w:val="en-US"/>
        </w:rPr>
        <w:t>Source: Table 77, p153; Table 78, p154; and Table 79, p155, Table 81 p15, Table 82 p159, Table 85, p162 of the submission, and App_2_nivo S</w:t>
      </w:r>
      <w:r w:rsidR="00765ECF">
        <w:rPr>
          <w:rFonts w:ascii="Arial Narrow" w:hAnsi="Arial Narrow"/>
          <w:sz w:val="18"/>
          <w:szCs w:val="18"/>
          <w:lang w:val="en-US"/>
        </w:rPr>
        <w:t>C</w:t>
      </w:r>
      <w:r>
        <w:rPr>
          <w:rFonts w:ascii="Arial Narrow" w:hAnsi="Arial Narrow"/>
          <w:sz w:val="18"/>
          <w:szCs w:val="18"/>
          <w:lang w:val="en-US"/>
        </w:rPr>
        <w:t>CHN BIM.xlsx</w:t>
      </w:r>
    </w:p>
    <w:p w:rsidR="00577036" w:rsidRDefault="00577036" w:rsidP="00577036">
      <w:pPr>
        <w:pStyle w:val="Body"/>
        <w:widowControl/>
        <w:rPr>
          <w:rFonts w:ascii="Calibri" w:eastAsia="Calibri" w:hAnsi="Calibri" w:cs="Calibri"/>
        </w:rPr>
      </w:pPr>
    </w:p>
    <w:p w:rsidR="00E8755F" w:rsidRDefault="00E8755F" w:rsidP="00E8755F">
      <w:pPr>
        <w:pStyle w:val="Body"/>
        <w:widowControl/>
        <w:ind w:left="576"/>
        <w:rPr>
          <w:rFonts w:ascii="Calibri" w:eastAsia="Calibri" w:hAnsi="Calibri" w:cs="Calibri"/>
        </w:rPr>
      </w:pPr>
      <w:r>
        <w:rPr>
          <w:rFonts w:ascii="Calibri" w:eastAsia="Calibri" w:hAnsi="Calibri" w:cs="Calibri"/>
        </w:rPr>
        <w:t>The redacted table shows that at year 5, the estimated number of patients was less than 10,000 and the net cost to the PBS would be $30 - $60 million.</w:t>
      </w:r>
    </w:p>
    <w:p w:rsidR="00D22514" w:rsidRDefault="00D22514" w:rsidP="00457C75">
      <w:pPr>
        <w:pStyle w:val="ListParagraph"/>
        <w:numPr>
          <w:ilvl w:val="1"/>
          <w:numId w:val="1"/>
        </w:numPr>
        <w:spacing w:before="0" w:after="120"/>
        <w:jc w:val="both"/>
      </w:pPr>
      <w:r>
        <w:lastRenderedPageBreak/>
        <w:t xml:space="preserve">The PBAC noted that revised financial estimates were provided along with the pre-PBAC response accounting for the </w:t>
      </w:r>
      <w:r w:rsidR="00A024C2">
        <w:rPr>
          <w:noProof/>
          <w:color w:val="000000"/>
          <w:highlight w:val="black"/>
        </w:rPr>
        <w:t>''''''''</w:t>
      </w:r>
      <w:r>
        <w:t>% price reduction offered; however, these estimates were not independently verified (see paragraph 6.</w:t>
      </w:r>
      <w:r w:rsidR="007129EB">
        <w:t>40</w:t>
      </w:r>
      <w:r>
        <w:t>).</w:t>
      </w:r>
    </w:p>
    <w:p w:rsidR="00577036" w:rsidRPr="00577036" w:rsidRDefault="00577036" w:rsidP="00457C75">
      <w:pPr>
        <w:pStyle w:val="ListParagraph"/>
        <w:numPr>
          <w:ilvl w:val="1"/>
          <w:numId w:val="1"/>
        </w:numPr>
        <w:spacing w:before="0" w:after="120"/>
        <w:jc w:val="both"/>
      </w:pPr>
      <w:r>
        <w:t xml:space="preserve">The DUSC considered </w:t>
      </w:r>
      <w:r w:rsidRPr="00577036">
        <w:t>that many assumptions in the utilisation estimates, including nivolumab uptake rates of</w:t>
      </w:r>
      <w:r w:rsidR="00A024C2">
        <w:rPr>
          <w:noProof/>
          <w:color w:val="000000"/>
          <w:highlight w:val="black"/>
        </w:rPr>
        <w:t xml:space="preserve"> '''''</w:t>
      </w:r>
      <w:r w:rsidRPr="00577036">
        <w:t xml:space="preserve">% of patients following PBS listing, were based on expert opinion provided by the sponsor-appointed, six member clinical advisory panel. The submission did not indicate how this six member clinical advisory panel was selected, nor was it noted whether any member had a conflict of interest. </w:t>
      </w:r>
      <w:r>
        <w:t xml:space="preserve">The </w:t>
      </w:r>
      <w:r w:rsidRPr="00577036">
        <w:t>DUSC noted</w:t>
      </w:r>
      <w:r>
        <w:t xml:space="preserve"> that</w:t>
      </w:r>
      <w:r w:rsidRPr="00577036">
        <w:t xml:space="preserve"> the </w:t>
      </w:r>
      <w:r>
        <w:t>PSCR</w:t>
      </w:r>
      <w:r w:rsidRPr="00577036">
        <w:t xml:space="preserve"> </w:t>
      </w:r>
      <w:r>
        <w:t>(p5) stated that the fi</w:t>
      </w:r>
      <w:r w:rsidRPr="00577036">
        <w:t>nancial estimates provide a robust estimate for the number of patients likely to be treated with nivolum</w:t>
      </w:r>
      <w:r w:rsidR="00E34E37">
        <w:t>ab for this patient population, and noted that the s</w:t>
      </w:r>
      <w:r w:rsidRPr="00577036">
        <w:t>ponsor is committed to working with the PBAC to address any financial uncertainties associated with listing nivolumab on the PBS for the treatment of SCCHN.</w:t>
      </w:r>
    </w:p>
    <w:p w:rsidR="00577036" w:rsidRPr="00577036" w:rsidRDefault="00E34E37" w:rsidP="00457C75">
      <w:pPr>
        <w:pStyle w:val="ListParagraph"/>
        <w:numPr>
          <w:ilvl w:val="1"/>
          <w:numId w:val="1"/>
        </w:numPr>
        <w:spacing w:before="0" w:after="120"/>
        <w:jc w:val="both"/>
      </w:pPr>
      <w:r>
        <w:t xml:space="preserve">The </w:t>
      </w:r>
      <w:r w:rsidR="00577036" w:rsidRPr="00577036">
        <w:t xml:space="preserve">DUSC </w:t>
      </w:r>
      <w:r>
        <w:t>considered that it was</w:t>
      </w:r>
      <w:r w:rsidR="00577036" w:rsidRPr="00577036">
        <w:t xml:space="preserve"> unclear if the projected eligible population accounted for the proposed PBS restriction for patients to have an ECOG performance status of 0 or 1. </w:t>
      </w:r>
      <w:r>
        <w:t xml:space="preserve">The </w:t>
      </w:r>
      <w:r w:rsidR="00577036" w:rsidRPr="00577036">
        <w:t xml:space="preserve">DUSC considered </w:t>
      </w:r>
      <w:r w:rsidR="003C60A6">
        <w:t xml:space="preserve">that </w:t>
      </w:r>
      <w:r w:rsidR="00577036" w:rsidRPr="00577036">
        <w:t xml:space="preserve">if </w:t>
      </w:r>
      <w:r w:rsidRPr="00E34E37">
        <w:rPr>
          <w:u w:val="single"/>
        </w:rPr>
        <w:t>only</w:t>
      </w:r>
      <w:r w:rsidRPr="00577036">
        <w:t xml:space="preserve"> </w:t>
      </w:r>
      <w:r w:rsidR="00577036" w:rsidRPr="00577036">
        <w:t xml:space="preserve">patients with ECOG performance statuses of 0 or 1 were included, the estimated cost would decrease by </w:t>
      </w:r>
      <w:r w:rsidR="00A024C2">
        <w:rPr>
          <w:noProof/>
          <w:color w:val="000000"/>
          <w:highlight w:val="black"/>
        </w:rPr>
        <w:t>'''''</w:t>
      </w:r>
      <w:r w:rsidR="00577036" w:rsidRPr="00577036">
        <w:t xml:space="preserve">% (i.e. based on the sponsor’s estimate of </w:t>
      </w:r>
      <w:r w:rsidR="00A024C2">
        <w:rPr>
          <w:noProof/>
          <w:color w:val="000000"/>
          <w:highlight w:val="black"/>
        </w:rPr>
        <w:t>''''''</w:t>
      </w:r>
      <w:r w:rsidR="00577036" w:rsidRPr="00577036">
        <w:t>% of patients with an ECOG performance status of 2 in the Australian setting presented in the submission).</w:t>
      </w:r>
    </w:p>
    <w:p w:rsidR="00577036" w:rsidRPr="00577036" w:rsidRDefault="00577036" w:rsidP="00457C75">
      <w:pPr>
        <w:pStyle w:val="ListParagraph"/>
        <w:numPr>
          <w:ilvl w:val="1"/>
          <w:numId w:val="1"/>
        </w:numPr>
        <w:spacing w:before="0" w:after="120"/>
        <w:jc w:val="both"/>
      </w:pPr>
      <w:r w:rsidRPr="00577036">
        <w:t xml:space="preserve">The submission estimated </w:t>
      </w:r>
      <w:r w:rsidR="00E34E37">
        <w:t xml:space="preserve">that </w:t>
      </w:r>
      <w:r w:rsidR="00A024C2">
        <w:rPr>
          <w:noProof/>
          <w:color w:val="000000"/>
          <w:highlight w:val="black"/>
        </w:rPr>
        <w:t>'''''</w:t>
      </w:r>
      <w:r w:rsidRPr="00577036">
        <w:t xml:space="preserve">% of patients who progressed after more than six months would be retreated with platinum doublet chemotherapy. </w:t>
      </w:r>
      <w:r w:rsidR="00E34E37">
        <w:t xml:space="preserve">The </w:t>
      </w:r>
      <w:r w:rsidRPr="00577036">
        <w:t xml:space="preserve">DUSC considered </w:t>
      </w:r>
      <w:r w:rsidR="00E34E37">
        <w:t xml:space="preserve">that </w:t>
      </w:r>
      <w:r w:rsidRPr="00577036">
        <w:t>many patients would not be routinely rechallenged with platinum chemotherapy, and considered this proportion was overestimated.</w:t>
      </w:r>
    </w:p>
    <w:p w:rsidR="00577036" w:rsidRPr="00577036" w:rsidRDefault="00577036" w:rsidP="00457C75">
      <w:pPr>
        <w:pStyle w:val="ListParagraph"/>
        <w:numPr>
          <w:ilvl w:val="1"/>
          <w:numId w:val="1"/>
        </w:numPr>
        <w:spacing w:before="0" w:after="120"/>
        <w:jc w:val="both"/>
      </w:pPr>
      <w:r w:rsidRPr="00577036">
        <w:t xml:space="preserve">The submission estimated that </w:t>
      </w:r>
      <w:r w:rsidR="00A024C2">
        <w:rPr>
          <w:noProof/>
          <w:color w:val="000000"/>
          <w:highlight w:val="black"/>
        </w:rPr>
        <w:t>'''''</w:t>
      </w:r>
      <w:r w:rsidRPr="00577036">
        <w:t xml:space="preserve">% of patients who progressed within six months would be treated with nivolumab. The submission also estimated </w:t>
      </w:r>
      <w:r w:rsidR="00A024C2">
        <w:rPr>
          <w:noProof/>
          <w:color w:val="000000"/>
          <w:highlight w:val="black"/>
        </w:rPr>
        <w:t>''''''</w:t>
      </w:r>
      <w:r w:rsidRPr="00577036">
        <w:t xml:space="preserve">% of patients who progressed after more than six months and were rechallenged with platinum chemotherapy, would then be treated with nivolumab. These estimates were based on advice from the </w:t>
      </w:r>
      <w:r w:rsidR="00BE5C2A">
        <w:t xml:space="preserve">sponsor-appointed </w:t>
      </w:r>
      <w:r w:rsidRPr="00577036">
        <w:t xml:space="preserve">clinical advisory panel. </w:t>
      </w:r>
      <w:r w:rsidR="00BE5C2A">
        <w:t xml:space="preserve">The </w:t>
      </w:r>
      <w:r w:rsidRPr="00577036">
        <w:t xml:space="preserve">DUSC considered </w:t>
      </w:r>
      <w:r w:rsidR="003C60A6">
        <w:t xml:space="preserve">that </w:t>
      </w:r>
      <w:r w:rsidRPr="00577036">
        <w:t>these rates were overestimated</w:t>
      </w:r>
      <w:r w:rsidR="00BE5C2A">
        <w:t xml:space="preserve">, </w:t>
      </w:r>
      <w:r w:rsidR="003C60A6">
        <w:t xml:space="preserve">and noted </w:t>
      </w:r>
      <w:r w:rsidR="00BE5C2A">
        <w:t xml:space="preserve">that </w:t>
      </w:r>
      <w:r w:rsidRPr="00577036">
        <w:t xml:space="preserve">if only the proportion of patients with ECOG 0 or 1 was included, this uptake may be still overestimated. </w:t>
      </w:r>
      <w:r w:rsidR="00AE512A">
        <w:t xml:space="preserve">The </w:t>
      </w:r>
      <w:r w:rsidR="000134B3">
        <w:t>p</w:t>
      </w:r>
      <w:r w:rsidR="00AE512A">
        <w:t xml:space="preserve">re-PBAC response (p3) argued that it was reasonable to assume that uptake rate would be high with a </w:t>
      </w:r>
      <w:r w:rsidR="00AE512A" w:rsidRPr="00AE512A">
        <w:t>new standard of care in this difficult to treat patient population</w:t>
      </w:r>
      <w:r w:rsidR="00AE512A">
        <w:t>.</w:t>
      </w:r>
    </w:p>
    <w:p w:rsidR="00577036" w:rsidRPr="00577036" w:rsidRDefault="00577036" w:rsidP="00457C75">
      <w:pPr>
        <w:pStyle w:val="ListParagraph"/>
        <w:numPr>
          <w:ilvl w:val="1"/>
          <w:numId w:val="1"/>
        </w:numPr>
        <w:spacing w:before="0" w:after="120"/>
        <w:jc w:val="both"/>
      </w:pPr>
      <w:r w:rsidRPr="00577036">
        <w:t xml:space="preserve">The submission assumed that patients would receive </w:t>
      </w:r>
      <w:r w:rsidR="00A024C2">
        <w:rPr>
          <w:noProof/>
          <w:color w:val="000000"/>
          <w:highlight w:val="black"/>
        </w:rPr>
        <w:t>''''''</w:t>
      </w:r>
      <w:r w:rsidRPr="00577036">
        <w:t xml:space="preserve"> infusions of nivolumab, based on the mean number of doses received by patients in the nivolumab arm of Trial CA209141. </w:t>
      </w:r>
      <w:r w:rsidR="00BE5C2A">
        <w:t xml:space="preserve">The </w:t>
      </w:r>
      <w:r w:rsidRPr="00577036">
        <w:t xml:space="preserve">DUSC considered </w:t>
      </w:r>
      <w:r w:rsidR="00BE5C2A">
        <w:t xml:space="preserve">that </w:t>
      </w:r>
      <w:r w:rsidRPr="00577036">
        <w:t xml:space="preserve">the assumption of </w:t>
      </w:r>
      <w:r w:rsidR="00A024C2">
        <w:rPr>
          <w:noProof/>
          <w:color w:val="000000"/>
          <w:highlight w:val="black"/>
        </w:rPr>
        <w:t>'''''''</w:t>
      </w:r>
      <w:r w:rsidRPr="00577036">
        <w:t xml:space="preserve"> infusions of nivolumab may underestimate use if there is a high rate</w:t>
      </w:r>
      <w:r>
        <w:t xml:space="preserve"> of post-progression treatment.</w:t>
      </w:r>
      <w:r w:rsidR="00CC4811" w:rsidRPr="00CC4811">
        <w:t xml:space="preserve"> </w:t>
      </w:r>
      <w:r w:rsidR="00CC4811">
        <w:t xml:space="preserve">The </w:t>
      </w:r>
      <w:r w:rsidR="000134B3">
        <w:t>p</w:t>
      </w:r>
      <w:r w:rsidR="00CC4811">
        <w:t>re-PBAC response (p3) stated that</w:t>
      </w:r>
      <w:r w:rsidR="006B6888">
        <w:t>,</w:t>
      </w:r>
      <w:r w:rsidR="00CC4811">
        <w:t xml:space="preserve"> i</w:t>
      </w:r>
      <w:r w:rsidR="00CC4811" w:rsidRPr="00CC4811">
        <w:t>n accepting the application of additional nivolumab costs to account for treatment beyond progression by applying modelled nivolumab PFS pl</w:t>
      </w:r>
      <w:r w:rsidR="00CC4811">
        <w:t xml:space="preserve">us </w:t>
      </w:r>
      <w:r w:rsidR="00A024C2">
        <w:rPr>
          <w:noProof/>
          <w:color w:val="000000"/>
          <w:highlight w:val="black"/>
        </w:rPr>
        <w:t>'''''''''</w:t>
      </w:r>
      <w:r w:rsidR="00CC4811">
        <w:t>% to the base case</w:t>
      </w:r>
      <w:r w:rsidR="00D22514">
        <w:t xml:space="preserve"> (see paragraph 6.</w:t>
      </w:r>
      <w:r w:rsidR="007129EB">
        <w:t>40</w:t>
      </w:r>
      <w:r w:rsidR="00DE0A91">
        <w:t>)</w:t>
      </w:r>
      <w:r w:rsidR="00CC4811">
        <w:t>, the s</w:t>
      </w:r>
      <w:r w:rsidR="00CC4811" w:rsidRPr="00CC4811">
        <w:t>ponsor concurrently accept</w:t>
      </w:r>
      <w:r w:rsidR="00CC4811">
        <w:t>ed</w:t>
      </w:r>
      <w:r w:rsidR="00CC4811" w:rsidRPr="00CC4811">
        <w:t xml:space="preserve"> an increase in mean </w:t>
      </w:r>
      <w:r w:rsidR="00CC4811">
        <w:t>duration of treatment</w:t>
      </w:r>
      <w:r w:rsidR="00CC4811" w:rsidRPr="00CC4811">
        <w:t xml:space="preserve"> from </w:t>
      </w:r>
      <w:r w:rsidR="00A024C2">
        <w:rPr>
          <w:noProof/>
          <w:color w:val="000000"/>
          <w:highlight w:val="black"/>
        </w:rPr>
        <w:t>''''''</w:t>
      </w:r>
      <w:r w:rsidR="00CC4811" w:rsidRPr="00CC4811">
        <w:t xml:space="preserve"> infusions to </w:t>
      </w:r>
      <w:r w:rsidR="00A024C2">
        <w:rPr>
          <w:noProof/>
          <w:color w:val="000000"/>
          <w:highlight w:val="black"/>
        </w:rPr>
        <w:t>''''''''</w:t>
      </w:r>
      <w:r w:rsidR="00CC4811" w:rsidRPr="00CC4811">
        <w:t xml:space="preserve"> infusions per patient.</w:t>
      </w:r>
    </w:p>
    <w:p w:rsidR="00577036" w:rsidRDefault="00577036" w:rsidP="00457C75">
      <w:pPr>
        <w:pStyle w:val="ListParagraph"/>
        <w:numPr>
          <w:ilvl w:val="1"/>
          <w:numId w:val="1"/>
        </w:numPr>
        <w:spacing w:before="0" w:after="120"/>
        <w:jc w:val="both"/>
      </w:pPr>
      <w:r w:rsidRPr="00577036">
        <w:t xml:space="preserve">The submission assumed that patients would weigh </w:t>
      </w:r>
      <w:r w:rsidR="00A024C2">
        <w:rPr>
          <w:noProof/>
          <w:color w:val="000000"/>
          <w:highlight w:val="black"/>
        </w:rPr>
        <w:t>''''''''</w:t>
      </w:r>
      <w:r w:rsidRPr="00577036">
        <w:t xml:space="preserve"> kg and have a height of </w:t>
      </w:r>
      <w:r w:rsidR="00A024C2">
        <w:rPr>
          <w:noProof/>
          <w:color w:val="000000"/>
          <w:highlight w:val="black"/>
        </w:rPr>
        <w:t>''''''''''</w:t>
      </w:r>
      <w:r w:rsidRPr="00577036">
        <w:t xml:space="preserve"> cm, based on Trial CA209141. </w:t>
      </w:r>
      <w:r w:rsidR="00BE5C2A">
        <w:t xml:space="preserve">The DUSC considered that </w:t>
      </w:r>
      <w:r w:rsidRPr="00577036">
        <w:t>the patient weights in the clinical study seemed lower than expected for the Australian setting</w:t>
      </w:r>
      <w:r w:rsidR="006B6888">
        <w:t>,</w:t>
      </w:r>
      <w:r w:rsidR="00BE5C2A">
        <w:t xml:space="preserve"> noting that </w:t>
      </w:r>
      <w:r w:rsidRPr="00577036">
        <w:t xml:space="preserve">the </w:t>
      </w:r>
      <w:r w:rsidRPr="00577036">
        <w:lastRenderedPageBreak/>
        <w:t xml:space="preserve">average 55-64 year old Australian weighs 89.2 </w:t>
      </w:r>
      <w:r w:rsidR="00BE5C2A">
        <w:t>kg</w:t>
      </w:r>
      <w:r w:rsidR="00BE5C2A">
        <w:rPr>
          <w:rStyle w:val="FootnoteReference"/>
        </w:rPr>
        <w:footnoteReference w:id="7"/>
      </w:r>
      <w:r w:rsidR="00BE5C2A">
        <w:t>.</w:t>
      </w:r>
      <w:r w:rsidRPr="00577036">
        <w:t xml:space="preserve"> </w:t>
      </w:r>
      <w:r w:rsidR="00F75D33">
        <w:t xml:space="preserve">The </w:t>
      </w:r>
      <w:r w:rsidRPr="00577036">
        <w:t>DUSC c</w:t>
      </w:r>
      <w:r w:rsidR="00F75D33">
        <w:t xml:space="preserve">onsidered </w:t>
      </w:r>
      <w:r w:rsidRPr="00577036">
        <w:t xml:space="preserve">that although weight loss is common in patients with </w:t>
      </w:r>
      <w:r w:rsidR="00F75D33">
        <w:t>this condition</w:t>
      </w:r>
      <w:r w:rsidRPr="00577036">
        <w:t>,</w:t>
      </w:r>
      <w:r w:rsidR="00F75D33">
        <w:t xml:space="preserve"> weight loss would be minimal </w:t>
      </w:r>
      <w:r w:rsidRPr="00577036">
        <w:t xml:space="preserve">in patients with ECOG of 0 or 1. </w:t>
      </w:r>
      <w:r w:rsidR="00F75D33">
        <w:t xml:space="preserve">The </w:t>
      </w:r>
      <w:r w:rsidRPr="00577036">
        <w:t xml:space="preserve">DUSC considered </w:t>
      </w:r>
      <w:r w:rsidR="00F75D33">
        <w:t>that</w:t>
      </w:r>
      <w:r w:rsidR="006B6888">
        <w:t>,</w:t>
      </w:r>
      <w:r w:rsidR="00F75D33">
        <w:t xml:space="preserve"> </w:t>
      </w:r>
      <w:r w:rsidRPr="00577036">
        <w:t>in practice</w:t>
      </w:r>
      <w:r w:rsidR="00F75D33">
        <w:t>,</w:t>
      </w:r>
      <w:r w:rsidRPr="00577036">
        <w:t xml:space="preserve"> patients are likely to weigh 10% more than estimated in the submission. </w:t>
      </w:r>
      <w:r w:rsidR="00CC4811" w:rsidRPr="00CC4811">
        <w:t xml:space="preserve">The </w:t>
      </w:r>
      <w:r w:rsidR="000134B3">
        <w:t>p</w:t>
      </w:r>
      <w:r w:rsidR="00CC4811">
        <w:t>re-PBAC response (p3) maintained</w:t>
      </w:r>
      <w:r w:rsidR="00CC4811" w:rsidRPr="00CC4811">
        <w:t xml:space="preserve"> that in the absence of Australian data </w:t>
      </w:r>
      <w:r w:rsidR="00CC4811">
        <w:t>specific to SCCHN patients, it wa</w:t>
      </w:r>
      <w:r w:rsidR="00CC4811" w:rsidRPr="00CC4811">
        <w:t>s appropriate to us</w:t>
      </w:r>
      <w:r w:rsidR="00CC4811">
        <w:t>e the mean patient weight from s</w:t>
      </w:r>
      <w:r w:rsidR="00CC4811" w:rsidRPr="00CC4811">
        <w:t>tudy CA209141 to inform mean dose per patient.</w:t>
      </w:r>
    </w:p>
    <w:p w:rsidR="00642B3F" w:rsidRPr="00577036" w:rsidRDefault="00642B3F" w:rsidP="00457C75">
      <w:pPr>
        <w:pStyle w:val="ListParagraph"/>
        <w:numPr>
          <w:ilvl w:val="1"/>
          <w:numId w:val="1"/>
        </w:numPr>
        <w:spacing w:before="0" w:after="120"/>
        <w:jc w:val="both"/>
      </w:pPr>
      <w:r>
        <w:t xml:space="preserve">The DUSC </w:t>
      </w:r>
      <w:r w:rsidR="007F4973">
        <w:t>advised</w:t>
      </w:r>
      <w:r>
        <w:t xml:space="preserve"> that a large proportion of patients with stage IV (metastatic) head and neck cancer will have an ECOG status greater than 1, and will </w:t>
      </w:r>
      <w:r w:rsidR="007F4973">
        <w:t xml:space="preserve">therefore </w:t>
      </w:r>
      <w:r>
        <w:t>have significant functional impairment. The DUSC therefore considered that there is a high risk of nivolumab use beyond the PBS restriction to treat these patients.</w:t>
      </w:r>
    </w:p>
    <w:p w:rsidR="00C317F3" w:rsidRPr="00424FE4" w:rsidRDefault="00C317F3" w:rsidP="00772501">
      <w:pPr>
        <w:pStyle w:val="Heading2"/>
      </w:pPr>
      <w:bookmarkStart w:id="27" w:name="_Toc413139285"/>
      <w:bookmarkStart w:id="28" w:name="_Toc493002797"/>
      <w:r w:rsidRPr="00424FE4">
        <w:t xml:space="preserve">Quality </w:t>
      </w:r>
      <w:r w:rsidR="00661286" w:rsidRPr="00424FE4">
        <w:t>u</w:t>
      </w:r>
      <w:r w:rsidRPr="00424FE4">
        <w:t xml:space="preserve">se of </w:t>
      </w:r>
      <w:r w:rsidR="00661286" w:rsidRPr="00424FE4">
        <w:t>m</w:t>
      </w:r>
      <w:r w:rsidRPr="00424FE4">
        <w:t>edicines</w:t>
      </w:r>
      <w:bookmarkEnd w:id="27"/>
      <w:bookmarkEnd w:id="28"/>
    </w:p>
    <w:p w:rsidR="00C317F3" w:rsidRDefault="006E77BE" w:rsidP="00457C75">
      <w:pPr>
        <w:pStyle w:val="ListParagraph"/>
        <w:numPr>
          <w:ilvl w:val="1"/>
          <w:numId w:val="1"/>
        </w:numPr>
        <w:spacing w:before="0" w:after="120"/>
        <w:jc w:val="both"/>
      </w:pPr>
      <w:r w:rsidRPr="00F67030">
        <w:t xml:space="preserve">The submission proposed </w:t>
      </w:r>
      <w:r w:rsidR="00AC1366" w:rsidRPr="00F67030">
        <w:t xml:space="preserve">that the sponsor would provide </w:t>
      </w:r>
      <w:r w:rsidRPr="00F67030">
        <w:t>continued support and education to practitioners and patients who have not used nivolumab, through an education, information and a</w:t>
      </w:r>
      <w:r w:rsidR="00710DB2">
        <w:t>dverse effect awareness program</w:t>
      </w:r>
      <w:r w:rsidR="00577036">
        <w:t>.</w:t>
      </w:r>
    </w:p>
    <w:p w:rsidR="00C317F3" w:rsidRPr="00424FE4" w:rsidRDefault="00C317F3" w:rsidP="00772501">
      <w:pPr>
        <w:pStyle w:val="Heading2"/>
      </w:pPr>
      <w:bookmarkStart w:id="29" w:name="_Toc413139286"/>
      <w:bookmarkStart w:id="30" w:name="_Toc493002798"/>
      <w:r w:rsidRPr="00424FE4">
        <w:t xml:space="preserve">Financial </w:t>
      </w:r>
      <w:r w:rsidR="00661286" w:rsidRPr="00424FE4">
        <w:t>m</w:t>
      </w:r>
      <w:r w:rsidRPr="00424FE4">
        <w:t xml:space="preserve">anagement – </w:t>
      </w:r>
      <w:r w:rsidR="00661286" w:rsidRPr="00424FE4">
        <w:t>r</w:t>
      </w:r>
      <w:r w:rsidRPr="00424FE4">
        <w:t xml:space="preserve">isk </w:t>
      </w:r>
      <w:r w:rsidR="00661286" w:rsidRPr="00424FE4">
        <w:t>s</w:t>
      </w:r>
      <w:r w:rsidRPr="00424FE4">
        <w:t xml:space="preserve">haring </w:t>
      </w:r>
      <w:r w:rsidR="00661286" w:rsidRPr="00424FE4">
        <w:t>a</w:t>
      </w:r>
      <w:r w:rsidRPr="00424FE4">
        <w:t>rrangements</w:t>
      </w:r>
      <w:bookmarkEnd w:id="29"/>
      <w:bookmarkEnd w:id="30"/>
    </w:p>
    <w:p w:rsidR="00C317F3" w:rsidRDefault="008849B6" w:rsidP="00457C75">
      <w:pPr>
        <w:pStyle w:val="ListParagraph"/>
        <w:numPr>
          <w:ilvl w:val="1"/>
          <w:numId w:val="1"/>
        </w:numPr>
        <w:spacing w:before="0" w:after="120"/>
        <w:jc w:val="both"/>
      </w:pPr>
      <w:r w:rsidRPr="00F67030">
        <w:t xml:space="preserve">The submission </w:t>
      </w:r>
      <w:r w:rsidR="00AC1366" w:rsidRPr="00F67030">
        <w:t>indicated that the sponsor w</w:t>
      </w:r>
      <w:r w:rsidR="00B9289C" w:rsidRPr="00F67030">
        <w:t>ould be</w:t>
      </w:r>
      <w:r w:rsidRPr="00F67030">
        <w:t xml:space="preserve"> willing to consider addressing residual uncertainty identified by the PBAC through a risk-sharing arrangement</w:t>
      </w:r>
      <w:r w:rsidR="00AC1366" w:rsidRPr="00F67030">
        <w:t>; however,</w:t>
      </w:r>
      <w:r w:rsidRPr="00F67030">
        <w:t xml:space="preserve"> </w:t>
      </w:r>
      <w:r w:rsidR="00CB5EE1" w:rsidRPr="00F67030">
        <w:t>details of a risk-sharing arrangement were</w:t>
      </w:r>
      <w:r w:rsidR="00AC1366" w:rsidRPr="00F67030">
        <w:t xml:space="preserve"> not proposed.</w:t>
      </w:r>
      <w:r w:rsidRPr="00F67030">
        <w:t xml:space="preserve"> </w:t>
      </w:r>
      <w:r w:rsidR="009E798B" w:rsidRPr="00F67030">
        <w:t>A</w:t>
      </w:r>
      <w:r w:rsidRPr="00F67030">
        <w:t xml:space="preserve"> risk-sharing arrangement</w:t>
      </w:r>
      <w:r w:rsidR="00AC1366" w:rsidRPr="00F67030">
        <w:t xml:space="preserve"> to address the uncertainty due to the</w:t>
      </w:r>
      <w:r w:rsidRPr="00F67030">
        <w:t xml:space="preserve"> duration of </w:t>
      </w:r>
      <w:r w:rsidR="00B9289C" w:rsidRPr="00F67030">
        <w:t xml:space="preserve">nivolumab </w:t>
      </w:r>
      <w:r w:rsidRPr="00F67030">
        <w:t>therapy</w:t>
      </w:r>
      <w:r w:rsidR="00AC1366" w:rsidRPr="00F67030">
        <w:t xml:space="preserve"> could be considered.</w:t>
      </w:r>
    </w:p>
    <w:p w:rsidR="008828CA" w:rsidRDefault="00710DB2" w:rsidP="008828CA">
      <w:pPr>
        <w:widowControl w:val="0"/>
        <w:spacing w:before="240" w:after="120"/>
        <w:ind w:left="720"/>
        <w:jc w:val="both"/>
        <w:rPr>
          <w:rFonts w:cs="Arial"/>
          <w:b/>
          <w:bCs/>
          <w:snapToGrid w:val="0"/>
          <w:sz w:val="32"/>
        </w:rPr>
      </w:pPr>
      <w:r w:rsidRPr="008554A4">
        <w:rPr>
          <w:i/>
        </w:rPr>
        <w:t>For more detail on PBAC’s view, see section 7 PBAC outcome.</w:t>
      </w:r>
    </w:p>
    <w:p w:rsidR="003B7496" w:rsidRPr="003B7496" w:rsidRDefault="008828CA" w:rsidP="00457C75">
      <w:pPr>
        <w:pStyle w:val="Heading1"/>
        <w:ind w:left="709" w:hanging="709"/>
      </w:pPr>
      <w:r w:rsidRPr="003B7496">
        <w:t xml:space="preserve">PBAC </w:t>
      </w:r>
      <w:r w:rsidR="006D40B7" w:rsidRPr="003B7496">
        <w:t>o</w:t>
      </w:r>
      <w:r w:rsidRPr="003B7496">
        <w:t>utcome</w:t>
      </w:r>
    </w:p>
    <w:p w:rsidR="008828CA" w:rsidRPr="00647F11" w:rsidRDefault="008828CA" w:rsidP="00457C75">
      <w:pPr>
        <w:numPr>
          <w:ilvl w:val="1"/>
          <w:numId w:val="1"/>
        </w:numPr>
        <w:spacing w:before="0" w:after="120"/>
        <w:jc w:val="both"/>
      </w:pPr>
      <w:r w:rsidRPr="00B9740F">
        <w:rPr>
          <w:rFonts w:cs="Arial"/>
          <w:bCs/>
          <w:snapToGrid w:val="0"/>
          <w:lang w:val="en-GB"/>
        </w:rPr>
        <w:t xml:space="preserve">The PBAC </w:t>
      </w:r>
      <w:r w:rsidR="00841CAD">
        <w:rPr>
          <w:rFonts w:cs="Arial"/>
          <w:bCs/>
          <w:snapToGrid w:val="0"/>
          <w:lang w:val="en-GB"/>
        </w:rPr>
        <w:t>decided</w:t>
      </w:r>
      <w:r>
        <w:rPr>
          <w:rFonts w:cs="Arial"/>
          <w:bCs/>
          <w:snapToGrid w:val="0"/>
          <w:lang w:val="en-GB"/>
        </w:rPr>
        <w:t xml:space="preserve"> not </w:t>
      </w:r>
      <w:r w:rsidR="00841CAD">
        <w:rPr>
          <w:rFonts w:cs="Arial"/>
          <w:bCs/>
          <w:snapToGrid w:val="0"/>
          <w:lang w:val="en-GB"/>
        </w:rPr>
        <w:t xml:space="preserve">to </w:t>
      </w:r>
      <w:r w:rsidRPr="00B9740F">
        <w:rPr>
          <w:rFonts w:cs="Arial"/>
          <w:bCs/>
          <w:snapToGrid w:val="0"/>
          <w:lang w:val="en-GB"/>
        </w:rPr>
        <w:t xml:space="preserve">recommend </w:t>
      </w:r>
      <w:r>
        <w:rPr>
          <w:rFonts w:cs="Arial"/>
          <w:bCs/>
          <w:snapToGrid w:val="0"/>
          <w:lang w:val="en-GB"/>
        </w:rPr>
        <w:t>the Section 100 (</w:t>
      </w:r>
      <w:r w:rsidRPr="008F458D">
        <w:rPr>
          <w:rFonts w:cs="Arial"/>
          <w:bCs/>
          <w:snapToGrid w:val="0"/>
          <w:lang w:val="en-GB"/>
        </w:rPr>
        <w:t xml:space="preserve">Efficient Funding of Chemotherapy </w:t>
      </w:r>
      <w:r>
        <w:rPr>
          <w:rFonts w:cs="Arial"/>
          <w:bCs/>
          <w:snapToGrid w:val="0"/>
          <w:lang w:val="en-GB"/>
        </w:rPr>
        <w:t xml:space="preserve">- </w:t>
      </w:r>
      <w:r w:rsidRPr="008F458D">
        <w:rPr>
          <w:rFonts w:cs="Arial"/>
          <w:bCs/>
          <w:snapToGrid w:val="0"/>
          <w:lang w:val="en-GB"/>
        </w:rPr>
        <w:t>Public and Private Hospita</w:t>
      </w:r>
      <w:r>
        <w:rPr>
          <w:rFonts w:cs="Arial"/>
          <w:bCs/>
          <w:snapToGrid w:val="0"/>
          <w:lang w:val="en-GB"/>
        </w:rPr>
        <w:t xml:space="preserve">l) Authority Required (STREAMLINED) </w:t>
      </w:r>
      <w:r w:rsidRPr="00B9740F">
        <w:rPr>
          <w:rFonts w:cs="Arial"/>
          <w:bCs/>
          <w:snapToGrid w:val="0"/>
          <w:lang w:val="en-GB"/>
        </w:rPr>
        <w:t xml:space="preserve">listing of </w:t>
      </w:r>
      <w:r>
        <w:t>nivolumab</w:t>
      </w:r>
      <w:r>
        <w:rPr>
          <w:rFonts w:cs="Arial"/>
          <w:bCs/>
          <w:snapToGrid w:val="0"/>
          <w:lang w:val="en-GB"/>
        </w:rPr>
        <w:t xml:space="preserve"> </w:t>
      </w:r>
      <w:r w:rsidRPr="000114D4">
        <w:t>for the treatment</w:t>
      </w:r>
      <w:r w:rsidR="001B27C6">
        <w:t xml:space="preserve"> of S</w:t>
      </w:r>
      <w:r>
        <w:t>C</w:t>
      </w:r>
      <w:r w:rsidR="001B27C6">
        <w:t>C</w:t>
      </w:r>
      <w:r>
        <w:t xml:space="preserve">HN. </w:t>
      </w:r>
      <w:r w:rsidRPr="00A12B2B">
        <w:t xml:space="preserve">The PBAC advised that there was uncertainty in the nature and magnitude of its incremental clinical benefit in Australian clinical practice, and a high </w:t>
      </w:r>
      <w:r w:rsidRPr="00647F11">
        <w:t>and overoptimistic estimated incremental cost effectiveness ratio at the price proposed by the submission.</w:t>
      </w:r>
    </w:p>
    <w:p w:rsidR="008828CA" w:rsidRPr="00647F11" w:rsidRDefault="008828CA" w:rsidP="00457C75">
      <w:pPr>
        <w:numPr>
          <w:ilvl w:val="1"/>
          <w:numId w:val="1"/>
        </w:numPr>
        <w:spacing w:before="0" w:after="120"/>
        <w:jc w:val="both"/>
      </w:pPr>
      <w:r w:rsidRPr="00647F11">
        <w:t>Consistent with the clinical evidence presented in the submission and advice received from DUSC (s</w:t>
      </w:r>
      <w:r w:rsidR="007129EB">
        <w:t>ee para</w:t>
      </w:r>
      <w:r w:rsidR="0076511A">
        <w:t>graph</w:t>
      </w:r>
      <w:r w:rsidR="007129EB">
        <w:t xml:space="preserve"> 3.2</w:t>
      </w:r>
      <w:r w:rsidRPr="00647F11">
        <w:t xml:space="preserve">), the PBAC advised that </w:t>
      </w:r>
      <w:r w:rsidR="00DE0A91">
        <w:t xml:space="preserve">the “PBS indication” component of </w:t>
      </w:r>
      <w:r w:rsidR="00841CAD">
        <w:t xml:space="preserve">any PBS restriction </w:t>
      </w:r>
      <w:r w:rsidRPr="00647F11">
        <w:t>should exclude the nasopharyngeal subgroup of SCCHN. The PBAC advised that all remaining aspects of the proposed restriction were appropriate</w:t>
      </w:r>
      <w:r w:rsidR="001B27C6">
        <w:t xml:space="preserve"> and consistent with the current listing of nivolumab for</w:t>
      </w:r>
      <w:r w:rsidR="001B27C6" w:rsidRPr="00313836">
        <w:t xml:space="preserve"> unresectable Stage III or Stage IV malignant melanoma, </w:t>
      </w:r>
      <w:r w:rsidR="001B27C6">
        <w:t>NSCLC</w:t>
      </w:r>
      <w:r w:rsidR="001B27C6" w:rsidRPr="00313836">
        <w:t xml:space="preserve">, and </w:t>
      </w:r>
      <w:r w:rsidR="001B27C6">
        <w:t>RCC.</w:t>
      </w:r>
    </w:p>
    <w:p w:rsidR="008828CA" w:rsidRDefault="008828CA" w:rsidP="00457C75">
      <w:pPr>
        <w:numPr>
          <w:ilvl w:val="1"/>
          <w:numId w:val="1"/>
        </w:numPr>
        <w:spacing w:before="0" w:after="120"/>
        <w:jc w:val="both"/>
      </w:pPr>
      <w:r w:rsidRPr="00647F11">
        <w:t>The PBAC considered that the proposed</w:t>
      </w:r>
      <w:r>
        <w:t xml:space="preserve"> place </w:t>
      </w:r>
      <w:r w:rsidR="00841CAD">
        <w:t xml:space="preserve">of nivolumab </w:t>
      </w:r>
      <w:r>
        <w:t xml:space="preserve">in clinical therapy was appropriate, and advised that </w:t>
      </w:r>
      <w:r w:rsidR="00841CAD">
        <w:t xml:space="preserve">subsidised </w:t>
      </w:r>
      <w:r>
        <w:t xml:space="preserve">access to nivolumab should not be </w:t>
      </w:r>
      <w:r w:rsidR="00841CAD">
        <w:t xml:space="preserve">made </w:t>
      </w:r>
      <w:r>
        <w:t xml:space="preserve">conditional </w:t>
      </w:r>
      <w:r w:rsidR="00841CAD">
        <w:t>on</w:t>
      </w:r>
      <w:r>
        <w:t xml:space="preserve"> PD-L1 </w:t>
      </w:r>
      <w:r w:rsidR="00841CAD">
        <w:t xml:space="preserve">expression </w:t>
      </w:r>
      <w:r>
        <w:t xml:space="preserve">status, consistent with the current PBS listing of </w:t>
      </w:r>
      <w:r>
        <w:lastRenderedPageBreak/>
        <w:t>nivolumab for</w:t>
      </w:r>
      <w:r w:rsidRPr="00313836">
        <w:t xml:space="preserve"> unresectable Stage III or Stage IV malignant melanoma, </w:t>
      </w:r>
      <w:r w:rsidR="00226EB7">
        <w:t>NSCLC</w:t>
      </w:r>
      <w:r w:rsidRPr="00313836">
        <w:t xml:space="preserve">, and </w:t>
      </w:r>
      <w:r w:rsidR="00226EB7">
        <w:t>RCC</w:t>
      </w:r>
      <w:r>
        <w:t>.</w:t>
      </w:r>
    </w:p>
    <w:p w:rsidR="008828CA" w:rsidRPr="00A5697E" w:rsidRDefault="008828CA" w:rsidP="00457C75">
      <w:pPr>
        <w:pStyle w:val="ListParagraph"/>
        <w:numPr>
          <w:ilvl w:val="1"/>
          <w:numId w:val="1"/>
        </w:numPr>
        <w:jc w:val="both"/>
        <w:rPr>
          <w:rFonts w:cs="Arial"/>
          <w:bCs/>
          <w:snapToGrid w:val="0"/>
          <w:lang w:val="en-GB"/>
        </w:rPr>
      </w:pPr>
      <w:r w:rsidRPr="00A5697E">
        <w:rPr>
          <w:rFonts w:cs="Arial"/>
          <w:bCs/>
          <w:snapToGrid w:val="0"/>
          <w:lang w:val="en-GB"/>
        </w:rPr>
        <w:t xml:space="preserve">The </w:t>
      </w:r>
      <w:r>
        <w:rPr>
          <w:rFonts w:cs="Arial"/>
          <w:bCs/>
          <w:snapToGrid w:val="0"/>
          <w:lang w:val="en-GB"/>
        </w:rPr>
        <w:t xml:space="preserve">PBAC noted that the </w:t>
      </w:r>
      <w:r w:rsidRPr="00A5697E">
        <w:rPr>
          <w:rFonts w:cs="Arial"/>
          <w:bCs/>
          <w:snapToGrid w:val="0"/>
          <w:lang w:val="en-GB"/>
        </w:rPr>
        <w:t xml:space="preserve">comparators differed between those included in the investigator’s choice of therapy arm of Trial CA209141 (docetaxel, methotrexate, or cetuximab) and </w:t>
      </w:r>
      <w:r>
        <w:rPr>
          <w:rFonts w:cs="Arial"/>
          <w:bCs/>
          <w:snapToGrid w:val="0"/>
          <w:lang w:val="en-GB"/>
        </w:rPr>
        <w:t>SOC</w:t>
      </w:r>
      <w:r w:rsidRPr="00A5697E">
        <w:rPr>
          <w:rFonts w:cs="Arial"/>
          <w:bCs/>
          <w:snapToGrid w:val="0"/>
          <w:lang w:val="en-GB"/>
        </w:rPr>
        <w:t xml:space="preserve"> in the Australian setting (paclitaxel, docetaxel, methotrexate, or capecitabine). </w:t>
      </w:r>
      <w:r>
        <w:rPr>
          <w:rFonts w:cs="Arial"/>
          <w:bCs/>
          <w:snapToGrid w:val="0"/>
          <w:lang w:val="en-GB"/>
        </w:rPr>
        <w:t>Although the PSCR (p2) and pre-PBAC response (p1) argued</w:t>
      </w:r>
      <w:r w:rsidRPr="00A5697E">
        <w:rPr>
          <w:rFonts w:cs="Arial"/>
          <w:bCs/>
          <w:snapToGrid w:val="0"/>
          <w:lang w:val="en-GB"/>
        </w:rPr>
        <w:t xml:space="preserve"> that </w:t>
      </w:r>
      <w:r>
        <w:rPr>
          <w:rFonts w:cs="Arial"/>
          <w:bCs/>
          <w:snapToGrid w:val="0"/>
          <w:lang w:val="en-GB"/>
        </w:rPr>
        <w:t>S</w:t>
      </w:r>
      <w:r w:rsidRPr="00A5697E">
        <w:rPr>
          <w:rFonts w:cs="Arial"/>
          <w:bCs/>
          <w:snapToGrid w:val="0"/>
          <w:lang w:val="en-GB"/>
        </w:rPr>
        <w:t>OC in Australia for treating this condition is varied, and therefore the treatments in the study’s comparator arm were representative of the results expected with SOC in Au</w:t>
      </w:r>
      <w:r>
        <w:rPr>
          <w:rFonts w:cs="Arial"/>
          <w:bCs/>
          <w:snapToGrid w:val="0"/>
          <w:lang w:val="en-GB"/>
        </w:rPr>
        <w:t xml:space="preserve">stralia, the PBAC agreed with ESC, and advised that </w:t>
      </w:r>
      <w:r w:rsidRPr="00A5697E">
        <w:rPr>
          <w:rFonts w:cs="Arial"/>
          <w:bCs/>
          <w:snapToGrid w:val="0"/>
          <w:lang w:val="en-GB"/>
        </w:rPr>
        <w:t xml:space="preserve">the applicability of the results to the Australian setting remained uncertain. </w:t>
      </w:r>
      <w:r>
        <w:rPr>
          <w:rFonts w:cs="Arial"/>
          <w:bCs/>
          <w:snapToGrid w:val="0"/>
          <w:lang w:val="en-GB"/>
        </w:rPr>
        <w:t xml:space="preserve">The PBAC remained particularly </w:t>
      </w:r>
      <w:r w:rsidRPr="00A5697E">
        <w:rPr>
          <w:rFonts w:cs="Arial"/>
          <w:bCs/>
          <w:snapToGrid w:val="0"/>
          <w:lang w:val="en-GB"/>
        </w:rPr>
        <w:t>unc</w:t>
      </w:r>
      <w:r w:rsidR="00841CAD">
        <w:rPr>
          <w:rFonts w:cs="Arial"/>
          <w:bCs/>
          <w:snapToGrid w:val="0"/>
          <w:lang w:val="en-GB"/>
        </w:rPr>
        <w:t>ertain</w:t>
      </w:r>
      <w:r w:rsidRPr="00A5697E">
        <w:rPr>
          <w:rFonts w:cs="Arial"/>
          <w:bCs/>
          <w:snapToGrid w:val="0"/>
          <w:lang w:val="en-GB"/>
        </w:rPr>
        <w:t xml:space="preserve"> </w:t>
      </w:r>
      <w:r>
        <w:rPr>
          <w:rFonts w:cs="Arial"/>
          <w:bCs/>
          <w:snapToGrid w:val="0"/>
          <w:lang w:val="en-GB"/>
        </w:rPr>
        <w:t xml:space="preserve">about the </w:t>
      </w:r>
      <w:r w:rsidR="00841CAD">
        <w:rPr>
          <w:rFonts w:cs="Arial"/>
          <w:bCs/>
          <w:snapToGrid w:val="0"/>
          <w:lang w:val="en-GB"/>
        </w:rPr>
        <w:t>consequence</w:t>
      </w:r>
      <w:r>
        <w:rPr>
          <w:rFonts w:cs="Arial"/>
          <w:bCs/>
          <w:snapToGrid w:val="0"/>
          <w:lang w:val="en-GB"/>
        </w:rPr>
        <w:t xml:space="preserve"> of replacing</w:t>
      </w:r>
      <w:r w:rsidRPr="00A5697E">
        <w:rPr>
          <w:rFonts w:cs="Arial"/>
          <w:bCs/>
          <w:snapToGrid w:val="0"/>
          <w:lang w:val="en-GB"/>
        </w:rPr>
        <w:t xml:space="preserve"> cetuximab </w:t>
      </w:r>
      <w:r>
        <w:rPr>
          <w:rFonts w:cs="Arial"/>
          <w:bCs/>
          <w:snapToGrid w:val="0"/>
          <w:lang w:val="en-GB"/>
        </w:rPr>
        <w:t xml:space="preserve">with </w:t>
      </w:r>
      <w:r w:rsidRPr="00A5697E">
        <w:rPr>
          <w:rFonts w:cs="Arial"/>
          <w:bCs/>
          <w:snapToGrid w:val="0"/>
          <w:lang w:val="en-GB"/>
        </w:rPr>
        <w:t xml:space="preserve">capecitabine as a comparator </w:t>
      </w:r>
      <w:r>
        <w:rPr>
          <w:rFonts w:cs="Arial"/>
          <w:bCs/>
          <w:snapToGrid w:val="0"/>
          <w:lang w:val="en-GB"/>
        </w:rPr>
        <w:t>on</w:t>
      </w:r>
      <w:r w:rsidRPr="00A5697E">
        <w:rPr>
          <w:rFonts w:cs="Arial"/>
          <w:bCs/>
          <w:snapToGrid w:val="0"/>
          <w:lang w:val="en-GB"/>
        </w:rPr>
        <w:t xml:space="preserve"> the incremental effectiveness of nivolumab.</w:t>
      </w:r>
    </w:p>
    <w:p w:rsidR="008828CA" w:rsidRDefault="008828CA" w:rsidP="00457C75">
      <w:pPr>
        <w:numPr>
          <w:ilvl w:val="1"/>
          <w:numId w:val="1"/>
        </w:numPr>
        <w:spacing w:before="0" w:after="120"/>
        <w:jc w:val="both"/>
      </w:pPr>
      <w:r>
        <w:t xml:space="preserve">The PBAC noted that </w:t>
      </w:r>
      <w:r w:rsidR="00DA5E27">
        <w:t xml:space="preserve">the </w:t>
      </w:r>
      <w:r w:rsidRPr="009556AB">
        <w:t xml:space="preserve">submission was based on </w:t>
      </w:r>
      <w:r>
        <w:t>a</w:t>
      </w:r>
      <w:r w:rsidRPr="009556AB">
        <w:t xml:space="preserve"> direct randomised trial comparing nivolumab to investigator's choice of a single agent therapy consisting of either docetaxel </w:t>
      </w:r>
      <w:r>
        <w:t>or</w:t>
      </w:r>
      <w:r w:rsidRPr="009556AB">
        <w:t xml:space="preserve"> methotrexate </w:t>
      </w:r>
      <w:r>
        <w:t>or cetuximab (n=361) (Trial CA209141), with OS as the primary outcome, and ORR and PFS as secondary outcomes. The PBAC noted that the</w:t>
      </w:r>
      <w:r w:rsidRPr="00792FB2">
        <w:t xml:space="preserve"> trial </w:t>
      </w:r>
      <w:r>
        <w:t xml:space="preserve">demonstrated a </w:t>
      </w:r>
      <w:r w:rsidR="00A024C2">
        <w:rPr>
          <w:noProof/>
          <w:color w:val="000000"/>
          <w:highlight w:val="black"/>
        </w:rPr>
        <w:t>'''''''''</w:t>
      </w:r>
      <w:r w:rsidRPr="00792FB2">
        <w:t xml:space="preserve"> month </w:t>
      </w:r>
      <w:r>
        <w:t xml:space="preserve">improvement in </w:t>
      </w:r>
      <w:r w:rsidR="00841CAD">
        <w:t xml:space="preserve">median </w:t>
      </w:r>
      <w:r>
        <w:t xml:space="preserve">OS, </w:t>
      </w:r>
      <w:r w:rsidRPr="00792FB2">
        <w:t xml:space="preserve">with </w:t>
      </w:r>
      <w:r>
        <w:t xml:space="preserve">a </w:t>
      </w:r>
      <w:r w:rsidR="00841CAD">
        <w:t xml:space="preserve">median duration of </w:t>
      </w:r>
      <w:r w:rsidRPr="00792FB2">
        <w:t xml:space="preserve">follow-up of </w:t>
      </w:r>
      <w:r w:rsidR="00A024C2">
        <w:rPr>
          <w:noProof/>
          <w:color w:val="000000"/>
          <w:highlight w:val="black"/>
        </w:rPr>
        <w:t>''''''''</w:t>
      </w:r>
      <w:r w:rsidRPr="00792FB2">
        <w:t xml:space="preserve"> mo</w:t>
      </w:r>
      <w:r>
        <w:t xml:space="preserve">nths </w:t>
      </w:r>
      <w:r w:rsidR="00841CAD">
        <w:t xml:space="preserve">in a relatively mature dataset of </w:t>
      </w:r>
      <w:r>
        <w:t xml:space="preserve">more than </w:t>
      </w:r>
      <w:r w:rsidR="00A024C2">
        <w:rPr>
          <w:noProof/>
          <w:color w:val="000000"/>
          <w:highlight w:val="black"/>
        </w:rPr>
        <w:t>'''''</w:t>
      </w:r>
      <w:r>
        <w:t xml:space="preserve">% survival events. The PBAC also noted that </w:t>
      </w:r>
      <w:r w:rsidRPr="00460562">
        <w:t>there was no statistically significant difference in PFS</w:t>
      </w:r>
      <w:r>
        <w:t xml:space="preserve">, </w:t>
      </w:r>
      <w:r w:rsidR="00841CAD">
        <w:t xml:space="preserve">which </w:t>
      </w:r>
      <w:r w:rsidR="00A973B9">
        <w:t xml:space="preserve">the Committee considered </w:t>
      </w:r>
      <w:r w:rsidR="00841CAD">
        <w:t>was unusual as PFS is widely advocated as an informative predictor of OS outcomes across a wide range of cancers and their treatment options</w:t>
      </w:r>
      <w:r w:rsidRPr="000122ED">
        <w:t>.</w:t>
      </w:r>
      <w:r>
        <w:t xml:space="preserve"> The PBAC considered that there was (i) a moderate risk of bias due to the study being open-label, potentially affecting the </w:t>
      </w:r>
      <w:r w:rsidR="00A973B9">
        <w:t xml:space="preserve">secondary </w:t>
      </w:r>
      <w:r>
        <w:t>ORR and PFS</w:t>
      </w:r>
      <w:r w:rsidR="00A973B9">
        <w:t xml:space="preserve"> outcomes</w:t>
      </w:r>
      <w:r>
        <w:t xml:space="preserve">; (ii) a potential bias </w:t>
      </w:r>
      <w:r w:rsidR="00A973B9">
        <w:t xml:space="preserve">against detecting an incremental nivolumab effect on </w:t>
      </w:r>
      <w:r>
        <w:t xml:space="preserve">OS as </w:t>
      </w:r>
      <w:r w:rsidR="00A024C2">
        <w:rPr>
          <w:noProof/>
          <w:color w:val="000000"/>
          <w:highlight w:val="black"/>
        </w:rPr>
        <w:t>'''''''</w:t>
      </w:r>
      <w:r w:rsidRPr="00BE5FF4">
        <w:t xml:space="preserve">% of patients </w:t>
      </w:r>
      <w:r>
        <w:t xml:space="preserve">in </w:t>
      </w:r>
      <w:r w:rsidR="00A973B9">
        <w:t>the IC</w:t>
      </w:r>
      <w:r>
        <w:t xml:space="preserve"> arm </w:t>
      </w:r>
      <w:r w:rsidRPr="00BE5FF4">
        <w:t>received subsequent therapy with an anti-PD-1 pathway age</w:t>
      </w:r>
      <w:r>
        <w:t xml:space="preserve">nt; and (iii) uncertainty in the </w:t>
      </w:r>
      <w:r w:rsidR="00A973B9">
        <w:t xml:space="preserve">applicability of the OS </w:t>
      </w:r>
      <w:r>
        <w:t xml:space="preserve">results </w:t>
      </w:r>
      <w:r w:rsidR="00A973B9">
        <w:t xml:space="preserve">to a proposed PBS restriction to cease nivolumab following progression, </w:t>
      </w:r>
      <w:r>
        <w:t xml:space="preserve">as </w:t>
      </w:r>
      <w:r w:rsidR="00A024C2">
        <w:rPr>
          <w:noProof/>
          <w:color w:val="000000"/>
          <w:highlight w:val="black"/>
        </w:rPr>
        <w:t>'''''''''</w:t>
      </w:r>
      <w:r>
        <w:t>% patients in the nivolumab arm w</w:t>
      </w:r>
      <w:r w:rsidR="00DE0A91">
        <w:t>ere treated beyond progression.</w:t>
      </w:r>
    </w:p>
    <w:p w:rsidR="008828CA" w:rsidRDefault="008828CA" w:rsidP="00457C75">
      <w:pPr>
        <w:numPr>
          <w:ilvl w:val="1"/>
          <w:numId w:val="1"/>
        </w:numPr>
        <w:spacing w:before="0" w:after="120"/>
        <w:jc w:val="both"/>
      </w:pPr>
      <w:r>
        <w:t>The PBAC was concerned that the results of a subgroup analysis showed that OS HR (</w:t>
      </w:r>
      <w:r w:rsidR="00A024C2">
        <w:rPr>
          <w:noProof/>
          <w:color w:val="000000"/>
          <w:highlight w:val="black"/>
        </w:rPr>
        <w:t>'''''''''</w:t>
      </w:r>
      <w:r>
        <w:t xml:space="preserve"> (95% CI: </w:t>
      </w:r>
      <w:r w:rsidR="00A024C2">
        <w:rPr>
          <w:noProof/>
          <w:color w:val="000000"/>
          <w:highlight w:val="black"/>
        </w:rPr>
        <w:t>''''''''' '''''''''</w:t>
      </w:r>
      <w:r>
        <w:t xml:space="preserve">)) was more favourable when nivolumab was compared to cetuximab, than to methotrexate or docetaxel, noting that this disparity in comparators </w:t>
      </w:r>
      <w:r w:rsidR="00A973B9">
        <w:t>contributed to</w:t>
      </w:r>
      <w:r>
        <w:t xml:space="preserve"> uncertainty in estimating the magnitude of incremental clinical benefit derived with nivolumab in the Australian clinical setting.</w:t>
      </w:r>
    </w:p>
    <w:p w:rsidR="008828CA" w:rsidRDefault="008828CA" w:rsidP="00457C75">
      <w:pPr>
        <w:numPr>
          <w:ilvl w:val="1"/>
          <w:numId w:val="1"/>
        </w:numPr>
        <w:spacing w:before="0" w:after="120"/>
        <w:jc w:val="both"/>
      </w:pPr>
      <w:r>
        <w:t>The PBAC was also</w:t>
      </w:r>
      <w:r w:rsidR="00A72969">
        <w:t xml:space="preserve"> concerned regarding the</w:t>
      </w:r>
      <w:r>
        <w:t xml:space="preserve"> </w:t>
      </w:r>
      <w:r w:rsidR="00A973B9">
        <w:t xml:space="preserve">likely </w:t>
      </w:r>
      <w:r>
        <w:t xml:space="preserve">reduced </w:t>
      </w:r>
      <w:r w:rsidR="00A973B9">
        <w:t>effectiveness</w:t>
      </w:r>
      <w:r>
        <w:t xml:space="preserve"> </w:t>
      </w:r>
      <w:r w:rsidR="00A72969">
        <w:t xml:space="preserve">of nivolumab </w:t>
      </w:r>
      <w:r>
        <w:t xml:space="preserve">in the older patient population (&gt;75 years). The PBAC noted that the median age in the trial was </w:t>
      </w:r>
      <w:r w:rsidRPr="00BE42DB">
        <w:t>60</w:t>
      </w:r>
      <w:r>
        <w:t xml:space="preserve"> years, with</w:t>
      </w:r>
      <w:r w:rsidRPr="00BE42DB">
        <w:t xml:space="preserve"> </w:t>
      </w:r>
      <w:r w:rsidR="00A024C2">
        <w:rPr>
          <w:noProof/>
          <w:color w:val="000000"/>
          <w:highlight w:val="black"/>
        </w:rPr>
        <w:t>'''''</w:t>
      </w:r>
      <w:r w:rsidRPr="00BE42DB">
        <w:t xml:space="preserve">% </w:t>
      </w:r>
      <w:r>
        <w:t>of patients below the age of</w:t>
      </w:r>
      <w:r w:rsidRPr="00BE42DB">
        <w:t xml:space="preserve"> 65 years</w:t>
      </w:r>
      <w:r>
        <w:t xml:space="preserve"> and only </w:t>
      </w:r>
      <w:r w:rsidR="00A024C2">
        <w:rPr>
          <w:noProof/>
          <w:color w:val="000000"/>
          <w:highlight w:val="black"/>
        </w:rPr>
        <w:t>'''</w:t>
      </w:r>
      <w:r>
        <w:t xml:space="preserve">% over the age of </w:t>
      </w:r>
      <w:r w:rsidRPr="00BE42DB">
        <w:t>75 y</w:t>
      </w:r>
      <w:r>
        <w:t>ea</w:t>
      </w:r>
      <w:r w:rsidRPr="00BE42DB">
        <w:t>rs</w:t>
      </w:r>
      <w:r>
        <w:t>. The PBAC recalled that th</w:t>
      </w:r>
      <w:r w:rsidR="00A973B9">
        <w:t xml:space="preserve">is concern was first raised </w:t>
      </w:r>
      <w:r w:rsidR="00A72969">
        <w:t>with</w:t>
      </w:r>
      <w:r>
        <w:t xml:space="preserve"> </w:t>
      </w:r>
      <w:r w:rsidR="00A72969">
        <w:t xml:space="preserve">the </w:t>
      </w:r>
      <w:r>
        <w:t xml:space="preserve">reduced </w:t>
      </w:r>
      <w:r w:rsidR="00A973B9">
        <w:t>effectiveness</w:t>
      </w:r>
      <w:r w:rsidR="00A72969">
        <w:t xml:space="preserve"> of nivolumab</w:t>
      </w:r>
      <w:r>
        <w:t xml:space="preserve"> in the older patient population (&gt;75 years) in its </w:t>
      </w:r>
      <w:r w:rsidR="00226EB7">
        <w:t xml:space="preserve">NSCLC </w:t>
      </w:r>
      <w:r>
        <w:t>submissions (nivolumab PSDs, March 2016, November 2016 and March 2017 PBAC meetings).</w:t>
      </w:r>
    </w:p>
    <w:p w:rsidR="008828CA" w:rsidRPr="00BE42DB" w:rsidRDefault="008828CA" w:rsidP="00457C75">
      <w:pPr>
        <w:numPr>
          <w:ilvl w:val="1"/>
          <w:numId w:val="1"/>
        </w:numPr>
        <w:spacing w:before="0" w:after="120"/>
        <w:jc w:val="both"/>
      </w:pPr>
      <w:r>
        <w:t xml:space="preserve">The PBAC acknowledged that SCCHN </w:t>
      </w:r>
      <w:r w:rsidR="00A973B9">
        <w:t xml:space="preserve">is a </w:t>
      </w:r>
      <w:r>
        <w:t xml:space="preserve">particularly debilitating malignancy, and </w:t>
      </w:r>
      <w:r w:rsidR="006428C9">
        <w:t xml:space="preserve">noted </w:t>
      </w:r>
      <w:r>
        <w:t xml:space="preserve">that </w:t>
      </w:r>
      <w:r w:rsidR="00C413D1">
        <w:t xml:space="preserve">there was a trend to slower deterioration in global health (as a surrogate </w:t>
      </w:r>
      <w:r w:rsidR="00C413D1">
        <w:lastRenderedPageBreak/>
        <w:t xml:space="preserve">for overall </w:t>
      </w:r>
      <w:r>
        <w:t>quality of life</w:t>
      </w:r>
      <w:r w:rsidR="00C413D1">
        <w:t xml:space="preserve">) </w:t>
      </w:r>
      <w:r w:rsidR="007C1A4F">
        <w:t>after starting</w:t>
      </w:r>
      <w:r>
        <w:t xml:space="preserve"> nivolumab </w:t>
      </w:r>
      <w:r w:rsidR="00C413D1">
        <w:t xml:space="preserve">compared to investigator’s choice of chemotherapy </w:t>
      </w:r>
      <w:r>
        <w:t>treatment</w:t>
      </w:r>
      <w:r w:rsidR="006428C9">
        <w:t xml:space="preserve"> in Trial CA209141</w:t>
      </w:r>
      <w:r>
        <w:rPr>
          <w:rStyle w:val="FootnoteReference"/>
        </w:rPr>
        <w:footnoteReference w:id="8"/>
      </w:r>
      <w:r w:rsidR="002469FD">
        <w:t>.</w:t>
      </w:r>
    </w:p>
    <w:p w:rsidR="008828CA" w:rsidRDefault="008828CA" w:rsidP="00457C75">
      <w:pPr>
        <w:numPr>
          <w:ilvl w:val="1"/>
          <w:numId w:val="1"/>
        </w:numPr>
        <w:spacing w:before="0" w:after="120"/>
        <w:jc w:val="both"/>
      </w:pPr>
      <w:r>
        <w:t xml:space="preserve">Overall, the PBAC accepted that nivolumab treatment resulted in modest clinical benefit, </w:t>
      </w:r>
      <w:r w:rsidR="008470FC">
        <w:t xml:space="preserve">but estimating </w:t>
      </w:r>
      <w:r>
        <w:t xml:space="preserve">the magnitude of incremental benefit in Australian clinical practice </w:t>
      </w:r>
      <w:r w:rsidR="008470FC">
        <w:t xml:space="preserve">from Trial CA209141 </w:t>
      </w:r>
      <w:r>
        <w:t>was confounded.</w:t>
      </w:r>
    </w:p>
    <w:p w:rsidR="008828CA" w:rsidRDefault="008828CA" w:rsidP="00457C75">
      <w:pPr>
        <w:numPr>
          <w:ilvl w:val="1"/>
          <w:numId w:val="1"/>
        </w:numPr>
        <w:spacing w:before="0" w:after="120"/>
        <w:jc w:val="both"/>
      </w:pPr>
      <w:r>
        <w:t xml:space="preserve">The PBAC noted that nivolumab treatment resulted in lesser drug-related AEs but there was minimal difference in all-cause AEs. On balance, the PBAC considered that </w:t>
      </w:r>
      <w:r w:rsidR="001E32E6">
        <w:t xml:space="preserve">a conclusion of </w:t>
      </w:r>
      <w:r w:rsidRPr="008554A4">
        <w:t>superior</w:t>
      </w:r>
      <w:r w:rsidR="001E32E6">
        <w:t xml:space="preserve"> safe</w:t>
      </w:r>
      <w:r w:rsidRPr="008554A4">
        <w:t xml:space="preserve">ty over </w:t>
      </w:r>
      <w:r>
        <w:t>SOC was reasonable.</w:t>
      </w:r>
    </w:p>
    <w:p w:rsidR="008828CA" w:rsidRDefault="008828CA" w:rsidP="00457C75">
      <w:pPr>
        <w:numPr>
          <w:ilvl w:val="1"/>
          <w:numId w:val="1"/>
        </w:numPr>
        <w:spacing w:before="0" w:after="120"/>
        <w:jc w:val="both"/>
      </w:pPr>
      <w:r>
        <w:t xml:space="preserve">The PBAC noted that the submission presented a partitioned survival model with a </w:t>
      </w:r>
      <w:r w:rsidR="00A024C2">
        <w:rPr>
          <w:noProof/>
          <w:color w:val="000000"/>
          <w:highlight w:val="black"/>
        </w:rPr>
        <w:t>'''</w:t>
      </w:r>
      <w:r>
        <w:t xml:space="preserve">-year time horizon to estimate the cost-effectiveness of nivolumab. The PBAC considered that a number of key drivers in the economic model favoured nivolumab. These included (i) use of a log-logistic model to extrapolate OS; (ii) application of different utility values </w:t>
      </w:r>
      <w:r w:rsidR="001E32E6">
        <w:t xml:space="preserve">across the model’s </w:t>
      </w:r>
      <w:r>
        <w:t xml:space="preserve">arms </w:t>
      </w:r>
      <w:r w:rsidR="001E32E6">
        <w:t>for the post-</w:t>
      </w:r>
      <w:r>
        <w:t>progression</w:t>
      </w:r>
      <w:r w:rsidR="001E32E6">
        <w:t xml:space="preserve"> health state</w:t>
      </w:r>
      <w:r>
        <w:t xml:space="preserve">; (iii) the use of PFS </w:t>
      </w:r>
      <w:r w:rsidR="001E32E6">
        <w:t>to estimate</w:t>
      </w:r>
      <w:r>
        <w:t xml:space="preserve"> treatment duration (noting that </w:t>
      </w:r>
      <w:r w:rsidR="00A024C2">
        <w:rPr>
          <w:noProof/>
          <w:color w:val="000000"/>
          <w:highlight w:val="black"/>
        </w:rPr>
        <w:t>''''''''</w:t>
      </w:r>
      <w:r>
        <w:t xml:space="preserve">% of </w:t>
      </w:r>
      <w:r w:rsidR="001E32E6">
        <w:t xml:space="preserve">nivolumab </w:t>
      </w:r>
      <w:r>
        <w:t>patients were treated beyond disease progression); and (iv) the exclusion of costs associated with subsequent therapies in the economic model.</w:t>
      </w:r>
    </w:p>
    <w:p w:rsidR="008828CA" w:rsidRDefault="008828CA" w:rsidP="00457C75">
      <w:pPr>
        <w:numPr>
          <w:ilvl w:val="1"/>
          <w:numId w:val="1"/>
        </w:numPr>
        <w:spacing w:before="0" w:after="120"/>
        <w:jc w:val="both"/>
      </w:pPr>
      <w:r>
        <w:t xml:space="preserve">The PBAC noted that </w:t>
      </w:r>
      <w:r w:rsidRPr="00EA04C6">
        <w:t>a multivariate sensitivity analysis applying (i) an exponential model to extrapolate OS, (ii) equal utility values post-progression (</w:t>
      </w:r>
      <w:r w:rsidR="00A024C2">
        <w:rPr>
          <w:noProof/>
          <w:color w:val="000000"/>
          <w:highlight w:val="black"/>
        </w:rPr>
        <w:t>''''''''''</w:t>
      </w:r>
      <w:r w:rsidRPr="00EA04C6">
        <w:t xml:space="preserve">), and (iii) </w:t>
      </w:r>
      <w:r>
        <w:t xml:space="preserve">a </w:t>
      </w:r>
      <w:r w:rsidR="00A024C2">
        <w:rPr>
          <w:noProof/>
          <w:color w:val="000000"/>
          <w:highlight w:val="black"/>
        </w:rPr>
        <w:t>''''''</w:t>
      </w:r>
      <w:r w:rsidRPr="00EA04C6">
        <w:t xml:space="preserve">% (i.e. PFS DOT + </w:t>
      </w:r>
      <w:r w:rsidR="00A024C2">
        <w:rPr>
          <w:noProof/>
          <w:color w:val="000000"/>
          <w:highlight w:val="black"/>
        </w:rPr>
        <w:t>'''''</w:t>
      </w:r>
      <w:r w:rsidRPr="00EA04C6">
        <w:t xml:space="preserve">%) </w:t>
      </w:r>
      <w:r>
        <w:t>increase in n</w:t>
      </w:r>
      <w:r w:rsidRPr="00EA04C6">
        <w:t xml:space="preserve">ivolumab treatment duration resulted in an ICER of </w:t>
      </w:r>
      <w:r w:rsidR="00E8755F">
        <w:t>$105,000/QALY - $200,000/QALY</w:t>
      </w:r>
      <w:r w:rsidRPr="00EA04C6">
        <w:t xml:space="preserve">, compared to the base case of </w:t>
      </w:r>
      <w:r w:rsidR="00E8755F">
        <w:t>$75,000/QALY - $105,000/QALY</w:t>
      </w:r>
      <w:r w:rsidRPr="00EA04C6">
        <w:t xml:space="preserve"> presented in the submission.</w:t>
      </w:r>
    </w:p>
    <w:p w:rsidR="008828CA" w:rsidRDefault="008828CA" w:rsidP="00457C75">
      <w:pPr>
        <w:numPr>
          <w:ilvl w:val="1"/>
          <w:numId w:val="1"/>
        </w:numPr>
        <w:spacing w:before="0" w:after="120"/>
        <w:jc w:val="both"/>
      </w:pPr>
      <w:r>
        <w:t>The PBAC also noted that</w:t>
      </w:r>
      <w:r w:rsidR="00AB0425">
        <w:t>,</w:t>
      </w:r>
      <w:r>
        <w:t xml:space="preserve"> while ESC advised that this was the more realistic ICER, the pre-PBAC response (p2) and the sponsor hearing disagreed with the use of the log-logistic method of extrapolation and application of the same utility values post progression, arguing that this was against preceden</w:t>
      </w:r>
      <w:r w:rsidR="001E32E6">
        <w:t>ts</w:t>
      </w:r>
      <w:r w:rsidR="00A72969">
        <w:t xml:space="preserve"> set in </w:t>
      </w:r>
      <w:r>
        <w:t xml:space="preserve">previous </w:t>
      </w:r>
      <w:r w:rsidR="00A72969">
        <w:t xml:space="preserve">nivolumab </w:t>
      </w:r>
      <w:r>
        <w:t xml:space="preserve">considerations for second-line </w:t>
      </w:r>
      <w:r w:rsidR="00226EB7">
        <w:t>NSCLC</w:t>
      </w:r>
      <w:r>
        <w:t xml:space="preserve"> (March 2016, November 2016 and March 2017 PBAC meetings)</w:t>
      </w:r>
      <w:r w:rsidRPr="00F67030">
        <w:t xml:space="preserve">, and </w:t>
      </w:r>
      <w:r w:rsidR="00226EB7">
        <w:t xml:space="preserve">RCC </w:t>
      </w:r>
      <w:r>
        <w:t>(July 2016, November 2016 and March 2017 PBAC meetings)</w:t>
      </w:r>
      <w:r w:rsidRPr="00F67030">
        <w:t>.</w:t>
      </w:r>
    </w:p>
    <w:p w:rsidR="008828CA" w:rsidRDefault="008828CA" w:rsidP="00457C75">
      <w:pPr>
        <w:numPr>
          <w:ilvl w:val="1"/>
          <w:numId w:val="1"/>
        </w:numPr>
        <w:spacing w:before="0" w:after="120"/>
        <w:jc w:val="both"/>
      </w:pPr>
      <w:r>
        <w:t>The pre-PBAC response (p2) and the sponsor hearing then claimed that assuming all other model inputs remaining the same, a</w:t>
      </w:r>
      <w:r w:rsidR="008A1993">
        <w:t>n</w:t>
      </w:r>
      <w:r w:rsidR="00AB0425">
        <w:t xml:space="preserve"> </w:t>
      </w:r>
      <w:r w:rsidR="00A024C2">
        <w:rPr>
          <w:noProof/>
          <w:color w:val="000000"/>
          <w:highlight w:val="black"/>
        </w:rPr>
        <w:t>''''''''</w:t>
      </w:r>
      <w:r>
        <w:t xml:space="preserve">% (i.e. PFS DOT + </w:t>
      </w:r>
      <w:r w:rsidR="00A024C2">
        <w:rPr>
          <w:noProof/>
          <w:color w:val="000000"/>
          <w:highlight w:val="black"/>
        </w:rPr>
        <w:t>''''''''</w:t>
      </w:r>
      <w:r w:rsidRPr="00EA04C6">
        <w:t xml:space="preserve">%) </w:t>
      </w:r>
      <w:r>
        <w:t>increase in n</w:t>
      </w:r>
      <w:r w:rsidRPr="00EA04C6">
        <w:t>ivolumab treatment duration</w:t>
      </w:r>
      <w:r>
        <w:t xml:space="preserve"> </w:t>
      </w:r>
      <w:r w:rsidR="008A1993">
        <w:t>(c</w:t>
      </w:r>
      <w:r w:rsidR="002469FD">
        <w:t>ompared with the</w:t>
      </w:r>
      <w:r w:rsidR="008A1993">
        <w:t xml:space="preserve"> </w:t>
      </w:r>
      <w:r w:rsidR="00A024C2">
        <w:rPr>
          <w:noProof/>
          <w:color w:val="000000"/>
          <w:highlight w:val="black"/>
        </w:rPr>
        <w:t>''''''''</w:t>
      </w:r>
      <w:r w:rsidR="008A1993">
        <w:t xml:space="preserve">% </w:t>
      </w:r>
      <w:r w:rsidR="002469FD">
        <w:t xml:space="preserve">increase </w:t>
      </w:r>
      <w:r w:rsidR="008A1993">
        <w:t xml:space="preserve">in </w:t>
      </w:r>
      <w:r w:rsidR="002469FD">
        <w:t xml:space="preserve">the </w:t>
      </w:r>
      <w:r w:rsidR="008A1993">
        <w:t>sensitivity anal</w:t>
      </w:r>
      <w:r w:rsidR="002469FD">
        <w:t>y</w:t>
      </w:r>
      <w:r w:rsidR="008A1993">
        <w:t xml:space="preserve">sis) </w:t>
      </w:r>
      <w:r w:rsidR="00AB0425">
        <w:t>would be addressed by a reduced requested price of $</w:t>
      </w:r>
      <w:r w:rsidR="00A024C2">
        <w:rPr>
          <w:noProof/>
          <w:color w:val="000000"/>
          <w:highlight w:val="black"/>
        </w:rPr>
        <w:t>'''''''''''''''''</w:t>
      </w:r>
      <w:r w:rsidR="00AB0425">
        <w:t xml:space="preserve"> per </w:t>
      </w:r>
      <w:r w:rsidR="00AB0425" w:rsidRPr="00D331F7">
        <w:t>100</w:t>
      </w:r>
      <w:r w:rsidR="00AB0425">
        <w:t> </w:t>
      </w:r>
      <w:r w:rsidR="00AB0425" w:rsidRPr="00D331F7">
        <w:t xml:space="preserve">mg vial </w:t>
      </w:r>
      <w:r w:rsidR="00AB0425">
        <w:t>(</w:t>
      </w:r>
      <w:r w:rsidR="00AB0425" w:rsidRPr="00D331F7">
        <w:t>which represent</w:t>
      </w:r>
      <w:r w:rsidR="00AB0425">
        <w:t>ed</w:t>
      </w:r>
      <w:r w:rsidR="00AB0425" w:rsidRPr="00D331F7">
        <w:t xml:space="preserve"> a </w:t>
      </w:r>
      <w:r w:rsidR="00A024C2">
        <w:rPr>
          <w:noProof/>
          <w:color w:val="000000"/>
          <w:highlight w:val="black"/>
        </w:rPr>
        <w:t>'''''''''</w:t>
      </w:r>
      <w:r w:rsidR="00AB0425" w:rsidRPr="00D331F7">
        <w:t>% price reduction</w:t>
      </w:r>
      <w:r w:rsidR="00AB0425">
        <w:t>) to result</w:t>
      </w:r>
      <w:r>
        <w:t xml:space="preserve"> in an ICER that was identical to the base case presented in the submission (</w:t>
      </w:r>
      <w:r w:rsidR="00E8755F">
        <w:t>$75,000/QALY - $105,000/QALY</w:t>
      </w:r>
      <w:r>
        <w:t>).</w:t>
      </w:r>
    </w:p>
    <w:p w:rsidR="003E0C40" w:rsidRDefault="003E0C40" w:rsidP="00457C75">
      <w:pPr>
        <w:numPr>
          <w:ilvl w:val="1"/>
          <w:numId w:val="1"/>
        </w:numPr>
        <w:spacing w:before="0" w:after="120"/>
        <w:jc w:val="both"/>
      </w:pPr>
      <w:r>
        <w:t xml:space="preserve">Although the pre-PBAC response (p2) stated that this estimate of </w:t>
      </w:r>
      <w:r w:rsidR="00A024C2">
        <w:rPr>
          <w:noProof/>
          <w:color w:val="000000"/>
          <w:highlight w:val="black"/>
        </w:rPr>
        <w:t>'''''''''</w:t>
      </w:r>
      <w:r>
        <w:t xml:space="preserve">% was “based on the mean additional infusions received per patient treated beyond progression”, the PBAC considered that this estimate was not independently verified, </w:t>
      </w:r>
      <w:r w:rsidR="008A1993">
        <w:t xml:space="preserve">and could be </w:t>
      </w:r>
      <w:r>
        <w:t xml:space="preserve">an underestimate </w:t>
      </w:r>
      <w:r w:rsidR="008A1993">
        <w:t xml:space="preserve">of treatment duration </w:t>
      </w:r>
      <w:r>
        <w:t>due to truncated follow-up.</w:t>
      </w:r>
    </w:p>
    <w:p w:rsidR="008828CA" w:rsidRDefault="008828CA" w:rsidP="00457C75">
      <w:pPr>
        <w:numPr>
          <w:ilvl w:val="1"/>
          <w:numId w:val="1"/>
        </w:numPr>
        <w:spacing w:before="0" w:after="120"/>
        <w:jc w:val="both"/>
      </w:pPr>
      <w:r>
        <w:t xml:space="preserve">The PBAC considered that </w:t>
      </w:r>
      <w:r w:rsidR="00866D2B">
        <w:t xml:space="preserve">the </w:t>
      </w:r>
      <w:r>
        <w:t xml:space="preserve">choice of the method of extrapolation of OS </w:t>
      </w:r>
      <w:r w:rsidR="003E0C40">
        <w:t xml:space="preserve">and </w:t>
      </w:r>
      <w:r w:rsidR="00866D2B">
        <w:t xml:space="preserve">of </w:t>
      </w:r>
      <w:r w:rsidR="003E0C40">
        <w:t>different</w:t>
      </w:r>
      <w:r w:rsidR="00866D2B">
        <w:t xml:space="preserve"> post-progre</w:t>
      </w:r>
      <w:r w:rsidR="007C1A4F">
        <w:t>s</w:t>
      </w:r>
      <w:r w:rsidR="00866D2B">
        <w:t>sion</w:t>
      </w:r>
      <w:r w:rsidR="003E0C40">
        <w:t xml:space="preserve"> utilities </w:t>
      </w:r>
      <w:r>
        <w:t xml:space="preserve">depended on the nature of the clinical evidence, </w:t>
      </w:r>
      <w:r>
        <w:lastRenderedPageBreak/>
        <w:t xml:space="preserve">and therefore what was deemed appropriate in </w:t>
      </w:r>
      <w:r w:rsidR="001E32E6">
        <w:t xml:space="preserve">one cancer setting </w:t>
      </w:r>
      <w:r>
        <w:t xml:space="preserve">was not necessarily </w:t>
      </w:r>
      <w:r w:rsidR="001E32E6">
        <w:t>predictive of other cancer settings</w:t>
      </w:r>
      <w:r>
        <w:t>.</w:t>
      </w:r>
    </w:p>
    <w:p w:rsidR="008828CA" w:rsidRDefault="008828CA" w:rsidP="00457C75">
      <w:pPr>
        <w:numPr>
          <w:ilvl w:val="1"/>
          <w:numId w:val="1"/>
        </w:numPr>
        <w:spacing w:before="0" w:after="120"/>
        <w:jc w:val="both"/>
      </w:pPr>
      <w:r>
        <w:t xml:space="preserve">The PBAC also considered that the sponsor’s </w:t>
      </w:r>
      <w:r w:rsidR="003E0C40">
        <w:t>presentation</w:t>
      </w:r>
      <w:r>
        <w:t xml:space="preserve"> of preceden</w:t>
      </w:r>
      <w:r w:rsidR="003E0C40">
        <w:t>ts</w:t>
      </w:r>
      <w:r>
        <w:t xml:space="preserve"> was </w:t>
      </w:r>
      <w:r w:rsidR="003E0C40">
        <w:t>incomplete</w:t>
      </w:r>
      <w:r>
        <w:t xml:space="preserve"> on several counts, as:</w:t>
      </w:r>
    </w:p>
    <w:p w:rsidR="008828CA" w:rsidRDefault="008828CA" w:rsidP="00457C75">
      <w:pPr>
        <w:pStyle w:val="ListParagraph"/>
        <w:numPr>
          <w:ilvl w:val="0"/>
          <w:numId w:val="11"/>
        </w:numPr>
        <w:spacing w:before="0" w:after="120"/>
        <w:jc w:val="both"/>
      </w:pPr>
      <w:r>
        <w:t xml:space="preserve">The PBAC recalled that the commentary for the July 2016 submission for </w:t>
      </w:r>
      <w:r w:rsidR="00226EB7">
        <w:t>RCC</w:t>
      </w:r>
      <w:r>
        <w:t xml:space="preserve"> stated that “</w:t>
      </w:r>
      <w:r w:rsidR="001E32E6">
        <w:t xml:space="preserve">… </w:t>
      </w:r>
      <w:r w:rsidRPr="00D86BF0">
        <w:t>the utility values are significantly different between the nivolumab and everolimus treatment arms, except for the health state of clinical DP</w:t>
      </w:r>
      <w:r w:rsidR="001E32E6">
        <w:t xml:space="preserve"> </w:t>
      </w:r>
      <w:r>
        <w:t>[disease progression]</w:t>
      </w:r>
      <w:r w:rsidRPr="00D86BF0">
        <w:t>.</w:t>
      </w:r>
      <w:r>
        <w:t xml:space="preserve">” Further, the PBAC </w:t>
      </w:r>
      <w:r w:rsidR="001E32E6">
        <w:t xml:space="preserve">recalled </w:t>
      </w:r>
      <w:r>
        <w:t>that</w:t>
      </w:r>
      <w:r w:rsidR="001E32E6">
        <w:t>,</w:t>
      </w:r>
      <w:r>
        <w:t xml:space="preserve"> in that instance, “…</w:t>
      </w:r>
      <w:r w:rsidRPr="00D86BF0">
        <w:t>utility estimates have a relatively minor impact on the final ICER</w:t>
      </w:r>
      <w:r>
        <w:t>.”</w:t>
      </w:r>
      <w:r w:rsidRPr="00D86BF0">
        <w:t xml:space="preserve"> </w:t>
      </w:r>
      <w:r>
        <w:t xml:space="preserve">(July 2016 nivolumab (RCC) COM, page 51-52). In contrast, post-progression utility values were a key driver of the model </w:t>
      </w:r>
      <w:r w:rsidR="001E32E6">
        <w:t xml:space="preserve">results </w:t>
      </w:r>
      <w:r>
        <w:t xml:space="preserve">in this submission. Additionally, in case of the RCC submission, the PBAC relied on a statistically significant difference in PFS, which was not the case in this </w:t>
      </w:r>
      <w:r w:rsidR="003E0C40">
        <w:t xml:space="preserve">SCCHN </w:t>
      </w:r>
      <w:r>
        <w:t>submission.</w:t>
      </w:r>
    </w:p>
    <w:p w:rsidR="008828CA" w:rsidRDefault="008828CA" w:rsidP="00457C75">
      <w:pPr>
        <w:pStyle w:val="ListParagraph"/>
        <w:numPr>
          <w:ilvl w:val="0"/>
          <w:numId w:val="11"/>
        </w:numPr>
        <w:spacing w:before="0" w:after="120"/>
        <w:jc w:val="both"/>
      </w:pPr>
      <w:r>
        <w:t>Similarly, the PBAC recalled that</w:t>
      </w:r>
      <w:r w:rsidR="003E0C40">
        <w:t>,</w:t>
      </w:r>
      <w:r>
        <w:t xml:space="preserve"> for the squamous NSCLC population, “The original submission argued that it seemed implausible that patients in the nivolumab treatment arm should have a lower progressive disease utility value. Therefore, the observed utility value for progressive disease in the docetaxel treatment arm was applied to both treatment arms in the base case”. Similar to the RCC model, the post-progression utilities had a minimal impact on the ICER in this case as well</w:t>
      </w:r>
      <w:r w:rsidRPr="008C2C3F">
        <w:t xml:space="preserve"> </w:t>
      </w:r>
      <w:r w:rsidRPr="00EB33A7">
        <w:t>(</w:t>
      </w:r>
      <w:r>
        <w:t xml:space="preserve">November 2016 </w:t>
      </w:r>
      <w:r w:rsidR="002C5751">
        <w:t>PSD</w:t>
      </w:r>
      <w:r>
        <w:t xml:space="preserve">, </w:t>
      </w:r>
      <w:r w:rsidRPr="00EB33A7">
        <w:t xml:space="preserve">page 15, </w:t>
      </w:r>
      <w:r w:rsidR="003E0C40">
        <w:t>T</w:t>
      </w:r>
      <w:r w:rsidRPr="00EB33A7">
        <w:t>able 8).</w:t>
      </w:r>
    </w:p>
    <w:p w:rsidR="008828CA" w:rsidRDefault="008828CA" w:rsidP="00457C75">
      <w:pPr>
        <w:pStyle w:val="ListParagraph"/>
        <w:numPr>
          <w:ilvl w:val="0"/>
          <w:numId w:val="11"/>
        </w:numPr>
        <w:spacing w:before="0" w:after="120"/>
        <w:jc w:val="both"/>
      </w:pPr>
      <w:r>
        <w:t xml:space="preserve">The PBAC acknowledged that while the post-progression utilities were indeed different in the non-squamous NSCLC population, </w:t>
      </w:r>
      <w:r w:rsidR="003E0C40">
        <w:t>the difference</w:t>
      </w:r>
      <w:r>
        <w:t xml:space="preserve"> had a modest impact on the ICER (November 2016 nivolumab </w:t>
      </w:r>
      <w:r w:rsidR="002C5751">
        <w:t>commentary</w:t>
      </w:r>
      <w:r>
        <w:t>, pages 89 and 94).</w:t>
      </w:r>
    </w:p>
    <w:p w:rsidR="008828CA" w:rsidRDefault="008828CA" w:rsidP="00457C75">
      <w:pPr>
        <w:spacing w:before="0" w:after="120"/>
        <w:ind w:left="576"/>
        <w:jc w:val="both"/>
      </w:pPr>
      <w:r>
        <w:t xml:space="preserve">Overall, the PBAC considered that on balance, </w:t>
      </w:r>
      <w:r w:rsidR="00C114D5">
        <w:t>even if a difference in post-progression utilities could be adequately supported from the trial evidence for the early stages of the SCCHN model, there is no basis to accept that this difference would be maintained until death.</w:t>
      </w:r>
    </w:p>
    <w:p w:rsidR="008828CA" w:rsidRDefault="008828CA" w:rsidP="00457C75">
      <w:pPr>
        <w:numPr>
          <w:ilvl w:val="1"/>
          <w:numId w:val="1"/>
        </w:numPr>
        <w:spacing w:before="0" w:after="120"/>
        <w:jc w:val="both"/>
      </w:pPr>
      <w:r>
        <w:t xml:space="preserve">The PBAC considered that the estimated </w:t>
      </w:r>
      <w:r w:rsidR="00FA3D76">
        <w:t xml:space="preserve">financial </w:t>
      </w:r>
      <w:r>
        <w:t xml:space="preserve">cost </w:t>
      </w:r>
      <w:r w:rsidR="00E52BF8">
        <w:t xml:space="preserve">to the PBS was </w:t>
      </w:r>
      <w:r>
        <w:t xml:space="preserve">high, and that there were significant uncertainties in the financial estimates presented in the submission, noting the concerns raised by DUSC regarding </w:t>
      </w:r>
      <w:r w:rsidR="00FA3D76">
        <w:t xml:space="preserve">potential </w:t>
      </w:r>
      <w:r>
        <w:t xml:space="preserve">(i) overestimation of </w:t>
      </w:r>
      <w:r w:rsidR="003E0C40">
        <w:t xml:space="preserve">the </w:t>
      </w:r>
      <w:r>
        <w:t>eligible patient population; (ii) overestimation of the uptake rate; (iii) underestimation of the</w:t>
      </w:r>
      <w:r w:rsidRPr="003803D4">
        <w:t xml:space="preserve"> treatment duration due to risk of post-progression treatment</w:t>
      </w:r>
      <w:r>
        <w:t>; and (iv) underestimation of the average Australian body weight.</w:t>
      </w:r>
    </w:p>
    <w:p w:rsidR="008828CA" w:rsidRDefault="008828CA" w:rsidP="00457C75">
      <w:pPr>
        <w:numPr>
          <w:ilvl w:val="1"/>
          <w:numId w:val="1"/>
        </w:numPr>
        <w:spacing w:before="0" w:after="120"/>
        <w:jc w:val="both"/>
      </w:pPr>
      <w:r>
        <w:t xml:space="preserve">The PBAC acknowledged the clinical need in the proposed PBS population and advised that a future major resubmission should </w:t>
      </w:r>
      <w:r w:rsidR="003E0C40">
        <w:t>include</w:t>
      </w:r>
      <w:r>
        <w:t>:</w:t>
      </w:r>
    </w:p>
    <w:p w:rsidR="008828CA" w:rsidRDefault="003E0C40" w:rsidP="00457C75">
      <w:pPr>
        <w:pStyle w:val="ListParagraph"/>
        <w:numPr>
          <w:ilvl w:val="0"/>
          <w:numId w:val="11"/>
        </w:numPr>
        <w:spacing w:before="0" w:after="120"/>
        <w:jc w:val="both"/>
      </w:pPr>
      <w:r>
        <w:t>a</w:t>
      </w:r>
      <w:r w:rsidR="008828CA">
        <w:t>ny further evidence that may be available to demonstrate the comparative eff</w:t>
      </w:r>
      <w:r>
        <w:t>ectiveness</w:t>
      </w:r>
      <w:r w:rsidR="008828CA">
        <w:t xml:space="preserve"> of nivolumab in the proposed PBS population</w:t>
      </w:r>
      <w:r w:rsidR="00FA3D76">
        <w:t>,</w:t>
      </w:r>
      <w:r w:rsidR="008828CA">
        <w:t xml:space="preserve"> to compensate for the disparity in comparator choice;</w:t>
      </w:r>
    </w:p>
    <w:p w:rsidR="008828CA" w:rsidRDefault="003E0C40" w:rsidP="00457C75">
      <w:pPr>
        <w:pStyle w:val="ListParagraph"/>
        <w:numPr>
          <w:ilvl w:val="0"/>
          <w:numId w:val="11"/>
        </w:numPr>
        <w:spacing w:before="0" w:after="120"/>
        <w:jc w:val="both"/>
      </w:pPr>
      <w:r>
        <w:t>a</w:t>
      </w:r>
      <w:r w:rsidR="008828CA">
        <w:t>ny additional quality of life data, if available</w:t>
      </w:r>
      <w:r w:rsidR="00C114D5">
        <w:t>, including to provide direct evidence to support an early difference in post-progression utilities between nivolumab and SOC</w:t>
      </w:r>
      <w:r w:rsidR="008828CA">
        <w:t>;</w:t>
      </w:r>
    </w:p>
    <w:p w:rsidR="008828CA" w:rsidRDefault="003E0C40" w:rsidP="00457C75">
      <w:pPr>
        <w:pStyle w:val="ListParagraph"/>
        <w:numPr>
          <w:ilvl w:val="0"/>
          <w:numId w:val="11"/>
        </w:numPr>
        <w:spacing w:before="0" w:after="120"/>
        <w:jc w:val="both"/>
      </w:pPr>
      <w:r>
        <w:lastRenderedPageBreak/>
        <w:t>a</w:t>
      </w:r>
      <w:r w:rsidR="008828CA">
        <w:t xml:space="preserve">n updated economic model </w:t>
      </w:r>
      <w:r w:rsidR="00AB0425">
        <w:t xml:space="preserve">based on more realistic </w:t>
      </w:r>
      <w:r w:rsidR="008828CA">
        <w:t xml:space="preserve">post-progression utilities </w:t>
      </w:r>
      <w:r w:rsidR="00FA3D76">
        <w:t xml:space="preserve">in </w:t>
      </w:r>
      <w:r w:rsidR="00AB0425">
        <w:t xml:space="preserve">modelled </w:t>
      </w:r>
      <w:r w:rsidR="008828CA">
        <w:t>arm</w:t>
      </w:r>
      <w:r w:rsidR="00AB0425">
        <w:t>s</w:t>
      </w:r>
      <w:r>
        <w:t xml:space="preserve">, and either methods of extrapolation and estimates of nivolumab treatment duration </w:t>
      </w:r>
      <w:r w:rsidR="00866D2B">
        <w:t>which are less favourable to nivolumab</w:t>
      </w:r>
      <w:r w:rsidR="00AB0425">
        <w:t>,</w:t>
      </w:r>
      <w:r w:rsidR="00866D2B">
        <w:t xml:space="preserve"> </w:t>
      </w:r>
      <w:r>
        <w:t xml:space="preserve">or </w:t>
      </w:r>
      <w:r w:rsidR="00AB0425">
        <w:t xml:space="preserve">which are based on </w:t>
      </w:r>
      <w:r w:rsidR="00866D2B">
        <w:t>more persuasive justifications of the</w:t>
      </w:r>
      <w:r w:rsidR="00AB0425">
        <w:t xml:space="preserve"> log-logistic method of extrapolating OS and the </w:t>
      </w:r>
      <w:r w:rsidR="00A024C2">
        <w:rPr>
          <w:noProof/>
          <w:color w:val="000000"/>
          <w:highlight w:val="black"/>
        </w:rPr>
        <w:t>''''''''</w:t>
      </w:r>
      <w:r w:rsidR="00AB0425">
        <w:t>% increase in nivolumab treatment duration for the base case of the updated economic model</w:t>
      </w:r>
      <w:r w:rsidR="008828CA">
        <w:t>;</w:t>
      </w:r>
    </w:p>
    <w:p w:rsidR="008828CA" w:rsidRDefault="00866D2B" w:rsidP="00330281">
      <w:pPr>
        <w:pStyle w:val="ListParagraph"/>
        <w:numPr>
          <w:ilvl w:val="0"/>
          <w:numId w:val="11"/>
        </w:numPr>
        <w:spacing w:before="0" w:after="120"/>
        <w:jc w:val="both"/>
      </w:pPr>
      <w:r>
        <w:t>a</w:t>
      </w:r>
      <w:r w:rsidR="008828CA">
        <w:t xml:space="preserve"> base case ICER of </w:t>
      </w:r>
      <w:r w:rsidR="00330281">
        <w:t>$</w:t>
      </w:r>
      <w:r w:rsidR="00330281" w:rsidRPr="00330281">
        <w:t>45,000/QALY - $75,000/QALY</w:t>
      </w:r>
      <w:r w:rsidR="008828CA">
        <w:t>, which the PBAC considered w</w:t>
      </w:r>
      <w:r w:rsidR="00550A93">
        <w:t xml:space="preserve">ould be a relevant incremental </w:t>
      </w:r>
      <w:r w:rsidR="008828CA">
        <w:t>cost-effective</w:t>
      </w:r>
      <w:r w:rsidR="00550A93">
        <w:t>ness target</w:t>
      </w:r>
      <w:r w:rsidR="008828CA">
        <w:t xml:space="preserve"> to account for the </w:t>
      </w:r>
      <w:r w:rsidR="00550A93">
        <w:t xml:space="preserve">current context given the </w:t>
      </w:r>
      <w:r w:rsidR="008828CA">
        <w:t xml:space="preserve">uncertainties </w:t>
      </w:r>
      <w:r w:rsidR="00550A93">
        <w:t>from</w:t>
      </w:r>
      <w:r w:rsidR="008828CA">
        <w:t xml:space="preserve"> the clinical evidence </w:t>
      </w:r>
      <w:r>
        <w:t xml:space="preserve">in estimating the extent to which nivolumab would address the unmet clinical need in Australian patients </w:t>
      </w:r>
      <w:r w:rsidR="008828CA">
        <w:t xml:space="preserve">and </w:t>
      </w:r>
      <w:r w:rsidR="00AB0425">
        <w:t xml:space="preserve">also </w:t>
      </w:r>
      <w:r>
        <w:t xml:space="preserve">in </w:t>
      </w:r>
      <w:r w:rsidR="008828CA">
        <w:t>the economic model;</w:t>
      </w:r>
    </w:p>
    <w:p w:rsidR="008828CA" w:rsidRDefault="00866D2B" w:rsidP="00457C75">
      <w:pPr>
        <w:pStyle w:val="ListParagraph"/>
        <w:numPr>
          <w:ilvl w:val="0"/>
          <w:numId w:val="11"/>
        </w:numPr>
        <w:spacing w:before="0" w:after="120"/>
        <w:jc w:val="both"/>
      </w:pPr>
      <w:r>
        <w:t>a</w:t>
      </w:r>
      <w:r w:rsidR="008828CA">
        <w:t>mended utilisation estimates addressing the concerns raised by DUSC; and</w:t>
      </w:r>
    </w:p>
    <w:p w:rsidR="008828CA" w:rsidRDefault="00866D2B" w:rsidP="00457C75">
      <w:pPr>
        <w:pStyle w:val="ListParagraph"/>
        <w:numPr>
          <w:ilvl w:val="0"/>
          <w:numId w:val="11"/>
        </w:numPr>
        <w:spacing w:before="0" w:after="120"/>
        <w:jc w:val="both"/>
      </w:pPr>
      <w:r>
        <w:t>a</w:t>
      </w:r>
      <w:r w:rsidR="008828CA">
        <w:t xml:space="preserve"> proposal for a risk-share agreement with 100% rebate beyond the agreed subsidisation caps to mitigate the uncertainties raised by DUSC, including the risk of </w:t>
      </w:r>
      <w:r>
        <w:t xml:space="preserve">nivolumab </w:t>
      </w:r>
      <w:r w:rsidR="008828CA">
        <w:t xml:space="preserve">use beyond </w:t>
      </w:r>
      <w:r>
        <w:t xml:space="preserve">disease </w:t>
      </w:r>
      <w:r w:rsidR="008828CA">
        <w:t>progression.</w:t>
      </w:r>
    </w:p>
    <w:p w:rsidR="008828CA" w:rsidRDefault="008828CA" w:rsidP="00457C75">
      <w:pPr>
        <w:numPr>
          <w:ilvl w:val="1"/>
          <w:numId w:val="1"/>
        </w:numPr>
        <w:spacing w:before="0" w:after="120"/>
        <w:jc w:val="both"/>
        <w:rPr>
          <w:rFonts w:cs="Arial"/>
          <w:bCs/>
          <w:snapToGrid w:val="0"/>
          <w:lang w:val="en-GB"/>
        </w:rPr>
      </w:pPr>
      <w:r w:rsidRPr="00F0337E">
        <w:rPr>
          <w:rFonts w:cs="Arial"/>
          <w:bCs/>
          <w:snapToGrid w:val="0"/>
          <w:lang w:val="en-GB"/>
        </w:rPr>
        <w:t>The PBAC noted that this submission is eli</w:t>
      </w:r>
      <w:r>
        <w:rPr>
          <w:rFonts w:cs="Arial"/>
          <w:bCs/>
          <w:snapToGrid w:val="0"/>
          <w:lang w:val="en-GB"/>
        </w:rPr>
        <w:t>gible for an Independent Review.</w:t>
      </w:r>
    </w:p>
    <w:p w:rsidR="008828CA" w:rsidRPr="00F0337E" w:rsidRDefault="008828CA" w:rsidP="008828CA">
      <w:pPr>
        <w:tabs>
          <w:tab w:val="left" w:pos="5565"/>
        </w:tabs>
        <w:spacing w:before="240"/>
        <w:rPr>
          <w:rFonts w:cs="Arial"/>
          <w:b/>
          <w:bCs/>
          <w:snapToGrid w:val="0"/>
          <w:lang w:val="en-GB"/>
        </w:rPr>
      </w:pPr>
      <w:r w:rsidRPr="00F0337E">
        <w:rPr>
          <w:rFonts w:cs="Arial"/>
          <w:b/>
          <w:bCs/>
          <w:snapToGrid w:val="0"/>
          <w:lang w:val="en-GB"/>
        </w:rPr>
        <w:t>Outcome:</w:t>
      </w:r>
    </w:p>
    <w:p w:rsidR="008828CA" w:rsidRDefault="008828CA" w:rsidP="008828CA">
      <w:pPr>
        <w:rPr>
          <w:rFonts w:cs="Arial"/>
          <w:bCs/>
          <w:snapToGrid w:val="0"/>
          <w:lang w:val="en-GB"/>
        </w:rPr>
      </w:pPr>
      <w:r>
        <w:rPr>
          <w:rFonts w:cs="Arial"/>
          <w:bCs/>
          <w:snapToGrid w:val="0"/>
          <w:lang w:val="en-GB"/>
        </w:rPr>
        <w:t>Rejected</w:t>
      </w:r>
    </w:p>
    <w:p w:rsidR="00E81264" w:rsidRPr="00E81264" w:rsidRDefault="00E81264" w:rsidP="00E81264">
      <w:pPr>
        <w:keepNext/>
        <w:keepLines/>
        <w:numPr>
          <w:ilvl w:val="0"/>
          <w:numId w:val="1"/>
        </w:numPr>
        <w:spacing w:before="240" w:after="120"/>
        <w:jc w:val="both"/>
        <w:outlineLvl w:val="0"/>
        <w:rPr>
          <w:rFonts w:ascii="Calibri" w:eastAsia="SimSun" w:hAnsi="Calibri" w:cs="Times New Roman"/>
          <w:b/>
          <w:sz w:val="32"/>
          <w:szCs w:val="28"/>
        </w:rPr>
      </w:pPr>
      <w:r w:rsidRPr="00E81264">
        <w:rPr>
          <w:rFonts w:ascii="Calibri" w:eastAsia="SimSun" w:hAnsi="Calibri" w:cs="Times New Roman"/>
          <w:b/>
          <w:sz w:val="32"/>
          <w:szCs w:val="28"/>
        </w:rPr>
        <w:t>Context for Decision</w:t>
      </w:r>
    </w:p>
    <w:p w:rsidR="00E81264" w:rsidRPr="00E81264" w:rsidRDefault="00E81264" w:rsidP="00E81264">
      <w:pPr>
        <w:spacing w:after="120"/>
        <w:jc w:val="both"/>
        <w:rPr>
          <w:rFonts w:ascii="Calibri" w:eastAsia="Calibri" w:hAnsi="Calibri" w:cs="Arial"/>
        </w:rPr>
      </w:pPr>
      <w:r w:rsidRPr="00E81264">
        <w:rPr>
          <w:rFonts w:ascii="Calibri" w:eastAsia="Calibri" w:hAnsi="Calibr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81264" w:rsidRPr="00E81264" w:rsidRDefault="00E81264" w:rsidP="00E81264">
      <w:pPr>
        <w:keepNext/>
        <w:keepLines/>
        <w:numPr>
          <w:ilvl w:val="0"/>
          <w:numId w:val="1"/>
        </w:numPr>
        <w:spacing w:before="240" w:after="120"/>
        <w:ind w:left="709" w:hanging="709"/>
        <w:jc w:val="both"/>
        <w:outlineLvl w:val="0"/>
        <w:rPr>
          <w:rFonts w:ascii="Calibri" w:eastAsia="SimSun" w:hAnsi="Calibri" w:cs="Times New Roman"/>
          <w:b/>
          <w:sz w:val="32"/>
          <w:szCs w:val="32"/>
        </w:rPr>
      </w:pPr>
      <w:r w:rsidRPr="00E81264">
        <w:rPr>
          <w:rFonts w:ascii="Calibri" w:eastAsia="SimSun" w:hAnsi="Calibri" w:cs="Times New Roman"/>
          <w:b/>
          <w:sz w:val="32"/>
          <w:szCs w:val="32"/>
        </w:rPr>
        <w:t>Sponsor’s Comment</w:t>
      </w:r>
    </w:p>
    <w:p w:rsidR="0009642D" w:rsidRPr="00D10B63" w:rsidRDefault="0009642D" w:rsidP="0009642D">
      <w:pPr>
        <w:jc w:val="both"/>
        <w:rPr>
          <w:rFonts w:ascii="Calibri" w:eastAsia="Calibri" w:hAnsi="Calibri" w:cs="Arial"/>
          <w:snapToGrid w:val="0"/>
          <w:szCs w:val="20"/>
        </w:rPr>
      </w:pPr>
      <w:r w:rsidRPr="00D10B63">
        <w:rPr>
          <w:rFonts w:ascii="Calibri" w:eastAsia="Calibri" w:hAnsi="Calibri" w:cs="Arial"/>
          <w:snapToGrid w:val="0"/>
          <w:szCs w:val="20"/>
        </w:rPr>
        <w:t>The sponsor is committed to working with the PBAC to ensure the earliest possible</w:t>
      </w:r>
    </w:p>
    <w:p w:rsidR="008828CA" w:rsidRDefault="0009642D" w:rsidP="0009642D">
      <w:pPr>
        <w:rPr>
          <w:rFonts w:cs="Arial"/>
          <w:bCs/>
          <w:snapToGrid w:val="0"/>
          <w:lang w:val="en-GB"/>
        </w:rPr>
      </w:pPr>
      <w:r w:rsidRPr="00D10B63">
        <w:rPr>
          <w:rFonts w:ascii="Calibri" w:eastAsia="Calibri" w:hAnsi="Calibri" w:cs="Arial"/>
          <w:snapToGrid w:val="0"/>
          <w:szCs w:val="20"/>
        </w:rPr>
        <w:t xml:space="preserve">PBS listing of nivolumab for all eligible </w:t>
      </w:r>
      <w:r>
        <w:rPr>
          <w:rFonts w:ascii="Calibri" w:eastAsia="Calibri" w:hAnsi="Calibri" w:cs="Arial"/>
          <w:snapToGrid w:val="0"/>
          <w:szCs w:val="20"/>
        </w:rPr>
        <w:t>SCCHN</w:t>
      </w:r>
      <w:r w:rsidRPr="00D10B63">
        <w:rPr>
          <w:rFonts w:ascii="Calibri" w:eastAsia="Calibri" w:hAnsi="Calibri" w:cs="Arial"/>
          <w:snapToGrid w:val="0"/>
          <w:szCs w:val="20"/>
        </w:rPr>
        <w:t xml:space="preserve"> patients, who have progressed </w:t>
      </w:r>
      <w:r>
        <w:rPr>
          <w:rFonts w:ascii="Calibri" w:eastAsia="Calibri" w:hAnsi="Calibri" w:cs="Arial"/>
          <w:snapToGrid w:val="0"/>
          <w:szCs w:val="20"/>
        </w:rPr>
        <w:t xml:space="preserve">within 6 months </w:t>
      </w:r>
      <w:r w:rsidRPr="00D10B63">
        <w:rPr>
          <w:rFonts w:ascii="Calibri" w:eastAsia="Calibri" w:hAnsi="Calibri" w:cs="Arial"/>
          <w:snapToGrid w:val="0"/>
          <w:szCs w:val="20"/>
        </w:rPr>
        <w:t>after platinum based chemotherapy.</w:t>
      </w:r>
    </w:p>
    <w:sectPr w:rsidR="008828CA" w:rsidSect="00F670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4C2" w:rsidRDefault="00A024C2" w:rsidP="00BA3306">
      <w:pPr>
        <w:spacing w:before="0" w:after="0"/>
      </w:pPr>
      <w:r>
        <w:separator/>
      </w:r>
    </w:p>
  </w:endnote>
  <w:endnote w:type="continuationSeparator" w:id="0">
    <w:p w:rsidR="00A024C2" w:rsidRDefault="00A024C2"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abon">
    <w:altName w:val="Constantia"/>
    <w:charset w:val="00"/>
    <w:family w:val="roman"/>
    <w:pitch w:val="variable"/>
    <w:sig w:usb0="00000003"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C2" w:rsidRDefault="00A02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398139"/>
      <w:docPartObj>
        <w:docPartGallery w:val="Page Numbers (Bottom of Page)"/>
        <w:docPartUnique/>
      </w:docPartObj>
    </w:sdtPr>
    <w:sdtEndPr>
      <w:rPr>
        <w:noProof/>
      </w:rPr>
    </w:sdtEndPr>
    <w:sdtContent>
      <w:p w:rsidR="00CB7F5B" w:rsidRDefault="00CB7F5B">
        <w:pPr>
          <w:pStyle w:val="Footer"/>
          <w:jc w:val="center"/>
        </w:pPr>
        <w:r>
          <w:fldChar w:fldCharType="begin"/>
        </w:r>
        <w:r>
          <w:instrText xml:space="preserve"> PAGE   \* MERGEFORMAT </w:instrText>
        </w:r>
        <w:r>
          <w:fldChar w:fldCharType="separate"/>
        </w:r>
        <w:r w:rsidR="00A024C2">
          <w:rPr>
            <w:noProof/>
          </w:rPr>
          <w:t>18</w:t>
        </w:r>
        <w:r>
          <w:rPr>
            <w:noProof/>
          </w:rPr>
          <w:fldChar w:fldCharType="end"/>
        </w:r>
      </w:p>
    </w:sdtContent>
  </w:sdt>
  <w:p w:rsidR="00CB7F5B" w:rsidRPr="00710DB2" w:rsidRDefault="00CB7F5B" w:rsidP="00710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C2" w:rsidRDefault="00A02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4C2" w:rsidRDefault="00A024C2" w:rsidP="00BA3306">
      <w:pPr>
        <w:spacing w:before="0" w:after="0"/>
      </w:pPr>
      <w:r>
        <w:separator/>
      </w:r>
    </w:p>
  </w:footnote>
  <w:footnote w:type="continuationSeparator" w:id="0">
    <w:p w:rsidR="00A024C2" w:rsidRDefault="00A024C2" w:rsidP="00BA3306">
      <w:pPr>
        <w:spacing w:before="0" w:after="0"/>
      </w:pPr>
      <w:r>
        <w:continuationSeparator/>
      </w:r>
    </w:p>
  </w:footnote>
  <w:footnote w:id="1">
    <w:p w:rsidR="00CB7F5B" w:rsidRDefault="00CB7F5B">
      <w:pPr>
        <w:pStyle w:val="FootnoteText"/>
      </w:pPr>
      <w:r>
        <w:rPr>
          <w:rStyle w:val="FootnoteReference"/>
        </w:rPr>
        <w:footnoteRef/>
      </w:r>
      <w:r>
        <w:t xml:space="preserve"> </w:t>
      </w:r>
      <w:r w:rsidRPr="00E15A3F">
        <w:t>MSAC (2016) Application No. 1414 – PD-L1 testing for access to pembrolizumab for the treatment of locally advanced or metastatic NSCLC</w:t>
      </w:r>
    </w:p>
  </w:footnote>
  <w:footnote w:id="2">
    <w:p w:rsidR="00CB7F5B" w:rsidRDefault="00CB7F5B">
      <w:pPr>
        <w:pStyle w:val="FootnoteText"/>
      </w:pPr>
      <w:r>
        <w:rPr>
          <w:rStyle w:val="FootnoteReference"/>
        </w:rPr>
        <w:footnoteRef/>
      </w:r>
      <w:r>
        <w:t xml:space="preserve"> </w:t>
      </w:r>
      <w:r w:rsidRPr="00E15A3F">
        <w:t>MSAC (2016) Application No. 1440 – PD-L1 testing for access to pembrolizumab in treatment naïve patients with locally advanced or metastatic NSCLC</w:t>
      </w:r>
    </w:p>
  </w:footnote>
  <w:footnote w:id="3">
    <w:p w:rsidR="00CB7F5B" w:rsidRDefault="00CB7F5B">
      <w:pPr>
        <w:pStyle w:val="FootnoteText"/>
      </w:pPr>
      <w:r>
        <w:rPr>
          <w:rStyle w:val="FootnoteReference"/>
        </w:rPr>
        <w:footnoteRef/>
      </w:r>
      <w:r>
        <w:t xml:space="preserve"> </w:t>
      </w:r>
      <w:r w:rsidRPr="00E15A3F">
        <w:t>PBAC (March 2017) Public Summary Document – 6.04 Pembrolizumab</w:t>
      </w:r>
    </w:p>
  </w:footnote>
  <w:footnote w:id="4">
    <w:p w:rsidR="00CB7F5B" w:rsidRPr="00CC701C" w:rsidRDefault="00CB7F5B" w:rsidP="006A689E">
      <w:pPr>
        <w:pStyle w:val="FootnoteText"/>
        <w:rPr>
          <w:rFonts w:ascii="Arial" w:hAnsi="Arial" w:cs="Arial"/>
          <w:sz w:val="16"/>
        </w:rPr>
      </w:pPr>
      <w:r w:rsidRPr="00CC701C">
        <w:rPr>
          <w:rStyle w:val="FootnoteReference"/>
          <w:rFonts w:ascii="Arial" w:hAnsi="Arial" w:cs="Arial"/>
          <w:sz w:val="16"/>
        </w:rPr>
        <w:footnoteRef/>
      </w:r>
      <w:r w:rsidRPr="00CC701C">
        <w:rPr>
          <w:rFonts w:ascii="Arial" w:hAnsi="Arial" w:cs="Arial"/>
          <w:sz w:val="16"/>
        </w:rPr>
        <w:t xml:space="preserve"> Roper et.al (2017). PD-L1 expression predicts longer disease free survival in high risk head and neck squamous cell carcinoma. Pathology.</w:t>
      </w:r>
    </w:p>
  </w:footnote>
  <w:footnote w:id="5">
    <w:p w:rsidR="00CB7F5B" w:rsidRDefault="00CB7F5B" w:rsidP="003D0BEC">
      <w:pPr>
        <w:pStyle w:val="FootnoteText"/>
        <w:jc w:val="both"/>
      </w:pPr>
      <w:r>
        <w:rPr>
          <w:rStyle w:val="FootnoteReference"/>
        </w:rPr>
        <w:footnoteRef/>
      </w:r>
      <w:r>
        <w:t xml:space="preserve"> </w:t>
      </w:r>
      <w:r w:rsidRPr="00825D93">
        <w:t>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 w:id="6">
    <w:p w:rsidR="00CB7F5B" w:rsidRPr="00A14E81" w:rsidRDefault="00CB7F5B" w:rsidP="00EA326E">
      <w:pPr>
        <w:pStyle w:val="FootnoteText"/>
        <w:rPr>
          <w:rFonts w:ascii="Arial" w:hAnsi="Arial" w:cs="Arial"/>
          <w:sz w:val="16"/>
          <w:szCs w:val="16"/>
        </w:rPr>
      </w:pPr>
      <w:r w:rsidRPr="00A14E81">
        <w:rPr>
          <w:rStyle w:val="FootnoteReference"/>
          <w:rFonts w:ascii="Arial" w:hAnsi="Arial" w:cs="Arial"/>
          <w:sz w:val="16"/>
          <w:szCs w:val="16"/>
        </w:rPr>
        <w:footnoteRef/>
      </w:r>
      <w:r w:rsidRPr="00A14E81">
        <w:rPr>
          <w:rFonts w:ascii="Arial" w:hAnsi="Arial" w:cs="Arial"/>
          <w:sz w:val="16"/>
          <w:szCs w:val="16"/>
        </w:rPr>
        <w:t xml:space="preserve"> PBAC (2016) Public summary document: CETUXIMAB, solution for intravenous (IV) infusion, 100 mg in 20 mL &amp; 500 mg in 100 mL, Erbitux, Merck Serono Australia Pty Ltd.</w:t>
      </w:r>
    </w:p>
  </w:footnote>
  <w:footnote w:id="7">
    <w:p w:rsidR="00CB7F5B" w:rsidRDefault="00CB7F5B" w:rsidP="00BE5C2A">
      <w:pPr>
        <w:pStyle w:val="FootnoteText"/>
      </w:pPr>
      <w:r>
        <w:rPr>
          <w:rStyle w:val="FootnoteReference"/>
        </w:rPr>
        <w:footnoteRef/>
      </w:r>
      <w:r>
        <w:t xml:space="preserve"> </w:t>
      </w:r>
      <w:r w:rsidRPr="00BE5C2A">
        <w:t xml:space="preserve">  ABS statistics. Accessed at: http://www.abs.gov.au/ausstats/abs@.nsf/Lookup/4338.0main+features212011-13</w:t>
      </w:r>
    </w:p>
  </w:footnote>
  <w:footnote w:id="8">
    <w:p w:rsidR="00CB7F5B" w:rsidRDefault="00CB7F5B" w:rsidP="008828CA">
      <w:pPr>
        <w:pStyle w:val="FootnoteText"/>
        <w:jc w:val="both"/>
      </w:pPr>
      <w:r>
        <w:rPr>
          <w:rStyle w:val="FootnoteReference"/>
        </w:rPr>
        <w:footnoteRef/>
      </w:r>
      <w:r>
        <w:t xml:space="preserve"> Nivolumab versus standard, single-agent therapy of investigator's choice in recurrent or metastatic squamous cell carcinoma of the head and neck (CheckMate 141): health-related quality-of-life results from a randomised, phase 3 trial</w:t>
      </w:r>
    </w:p>
    <w:p w:rsidR="00CB7F5B" w:rsidRDefault="00CB7F5B" w:rsidP="008828CA">
      <w:pPr>
        <w:pStyle w:val="FootnoteText"/>
        <w:jc w:val="both"/>
      </w:pPr>
      <w:r>
        <w:t>Harrington, Kevin J et al. The Lancet Oncology , Volume 18 , Issue 8 , 1104 - 1115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C2" w:rsidRDefault="00A024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F5B" w:rsidRDefault="00CB7F5B" w:rsidP="00710DB2">
    <w:pPr>
      <w:pStyle w:val="Header"/>
      <w:ind w:left="360"/>
      <w:jc w:val="center"/>
      <w:rPr>
        <w:rFonts w:cs="Arial"/>
        <w:i/>
        <w:color w:val="808080"/>
      </w:rPr>
    </w:pPr>
    <w:r>
      <w:rPr>
        <w:rFonts w:cs="Arial"/>
        <w:i/>
        <w:color w:val="808080"/>
      </w:rPr>
      <w:t>Public Summary Document</w:t>
    </w:r>
    <w:r w:rsidRPr="00766FD2">
      <w:rPr>
        <w:rFonts w:cs="Arial"/>
        <w:i/>
        <w:color w:val="808080"/>
      </w:rPr>
      <w:t xml:space="preserve"> – </w:t>
    </w:r>
    <w:r>
      <w:rPr>
        <w:rFonts w:cs="Arial"/>
        <w:i/>
        <w:color w:val="808080"/>
      </w:rPr>
      <w:t>November 2017</w:t>
    </w:r>
    <w:r w:rsidRPr="00766FD2">
      <w:rPr>
        <w:rFonts w:cs="Arial"/>
        <w:i/>
        <w:color w:val="808080"/>
      </w:rPr>
      <w:t xml:space="preserve"> PBAC Meeting</w:t>
    </w:r>
  </w:p>
  <w:p w:rsidR="00CB7F5B" w:rsidRPr="00766FD2" w:rsidRDefault="00CB7F5B" w:rsidP="00E81264">
    <w:pPr>
      <w:pStyle w:val="Header"/>
      <w:ind w:left="360"/>
      <w:rPr>
        <w:rFonts w:cs="Arial"/>
        <w:i/>
        <w:color w:val="808080"/>
      </w:rPr>
    </w:pPr>
  </w:p>
  <w:p w:rsidR="00CB7F5B" w:rsidRPr="00710DB2" w:rsidRDefault="00CB7F5B" w:rsidP="00710D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C2" w:rsidRDefault="00A024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02EDA"/>
    <w:multiLevelType w:val="hybridMultilevel"/>
    <w:tmpl w:val="377E65E8"/>
    <w:styleLink w:val="ImportedStyle1"/>
    <w:lvl w:ilvl="0" w:tplc="FAFAD5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90AEEB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A00AD8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B6C12B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A2AAE7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6AC1F7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AA0A6E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C12697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00901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nsid w:val="135429B2"/>
    <w:multiLevelType w:val="multilevel"/>
    <w:tmpl w:val="A3B60F7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FE24840"/>
    <w:multiLevelType w:val="multilevel"/>
    <w:tmpl w:val="079C321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84E6825"/>
    <w:multiLevelType w:val="multilevel"/>
    <w:tmpl w:val="3AE4C8F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04911A9"/>
    <w:multiLevelType w:val="hybridMultilevel"/>
    <w:tmpl w:val="53D43BB0"/>
    <w:lvl w:ilvl="0" w:tplc="0C090001">
      <w:start w:val="1"/>
      <w:numFmt w:val="bullet"/>
      <w:lvlText w:val=""/>
      <w:lvlJc w:val="left"/>
      <w:pPr>
        <w:ind w:left="936" w:hanging="360"/>
      </w:pPr>
      <w:rPr>
        <w:rFonts w:ascii="Symbol" w:hAnsi="Symbol" w:hint="default"/>
      </w:rPr>
    </w:lvl>
    <w:lvl w:ilvl="1" w:tplc="0C090003" w:tentative="1">
      <w:start w:val="1"/>
      <w:numFmt w:val="bullet"/>
      <w:lvlText w:val="o"/>
      <w:lvlJc w:val="left"/>
      <w:pPr>
        <w:ind w:left="1656" w:hanging="360"/>
      </w:pPr>
      <w:rPr>
        <w:rFonts w:ascii="Courier New" w:hAnsi="Courier New" w:cs="Courier New" w:hint="default"/>
      </w:rPr>
    </w:lvl>
    <w:lvl w:ilvl="2" w:tplc="0C090005" w:tentative="1">
      <w:start w:val="1"/>
      <w:numFmt w:val="bullet"/>
      <w:lvlText w:val=""/>
      <w:lvlJc w:val="left"/>
      <w:pPr>
        <w:ind w:left="2376" w:hanging="360"/>
      </w:pPr>
      <w:rPr>
        <w:rFonts w:ascii="Wingdings" w:hAnsi="Wingdings" w:hint="default"/>
      </w:rPr>
    </w:lvl>
    <w:lvl w:ilvl="3" w:tplc="0C090001" w:tentative="1">
      <w:start w:val="1"/>
      <w:numFmt w:val="bullet"/>
      <w:lvlText w:val=""/>
      <w:lvlJc w:val="left"/>
      <w:pPr>
        <w:ind w:left="3096" w:hanging="360"/>
      </w:pPr>
      <w:rPr>
        <w:rFonts w:ascii="Symbol" w:hAnsi="Symbol" w:hint="default"/>
      </w:rPr>
    </w:lvl>
    <w:lvl w:ilvl="4" w:tplc="0C090003" w:tentative="1">
      <w:start w:val="1"/>
      <w:numFmt w:val="bullet"/>
      <w:lvlText w:val="o"/>
      <w:lvlJc w:val="left"/>
      <w:pPr>
        <w:ind w:left="3816" w:hanging="360"/>
      </w:pPr>
      <w:rPr>
        <w:rFonts w:ascii="Courier New" w:hAnsi="Courier New" w:cs="Courier New" w:hint="default"/>
      </w:rPr>
    </w:lvl>
    <w:lvl w:ilvl="5" w:tplc="0C090005" w:tentative="1">
      <w:start w:val="1"/>
      <w:numFmt w:val="bullet"/>
      <w:lvlText w:val=""/>
      <w:lvlJc w:val="left"/>
      <w:pPr>
        <w:ind w:left="4536" w:hanging="360"/>
      </w:pPr>
      <w:rPr>
        <w:rFonts w:ascii="Wingdings" w:hAnsi="Wingdings" w:hint="default"/>
      </w:rPr>
    </w:lvl>
    <w:lvl w:ilvl="6" w:tplc="0C090001" w:tentative="1">
      <w:start w:val="1"/>
      <w:numFmt w:val="bullet"/>
      <w:lvlText w:val=""/>
      <w:lvlJc w:val="left"/>
      <w:pPr>
        <w:ind w:left="5256" w:hanging="360"/>
      </w:pPr>
      <w:rPr>
        <w:rFonts w:ascii="Symbol" w:hAnsi="Symbol" w:hint="default"/>
      </w:rPr>
    </w:lvl>
    <w:lvl w:ilvl="7" w:tplc="0C090003" w:tentative="1">
      <w:start w:val="1"/>
      <w:numFmt w:val="bullet"/>
      <w:lvlText w:val="o"/>
      <w:lvlJc w:val="left"/>
      <w:pPr>
        <w:ind w:left="5976" w:hanging="360"/>
      </w:pPr>
      <w:rPr>
        <w:rFonts w:ascii="Courier New" w:hAnsi="Courier New" w:cs="Courier New" w:hint="default"/>
      </w:rPr>
    </w:lvl>
    <w:lvl w:ilvl="8" w:tplc="0C090005" w:tentative="1">
      <w:start w:val="1"/>
      <w:numFmt w:val="bullet"/>
      <w:lvlText w:val=""/>
      <w:lvlJc w:val="left"/>
      <w:pPr>
        <w:ind w:left="6696" w:hanging="360"/>
      </w:pPr>
      <w:rPr>
        <w:rFonts w:ascii="Wingdings" w:hAnsi="Wingdings" w:hint="default"/>
      </w:rPr>
    </w:lvl>
  </w:abstractNum>
  <w:abstractNum w:abstractNumId="7">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84D033C"/>
    <w:multiLevelType w:val="multilevel"/>
    <w:tmpl w:val="2C1C9270"/>
    <w:lvl w:ilvl="0">
      <w:start w:val="1"/>
      <w:numFmt w:val="decimal"/>
      <w:pStyle w:val="PBACHeading1"/>
      <w:lvlText w:val="%1"/>
      <w:lvlJc w:val="left"/>
      <w:pPr>
        <w:ind w:left="720" w:hanging="720"/>
      </w:pPr>
      <w:rPr>
        <w:rFonts w:hint="default"/>
        <w:b/>
        <w:color w:val="FFFFFF" w:themeColor="background1"/>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0"/>
  </w:num>
  <w:num w:numId="4">
    <w:abstractNumId w:val="9"/>
  </w:num>
  <w:num w:numId="5">
    <w:abstractNumId w:val="5"/>
  </w:num>
  <w:num w:numId="6">
    <w:abstractNumId w:val="8"/>
  </w:num>
  <w:num w:numId="7">
    <w:abstractNumId w:val="2"/>
  </w:num>
  <w:num w:numId="8">
    <w:abstractNumId w:val="3"/>
  </w:num>
  <w:num w:numId="9">
    <w:abstractNumId w:val="1"/>
  </w:num>
  <w:num w:numId="10">
    <w:abstractNumId w:val="4"/>
  </w:num>
  <w:num w:numId="11">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Grimison">
    <w15:presenceInfo w15:providerId="AD" w15:userId="S-1-5-21-4175918418-1886762679-246317849-5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AB4"/>
    <w:rsid w:val="00003449"/>
    <w:rsid w:val="00004B61"/>
    <w:rsid w:val="00004D69"/>
    <w:rsid w:val="000101B4"/>
    <w:rsid w:val="0001066F"/>
    <w:rsid w:val="000122ED"/>
    <w:rsid w:val="00013222"/>
    <w:rsid w:val="000134B3"/>
    <w:rsid w:val="000161CB"/>
    <w:rsid w:val="0002095B"/>
    <w:rsid w:val="0002286E"/>
    <w:rsid w:val="000228DA"/>
    <w:rsid w:val="000303B5"/>
    <w:rsid w:val="00030642"/>
    <w:rsid w:val="000331F2"/>
    <w:rsid w:val="00034404"/>
    <w:rsid w:val="00036E38"/>
    <w:rsid w:val="00041940"/>
    <w:rsid w:val="00042614"/>
    <w:rsid w:val="0004480D"/>
    <w:rsid w:val="00044B23"/>
    <w:rsid w:val="00044D54"/>
    <w:rsid w:val="00045158"/>
    <w:rsid w:val="00045194"/>
    <w:rsid w:val="000456C5"/>
    <w:rsid w:val="000461CF"/>
    <w:rsid w:val="00046226"/>
    <w:rsid w:val="00051E92"/>
    <w:rsid w:val="00052A82"/>
    <w:rsid w:val="00057463"/>
    <w:rsid w:val="00057F71"/>
    <w:rsid w:val="000600D1"/>
    <w:rsid w:val="00061DB4"/>
    <w:rsid w:val="00062067"/>
    <w:rsid w:val="000631E2"/>
    <w:rsid w:val="000633BE"/>
    <w:rsid w:val="00065A4D"/>
    <w:rsid w:val="00065C62"/>
    <w:rsid w:val="00065CDE"/>
    <w:rsid w:val="00065F4A"/>
    <w:rsid w:val="00070542"/>
    <w:rsid w:val="00073957"/>
    <w:rsid w:val="0007584B"/>
    <w:rsid w:val="00076314"/>
    <w:rsid w:val="00076B7E"/>
    <w:rsid w:val="00077273"/>
    <w:rsid w:val="00080FF3"/>
    <w:rsid w:val="00082918"/>
    <w:rsid w:val="000847FE"/>
    <w:rsid w:val="00086133"/>
    <w:rsid w:val="00090956"/>
    <w:rsid w:val="000924CD"/>
    <w:rsid w:val="000950A9"/>
    <w:rsid w:val="000954F3"/>
    <w:rsid w:val="0009642D"/>
    <w:rsid w:val="0009754D"/>
    <w:rsid w:val="000A2694"/>
    <w:rsid w:val="000A2EF1"/>
    <w:rsid w:val="000A3D13"/>
    <w:rsid w:val="000A6FBD"/>
    <w:rsid w:val="000B3E91"/>
    <w:rsid w:val="000B56CD"/>
    <w:rsid w:val="000B5974"/>
    <w:rsid w:val="000B6390"/>
    <w:rsid w:val="000B65F3"/>
    <w:rsid w:val="000B6B69"/>
    <w:rsid w:val="000B7985"/>
    <w:rsid w:val="000C0142"/>
    <w:rsid w:val="000C01AA"/>
    <w:rsid w:val="000C0537"/>
    <w:rsid w:val="000C3B34"/>
    <w:rsid w:val="000C674F"/>
    <w:rsid w:val="000C6A40"/>
    <w:rsid w:val="000C6A75"/>
    <w:rsid w:val="000C6E88"/>
    <w:rsid w:val="000C7008"/>
    <w:rsid w:val="000D0023"/>
    <w:rsid w:val="000D2E92"/>
    <w:rsid w:val="000D6A75"/>
    <w:rsid w:val="000F05FF"/>
    <w:rsid w:val="000F0631"/>
    <w:rsid w:val="000F2534"/>
    <w:rsid w:val="000F3652"/>
    <w:rsid w:val="000F6DF0"/>
    <w:rsid w:val="000F7275"/>
    <w:rsid w:val="000F73C7"/>
    <w:rsid w:val="00101A32"/>
    <w:rsid w:val="00102B80"/>
    <w:rsid w:val="001042B2"/>
    <w:rsid w:val="00104F63"/>
    <w:rsid w:val="0010751B"/>
    <w:rsid w:val="00107B3E"/>
    <w:rsid w:val="00112927"/>
    <w:rsid w:val="00112CFD"/>
    <w:rsid w:val="001173D0"/>
    <w:rsid w:val="0012101C"/>
    <w:rsid w:val="00126ED6"/>
    <w:rsid w:val="0012701F"/>
    <w:rsid w:val="001279AE"/>
    <w:rsid w:val="0013092C"/>
    <w:rsid w:val="00131B33"/>
    <w:rsid w:val="001343EE"/>
    <w:rsid w:val="00136E76"/>
    <w:rsid w:val="001371E8"/>
    <w:rsid w:val="001468C6"/>
    <w:rsid w:val="00146C47"/>
    <w:rsid w:val="00146F17"/>
    <w:rsid w:val="00154BEB"/>
    <w:rsid w:val="0015629B"/>
    <w:rsid w:val="001615EF"/>
    <w:rsid w:val="00164F2C"/>
    <w:rsid w:val="001654BC"/>
    <w:rsid w:val="00165A49"/>
    <w:rsid w:val="00166F28"/>
    <w:rsid w:val="001722AD"/>
    <w:rsid w:val="00173577"/>
    <w:rsid w:val="0017416F"/>
    <w:rsid w:val="0017638E"/>
    <w:rsid w:val="00176616"/>
    <w:rsid w:val="00176AA5"/>
    <w:rsid w:val="0017720E"/>
    <w:rsid w:val="00177893"/>
    <w:rsid w:val="00180270"/>
    <w:rsid w:val="001814B2"/>
    <w:rsid w:val="001827E4"/>
    <w:rsid w:val="00184161"/>
    <w:rsid w:val="00184221"/>
    <w:rsid w:val="00186307"/>
    <w:rsid w:val="001869E2"/>
    <w:rsid w:val="00186EBC"/>
    <w:rsid w:val="00192359"/>
    <w:rsid w:val="00194C7A"/>
    <w:rsid w:val="00195DA4"/>
    <w:rsid w:val="001A0142"/>
    <w:rsid w:val="001A02B2"/>
    <w:rsid w:val="001A10FF"/>
    <w:rsid w:val="001A11BE"/>
    <w:rsid w:val="001A26ED"/>
    <w:rsid w:val="001A6B65"/>
    <w:rsid w:val="001B00CE"/>
    <w:rsid w:val="001B034E"/>
    <w:rsid w:val="001B0432"/>
    <w:rsid w:val="001B1D76"/>
    <w:rsid w:val="001B27C6"/>
    <w:rsid w:val="001B38A9"/>
    <w:rsid w:val="001B6389"/>
    <w:rsid w:val="001C04CC"/>
    <w:rsid w:val="001C051E"/>
    <w:rsid w:val="001C2944"/>
    <w:rsid w:val="001C62FD"/>
    <w:rsid w:val="001D1897"/>
    <w:rsid w:val="001D1BE5"/>
    <w:rsid w:val="001D2AB9"/>
    <w:rsid w:val="001D3D23"/>
    <w:rsid w:val="001D5CA4"/>
    <w:rsid w:val="001D5DE3"/>
    <w:rsid w:val="001D61A5"/>
    <w:rsid w:val="001D6C6D"/>
    <w:rsid w:val="001E32E6"/>
    <w:rsid w:val="001E4361"/>
    <w:rsid w:val="001E5918"/>
    <w:rsid w:val="001E78CB"/>
    <w:rsid w:val="001F073C"/>
    <w:rsid w:val="001F128B"/>
    <w:rsid w:val="001F2912"/>
    <w:rsid w:val="001F3AF0"/>
    <w:rsid w:val="001F3CEC"/>
    <w:rsid w:val="001F3ED1"/>
    <w:rsid w:val="001F57FC"/>
    <w:rsid w:val="001F6EEC"/>
    <w:rsid w:val="001F73CA"/>
    <w:rsid w:val="002001C6"/>
    <w:rsid w:val="00200296"/>
    <w:rsid w:val="00200CAD"/>
    <w:rsid w:val="00201404"/>
    <w:rsid w:val="00201ADB"/>
    <w:rsid w:val="00203E5D"/>
    <w:rsid w:val="00204739"/>
    <w:rsid w:val="00204A4A"/>
    <w:rsid w:val="002058E5"/>
    <w:rsid w:val="00210FAA"/>
    <w:rsid w:val="002148E5"/>
    <w:rsid w:val="00214D50"/>
    <w:rsid w:val="00221503"/>
    <w:rsid w:val="00221EB6"/>
    <w:rsid w:val="002234A6"/>
    <w:rsid w:val="002235AE"/>
    <w:rsid w:val="002238A1"/>
    <w:rsid w:val="00224BE1"/>
    <w:rsid w:val="00224EC3"/>
    <w:rsid w:val="00226EB7"/>
    <w:rsid w:val="00232251"/>
    <w:rsid w:val="002365B8"/>
    <w:rsid w:val="00237498"/>
    <w:rsid w:val="002425EA"/>
    <w:rsid w:val="00242EA0"/>
    <w:rsid w:val="00243685"/>
    <w:rsid w:val="00245521"/>
    <w:rsid w:val="00245699"/>
    <w:rsid w:val="00246552"/>
    <w:rsid w:val="002469FD"/>
    <w:rsid w:val="0024798C"/>
    <w:rsid w:val="00254B8D"/>
    <w:rsid w:val="0025613F"/>
    <w:rsid w:val="00257604"/>
    <w:rsid w:val="00257834"/>
    <w:rsid w:val="00260024"/>
    <w:rsid w:val="00261DC6"/>
    <w:rsid w:val="00263AD1"/>
    <w:rsid w:val="002645F4"/>
    <w:rsid w:val="00264623"/>
    <w:rsid w:val="00267723"/>
    <w:rsid w:val="0027309B"/>
    <w:rsid w:val="00273C92"/>
    <w:rsid w:val="0027702A"/>
    <w:rsid w:val="0027723A"/>
    <w:rsid w:val="002804DC"/>
    <w:rsid w:val="00280B5B"/>
    <w:rsid w:val="00282D1F"/>
    <w:rsid w:val="002836DF"/>
    <w:rsid w:val="002928F4"/>
    <w:rsid w:val="002931E1"/>
    <w:rsid w:val="00293909"/>
    <w:rsid w:val="002A1CEF"/>
    <w:rsid w:val="002A269E"/>
    <w:rsid w:val="002A3FC3"/>
    <w:rsid w:val="002A3FFB"/>
    <w:rsid w:val="002A4503"/>
    <w:rsid w:val="002A4891"/>
    <w:rsid w:val="002A4C26"/>
    <w:rsid w:val="002B4941"/>
    <w:rsid w:val="002B4EA6"/>
    <w:rsid w:val="002B4FE5"/>
    <w:rsid w:val="002B5D74"/>
    <w:rsid w:val="002B7ADB"/>
    <w:rsid w:val="002C1345"/>
    <w:rsid w:val="002C1D2F"/>
    <w:rsid w:val="002C2A1E"/>
    <w:rsid w:val="002C5751"/>
    <w:rsid w:val="002C7267"/>
    <w:rsid w:val="002C7730"/>
    <w:rsid w:val="002D2FCA"/>
    <w:rsid w:val="002D34C2"/>
    <w:rsid w:val="002D7823"/>
    <w:rsid w:val="002E0A7C"/>
    <w:rsid w:val="002E2549"/>
    <w:rsid w:val="002E2E86"/>
    <w:rsid w:val="002E42FD"/>
    <w:rsid w:val="002E4C2D"/>
    <w:rsid w:val="002E4C3F"/>
    <w:rsid w:val="002E5C54"/>
    <w:rsid w:val="002E5DEA"/>
    <w:rsid w:val="002E724A"/>
    <w:rsid w:val="002E7DE0"/>
    <w:rsid w:val="002F07E8"/>
    <w:rsid w:val="002F0C03"/>
    <w:rsid w:val="002F0CC4"/>
    <w:rsid w:val="002F0ED4"/>
    <w:rsid w:val="002F2E35"/>
    <w:rsid w:val="002F311E"/>
    <w:rsid w:val="002F4239"/>
    <w:rsid w:val="002F4CD2"/>
    <w:rsid w:val="002F576B"/>
    <w:rsid w:val="002F690C"/>
    <w:rsid w:val="002F71B8"/>
    <w:rsid w:val="0030057F"/>
    <w:rsid w:val="003009A0"/>
    <w:rsid w:val="00301231"/>
    <w:rsid w:val="00301EA1"/>
    <w:rsid w:val="00302FCC"/>
    <w:rsid w:val="0030323B"/>
    <w:rsid w:val="003062AE"/>
    <w:rsid w:val="0031348B"/>
    <w:rsid w:val="00313836"/>
    <w:rsid w:val="00313E09"/>
    <w:rsid w:val="00314507"/>
    <w:rsid w:val="00315514"/>
    <w:rsid w:val="00316426"/>
    <w:rsid w:val="00316658"/>
    <w:rsid w:val="00317B21"/>
    <w:rsid w:val="003214CD"/>
    <w:rsid w:val="00330281"/>
    <w:rsid w:val="00334ACB"/>
    <w:rsid w:val="00334ACF"/>
    <w:rsid w:val="00334D5A"/>
    <w:rsid w:val="003365D7"/>
    <w:rsid w:val="00340C6E"/>
    <w:rsid w:val="00341A14"/>
    <w:rsid w:val="00351381"/>
    <w:rsid w:val="00351E75"/>
    <w:rsid w:val="003530A6"/>
    <w:rsid w:val="00353627"/>
    <w:rsid w:val="003545FD"/>
    <w:rsid w:val="00355E39"/>
    <w:rsid w:val="00355F72"/>
    <w:rsid w:val="00356561"/>
    <w:rsid w:val="00357657"/>
    <w:rsid w:val="00357681"/>
    <w:rsid w:val="003639A6"/>
    <w:rsid w:val="00365830"/>
    <w:rsid w:val="003662D8"/>
    <w:rsid w:val="003679AE"/>
    <w:rsid w:val="00376722"/>
    <w:rsid w:val="003803D4"/>
    <w:rsid w:val="00380C91"/>
    <w:rsid w:val="00380F0A"/>
    <w:rsid w:val="0038281C"/>
    <w:rsid w:val="003832B1"/>
    <w:rsid w:val="0038485B"/>
    <w:rsid w:val="003851FE"/>
    <w:rsid w:val="00385A64"/>
    <w:rsid w:val="00386D1A"/>
    <w:rsid w:val="003873EF"/>
    <w:rsid w:val="003874ED"/>
    <w:rsid w:val="00387F12"/>
    <w:rsid w:val="00390AD0"/>
    <w:rsid w:val="00390DD8"/>
    <w:rsid w:val="003918F1"/>
    <w:rsid w:val="0039320A"/>
    <w:rsid w:val="003969AC"/>
    <w:rsid w:val="00397170"/>
    <w:rsid w:val="003A219E"/>
    <w:rsid w:val="003A3433"/>
    <w:rsid w:val="003A537E"/>
    <w:rsid w:val="003A53F0"/>
    <w:rsid w:val="003A5F47"/>
    <w:rsid w:val="003A660F"/>
    <w:rsid w:val="003A7679"/>
    <w:rsid w:val="003B095E"/>
    <w:rsid w:val="003B262E"/>
    <w:rsid w:val="003B2D76"/>
    <w:rsid w:val="003B65A0"/>
    <w:rsid w:val="003B69B5"/>
    <w:rsid w:val="003B7496"/>
    <w:rsid w:val="003C0BF9"/>
    <w:rsid w:val="003C0EAF"/>
    <w:rsid w:val="003C1A9F"/>
    <w:rsid w:val="003C2E4C"/>
    <w:rsid w:val="003C344F"/>
    <w:rsid w:val="003C5F28"/>
    <w:rsid w:val="003C60A6"/>
    <w:rsid w:val="003C7AC6"/>
    <w:rsid w:val="003D0BEC"/>
    <w:rsid w:val="003D102E"/>
    <w:rsid w:val="003D11A9"/>
    <w:rsid w:val="003D27C6"/>
    <w:rsid w:val="003D2A37"/>
    <w:rsid w:val="003D2DD4"/>
    <w:rsid w:val="003D4782"/>
    <w:rsid w:val="003D69EF"/>
    <w:rsid w:val="003D7F8C"/>
    <w:rsid w:val="003E0C40"/>
    <w:rsid w:val="003E0EDB"/>
    <w:rsid w:val="003E4236"/>
    <w:rsid w:val="003E5061"/>
    <w:rsid w:val="003E6475"/>
    <w:rsid w:val="003F01BC"/>
    <w:rsid w:val="003F105A"/>
    <w:rsid w:val="003F283D"/>
    <w:rsid w:val="003F6199"/>
    <w:rsid w:val="003F7228"/>
    <w:rsid w:val="004033BF"/>
    <w:rsid w:val="004042CE"/>
    <w:rsid w:val="004046F8"/>
    <w:rsid w:val="00404DA7"/>
    <w:rsid w:val="004053B9"/>
    <w:rsid w:val="00405B44"/>
    <w:rsid w:val="00415EFD"/>
    <w:rsid w:val="00416525"/>
    <w:rsid w:val="00416B11"/>
    <w:rsid w:val="00420CDE"/>
    <w:rsid w:val="00421450"/>
    <w:rsid w:val="00422436"/>
    <w:rsid w:val="00424FE4"/>
    <w:rsid w:val="0042622F"/>
    <w:rsid w:val="00427E55"/>
    <w:rsid w:val="004334E0"/>
    <w:rsid w:val="00437BB5"/>
    <w:rsid w:val="00437BC4"/>
    <w:rsid w:val="004402BC"/>
    <w:rsid w:val="00446935"/>
    <w:rsid w:val="0044732F"/>
    <w:rsid w:val="004501CE"/>
    <w:rsid w:val="00451540"/>
    <w:rsid w:val="00452606"/>
    <w:rsid w:val="00453BAE"/>
    <w:rsid w:val="00453D59"/>
    <w:rsid w:val="00454493"/>
    <w:rsid w:val="00454F2B"/>
    <w:rsid w:val="0045518D"/>
    <w:rsid w:val="00457C49"/>
    <w:rsid w:val="00457C75"/>
    <w:rsid w:val="00460562"/>
    <w:rsid w:val="004619BB"/>
    <w:rsid w:val="00465D3F"/>
    <w:rsid w:val="00465F88"/>
    <w:rsid w:val="0046621E"/>
    <w:rsid w:val="00472D4D"/>
    <w:rsid w:val="004740F7"/>
    <w:rsid w:val="00475415"/>
    <w:rsid w:val="0048590A"/>
    <w:rsid w:val="004919DD"/>
    <w:rsid w:val="0049477D"/>
    <w:rsid w:val="00494F7C"/>
    <w:rsid w:val="004966DD"/>
    <w:rsid w:val="004A2DF5"/>
    <w:rsid w:val="004A3EF5"/>
    <w:rsid w:val="004A4EF3"/>
    <w:rsid w:val="004A61AB"/>
    <w:rsid w:val="004B2157"/>
    <w:rsid w:val="004B3C00"/>
    <w:rsid w:val="004B4600"/>
    <w:rsid w:val="004B48FE"/>
    <w:rsid w:val="004B51D4"/>
    <w:rsid w:val="004B5310"/>
    <w:rsid w:val="004B6880"/>
    <w:rsid w:val="004B72B2"/>
    <w:rsid w:val="004B7F0C"/>
    <w:rsid w:val="004C29AA"/>
    <w:rsid w:val="004C42E5"/>
    <w:rsid w:val="004C602D"/>
    <w:rsid w:val="004D1006"/>
    <w:rsid w:val="004D2642"/>
    <w:rsid w:val="004D45DF"/>
    <w:rsid w:val="004E08CD"/>
    <w:rsid w:val="004E0C0B"/>
    <w:rsid w:val="004E2125"/>
    <w:rsid w:val="004E2EEE"/>
    <w:rsid w:val="004E4C66"/>
    <w:rsid w:val="004E6284"/>
    <w:rsid w:val="004F3688"/>
    <w:rsid w:val="004F3AAE"/>
    <w:rsid w:val="004F3DA9"/>
    <w:rsid w:val="004F4415"/>
    <w:rsid w:val="004F4AD4"/>
    <w:rsid w:val="004F4BDE"/>
    <w:rsid w:val="004F6163"/>
    <w:rsid w:val="004F763A"/>
    <w:rsid w:val="004F7CAC"/>
    <w:rsid w:val="004F7E60"/>
    <w:rsid w:val="00504DEC"/>
    <w:rsid w:val="00505542"/>
    <w:rsid w:val="00505D42"/>
    <w:rsid w:val="00507713"/>
    <w:rsid w:val="00511320"/>
    <w:rsid w:val="005125EE"/>
    <w:rsid w:val="00514011"/>
    <w:rsid w:val="005143F9"/>
    <w:rsid w:val="005149B9"/>
    <w:rsid w:val="00516566"/>
    <w:rsid w:val="00517B60"/>
    <w:rsid w:val="0052159F"/>
    <w:rsid w:val="005218C3"/>
    <w:rsid w:val="00521903"/>
    <w:rsid w:val="00522884"/>
    <w:rsid w:val="00523BAE"/>
    <w:rsid w:val="00527A16"/>
    <w:rsid w:val="0053043B"/>
    <w:rsid w:val="00531C11"/>
    <w:rsid w:val="00533F1A"/>
    <w:rsid w:val="00535C74"/>
    <w:rsid w:val="005361AB"/>
    <w:rsid w:val="0053696C"/>
    <w:rsid w:val="0054034E"/>
    <w:rsid w:val="005408C2"/>
    <w:rsid w:val="00541D43"/>
    <w:rsid w:val="00542068"/>
    <w:rsid w:val="00542327"/>
    <w:rsid w:val="00543AF9"/>
    <w:rsid w:val="00550A93"/>
    <w:rsid w:val="00552A0D"/>
    <w:rsid w:val="00554A0B"/>
    <w:rsid w:val="005552C9"/>
    <w:rsid w:val="0055532F"/>
    <w:rsid w:val="005558A9"/>
    <w:rsid w:val="00561D24"/>
    <w:rsid w:val="00563A8C"/>
    <w:rsid w:val="00563E36"/>
    <w:rsid w:val="00564676"/>
    <w:rsid w:val="00567569"/>
    <w:rsid w:val="00567B6A"/>
    <w:rsid w:val="00570EA5"/>
    <w:rsid w:val="00571BCE"/>
    <w:rsid w:val="0057531D"/>
    <w:rsid w:val="00576649"/>
    <w:rsid w:val="00576ADE"/>
    <w:rsid w:val="0057701E"/>
    <w:rsid w:val="00577036"/>
    <w:rsid w:val="0057767E"/>
    <w:rsid w:val="00577CFD"/>
    <w:rsid w:val="00577DEF"/>
    <w:rsid w:val="00582EC8"/>
    <w:rsid w:val="00583D5F"/>
    <w:rsid w:val="00587023"/>
    <w:rsid w:val="00587AD4"/>
    <w:rsid w:val="005924A7"/>
    <w:rsid w:val="00593C59"/>
    <w:rsid w:val="005948F6"/>
    <w:rsid w:val="00595D45"/>
    <w:rsid w:val="00597972"/>
    <w:rsid w:val="00597A7B"/>
    <w:rsid w:val="005A45D5"/>
    <w:rsid w:val="005B1F54"/>
    <w:rsid w:val="005B7FE4"/>
    <w:rsid w:val="005C08A2"/>
    <w:rsid w:val="005C3BD2"/>
    <w:rsid w:val="005C44F3"/>
    <w:rsid w:val="005C4631"/>
    <w:rsid w:val="005C6285"/>
    <w:rsid w:val="005D5BA1"/>
    <w:rsid w:val="005D5FA5"/>
    <w:rsid w:val="005D622E"/>
    <w:rsid w:val="005E49B2"/>
    <w:rsid w:val="005E7E8C"/>
    <w:rsid w:val="005E7EAA"/>
    <w:rsid w:val="005F0AE8"/>
    <w:rsid w:val="005F19CB"/>
    <w:rsid w:val="005F24A7"/>
    <w:rsid w:val="005F2A6B"/>
    <w:rsid w:val="005F40C1"/>
    <w:rsid w:val="005F4BCD"/>
    <w:rsid w:val="00601A6C"/>
    <w:rsid w:val="006024D3"/>
    <w:rsid w:val="00604104"/>
    <w:rsid w:val="00604654"/>
    <w:rsid w:val="00606EF9"/>
    <w:rsid w:val="0060706A"/>
    <w:rsid w:val="006070C4"/>
    <w:rsid w:val="00607758"/>
    <w:rsid w:val="00610D5E"/>
    <w:rsid w:val="006110E8"/>
    <w:rsid w:val="006111C7"/>
    <w:rsid w:val="006113DA"/>
    <w:rsid w:val="00613467"/>
    <w:rsid w:val="00616E2A"/>
    <w:rsid w:val="00621031"/>
    <w:rsid w:val="00621CDD"/>
    <w:rsid w:val="0062214E"/>
    <w:rsid w:val="00624315"/>
    <w:rsid w:val="0062544E"/>
    <w:rsid w:val="0062545B"/>
    <w:rsid w:val="0062552A"/>
    <w:rsid w:val="00625DB7"/>
    <w:rsid w:val="0063014F"/>
    <w:rsid w:val="006332BE"/>
    <w:rsid w:val="00633569"/>
    <w:rsid w:val="0063772B"/>
    <w:rsid w:val="006408C3"/>
    <w:rsid w:val="006428C9"/>
    <w:rsid w:val="00642B3F"/>
    <w:rsid w:val="00644B5B"/>
    <w:rsid w:val="0064620D"/>
    <w:rsid w:val="00647F11"/>
    <w:rsid w:val="00656B3C"/>
    <w:rsid w:val="00657754"/>
    <w:rsid w:val="00661286"/>
    <w:rsid w:val="00661823"/>
    <w:rsid w:val="00662231"/>
    <w:rsid w:val="006622B5"/>
    <w:rsid w:val="00662549"/>
    <w:rsid w:val="00662DFF"/>
    <w:rsid w:val="00664356"/>
    <w:rsid w:val="00672120"/>
    <w:rsid w:val="00674BBA"/>
    <w:rsid w:val="0068064F"/>
    <w:rsid w:val="006825B9"/>
    <w:rsid w:val="00690B99"/>
    <w:rsid w:val="00691913"/>
    <w:rsid w:val="00692FB3"/>
    <w:rsid w:val="00693451"/>
    <w:rsid w:val="00693B1D"/>
    <w:rsid w:val="006943A2"/>
    <w:rsid w:val="006952C4"/>
    <w:rsid w:val="00695A5D"/>
    <w:rsid w:val="006961F2"/>
    <w:rsid w:val="006A138B"/>
    <w:rsid w:val="006A13BB"/>
    <w:rsid w:val="006A23BA"/>
    <w:rsid w:val="006A3915"/>
    <w:rsid w:val="006A3C29"/>
    <w:rsid w:val="006A689E"/>
    <w:rsid w:val="006A7703"/>
    <w:rsid w:val="006A79EF"/>
    <w:rsid w:val="006B140A"/>
    <w:rsid w:val="006B250D"/>
    <w:rsid w:val="006B4327"/>
    <w:rsid w:val="006B433D"/>
    <w:rsid w:val="006B64B3"/>
    <w:rsid w:val="006B6888"/>
    <w:rsid w:val="006C023C"/>
    <w:rsid w:val="006C0528"/>
    <w:rsid w:val="006C2835"/>
    <w:rsid w:val="006C309B"/>
    <w:rsid w:val="006C3458"/>
    <w:rsid w:val="006C46E7"/>
    <w:rsid w:val="006C4906"/>
    <w:rsid w:val="006C7530"/>
    <w:rsid w:val="006D0768"/>
    <w:rsid w:val="006D1593"/>
    <w:rsid w:val="006D26A2"/>
    <w:rsid w:val="006D3271"/>
    <w:rsid w:val="006D40B7"/>
    <w:rsid w:val="006D62C9"/>
    <w:rsid w:val="006E48F6"/>
    <w:rsid w:val="006E4AA4"/>
    <w:rsid w:val="006E5008"/>
    <w:rsid w:val="006E7302"/>
    <w:rsid w:val="006E77BE"/>
    <w:rsid w:val="006E79C7"/>
    <w:rsid w:val="006F1517"/>
    <w:rsid w:val="006F161E"/>
    <w:rsid w:val="006F1787"/>
    <w:rsid w:val="006F1A14"/>
    <w:rsid w:val="006F21CC"/>
    <w:rsid w:val="006F378E"/>
    <w:rsid w:val="006F4D15"/>
    <w:rsid w:val="006F5BBF"/>
    <w:rsid w:val="006F6A08"/>
    <w:rsid w:val="00701E85"/>
    <w:rsid w:val="0070322E"/>
    <w:rsid w:val="0070370A"/>
    <w:rsid w:val="00707082"/>
    <w:rsid w:val="00710DB2"/>
    <w:rsid w:val="007129EB"/>
    <w:rsid w:val="00712C73"/>
    <w:rsid w:val="00713472"/>
    <w:rsid w:val="00713B61"/>
    <w:rsid w:val="0071632C"/>
    <w:rsid w:val="007177D5"/>
    <w:rsid w:val="00720D76"/>
    <w:rsid w:val="0072120B"/>
    <w:rsid w:val="00723AB1"/>
    <w:rsid w:val="00723E1E"/>
    <w:rsid w:val="00725FA5"/>
    <w:rsid w:val="0072663E"/>
    <w:rsid w:val="007271A1"/>
    <w:rsid w:val="00731A4B"/>
    <w:rsid w:val="00733041"/>
    <w:rsid w:val="0073611F"/>
    <w:rsid w:val="00736C78"/>
    <w:rsid w:val="00740A5A"/>
    <w:rsid w:val="00745720"/>
    <w:rsid w:val="00747333"/>
    <w:rsid w:val="007477DE"/>
    <w:rsid w:val="007509A6"/>
    <w:rsid w:val="00750B5A"/>
    <w:rsid w:val="00751984"/>
    <w:rsid w:val="007523C0"/>
    <w:rsid w:val="007542E3"/>
    <w:rsid w:val="00754396"/>
    <w:rsid w:val="00755185"/>
    <w:rsid w:val="007633B0"/>
    <w:rsid w:val="007635F6"/>
    <w:rsid w:val="00763F9E"/>
    <w:rsid w:val="007643AE"/>
    <w:rsid w:val="0076511A"/>
    <w:rsid w:val="00765354"/>
    <w:rsid w:val="00765ECF"/>
    <w:rsid w:val="0076622F"/>
    <w:rsid w:val="00770AEA"/>
    <w:rsid w:val="00770D12"/>
    <w:rsid w:val="007715D2"/>
    <w:rsid w:val="00772501"/>
    <w:rsid w:val="00772C70"/>
    <w:rsid w:val="0077698C"/>
    <w:rsid w:val="0078093B"/>
    <w:rsid w:val="007820C4"/>
    <w:rsid w:val="007841E6"/>
    <w:rsid w:val="007847FA"/>
    <w:rsid w:val="00790851"/>
    <w:rsid w:val="00790910"/>
    <w:rsid w:val="007910C3"/>
    <w:rsid w:val="00791DE1"/>
    <w:rsid w:val="00792E8D"/>
    <w:rsid w:val="00792FB2"/>
    <w:rsid w:val="007A09A9"/>
    <w:rsid w:val="007A155C"/>
    <w:rsid w:val="007A19D1"/>
    <w:rsid w:val="007A3A8C"/>
    <w:rsid w:val="007A3B32"/>
    <w:rsid w:val="007A4608"/>
    <w:rsid w:val="007A7303"/>
    <w:rsid w:val="007B0E0C"/>
    <w:rsid w:val="007B5E66"/>
    <w:rsid w:val="007B66C8"/>
    <w:rsid w:val="007C0224"/>
    <w:rsid w:val="007C1A4F"/>
    <w:rsid w:val="007C26E5"/>
    <w:rsid w:val="007C28E9"/>
    <w:rsid w:val="007C5B63"/>
    <w:rsid w:val="007C720A"/>
    <w:rsid w:val="007C763F"/>
    <w:rsid w:val="007D1092"/>
    <w:rsid w:val="007D2160"/>
    <w:rsid w:val="007D2621"/>
    <w:rsid w:val="007D31B5"/>
    <w:rsid w:val="007D56A5"/>
    <w:rsid w:val="007D58FD"/>
    <w:rsid w:val="007D5972"/>
    <w:rsid w:val="007D6CD5"/>
    <w:rsid w:val="007E06C1"/>
    <w:rsid w:val="007E3562"/>
    <w:rsid w:val="007E3A03"/>
    <w:rsid w:val="007E3A26"/>
    <w:rsid w:val="007E5E6B"/>
    <w:rsid w:val="007E72B0"/>
    <w:rsid w:val="007E750A"/>
    <w:rsid w:val="007F08CA"/>
    <w:rsid w:val="007F0C38"/>
    <w:rsid w:val="007F1C23"/>
    <w:rsid w:val="007F2DE7"/>
    <w:rsid w:val="007F3B6E"/>
    <w:rsid w:val="007F4973"/>
    <w:rsid w:val="007F4F21"/>
    <w:rsid w:val="00801B98"/>
    <w:rsid w:val="008027E0"/>
    <w:rsid w:val="008054C6"/>
    <w:rsid w:val="008058E8"/>
    <w:rsid w:val="00806434"/>
    <w:rsid w:val="00813288"/>
    <w:rsid w:val="00814AA4"/>
    <w:rsid w:val="00815BDB"/>
    <w:rsid w:val="008167A2"/>
    <w:rsid w:val="0082069B"/>
    <w:rsid w:val="00821A29"/>
    <w:rsid w:val="00823233"/>
    <w:rsid w:val="00824426"/>
    <w:rsid w:val="00830E52"/>
    <w:rsid w:val="008324E3"/>
    <w:rsid w:val="0083484C"/>
    <w:rsid w:val="00834DD9"/>
    <w:rsid w:val="00836E8D"/>
    <w:rsid w:val="00837B26"/>
    <w:rsid w:val="008406BF"/>
    <w:rsid w:val="008408CE"/>
    <w:rsid w:val="00841CAD"/>
    <w:rsid w:val="00845946"/>
    <w:rsid w:val="008470FC"/>
    <w:rsid w:val="008476A0"/>
    <w:rsid w:val="0085203C"/>
    <w:rsid w:val="00852EDD"/>
    <w:rsid w:val="00852F38"/>
    <w:rsid w:val="0085309B"/>
    <w:rsid w:val="0085341C"/>
    <w:rsid w:val="00854C36"/>
    <w:rsid w:val="008554A4"/>
    <w:rsid w:val="008568A9"/>
    <w:rsid w:val="00856C34"/>
    <w:rsid w:val="00856EB7"/>
    <w:rsid w:val="008574B6"/>
    <w:rsid w:val="00860737"/>
    <w:rsid w:val="00861494"/>
    <w:rsid w:val="00864BCC"/>
    <w:rsid w:val="00865A66"/>
    <w:rsid w:val="00865DC1"/>
    <w:rsid w:val="00866205"/>
    <w:rsid w:val="0086621C"/>
    <w:rsid w:val="00866894"/>
    <w:rsid w:val="00866D2B"/>
    <w:rsid w:val="00870089"/>
    <w:rsid w:val="00870EF1"/>
    <w:rsid w:val="008750F9"/>
    <w:rsid w:val="0087530C"/>
    <w:rsid w:val="00875341"/>
    <w:rsid w:val="0087536F"/>
    <w:rsid w:val="00877BA7"/>
    <w:rsid w:val="00880A40"/>
    <w:rsid w:val="008828CA"/>
    <w:rsid w:val="008849B6"/>
    <w:rsid w:val="008869F4"/>
    <w:rsid w:val="00887997"/>
    <w:rsid w:val="00890698"/>
    <w:rsid w:val="00891173"/>
    <w:rsid w:val="00893A4A"/>
    <w:rsid w:val="00893EEF"/>
    <w:rsid w:val="00895EC5"/>
    <w:rsid w:val="0089631D"/>
    <w:rsid w:val="008A02A2"/>
    <w:rsid w:val="008A1993"/>
    <w:rsid w:val="008A235D"/>
    <w:rsid w:val="008A3C58"/>
    <w:rsid w:val="008A4880"/>
    <w:rsid w:val="008A52B1"/>
    <w:rsid w:val="008A7004"/>
    <w:rsid w:val="008B08FE"/>
    <w:rsid w:val="008B2087"/>
    <w:rsid w:val="008B35C0"/>
    <w:rsid w:val="008B54A8"/>
    <w:rsid w:val="008B5B32"/>
    <w:rsid w:val="008C2C3F"/>
    <w:rsid w:val="008C2FA7"/>
    <w:rsid w:val="008C36C0"/>
    <w:rsid w:val="008C4DB3"/>
    <w:rsid w:val="008D06D8"/>
    <w:rsid w:val="008D34DD"/>
    <w:rsid w:val="008D506B"/>
    <w:rsid w:val="008D7400"/>
    <w:rsid w:val="008D78FF"/>
    <w:rsid w:val="008E0DFB"/>
    <w:rsid w:val="008E173E"/>
    <w:rsid w:val="008E29F6"/>
    <w:rsid w:val="008E4B0B"/>
    <w:rsid w:val="008E50E1"/>
    <w:rsid w:val="008E5E7C"/>
    <w:rsid w:val="008E6D75"/>
    <w:rsid w:val="008F025B"/>
    <w:rsid w:val="008F1B0E"/>
    <w:rsid w:val="008F4049"/>
    <w:rsid w:val="008F6836"/>
    <w:rsid w:val="008F69C7"/>
    <w:rsid w:val="00900478"/>
    <w:rsid w:val="00900890"/>
    <w:rsid w:val="009041CA"/>
    <w:rsid w:val="00906403"/>
    <w:rsid w:val="00914459"/>
    <w:rsid w:val="00914DA7"/>
    <w:rsid w:val="00915C8E"/>
    <w:rsid w:val="00915F63"/>
    <w:rsid w:val="009177E9"/>
    <w:rsid w:val="00921F68"/>
    <w:rsid w:val="00924ADA"/>
    <w:rsid w:val="00925167"/>
    <w:rsid w:val="009251E5"/>
    <w:rsid w:val="00925EC2"/>
    <w:rsid w:val="0092606A"/>
    <w:rsid w:val="009272FD"/>
    <w:rsid w:val="009275D7"/>
    <w:rsid w:val="00933035"/>
    <w:rsid w:val="009331CF"/>
    <w:rsid w:val="009334AC"/>
    <w:rsid w:val="00933C9E"/>
    <w:rsid w:val="009343CF"/>
    <w:rsid w:val="00936FE1"/>
    <w:rsid w:val="00937AB3"/>
    <w:rsid w:val="00937E45"/>
    <w:rsid w:val="00940BBD"/>
    <w:rsid w:val="0094182D"/>
    <w:rsid w:val="00942010"/>
    <w:rsid w:val="0094320A"/>
    <w:rsid w:val="00947DFE"/>
    <w:rsid w:val="0095170D"/>
    <w:rsid w:val="00951988"/>
    <w:rsid w:val="0095307F"/>
    <w:rsid w:val="0095347F"/>
    <w:rsid w:val="009543B2"/>
    <w:rsid w:val="009551C0"/>
    <w:rsid w:val="00955526"/>
    <w:rsid w:val="009556AB"/>
    <w:rsid w:val="00956AAB"/>
    <w:rsid w:val="00962139"/>
    <w:rsid w:val="00963BA6"/>
    <w:rsid w:val="00966C09"/>
    <w:rsid w:val="00977983"/>
    <w:rsid w:val="009813A5"/>
    <w:rsid w:val="00981EB9"/>
    <w:rsid w:val="00982811"/>
    <w:rsid w:val="00984441"/>
    <w:rsid w:val="009844CF"/>
    <w:rsid w:val="00984DD8"/>
    <w:rsid w:val="00985549"/>
    <w:rsid w:val="00985E30"/>
    <w:rsid w:val="0099085F"/>
    <w:rsid w:val="00990943"/>
    <w:rsid w:val="009925DB"/>
    <w:rsid w:val="00993CC9"/>
    <w:rsid w:val="009949EA"/>
    <w:rsid w:val="00997927"/>
    <w:rsid w:val="009A0A69"/>
    <w:rsid w:val="009A1C81"/>
    <w:rsid w:val="009A51CA"/>
    <w:rsid w:val="009A5F13"/>
    <w:rsid w:val="009A5FC5"/>
    <w:rsid w:val="009A6F74"/>
    <w:rsid w:val="009B21F5"/>
    <w:rsid w:val="009B350E"/>
    <w:rsid w:val="009B376D"/>
    <w:rsid w:val="009B37CB"/>
    <w:rsid w:val="009B6372"/>
    <w:rsid w:val="009B6735"/>
    <w:rsid w:val="009B7419"/>
    <w:rsid w:val="009C1A4B"/>
    <w:rsid w:val="009C2BB3"/>
    <w:rsid w:val="009D0224"/>
    <w:rsid w:val="009D3628"/>
    <w:rsid w:val="009D479C"/>
    <w:rsid w:val="009D4C2A"/>
    <w:rsid w:val="009D55A1"/>
    <w:rsid w:val="009D6914"/>
    <w:rsid w:val="009E1802"/>
    <w:rsid w:val="009E1C22"/>
    <w:rsid w:val="009E2481"/>
    <w:rsid w:val="009E400A"/>
    <w:rsid w:val="009E4015"/>
    <w:rsid w:val="009E4336"/>
    <w:rsid w:val="009E7386"/>
    <w:rsid w:val="009E798B"/>
    <w:rsid w:val="009F3631"/>
    <w:rsid w:val="009F3790"/>
    <w:rsid w:val="009F7CEB"/>
    <w:rsid w:val="00A00346"/>
    <w:rsid w:val="00A024C2"/>
    <w:rsid w:val="00A040FD"/>
    <w:rsid w:val="00A0426A"/>
    <w:rsid w:val="00A04C0D"/>
    <w:rsid w:val="00A04EC6"/>
    <w:rsid w:val="00A07A7F"/>
    <w:rsid w:val="00A12983"/>
    <w:rsid w:val="00A12B2B"/>
    <w:rsid w:val="00A14E81"/>
    <w:rsid w:val="00A20000"/>
    <w:rsid w:val="00A20B1A"/>
    <w:rsid w:val="00A22A39"/>
    <w:rsid w:val="00A24092"/>
    <w:rsid w:val="00A34019"/>
    <w:rsid w:val="00A366B2"/>
    <w:rsid w:val="00A41E5D"/>
    <w:rsid w:val="00A4246A"/>
    <w:rsid w:val="00A4467C"/>
    <w:rsid w:val="00A46116"/>
    <w:rsid w:val="00A46B28"/>
    <w:rsid w:val="00A5105E"/>
    <w:rsid w:val="00A535FB"/>
    <w:rsid w:val="00A5697E"/>
    <w:rsid w:val="00A57929"/>
    <w:rsid w:val="00A601F3"/>
    <w:rsid w:val="00A62D68"/>
    <w:rsid w:val="00A6374D"/>
    <w:rsid w:val="00A65FAA"/>
    <w:rsid w:val="00A66EFB"/>
    <w:rsid w:val="00A67A39"/>
    <w:rsid w:val="00A71F31"/>
    <w:rsid w:val="00A72307"/>
    <w:rsid w:val="00A723BF"/>
    <w:rsid w:val="00A72969"/>
    <w:rsid w:val="00A775A9"/>
    <w:rsid w:val="00A800F3"/>
    <w:rsid w:val="00A81F82"/>
    <w:rsid w:val="00A82615"/>
    <w:rsid w:val="00A841B0"/>
    <w:rsid w:val="00A85A2B"/>
    <w:rsid w:val="00A85BA3"/>
    <w:rsid w:val="00A862E0"/>
    <w:rsid w:val="00A87349"/>
    <w:rsid w:val="00A90892"/>
    <w:rsid w:val="00A91CF7"/>
    <w:rsid w:val="00A93543"/>
    <w:rsid w:val="00A9425E"/>
    <w:rsid w:val="00A94EFC"/>
    <w:rsid w:val="00A973B9"/>
    <w:rsid w:val="00AA02C4"/>
    <w:rsid w:val="00AA1681"/>
    <w:rsid w:val="00AA177A"/>
    <w:rsid w:val="00AA2FA1"/>
    <w:rsid w:val="00AA4055"/>
    <w:rsid w:val="00AA51C1"/>
    <w:rsid w:val="00AA6156"/>
    <w:rsid w:val="00AA70B2"/>
    <w:rsid w:val="00AA73AC"/>
    <w:rsid w:val="00AA73C7"/>
    <w:rsid w:val="00AA7B77"/>
    <w:rsid w:val="00AB0425"/>
    <w:rsid w:val="00AB187A"/>
    <w:rsid w:val="00AB38BA"/>
    <w:rsid w:val="00AB514A"/>
    <w:rsid w:val="00AB7B61"/>
    <w:rsid w:val="00AC1366"/>
    <w:rsid w:val="00AC1E29"/>
    <w:rsid w:val="00AC24FB"/>
    <w:rsid w:val="00AC50E3"/>
    <w:rsid w:val="00AC7AE4"/>
    <w:rsid w:val="00AD0AB4"/>
    <w:rsid w:val="00AD0CB2"/>
    <w:rsid w:val="00AD1B60"/>
    <w:rsid w:val="00AD51C9"/>
    <w:rsid w:val="00AE1EF4"/>
    <w:rsid w:val="00AE2A68"/>
    <w:rsid w:val="00AE512A"/>
    <w:rsid w:val="00AE513E"/>
    <w:rsid w:val="00AE7029"/>
    <w:rsid w:val="00AE7AA8"/>
    <w:rsid w:val="00AF0604"/>
    <w:rsid w:val="00AF06A9"/>
    <w:rsid w:val="00AF0DF9"/>
    <w:rsid w:val="00AF311A"/>
    <w:rsid w:val="00AF3E28"/>
    <w:rsid w:val="00AF48D7"/>
    <w:rsid w:val="00AF4BE4"/>
    <w:rsid w:val="00B009D2"/>
    <w:rsid w:val="00B053AF"/>
    <w:rsid w:val="00B05A6C"/>
    <w:rsid w:val="00B07EBD"/>
    <w:rsid w:val="00B102A3"/>
    <w:rsid w:val="00B1074B"/>
    <w:rsid w:val="00B11EA0"/>
    <w:rsid w:val="00B1415B"/>
    <w:rsid w:val="00B16115"/>
    <w:rsid w:val="00B17FDB"/>
    <w:rsid w:val="00B21BB1"/>
    <w:rsid w:val="00B22010"/>
    <w:rsid w:val="00B225F0"/>
    <w:rsid w:val="00B23E64"/>
    <w:rsid w:val="00B25D68"/>
    <w:rsid w:val="00B2760B"/>
    <w:rsid w:val="00B2777B"/>
    <w:rsid w:val="00B2796F"/>
    <w:rsid w:val="00B27E52"/>
    <w:rsid w:val="00B30E00"/>
    <w:rsid w:val="00B3106D"/>
    <w:rsid w:val="00B35212"/>
    <w:rsid w:val="00B37685"/>
    <w:rsid w:val="00B41F37"/>
    <w:rsid w:val="00B45812"/>
    <w:rsid w:val="00B45B23"/>
    <w:rsid w:val="00B5196E"/>
    <w:rsid w:val="00B523B2"/>
    <w:rsid w:val="00B539FB"/>
    <w:rsid w:val="00B54742"/>
    <w:rsid w:val="00B55545"/>
    <w:rsid w:val="00B60D62"/>
    <w:rsid w:val="00B6367E"/>
    <w:rsid w:val="00B63B06"/>
    <w:rsid w:val="00B66C37"/>
    <w:rsid w:val="00B67119"/>
    <w:rsid w:val="00B71675"/>
    <w:rsid w:val="00B718DA"/>
    <w:rsid w:val="00B71B62"/>
    <w:rsid w:val="00B72051"/>
    <w:rsid w:val="00B74871"/>
    <w:rsid w:val="00B75BC0"/>
    <w:rsid w:val="00B7796D"/>
    <w:rsid w:val="00B80B83"/>
    <w:rsid w:val="00B81A5A"/>
    <w:rsid w:val="00B863A0"/>
    <w:rsid w:val="00B8770F"/>
    <w:rsid w:val="00B915D3"/>
    <w:rsid w:val="00B91BC6"/>
    <w:rsid w:val="00B9289C"/>
    <w:rsid w:val="00B93CB3"/>
    <w:rsid w:val="00B94539"/>
    <w:rsid w:val="00BA01AB"/>
    <w:rsid w:val="00BA2923"/>
    <w:rsid w:val="00BA3306"/>
    <w:rsid w:val="00BA3B1E"/>
    <w:rsid w:val="00BA4DB3"/>
    <w:rsid w:val="00BA5F0E"/>
    <w:rsid w:val="00BA73EE"/>
    <w:rsid w:val="00BB0582"/>
    <w:rsid w:val="00BB099B"/>
    <w:rsid w:val="00BB2600"/>
    <w:rsid w:val="00BC2CDB"/>
    <w:rsid w:val="00BC4A73"/>
    <w:rsid w:val="00BC532A"/>
    <w:rsid w:val="00BC5AEF"/>
    <w:rsid w:val="00BC66B5"/>
    <w:rsid w:val="00BC6D95"/>
    <w:rsid w:val="00BC7FCB"/>
    <w:rsid w:val="00BD03EC"/>
    <w:rsid w:val="00BD210F"/>
    <w:rsid w:val="00BD4208"/>
    <w:rsid w:val="00BD4A5D"/>
    <w:rsid w:val="00BD599E"/>
    <w:rsid w:val="00BE164C"/>
    <w:rsid w:val="00BE1727"/>
    <w:rsid w:val="00BE3CAA"/>
    <w:rsid w:val="00BE3E5F"/>
    <w:rsid w:val="00BE42DB"/>
    <w:rsid w:val="00BE583A"/>
    <w:rsid w:val="00BE5C2A"/>
    <w:rsid w:val="00BE5FF4"/>
    <w:rsid w:val="00BE6E37"/>
    <w:rsid w:val="00BE73C5"/>
    <w:rsid w:val="00BE76A0"/>
    <w:rsid w:val="00BE7D88"/>
    <w:rsid w:val="00BF11B6"/>
    <w:rsid w:val="00BF12C5"/>
    <w:rsid w:val="00BF4928"/>
    <w:rsid w:val="00BF7F7E"/>
    <w:rsid w:val="00C02886"/>
    <w:rsid w:val="00C030C2"/>
    <w:rsid w:val="00C045DB"/>
    <w:rsid w:val="00C06418"/>
    <w:rsid w:val="00C07417"/>
    <w:rsid w:val="00C074E3"/>
    <w:rsid w:val="00C07BBA"/>
    <w:rsid w:val="00C10389"/>
    <w:rsid w:val="00C104C2"/>
    <w:rsid w:val="00C11033"/>
    <w:rsid w:val="00C114D5"/>
    <w:rsid w:val="00C23FEA"/>
    <w:rsid w:val="00C312A9"/>
    <w:rsid w:val="00C317F3"/>
    <w:rsid w:val="00C413D1"/>
    <w:rsid w:val="00C42C41"/>
    <w:rsid w:val="00C42D42"/>
    <w:rsid w:val="00C44C37"/>
    <w:rsid w:val="00C45D6B"/>
    <w:rsid w:val="00C46AE5"/>
    <w:rsid w:val="00C47654"/>
    <w:rsid w:val="00C5137A"/>
    <w:rsid w:val="00C52914"/>
    <w:rsid w:val="00C52ACF"/>
    <w:rsid w:val="00C54505"/>
    <w:rsid w:val="00C55967"/>
    <w:rsid w:val="00C57E4D"/>
    <w:rsid w:val="00C61D0F"/>
    <w:rsid w:val="00C61FB4"/>
    <w:rsid w:val="00C6263E"/>
    <w:rsid w:val="00C626E2"/>
    <w:rsid w:val="00C628C8"/>
    <w:rsid w:val="00C628F3"/>
    <w:rsid w:val="00C62F53"/>
    <w:rsid w:val="00C66A44"/>
    <w:rsid w:val="00C716E3"/>
    <w:rsid w:val="00C728EB"/>
    <w:rsid w:val="00C7519E"/>
    <w:rsid w:val="00C77EC6"/>
    <w:rsid w:val="00C81A12"/>
    <w:rsid w:val="00C81A7C"/>
    <w:rsid w:val="00C8216D"/>
    <w:rsid w:val="00C83059"/>
    <w:rsid w:val="00C846BE"/>
    <w:rsid w:val="00C851AE"/>
    <w:rsid w:val="00C877E1"/>
    <w:rsid w:val="00C87960"/>
    <w:rsid w:val="00C926C5"/>
    <w:rsid w:val="00C945D0"/>
    <w:rsid w:val="00C963DE"/>
    <w:rsid w:val="00C96663"/>
    <w:rsid w:val="00C97330"/>
    <w:rsid w:val="00C97772"/>
    <w:rsid w:val="00CA0022"/>
    <w:rsid w:val="00CA0C26"/>
    <w:rsid w:val="00CA3D19"/>
    <w:rsid w:val="00CA567A"/>
    <w:rsid w:val="00CA7FBF"/>
    <w:rsid w:val="00CB01E6"/>
    <w:rsid w:val="00CB07A8"/>
    <w:rsid w:val="00CB14A1"/>
    <w:rsid w:val="00CB5389"/>
    <w:rsid w:val="00CB5EE1"/>
    <w:rsid w:val="00CB7F5B"/>
    <w:rsid w:val="00CC10E1"/>
    <w:rsid w:val="00CC3738"/>
    <w:rsid w:val="00CC3E73"/>
    <w:rsid w:val="00CC4811"/>
    <w:rsid w:val="00CC59FC"/>
    <w:rsid w:val="00CC701C"/>
    <w:rsid w:val="00CC7A2C"/>
    <w:rsid w:val="00CD12E3"/>
    <w:rsid w:val="00CD6327"/>
    <w:rsid w:val="00CE2B78"/>
    <w:rsid w:val="00CE74A3"/>
    <w:rsid w:val="00CF0727"/>
    <w:rsid w:val="00CF0AB5"/>
    <w:rsid w:val="00CF15F6"/>
    <w:rsid w:val="00CF44FA"/>
    <w:rsid w:val="00CF4521"/>
    <w:rsid w:val="00CF573C"/>
    <w:rsid w:val="00D00694"/>
    <w:rsid w:val="00D034DD"/>
    <w:rsid w:val="00D03C78"/>
    <w:rsid w:val="00D03D0C"/>
    <w:rsid w:val="00D04021"/>
    <w:rsid w:val="00D04952"/>
    <w:rsid w:val="00D05B1B"/>
    <w:rsid w:val="00D06A16"/>
    <w:rsid w:val="00D10243"/>
    <w:rsid w:val="00D1078F"/>
    <w:rsid w:val="00D10E60"/>
    <w:rsid w:val="00D12CD2"/>
    <w:rsid w:val="00D14D23"/>
    <w:rsid w:val="00D15D8B"/>
    <w:rsid w:val="00D17984"/>
    <w:rsid w:val="00D17DC5"/>
    <w:rsid w:val="00D22514"/>
    <w:rsid w:val="00D23624"/>
    <w:rsid w:val="00D24DAD"/>
    <w:rsid w:val="00D25817"/>
    <w:rsid w:val="00D25916"/>
    <w:rsid w:val="00D26A5D"/>
    <w:rsid w:val="00D26F82"/>
    <w:rsid w:val="00D3046B"/>
    <w:rsid w:val="00D329E6"/>
    <w:rsid w:val="00D32FAA"/>
    <w:rsid w:val="00D331F7"/>
    <w:rsid w:val="00D371E3"/>
    <w:rsid w:val="00D375F0"/>
    <w:rsid w:val="00D37972"/>
    <w:rsid w:val="00D40896"/>
    <w:rsid w:val="00D41534"/>
    <w:rsid w:val="00D4436E"/>
    <w:rsid w:val="00D451FC"/>
    <w:rsid w:val="00D460E0"/>
    <w:rsid w:val="00D472D5"/>
    <w:rsid w:val="00D501BC"/>
    <w:rsid w:val="00D50D56"/>
    <w:rsid w:val="00D524C7"/>
    <w:rsid w:val="00D54621"/>
    <w:rsid w:val="00D552FD"/>
    <w:rsid w:val="00D62FAD"/>
    <w:rsid w:val="00D63C48"/>
    <w:rsid w:val="00D64289"/>
    <w:rsid w:val="00D6667B"/>
    <w:rsid w:val="00D7003C"/>
    <w:rsid w:val="00D71122"/>
    <w:rsid w:val="00D71400"/>
    <w:rsid w:val="00D71AF0"/>
    <w:rsid w:val="00D72C23"/>
    <w:rsid w:val="00D80178"/>
    <w:rsid w:val="00D82CB2"/>
    <w:rsid w:val="00D8435D"/>
    <w:rsid w:val="00D8545F"/>
    <w:rsid w:val="00D86BF0"/>
    <w:rsid w:val="00D90DCB"/>
    <w:rsid w:val="00D9472B"/>
    <w:rsid w:val="00D94F84"/>
    <w:rsid w:val="00D95394"/>
    <w:rsid w:val="00D970E7"/>
    <w:rsid w:val="00D97459"/>
    <w:rsid w:val="00DA02D1"/>
    <w:rsid w:val="00DA032B"/>
    <w:rsid w:val="00DA0456"/>
    <w:rsid w:val="00DA40E6"/>
    <w:rsid w:val="00DA502D"/>
    <w:rsid w:val="00DA55BB"/>
    <w:rsid w:val="00DA5E27"/>
    <w:rsid w:val="00DA5E50"/>
    <w:rsid w:val="00DA73EE"/>
    <w:rsid w:val="00DB1562"/>
    <w:rsid w:val="00DB75AC"/>
    <w:rsid w:val="00DB763C"/>
    <w:rsid w:val="00DB7FE5"/>
    <w:rsid w:val="00DC052D"/>
    <w:rsid w:val="00DC1743"/>
    <w:rsid w:val="00DC1F73"/>
    <w:rsid w:val="00DC34D0"/>
    <w:rsid w:val="00DC4CC9"/>
    <w:rsid w:val="00DC7739"/>
    <w:rsid w:val="00DC7746"/>
    <w:rsid w:val="00DD068B"/>
    <w:rsid w:val="00DD3049"/>
    <w:rsid w:val="00DD47CC"/>
    <w:rsid w:val="00DD5130"/>
    <w:rsid w:val="00DD6F14"/>
    <w:rsid w:val="00DE0A91"/>
    <w:rsid w:val="00DE170E"/>
    <w:rsid w:val="00DE30E2"/>
    <w:rsid w:val="00DE3A9A"/>
    <w:rsid w:val="00DE46AD"/>
    <w:rsid w:val="00DE6421"/>
    <w:rsid w:val="00DF16C0"/>
    <w:rsid w:val="00DF354D"/>
    <w:rsid w:val="00DF548B"/>
    <w:rsid w:val="00DF6E8B"/>
    <w:rsid w:val="00E0081F"/>
    <w:rsid w:val="00E05227"/>
    <w:rsid w:val="00E05FBC"/>
    <w:rsid w:val="00E063E5"/>
    <w:rsid w:val="00E07C36"/>
    <w:rsid w:val="00E10B7D"/>
    <w:rsid w:val="00E1301A"/>
    <w:rsid w:val="00E15A3F"/>
    <w:rsid w:val="00E211FE"/>
    <w:rsid w:val="00E21B64"/>
    <w:rsid w:val="00E227EA"/>
    <w:rsid w:val="00E23660"/>
    <w:rsid w:val="00E24092"/>
    <w:rsid w:val="00E24306"/>
    <w:rsid w:val="00E2761D"/>
    <w:rsid w:val="00E31A1E"/>
    <w:rsid w:val="00E31A9E"/>
    <w:rsid w:val="00E34484"/>
    <w:rsid w:val="00E34E37"/>
    <w:rsid w:val="00E35536"/>
    <w:rsid w:val="00E37424"/>
    <w:rsid w:val="00E4041E"/>
    <w:rsid w:val="00E409CA"/>
    <w:rsid w:val="00E44319"/>
    <w:rsid w:val="00E443AA"/>
    <w:rsid w:val="00E45180"/>
    <w:rsid w:val="00E45305"/>
    <w:rsid w:val="00E45C7F"/>
    <w:rsid w:val="00E4634C"/>
    <w:rsid w:val="00E46AC9"/>
    <w:rsid w:val="00E47F4B"/>
    <w:rsid w:val="00E51F58"/>
    <w:rsid w:val="00E52BF8"/>
    <w:rsid w:val="00E53DB6"/>
    <w:rsid w:val="00E54BE3"/>
    <w:rsid w:val="00E54FB3"/>
    <w:rsid w:val="00E55904"/>
    <w:rsid w:val="00E55E72"/>
    <w:rsid w:val="00E60A8A"/>
    <w:rsid w:val="00E60E83"/>
    <w:rsid w:val="00E613F1"/>
    <w:rsid w:val="00E63FCB"/>
    <w:rsid w:val="00E65D00"/>
    <w:rsid w:val="00E66614"/>
    <w:rsid w:val="00E702F6"/>
    <w:rsid w:val="00E7097C"/>
    <w:rsid w:val="00E712DF"/>
    <w:rsid w:val="00E71362"/>
    <w:rsid w:val="00E773DF"/>
    <w:rsid w:val="00E81264"/>
    <w:rsid w:val="00E8269B"/>
    <w:rsid w:val="00E82AC7"/>
    <w:rsid w:val="00E84CD4"/>
    <w:rsid w:val="00E8755F"/>
    <w:rsid w:val="00E90292"/>
    <w:rsid w:val="00E91C3E"/>
    <w:rsid w:val="00E92CCB"/>
    <w:rsid w:val="00E930FA"/>
    <w:rsid w:val="00EA04C6"/>
    <w:rsid w:val="00EA1638"/>
    <w:rsid w:val="00EA1B29"/>
    <w:rsid w:val="00EA326E"/>
    <w:rsid w:val="00EA66E6"/>
    <w:rsid w:val="00EA6E9D"/>
    <w:rsid w:val="00EB00E4"/>
    <w:rsid w:val="00EB33A7"/>
    <w:rsid w:val="00EB3F3E"/>
    <w:rsid w:val="00EB426B"/>
    <w:rsid w:val="00EB49C5"/>
    <w:rsid w:val="00EB5E6D"/>
    <w:rsid w:val="00EC19EE"/>
    <w:rsid w:val="00EC1E4F"/>
    <w:rsid w:val="00EC2674"/>
    <w:rsid w:val="00ED09D2"/>
    <w:rsid w:val="00ED0DB1"/>
    <w:rsid w:val="00ED61B4"/>
    <w:rsid w:val="00ED62BE"/>
    <w:rsid w:val="00EE1BF5"/>
    <w:rsid w:val="00EE2DFA"/>
    <w:rsid w:val="00EE37ED"/>
    <w:rsid w:val="00EE3B35"/>
    <w:rsid w:val="00EE4374"/>
    <w:rsid w:val="00EF3278"/>
    <w:rsid w:val="00EF337C"/>
    <w:rsid w:val="00EF5421"/>
    <w:rsid w:val="00F034C9"/>
    <w:rsid w:val="00F049EC"/>
    <w:rsid w:val="00F07755"/>
    <w:rsid w:val="00F11168"/>
    <w:rsid w:val="00F11F8C"/>
    <w:rsid w:val="00F17291"/>
    <w:rsid w:val="00F25AB1"/>
    <w:rsid w:val="00F26B4B"/>
    <w:rsid w:val="00F2706C"/>
    <w:rsid w:val="00F3094A"/>
    <w:rsid w:val="00F3283C"/>
    <w:rsid w:val="00F32D23"/>
    <w:rsid w:val="00F33D49"/>
    <w:rsid w:val="00F36155"/>
    <w:rsid w:val="00F37C13"/>
    <w:rsid w:val="00F419C5"/>
    <w:rsid w:val="00F42393"/>
    <w:rsid w:val="00F427E1"/>
    <w:rsid w:val="00F44EFB"/>
    <w:rsid w:val="00F51A66"/>
    <w:rsid w:val="00F51C9E"/>
    <w:rsid w:val="00F545D5"/>
    <w:rsid w:val="00F56314"/>
    <w:rsid w:val="00F60C6F"/>
    <w:rsid w:val="00F6246C"/>
    <w:rsid w:val="00F62839"/>
    <w:rsid w:val="00F638EE"/>
    <w:rsid w:val="00F64F18"/>
    <w:rsid w:val="00F651DF"/>
    <w:rsid w:val="00F65DE6"/>
    <w:rsid w:val="00F65F4F"/>
    <w:rsid w:val="00F67030"/>
    <w:rsid w:val="00F70D0B"/>
    <w:rsid w:val="00F71433"/>
    <w:rsid w:val="00F72B42"/>
    <w:rsid w:val="00F733F3"/>
    <w:rsid w:val="00F73A39"/>
    <w:rsid w:val="00F73E01"/>
    <w:rsid w:val="00F75D33"/>
    <w:rsid w:val="00F75D3A"/>
    <w:rsid w:val="00F76598"/>
    <w:rsid w:val="00F77F30"/>
    <w:rsid w:val="00F80139"/>
    <w:rsid w:val="00F87C31"/>
    <w:rsid w:val="00F9212E"/>
    <w:rsid w:val="00F940C1"/>
    <w:rsid w:val="00F94281"/>
    <w:rsid w:val="00F9643E"/>
    <w:rsid w:val="00F9783F"/>
    <w:rsid w:val="00FA0329"/>
    <w:rsid w:val="00FA16F4"/>
    <w:rsid w:val="00FA2E61"/>
    <w:rsid w:val="00FA3D76"/>
    <w:rsid w:val="00FA72DC"/>
    <w:rsid w:val="00FB3108"/>
    <w:rsid w:val="00FB366A"/>
    <w:rsid w:val="00FB57DB"/>
    <w:rsid w:val="00FB6238"/>
    <w:rsid w:val="00FB6EFE"/>
    <w:rsid w:val="00FB7742"/>
    <w:rsid w:val="00FC06E3"/>
    <w:rsid w:val="00FC083C"/>
    <w:rsid w:val="00FC0994"/>
    <w:rsid w:val="00FC22AB"/>
    <w:rsid w:val="00FC3671"/>
    <w:rsid w:val="00FC441D"/>
    <w:rsid w:val="00FC4573"/>
    <w:rsid w:val="00FC594B"/>
    <w:rsid w:val="00FC5B59"/>
    <w:rsid w:val="00FC6715"/>
    <w:rsid w:val="00FD0DA5"/>
    <w:rsid w:val="00FD355A"/>
    <w:rsid w:val="00FD4659"/>
    <w:rsid w:val="00FD7841"/>
    <w:rsid w:val="00FD7D9E"/>
    <w:rsid w:val="00FE2431"/>
    <w:rsid w:val="00FE4C58"/>
    <w:rsid w:val="00FE6746"/>
    <w:rsid w:val="00FE7666"/>
    <w:rsid w:val="00FF0AF2"/>
    <w:rsid w:val="00FF2550"/>
    <w:rsid w:val="00FF3654"/>
    <w:rsid w:val="00FF42A7"/>
    <w:rsid w:val="00FF610D"/>
    <w:rsid w:val="00FF755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2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1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ES Paragraph,PBAC ES Paragraph"/>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ES Paragraph Char,PBAC ES Paragraph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EndnoteText">
    <w:name w:val="endnote text"/>
    <w:basedOn w:val="Normal"/>
    <w:link w:val="EndnoteTextChar"/>
    <w:uiPriority w:val="99"/>
    <w:semiHidden/>
    <w:unhideWhenUsed/>
    <w:rsid w:val="008E0DFB"/>
    <w:pPr>
      <w:spacing w:before="0" w:after="0"/>
    </w:pPr>
    <w:rPr>
      <w:sz w:val="20"/>
      <w:szCs w:val="20"/>
    </w:rPr>
  </w:style>
  <w:style w:type="character" w:customStyle="1" w:styleId="EndnoteTextChar">
    <w:name w:val="Endnote Text Char"/>
    <w:basedOn w:val="DefaultParagraphFont"/>
    <w:link w:val="EndnoteText"/>
    <w:uiPriority w:val="99"/>
    <w:semiHidden/>
    <w:rsid w:val="008E0DFB"/>
    <w:rPr>
      <w:sz w:val="20"/>
      <w:szCs w:val="20"/>
    </w:rPr>
  </w:style>
  <w:style w:type="character" w:styleId="EndnoteReference">
    <w:name w:val="endnote reference"/>
    <w:basedOn w:val="DefaultParagraphFont"/>
    <w:uiPriority w:val="99"/>
    <w:semiHidden/>
    <w:unhideWhenUsed/>
    <w:rsid w:val="008E0DFB"/>
    <w:rPr>
      <w:vertAlign w:val="superscript"/>
    </w:rPr>
  </w:style>
  <w:style w:type="table" w:customStyle="1" w:styleId="TableGridbeth1">
    <w:name w:val="Table Gridbeth1"/>
    <w:basedOn w:val="TableNormal"/>
    <w:next w:val="TableGrid"/>
    <w:uiPriority w:val="59"/>
    <w:rsid w:val="009B350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
    <w:name w:val="Summary box1"/>
    <w:basedOn w:val="TableNormal"/>
    <w:next w:val="TableGrid"/>
    <w:uiPriority w:val="39"/>
    <w:rsid w:val="009B350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D54621"/>
    <w:rPr>
      <w:rFonts w:ascii="Arial Narrow" w:hAnsi="Arial Narrow"/>
      <w:sz w:val="20"/>
    </w:rPr>
  </w:style>
  <w:style w:type="paragraph" w:customStyle="1" w:styleId="Tablenotes1">
    <w:name w:val="Table notes"/>
    <w:basedOn w:val="Normal"/>
    <w:link w:val="TablenotesChar"/>
    <w:qFormat/>
    <w:rsid w:val="00BD210F"/>
    <w:pPr>
      <w:spacing w:before="0" w:after="0"/>
      <w:jc w:val="both"/>
    </w:pPr>
    <w:rPr>
      <w:rFonts w:ascii="Arial" w:eastAsia="Times New Roman" w:hAnsi="Arial" w:cs="Times New Roman"/>
      <w:sz w:val="16"/>
      <w:szCs w:val="20"/>
    </w:rPr>
  </w:style>
  <w:style w:type="character" w:customStyle="1" w:styleId="TablenotesChar">
    <w:name w:val="Table notes Char"/>
    <w:basedOn w:val="DefaultParagraphFont"/>
    <w:link w:val="Tablenotes1"/>
    <w:rsid w:val="00BD210F"/>
    <w:rPr>
      <w:rFonts w:ascii="Arial" w:eastAsia="Times New Roman" w:hAnsi="Arial" w:cs="Times New Roman"/>
      <w:sz w:val="16"/>
      <w:szCs w:val="20"/>
    </w:rPr>
  </w:style>
  <w:style w:type="paragraph" w:customStyle="1" w:styleId="TableNotes2">
    <w:name w:val="Table Notes"/>
    <w:basedOn w:val="Normal"/>
    <w:next w:val="Normal"/>
    <w:link w:val="TableNotesChar0"/>
    <w:qFormat/>
    <w:rsid w:val="00BD210F"/>
    <w:pPr>
      <w:keepLines/>
      <w:spacing w:before="0" w:after="360"/>
      <w:contextualSpacing/>
    </w:pPr>
    <w:rPr>
      <w:rFonts w:ascii="Arial" w:eastAsia="Times New Roman" w:hAnsi="Arial" w:cs="Times New Roman"/>
      <w:sz w:val="16"/>
      <w:szCs w:val="16"/>
      <w:lang w:eastAsia="en-AU"/>
    </w:rPr>
  </w:style>
  <w:style w:type="character" w:customStyle="1" w:styleId="TableNotesChar0">
    <w:name w:val="Table Notes Char"/>
    <w:link w:val="TableNotes2"/>
    <w:rsid w:val="00BD210F"/>
    <w:rPr>
      <w:rFonts w:ascii="Arial" w:eastAsia="Times New Roman" w:hAnsi="Arial" w:cs="Times New Roman"/>
      <w:sz w:val="16"/>
      <w:szCs w:val="16"/>
      <w:lang w:eastAsia="en-AU"/>
    </w:rPr>
  </w:style>
  <w:style w:type="paragraph" w:customStyle="1" w:styleId="NormalBullets">
    <w:name w:val="Normal Bullets"/>
    <w:basedOn w:val="Normal"/>
    <w:uiPriority w:val="3"/>
    <w:qFormat/>
    <w:rsid w:val="0076622F"/>
    <w:pPr>
      <w:spacing w:before="0" w:after="240" w:line="276" w:lineRule="auto"/>
      <w:contextualSpacing/>
    </w:pPr>
    <w:rPr>
      <w:rFonts w:ascii="Sabon" w:eastAsiaTheme="majorEastAsia" w:hAnsi="Sabon" w:cstheme="majorBidi"/>
      <w:sz w:val="22"/>
      <w:lang w:bidi="en-US"/>
    </w:rPr>
  </w:style>
  <w:style w:type="paragraph" w:customStyle="1" w:styleId="TableLeft">
    <w:name w:val="Table Left"/>
    <w:basedOn w:val="Normal"/>
    <w:link w:val="TableLeftChar"/>
    <w:uiPriority w:val="99"/>
    <w:qFormat/>
    <w:rsid w:val="0076622F"/>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76622F"/>
    <w:rPr>
      <w:rFonts w:ascii="Arial Narrow" w:eastAsiaTheme="majorEastAsia" w:hAnsi="Arial Narrow" w:cstheme="majorBidi"/>
      <w:sz w:val="20"/>
      <w:lang w:bidi="en-US"/>
    </w:rPr>
  </w:style>
  <w:style w:type="character" w:customStyle="1" w:styleId="Small">
    <w:name w:val="Small"/>
    <w:basedOn w:val="DefaultParagraphFont"/>
    <w:uiPriority w:val="4"/>
    <w:qFormat/>
    <w:rsid w:val="0076622F"/>
    <w:rPr>
      <w:rFonts w:ascii="Arial Narrow" w:hAnsi="Arial Narrow"/>
      <w:sz w:val="20"/>
    </w:rPr>
  </w:style>
  <w:style w:type="table" w:customStyle="1" w:styleId="TableGrid1">
    <w:name w:val="Table Grid1"/>
    <w:basedOn w:val="TableNormal"/>
    <w:next w:val="TableGrid"/>
    <w:uiPriority w:val="59"/>
    <w:rsid w:val="0076622F"/>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ntre">
    <w:name w:val="Table Centre"/>
    <w:basedOn w:val="Normal"/>
    <w:qFormat/>
    <w:rsid w:val="0076622F"/>
    <w:pPr>
      <w:spacing w:before="0" w:after="0"/>
      <w:jc w:val="center"/>
    </w:pPr>
    <w:rPr>
      <w:rFonts w:ascii="Arial Narrow" w:eastAsia="Times New Roman" w:hAnsi="Arial Narrow" w:cs="Times New Roman"/>
      <w:sz w:val="20"/>
      <w:szCs w:val="20"/>
      <w:lang w:eastAsia="en-AU"/>
    </w:rPr>
  </w:style>
  <w:style w:type="table" w:customStyle="1" w:styleId="TableGrid11">
    <w:name w:val="Table Grid11"/>
    <w:basedOn w:val="TableNormal"/>
    <w:next w:val="TableGrid"/>
    <w:uiPriority w:val="59"/>
    <w:rsid w:val="0076622F"/>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
    <w:name w:val="Font"/>
    <w:basedOn w:val="DefaultParagraphFont"/>
    <w:uiPriority w:val="1"/>
    <w:qFormat/>
    <w:rsid w:val="0076622F"/>
    <w:rPr>
      <w:rFonts w:ascii="Sabon" w:hAnsi="Sabon"/>
      <w:sz w:val="22"/>
      <w:lang w:val="en-AU"/>
    </w:rPr>
  </w:style>
  <w:style w:type="character" w:customStyle="1" w:styleId="TableBold">
    <w:name w:val="Table Bold"/>
    <w:basedOn w:val="DefaultParagraphFont"/>
    <w:uiPriority w:val="4"/>
    <w:qFormat/>
    <w:rsid w:val="0076622F"/>
    <w:rPr>
      <w:rFonts w:ascii="Arial Narrow" w:hAnsi="Arial Narrow"/>
      <w:b/>
      <w:sz w:val="20"/>
      <w:lang w:val="en-AU"/>
    </w:rPr>
  </w:style>
  <w:style w:type="paragraph" w:customStyle="1" w:styleId="TableTextHeading">
    <w:name w:val="Table Text Heading"/>
    <w:basedOn w:val="Normal"/>
    <w:rsid w:val="0076622F"/>
    <w:pPr>
      <w:spacing w:before="60" w:after="60"/>
      <w:jc w:val="center"/>
    </w:pPr>
    <w:rPr>
      <w:rFonts w:ascii="Arial Bold" w:eastAsia="Times New Roman" w:hAnsi="Arial Bold" w:cs="Times New Roman"/>
      <w:b/>
      <w:sz w:val="18"/>
      <w:szCs w:val="20"/>
      <w:lang w:eastAsia="en-AU"/>
    </w:rPr>
  </w:style>
  <w:style w:type="table" w:customStyle="1" w:styleId="Summarybox12">
    <w:name w:val="Summary box12"/>
    <w:basedOn w:val="TableNormal"/>
    <w:next w:val="TableGrid"/>
    <w:uiPriority w:val="39"/>
    <w:rsid w:val="000C01A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39"/>
    <w:rsid w:val="000C01A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0C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0C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77036"/>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en-AU"/>
    </w:rPr>
  </w:style>
  <w:style w:type="numbering" w:customStyle="1" w:styleId="ImportedStyle1">
    <w:name w:val="Imported Style 1"/>
    <w:rsid w:val="00577036"/>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1E"/>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1"/>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Footnote,Bullet point,List Paragraph1,List Paragraph11,Recommendation,ES Paragraph,PBAC ES Paragraph"/>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aption2"/>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2"/>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uiPriority w:val="2"/>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uiPriority w:val="2"/>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4"/>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Footnote Char,Bullet point Char,List Paragraph1 Char,List Paragraph11 Char,Recommendation Char,ES Paragraph Char,PBAC ES Paragraph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5"/>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6"/>
      </w:numPr>
      <w:spacing w:before="0" w:after="240"/>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paragraph" w:styleId="EndnoteText">
    <w:name w:val="endnote text"/>
    <w:basedOn w:val="Normal"/>
    <w:link w:val="EndnoteTextChar"/>
    <w:uiPriority w:val="99"/>
    <w:semiHidden/>
    <w:unhideWhenUsed/>
    <w:rsid w:val="008E0DFB"/>
    <w:pPr>
      <w:spacing w:before="0" w:after="0"/>
    </w:pPr>
    <w:rPr>
      <w:sz w:val="20"/>
      <w:szCs w:val="20"/>
    </w:rPr>
  </w:style>
  <w:style w:type="character" w:customStyle="1" w:styleId="EndnoteTextChar">
    <w:name w:val="Endnote Text Char"/>
    <w:basedOn w:val="DefaultParagraphFont"/>
    <w:link w:val="EndnoteText"/>
    <w:uiPriority w:val="99"/>
    <w:semiHidden/>
    <w:rsid w:val="008E0DFB"/>
    <w:rPr>
      <w:sz w:val="20"/>
      <w:szCs w:val="20"/>
    </w:rPr>
  </w:style>
  <w:style w:type="character" w:styleId="EndnoteReference">
    <w:name w:val="endnote reference"/>
    <w:basedOn w:val="DefaultParagraphFont"/>
    <w:uiPriority w:val="99"/>
    <w:semiHidden/>
    <w:unhideWhenUsed/>
    <w:rsid w:val="008E0DFB"/>
    <w:rPr>
      <w:vertAlign w:val="superscript"/>
    </w:rPr>
  </w:style>
  <w:style w:type="table" w:customStyle="1" w:styleId="TableGridbeth1">
    <w:name w:val="Table Gridbeth1"/>
    <w:basedOn w:val="TableNormal"/>
    <w:next w:val="TableGrid"/>
    <w:uiPriority w:val="59"/>
    <w:rsid w:val="009B350E"/>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table" w:customStyle="1" w:styleId="Summarybox1">
    <w:name w:val="Summary box1"/>
    <w:basedOn w:val="TableNormal"/>
    <w:next w:val="TableGrid"/>
    <w:uiPriority w:val="39"/>
    <w:rsid w:val="009B350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link w:val="TableText"/>
    <w:rsid w:val="00D54621"/>
    <w:rPr>
      <w:rFonts w:ascii="Arial Narrow" w:hAnsi="Arial Narrow"/>
      <w:sz w:val="20"/>
    </w:rPr>
  </w:style>
  <w:style w:type="paragraph" w:customStyle="1" w:styleId="Tablenotes1">
    <w:name w:val="Table notes"/>
    <w:basedOn w:val="Normal"/>
    <w:link w:val="TablenotesChar"/>
    <w:qFormat/>
    <w:rsid w:val="00BD210F"/>
    <w:pPr>
      <w:spacing w:before="0" w:after="0"/>
      <w:jc w:val="both"/>
    </w:pPr>
    <w:rPr>
      <w:rFonts w:ascii="Arial" w:eastAsia="Times New Roman" w:hAnsi="Arial" w:cs="Times New Roman"/>
      <w:sz w:val="16"/>
      <w:szCs w:val="20"/>
    </w:rPr>
  </w:style>
  <w:style w:type="character" w:customStyle="1" w:styleId="TablenotesChar">
    <w:name w:val="Table notes Char"/>
    <w:basedOn w:val="DefaultParagraphFont"/>
    <w:link w:val="Tablenotes1"/>
    <w:rsid w:val="00BD210F"/>
    <w:rPr>
      <w:rFonts w:ascii="Arial" w:eastAsia="Times New Roman" w:hAnsi="Arial" w:cs="Times New Roman"/>
      <w:sz w:val="16"/>
      <w:szCs w:val="20"/>
    </w:rPr>
  </w:style>
  <w:style w:type="paragraph" w:customStyle="1" w:styleId="TableNotes2">
    <w:name w:val="Table Notes"/>
    <w:basedOn w:val="Normal"/>
    <w:next w:val="Normal"/>
    <w:link w:val="TableNotesChar0"/>
    <w:qFormat/>
    <w:rsid w:val="00BD210F"/>
    <w:pPr>
      <w:keepLines/>
      <w:spacing w:before="0" w:after="360"/>
      <w:contextualSpacing/>
    </w:pPr>
    <w:rPr>
      <w:rFonts w:ascii="Arial" w:eastAsia="Times New Roman" w:hAnsi="Arial" w:cs="Times New Roman"/>
      <w:sz w:val="16"/>
      <w:szCs w:val="16"/>
      <w:lang w:eastAsia="en-AU"/>
    </w:rPr>
  </w:style>
  <w:style w:type="character" w:customStyle="1" w:styleId="TableNotesChar0">
    <w:name w:val="Table Notes Char"/>
    <w:link w:val="TableNotes2"/>
    <w:rsid w:val="00BD210F"/>
    <w:rPr>
      <w:rFonts w:ascii="Arial" w:eastAsia="Times New Roman" w:hAnsi="Arial" w:cs="Times New Roman"/>
      <w:sz w:val="16"/>
      <w:szCs w:val="16"/>
      <w:lang w:eastAsia="en-AU"/>
    </w:rPr>
  </w:style>
  <w:style w:type="paragraph" w:customStyle="1" w:styleId="NormalBullets">
    <w:name w:val="Normal Bullets"/>
    <w:basedOn w:val="Normal"/>
    <w:uiPriority w:val="3"/>
    <w:qFormat/>
    <w:rsid w:val="0076622F"/>
    <w:pPr>
      <w:spacing w:before="0" w:after="240" w:line="276" w:lineRule="auto"/>
      <w:contextualSpacing/>
    </w:pPr>
    <w:rPr>
      <w:rFonts w:ascii="Sabon" w:eastAsiaTheme="majorEastAsia" w:hAnsi="Sabon" w:cstheme="majorBidi"/>
      <w:sz w:val="22"/>
      <w:lang w:bidi="en-US"/>
    </w:rPr>
  </w:style>
  <w:style w:type="paragraph" w:customStyle="1" w:styleId="TableLeft">
    <w:name w:val="Table Left"/>
    <w:basedOn w:val="Normal"/>
    <w:link w:val="TableLeftChar"/>
    <w:uiPriority w:val="99"/>
    <w:qFormat/>
    <w:rsid w:val="0076622F"/>
    <w:pPr>
      <w:spacing w:before="0" w:after="0"/>
    </w:pPr>
    <w:rPr>
      <w:rFonts w:ascii="Arial Narrow" w:eastAsiaTheme="majorEastAsia" w:hAnsi="Arial Narrow" w:cstheme="majorBidi"/>
      <w:sz w:val="20"/>
      <w:lang w:bidi="en-US"/>
    </w:rPr>
  </w:style>
  <w:style w:type="character" w:customStyle="1" w:styleId="TableLeftChar">
    <w:name w:val="Table Left Char"/>
    <w:basedOn w:val="DefaultParagraphFont"/>
    <w:link w:val="TableLeft"/>
    <w:uiPriority w:val="99"/>
    <w:locked/>
    <w:rsid w:val="0076622F"/>
    <w:rPr>
      <w:rFonts w:ascii="Arial Narrow" w:eastAsiaTheme="majorEastAsia" w:hAnsi="Arial Narrow" w:cstheme="majorBidi"/>
      <w:sz w:val="20"/>
      <w:lang w:bidi="en-US"/>
    </w:rPr>
  </w:style>
  <w:style w:type="character" w:customStyle="1" w:styleId="Small">
    <w:name w:val="Small"/>
    <w:basedOn w:val="DefaultParagraphFont"/>
    <w:uiPriority w:val="4"/>
    <w:qFormat/>
    <w:rsid w:val="0076622F"/>
    <w:rPr>
      <w:rFonts w:ascii="Arial Narrow" w:hAnsi="Arial Narrow"/>
      <w:sz w:val="20"/>
    </w:rPr>
  </w:style>
  <w:style w:type="table" w:customStyle="1" w:styleId="TableGrid1">
    <w:name w:val="Table Grid1"/>
    <w:basedOn w:val="TableNormal"/>
    <w:next w:val="TableGrid"/>
    <w:uiPriority w:val="59"/>
    <w:rsid w:val="0076622F"/>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entre">
    <w:name w:val="Table Centre"/>
    <w:basedOn w:val="Normal"/>
    <w:qFormat/>
    <w:rsid w:val="0076622F"/>
    <w:pPr>
      <w:spacing w:before="0" w:after="0"/>
      <w:jc w:val="center"/>
    </w:pPr>
    <w:rPr>
      <w:rFonts w:ascii="Arial Narrow" w:eastAsia="Times New Roman" w:hAnsi="Arial Narrow" w:cs="Times New Roman"/>
      <w:sz w:val="20"/>
      <w:szCs w:val="20"/>
      <w:lang w:eastAsia="en-AU"/>
    </w:rPr>
  </w:style>
  <w:style w:type="table" w:customStyle="1" w:styleId="TableGrid11">
    <w:name w:val="Table Grid11"/>
    <w:basedOn w:val="TableNormal"/>
    <w:next w:val="TableGrid"/>
    <w:uiPriority w:val="59"/>
    <w:rsid w:val="0076622F"/>
    <w:pPr>
      <w:spacing w:after="0" w:line="240" w:lineRule="auto"/>
    </w:pPr>
    <w:rPr>
      <w:rFonts w:ascii="Times New Roman" w:eastAsia="Batang"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
    <w:name w:val="Font"/>
    <w:basedOn w:val="DefaultParagraphFont"/>
    <w:uiPriority w:val="1"/>
    <w:qFormat/>
    <w:rsid w:val="0076622F"/>
    <w:rPr>
      <w:rFonts w:ascii="Sabon" w:hAnsi="Sabon"/>
      <w:sz w:val="22"/>
      <w:lang w:val="en-AU"/>
    </w:rPr>
  </w:style>
  <w:style w:type="character" w:customStyle="1" w:styleId="TableBold">
    <w:name w:val="Table Bold"/>
    <w:basedOn w:val="DefaultParagraphFont"/>
    <w:uiPriority w:val="4"/>
    <w:qFormat/>
    <w:rsid w:val="0076622F"/>
    <w:rPr>
      <w:rFonts w:ascii="Arial Narrow" w:hAnsi="Arial Narrow"/>
      <w:b/>
      <w:sz w:val="20"/>
      <w:lang w:val="en-AU"/>
    </w:rPr>
  </w:style>
  <w:style w:type="paragraph" w:customStyle="1" w:styleId="TableTextHeading">
    <w:name w:val="Table Text Heading"/>
    <w:basedOn w:val="Normal"/>
    <w:rsid w:val="0076622F"/>
    <w:pPr>
      <w:spacing w:before="60" w:after="60"/>
      <w:jc w:val="center"/>
    </w:pPr>
    <w:rPr>
      <w:rFonts w:ascii="Arial Bold" w:eastAsia="Times New Roman" w:hAnsi="Arial Bold" w:cs="Times New Roman"/>
      <w:b/>
      <w:sz w:val="18"/>
      <w:szCs w:val="20"/>
      <w:lang w:eastAsia="en-AU"/>
    </w:rPr>
  </w:style>
  <w:style w:type="table" w:customStyle="1" w:styleId="Summarybox12">
    <w:name w:val="Summary box12"/>
    <w:basedOn w:val="TableNormal"/>
    <w:next w:val="TableGrid"/>
    <w:uiPriority w:val="39"/>
    <w:rsid w:val="000C01A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39"/>
    <w:rsid w:val="000C01A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3">
    <w:name w:val="Table Gridbeth3"/>
    <w:basedOn w:val="TableNormal"/>
    <w:next w:val="TableGrid"/>
    <w:uiPriority w:val="59"/>
    <w:rsid w:val="000C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2">
    <w:name w:val="Table Gridbeth2"/>
    <w:basedOn w:val="TableNormal"/>
    <w:next w:val="TableGrid"/>
    <w:uiPriority w:val="59"/>
    <w:rsid w:val="000C0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77036"/>
    <w:pPr>
      <w:widowControl w:val="0"/>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en-AU"/>
    </w:rPr>
  </w:style>
  <w:style w:type="numbering" w:customStyle="1" w:styleId="ImportedStyle1">
    <w:name w:val="Imported Style 1"/>
    <w:rsid w:val="0057703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8694244">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42052661">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756390975">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 w:id="2086566147">
      <w:bodyDiv w:val="1"/>
      <w:marLeft w:val="0"/>
      <w:marRight w:val="0"/>
      <w:marTop w:val="0"/>
      <w:marBottom w:val="0"/>
      <w:divBdr>
        <w:top w:val="none" w:sz="0" w:space="0" w:color="auto"/>
        <w:left w:val="none" w:sz="0" w:space="0" w:color="auto"/>
        <w:bottom w:val="none" w:sz="0" w:space="0" w:color="auto"/>
        <w:right w:val="none" w:sz="0" w:space="0" w:color="auto"/>
      </w:divBdr>
      <w:divsChild>
        <w:div w:id="190822775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0224-F927-4F4F-9F08-B44C20544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11320</Words>
  <Characters>64528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2018-03-08T05:33:00Z</dcterms:created>
  <dcterms:modified xsi:type="dcterms:W3CDTF">2018-03-08T05:42:00Z</dcterms:modified>
</cp:coreProperties>
</file>