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9F71CF" w:rsidRDefault="00D67649" w:rsidP="00EE3E1C">
      <w:pPr>
        <w:pStyle w:val="Title"/>
        <w:spacing w:before="120" w:after="160"/>
        <w:ind w:left="720" w:hanging="720"/>
        <w:rPr>
          <w:rFonts w:asciiTheme="minorHAnsi" w:hAnsiTheme="minorHAnsi"/>
          <w:sz w:val="36"/>
          <w:szCs w:val="36"/>
        </w:rPr>
      </w:pPr>
      <w:bookmarkStart w:id="0" w:name="_GoBack"/>
      <w:bookmarkEnd w:id="0"/>
      <w:r w:rsidRPr="009F71CF">
        <w:rPr>
          <w:rFonts w:asciiTheme="minorHAnsi" w:hAnsiTheme="minorHAnsi"/>
          <w:sz w:val="36"/>
          <w:szCs w:val="36"/>
        </w:rPr>
        <w:t>7</w:t>
      </w:r>
      <w:r w:rsidR="0004240E" w:rsidRPr="009F71CF">
        <w:rPr>
          <w:rFonts w:asciiTheme="minorHAnsi" w:hAnsiTheme="minorHAnsi"/>
          <w:sz w:val="36"/>
          <w:szCs w:val="36"/>
        </w:rPr>
        <w:t>.</w:t>
      </w:r>
      <w:r w:rsidRPr="009F71CF">
        <w:rPr>
          <w:rFonts w:asciiTheme="minorHAnsi" w:hAnsiTheme="minorHAnsi"/>
          <w:sz w:val="36"/>
          <w:szCs w:val="36"/>
        </w:rPr>
        <w:t>12</w:t>
      </w:r>
      <w:r w:rsidR="007C0F57" w:rsidRPr="009F71CF">
        <w:rPr>
          <w:rFonts w:asciiTheme="minorHAnsi" w:hAnsiTheme="minorHAnsi"/>
          <w:sz w:val="36"/>
          <w:szCs w:val="36"/>
        </w:rPr>
        <w:tab/>
      </w:r>
      <w:r w:rsidRPr="009F71CF">
        <w:rPr>
          <w:rFonts w:asciiTheme="minorHAnsi" w:hAnsiTheme="minorHAnsi"/>
          <w:sz w:val="36"/>
          <w:szCs w:val="36"/>
        </w:rPr>
        <w:t xml:space="preserve">MIGALASTAT </w:t>
      </w:r>
      <w:r w:rsidR="00EE3E1C">
        <w:rPr>
          <w:rFonts w:asciiTheme="minorHAnsi" w:hAnsiTheme="minorHAnsi"/>
          <w:sz w:val="36"/>
          <w:szCs w:val="36"/>
        </w:rPr>
        <w:br/>
      </w:r>
      <w:r w:rsidRPr="009F71CF">
        <w:rPr>
          <w:rFonts w:asciiTheme="minorHAnsi" w:hAnsiTheme="minorHAnsi"/>
          <w:sz w:val="36"/>
          <w:szCs w:val="36"/>
        </w:rPr>
        <w:t xml:space="preserve">Capsule containing </w:t>
      </w:r>
      <w:proofErr w:type="spellStart"/>
      <w:r w:rsidRPr="009F71CF">
        <w:rPr>
          <w:rFonts w:asciiTheme="minorHAnsi" w:hAnsiTheme="minorHAnsi"/>
          <w:sz w:val="36"/>
          <w:szCs w:val="36"/>
        </w:rPr>
        <w:t>migalastat</w:t>
      </w:r>
      <w:proofErr w:type="spellEnd"/>
      <w:r w:rsidRPr="009F71CF">
        <w:rPr>
          <w:rFonts w:asciiTheme="minorHAnsi" w:hAnsiTheme="minorHAnsi"/>
          <w:sz w:val="36"/>
          <w:szCs w:val="36"/>
        </w:rPr>
        <w:t xml:space="preserve"> hydrochloride, 150 mg, </w:t>
      </w:r>
      <w:proofErr w:type="spellStart"/>
      <w:r w:rsidRPr="009F71CF">
        <w:rPr>
          <w:rFonts w:asciiTheme="minorHAnsi" w:hAnsiTheme="minorHAnsi"/>
          <w:sz w:val="36"/>
          <w:szCs w:val="36"/>
        </w:rPr>
        <w:t>Galafold</w:t>
      </w:r>
      <w:proofErr w:type="spellEnd"/>
      <w:r w:rsidRPr="009F71CF">
        <w:rPr>
          <w:rFonts w:asciiTheme="minorHAnsi" w:hAnsiTheme="minorHAnsi"/>
          <w:sz w:val="36"/>
          <w:szCs w:val="36"/>
        </w:rPr>
        <w:t>®, Amicus Therapeutics</w:t>
      </w:r>
    </w:p>
    <w:p w:rsidR="008A50F1" w:rsidRPr="009F71CF" w:rsidRDefault="00CE10C4" w:rsidP="00EB0B63">
      <w:pPr>
        <w:pStyle w:val="PBACHeading1"/>
        <w:spacing w:before="240" w:after="120"/>
        <w:ind w:left="709" w:hanging="709"/>
        <w:rPr>
          <w:rFonts w:asciiTheme="minorHAnsi" w:hAnsiTheme="minorHAnsi"/>
          <w:sz w:val="32"/>
          <w:szCs w:val="32"/>
        </w:rPr>
      </w:pPr>
      <w:r w:rsidRPr="009F71CF">
        <w:rPr>
          <w:rFonts w:asciiTheme="minorHAnsi" w:hAnsiTheme="minorHAnsi"/>
          <w:sz w:val="32"/>
          <w:szCs w:val="32"/>
        </w:rPr>
        <w:t xml:space="preserve">Purpose of </w:t>
      </w:r>
      <w:r w:rsidR="0004240E" w:rsidRPr="009F71CF">
        <w:rPr>
          <w:rFonts w:asciiTheme="minorHAnsi" w:hAnsiTheme="minorHAnsi"/>
          <w:sz w:val="32"/>
          <w:szCs w:val="32"/>
        </w:rPr>
        <w:t>Application</w:t>
      </w:r>
    </w:p>
    <w:p w:rsidR="005B568D" w:rsidRPr="009F71CF" w:rsidRDefault="00D67649" w:rsidP="00C155D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The minor resubmission requested a Section 100 (Highly Specialised Drug Program) Authority Required listing for the treatment of Fabry disease.</w:t>
      </w:r>
      <w:r w:rsidR="00C155DA" w:rsidRPr="009F71CF">
        <w:rPr>
          <w:rFonts w:asciiTheme="minorHAnsi" w:eastAsiaTheme="minorHAnsi" w:hAnsiTheme="minorHAnsi" w:cstheme="minorBidi"/>
          <w:snapToGrid/>
          <w:sz w:val="24"/>
          <w:szCs w:val="22"/>
        </w:rPr>
        <w:t xml:space="preserve"> </w:t>
      </w:r>
    </w:p>
    <w:p w:rsidR="006A12A5" w:rsidRPr="009F71CF" w:rsidRDefault="006A12A5" w:rsidP="00EB0B63">
      <w:pPr>
        <w:pStyle w:val="PBACHeading1"/>
        <w:spacing w:before="240" w:after="120"/>
        <w:ind w:left="709" w:hanging="709"/>
        <w:rPr>
          <w:rFonts w:asciiTheme="minorHAnsi" w:hAnsiTheme="minorHAnsi"/>
          <w:sz w:val="32"/>
          <w:szCs w:val="32"/>
        </w:rPr>
      </w:pPr>
      <w:r w:rsidRPr="009F71CF">
        <w:rPr>
          <w:rFonts w:asciiTheme="minorHAnsi" w:hAnsiTheme="minorHAnsi"/>
          <w:sz w:val="32"/>
          <w:szCs w:val="32"/>
        </w:rPr>
        <w:t>Requested listing</w:t>
      </w:r>
    </w:p>
    <w:p w:rsidR="00BA5CC3" w:rsidRPr="009F71CF" w:rsidRDefault="00B96D01" w:rsidP="007871FF">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The minor resubmission proposed no changes to the requested listing provided in the major March 2017 submission.</w:t>
      </w:r>
    </w:p>
    <w:p w:rsidR="00C603D4" w:rsidRPr="009F71CF" w:rsidRDefault="00CE10C4" w:rsidP="00696129">
      <w:pPr>
        <w:pStyle w:val="PBACHeading1"/>
        <w:spacing w:before="240" w:after="120"/>
        <w:ind w:left="709" w:hanging="709"/>
        <w:rPr>
          <w:rFonts w:asciiTheme="minorHAnsi" w:hAnsiTheme="minorHAnsi"/>
          <w:sz w:val="32"/>
          <w:szCs w:val="32"/>
        </w:rPr>
      </w:pPr>
      <w:r w:rsidRPr="009F71CF">
        <w:rPr>
          <w:rFonts w:asciiTheme="minorHAnsi" w:hAnsiTheme="minorHAnsi"/>
          <w:sz w:val="32"/>
          <w:szCs w:val="32"/>
        </w:rPr>
        <w:t>Background</w:t>
      </w:r>
    </w:p>
    <w:p w:rsidR="00040C3F" w:rsidRPr="009F71CF" w:rsidRDefault="00040C3F" w:rsidP="00040C3F">
      <w:pPr>
        <w:pStyle w:val="ListParagraph"/>
        <w:numPr>
          <w:ilvl w:val="1"/>
          <w:numId w:val="14"/>
        </w:numPr>
        <w:spacing w:before="120" w:after="16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 xml:space="preserve">Migalastat </w:t>
      </w:r>
      <w:r w:rsidR="009E6D67" w:rsidRPr="009F71CF">
        <w:rPr>
          <w:rFonts w:asciiTheme="minorHAnsi" w:eastAsiaTheme="minorHAnsi" w:hAnsiTheme="minorHAnsi" w:cstheme="minorBidi"/>
          <w:snapToGrid/>
          <w:sz w:val="24"/>
          <w:szCs w:val="22"/>
        </w:rPr>
        <w:t>registered on the ARTG on 11 August 2017, with the indication</w:t>
      </w:r>
      <w:r w:rsidR="00AD1E3E" w:rsidRPr="009F71CF">
        <w:rPr>
          <w:rFonts w:asciiTheme="minorHAnsi" w:eastAsiaTheme="minorHAnsi" w:hAnsiTheme="minorHAnsi" w:cstheme="minorBidi"/>
          <w:snapToGrid/>
          <w:sz w:val="24"/>
          <w:szCs w:val="22"/>
        </w:rPr>
        <w:t>:</w:t>
      </w:r>
    </w:p>
    <w:p w:rsidR="005B568D" w:rsidRPr="009F71CF" w:rsidRDefault="005B568D" w:rsidP="005B568D">
      <w:pPr>
        <w:pStyle w:val="ListParagraph"/>
        <w:spacing w:before="120" w:after="160"/>
        <w:rPr>
          <w:rFonts w:asciiTheme="minorHAnsi" w:eastAsiaTheme="minorHAnsi" w:hAnsiTheme="minorHAnsi" w:cstheme="minorBidi"/>
          <w:snapToGrid/>
          <w:sz w:val="24"/>
          <w:szCs w:val="22"/>
        </w:rPr>
      </w:pPr>
    </w:p>
    <w:p w:rsidR="00040C3F" w:rsidRPr="009F71CF" w:rsidRDefault="00040C3F" w:rsidP="000A7162">
      <w:pPr>
        <w:pStyle w:val="ListParagraph"/>
        <w:spacing w:before="120" w:after="160"/>
        <w:rPr>
          <w:rFonts w:asciiTheme="minorHAnsi" w:eastAsiaTheme="minorHAnsi" w:hAnsiTheme="minorHAnsi" w:cstheme="minorBidi"/>
          <w:i/>
          <w:snapToGrid/>
          <w:sz w:val="24"/>
          <w:szCs w:val="22"/>
        </w:rPr>
      </w:pPr>
      <w:r w:rsidRPr="009F71CF">
        <w:rPr>
          <w:rFonts w:asciiTheme="minorHAnsi" w:eastAsiaTheme="minorHAnsi" w:hAnsiTheme="minorHAnsi" w:cstheme="minorBidi"/>
          <w:i/>
          <w:snapToGrid/>
          <w:sz w:val="24"/>
          <w:szCs w:val="22"/>
        </w:rPr>
        <w:t>Migalastat is indicated for long-term treatment of adult and adolescent patients 16 years and older with a confirmed diagnosis of Fabry disease (α-galactosidase A deficiency) and who have an amenable mutation.</w:t>
      </w:r>
    </w:p>
    <w:p w:rsidR="000A7162" w:rsidRPr="009F71CF" w:rsidRDefault="000A7162" w:rsidP="000A7162">
      <w:pPr>
        <w:pStyle w:val="ListParagraph"/>
        <w:spacing w:before="120" w:after="160"/>
        <w:rPr>
          <w:rFonts w:asciiTheme="minorHAnsi" w:eastAsiaTheme="minorHAnsi" w:hAnsiTheme="minorHAnsi" w:cstheme="minorBidi"/>
          <w:i/>
          <w:snapToGrid/>
          <w:sz w:val="24"/>
          <w:szCs w:val="22"/>
        </w:rPr>
      </w:pPr>
    </w:p>
    <w:p w:rsidR="00040C3F" w:rsidRPr="009F71CF" w:rsidRDefault="00040C3F" w:rsidP="00040C3F">
      <w:pPr>
        <w:pStyle w:val="ListParagraph"/>
        <w:numPr>
          <w:ilvl w:val="1"/>
          <w:numId w:val="14"/>
        </w:numPr>
        <w:spacing w:before="120" w:after="16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 xml:space="preserve">A major submission for migalastat was considered by the PBAC at its March 2017 meeting. The PBAC deferred making a recommendation on the listing of migalastat for Fabry Disease pending the outcome of the TGA evaluation. </w:t>
      </w:r>
    </w:p>
    <w:p w:rsidR="00040C3F" w:rsidRPr="009F71CF" w:rsidRDefault="00040C3F" w:rsidP="00040C3F">
      <w:pPr>
        <w:pStyle w:val="ListParagraph"/>
        <w:spacing w:before="120" w:after="160"/>
        <w:rPr>
          <w:rFonts w:asciiTheme="minorHAnsi" w:eastAsiaTheme="minorHAnsi" w:hAnsiTheme="minorHAnsi" w:cstheme="minorBidi"/>
          <w:snapToGrid/>
          <w:sz w:val="24"/>
          <w:szCs w:val="22"/>
        </w:rPr>
      </w:pPr>
    </w:p>
    <w:p w:rsidR="00BC6B79" w:rsidRPr="00182A71" w:rsidRDefault="00040C3F" w:rsidP="00BC6B79">
      <w:pPr>
        <w:pStyle w:val="ListParagraph"/>
        <w:numPr>
          <w:ilvl w:val="1"/>
          <w:numId w:val="14"/>
        </w:numPr>
        <w:spacing w:before="120" w:after="16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 xml:space="preserve">A minor resubmission </w:t>
      </w:r>
      <w:r w:rsidR="003226B7" w:rsidRPr="009F71CF">
        <w:rPr>
          <w:rFonts w:asciiTheme="minorHAnsi" w:eastAsiaTheme="minorHAnsi" w:hAnsiTheme="minorHAnsi" w:cstheme="minorBidi"/>
          <w:snapToGrid/>
          <w:sz w:val="24"/>
          <w:szCs w:val="22"/>
        </w:rPr>
        <w:t xml:space="preserve">for migalastat </w:t>
      </w:r>
      <w:r w:rsidRPr="009F71CF">
        <w:rPr>
          <w:rFonts w:asciiTheme="minorHAnsi" w:eastAsiaTheme="minorHAnsi" w:hAnsiTheme="minorHAnsi" w:cstheme="minorBidi"/>
          <w:snapToGrid/>
          <w:sz w:val="24"/>
          <w:szCs w:val="22"/>
        </w:rPr>
        <w:t>was considered by the PBAC at its July 2017 meeting</w:t>
      </w:r>
      <w:r w:rsidR="00A97F5F" w:rsidRPr="009F71CF">
        <w:rPr>
          <w:rFonts w:asciiTheme="minorHAnsi" w:eastAsiaTheme="minorHAnsi" w:hAnsiTheme="minorHAnsi" w:cstheme="minorBidi"/>
          <w:snapToGrid/>
          <w:sz w:val="24"/>
          <w:szCs w:val="22"/>
        </w:rPr>
        <w:t xml:space="preserve"> and was not recommended for listing</w:t>
      </w:r>
      <w:r w:rsidRPr="009F71CF">
        <w:rPr>
          <w:rFonts w:asciiTheme="minorHAnsi" w:eastAsiaTheme="minorHAnsi" w:hAnsiTheme="minorHAnsi" w:cstheme="minorBidi"/>
          <w:snapToGrid/>
          <w:sz w:val="24"/>
          <w:szCs w:val="22"/>
        </w:rPr>
        <w:t xml:space="preserve">. </w:t>
      </w:r>
      <w:r w:rsidR="003226B7" w:rsidRPr="009F71CF">
        <w:rPr>
          <w:rFonts w:asciiTheme="minorHAnsi" w:eastAsiaTheme="minorHAnsi" w:hAnsiTheme="minorHAnsi" w:cstheme="minorBidi"/>
          <w:snapToGrid/>
          <w:sz w:val="24"/>
          <w:szCs w:val="22"/>
        </w:rPr>
        <w:t>In making this decision, the PBAC was uncertain about the submission’s clinical claim of non-inferior comparative effectiveness compared with enzyme replacement therapy (ERT).</w:t>
      </w:r>
    </w:p>
    <w:p w:rsidR="00C155DA" w:rsidRPr="009F71CF" w:rsidRDefault="00C155DA" w:rsidP="00C155DA">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9F71CF">
        <w:rPr>
          <w:rFonts w:asciiTheme="minorHAnsi" w:hAnsiTheme="minorHAnsi"/>
          <w:sz w:val="32"/>
          <w:szCs w:val="32"/>
        </w:rPr>
        <w:t>Current situation</w:t>
      </w:r>
    </w:p>
    <w:p w:rsidR="00C155DA" w:rsidRPr="009F71CF" w:rsidRDefault="00C155DA" w:rsidP="00C155D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 xml:space="preserve">The </w:t>
      </w:r>
      <w:r w:rsidR="00A97F5F" w:rsidRPr="009F71CF">
        <w:rPr>
          <w:rFonts w:asciiTheme="minorHAnsi" w:eastAsiaTheme="minorHAnsi" w:hAnsiTheme="minorHAnsi" w:cstheme="minorBidi"/>
          <w:snapToGrid/>
          <w:sz w:val="24"/>
          <w:szCs w:val="22"/>
        </w:rPr>
        <w:t xml:space="preserve">current </w:t>
      </w:r>
      <w:r w:rsidRPr="009F71CF">
        <w:rPr>
          <w:rFonts w:asciiTheme="minorHAnsi" w:eastAsiaTheme="minorHAnsi" w:hAnsiTheme="minorHAnsi" w:cstheme="minorBidi"/>
          <w:snapToGrid/>
          <w:sz w:val="24"/>
          <w:szCs w:val="22"/>
        </w:rPr>
        <w:t xml:space="preserve">minor </w:t>
      </w:r>
      <w:r w:rsidR="00A97F5F" w:rsidRPr="009F71CF">
        <w:rPr>
          <w:rFonts w:asciiTheme="minorHAnsi" w:eastAsiaTheme="minorHAnsi" w:hAnsiTheme="minorHAnsi" w:cstheme="minorBidi"/>
          <w:snapToGrid/>
          <w:sz w:val="24"/>
          <w:szCs w:val="22"/>
        </w:rPr>
        <w:t>re</w:t>
      </w:r>
      <w:r w:rsidRPr="009F71CF">
        <w:rPr>
          <w:rFonts w:asciiTheme="minorHAnsi" w:eastAsiaTheme="minorHAnsi" w:hAnsiTheme="minorHAnsi" w:cstheme="minorBidi"/>
          <w:snapToGrid/>
          <w:sz w:val="24"/>
          <w:szCs w:val="22"/>
        </w:rPr>
        <w:t xml:space="preserve">submission aimed to address issues raised by the PBAC in their consideration </w:t>
      </w:r>
      <w:r w:rsidR="00A97F5F" w:rsidRPr="009F71CF">
        <w:rPr>
          <w:rFonts w:asciiTheme="minorHAnsi" w:eastAsiaTheme="minorHAnsi" w:hAnsiTheme="minorHAnsi" w:cstheme="minorBidi"/>
          <w:snapToGrid/>
          <w:sz w:val="24"/>
          <w:szCs w:val="22"/>
        </w:rPr>
        <w:t>of</w:t>
      </w:r>
      <w:r w:rsidRPr="009F71CF">
        <w:rPr>
          <w:rFonts w:asciiTheme="minorHAnsi" w:eastAsiaTheme="minorHAnsi" w:hAnsiTheme="minorHAnsi" w:cstheme="minorBidi"/>
          <w:snapToGrid/>
          <w:sz w:val="24"/>
          <w:szCs w:val="22"/>
        </w:rPr>
        <w:t xml:space="preserve"> migalastat at the July 2017 meeting. The main concerns in the PBAC’s previous consideration of migalastat, and the approach taken in the current minor resubmission to address those concerns, are summarised in Table 1.</w:t>
      </w:r>
    </w:p>
    <w:p w:rsidR="00C155DA" w:rsidRPr="009F71CF" w:rsidRDefault="00C155DA" w:rsidP="00C155DA">
      <w:pPr>
        <w:pStyle w:val="NoSpacing"/>
        <w:keepNext/>
        <w:rPr>
          <w:rFonts w:ascii="Arial Narrow" w:hAnsi="Arial Narrow"/>
          <w:b/>
          <w:sz w:val="20"/>
        </w:rPr>
      </w:pPr>
      <w:r w:rsidRPr="009F71CF">
        <w:rPr>
          <w:rFonts w:ascii="Arial Narrow" w:hAnsi="Arial Narrow"/>
          <w:b/>
          <w:sz w:val="20"/>
        </w:rPr>
        <w:lastRenderedPageBreak/>
        <w:t>Table 1: PBAC matters of concern in previous consideration (</w:t>
      </w:r>
      <w:r w:rsidR="001D516E" w:rsidRPr="009F71CF">
        <w:rPr>
          <w:rFonts w:ascii="Arial Narrow" w:hAnsi="Arial Narrow"/>
          <w:b/>
          <w:sz w:val="20"/>
        </w:rPr>
        <w:t>July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255"/>
        <w:gridCol w:w="3827"/>
      </w:tblGrid>
      <w:tr w:rsidR="00C155DA" w:rsidRPr="009F71CF" w:rsidTr="003A4356">
        <w:trPr>
          <w:trHeight w:val="240"/>
        </w:trPr>
        <w:tc>
          <w:tcPr>
            <w:tcW w:w="2893" w:type="pct"/>
            <w:shd w:val="clear" w:color="auto" w:fill="auto"/>
          </w:tcPr>
          <w:p w:rsidR="00C155DA" w:rsidRPr="009F71CF" w:rsidRDefault="00C155DA" w:rsidP="003A4356">
            <w:pPr>
              <w:keepNext/>
              <w:rPr>
                <w:rFonts w:ascii="Arial Narrow" w:hAnsi="Arial Narrow"/>
                <w:b/>
                <w:sz w:val="20"/>
              </w:rPr>
            </w:pPr>
            <w:r w:rsidRPr="009F71CF">
              <w:rPr>
                <w:rFonts w:ascii="Arial Narrow" w:hAnsi="Arial Narrow"/>
                <w:b/>
                <w:sz w:val="20"/>
              </w:rPr>
              <w:t>Matters of concern</w:t>
            </w:r>
          </w:p>
        </w:tc>
        <w:tc>
          <w:tcPr>
            <w:tcW w:w="2107" w:type="pct"/>
            <w:shd w:val="clear" w:color="auto" w:fill="auto"/>
          </w:tcPr>
          <w:p w:rsidR="00C155DA" w:rsidRPr="009F71CF" w:rsidRDefault="00C155DA" w:rsidP="003A4356">
            <w:pPr>
              <w:keepNext/>
              <w:jc w:val="center"/>
              <w:rPr>
                <w:rFonts w:ascii="Arial Narrow" w:hAnsi="Arial Narrow"/>
                <w:b/>
                <w:sz w:val="20"/>
              </w:rPr>
            </w:pPr>
            <w:r w:rsidRPr="009F71CF">
              <w:rPr>
                <w:rFonts w:ascii="Arial Narrow" w:hAnsi="Arial Narrow"/>
                <w:b/>
                <w:sz w:val="20"/>
              </w:rPr>
              <w:t>How the resubmission addresses it</w:t>
            </w:r>
          </w:p>
        </w:tc>
      </w:tr>
      <w:tr w:rsidR="00C155DA" w:rsidRPr="009F71CF" w:rsidTr="003A4356">
        <w:trPr>
          <w:trHeight w:val="788"/>
        </w:trPr>
        <w:tc>
          <w:tcPr>
            <w:tcW w:w="2893" w:type="pct"/>
            <w:shd w:val="clear" w:color="auto" w:fill="auto"/>
          </w:tcPr>
          <w:p w:rsidR="00C155DA" w:rsidRPr="009F71CF" w:rsidRDefault="00A97F5F" w:rsidP="003A4356">
            <w:pPr>
              <w:keepNext/>
              <w:rPr>
                <w:rFonts w:ascii="Arial Narrow" w:hAnsi="Arial Narrow"/>
                <w:sz w:val="20"/>
              </w:rPr>
            </w:pPr>
            <w:r w:rsidRPr="009F71CF">
              <w:rPr>
                <w:rFonts w:ascii="Arial Narrow" w:hAnsi="Arial Narrow"/>
                <w:sz w:val="20"/>
              </w:rPr>
              <w:t>T</w:t>
            </w:r>
            <w:r w:rsidR="00C155DA" w:rsidRPr="009F71CF">
              <w:rPr>
                <w:rFonts w:ascii="Arial Narrow" w:hAnsi="Arial Narrow"/>
                <w:sz w:val="20"/>
              </w:rPr>
              <w:t xml:space="preserve">he outcomes of the trials did not provide confidence in either the superior clinical effectiveness of migalastat over placebo or the non-inferior clinical effectiveness of migalastat compared to ERT (para 5.3) </w:t>
            </w:r>
          </w:p>
          <w:p w:rsidR="00C155DA" w:rsidRPr="009F71CF" w:rsidRDefault="00C155DA" w:rsidP="003A4356">
            <w:pPr>
              <w:keepNext/>
              <w:rPr>
                <w:rFonts w:ascii="Arial Narrow" w:hAnsi="Arial Narrow"/>
                <w:sz w:val="20"/>
              </w:rPr>
            </w:pPr>
          </w:p>
          <w:p w:rsidR="00C155DA" w:rsidRPr="009F71CF" w:rsidRDefault="00C155DA" w:rsidP="003A4356">
            <w:pPr>
              <w:keepNext/>
              <w:rPr>
                <w:rFonts w:ascii="Arial Narrow" w:hAnsi="Arial Narrow"/>
                <w:sz w:val="20"/>
              </w:rPr>
            </w:pPr>
          </w:p>
        </w:tc>
        <w:tc>
          <w:tcPr>
            <w:tcW w:w="2107" w:type="pct"/>
            <w:shd w:val="clear" w:color="auto" w:fill="auto"/>
          </w:tcPr>
          <w:p w:rsidR="00C155DA" w:rsidRPr="009F71CF" w:rsidRDefault="00C155DA" w:rsidP="003A4356">
            <w:pPr>
              <w:keepNext/>
              <w:rPr>
                <w:rFonts w:ascii="Arial Narrow" w:hAnsi="Arial Narrow"/>
                <w:sz w:val="20"/>
              </w:rPr>
            </w:pPr>
            <w:r w:rsidRPr="009F71CF">
              <w:rPr>
                <w:rFonts w:ascii="Arial Narrow" w:hAnsi="Arial Narrow"/>
                <w:sz w:val="20"/>
              </w:rPr>
              <w:t xml:space="preserve">The resubmission stated (p3) that the purpose of the minor submission was to present “newly-available long-term clinical data in patients with Fabry disease treated with migalastat.” </w:t>
            </w:r>
          </w:p>
          <w:p w:rsidR="00C155DA" w:rsidRPr="009F71CF" w:rsidRDefault="00C155DA" w:rsidP="003A4356">
            <w:pPr>
              <w:keepNext/>
              <w:rPr>
                <w:rFonts w:ascii="Arial Narrow" w:hAnsi="Arial Narrow"/>
                <w:sz w:val="20"/>
              </w:rPr>
            </w:pPr>
          </w:p>
          <w:p w:rsidR="00C155DA" w:rsidRPr="009F71CF" w:rsidRDefault="00C155DA" w:rsidP="003A4356">
            <w:pPr>
              <w:keepNext/>
              <w:rPr>
                <w:rFonts w:ascii="Arial Narrow" w:hAnsi="Arial Narrow"/>
                <w:sz w:val="20"/>
              </w:rPr>
            </w:pPr>
            <w:r w:rsidRPr="009F71CF">
              <w:rPr>
                <w:rFonts w:ascii="Arial Narrow" w:hAnsi="Arial Narrow"/>
                <w:sz w:val="20"/>
              </w:rPr>
              <w:t xml:space="preserve">The resubmission presents some additional long-term clinical data generated by an “integrated analysis” of the results of the </w:t>
            </w:r>
            <w:r w:rsidR="00945EB4" w:rsidRPr="009F71CF">
              <w:rPr>
                <w:rFonts w:ascii="Arial Narrow" w:hAnsi="Arial Narrow"/>
                <w:sz w:val="20"/>
              </w:rPr>
              <w:t xml:space="preserve">ATTRACT study, </w:t>
            </w:r>
            <w:r w:rsidRPr="009F71CF">
              <w:rPr>
                <w:rFonts w:ascii="Arial Narrow" w:hAnsi="Arial Narrow"/>
                <w:sz w:val="20"/>
              </w:rPr>
              <w:t>FACETS study, phase 2 studies, and extension study AT10001-041</w:t>
            </w:r>
            <w:r w:rsidR="00635CEA" w:rsidRPr="009F71CF">
              <w:rPr>
                <w:rFonts w:ascii="Arial Narrow" w:hAnsi="Arial Narrow"/>
                <w:sz w:val="20"/>
              </w:rPr>
              <w:t>.</w:t>
            </w:r>
          </w:p>
        </w:tc>
      </w:tr>
      <w:tr w:rsidR="00C155DA" w:rsidRPr="009F71CF" w:rsidTr="003A4356">
        <w:trPr>
          <w:trHeight w:val="788"/>
        </w:trPr>
        <w:tc>
          <w:tcPr>
            <w:tcW w:w="2893" w:type="pct"/>
            <w:shd w:val="clear" w:color="auto" w:fill="auto"/>
          </w:tcPr>
          <w:p w:rsidR="00C155DA" w:rsidRPr="009F71CF" w:rsidRDefault="00C155DA" w:rsidP="003A4356">
            <w:pPr>
              <w:keepNext/>
              <w:rPr>
                <w:rFonts w:ascii="Arial Narrow" w:hAnsi="Arial Narrow"/>
                <w:sz w:val="20"/>
              </w:rPr>
            </w:pPr>
            <w:r w:rsidRPr="009F71CF">
              <w:rPr>
                <w:rFonts w:ascii="Arial Narrow" w:hAnsi="Arial Narrow"/>
                <w:sz w:val="20"/>
              </w:rPr>
              <w:t>The PBAC noted that the minor resubmission and the comments from consumers discussed the advantages of an oral treatment option compared with the current infusible treatments. However, the PBAC noted that the submission had not formally analysed any associated benefits to patients using migalastat rather than ERT. (para 5.5)</w:t>
            </w:r>
          </w:p>
        </w:tc>
        <w:tc>
          <w:tcPr>
            <w:tcW w:w="2107" w:type="pct"/>
            <w:shd w:val="clear" w:color="auto" w:fill="auto"/>
          </w:tcPr>
          <w:p w:rsidR="00C155DA" w:rsidRPr="009F71CF" w:rsidRDefault="00C155DA" w:rsidP="003A4356">
            <w:pPr>
              <w:keepNext/>
              <w:rPr>
                <w:rFonts w:ascii="Arial Narrow" w:hAnsi="Arial Narrow"/>
                <w:sz w:val="20"/>
              </w:rPr>
            </w:pPr>
            <w:r w:rsidRPr="009F71CF">
              <w:rPr>
                <w:rFonts w:ascii="Arial Narrow" w:hAnsi="Arial Narrow"/>
                <w:sz w:val="20"/>
              </w:rPr>
              <w:t>Not addressed</w:t>
            </w:r>
            <w:r w:rsidR="00605B14" w:rsidRPr="009F71CF">
              <w:rPr>
                <w:rFonts w:ascii="Arial Narrow" w:hAnsi="Arial Narrow"/>
                <w:sz w:val="20"/>
              </w:rPr>
              <w:t xml:space="preserve"> in the resubmission. The pre-PBAC stated: Elimination of the need for hospital based infusions due to the uptake of migalastat will be cost-saving to hospital and state government budgets. Whilst the magnitude of these savings have not been quantified or considered in the pricing of migalastat, Amicus considers this to be one of the many key benefits of migalastat relative to its ERT comparators along with the reduction in the burden of IV infusions for health care professionals, patients and their caregivers. These benefits were discussed qualitatively in the major PBAC submission for migalastat, which was lodged in November 2016.</w:t>
            </w:r>
          </w:p>
        </w:tc>
      </w:tr>
      <w:tr w:rsidR="00C155DA" w:rsidRPr="009F71CF" w:rsidTr="003A4356">
        <w:trPr>
          <w:trHeight w:val="788"/>
        </w:trPr>
        <w:tc>
          <w:tcPr>
            <w:tcW w:w="2893" w:type="pct"/>
            <w:shd w:val="clear" w:color="auto" w:fill="auto"/>
          </w:tcPr>
          <w:p w:rsidR="00C155DA" w:rsidRPr="009F71CF" w:rsidRDefault="00A97F5F" w:rsidP="003A4356">
            <w:pPr>
              <w:keepNext/>
              <w:rPr>
                <w:rFonts w:ascii="Arial Narrow" w:hAnsi="Arial Narrow"/>
                <w:sz w:val="20"/>
              </w:rPr>
            </w:pPr>
            <w:r w:rsidRPr="009F71CF">
              <w:rPr>
                <w:rFonts w:ascii="Arial Narrow" w:hAnsi="Arial Narrow"/>
                <w:sz w:val="20"/>
              </w:rPr>
              <w:t>T</w:t>
            </w:r>
            <w:r w:rsidR="00C155DA" w:rsidRPr="009F71CF">
              <w:rPr>
                <w:rFonts w:ascii="Arial Narrow" w:hAnsi="Arial Narrow"/>
                <w:sz w:val="20"/>
              </w:rPr>
              <w:t>he PBAC did not accept the submission’s clinical claim of non-inferiority versus ERT and therefore the basis for determining the equi-effective doses and the cost-minimisation approach was also not accepted (para 5.7)</w:t>
            </w:r>
          </w:p>
        </w:tc>
        <w:tc>
          <w:tcPr>
            <w:tcW w:w="2107" w:type="pct"/>
            <w:shd w:val="clear" w:color="auto" w:fill="auto"/>
          </w:tcPr>
          <w:p w:rsidR="007871FF" w:rsidRPr="009F71CF" w:rsidRDefault="00B96D01" w:rsidP="007871FF">
            <w:pPr>
              <w:rPr>
                <w:rFonts w:ascii="Arial Narrow" w:hAnsi="Arial Narrow"/>
                <w:sz w:val="20"/>
                <w:szCs w:val="20"/>
              </w:rPr>
            </w:pPr>
            <w:r w:rsidRPr="009F71CF">
              <w:rPr>
                <w:rFonts w:ascii="Arial Narrow" w:hAnsi="Arial Narrow"/>
                <w:sz w:val="20"/>
              </w:rPr>
              <w:t>An</w:t>
            </w:r>
            <w:r w:rsidR="00C155DA" w:rsidRPr="009F71CF">
              <w:rPr>
                <w:rFonts w:ascii="Arial Narrow" w:hAnsi="Arial Narrow"/>
                <w:sz w:val="20"/>
              </w:rPr>
              <w:t xml:space="preserve"> economic </w:t>
            </w:r>
            <w:r w:rsidRPr="009F71CF">
              <w:rPr>
                <w:rFonts w:ascii="Arial Narrow" w:hAnsi="Arial Narrow"/>
                <w:sz w:val="20"/>
              </w:rPr>
              <w:t xml:space="preserve">analysis was not provided in the resubmission. </w:t>
            </w:r>
            <w:r w:rsidR="007871FF" w:rsidRPr="009F71CF">
              <w:rPr>
                <w:rFonts w:ascii="Arial Narrow" w:hAnsi="Arial Narrow"/>
                <w:sz w:val="20"/>
              </w:rPr>
              <w:t>T</w:t>
            </w:r>
            <w:r w:rsidRPr="009F71CF">
              <w:rPr>
                <w:rFonts w:ascii="Arial Narrow" w:hAnsi="Arial Narrow"/>
                <w:sz w:val="20"/>
              </w:rPr>
              <w:t>he same proposed ex-manufacturer price was provided in the PB11b form</w:t>
            </w:r>
            <w:r w:rsidR="007871FF" w:rsidRPr="009F71CF">
              <w:rPr>
                <w:rFonts w:ascii="Arial Narrow" w:hAnsi="Arial Narrow"/>
                <w:sz w:val="20"/>
              </w:rPr>
              <w:t xml:space="preserve"> for this and the July 2017 resubmission. It was assumed that </w:t>
            </w:r>
            <w:r w:rsidRPr="009F71CF">
              <w:rPr>
                <w:rFonts w:ascii="Arial Narrow" w:hAnsi="Arial Narrow"/>
                <w:sz w:val="20"/>
              </w:rPr>
              <w:t xml:space="preserve">the </w:t>
            </w:r>
            <w:r w:rsidR="00C155DA" w:rsidRPr="009F71CF">
              <w:rPr>
                <w:rFonts w:ascii="Arial Narrow" w:hAnsi="Arial Narrow"/>
                <w:sz w:val="20"/>
              </w:rPr>
              <w:t>approach</w:t>
            </w:r>
            <w:r w:rsidR="007871FF" w:rsidRPr="009F71CF">
              <w:rPr>
                <w:rFonts w:ascii="Arial Narrow" w:hAnsi="Arial Narrow"/>
                <w:sz w:val="20"/>
              </w:rPr>
              <w:t xml:space="preserve"> is unchanged from the July 2017 resubmission, with cost-minimisation against agalsidase alfa and agalsidase beta, weighted according to market share at the </w:t>
            </w:r>
            <w:proofErr w:type="spellStart"/>
            <w:r w:rsidR="007871FF" w:rsidRPr="009F71CF">
              <w:rPr>
                <w:rFonts w:ascii="Arial Narrow" w:hAnsi="Arial Narrow"/>
                <w:sz w:val="20"/>
              </w:rPr>
              <w:t>migalastat</w:t>
            </w:r>
            <w:proofErr w:type="spellEnd"/>
            <w:r w:rsidR="007871FF" w:rsidRPr="009F71CF">
              <w:rPr>
                <w:rFonts w:ascii="Arial Narrow" w:hAnsi="Arial Narrow"/>
                <w:sz w:val="20"/>
              </w:rPr>
              <w:t xml:space="preserve"> cost of $</w:t>
            </w:r>
            <w:r w:rsidR="002B57F5">
              <w:rPr>
                <w:rFonts w:ascii="Arial Narrow" w:hAnsi="Arial Narrow"/>
                <w:noProof/>
                <w:color w:val="000000"/>
                <w:sz w:val="20"/>
                <w:highlight w:val="black"/>
              </w:rPr>
              <w:t>''''''''''''''''''''</w:t>
            </w:r>
            <w:r w:rsidR="007871FF" w:rsidRPr="009F71CF">
              <w:rPr>
                <w:rFonts w:ascii="Arial Narrow" w:hAnsi="Arial Narrow"/>
                <w:sz w:val="20"/>
              </w:rPr>
              <w:t xml:space="preserve"> </w:t>
            </w:r>
            <w:r w:rsidR="007871FF" w:rsidRPr="009F71CF">
              <w:rPr>
                <w:rFonts w:ascii="Arial Narrow" w:hAnsi="Arial Narrow"/>
                <w:sz w:val="20"/>
                <w:szCs w:val="20"/>
              </w:rPr>
              <w:t xml:space="preserve">per patient per year. </w:t>
            </w:r>
          </w:p>
          <w:p w:rsidR="007871FF" w:rsidRPr="009F71CF" w:rsidRDefault="007871FF" w:rsidP="007871FF">
            <w:pPr>
              <w:rPr>
                <w:rFonts w:ascii="Arial Narrow" w:hAnsi="Arial Narrow"/>
                <w:sz w:val="20"/>
              </w:rPr>
            </w:pPr>
          </w:p>
          <w:p w:rsidR="00C155DA" w:rsidRPr="009F71CF" w:rsidRDefault="007871FF" w:rsidP="007871FF">
            <w:pPr>
              <w:rPr>
                <w:rFonts w:ascii="Arial Narrow" w:hAnsi="Arial Narrow"/>
                <w:sz w:val="20"/>
              </w:rPr>
            </w:pPr>
            <w:r w:rsidRPr="009F71CF">
              <w:rPr>
                <w:rFonts w:ascii="Arial Narrow" w:hAnsi="Arial Narrow"/>
                <w:sz w:val="20"/>
              </w:rPr>
              <w:t xml:space="preserve">This </w:t>
            </w:r>
            <w:r w:rsidR="00C155DA" w:rsidRPr="009F71CF">
              <w:rPr>
                <w:rFonts w:ascii="Arial Narrow" w:hAnsi="Arial Narrow"/>
                <w:sz w:val="20"/>
              </w:rPr>
              <w:t>resubmission</w:t>
            </w:r>
            <w:r w:rsidRPr="009F71CF">
              <w:rPr>
                <w:rFonts w:ascii="Arial Narrow" w:hAnsi="Arial Narrow"/>
                <w:sz w:val="20"/>
              </w:rPr>
              <w:t xml:space="preserve"> state</w:t>
            </w:r>
            <w:r w:rsidR="009B40CA" w:rsidRPr="009F71CF">
              <w:rPr>
                <w:rFonts w:ascii="Arial Narrow" w:hAnsi="Arial Narrow"/>
                <w:sz w:val="20"/>
              </w:rPr>
              <w:t>d</w:t>
            </w:r>
            <w:r w:rsidRPr="009F71CF">
              <w:rPr>
                <w:rFonts w:ascii="Arial Narrow" w:hAnsi="Arial Narrow"/>
                <w:sz w:val="20"/>
              </w:rPr>
              <w:t xml:space="preserve"> that</w:t>
            </w:r>
            <w:r w:rsidR="009B40CA" w:rsidRPr="009F71CF">
              <w:rPr>
                <w:rFonts w:ascii="Arial Narrow" w:hAnsi="Arial Narrow"/>
                <w:sz w:val="20"/>
              </w:rPr>
              <w:t xml:space="preserve"> the</w:t>
            </w:r>
            <w:r w:rsidR="00C155DA" w:rsidRPr="009F71CF">
              <w:rPr>
                <w:rFonts w:ascii="Arial Narrow" w:hAnsi="Arial Narrow"/>
                <w:sz w:val="20"/>
              </w:rPr>
              <w:t xml:space="preserve"> </w:t>
            </w:r>
            <w:r w:rsidRPr="009F71CF">
              <w:rPr>
                <w:rFonts w:ascii="Arial Narrow" w:hAnsi="Arial Narrow"/>
                <w:sz w:val="20"/>
              </w:rPr>
              <w:t>clinical claim of non-inferiority versus ERT</w:t>
            </w:r>
            <w:r w:rsidR="00C155DA" w:rsidRPr="009F71CF">
              <w:rPr>
                <w:rFonts w:ascii="Arial Narrow" w:hAnsi="Arial Narrow"/>
                <w:sz w:val="20"/>
              </w:rPr>
              <w:t xml:space="preserve"> </w:t>
            </w:r>
            <w:r w:rsidRPr="009F71CF">
              <w:rPr>
                <w:rFonts w:ascii="Arial Narrow" w:hAnsi="Arial Narrow"/>
                <w:sz w:val="20"/>
              </w:rPr>
              <w:t xml:space="preserve">is </w:t>
            </w:r>
            <w:r w:rsidR="00C155DA" w:rsidRPr="009F71CF">
              <w:rPr>
                <w:rFonts w:ascii="Arial Narrow" w:hAnsi="Arial Narrow"/>
                <w:sz w:val="20"/>
              </w:rPr>
              <w:t>better supported</w:t>
            </w:r>
            <w:r w:rsidRPr="009F71CF">
              <w:rPr>
                <w:rFonts w:ascii="Arial Narrow" w:hAnsi="Arial Narrow"/>
                <w:sz w:val="20"/>
              </w:rPr>
              <w:t xml:space="preserve">. </w:t>
            </w:r>
          </w:p>
        </w:tc>
      </w:tr>
      <w:tr w:rsidR="00C155DA" w:rsidRPr="009F71CF" w:rsidTr="003A4356">
        <w:trPr>
          <w:trHeight w:val="930"/>
        </w:trPr>
        <w:tc>
          <w:tcPr>
            <w:tcW w:w="2893" w:type="pct"/>
            <w:shd w:val="clear" w:color="auto" w:fill="auto"/>
          </w:tcPr>
          <w:p w:rsidR="00C155DA" w:rsidRPr="009F71CF" w:rsidRDefault="00C155DA" w:rsidP="003A4356">
            <w:pPr>
              <w:keepNext/>
              <w:rPr>
                <w:rFonts w:ascii="Arial Narrow" w:hAnsi="Arial Narrow"/>
                <w:sz w:val="20"/>
              </w:rPr>
            </w:pPr>
            <w:r w:rsidRPr="009F71CF">
              <w:rPr>
                <w:rFonts w:ascii="Arial Narrow" w:hAnsi="Arial Narrow"/>
                <w:sz w:val="20"/>
              </w:rPr>
              <w:t>The PBAC noted that the size of potential savings to Government depends on the methods by which the patient numbers and market share of ERTs are calculated. In addition, the PBAC remained concerned that risks which may impact on the financial cost include:</w:t>
            </w:r>
          </w:p>
          <w:p w:rsidR="00C155DA" w:rsidRPr="009F71CF" w:rsidRDefault="00C155DA" w:rsidP="003A4356">
            <w:pPr>
              <w:keepNext/>
              <w:ind w:left="284" w:hanging="142"/>
              <w:rPr>
                <w:rFonts w:ascii="Arial Narrow" w:hAnsi="Arial Narrow"/>
                <w:sz w:val="20"/>
              </w:rPr>
            </w:pPr>
            <w:r w:rsidRPr="009F71CF">
              <w:rPr>
                <w:rFonts w:ascii="Arial Narrow" w:hAnsi="Arial Narrow"/>
                <w:sz w:val="20"/>
              </w:rPr>
              <w:t>•</w:t>
            </w:r>
            <w:r w:rsidRPr="009F71CF">
              <w:rPr>
                <w:rFonts w:ascii="Arial Narrow" w:hAnsi="Arial Narrow"/>
                <w:sz w:val="20"/>
              </w:rPr>
              <w:tab/>
              <w:t>the potential for unintended use in patients with non-amenable mutations, related to the Committee’s earlier concerns about the performance of testing; and</w:t>
            </w:r>
          </w:p>
          <w:p w:rsidR="00C155DA" w:rsidRPr="009F71CF" w:rsidRDefault="00C155DA" w:rsidP="003A4356">
            <w:pPr>
              <w:keepNext/>
              <w:ind w:left="284" w:hanging="142"/>
              <w:rPr>
                <w:rFonts w:ascii="Arial Narrow" w:hAnsi="Arial Narrow"/>
                <w:sz w:val="20"/>
              </w:rPr>
            </w:pPr>
            <w:r w:rsidRPr="009F71CF">
              <w:rPr>
                <w:rFonts w:ascii="Arial Narrow" w:hAnsi="Arial Narrow"/>
                <w:sz w:val="20"/>
              </w:rPr>
              <w:t>•</w:t>
            </w:r>
            <w:r w:rsidRPr="009F71CF">
              <w:rPr>
                <w:rFonts w:ascii="Arial Narrow" w:hAnsi="Arial Narrow"/>
                <w:sz w:val="20"/>
              </w:rPr>
              <w:tab/>
              <w:t>migalastat being used in combination with, rather than instead of, ERT, given their different mechanisms of action, as discussed in the March 2017 PBAC meeting.</w:t>
            </w:r>
          </w:p>
          <w:p w:rsidR="00C155DA" w:rsidRPr="009F71CF" w:rsidRDefault="00C155DA" w:rsidP="003A4356">
            <w:pPr>
              <w:keepNext/>
              <w:rPr>
                <w:rFonts w:ascii="Arial Narrow" w:hAnsi="Arial Narrow"/>
                <w:sz w:val="20"/>
              </w:rPr>
            </w:pPr>
            <w:r w:rsidRPr="009F71CF">
              <w:rPr>
                <w:rFonts w:ascii="Arial Narrow" w:hAnsi="Arial Narrow"/>
                <w:sz w:val="20"/>
              </w:rPr>
              <w:t>Overall, at the price proposed in the submission, the PBAC considered that the claims of cost saving, or even cost-neutrality, may not be realised. (para 5.8)</w:t>
            </w:r>
          </w:p>
        </w:tc>
        <w:tc>
          <w:tcPr>
            <w:tcW w:w="2107" w:type="pct"/>
            <w:shd w:val="clear" w:color="auto" w:fill="auto"/>
          </w:tcPr>
          <w:p w:rsidR="00C155DA" w:rsidRPr="009F71CF" w:rsidRDefault="00C155DA" w:rsidP="003A4356">
            <w:pPr>
              <w:keepNext/>
              <w:rPr>
                <w:rFonts w:ascii="Arial Narrow" w:hAnsi="Arial Narrow"/>
                <w:sz w:val="20"/>
              </w:rPr>
            </w:pPr>
            <w:r w:rsidRPr="009F71CF">
              <w:rPr>
                <w:rFonts w:ascii="Arial Narrow" w:hAnsi="Arial Narrow"/>
                <w:sz w:val="20"/>
              </w:rPr>
              <w:t>The resubmission stated (p7):</w:t>
            </w:r>
          </w:p>
          <w:p w:rsidR="00C155DA" w:rsidRPr="009F71CF" w:rsidRDefault="00C155DA" w:rsidP="003A4356">
            <w:pPr>
              <w:keepNext/>
              <w:rPr>
                <w:rFonts w:ascii="Arial Narrow" w:hAnsi="Arial Narrow"/>
                <w:sz w:val="20"/>
              </w:rPr>
            </w:pPr>
            <w:r w:rsidRPr="009F71CF">
              <w:rPr>
                <w:rFonts w:ascii="Arial Narrow" w:hAnsi="Arial Narrow"/>
                <w:sz w:val="20"/>
              </w:rPr>
              <w:t>“</w:t>
            </w:r>
            <w:r w:rsidRPr="009F71CF">
              <w:rPr>
                <w:rFonts w:ascii="Arial Narrow" w:hAnsi="Arial Narrow"/>
                <w:i/>
                <w:sz w:val="20"/>
              </w:rPr>
              <w:t>Amicus would also like to reiterate that the company is committed to negotiating a price with the LSDP</w:t>
            </w:r>
            <w:r w:rsidR="00B96D01" w:rsidRPr="009F71CF">
              <w:rPr>
                <w:rFonts w:ascii="Arial Narrow" w:hAnsi="Arial Narrow"/>
                <w:i/>
                <w:sz w:val="20"/>
              </w:rPr>
              <w:t xml:space="preserve"> [Life Savings Drug Program]</w:t>
            </w:r>
            <w:r w:rsidRPr="009F71CF">
              <w:rPr>
                <w:rFonts w:ascii="Arial Narrow" w:hAnsi="Arial Narrow"/>
                <w:i/>
                <w:sz w:val="20"/>
              </w:rPr>
              <w:t xml:space="preserve"> that provides cost-savings to the government”</w:t>
            </w:r>
          </w:p>
        </w:tc>
      </w:tr>
    </w:tbl>
    <w:p w:rsidR="00C155DA" w:rsidRPr="009F71CF" w:rsidRDefault="00C155DA" w:rsidP="00C155DA">
      <w:pPr>
        <w:pStyle w:val="TableFooter"/>
        <w:widowControl/>
      </w:pPr>
      <w:r w:rsidRPr="009F71CF">
        <w:t xml:space="preserve">Source: Paragraph references refer to the July 2017 </w:t>
      </w:r>
      <w:proofErr w:type="spellStart"/>
      <w:r w:rsidRPr="009F71CF">
        <w:t>migalastat</w:t>
      </w:r>
      <w:proofErr w:type="spellEnd"/>
      <w:r w:rsidRPr="009F71CF">
        <w:t xml:space="preserve"> </w:t>
      </w:r>
      <w:r w:rsidR="00426EC8">
        <w:t>Public Summary Document</w:t>
      </w:r>
      <w:r w:rsidRPr="009F71CF">
        <w:t>.</w:t>
      </w:r>
    </w:p>
    <w:p w:rsidR="00C155DA" w:rsidRPr="009F71CF" w:rsidRDefault="00C155DA" w:rsidP="00C155DA">
      <w:pPr>
        <w:pStyle w:val="ListParagraph"/>
        <w:rPr>
          <w:rFonts w:asciiTheme="minorHAnsi" w:eastAsiaTheme="minorHAnsi" w:hAnsiTheme="minorHAnsi" w:cstheme="minorBidi"/>
          <w:snapToGrid/>
          <w:sz w:val="24"/>
          <w:szCs w:val="22"/>
        </w:rPr>
      </w:pPr>
    </w:p>
    <w:p w:rsidR="008F231A" w:rsidRPr="009F71CF" w:rsidRDefault="008F231A" w:rsidP="008F231A">
      <w:pPr>
        <w:pStyle w:val="ListParagraph"/>
        <w:numPr>
          <w:ilvl w:val="1"/>
          <w:numId w:val="14"/>
        </w:numPr>
        <w:spacing w:before="120" w:after="16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 xml:space="preserve">The current minor resubmission was largely unchanged from the minor submission considered at the July 2017 PBAC meeting, and presented: </w:t>
      </w:r>
    </w:p>
    <w:p w:rsidR="008F231A" w:rsidRPr="009F71CF" w:rsidRDefault="008F231A" w:rsidP="008F231A">
      <w:pPr>
        <w:pStyle w:val="ListParagraph"/>
        <w:numPr>
          <w:ilvl w:val="0"/>
          <w:numId w:val="17"/>
        </w:numPr>
        <w:spacing w:before="120" w:after="16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Updated TGA status</w:t>
      </w:r>
    </w:p>
    <w:p w:rsidR="008F231A" w:rsidRPr="009F71CF" w:rsidRDefault="008F231A" w:rsidP="008F231A">
      <w:pPr>
        <w:pStyle w:val="ListParagraph"/>
        <w:numPr>
          <w:ilvl w:val="0"/>
          <w:numId w:val="17"/>
        </w:numPr>
        <w:spacing w:before="120" w:after="16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 xml:space="preserve">Additional discussion of the patient relevance of the endpoint glomerular </w:t>
      </w:r>
      <w:r w:rsidRPr="009F71CF">
        <w:rPr>
          <w:rFonts w:asciiTheme="minorHAnsi" w:eastAsiaTheme="minorHAnsi" w:hAnsiTheme="minorHAnsi" w:cstheme="minorBidi"/>
          <w:snapToGrid/>
          <w:sz w:val="24"/>
          <w:szCs w:val="22"/>
        </w:rPr>
        <w:lastRenderedPageBreak/>
        <w:t>filtration rate (GFR), and the GFR results from the ATTRACT study</w:t>
      </w:r>
    </w:p>
    <w:p w:rsidR="008F231A" w:rsidRPr="009F71CF" w:rsidRDefault="008F231A" w:rsidP="008F231A">
      <w:pPr>
        <w:pStyle w:val="ListParagraph"/>
        <w:rPr>
          <w:rFonts w:asciiTheme="minorHAnsi" w:eastAsiaTheme="minorHAnsi" w:hAnsiTheme="minorHAnsi" w:cstheme="minorBidi"/>
          <w:snapToGrid/>
          <w:sz w:val="24"/>
          <w:szCs w:val="22"/>
        </w:rPr>
      </w:pPr>
    </w:p>
    <w:p w:rsidR="00BA5CC3" w:rsidRPr="009F71CF" w:rsidRDefault="00BA5CC3" w:rsidP="00B96709">
      <w:pPr>
        <w:ind w:left="709"/>
        <w:rPr>
          <w:rFonts w:asciiTheme="minorHAnsi" w:hAnsiTheme="minorHAnsi"/>
          <w:i/>
        </w:rPr>
      </w:pPr>
      <w:r w:rsidRPr="009F71CF">
        <w:rPr>
          <w:rFonts w:asciiTheme="minorHAnsi" w:hAnsiTheme="minorHAnsi"/>
          <w:i/>
        </w:rPr>
        <w:t>For more detail on PBAC’s view, see section 6 PBAC outcome.</w:t>
      </w:r>
    </w:p>
    <w:p w:rsidR="00350C44" w:rsidRPr="009F71CF" w:rsidRDefault="008D7A41" w:rsidP="000C692D">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9F71CF">
        <w:rPr>
          <w:rFonts w:asciiTheme="minorHAnsi" w:hAnsiTheme="minorHAnsi"/>
          <w:sz w:val="32"/>
          <w:szCs w:val="32"/>
        </w:rPr>
        <w:t>C</w:t>
      </w:r>
      <w:r w:rsidR="00D84934" w:rsidRPr="009F71CF">
        <w:rPr>
          <w:rFonts w:asciiTheme="minorHAnsi" w:hAnsiTheme="minorHAnsi"/>
          <w:sz w:val="32"/>
          <w:szCs w:val="32"/>
        </w:rPr>
        <w:t>onsideration of the evidence</w:t>
      </w:r>
    </w:p>
    <w:p w:rsidR="00350C44" w:rsidRPr="009F71CF" w:rsidRDefault="00350C44" w:rsidP="00350C44">
      <w:pPr>
        <w:pStyle w:val="Heading2"/>
        <w:rPr>
          <w:rFonts w:asciiTheme="minorHAnsi" w:hAnsiTheme="minorHAnsi"/>
          <w:sz w:val="28"/>
          <w:szCs w:val="28"/>
        </w:rPr>
      </w:pPr>
      <w:r w:rsidRPr="009F71CF">
        <w:rPr>
          <w:rFonts w:asciiTheme="minorHAnsi" w:hAnsiTheme="minorHAnsi"/>
          <w:sz w:val="28"/>
          <w:szCs w:val="28"/>
        </w:rPr>
        <w:t>Sponsor hearing</w:t>
      </w:r>
    </w:p>
    <w:p w:rsidR="00350C44" w:rsidRPr="009F71CF" w:rsidRDefault="00350C44" w:rsidP="00350C44">
      <w:pPr>
        <w:rPr>
          <w:rFonts w:asciiTheme="minorHAnsi" w:hAnsiTheme="minorHAnsi"/>
          <w:sz w:val="22"/>
          <w:szCs w:val="22"/>
        </w:rPr>
      </w:pPr>
    </w:p>
    <w:p w:rsidR="00350C44" w:rsidRPr="009F71CF" w:rsidRDefault="00350C44" w:rsidP="00350C44">
      <w:pPr>
        <w:widowControl w:val="0"/>
        <w:numPr>
          <w:ilvl w:val="1"/>
          <w:numId w:val="5"/>
        </w:numPr>
        <w:jc w:val="both"/>
        <w:rPr>
          <w:rFonts w:asciiTheme="minorHAnsi" w:hAnsiTheme="minorHAnsi"/>
          <w:sz w:val="22"/>
          <w:szCs w:val="22"/>
        </w:rPr>
      </w:pPr>
      <w:r w:rsidRPr="009F71CF">
        <w:rPr>
          <w:rFonts w:asciiTheme="minorHAnsi" w:hAnsiTheme="minorHAnsi"/>
          <w:sz w:val="22"/>
          <w:szCs w:val="22"/>
        </w:rPr>
        <w:t>There was no hearing for this item as it was a minor submission.</w:t>
      </w:r>
    </w:p>
    <w:p w:rsidR="00350C44" w:rsidRPr="009F71CF" w:rsidRDefault="00350C44" w:rsidP="00350C44">
      <w:pPr>
        <w:rPr>
          <w:rFonts w:asciiTheme="minorHAnsi" w:hAnsiTheme="minorHAnsi"/>
          <w:sz w:val="22"/>
          <w:szCs w:val="22"/>
        </w:rPr>
      </w:pPr>
    </w:p>
    <w:p w:rsidR="00350C44" w:rsidRPr="009F71CF" w:rsidRDefault="00350C44" w:rsidP="00350C44">
      <w:pPr>
        <w:pStyle w:val="Heading2"/>
        <w:rPr>
          <w:rFonts w:asciiTheme="minorHAnsi" w:hAnsiTheme="minorHAnsi"/>
          <w:sz w:val="28"/>
          <w:szCs w:val="28"/>
        </w:rPr>
      </w:pPr>
      <w:r w:rsidRPr="009F71CF">
        <w:rPr>
          <w:rFonts w:asciiTheme="minorHAnsi" w:hAnsiTheme="minorHAnsi"/>
          <w:sz w:val="28"/>
          <w:szCs w:val="28"/>
        </w:rPr>
        <w:t>Consumer comments</w:t>
      </w:r>
    </w:p>
    <w:p w:rsidR="00350C44" w:rsidRPr="009F71CF" w:rsidRDefault="00350C44" w:rsidP="00350C44">
      <w:pPr>
        <w:keepNext/>
        <w:rPr>
          <w:rFonts w:asciiTheme="minorHAnsi" w:hAnsiTheme="minorHAnsi"/>
          <w:sz w:val="22"/>
          <w:szCs w:val="22"/>
        </w:rPr>
      </w:pPr>
    </w:p>
    <w:p w:rsidR="002D618A" w:rsidRPr="009F71CF" w:rsidRDefault="00350C44" w:rsidP="002D618A">
      <w:pPr>
        <w:widowControl w:val="0"/>
        <w:numPr>
          <w:ilvl w:val="1"/>
          <w:numId w:val="5"/>
        </w:numPr>
        <w:jc w:val="both"/>
        <w:rPr>
          <w:rFonts w:asciiTheme="minorHAnsi" w:hAnsiTheme="minorHAnsi" w:cs="Arial"/>
          <w:bCs/>
          <w:snapToGrid w:val="0"/>
        </w:rPr>
      </w:pPr>
      <w:r w:rsidRPr="009F71CF">
        <w:rPr>
          <w:rFonts w:asciiTheme="minorHAnsi" w:hAnsiTheme="minorHAnsi" w:cs="Arial"/>
          <w:bCs/>
          <w:snapToGrid w:val="0"/>
        </w:rPr>
        <w:t>The PBAC noted and welcomed the input from individuals (</w:t>
      </w:r>
      <w:r w:rsidR="00B96709" w:rsidRPr="009F71CF">
        <w:rPr>
          <w:rFonts w:asciiTheme="minorHAnsi" w:hAnsiTheme="minorHAnsi" w:cs="Arial"/>
          <w:bCs/>
          <w:snapToGrid w:val="0"/>
        </w:rPr>
        <w:t>10</w:t>
      </w:r>
      <w:r w:rsidRPr="009F71CF">
        <w:rPr>
          <w:rFonts w:asciiTheme="minorHAnsi" w:hAnsiTheme="minorHAnsi" w:cs="Arial"/>
          <w:bCs/>
          <w:snapToGrid w:val="0"/>
        </w:rPr>
        <w:t>)</w:t>
      </w:r>
      <w:r w:rsidR="009B40CA" w:rsidRPr="009F71CF">
        <w:rPr>
          <w:rFonts w:asciiTheme="minorHAnsi" w:hAnsiTheme="minorHAnsi" w:cs="Arial"/>
          <w:bCs/>
          <w:snapToGrid w:val="0"/>
        </w:rPr>
        <w:t xml:space="preserve"> and</w:t>
      </w:r>
      <w:r w:rsidRPr="009F71CF">
        <w:rPr>
          <w:rFonts w:asciiTheme="minorHAnsi" w:hAnsiTheme="minorHAnsi" w:cs="Arial"/>
          <w:bCs/>
          <w:snapToGrid w:val="0"/>
        </w:rPr>
        <w:t xml:space="preserve"> </w:t>
      </w:r>
      <w:r w:rsidRPr="009F71CF">
        <w:rPr>
          <w:rFonts w:asciiTheme="minorHAnsi" w:hAnsiTheme="minorHAnsi" w:cs="ArialMT"/>
        </w:rPr>
        <w:t xml:space="preserve">Fabry Australia </w:t>
      </w:r>
      <w:r w:rsidRPr="009F71CF">
        <w:rPr>
          <w:rFonts w:asciiTheme="minorHAnsi" w:hAnsiTheme="minorHAnsi" w:cs="Arial"/>
          <w:bCs/>
          <w:snapToGrid w:val="0"/>
        </w:rPr>
        <w:t>via the Consumer Comments facility on the PBS website.  The comments</w:t>
      </w:r>
      <w:r w:rsidR="00B96709" w:rsidRPr="009F71CF">
        <w:rPr>
          <w:rFonts w:asciiTheme="minorHAnsi" w:hAnsiTheme="minorHAnsi" w:cs="Arial"/>
          <w:bCs/>
          <w:snapToGrid w:val="0"/>
        </w:rPr>
        <w:t xml:space="preserve">, including the </w:t>
      </w:r>
      <w:r w:rsidR="002D618A" w:rsidRPr="009F71CF">
        <w:rPr>
          <w:rFonts w:asciiTheme="minorHAnsi" w:hAnsiTheme="minorHAnsi" w:cs="Arial"/>
          <w:bCs/>
          <w:snapToGrid w:val="0"/>
        </w:rPr>
        <w:t>perspective</w:t>
      </w:r>
      <w:r w:rsidR="00B96709" w:rsidRPr="009F71CF">
        <w:rPr>
          <w:rFonts w:asciiTheme="minorHAnsi" w:hAnsiTheme="minorHAnsi" w:cs="Arial"/>
          <w:bCs/>
          <w:snapToGrid w:val="0"/>
        </w:rPr>
        <w:t xml:space="preserve"> of patients with or without the amenable</w:t>
      </w:r>
      <w:r w:rsidR="002D618A" w:rsidRPr="009F71CF">
        <w:rPr>
          <w:rFonts w:asciiTheme="minorHAnsi" w:hAnsiTheme="minorHAnsi" w:cs="Arial"/>
          <w:bCs/>
          <w:snapToGrid w:val="0"/>
        </w:rPr>
        <w:t xml:space="preserve"> mutations, described</w:t>
      </w:r>
      <w:r w:rsidRPr="009F71CF">
        <w:rPr>
          <w:rFonts w:asciiTheme="minorHAnsi" w:hAnsiTheme="minorHAnsi" w:cs="Arial"/>
          <w:bCs/>
          <w:snapToGrid w:val="0"/>
        </w:rPr>
        <w:t xml:space="preserve"> the benefits of treatment </w:t>
      </w:r>
      <w:r w:rsidR="002D618A" w:rsidRPr="009F71CF">
        <w:rPr>
          <w:rFonts w:asciiTheme="minorHAnsi" w:hAnsiTheme="minorHAnsi" w:cs="Arial"/>
          <w:bCs/>
          <w:snapToGrid w:val="0"/>
        </w:rPr>
        <w:t>such as being a</w:t>
      </w:r>
      <w:r w:rsidRPr="009F71CF">
        <w:rPr>
          <w:rFonts w:asciiTheme="minorHAnsi" w:hAnsiTheme="minorHAnsi" w:cs="Arial"/>
          <w:bCs/>
          <w:snapToGrid w:val="0"/>
        </w:rPr>
        <w:t xml:space="preserve"> tablet compared to the current </w:t>
      </w:r>
      <w:r w:rsidR="002D618A" w:rsidRPr="009F71CF">
        <w:rPr>
          <w:rFonts w:asciiTheme="minorHAnsi" w:hAnsiTheme="minorHAnsi" w:cs="Arial"/>
          <w:bCs/>
          <w:snapToGrid w:val="0"/>
        </w:rPr>
        <w:t>treatments that result in</w:t>
      </w:r>
      <w:r w:rsidRPr="009F71CF">
        <w:rPr>
          <w:rFonts w:asciiTheme="minorHAnsi" w:hAnsiTheme="minorHAnsi" w:cs="Arial"/>
          <w:bCs/>
          <w:snapToGrid w:val="0"/>
        </w:rPr>
        <w:t xml:space="preserve"> avoiding the physical and time burden of fortnightly intravenous infusion, which would improve people's quality of life.</w:t>
      </w:r>
    </w:p>
    <w:p w:rsidR="002D618A" w:rsidRPr="009F71CF" w:rsidRDefault="002D618A" w:rsidP="002D618A">
      <w:pPr>
        <w:widowControl w:val="0"/>
        <w:ind w:left="720"/>
        <w:jc w:val="both"/>
        <w:rPr>
          <w:rFonts w:asciiTheme="minorHAnsi" w:hAnsiTheme="minorHAnsi" w:cs="Arial"/>
          <w:bCs/>
          <w:snapToGrid w:val="0"/>
        </w:rPr>
      </w:pPr>
    </w:p>
    <w:p w:rsidR="002D618A" w:rsidRPr="009F71CF" w:rsidRDefault="002D618A" w:rsidP="004C1122">
      <w:pPr>
        <w:widowControl w:val="0"/>
        <w:numPr>
          <w:ilvl w:val="1"/>
          <w:numId w:val="5"/>
        </w:numPr>
        <w:jc w:val="both"/>
        <w:rPr>
          <w:rFonts w:asciiTheme="minorHAnsi" w:hAnsiTheme="minorHAnsi" w:cs="Arial"/>
          <w:bCs/>
          <w:snapToGrid w:val="0"/>
        </w:rPr>
      </w:pPr>
      <w:r w:rsidRPr="009F71CF">
        <w:rPr>
          <w:rFonts w:asciiTheme="minorHAnsi" w:hAnsiTheme="minorHAnsi" w:cs="Arial"/>
          <w:bCs/>
          <w:snapToGrid w:val="0"/>
        </w:rPr>
        <w:t xml:space="preserve">Clinicians with experience with </w:t>
      </w:r>
      <w:r w:rsidR="005C0DA0" w:rsidRPr="009F71CF">
        <w:rPr>
          <w:rFonts w:asciiTheme="minorHAnsi" w:hAnsiTheme="minorHAnsi" w:cs="Arial"/>
          <w:bCs/>
          <w:snapToGrid w:val="0"/>
        </w:rPr>
        <w:t xml:space="preserve">treating patients with </w:t>
      </w:r>
      <w:r w:rsidR="005C0DA0" w:rsidRPr="009F71CF">
        <w:rPr>
          <w:rFonts w:asciiTheme="minorHAnsi" w:hAnsiTheme="minorHAnsi" w:cs="Arial"/>
          <w:bCs/>
          <w:snapToGrid w:val="0"/>
          <w:sz w:val="22"/>
          <w:lang w:eastAsia="en-US"/>
        </w:rPr>
        <w:t>Fabry disease</w:t>
      </w:r>
      <w:r w:rsidR="005C0DA0" w:rsidRPr="009F71CF">
        <w:rPr>
          <w:rFonts w:asciiTheme="minorHAnsi" w:hAnsiTheme="minorHAnsi" w:cs="Arial"/>
          <w:bCs/>
          <w:snapToGrid w:val="0"/>
        </w:rPr>
        <w:t xml:space="preserve"> and using </w:t>
      </w:r>
      <w:r w:rsidRPr="009F71CF">
        <w:rPr>
          <w:rFonts w:asciiTheme="minorHAnsi" w:hAnsiTheme="minorHAnsi" w:cs="Arial"/>
          <w:bCs/>
          <w:snapToGrid w:val="0"/>
        </w:rPr>
        <w:t xml:space="preserve">migalastat </w:t>
      </w:r>
      <w:r w:rsidR="00AD3989" w:rsidRPr="009F71CF">
        <w:rPr>
          <w:rFonts w:asciiTheme="minorHAnsi" w:hAnsiTheme="minorHAnsi" w:cs="Arial"/>
          <w:bCs/>
          <w:snapToGrid w:val="0"/>
        </w:rPr>
        <w:t>provide</w:t>
      </w:r>
      <w:r w:rsidR="009B40CA" w:rsidRPr="009F71CF">
        <w:rPr>
          <w:rFonts w:asciiTheme="minorHAnsi" w:hAnsiTheme="minorHAnsi" w:cs="Arial"/>
          <w:bCs/>
          <w:snapToGrid w:val="0"/>
        </w:rPr>
        <w:t>d</w:t>
      </w:r>
      <w:r w:rsidR="00AD3989" w:rsidRPr="009F71CF">
        <w:rPr>
          <w:rFonts w:asciiTheme="minorHAnsi" w:hAnsiTheme="minorHAnsi" w:cs="Arial"/>
          <w:bCs/>
          <w:snapToGrid w:val="0"/>
        </w:rPr>
        <w:t xml:space="preserve"> further information on the clinical place and use of migalastat. </w:t>
      </w:r>
      <w:r w:rsidRPr="009F71CF">
        <w:rPr>
          <w:rFonts w:asciiTheme="minorHAnsi" w:hAnsiTheme="minorHAnsi" w:cs="Arial"/>
          <w:bCs/>
          <w:snapToGrid w:val="0"/>
        </w:rPr>
        <w:t xml:space="preserve"> </w:t>
      </w:r>
      <w:r w:rsidR="00AD3989" w:rsidRPr="009F71CF">
        <w:rPr>
          <w:rFonts w:asciiTheme="minorHAnsi" w:hAnsiTheme="minorHAnsi" w:cs="Arial"/>
          <w:bCs/>
          <w:snapToGrid w:val="0"/>
        </w:rPr>
        <w:t xml:space="preserve">While the decision to treat a patient is an individual decision with their doctor, </w:t>
      </w:r>
      <w:r w:rsidRPr="009F71CF">
        <w:rPr>
          <w:rFonts w:asciiTheme="minorHAnsi" w:hAnsiTheme="minorHAnsi" w:cs="Arial"/>
          <w:bCs/>
          <w:snapToGrid w:val="0"/>
        </w:rPr>
        <w:t xml:space="preserve">older </w:t>
      </w:r>
      <w:r w:rsidR="00D12ABF" w:rsidRPr="009F71CF">
        <w:rPr>
          <w:rFonts w:asciiTheme="minorHAnsi" w:hAnsiTheme="minorHAnsi" w:cs="Arial"/>
          <w:bCs/>
          <w:snapToGrid w:val="0"/>
        </w:rPr>
        <w:t xml:space="preserve">patients </w:t>
      </w:r>
      <w:r w:rsidR="00AD3989" w:rsidRPr="009F71CF">
        <w:rPr>
          <w:rFonts w:asciiTheme="minorHAnsi" w:hAnsiTheme="minorHAnsi" w:cs="Arial"/>
          <w:bCs/>
          <w:snapToGrid w:val="0"/>
        </w:rPr>
        <w:t>or patient</w:t>
      </w:r>
      <w:r w:rsidR="00D12ABF" w:rsidRPr="009F71CF">
        <w:rPr>
          <w:rFonts w:asciiTheme="minorHAnsi" w:hAnsiTheme="minorHAnsi" w:cs="Arial"/>
          <w:bCs/>
          <w:snapToGrid w:val="0"/>
        </w:rPr>
        <w:t>s</w:t>
      </w:r>
      <w:r w:rsidR="00AD3989" w:rsidRPr="009F71CF">
        <w:rPr>
          <w:rFonts w:asciiTheme="minorHAnsi" w:hAnsiTheme="minorHAnsi" w:cs="Arial"/>
          <w:bCs/>
          <w:snapToGrid w:val="0"/>
        </w:rPr>
        <w:t xml:space="preserve"> with </w:t>
      </w:r>
      <w:r w:rsidRPr="009F71CF">
        <w:rPr>
          <w:rFonts w:asciiTheme="minorHAnsi" w:hAnsiTheme="minorHAnsi" w:cs="Arial"/>
          <w:bCs/>
          <w:snapToGrid w:val="0"/>
        </w:rPr>
        <w:t xml:space="preserve">more severe disease </w:t>
      </w:r>
      <w:r w:rsidR="00AD3989" w:rsidRPr="009F71CF">
        <w:rPr>
          <w:rFonts w:asciiTheme="minorHAnsi" w:hAnsiTheme="minorHAnsi" w:cs="Arial"/>
          <w:bCs/>
          <w:snapToGrid w:val="0"/>
        </w:rPr>
        <w:t>would more likely remain on ERT</w:t>
      </w:r>
      <w:r w:rsidRPr="009F71CF">
        <w:rPr>
          <w:rFonts w:asciiTheme="minorHAnsi" w:hAnsiTheme="minorHAnsi" w:cs="Arial"/>
          <w:bCs/>
          <w:snapToGrid w:val="0"/>
        </w:rPr>
        <w:t>.</w:t>
      </w:r>
      <w:r w:rsidR="00AD3989" w:rsidRPr="009F71CF">
        <w:rPr>
          <w:rFonts w:asciiTheme="minorHAnsi" w:hAnsiTheme="minorHAnsi" w:cs="Arial"/>
          <w:bCs/>
          <w:snapToGrid w:val="0"/>
        </w:rPr>
        <w:t xml:space="preserve"> </w:t>
      </w:r>
      <w:r w:rsidR="00133D27" w:rsidRPr="009F71CF">
        <w:rPr>
          <w:rFonts w:asciiTheme="minorHAnsi" w:hAnsiTheme="minorHAnsi" w:cs="Arial"/>
          <w:bCs/>
          <w:snapToGrid w:val="0"/>
        </w:rPr>
        <w:t xml:space="preserve">In regards to determining the amenability of a patient for the oral treatment, the clinicians </w:t>
      </w:r>
      <w:r w:rsidR="0063276E" w:rsidRPr="009F71CF">
        <w:rPr>
          <w:rFonts w:asciiTheme="minorHAnsi" w:hAnsiTheme="minorHAnsi" w:cs="Arial"/>
          <w:bCs/>
          <w:snapToGrid w:val="0"/>
        </w:rPr>
        <w:t xml:space="preserve">considered that there was </w:t>
      </w:r>
      <w:r w:rsidR="00133D27" w:rsidRPr="009F71CF">
        <w:rPr>
          <w:rFonts w:asciiTheme="minorHAnsi" w:hAnsiTheme="minorHAnsi" w:cs="Arial"/>
          <w:bCs/>
          <w:snapToGrid w:val="0"/>
        </w:rPr>
        <w:t>not a high risk of patients being inappropriately started on migal</w:t>
      </w:r>
      <w:r w:rsidR="0063276E" w:rsidRPr="009F71CF">
        <w:rPr>
          <w:rFonts w:asciiTheme="minorHAnsi" w:hAnsiTheme="minorHAnsi" w:cs="Arial"/>
          <w:bCs/>
          <w:snapToGrid w:val="0"/>
        </w:rPr>
        <w:t>a</w:t>
      </w:r>
      <w:r w:rsidR="00133D27" w:rsidRPr="009F71CF">
        <w:rPr>
          <w:rFonts w:asciiTheme="minorHAnsi" w:hAnsiTheme="minorHAnsi" w:cs="Arial"/>
          <w:bCs/>
          <w:snapToGrid w:val="0"/>
        </w:rPr>
        <w:t>stat</w:t>
      </w:r>
      <w:r w:rsidR="0063276E" w:rsidRPr="009F71CF">
        <w:rPr>
          <w:rFonts w:asciiTheme="minorHAnsi" w:hAnsiTheme="minorHAnsi" w:cs="Arial"/>
          <w:bCs/>
          <w:snapToGrid w:val="0"/>
        </w:rPr>
        <w:t xml:space="preserve">. If a patient was unresponsive after treatment with migalastat, they would </w:t>
      </w:r>
      <w:r w:rsidR="00E235DB" w:rsidRPr="009F71CF">
        <w:rPr>
          <w:rFonts w:asciiTheme="minorHAnsi" w:hAnsiTheme="minorHAnsi" w:cs="Arial"/>
          <w:bCs/>
          <w:snapToGrid w:val="0"/>
        </w:rPr>
        <w:t>switch to</w:t>
      </w:r>
      <w:r w:rsidR="0063276E" w:rsidRPr="009F71CF">
        <w:rPr>
          <w:rFonts w:asciiTheme="minorHAnsi" w:hAnsiTheme="minorHAnsi" w:cs="Arial"/>
          <w:bCs/>
          <w:snapToGrid w:val="0"/>
        </w:rPr>
        <w:t xml:space="preserve"> ERT soon after</w:t>
      </w:r>
      <w:r w:rsidR="004C1122" w:rsidRPr="009F71CF">
        <w:rPr>
          <w:rFonts w:asciiTheme="minorHAnsi" w:hAnsiTheme="minorHAnsi" w:cs="Arial"/>
          <w:bCs/>
          <w:snapToGrid w:val="0"/>
        </w:rPr>
        <w:t>. Chaperone therapy, such as migalastat with ERT, has been postulated but there was little data to support this treatment regimen.  The clinicians</w:t>
      </w:r>
      <w:r w:rsidR="00525162" w:rsidRPr="009F71CF">
        <w:rPr>
          <w:rFonts w:asciiTheme="minorHAnsi" w:hAnsiTheme="minorHAnsi" w:cs="Arial"/>
          <w:bCs/>
          <w:snapToGrid w:val="0"/>
        </w:rPr>
        <w:t xml:space="preserve"> considered that if clinical criteria for migalastat were similar as </w:t>
      </w:r>
      <w:r w:rsidR="004C1122" w:rsidRPr="009F71CF">
        <w:rPr>
          <w:rFonts w:asciiTheme="minorHAnsi" w:hAnsiTheme="minorHAnsi" w:cs="Arial"/>
          <w:bCs/>
          <w:snapToGrid w:val="0"/>
        </w:rPr>
        <w:t xml:space="preserve">for </w:t>
      </w:r>
      <w:r w:rsidR="00525162" w:rsidRPr="009F71CF">
        <w:rPr>
          <w:rFonts w:asciiTheme="minorHAnsi" w:hAnsiTheme="minorHAnsi" w:cs="Arial"/>
          <w:bCs/>
          <w:snapToGrid w:val="0"/>
        </w:rPr>
        <w:t xml:space="preserve">the currently subsidised treatments, </w:t>
      </w:r>
      <w:r w:rsidR="00AD3989" w:rsidRPr="009F71CF">
        <w:rPr>
          <w:rFonts w:asciiTheme="minorHAnsi" w:hAnsiTheme="minorHAnsi" w:cs="Arial"/>
          <w:bCs/>
          <w:snapToGrid w:val="0"/>
        </w:rPr>
        <w:t>there is not likely to be an increase in the number of patients.</w:t>
      </w:r>
      <w:r w:rsidR="0063276E" w:rsidRPr="009F71CF">
        <w:rPr>
          <w:rFonts w:asciiTheme="minorHAnsi" w:hAnsiTheme="minorHAnsi" w:cs="Arial"/>
          <w:bCs/>
          <w:snapToGrid w:val="0"/>
        </w:rPr>
        <w:t xml:space="preserve"> Compared to ERT, the clinicians discussed the reduced treatment burden for patients and reduced resource use in treatment centres. </w:t>
      </w:r>
    </w:p>
    <w:p w:rsidR="002D618A" w:rsidRPr="009F71CF" w:rsidRDefault="002D618A" w:rsidP="002D618A">
      <w:pPr>
        <w:widowControl w:val="0"/>
        <w:ind w:left="720"/>
        <w:jc w:val="both"/>
        <w:rPr>
          <w:rFonts w:asciiTheme="minorHAnsi" w:hAnsiTheme="minorHAnsi" w:cs="Arial"/>
          <w:bCs/>
          <w:snapToGrid w:val="0"/>
          <w:sz w:val="22"/>
          <w:szCs w:val="22"/>
        </w:rPr>
      </w:pPr>
    </w:p>
    <w:p w:rsidR="000C692D" w:rsidRDefault="000C692D" w:rsidP="000C692D">
      <w:pPr>
        <w:pStyle w:val="Heading2"/>
        <w:rPr>
          <w:rFonts w:asciiTheme="minorHAnsi" w:hAnsiTheme="minorHAnsi"/>
          <w:sz w:val="28"/>
          <w:szCs w:val="28"/>
        </w:rPr>
      </w:pPr>
      <w:r w:rsidRPr="009F71CF">
        <w:rPr>
          <w:rFonts w:asciiTheme="minorHAnsi" w:hAnsiTheme="minorHAnsi"/>
          <w:sz w:val="28"/>
          <w:szCs w:val="28"/>
        </w:rPr>
        <w:t>Clinical trials</w:t>
      </w:r>
    </w:p>
    <w:p w:rsidR="00A04FFE" w:rsidRPr="00A04FFE" w:rsidRDefault="00A04FFE" w:rsidP="00A04FFE"/>
    <w:p w:rsidR="00B840D1" w:rsidRPr="009F71CF" w:rsidRDefault="000C692D" w:rsidP="007871FF">
      <w:pPr>
        <w:pStyle w:val="ListParagraph"/>
        <w:numPr>
          <w:ilvl w:val="1"/>
          <w:numId w:val="14"/>
        </w:numPr>
        <w:rPr>
          <w:rFonts w:asciiTheme="minorHAnsi" w:eastAsiaTheme="minorHAnsi" w:hAnsiTheme="minorHAnsi" w:cstheme="minorBidi"/>
          <w:snapToGrid/>
          <w:sz w:val="24"/>
          <w:szCs w:val="24"/>
        </w:rPr>
      </w:pPr>
      <w:r w:rsidRPr="009F71CF">
        <w:rPr>
          <w:rFonts w:asciiTheme="minorHAnsi" w:eastAsiaTheme="minorHAnsi" w:hAnsiTheme="minorHAnsi" w:cstheme="minorBidi"/>
          <w:snapToGrid/>
          <w:sz w:val="24"/>
          <w:szCs w:val="24"/>
        </w:rPr>
        <w:t>The minor resubmission was largely based on d</w:t>
      </w:r>
      <w:r w:rsidR="00593651" w:rsidRPr="009F71CF">
        <w:rPr>
          <w:rFonts w:asciiTheme="minorHAnsi" w:eastAsiaTheme="minorHAnsi" w:hAnsiTheme="minorHAnsi" w:cstheme="minorBidi"/>
          <w:snapToGrid/>
          <w:sz w:val="24"/>
          <w:szCs w:val="24"/>
        </w:rPr>
        <w:t xml:space="preserve">ata from the ATTRACT </w:t>
      </w:r>
      <w:r w:rsidR="007871FF" w:rsidRPr="009F71CF">
        <w:rPr>
          <w:rFonts w:asciiTheme="minorHAnsi" w:eastAsiaTheme="minorHAnsi" w:hAnsiTheme="minorHAnsi" w:cstheme="minorBidi"/>
          <w:snapToGrid/>
          <w:sz w:val="24"/>
          <w:szCs w:val="24"/>
        </w:rPr>
        <w:t xml:space="preserve">head-to-head trial comparing migalastat to ERT in treatment-experienced patients (ITT, n=60; mITT amenable, n=52) </w:t>
      </w:r>
      <w:r w:rsidR="00593651" w:rsidRPr="009F71CF">
        <w:rPr>
          <w:rFonts w:asciiTheme="minorHAnsi" w:eastAsiaTheme="minorHAnsi" w:hAnsiTheme="minorHAnsi" w:cstheme="minorBidi"/>
          <w:snapToGrid/>
          <w:sz w:val="24"/>
          <w:szCs w:val="24"/>
        </w:rPr>
        <w:t xml:space="preserve">and the FACETS </w:t>
      </w:r>
      <w:r w:rsidR="007871FF" w:rsidRPr="009F71CF">
        <w:rPr>
          <w:rFonts w:asciiTheme="minorHAnsi" w:eastAsiaTheme="minorHAnsi" w:hAnsiTheme="minorHAnsi" w:cstheme="minorBidi"/>
          <w:snapToGrid/>
          <w:sz w:val="24"/>
          <w:szCs w:val="24"/>
        </w:rPr>
        <w:t>head-to-head trial comparing migalastat to placebo in treatment-naïve patients (ITT, n=67; mITT amenable, n=50). B</w:t>
      </w:r>
      <w:r w:rsidR="00593651" w:rsidRPr="009F71CF">
        <w:rPr>
          <w:rFonts w:asciiTheme="minorHAnsi" w:eastAsiaTheme="minorHAnsi" w:hAnsiTheme="minorHAnsi" w:cstheme="minorBidi"/>
          <w:snapToGrid/>
          <w:sz w:val="24"/>
          <w:szCs w:val="24"/>
        </w:rPr>
        <w:t xml:space="preserve">oth </w:t>
      </w:r>
      <w:r w:rsidR="007871FF" w:rsidRPr="009F71CF">
        <w:rPr>
          <w:rFonts w:asciiTheme="minorHAnsi" w:eastAsiaTheme="minorHAnsi" w:hAnsiTheme="minorHAnsi" w:cstheme="minorBidi"/>
          <w:snapToGrid/>
          <w:sz w:val="24"/>
          <w:szCs w:val="24"/>
        </w:rPr>
        <w:t>studies</w:t>
      </w:r>
      <w:r w:rsidRPr="009F71CF">
        <w:rPr>
          <w:rFonts w:asciiTheme="minorHAnsi" w:eastAsiaTheme="minorHAnsi" w:hAnsiTheme="minorHAnsi" w:cstheme="minorBidi"/>
          <w:snapToGrid/>
          <w:sz w:val="24"/>
          <w:szCs w:val="24"/>
        </w:rPr>
        <w:t xml:space="preserve"> had been </w:t>
      </w:r>
      <w:r w:rsidR="00593651" w:rsidRPr="009F71CF">
        <w:rPr>
          <w:rFonts w:asciiTheme="minorHAnsi" w:eastAsiaTheme="minorHAnsi" w:hAnsiTheme="minorHAnsi" w:cstheme="minorBidi"/>
          <w:snapToGrid/>
          <w:sz w:val="24"/>
          <w:szCs w:val="24"/>
        </w:rPr>
        <w:t xml:space="preserve">presented to PBAC previously. </w:t>
      </w:r>
    </w:p>
    <w:p w:rsidR="00AC02E8" w:rsidRPr="009F71CF" w:rsidRDefault="00AC02E8" w:rsidP="00AC02E8">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9F71CF">
        <w:rPr>
          <w:rFonts w:asciiTheme="minorHAnsi" w:hAnsiTheme="minorHAnsi"/>
          <w:sz w:val="24"/>
          <w:szCs w:val="24"/>
        </w:rPr>
        <w:t xml:space="preserve">The minor resubmission discussed results from study AT-1001-041, an open-label </w:t>
      </w:r>
      <w:r w:rsidR="000C692D" w:rsidRPr="009F71CF">
        <w:rPr>
          <w:rFonts w:asciiTheme="minorHAnsi" w:hAnsiTheme="minorHAnsi"/>
          <w:sz w:val="24"/>
          <w:szCs w:val="24"/>
        </w:rPr>
        <w:t xml:space="preserve">extension (OLE) </w:t>
      </w:r>
      <w:r w:rsidR="005816C2" w:rsidRPr="009F71CF">
        <w:rPr>
          <w:rFonts w:asciiTheme="minorHAnsi" w:hAnsiTheme="minorHAnsi"/>
          <w:sz w:val="24"/>
          <w:szCs w:val="24"/>
        </w:rPr>
        <w:t>st</w:t>
      </w:r>
      <w:r w:rsidR="000C692D" w:rsidRPr="009F71CF">
        <w:rPr>
          <w:rFonts w:asciiTheme="minorHAnsi" w:hAnsiTheme="minorHAnsi"/>
          <w:sz w:val="24"/>
          <w:szCs w:val="24"/>
        </w:rPr>
        <w:t xml:space="preserve">udy </w:t>
      </w:r>
      <w:r w:rsidR="00D738A2" w:rsidRPr="009F71CF">
        <w:rPr>
          <w:rFonts w:asciiTheme="minorHAnsi" w:hAnsiTheme="minorHAnsi"/>
          <w:sz w:val="24"/>
          <w:szCs w:val="24"/>
        </w:rPr>
        <w:t xml:space="preserve">that enrolled patients from ATTRACT, FACETS and a Phase 2 study called FAB-CL-205. The March 2017 submission noted that the study was terminated for administrative reasons and patients subsequently enrolled in ongoing OLE AT1001-042. While the March 2017 submission noted that the OLEs existed, the results do not appear to have been presented to the </w:t>
      </w:r>
      <w:r w:rsidR="001D516E" w:rsidRPr="009F71CF">
        <w:rPr>
          <w:rFonts w:asciiTheme="minorHAnsi" w:hAnsiTheme="minorHAnsi"/>
          <w:sz w:val="24"/>
          <w:szCs w:val="24"/>
        </w:rPr>
        <w:t>P</w:t>
      </w:r>
      <w:r w:rsidR="00D738A2" w:rsidRPr="009F71CF">
        <w:rPr>
          <w:rFonts w:asciiTheme="minorHAnsi" w:hAnsiTheme="minorHAnsi"/>
          <w:sz w:val="24"/>
          <w:szCs w:val="24"/>
        </w:rPr>
        <w:t>BAC previously, and these studies have not been evaluated.</w:t>
      </w:r>
    </w:p>
    <w:p w:rsidR="00B840D1" w:rsidRPr="009F71CF" w:rsidRDefault="00A06ADF"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 xml:space="preserve">In addition, the </w:t>
      </w:r>
      <w:r w:rsidR="00B840D1" w:rsidRPr="009F71CF">
        <w:rPr>
          <w:rFonts w:asciiTheme="minorHAnsi" w:eastAsiaTheme="minorHAnsi" w:hAnsiTheme="minorHAnsi" w:cstheme="minorBidi"/>
          <w:snapToGrid/>
          <w:sz w:val="24"/>
          <w:szCs w:val="22"/>
        </w:rPr>
        <w:t xml:space="preserve">minor resubmission included </w:t>
      </w:r>
      <w:r w:rsidRPr="009F71CF">
        <w:rPr>
          <w:rFonts w:asciiTheme="minorHAnsi" w:eastAsiaTheme="minorHAnsi" w:hAnsiTheme="minorHAnsi" w:cstheme="minorBidi"/>
          <w:snapToGrid/>
          <w:sz w:val="24"/>
          <w:szCs w:val="22"/>
        </w:rPr>
        <w:t xml:space="preserve">a number of tables of results and analyses in </w:t>
      </w:r>
      <w:r w:rsidR="00B840D1" w:rsidRPr="009F71CF">
        <w:rPr>
          <w:rFonts w:asciiTheme="minorHAnsi" w:eastAsiaTheme="minorHAnsi" w:hAnsiTheme="minorHAnsi" w:cstheme="minorBidi"/>
          <w:snapToGrid/>
          <w:sz w:val="24"/>
          <w:szCs w:val="22"/>
        </w:rPr>
        <w:t>Attachment</w:t>
      </w:r>
      <w:r w:rsidRPr="009F71CF">
        <w:rPr>
          <w:rFonts w:asciiTheme="minorHAnsi" w:eastAsiaTheme="minorHAnsi" w:hAnsiTheme="minorHAnsi" w:cstheme="minorBidi"/>
          <w:snapToGrid/>
          <w:sz w:val="24"/>
          <w:szCs w:val="22"/>
        </w:rPr>
        <w:t xml:space="preserve"> 1</w:t>
      </w:r>
      <w:r w:rsidR="005D7E94" w:rsidRPr="009F71CF">
        <w:rPr>
          <w:rFonts w:asciiTheme="minorHAnsi" w:eastAsiaTheme="minorHAnsi" w:hAnsiTheme="minorHAnsi" w:cstheme="minorBidi"/>
          <w:snapToGrid/>
          <w:sz w:val="24"/>
          <w:szCs w:val="22"/>
        </w:rPr>
        <w:t xml:space="preserve"> of the resubmission</w:t>
      </w:r>
      <w:r w:rsidRPr="009F71CF">
        <w:rPr>
          <w:rFonts w:asciiTheme="minorHAnsi" w:eastAsiaTheme="minorHAnsi" w:hAnsiTheme="minorHAnsi" w:cstheme="minorBidi"/>
          <w:snapToGrid/>
          <w:sz w:val="24"/>
          <w:szCs w:val="22"/>
        </w:rPr>
        <w:t>. This attachment is provided as the source for some of the results presented in the minor submission in support of the stabilisation of GFR after long-term migalastat treatment. The sources of the numbers presented in Attachment 1, and any methods for the analyses presented, are unclear and these results could therefore not be validated.</w:t>
      </w:r>
    </w:p>
    <w:p w:rsidR="005D7E94" w:rsidRPr="009F71CF" w:rsidRDefault="005D7E94" w:rsidP="005D7E9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The pre-PBAC response provided a summary of the re-analyses and the studies from which the data were sourced. The pre-PBAC response stated that most of these results were not presented in the original migalastat submission as the analyses were not pre-specified in a statistical analysis plan.</w:t>
      </w:r>
    </w:p>
    <w:p w:rsidR="00A06ADF" w:rsidRPr="009F71CF" w:rsidRDefault="00A06ADF" w:rsidP="00A06ADF">
      <w:pPr>
        <w:spacing w:before="120" w:after="160"/>
        <w:rPr>
          <w:rFonts w:asciiTheme="minorHAnsi" w:eastAsiaTheme="minorHAnsi" w:hAnsiTheme="minorHAnsi" w:cstheme="minorBidi"/>
          <w:szCs w:val="22"/>
          <w:u w:val="single"/>
        </w:rPr>
      </w:pPr>
      <w:r w:rsidRPr="009F71CF">
        <w:rPr>
          <w:rFonts w:asciiTheme="minorHAnsi" w:eastAsiaTheme="minorHAnsi" w:hAnsiTheme="minorHAnsi" w:cstheme="minorBidi"/>
          <w:szCs w:val="22"/>
          <w:u w:val="single"/>
        </w:rPr>
        <w:t>Stabilisation of GFR in the ATTRACT study</w:t>
      </w:r>
    </w:p>
    <w:p w:rsidR="00A06ADF" w:rsidRPr="009F71CF" w:rsidRDefault="00A06ADF" w:rsidP="00A06AD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 xml:space="preserve">The key GFR results for the amenable population in the ATTRACT study are presented below. The data for all patients were previously presented to the PBAC in the March major submission (Table 22, p52 of the March 2017 migalastat submission) and the subsequent July minor submission (Table 1, p9 of the July 2017 </w:t>
      </w:r>
      <w:r w:rsidRPr="009F71CF">
        <w:rPr>
          <w:rFonts w:asciiTheme="minorHAnsi" w:eastAsiaTheme="minorHAnsi" w:hAnsiTheme="minorHAnsi" w:cstheme="minorBidi"/>
          <w:snapToGrid/>
          <w:sz w:val="24"/>
          <w:szCs w:val="24"/>
        </w:rPr>
        <w:t>migalastat submission). The</w:t>
      </w:r>
      <w:r w:rsidR="00AE66A6" w:rsidRPr="009F71CF">
        <w:rPr>
          <w:rFonts w:asciiTheme="minorHAnsi" w:eastAsiaTheme="minorHAnsi" w:hAnsiTheme="minorHAnsi" w:cstheme="minorBidi"/>
          <w:snapToGrid/>
          <w:sz w:val="24"/>
          <w:szCs w:val="24"/>
        </w:rPr>
        <w:t xml:space="preserve"> Secretariat noted that</w:t>
      </w:r>
      <w:r w:rsidRPr="009F71CF">
        <w:rPr>
          <w:rFonts w:asciiTheme="minorHAnsi" w:eastAsiaTheme="minorHAnsi" w:hAnsiTheme="minorHAnsi" w:cstheme="minorBidi"/>
          <w:snapToGrid/>
          <w:sz w:val="24"/>
          <w:szCs w:val="24"/>
        </w:rPr>
        <w:t xml:space="preserve"> results for the renal impairment subgroup (baseline eGFR&lt;90) do not appear to have been presented in this way to the PBAC previously. This appears to have been a post-hoc subgroup analysis, however the source for these results is not clear and therefore the validity of these figures could not be confirmed.</w:t>
      </w:r>
      <w:r w:rsidR="005D7E94" w:rsidRPr="009F71CF">
        <w:rPr>
          <w:rFonts w:asciiTheme="minorHAnsi" w:eastAsiaTheme="minorHAnsi" w:hAnsiTheme="minorHAnsi" w:cstheme="minorBidi"/>
          <w:snapToGrid/>
          <w:sz w:val="24"/>
          <w:szCs w:val="24"/>
        </w:rPr>
        <w:t xml:space="preserve"> The Pre-PBAC response </w:t>
      </w:r>
      <w:r w:rsidR="005D7E94" w:rsidRPr="009F71CF">
        <w:rPr>
          <w:rFonts w:asciiTheme="minorHAnsi" w:hAnsiTheme="minorHAnsi"/>
          <w:bCs/>
          <w:sz w:val="24"/>
          <w:szCs w:val="24"/>
        </w:rPr>
        <w:t>confirmed that these subgroup analyses were in fact pre-specified in the ATTRACT protocol, with the results presented in the final clinical study report.</w:t>
      </w:r>
      <w:r w:rsidR="005D7E94" w:rsidRPr="009F71CF">
        <w:rPr>
          <w:bCs/>
        </w:rPr>
        <w:t xml:space="preserve"> </w:t>
      </w:r>
    </w:p>
    <w:p w:rsidR="00A06ADF" w:rsidRPr="009F71CF" w:rsidRDefault="00A06ADF" w:rsidP="001D516E">
      <w:pPr>
        <w:pStyle w:val="NoSpacing"/>
        <w:keepNext/>
        <w:rPr>
          <w:rFonts w:ascii="Arial Narrow" w:hAnsi="Arial Narrow"/>
          <w:b/>
          <w:sz w:val="20"/>
        </w:rPr>
      </w:pPr>
      <w:bookmarkStart w:id="1" w:name="_Ref457595579"/>
      <w:bookmarkStart w:id="2" w:name="_Toc480389726"/>
      <w:bookmarkStart w:id="3" w:name="_Toc490653010"/>
      <w:r w:rsidRPr="009F71CF">
        <w:rPr>
          <w:rFonts w:ascii="Arial Narrow" w:hAnsi="Arial Narrow"/>
          <w:b/>
          <w:sz w:val="20"/>
        </w:rPr>
        <w:t>Table </w:t>
      </w:r>
      <w:bookmarkEnd w:id="1"/>
      <w:r w:rsidRPr="009F71CF">
        <w:rPr>
          <w:rFonts w:ascii="Arial Narrow" w:hAnsi="Arial Narrow"/>
          <w:b/>
          <w:sz w:val="20"/>
        </w:rPr>
        <w:t>2 Summary of Annualized Change in GFR: Study AT1001-012, ITT-amenable Population</w:t>
      </w:r>
      <w:bookmarkEnd w:id="2"/>
      <w:bookmarkEnd w:id="3"/>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47"/>
        <w:gridCol w:w="1773"/>
        <w:gridCol w:w="1774"/>
        <w:gridCol w:w="1774"/>
        <w:gridCol w:w="1774"/>
      </w:tblGrid>
      <w:tr w:rsidR="00A06ADF" w:rsidRPr="009F71CF" w:rsidTr="003A4356">
        <w:trPr>
          <w:trHeight w:val="300"/>
          <w:tblHeader/>
        </w:trPr>
        <w:tc>
          <w:tcPr>
            <w:tcW w:w="2093"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b/>
                <w:sz w:val="20"/>
                <w:szCs w:val="20"/>
                <w:lang w:eastAsia="en-US"/>
              </w:rPr>
            </w:pPr>
            <w:r w:rsidRPr="009F71CF">
              <w:rPr>
                <w:rFonts w:ascii="Arial Narrow" w:hAnsi="Arial Narrow"/>
                <w:b/>
                <w:sz w:val="20"/>
                <w:szCs w:val="20"/>
                <w:lang w:eastAsia="en-US"/>
              </w:rPr>
              <w:t xml:space="preserve">GFR  </w:t>
            </w:r>
            <w:r w:rsidRPr="009F71CF">
              <w:rPr>
                <w:rFonts w:ascii="Arial Narrow" w:hAnsi="Arial Narrow"/>
                <w:b/>
                <w:sz w:val="20"/>
                <w:szCs w:val="20"/>
                <w:lang w:eastAsia="en-US"/>
              </w:rPr>
              <w:br/>
              <w:t>(ml/min/1.73 m2/yr)</w:t>
            </w:r>
          </w:p>
        </w:tc>
        <w:tc>
          <w:tcPr>
            <w:tcW w:w="3455" w:type="dxa"/>
            <w:gridSpan w:val="2"/>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b/>
                <w:sz w:val="20"/>
                <w:szCs w:val="20"/>
                <w:lang w:eastAsia="en-US"/>
              </w:rPr>
            </w:pPr>
            <w:r w:rsidRPr="009F71CF">
              <w:rPr>
                <w:rFonts w:ascii="Arial Narrow" w:hAnsi="Arial Narrow"/>
                <w:b/>
                <w:sz w:val="20"/>
                <w:szCs w:val="20"/>
                <w:lang w:eastAsia="en-US"/>
              </w:rPr>
              <w:t>eGFR</w:t>
            </w:r>
            <w:r w:rsidRPr="009F71CF">
              <w:rPr>
                <w:rFonts w:ascii="Arial Narrow" w:hAnsi="Arial Narrow"/>
                <w:b/>
                <w:sz w:val="20"/>
                <w:szCs w:val="20"/>
                <w:vertAlign w:val="subscript"/>
                <w:lang w:eastAsia="en-US"/>
              </w:rPr>
              <w:t>CKD-EPI</w:t>
            </w:r>
            <w:r w:rsidRPr="009F71CF">
              <w:rPr>
                <w:rFonts w:ascii="Arial Narrow" w:hAnsi="Arial Narrow"/>
                <w:b/>
                <w:sz w:val="20"/>
                <w:szCs w:val="20"/>
                <w:lang w:eastAsia="en-US"/>
              </w:rPr>
              <w:t xml:space="preserve"> annualised change from baseline</w:t>
            </w:r>
          </w:p>
        </w:tc>
        <w:tc>
          <w:tcPr>
            <w:tcW w:w="3456" w:type="dxa"/>
            <w:gridSpan w:val="2"/>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b/>
                <w:sz w:val="20"/>
                <w:szCs w:val="20"/>
                <w:lang w:eastAsia="en-US"/>
              </w:rPr>
            </w:pPr>
            <w:r w:rsidRPr="009F71CF">
              <w:rPr>
                <w:rFonts w:ascii="Arial Narrow" w:hAnsi="Arial Narrow"/>
                <w:b/>
                <w:sz w:val="20"/>
                <w:szCs w:val="20"/>
                <w:lang w:eastAsia="en-US"/>
              </w:rPr>
              <w:t>mGFR</w:t>
            </w:r>
            <w:r w:rsidRPr="009F71CF">
              <w:rPr>
                <w:rFonts w:ascii="Arial Narrow" w:hAnsi="Arial Narrow"/>
                <w:b/>
                <w:sz w:val="20"/>
                <w:szCs w:val="20"/>
                <w:vertAlign w:val="subscript"/>
                <w:lang w:eastAsia="en-US"/>
              </w:rPr>
              <w:t>Iohexol</w:t>
            </w:r>
            <w:r w:rsidRPr="009F71CF">
              <w:rPr>
                <w:rFonts w:ascii="Arial Narrow" w:hAnsi="Arial Narrow"/>
                <w:b/>
                <w:sz w:val="20"/>
                <w:szCs w:val="20"/>
                <w:lang w:eastAsia="en-US"/>
              </w:rPr>
              <w:t xml:space="preserve"> annualized change from baseline</w:t>
            </w:r>
          </w:p>
        </w:tc>
      </w:tr>
      <w:tr w:rsidR="00A06ADF" w:rsidRPr="009F71CF" w:rsidTr="003A4356">
        <w:trPr>
          <w:trHeight w:val="300"/>
          <w:tblHeader/>
        </w:trPr>
        <w:tc>
          <w:tcPr>
            <w:tcW w:w="209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06ADF" w:rsidRPr="009F71CF" w:rsidRDefault="00A06ADF" w:rsidP="003A4356">
            <w:pPr>
              <w:keepNext/>
              <w:rPr>
                <w:rFonts w:ascii="Arial Narrow" w:hAnsi="Arial Narrow"/>
                <w:b/>
                <w:sz w:val="20"/>
                <w:szCs w:val="20"/>
                <w:lang w:eastAsia="en-US"/>
              </w:rPr>
            </w:pPr>
          </w:p>
        </w:tc>
        <w:tc>
          <w:tcPr>
            <w:tcW w:w="1727"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b/>
                <w:sz w:val="20"/>
                <w:szCs w:val="20"/>
                <w:lang w:eastAsia="en-US"/>
              </w:rPr>
            </w:pPr>
            <w:r w:rsidRPr="009F71CF">
              <w:rPr>
                <w:rFonts w:ascii="Arial Narrow" w:hAnsi="Arial Narrow"/>
                <w:b/>
                <w:sz w:val="20"/>
                <w:szCs w:val="20"/>
                <w:lang w:eastAsia="en-US"/>
              </w:rPr>
              <w:t>All patients</w:t>
            </w:r>
          </w:p>
        </w:tc>
        <w:tc>
          <w:tcPr>
            <w:tcW w:w="1728"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b/>
                <w:sz w:val="20"/>
                <w:szCs w:val="20"/>
                <w:lang w:eastAsia="en-US"/>
              </w:rPr>
            </w:pPr>
            <w:r w:rsidRPr="009F71CF">
              <w:rPr>
                <w:rFonts w:ascii="Arial Narrow" w:hAnsi="Arial Narrow"/>
                <w:b/>
                <w:sz w:val="20"/>
                <w:szCs w:val="20"/>
                <w:lang w:eastAsia="en-US"/>
              </w:rPr>
              <w:t>Baseline eGFR&lt;90 </w:t>
            </w:r>
          </w:p>
        </w:tc>
        <w:tc>
          <w:tcPr>
            <w:tcW w:w="1728"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b/>
                <w:sz w:val="20"/>
                <w:szCs w:val="20"/>
                <w:lang w:eastAsia="en-US"/>
              </w:rPr>
            </w:pPr>
            <w:r w:rsidRPr="009F71CF">
              <w:rPr>
                <w:rFonts w:ascii="Arial Narrow" w:hAnsi="Arial Narrow"/>
                <w:b/>
                <w:sz w:val="20"/>
                <w:szCs w:val="20"/>
                <w:lang w:eastAsia="en-US"/>
              </w:rPr>
              <w:t>All patients</w:t>
            </w:r>
          </w:p>
        </w:tc>
        <w:tc>
          <w:tcPr>
            <w:tcW w:w="1728"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b/>
                <w:sz w:val="20"/>
                <w:szCs w:val="20"/>
                <w:lang w:eastAsia="en-US"/>
              </w:rPr>
            </w:pPr>
            <w:r w:rsidRPr="009F71CF">
              <w:rPr>
                <w:rFonts w:ascii="Arial Narrow" w:hAnsi="Arial Narrow"/>
                <w:b/>
                <w:sz w:val="20"/>
                <w:szCs w:val="20"/>
                <w:lang w:eastAsia="en-US"/>
              </w:rPr>
              <w:t>Baseline eGFR&lt;90 </w:t>
            </w:r>
          </w:p>
        </w:tc>
      </w:tr>
      <w:tr w:rsidR="00A06ADF" w:rsidRPr="009F71CF" w:rsidTr="003A4356">
        <w:trPr>
          <w:trHeight w:val="555"/>
        </w:trPr>
        <w:tc>
          <w:tcPr>
            <w:tcW w:w="2093"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Migalastat LS Mean (n)</w:t>
            </w:r>
          </w:p>
        </w:tc>
        <w:tc>
          <w:tcPr>
            <w:tcW w:w="1727"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-0.40</w:t>
            </w:r>
            <w:r w:rsidRPr="009F71CF">
              <w:rPr>
                <w:rFonts w:ascii="Arial Narrow" w:hAnsi="Arial Narrow"/>
                <w:sz w:val="20"/>
                <w:szCs w:val="20"/>
                <w:lang w:eastAsia="en-US"/>
              </w:rPr>
              <w:br/>
              <w:t>(n=34)</w:t>
            </w:r>
          </w:p>
        </w:tc>
        <w:tc>
          <w:tcPr>
            <w:tcW w:w="1728"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-3.33</w:t>
            </w:r>
            <w:r w:rsidRPr="009F71CF">
              <w:rPr>
                <w:rFonts w:ascii="Arial Narrow" w:hAnsi="Arial Narrow"/>
                <w:sz w:val="20"/>
                <w:szCs w:val="20"/>
                <w:lang w:eastAsia="en-US"/>
              </w:rPr>
              <w:br/>
              <w:t>(n=20)</w:t>
            </w:r>
          </w:p>
        </w:tc>
        <w:tc>
          <w:tcPr>
            <w:tcW w:w="1728"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-4.35</w:t>
            </w:r>
            <w:r w:rsidRPr="009F71CF">
              <w:rPr>
                <w:rFonts w:ascii="Arial Narrow" w:hAnsi="Arial Narrow"/>
                <w:sz w:val="20"/>
                <w:szCs w:val="20"/>
                <w:lang w:eastAsia="en-US"/>
              </w:rPr>
              <w:br/>
              <w:t>(n=34)</w:t>
            </w:r>
          </w:p>
        </w:tc>
        <w:tc>
          <w:tcPr>
            <w:tcW w:w="1728"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-3.51</w:t>
            </w:r>
            <w:r w:rsidRPr="009F71CF">
              <w:rPr>
                <w:rFonts w:ascii="Arial Narrow" w:hAnsi="Arial Narrow"/>
                <w:sz w:val="20"/>
                <w:szCs w:val="20"/>
                <w:lang w:eastAsia="en-US"/>
              </w:rPr>
              <w:br/>
              <w:t>(n=20)</w:t>
            </w:r>
          </w:p>
        </w:tc>
      </w:tr>
      <w:tr w:rsidR="00A06ADF" w:rsidRPr="009F71CF" w:rsidTr="003A4356">
        <w:trPr>
          <w:trHeight w:val="555"/>
        </w:trPr>
        <w:tc>
          <w:tcPr>
            <w:tcW w:w="2093"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ERT LS Mean (n)</w:t>
            </w:r>
          </w:p>
        </w:tc>
        <w:tc>
          <w:tcPr>
            <w:tcW w:w="1727"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-1.03</w:t>
            </w:r>
            <w:r w:rsidRPr="009F71CF">
              <w:rPr>
                <w:rFonts w:ascii="Arial Narrow" w:hAnsi="Arial Narrow"/>
                <w:sz w:val="20"/>
                <w:szCs w:val="20"/>
                <w:lang w:eastAsia="en-US"/>
              </w:rPr>
              <w:br/>
              <w:t xml:space="preserve"> (n=18)</w:t>
            </w:r>
          </w:p>
        </w:tc>
        <w:tc>
          <w:tcPr>
            <w:tcW w:w="1728"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-9.05</w:t>
            </w:r>
            <w:r w:rsidRPr="009F71CF">
              <w:rPr>
                <w:rFonts w:ascii="Arial Narrow" w:hAnsi="Arial Narrow"/>
                <w:sz w:val="20"/>
                <w:szCs w:val="20"/>
                <w:lang w:eastAsia="en-US"/>
              </w:rPr>
              <w:br/>
              <w:t xml:space="preserve"> (n=8)</w:t>
            </w:r>
          </w:p>
        </w:tc>
        <w:tc>
          <w:tcPr>
            <w:tcW w:w="1728"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-3.24</w:t>
            </w:r>
            <w:r w:rsidRPr="009F71CF">
              <w:rPr>
                <w:rFonts w:ascii="Arial Narrow" w:hAnsi="Arial Narrow"/>
                <w:sz w:val="20"/>
                <w:szCs w:val="20"/>
                <w:lang w:eastAsia="en-US"/>
              </w:rPr>
              <w:br/>
              <w:t xml:space="preserve"> (n=18)</w:t>
            </w:r>
          </w:p>
        </w:tc>
        <w:tc>
          <w:tcPr>
            <w:tcW w:w="1728"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-7.96</w:t>
            </w:r>
            <w:r w:rsidRPr="009F71CF">
              <w:rPr>
                <w:rFonts w:ascii="Arial Narrow" w:hAnsi="Arial Narrow"/>
                <w:sz w:val="20"/>
                <w:szCs w:val="20"/>
                <w:lang w:eastAsia="en-US"/>
              </w:rPr>
              <w:br/>
              <w:t xml:space="preserve"> (n=7)</w:t>
            </w:r>
          </w:p>
        </w:tc>
      </w:tr>
      <w:tr w:rsidR="00A06ADF" w:rsidRPr="009F71CF" w:rsidTr="003A4356">
        <w:trPr>
          <w:trHeight w:val="510"/>
        </w:trPr>
        <w:tc>
          <w:tcPr>
            <w:tcW w:w="2093"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LS Mean Difference (95% CI)</w:t>
            </w:r>
          </w:p>
        </w:tc>
        <w:tc>
          <w:tcPr>
            <w:tcW w:w="1727"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+0.63 (-2.57, 3.83)</w:t>
            </w:r>
          </w:p>
        </w:tc>
        <w:tc>
          <w:tcPr>
            <w:tcW w:w="1728"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+5.72 (-1.87, 13.30)</w:t>
            </w:r>
          </w:p>
        </w:tc>
        <w:tc>
          <w:tcPr>
            <w:tcW w:w="1728"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-1.12 (-6.74, 4.51)</w:t>
            </w:r>
          </w:p>
        </w:tc>
        <w:tc>
          <w:tcPr>
            <w:tcW w:w="1728" w:type="dxa"/>
            <w:tcBorders>
              <w:top w:val="single" w:sz="6" w:space="0" w:color="auto"/>
              <w:left w:val="single" w:sz="6" w:space="0" w:color="auto"/>
              <w:bottom w:val="single" w:sz="6" w:space="0" w:color="auto"/>
              <w:right w:val="single" w:sz="6" w:space="0" w:color="auto"/>
            </w:tcBorders>
            <w:shd w:val="clear" w:color="auto" w:fill="auto"/>
            <w:hideMark/>
          </w:tcPr>
          <w:p w:rsidR="00A06ADF" w:rsidRPr="009F71CF" w:rsidRDefault="00A06ADF" w:rsidP="003A4356">
            <w:pPr>
              <w:keepNext/>
              <w:rPr>
                <w:rFonts w:ascii="Arial Narrow" w:hAnsi="Arial Narrow"/>
                <w:sz w:val="20"/>
                <w:szCs w:val="20"/>
                <w:lang w:eastAsia="en-US"/>
              </w:rPr>
            </w:pPr>
            <w:r w:rsidRPr="009F71CF">
              <w:rPr>
                <w:rFonts w:ascii="Arial Narrow" w:hAnsi="Arial Narrow"/>
                <w:sz w:val="20"/>
                <w:szCs w:val="20"/>
                <w:lang w:eastAsia="en-US"/>
              </w:rPr>
              <w:t>+4.46 (-0.66, 9.57)</w:t>
            </w:r>
          </w:p>
        </w:tc>
      </w:tr>
    </w:tbl>
    <w:p w:rsidR="00A06ADF" w:rsidRPr="009F71CF" w:rsidRDefault="00A06ADF" w:rsidP="00B96709">
      <w:pPr>
        <w:pStyle w:val="TableFooter"/>
        <w:widowControl/>
      </w:pPr>
      <w:r w:rsidRPr="009F71CF">
        <w:t xml:space="preserve">Abbreviations: ERT=enzyme replacement therapy; GFR=glomerular filtration rate; LS=least squares; Notes: LS Mean and 95% CI based on ANCOVA that includes treatment, baseline GFR, sex, age, and 24-hr urine protein. </w:t>
      </w:r>
      <w:r w:rsidRPr="009F71CF">
        <w:br/>
        <w:t>Source: Table 1, p4 of the minor resubmission</w:t>
      </w:r>
    </w:p>
    <w:p w:rsidR="00A06ADF" w:rsidRPr="009F71CF" w:rsidRDefault="00A06ADF" w:rsidP="00A06ADF">
      <w:pPr>
        <w:spacing w:before="120" w:after="160"/>
        <w:rPr>
          <w:rFonts w:asciiTheme="minorHAnsi" w:eastAsiaTheme="minorHAnsi" w:hAnsiTheme="minorHAnsi" w:cstheme="minorBidi"/>
          <w:szCs w:val="22"/>
          <w:u w:val="single"/>
        </w:rPr>
      </w:pPr>
      <w:r w:rsidRPr="009F71CF">
        <w:rPr>
          <w:rFonts w:asciiTheme="minorHAnsi" w:eastAsiaTheme="minorHAnsi" w:hAnsiTheme="minorHAnsi" w:cstheme="minorBidi"/>
          <w:szCs w:val="22"/>
          <w:u w:val="single"/>
        </w:rPr>
        <w:t>Stabilisation of GFR after long-term migalastat treatment</w:t>
      </w:r>
    </w:p>
    <w:p w:rsidR="00EE3E1C" w:rsidRDefault="00A06ADF" w:rsidP="00A06AD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The minor resubmission stated that the longer-term effect of migalastat on renal function was assessed in the extension arms/studies of the Phase 2 and Phase 3 studies, and presented the following table.</w:t>
      </w:r>
    </w:p>
    <w:p w:rsidR="00EE3E1C" w:rsidRDefault="00EE3E1C">
      <w:pPr>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p w:rsidR="00A06ADF" w:rsidRPr="009F71CF" w:rsidRDefault="00A06ADF" w:rsidP="00A06AD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
    <w:p w:rsidR="00593651" w:rsidRPr="009F71CF" w:rsidRDefault="00593651" w:rsidP="00593651">
      <w:pPr>
        <w:pStyle w:val="Caption"/>
        <w:rPr>
          <w:szCs w:val="20"/>
        </w:rPr>
      </w:pPr>
      <w:bookmarkStart w:id="4" w:name="_Ref490648889"/>
      <w:bookmarkStart w:id="5" w:name="_Toc490653011"/>
      <w:r w:rsidRPr="009F71CF">
        <w:rPr>
          <w:szCs w:val="20"/>
        </w:rPr>
        <w:t>Table </w:t>
      </w:r>
      <w:bookmarkEnd w:id="4"/>
      <w:r w:rsidRPr="009F71CF">
        <w:rPr>
          <w:szCs w:val="20"/>
        </w:rPr>
        <w:t>3</w:t>
      </w:r>
      <w:r w:rsidR="001D516E" w:rsidRPr="009F71CF">
        <w:rPr>
          <w:szCs w:val="20"/>
        </w:rPr>
        <w:t>.</w:t>
      </w:r>
      <w:r w:rsidRPr="009F71CF">
        <w:rPr>
          <w:szCs w:val="20"/>
        </w:rPr>
        <w:tab/>
        <w:t>Summary of annualised change in GFR after treatment with migalastat at different timepoints</w:t>
      </w:r>
      <w:bookmarkEnd w:id="5"/>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1"/>
        <w:gridCol w:w="2360"/>
        <w:gridCol w:w="1747"/>
        <w:gridCol w:w="3164"/>
      </w:tblGrid>
      <w:tr w:rsidR="00593651" w:rsidRPr="009F71CF" w:rsidTr="00593651">
        <w:trPr>
          <w:trHeight w:val="300"/>
          <w:tblHeader/>
        </w:trPr>
        <w:tc>
          <w:tcPr>
            <w:tcW w:w="106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93651" w:rsidRPr="009F71CF" w:rsidRDefault="00593651" w:rsidP="003A4356">
            <w:pPr>
              <w:pStyle w:val="Tabletext"/>
              <w:rPr>
                <w:rFonts w:ascii="Arial Narrow" w:hAnsi="Arial Narrow"/>
                <w:b/>
              </w:rPr>
            </w:pPr>
            <w:r w:rsidRPr="009F71CF">
              <w:rPr>
                <w:rFonts w:ascii="Arial Narrow" w:hAnsi="Arial Narrow"/>
                <w:b/>
              </w:rPr>
              <w:t>Timepoint</w:t>
            </w:r>
          </w:p>
        </w:tc>
        <w:tc>
          <w:tcPr>
            <w:tcW w:w="1277" w:type="pct"/>
            <w:tcBorders>
              <w:top w:val="single" w:sz="6" w:space="0" w:color="auto"/>
              <w:left w:val="single" w:sz="6" w:space="0" w:color="auto"/>
              <w:bottom w:val="single" w:sz="6" w:space="0" w:color="auto"/>
              <w:right w:val="single" w:sz="6" w:space="0" w:color="auto"/>
            </w:tcBorders>
            <w:shd w:val="clear" w:color="auto" w:fill="auto"/>
            <w:hideMark/>
          </w:tcPr>
          <w:p w:rsidR="00593651" w:rsidRPr="009F71CF" w:rsidRDefault="00593651" w:rsidP="003A4356">
            <w:pPr>
              <w:pStyle w:val="Tabletext"/>
              <w:rPr>
                <w:rFonts w:ascii="Arial Narrow" w:hAnsi="Arial Narrow"/>
                <w:b/>
              </w:rPr>
            </w:pPr>
            <w:r w:rsidRPr="009F71CF">
              <w:rPr>
                <w:rFonts w:ascii="Arial Narrow" w:hAnsi="Arial Narrow"/>
                <w:b/>
              </w:rPr>
              <w:t>Annualised change in GFR</w:t>
            </w:r>
            <w:r w:rsidRPr="009F71CF">
              <w:rPr>
                <w:rFonts w:ascii="Arial Narrow" w:hAnsi="Arial Narrow"/>
                <w:b/>
                <w:vertAlign w:val="subscript"/>
              </w:rPr>
              <w:t xml:space="preserve">CKD-EPI  </w:t>
            </w:r>
            <w:r w:rsidRPr="009F71CF">
              <w:rPr>
                <w:rFonts w:ascii="Arial Narrow" w:hAnsi="Arial Narrow"/>
                <w:b/>
              </w:rPr>
              <w:br/>
              <w:t>(ml/min/1.73 m</w:t>
            </w:r>
            <w:r w:rsidRPr="009F71CF">
              <w:rPr>
                <w:rFonts w:ascii="Arial Narrow" w:hAnsi="Arial Narrow"/>
                <w:b/>
                <w:vertAlign w:val="superscript"/>
              </w:rPr>
              <w:t>2</w:t>
            </w:r>
            <w:r w:rsidRPr="009F71CF">
              <w:rPr>
                <w:rFonts w:ascii="Arial Narrow" w:hAnsi="Arial Narrow"/>
                <w:b/>
              </w:rPr>
              <w:t xml:space="preserve">/yr) </w:t>
            </w:r>
          </w:p>
        </w:tc>
        <w:tc>
          <w:tcPr>
            <w:tcW w:w="945" w:type="pct"/>
            <w:tcBorders>
              <w:top w:val="single" w:sz="6" w:space="0" w:color="auto"/>
              <w:left w:val="single" w:sz="6" w:space="0" w:color="auto"/>
              <w:bottom w:val="single" w:sz="6" w:space="0" w:color="auto"/>
              <w:right w:val="single" w:sz="6" w:space="0" w:color="auto"/>
            </w:tcBorders>
            <w:shd w:val="clear" w:color="auto" w:fill="auto"/>
            <w:hideMark/>
          </w:tcPr>
          <w:p w:rsidR="00593651" w:rsidRPr="009F71CF" w:rsidRDefault="00593651" w:rsidP="003A4356">
            <w:pPr>
              <w:pStyle w:val="Tabletext"/>
              <w:rPr>
                <w:rFonts w:ascii="Arial Narrow" w:hAnsi="Arial Narrow"/>
                <w:b/>
              </w:rPr>
            </w:pPr>
            <w:r w:rsidRPr="009F71CF">
              <w:rPr>
                <w:rFonts w:ascii="Arial Narrow" w:hAnsi="Arial Narrow"/>
                <w:b/>
              </w:rPr>
              <w:t>Source </w:t>
            </w: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b/>
              </w:rPr>
            </w:pPr>
            <w:r w:rsidRPr="009F71CF">
              <w:rPr>
                <w:rFonts w:ascii="Arial Narrow" w:hAnsi="Arial Narrow"/>
                <w:b/>
              </w:rPr>
              <w:t>Population</w:t>
            </w:r>
          </w:p>
        </w:tc>
      </w:tr>
      <w:tr w:rsidR="00593651" w:rsidRPr="009F71CF" w:rsidTr="00593651">
        <w:trPr>
          <w:trHeight w:val="555"/>
        </w:trPr>
        <w:tc>
          <w:tcPr>
            <w:tcW w:w="1066"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1.5 years</w:t>
            </w:r>
          </w:p>
        </w:tc>
        <w:tc>
          <w:tcPr>
            <w:tcW w:w="1277"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-0.4 (n=34)</w:t>
            </w:r>
          </w:p>
        </w:tc>
        <w:tc>
          <w:tcPr>
            <w:tcW w:w="945"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ATTRACT study</w:t>
            </w: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Patients switched from ERT to migalastat</w:t>
            </w:r>
          </w:p>
        </w:tc>
      </w:tr>
      <w:tr w:rsidR="00593651" w:rsidRPr="009F71CF" w:rsidTr="00593651">
        <w:trPr>
          <w:trHeight w:val="555"/>
        </w:trPr>
        <w:tc>
          <w:tcPr>
            <w:tcW w:w="1066"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2.5 years</w:t>
            </w:r>
          </w:p>
        </w:tc>
        <w:tc>
          <w:tcPr>
            <w:tcW w:w="1277"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-1.7 (n=31)</w:t>
            </w:r>
          </w:p>
        </w:tc>
        <w:tc>
          <w:tcPr>
            <w:tcW w:w="945"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ATTRACT study</w:t>
            </w: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ERT switch patients continuing into the 12-month extension arm of the ATTRACT study</w:t>
            </w:r>
          </w:p>
        </w:tc>
      </w:tr>
      <w:tr w:rsidR="00593651" w:rsidRPr="009F71CF" w:rsidTr="00593651">
        <w:trPr>
          <w:trHeight w:val="555"/>
        </w:trPr>
        <w:tc>
          <w:tcPr>
            <w:tcW w:w="1066"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3.4 years (range: 1.5-4.9 years)</w:t>
            </w:r>
          </w:p>
        </w:tc>
        <w:tc>
          <w:tcPr>
            <w:tcW w:w="1277"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-0.69 (n=41)</w:t>
            </w:r>
          </w:p>
        </w:tc>
        <w:tc>
          <w:tcPr>
            <w:tcW w:w="945"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Integration of FACETS and AT1001-041</w:t>
            </w:r>
            <w:r w:rsidR="00A06ADF" w:rsidRPr="009F71CF">
              <w:rPr>
                <w:rFonts w:ascii="Arial Narrow" w:hAnsi="Arial Narrow"/>
              </w:rPr>
              <w:t>*</w:t>
            </w: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ERT naïve patients continuing from the placebo-controlled FACETS</w:t>
            </w:r>
          </w:p>
        </w:tc>
      </w:tr>
      <w:tr w:rsidR="00593651" w:rsidRPr="009F71CF" w:rsidTr="00593651">
        <w:trPr>
          <w:trHeight w:val="510"/>
        </w:trPr>
        <w:tc>
          <w:tcPr>
            <w:tcW w:w="1066"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8.2 years (maximum 9.3 years)</w:t>
            </w:r>
          </w:p>
        </w:tc>
        <w:tc>
          <w:tcPr>
            <w:tcW w:w="1277"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-0.67 (n=12)</w:t>
            </w:r>
          </w:p>
        </w:tc>
        <w:tc>
          <w:tcPr>
            <w:tcW w:w="945"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Integrati</w:t>
            </w:r>
            <w:r w:rsidR="00A06ADF" w:rsidRPr="009F71CF">
              <w:rPr>
                <w:rFonts w:ascii="Arial Narrow" w:hAnsi="Arial Narrow"/>
              </w:rPr>
              <w:t>on of phase 2 studies and AT100</w:t>
            </w:r>
            <w:r w:rsidRPr="009F71CF">
              <w:rPr>
                <w:rFonts w:ascii="Arial Narrow" w:hAnsi="Arial Narrow"/>
              </w:rPr>
              <w:t>1-041</w:t>
            </w:r>
            <w:r w:rsidR="00A06ADF" w:rsidRPr="009F71CF">
              <w:rPr>
                <w:rFonts w:ascii="Arial Narrow" w:hAnsi="Arial Narrow"/>
              </w:rPr>
              <w:t>*</w:t>
            </w: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Patients completing phase 2 studies (FAB-CL-201, FAB-CL-202, FAB-CL-203, or FAB-CL-204) on varying doses and regimens of migalastat.</w:t>
            </w:r>
          </w:p>
        </w:tc>
      </w:tr>
      <w:tr w:rsidR="00593651" w:rsidRPr="009F71CF" w:rsidTr="00593651">
        <w:trPr>
          <w:trHeight w:val="510"/>
        </w:trPr>
        <w:tc>
          <w:tcPr>
            <w:tcW w:w="1066"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4-5 years</w:t>
            </w:r>
          </w:p>
        </w:tc>
        <w:tc>
          <w:tcPr>
            <w:tcW w:w="1277"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+0.24 (n=11)</w:t>
            </w:r>
          </w:p>
        </w:tc>
        <w:tc>
          <w:tcPr>
            <w:tcW w:w="945"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A06ADF" w:rsidP="003A4356">
            <w:pPr>
              <w:pStyle w:val="Tabletext"/>
              <w:rPr>
                <w:rFonts w:ascii="Arial Narrow" w:hAnsi="Arial Narrow"/>
              </w:rPr>
            </w:pPr>
            <w:r w:rsidRPr="009F71CF">
              <w:rPr>
                <w:rFonts w:ascii="Arial Narrow" w:hAnsi="Arial Narrow"/>
              </w:rPr>
              <w:t>AT10</w:t>
            </w:r>
            <w:r w:rsidR="00593651" w:rsidRPr="009F71CF">
              <w:rPr>
                <w:rFonts w:ascii="Arial Narrow" w:hAnsi="Arial Narrow"/>
              </w:rPr>
              <w:t>01-041</w:t>
            </w:r>
            <w:r w:rsidRPr="009F71CF">
              <w:rPr>
                <w:rFonts w:ascii="Arial Narrow" w:hAnsi="Arial Narrow"/>
              </w:rPr>
              <w:t>*</w:t>
            </w: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593651" w:rsidRPr="009F71CF" w:rsidRDefault="00593651" w:rsidP="003A4356">
            <w:pPr>
              <w:pStyle w:val="Tabletext"/>
              <w:rPr>
                <w:rFonts w:ascii="Arial Narrow" w:hAnsi="Arial Narrow"/>
              </w:rPr>
            </w:pPr>
            <w:r w:rsidRPr="009F71CF">
              <w:rPr>
                <w:rFonts w:ascii="Arial Narrow" w:hAnsi="Arial Narrow"/>
              </w:rPr>
              <w:t>Patients completing phase 2 studies (FAB-CL-201, FAB-CL-202, FAB-CL-203, or FAB-CL-204) on 150 mg migalastat QOD.</w:t>
            </w:r>
          </w:p>
        </w:tc>
      </w:tr>
    </w:tbl>
    <w:p w:rsidR="00A06ADF" w:rsidRPr="009F71CF" w:rsidRDefault="00593651" w:rsidP="006F4AD9">
      <w:pPr>
        <w:rPr>
          <w:rFonts w:ascii="Arial Narrow" w:hAnsi="Arial Narrow"/>
          <w:sz w:val="20"/>
          <w:szCs w:val="20"/>
        </w:rPr>
      </w:pPr>
      <w:r w:rsidRPr="009F71CF">
        <w:rPr>
          <w:rFonts w:ascii="Arial Narrow" w:hAnsi="Arial Narrow"/>
          <w:sz w:val="20"/>
          <w:szCs w:val="20"/>
        </w:rPr>
        <w:t>Source: Table 2, p6 of the minor resubmission</w:t>
      </w:r>
    </w:p>
    <w:p w:rsidR="00A06ADF" w:rsidRPr="009F71CF" w:rsidRDefault="00A06ADF" w:rsidP="006F4AD9">
      <w:pPr>
        <w:rPr>
          <w:rFonts w:ascii="Arial Narrow" w:hAnsi="Arial Narrow"/>
          <w:i/>
          <w:sz w:val="20"/>
          <w:szCs w:val="20"/>
        </w:rPr>
      </w:pPr>
      <w:r w:rsidRPr="009F71CF">
        <w:rPr>
          <w:rFonts w:ascii="Arial Narrow" w:hAnsi="Arial Narrow"/>
          <w:i/>
          <w:sz w:val="20"/>
          <w:szCs w:val="20"/>
        </w:rPr>
        <w:t>*as noted above, the results from AT1001-041 and the ‘integration’ of this with other studies, could not be validated</w:t>
      </w:r>
    </w:p>
    <w:p w:rsidR="003C2FB5" w:rsidRPr="009F71CF" w:rsidRDefault="005A3173" w:rsidP="008306F3">
      <w:pPr>
        <w:pStyle w:val="Heading2"/>
        <w:keepLines/>
        <w:spacing w:before="240" w:after="120"/>
        <w:rPr>
          <w:rFonts w:asciiTheme="minorHAnsi" w:eastAsiaTheme="majorEastAsia" w:hAnsiTheme="minorHAnsi" w:cstheme="majorBidi"/>
          <w:sz w:val="28"/>
          <w:szCs w:val="28"/>
          <w:lang w:eastAsia="en-US"/>
        </w:rPr>
      </w:pPr>
      <w:r w:rsidRPr="009F71CF">
        <w:rPr>
          <w:rFonts w:asciiTheme="minorHAnsi" w:eastAsiaTheme="majorEastAsia" w:hAnsiTheme="minorHAnsi" w:cstheme="majorBidi"/>
          <w:sz w:val="28"/>
          <w:szCs w:val="28"/>
          <w:lang w:eastAsia="en-US"/>
        </w:rPr>
        <w:t>Clinical claim</w:t>
      </w:r>
    </w:p>
    <w:p w:rsidR="00514ACA" w:rsidRPr="009F71CF" w:rsidRDefault="00514ACA" w:rsidP="00514AC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 xml:space="preserve">The clinical claim remained unchanged from the March 2017 submission and July 2017 resubmission. This resubmission stated ‘The evidence presented in this minor submission supports the long-term efficacy of migalastat in stabilising renal function in patients with Fabry disease’. </w:t>
      </w:r>
    </w:p>
    <w:p w:rsidR="009B0F67" w:rsidRPr="009F71CF" w:rsidRDefault="00C375DA" w:rsidP="00514AC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 xml:space="preserve">At its March 2017 meeting, the PBAC did not accept the major submission’s claim of non-inferiority compared with the comparator, enzyme replacement therapy (ERT). </w:t>
      </w:r>
      <w:r w:rsidR="00514ACA" w:rsidRPr="009F71CF">
        <w:rPr>
          <w:rFonts w:asciiTheme="minorHAnsi" w:eastAsiaTheme="minorHAnsi" w:hAnsiTheme="minorHAnsi" w:cstheme="minorBidi"/>
          <w:snapToGrid/>
          <w:sz w:val="24"/>
          <w:szCs w:val="22"/>
        </w:rPr>
        <w:t xml:space="preserve"> However, the PBAC considered that it was reasonable to accept the claim of non-inferior comparative safety of migalastat compared to ERT.</w:t>
      </w:r>
    </w:p>
    <w:p w:rsidR="003006B3" w:rsidRPr="009F71CF" w:rsidRDefault="00514ACA" w:rsidP="003006B3">
      <w:pPr>
        <w:pStyle w:val="Heading2"/>
        <w:rPr>
          <w:rFonts w:asciiTheme="minorHAnsi" w:eastAsiaTheme="majorEastAsia" w:hAnsiTheme="minorHAnsi" w:cstheme="majorBidi"/>
          <w:sz w:val="28"/>
          <w:szCs w:val="28"/>
          <w:lang w:eastAsia="en-US"/>
        </w:rPr>
      </w:pPr>
      <w:bookmarkStart w:id="6" w:name="_Toc413139282"/>
      <w:bookmarkStart w:id="7" w:name="_Toc492307660"/>
      <w:r w:rsidRPr="009F71CF">
        <w:rPr>
          <w:rFonts w:asciiTheme="minorHAnsi" w:eastAsiaTheme="majorEastAsia" w:hAnsiTheme="minorHAnsi" w:cstheme="majorBidi"/>
          <w:sz w:val="28"/>
          <w:szCs w:val="28"/>
          <w:lang w:eastAsia="en-US"/>
        </w:rPr>
        <w:t>Economic analysi</w:t>
      </w:r>
      <w:bookmarkEnd w:id="6"/>
      <w:bookmarkEnd w:id="7"/>
      <w:r w:rsidR="003006B3" w:rsidRPr="009F71CF">
        <w:rPr>
          <w:rFonts w:asciiTheme="minorHAnsi" w:eastAsiaTheme="majorEastAsia" w:hAnsiTheme="minorHAnsi" w:cstheme="majorBidi"/>
          <w:sz w:val="28"/>
          <w:szCs w:val="28"/>
          <w:lang w:eastAsia="en-US"/>
        </w:rPr>
        <w:t>s</w:t>
      </w:r>
    </w:p>
    <w:p w:rsidR="003006B3" w:rsidRPr="009F71CF" w:rsidRDefault="003006B3" w:rsidP="003006B3">
      <w:pPr>
        <w:rPr>
          <w:lang w:eastAsia="en-US"/>
        </w:rPr>
      </w:pPr>
    </w:p>
    <w:p w:rsidR="003006B3" w:rsidRPr="009F71CF" w:rsidRDefault="003006B3" w:rsidP="002A50C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 xml:space="preserve">An economic analysis was not provided in this resubmission. The ex-manufacturer price </w:t>
      </w:r>
      <w:r w:rsidR="00032EE1">
        <w:rPr>
          <w:rFonts w:asciiTheme="minorHAnsi" w:eastAsiaTheme="minorHAnsi" w:hAnsiTheme="minorHAnsi" w:cstheme="minorBidi"/>
          <w:snapToGrid/>
          <w:sz w:val="24"/>
          <w:szCs w:val="22"/>
        </w:rPr>
        <w:t xml:space="preserve">remained unchanged from the </w:t>
      </w:r>
      <w:r w:rsidR="00032EE1" w:rsidRPr="00032EE1">
        <w:rPr>
          <w:rFonts w:asciiTheme="minorHAnsi" w:eastAsiaTheme="minorHAnsi" w:hAnsiTheme="minorHAnsi" w:cstheme="minorBidi"/>
          <w:snapToGrid/>
          <w:sz w:val="24"/>
          <w:szCs w:val="22"/>
        </w:rPr>
        <w:t>July 2017 resubmission</w:t>
      </w:r>
      <w:r w:rsidRPr="009F71CF">
        <w:rPr>
          <w:rFonts w:asciiTheme="minorHAnsi" w:eastAsiaTheme="minorHAnsi" w:hAnsiTheme="minorHAnsi" w:cstheme="minorBidi"/>
          <w:snapToGrid/>
          <w:sz w:val="24"/>
          <w:szCs w:val="22"/>
        </w:rPr>
        <w:t xml:space="preserve">. It was </w:t>
      </w:r>
      <w:r w:rsidR="00032EE1">
        <w:rPr>
          <w:rFonts w:asciiTheme="minorHAnsi" w:eastAsiaTheme="minorHAnsi" w:hAnsiTheme="minorHAnsi" w:cstheme="minorBidi"/>
          <w:snapToGrid/>
          <w:sz w:val="24"/>
          <w:szCs w:val="22"/>
        </w:rPr>
        <w:t>therefore considered</w:t>
      </w:r>
      <w:r w:rsidR="00032EE1" w:rsidRPr="009F71CF">
        <w:rPr>
          <w:rFonts w:asciiTheme="minorHAnsi" w:eastAsiaTheme="minorHAnsi" w:hAnsiTheme="minorHAnsi" w:cstheme="minorBidi"/>
          <w:snapToGrid/>
          <w:sz w:val="24"/>
          <w:szCs w:val="22"/>
        </w:rPr>
        <w:t xml:space="preserve"> </w:t>
      </w:r>
      <w:r w:rsidRPr="009F71CF">
        <w:rPr>
          <w:rFonts w:asciiTheme="minorHAnsi" w:eastAsiaTheme="minorHAnsi" w:hAnsiTheme="minorHAnsi" w:cstheme="minorBidi"/>
          <w:snapToGrid/>
          <w:sz w:val="24"/>
          <w:szCs w:val="22"/>
        </w:rPr>
        <w:t xml:space="preserve">that the </w:t>
      </w:r>
      <w:r w:rsidR="002A50C3" w:rsidRPr="009F71CF">
        <w:rPr>
          <w:rFonts w:asciiTheme="minorHAnsi" w:eastAsiaTheme="minorHAnsi" w:hAnsiTheme="minorHAnsi" w:cstheme="minorBidi"/>
          <w:snapToGrid/>
          <w:sz w:val="24"/>
          <w:szCs w:val="22"/>
        </w:rPr>
        <w:t xml:space="preserve">cost-minimised </w:t>
      </w:r>
      <w:r w:rsidRPr="009F71CF">
        <w:rPr>
          <w:rFonts w:asciiTheme="minorHAnsi" w:eastAsiaTheme="minorHAnsi" w:hAnsiTheme="minorHAnsi" w:cstheme="minorBidi"/>
          <w:snapToGrid/>
          <w:sz w:val="24"/>
          <w:szCs w:val="22"/>
        </w:rPr>
        <w:t xml:space="preserve">approach </w:t>
      </w:r>
      <w:r w:rsidR="00032EE1">
        <w:rPr>
          <w:rFonts w:asciiTheme="minorHAnsi" w:eastAsiaTheme="minorHAnsi" w:hAnsiTheme="minorHAnsi" w:cstheme="minorBidi"/>
          <w:snapToGrid/>
          <w:sz w:val="24"/>
          <w:szCs w:val="22"/>
        </w:rPr>
        <w:t>was</w:t>
      </w:r>
      <w:r w:rsidR="00032EE1" w:rsidRPr="009F71CF">
        <w:rPr>
          <w:rFonts w:asciiTheme="minorHAnsi" w:eastAsiaTheme="minorHAnsi" w:hAnsiTheme="minorHAnsi" w:cstheme="minorBidi"/>
          <w:snapToGrid/>
          <w:sz w:val="24"/>
          <w:szCs w:val="22"/>
        </w:rPr>
        <w:t xml:space="preserve"> </w:t>
      </w:r>
      <w:r w:rsidRPr="009F71CF">
        <w:rPr>
          <w:rFonts w:asciiTheme="minorHAnsi" w:eastAsiaTheme="minorHAnsi" w:hAnsiTheme="minorHAnsi" w:cstheme="minorBidi"/>
          <w:snapToGrid/>
          <w:sz w:val="24"/>
          <w:szCs w:val="22"/>
        </w:rPr>
        <w:t xml:space="preserve">unchanged from the July 2017 resubmission. The July 2017 </w:t>
      </w:r>
      <w:r w:rsidR="002A50C3" w:rsidRPr="009F71CF">
        <w:rPr>
          <w:rFonts w:asciiTheme="minorHAnsi" w:eastAsiaTheme="minorHAnsi" w:hAnsiTheme="minorHAnsi" w:cstheme="minorBidi"/>
          <w:snapToGrid/>
          <w:sz w:val="24"/>
          <w:szCs w:val="22"/>
        </w:rPr>
        <w:t>r</w:t>
      </w:r>
      <w:r w:rsidRPr="009F71CF">
        <w:rPr>
          <w:rFonts w:asciiTheme="minorHAnsi" w:eastAsiaTheme="minorHAnsi" w:hAnsiTheme="minorHAnsi" w:cstheme="minorBidi"/>
          <w:snapToGrid/>
          <w:sz w:val="24"/>
          <w:szCs w:val="22"/>
        </w:rPr>
        <w:t>esubmission proposed cost of $</w:t>
      </w:r>
      <w:r w:rsidR="002B57F5">
        <w:rPr>
          <w:rFonts w:asciiTheme="minorHAnsi" w:eastAsiaTheme="minorHAnsi" w:hAnsiTheme="minorHAnsi" w:cstheme="minorBidi"/>
          <w:noProof/>
          <w:snapToGrid/>
          <w:color w:val="000000"/>
          <w:sz w:val="24"/>
          <w:szCs w:val="22"/>
          <w:highlight w:val="black"/>
        </w:rPr>
        <w:t>''''''''''''''</w:t>
      </w:r>
      <w:r w:rsidRPr="009F71CF">
        <w:rPr>
          <w:rFonts w:asciiTheme="minorHAnsi" w:eastAsiaTheme="minorHAnsi" w:hAnsiTheme="minorHAnsi" w:cstheme="minorBidi"/>
          <w:snapToGrid/>
          <w:sz w:val="24"/>
          <w:szCs w:val="22"/>
        </w:rPr>
        <w:t xml:space="preserve"> per patient per year with the weight of ERT use based on the proportions of </w:t>
      </w:r>
      <w:r w:rsidR="002A50C3" w:rsidRPr="009F71CF">
        <w:rPr>
          <w:rFonts w:asciiTheme="minorHAnsi" w:eastAsiaTheme="minorHAnsi" w:hAnsiTheme="minorHAnsi" w:cstheme="minorBidi"/>
          <w:snapToGrid/>
          <w:sz w:val="24"/>
          <w:szCs w:val="22"/>
        </w:rPr>
        <w:t xml:space="preserve">agalsidase alfa and agalsidase beta </w:t>
      </w:r>
      <w:r w:rsidRPr="009F71CF">
        <w:rPr>
          <w:rFonts w:asciiTheme="minorHAnsi" w:eastAsiaTheme="minorHAnsi" w:hAnsiTheme="minorHAnsi" w:cstheme="minorBidi"/>
          <w:snapToGrid/>
          <w:sz w:val="24"/>
          <w:szCs w:val="22"/>
        </w:rPr>
        <w:t>used in the ATTRACT trial (</w:t>
      </w:r>
      <w:r w:rsidRPr="006C3E73">
        <w:rPr>
          <w:rFonts w:asciiTheme="minorHAnsi" w:eastAsiaTheme="minorHAnsi" w:hAnsiTheme="minorHAnsi" w:cstheme="minorBidi"/>
          <w:snapToGrid/>
          <w:sz w:val="24"/>
          <w:szCs w:val="22"/>
        </w:rPr>
        <w:t>66.1% and 33.9%, respectively</w:t>
      </w:r>
      <w:r w:rsidRPr="009F71CF">
        <w:rPr>
          <w:rFonts w:asciiTheme="minorHAnsi" w:eastAsiaTheme="minorHAnsi" w:hAnsiTheme="minorHAnsi" w:cstheme="minorBidi"/>
          <w:snapToGrid/>
          <w:sz w:val="24"/>
          <w:szCs w:val="22"/>
        </w:rPr>
        <w:t>).</w:t>
      </w:r>
    </w:p>
    <w:p w:rsidR="002A50C3" w:rsidRPr="009F71CF" w:rsidRDefault="002A50C3" w:rsidP="002A50C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 xml:space="preserve">The pre-PBAC response reiterated that migalastat will provide cost-savings to the Government by </w:t>
      </w:r>
      <w:r w:rsidR="002B57F5">
        <w:rPr>
          <w:rFonts w:asciiTheme="minorHAnsi" w:eastAsiaTheme="minorHAnsi" w:hAnsiTheme="minorHAnsi" w:cstheme="minorBidi"/>
          <w:noProof/>
          <w:snapToGrid/>
          <w:color w:val="000000"/>
          <w:sz w:val="24"/>
          <w:szCs w:val="22"/>
          <w:highlight w:val="black"/>
        </w:rPr>
        <w:t>'''''''''' '''''''' ''''''''''''''''' ''''''''' ''''''''''''''' '''''''''''''''''' '''''''''''''</w:t>
      </w:r>
      <w:r w:rsidRPr="009F71CF">
        <w:rPr>
          <w:rFonts w:asciiTheme="minorHAnsi" w:eastAsiaTheme="minorHAnsi" w:hAnsiTheme="minorHAnsi" w:cstheme="minorBidi"/>
          <w:snapToGrid/>
          <w:sz w:val="24"/>
          <w:szCs w:val="22"/>
        </w:rPr>
        <w:t>, and by avoiding the costs of hospital-based infusions.</w:t>
      </w:r>
    </w:p>
    <w:p w:rsidR="003006B3" w:rsidRPr="009F71CF" w:rsidRDefault="003006B3" w:rsidP="00571679">
      <w:pPr>
        <w:pStyle w:val="Heading2"/>
        <w:rPr>
          <w:rFonts w:asciiTheme="minorHAnsi" w:eastAsiaTheme="majorEastAsia" w:hAnsiTheme="minorHAnsi" w:cstheme="majorBidi"/>
          <w:sz w:val="28"/>
          <w:szCs w:val="28"/>
          <w:lang w:eastAsia="en-US"/>
        </w:rPr>
      </w:pPr>
      <w:bookmarkStart w:id="8" w:name="_Toc413139283"/>
      <w:bookmarkStart w:id="9" w:name="_Toc492307661"/>
      <w:r w:rsidRPr="009F71CF">
        <w:rPr>
          <w:rFonts w:asciiTheme="minorHAnsi" w:eastAsiaTheme="majorEastAsia" w:hAnsiTheme="minorHAnsi" w:cstheme="majorBidi"/>
          <w:sz w:val="28"/>
          <w:szCs w:val="28"/>
          <w:lang w:eastAsia="en-US"/>
        </w:rPr>
        <w:t>Drug cost/patient/year</w:t>
      </w:r>
      <w:bookmarkEnd w:id="8"/>
      <w:bookmarkEnd w:id="9"/>
      <w:r w:rsidR="002A50C3" w:rsidRPr="009F71CF">
        <w:rPr>
          <w:rFonts w:asciiTheme="minorHAnsi" w:eastAsiaTheme="majorEastAsia" w:hAnsiTheme="minorHAnsi" w:cstheme="majorBidi"/>
          <w:sz w:val="28"/>
          <w:szCs w:val="28"/>
          <w:lang w:eastAsia="en-US"/>
        </w:rPr>
        <w:t>: $</w:t>
      </w:r>
      <w:r w:rsidR="002B57F5">
        <w:rPr>
          <w:rFonts w:asciiTheme="minorHAnsi" w:eastAsiaTheme="majorEastAsia" w:hAnsiTheme="minorHAnsi" w:cstheme="majorBidi"/>
          <w:noProof/>
          <w:color w:val="000000"/>
          <w:sz w:val="28"/>
          <w:szCs w:val="28"/>
          <w:highlight w:val="black"/>
          <w:lang w:eastAsia="en-US"/>
        </w:rPr>
        <w:t>''''''''''''''</w:t>
      </w:r>
    </w:p>
    <w:p w:rsidR="005A3173" w:rsidRPr="009F71CF" w:rsidRDefault="005A3173" w:rsidP="008306F3">
      <w:pPr>
        <w:pStyle w:val="Heading2"/>
        <w:keepLines/>
        <w:spacing w:before="240" w:after="120"/>
        <w:rPr>
          <w:rFonts w:asciiTheme="minorHAnsi" w:eastAsiaTheme="majorEastAsia" w:hAnsiTheme="minorHAnsi" w:cstheme="majorBidi"/>
          <w:sz w:val="28"/>
          <w:szCs w:val="28"/>
          <w:lang w:eastAsia="en-US"/>
        </w:rPr>
      </w:pPr>
      <w:r w:rsidRPr="009F71CF">
        <w:rPr>
          <w:rFonts w:asciiTheme="minorHAnsi" w:eastAsiaTheme="majorEastAsia" w:hAnsiTheme="minorHAnsi" w:cstheme="majorBidi"/>
          <w:sz w:val="28"/>
          <w:szCs w:val="28"/>
          <w:lang w:eastAsia="en-US"/>
        </w:rPr>
        <w:t>Estimated PBS usage &amp; financial implications</w:t>
      </w:r>
    </w:p>
    <w:p w:rsidR="00571679" w:rsidRPr="009F71CF" w:rsidRDefault="002A50C3" w:rsidP="002A50C3">
      <w:pPr>
        <w:pStyle w:val="ListParagraph"/>
        <w:widowControl/>
        <w:numPr>
          <w:ilvl w:val="1"/>
          <w:numId w:val="14"/>
        </w:numPr>
        <w:spacing w:after="120"/>
        <w:contextualSpacing w:val="0"/>
        <w:rPr>
          <w:rFonts w:asciiTheme="minorHAnsi" w:hAnsiTheme="minorHAnsi"/>
        </w:rPr>
      </w:pPr>
      <w:r w:rsidRPr="009F71CF">
        <w:rPr>
          <w:rFonts w:asciiTheme="minorHAnsi" w:eastAsiaTheme="minorHAnsi" w:hAnsiTheme="minorHAnsi" w:cstheme="minorBidi"/>
          <w:snapToGrid/>
          <w:sz w:val="24"/>
          <w:szCs w:val="22"/>
        </w:rPr>
        <w:t>The estimated PBS usage &amp; financial implications</w:t>
      </w:r>
      <w:r w:rsidR="00571679" w:rsidRPr="009F71CF">
        <w:rPr>
          <w:rFonts w:asciiTheme="minorHAnsi" w:eastAsiaTheme="minorHAnsi" w:hAnsiTheme="minorHAnsi" w:cstheme="minorBidi"/>
          <w:snapToGrid/>
          <w:sz w:val="24"/>
          <w:szCs w:val="22"/>
        </w:rPr>
        <w:t xml:space="preserve"> </w:t>
      </w:r>
      <w:r w:rsidR="009F71CF" w:rsidRPr="009F71CF">
        <w:rPr>
          <w:rFonts w:asciiTheme="minorHAnsi" w:eastAsiaTheme="minorHAnsi" w:hAnsiTheme="minorHAnsi" w:cstheme="minorBidi"/>
          <w:snapToGrid/>
          <w:sz w:val="24"/>
          <w:szCs w:val="22"/>
        </w:rPr>
        <w:t>w</w:t>
      </w:r>
      <w:r w:rsidR="009F71CF">
        <w:rPr>
          <w:rFonts w:asciiTheme="minorHAnsi" w:eastAsiaTheme="minorHAnsi" w:hAnsiTheme="minorHAnsi" w:cstheme="minorBidi"/>
          <w:snapToGrid/>
          <w:sz w:val="24"/>
          <w:szCs w:val="22"/>
        </w:rPr>
        <w:t>ere</w:t>
      </w:r>
      <w:r w:rsidR="009F71CF" w:rsidRPr="009F71CF">
        <w:rPr>
          <w:rFonts w:asciiTheme="minorHAnsi" w:eastAsiaTheme="minorHAnsi" w:hAnsiTheme="minorHAnsi" w:cstheme="minorBidi"/>
          <w:snapToGrid/>
          <w:sz w:val="24"/>
          <w:szCs w:val="22"/>
        </w:rPr>
        <w:t xml:space="preserve"> </w:t>
      </w:r>
      <w:r w:rsidR="00571679" w:rsidRPr="009F71CF">
        <w:rPr>
          <w:rFonts w:asciiTheme="minorHAnsi" w:eastAsiaTheme="minorHAnsi" w:hAnsiTheme="minorHAnsi" w:cstheme="minorBidi"/>
          <w:snapToGrid/>
          <w:sz w:val="24"/>
          <w:szCs w:val="22"/>
        </w:rPr>
        <w:t>not directly discussed</w:t>
      </w:r>
      <w:r w:rsidRPr="009F71CF">
        <w:rPr>
          <w:rFonts w:asciiTheme="minorHAnsi" w:eastAsiaTheme="minorHAnsi" w:hAnsiTheme="minorHAnsi" w:cstheme="minorBidi"/>
          <w:snapToGrid/>
          <w:sz w:val="24"/>
          <w:szCs w:val="22"/>
        </w:rPr>
        <w:t xml:space="preserve"> in this resubmission</w:t>
      </w:r>
      <w:r w:rsidR="00571679" w:rsidRPr="009F71CF">
        <w:rPr>
          <w:rFonts w:asciiTheme="minorHAnsi" w:eastAsiaTheme="minorHAnsi" w:hAnsiTheme="minorHAnsi" w:cstheme="minorBidi"/>
          <w:snapToGrid/>
          <w:sz w:val="24"/>
          <w:szCs w:val="22"/>
        </w:rPr>
        <w:t>.</w:t>
      </w:r>
      <w:r w:rsidRPr="009F71CF">
        <w:rPr>
          <w:rFonts w:asciiTheme="minorHAnsi" w:eastAsiaTheme="minorHAnsi" w:hAnsiTheme="minorHAnsi" w:cstheme="minorBidi"/>
          <w:snapToGrid/>
          <w:sz w:val="24"/>
          <w:szCs w:val="22"/>
        </w:rPr>
        <w:t xml:space="preserve"> </w:t>
      </w:r>
      <w:r w:rsidR="00032EE1">
        <w:rPr>
          <w:rFonts w:asciiTheme="minorHAnsi" w:eastAsiaTheme="minorHAnsi" w:hAnsiTheme="minorHAnsi" w:cstheme="minorBidi"/>
          <w:snapToGrid/>
          <w:sz w:val="24"/>
          <w:szCs w:val="22"/>
        </w:rPr>
        <w:t>T</w:t>
      </w:r>
      <w:r w:rsidR="00571679" w:rsidRPr="009F71CF">
        <w:rPr>
          <w:rFonts w:asciiTheme="minorHAnsi" w:eastAsiaTheme="minorHAnsi" w:hAnsiTheme="minorHAnsi" w:cstheme="minorBidi"/>
          <w:snapToGrid/>
          <w:sz w:val="24"/>
          <w:szCs w:val="22"/>
        </w:rPr>
        <w:t>he</w:t>
      </w:r>
      <w:r w:rsidR="00BC6B79" w:rsidRPr="009F71CF">
        <w:rPr>
          <w:rFonts w:asciiTheme="minorHAnsi" w:eastAsiaTheme="minorHAnsi" w:hAnsiTheme="minorHAnsi" w:cstheme="minorBidi"/>
          <w:snapToGrid/>
          <w:sz w:val="24"/>
          <w:szCs w:val="22"/>
        </w:rPr>
        <w:t xml:space="preserve"> </w:t>
      </w:r>
      <w:r w:rsidR="00571679" w:rsidRPr="009F71CF">
        <w:rPr>
          <w:rFonts w:asciiTheme="minorHAnsi" w:eastAsiaTheme="minorHAnsi" w:hAnsiTheme="minorHAnsi" w:cstheme="minorBidi"/>
          <w:snapToGrid/>
          <w:sz w:val="24"/>
          <w:szCs w:val="22"/>
        </w:rPr>
        <w:t xml:space="preserve">calculation of </w:t>
      </w:r>
      <w:r w:rsidR="00BC6B79" w:rsidRPr="009F71CF">
        <w:rPr>
          <w:rFonts w:asciiTheme="minorHAnsi" w:eastAsiaTheme="minorHAnsi" w:hAnsiTheme="minorHAnsi" w:cstheme="minorBidi"/>
          <w:snapToGrid/>
          <w:sz w:val="24"/>
          <w:szCs w:val="22"/>
        </w:rPr>
        <w:t xml:space="preserve">estimated PBS usage and financial implications were </w:t>
      </w:r>
      <w:r w:rsidR="00032EE1">
        <w:rPr>
          <w:rFonts w:asciiTheme="minorHAnsi" w:eastAsiaTheme="minorHAnsi" w:hAnsiTheme="minorHAnsi" w:cstheme="minorBidi"/>
          <w:snapToGrid/>
          <w:sz w:val="24"/>
          <w:szCs w:val="22"/>
        </w:rPr>
        <w:t xml:space="preserve">considered to be </w:t>
      </w:r>
      <w:r w:rsidR="00BC6B79" w:rsidRPr="009F71CF">
        <w:rPr>
          <w:rFonts w:asciiTheme="minorHAnsi" w:eastAsiaTheme="minorHAnsi" w:hAnsiTheme="minorHAnsi" w:cstheme="minorBidi"/>
          <w:snapToGrid/>
          <w:sz w:val="24"/>
          <w:szCs w:val="22"/>
        </w:rPr>
        <w:t xml:space="preserve">unchanged from the previous submission. </w:t>
      </w:r>
    </w:p>
    <w:p w:rsidR="00BB7EC3" w:rsidRPr="009F71CF" w:rsidRDefault="006F4AD9" w:rsidP="002A50C3">
      <w:pPr>
        <w:pStyle w:val="ListParagraph"/>
        <w:widowControl/>
        <w:numPr>
          <w:ilvl w:val="1"/>
          <w:numId w:val="14"/>
        </w:numPr>
        <w:spacing w:after="120"/>
        <w:contextualSpacing w:val="0"/>
        <w:rPr>
          <w:rFonts w:asciiTheme="minorHAnsi" w:hAnsiTheme="minorHAnsi"/>
        </w:rPr>
      </w:pPr>
      <w:r w:rsidRPr="009F71CF">
        <w:rPr>
          <w:rFonts w:asciiTheme="minorHAnsi" w:eastAsiaTheme="minorHAnsi" w:hAnsiTheme="minorHAnsi" w:cstheme="minorBidi"/>
          <w:snapToGrid/>
          <w:sz w:val="24"/>
          <w:szCs w:val="22"/>
        </w:rPr>
        <w:t xml:space="preserve">The March 2017 major submission stated that there were at least 280 Fabry patients registered in Australia. </w:t>
      </w:r>
    </w:p>
    <w:p w:rsidR="00AC02E8" w:rsidRPr="009F71CF" w:rsidRDefault="00AC02E8" w:rsidP="00BC6B79">
      <w:pPr>
        <w:pStyle w:val="ListParagraph"/>
        <w:widowControl/>
        <w:numPr>
          <w:ilvl w:val="1"/>
          <w:numId w:val="14"/>
        </w:numPr>
        <w:spacing w:after="120"/>
        <w:contextualSpacing w:val="0"/>
        <w:rPr>
          <w:rFonts w:asciiTheme="minorHAnsi" w:hAnsiTheme="minorHAnsi"/>
        </w:rPr>
      </w:pPr>
      <w:r w:rsidRPr="009F71CF">
        <w:rPr>
          <w:rFonts w:asciiTheme="minorHAnsi" w:eastAsiaTheme="minorHAnsi" w:hAnsiTheme="minorHAnsi" w:cstheme="minorBidi"/>
          <w:snapToGrid/>
          <w:sz w:val="24"/>
          <w:szCs w:val="22"/>
        </w:rPr>
        <w:t xml:space="preserve">The July 2017 </w:t>
      </w:r>
      <w:r w:rsidR="00426EC8">
        <w:rPr>
          <w:rFonts w:asciiTheme="minorHAnsi" w:eastAsiaTheme="minorHAnsi" w:hAnsiTheme="minorHAnsi" w:cstheme="minorBidi"/>
          <w:snapToGrid/>
          <w:sz w:val="24"/>
          <w:szCs w:val="22"/>
        </w:rPr>
        <w:t>Public Summary Document</w:t>
      </w:r>
      <w:r w:rsidRPr="009F71CF">
        <w:rPr>
          <w:rFonts w:asciiTheme="minorHAnsi" w:eastAsiaTheme="minorHAnsi" w:hAnsiTheme="minorHAnsi" w:cstheme="minorBidi"/>
          <w:snapToGrid/>
          <w:sz w:val="24"/>
          <w:szCs w:val="22"/>
        </w:rPr>
        <w:t xml:space="preserve"> </w:t>
      </w:r>
      <w:r w:rsidR="00B33062" w:rsidRPr="009F71CF">
        <w:rPr>
          <w:rFonts w:asciiTheme="minorHAnsi" w:eastAsiaTheme="minorHAnsi" w:hAnsiTheme="minorHAnsi" w:cstheme="minorBidi"/>
          <w:snapToGrid/>
          <w:sz w:val="24"/>
          <w:szCs w:val="22"/>
        </w:rPr>
        <w:t xml:space="preserve">(paragraph 5.8) </w:t>
      </w:r>
      <w:r w:rsidRPr="009F71CF">
        <w:rPr>
          <w:rFonts w:asciiTheme="minorHAnsi" w:eastAsiaTheme="minorHAnsi" w:hAnsiTheme="minorHAnsi" w:cstheme="minorBidi"/>
          <w:snapToGrid/>
          <w:sz w:val="24"/>
          <w:szCs w:val="22"/>
        </w:rPr>
        <w:t xml:space="preserve">noted the following concerns: </w:t>
      </w:r>
    </w:p>
    <w:p w:rsidR="00AC02E8" w:rsidRPr="009F71CF" w:rsidRDefault="00AC02E8" w:rsidP="00AC02E8">
      <w:pPr>
        <w:pStyle w:val="ListParagraph"/>
        <w:rPr>
          <w:rFonts w:asciiTheme="minorHAnsi" w:hAnsiTheme="minorHAnsi"/>
          <w:sz w:val="24"/>
          <w:szCs w:val="24"/>
        </w:rPr>
      </w:pPr>
      <w:r w:rsidRPr="009F71CF">
        <w:rPr>
          <w:rFonts w:asciiTheme="minorHAnsi" w:hAnsiTheme="minorHAnsi"/>
          <w:sz w:val="24"/>
          <w:szCs w:val="24"/>
        </w:rPr>
        <w:t>The minor resubmission claimed that there would a cost saving to Government by subsidising migalastat. The PBAC noted that the cost of migalastat was different to agalsidase alfa and agalsidase beta. The PBAC noted that the size of potential savings to Government depends on the methods by which the patient numbers and market share of ERTs are calculated. In addition, the PBAC remained concerned that risks which may impact on the financial cost include:</w:t>
      </w:r>
    </w:p>
    <w:p w:rsidR="00AC02E8" w:rsidRPr="009F71CF" w:rsidRDefault="00AC02E8" w:rsidP="00AC02E8">
      <w:pPr>
        <w:pStyle w:val="ListParagraph"/>
        <w:numPr>
          <w:ilvl w:val="0"/>
          <w:numId w:val="18"/>
        </w:numPr>
        <w:rPr>
          <w:rFonts w:asciiTheme="minorHAnsi" w:hAnsiTheme="minorHAnsi"/>
          <w:sz w:val="24"/>
          <w:szCs w:val="24"/>
        </w:rPr>
      </w:pPr>
      <w:r w:rsidRPr="009F71CF">
        <w:rPr>
          <w:rFonts w:asciiTheme="minorHAnsi" w:hAnsiTheme="minorHAnsi"/>
          <w:sz w:val="24"/>
          <w:szCs w:val="24"/>
        </w:rPr>
        <w:t>the potential for unintended use in patients with non-amenable mutations, related to the Committee’s earlier concerns about the performance of testing; and</w:t>
      </w:r>
    </w:p>
    <w:p w:rsidR="00AC02E8" w:rsidRPr="009F71CF" w:rsidRDefault="00AC02E8" w:rsidP="00AC02E8">
      <w:pPr>
        <w:pStyle w:val="ListParagraph"/>
        <w:numPr>
          <w:ilvl w:val="0"/>
          <w:numId w:val="18"/>
        </w:numPr>
        <w:rPr>
          <w:rFonts w:asciiTheme="minorHAnsi" w:hAnsiTheme="minorHAnsi"/>
          <w:sz w:val="24"/>
          <w:szCs w:val="24"/>
        </w:rPr>
      </w:pPr>
      <w:r w:rsidRPr="009F71CF">
        <w:rPr>
          <w:rFonts w:asciiTheme="minorHAnsi" w:hAnsiTheme="minorHAnsi"/>
          <w:sz w:val="24"/>
          <w:szCs w:val="24"/>
        </w:rPr>
        <w:t>migalastat being used in combination with, rather than instead of, ERT, given their different mechanisms of action, as discussed in the March 2017 PBAC meeting.</w:t>
      </w:r>
    </w:p>
    <w:p w:rsidR="00AC02E8" w:rsidRPr="009F71CF" w:rsidRDefault="00AC02E8" w:rsidP="00AC02E8">
      <w:pPr>
        <w:pStyle w:val="ListParagraph"/>
        <w:rPr>
          <w:rFonts w:asciiTheme="minorHAnsi" w:hAnsiTheme="minorHAnsi"/>
          <w:sz w:val="24"/>
          <w:szCs w:val="24"/>
        </w:rPr>
      </w:pPr>
      <w:r w:rsidRPr="009F71CF">
        <w:rPr>
          <w:rFonts w:asciiTheme="minorHAnsi" w:hAnsiTheme="minorHAnsi"/>
          <w:sz w:val="24"/>
          <w:szCs w:val="24"/>
        </w:rPr>
        <w:t>Overall, at the price proposed in the submission, the PBAC considered that the claims of cost saving, or even cost-neutrality, may not be realised.</w:t>
      </w:r>
    </w:p>
    <w:p w:rsidR="00BA5CC3" w:rsidRPr="009F71CF" w:rsidRDefault="00BA5CC3" w:rsidP="00AC02E8">
      <w:pPr>
        <w:pStyle w:val="ListParagraph"/>
        <w:rPr>
          <w:rFonts w:asciiTheme="minorHAnsi" w:hAnsiTheme="minorHAnsi"/>
          <w:sz w:val="24"/>
          <w:szCs w:val="24"/>
        </w:rPr>
      </w:pPr>
    </w:p>
    <w:p w:rsidR="00BA5CC3" w:rsidRPr="009F71CF" w:rsidRDefault="00BA5CC3" w:rsidP="00A46A78">
      <w:pPr>
        <w:ind w:left="709"/>
        <w:rPr>
          <w:rFonts w:asciiTheme="minorHAnsi" w:hAnsiTheme="minorHAnsi"/>
          <w:i/>
        </w:rPr>
      </w:pPr>
      <w:r w:rsidRPr="009F71CF">
        <w:rPr>
          <w:rFonts w:asciiTheme="minorHAnsi" w:hAnsiTheme="minorHAnsi"/>
          <w:i/>
        </w:rPr>
        <w:t>For more detail on PBAC’s view, see section 6 PBAC outcome.</w:t>
      </w:r>
    </w:p>
    <w:p w:rsidR="00A46A78" w:rsidRPr="009F71CF" w:rsidRDefault="00A46A78" w:rsidP="00A04FFE">
      <w:pPr>
        <w:pStyle w:val="Heading1"/>
        <w:keepNext/>
        <w:keepLines/>
        <w:widowControl/>
        <w:numPr>
          <w:ilvl w:val="0"/>
          <w:numId w:val="14"/>
        </w:numPr>
        <w:spacing w:before="240"/>
        <w:ind w:left="709" w:hanging="709"/>
        <w:contextualSpacing w:val="0"/>
        <w:jc w:val="left"/>
        <w:rPr>
          <w:rFonts w:asciiTheme="minorHAnsi" w:hAnsiTheme="minorHAnsi"/>
          <w:b w:val="0"/>
          <w:bCs/>
          <w:sz w:val="32"/>
        </w:rPr>
      </w:pPr>
      <w:r w:rsidRPr="009F71CF">
        <w:rPr>
          <w:rFonts w:asciiTheme="minorHAnsi" w:hAnsiTheme="minorHAnsi"/>
          <w:bCs/>
          <w:sz w:val="32"/>
        </w:rPr>
        <w:t>PBAC Outcome</w:t>
      </w:r>
    </w:p>
    <w:p w:rsidR="00A46A78" w:rsidRPr="009F71CF" w:rsidRDefault="00A46A78" w:rsidP="00A46A78">
      <w:pPr>
        <w:contextualSpacing/>
        <w:jc w:val="both"/>
        <w:rPr>
          <w:rFonts w:asciiTheme="minorHAnsi" w:hAnsiTheme="minorHAnsi" w:cs="Arial"/>
          <w:b/>
          <w:bCs/>
          <w:snapToGrid w:val="0"/>
        </w:rPr>
      </w:pPr>
    </w:p>
    <w:p w:rsidR="005C0DA0" w:rsidRPr="009F71CF" w:rsidRDefault="005C0DA0" w:rsidP="005C0DA0">
      <w:pPr>
        <w:widowControl w:val="0"/>
        <w:numPr>
          <w:ilvl w:val="1"/>
          <w:numId w:val="5"/>
        </w:numPr>
        <w:jc w:val="both"/>
        <w:rPr>
          <w:rFonts w:asciiTheme="minorHAnsi" w:hAnsiTheme="minorHAnsi" w:cs="Arial"/>
          <w:bCs/>
          <w:snapToGrid w:val="0"/>
          <w:lang w:eastAsia="en-US"/>
        </w:rPr>
      </w:pPr>
      <w:r w:rsidRPr="009F71CF">
        <w:rPr>
          <w:rFonts w:asciiTheme="minorHAnsi" w:hAnsiTheme="minorHAnsi" w:cs="Arial"/>
          <w:bCs/>
          <w:snapToGrid w:val="0"/>
          <w:lang w:eastAsia="en-US"/>
        </w:rPr>
        <w:t xml:space="preserve">The PBAC did not recommend the Section 100 (Highly Specialised Drug Program) Authority Required listing of migalastat for the treatment of Fabry disease. In making this decision the PBAC </w:t>
      </w:r>
      <w:r w:rsidR="00034AA8">
        <w:rPr>
          <w:rFonts w:asciiTheme="minorHAnsi" w:hAnsiTheme="minorHAnsi" w:cs="Arial"/>
          <w:bCs/>
          <w:snapToGrid w:val="0"/>
          <w:lang w:eastAsia="en-US"/>
        </w:rPr>
        <w:t>considered</w:t>
      </w:r>
      <w:r w:rsidR="00032EE1">
        <w:rPr>
          <w:rFonts w:asciiTheme="minorHAnsi" w:hAnsiTheme="minorHAnsi" w:cs="Arial"/>
          <w:bCs/>
          <w:snapToGrid w:val="0"/>
          <w:lang w:eastAsia="en-US"/>
        </w:rPr>
        <w:t xml:space="preserve"> that</w:t>
      </w:r>
      <w:r w:rsidR="00032EE1" w:rsidRPr="009F71CF">
        <w:rPr>
          <w:rFonts w:asciiTheme="minorHAnsi" w:hAnsiTheme="minorHAnsi" w:cs="Arial"/>
          <w:bCs/>
          <w:snapToGrid w:val="0"/>
          <w:lang w:eastAsia="en-US"/>
        </w:rPr>
        <w:t xml:space="preserve"> </w:t>
      </w:r>
      <w:r w:rsidRPr="009F71CF">
        <w:rPr>
          <w:rFonts w:asciiTheme="minorHAnsi" w:hAnsiTheme="minorHAnsi" w:cs="Arial"/>
          <w:bCs/>
          <w:snapToGrid w:val="0"/>
          <w:lang w:eastAsia="en-US"/>
        </w:rPr>
        <w:t>the submission’s clinical claim of non-inferior comparative effectiveness compared with enzyme replacement therapy (ERT)</w:t>
      </w:r>
      <w:r w:rsidR="00BC58BF">
        <w:rPr>
          <w:rFonts w:asciiTheme="minorHAnsi" w:hAnsiTheme="minorHAnsi" w:cs="Arial"/>
          <w:bCs/>
          <w:snapToGrid w:val="0"/>
          <w:lang w:eastAsia="en-US"/>
        </w:rPr>
        <w:t xml:space="preserve"> remained uncertain</w:t>
      </w:r>
      <w:r w:rsidR="000A4706">
        <w:rPr>
          <w:rFonts w:asciiTheme="minorHAnsi" w:hAnsiTheme="minorHAnsi" w:cs="Arial"/>
          <w:bCs/>
          <w:snapToGrid w:val="0"/>
          <w:lang w:eastAsia="en-US"/>
        </w:rPr>
        <w:t xml:space="preserve"> and could not be supported</w:t>
      </w:r>
      <w:r w:rsidRPr="009F71CF">
        <w:rPr>
          <w:rFonts w:asciiTheme="minorHAnsi" w:hAnsiTheme="minorHAnsi" w:cs="Arial"/>
          <w:bCs/>
          <w:snapToGrid w:val="0"/>
          <w:lang w:eastAsia="en-US"/>
        </w:rPr>
        <w:t>.</w:t>
      </w:r>
    </w:p>
    <w:p w:rsidR="005C0DA0" w:rsidRPr="009F71CF" w:rsidRDefault="005C0DA0" w:rsidP="005C0DA0">
      <w:pPr>
        <w:widowControl w:val="0"/>
        <w:jc w:val="both"/>
        <w:rPr>
          <w:rFonts w:asciiTheme="minorHAnsi" w:hAnsiTheme="minorHAnsi" w:cs="Arial"/>
          <w:bCs/>
          <w:snapToGrid w:val="0"/>
          <w:lang w:eastAsia="en-US"/>
        </w:rPr>
      </w:pPr>
    </w:p>
    <w:p w:rsidR="005C0DA0" w:rsidRPr="009F71CF" w:rsidRDefault="005C0DA0" w:rsidP="005C0DA0">
      <w:pPr>
        <w:pStyle w:val="ListParagraph"/>
        <w:numPr>
          <w:ilvl w:val="1"/>
          <w:numId w:val="5"/>
        </w:numPr>
        <w:rPr>
          <w:rFonts w:asciiTheme="minorHAnsi" w:hAnsiTheme="minorHAnsi"/>
          <w:bCs/>
          <w:sz w:val="24"/>
          <w:szCs w:val="24"/>
        </w:rPr>
      </w:pPr>
      <w:r w:rsidRPr="009F71CF">
        <w:rPr>
          <w:rFonts w:asciiTheme="minorHAnsi" w:hAnsiTheme="minorHAnsi"/>
          <w:bCs/>
          <w:sz w:val="24"/>
          <w:szCs w:val="24"/>
        </w:rPr>
        <w:t>The PBAC reiterated that agalsidase alfa and agalsidase beta (used in ERT) were the appropriate comparators for migalastat. These two treatments are not listed on the PBS and have not been considered to be cost-effective for listing on the PBS.</w:t>
      </w:r>
    </w:p>
    <w:p w:rsidR="005C0DA0" w:rsidRPr="009F71CF" w:rsidRDefault="005C0DA0" w:rsidP="005C0DA0">
      <w:pPr>
        <w:rPr>
          <w:rFonts w:asciiTheme="minorHAnsi" w:hAnsiTheme="minorHAnsi"/>
          <w:bCs/>
        </w:rPr>
      </w:pPr>
    </w:p>
    <w:p w:rsidR="00065569" w:rsidRPr="009F71CF" w:rsidRDefault="00065569" w:rsidP="00945EB4">
      <w:pPr>
        <w:widowControl w:val="0"/>
        <w:numPr>
          <w:ilvl w:val="1"/>
          <w:numId w:val="5"/>
        </w:numPr>
        <w:jc w:val="both"/>
        <w:rPr>
          <w:rFonts w:asciiTheme="minorHAnsi" w:hAnsiTheme="minorHAnsi"/>
          <w:bCs/>
        </w:rPr>
      </w:pPr>
      <w:r w:rsidRPr="009F71CF">
        <w:rPr>
          <w:rFonts w:asciiTheme="minorHAnsi" w:hAnsiTheme="minorHAnsi"/>
          <w:bCs/>
        </w:rPr>
        <w:t>The PBAC noted the</w:t>
      </w:r>
      <w:r w:rsidR="00945EB4" w:rsidRPr="009F71CF">
        <w:rPr>
          <w:rFonts w:asciiTheme="minorHAnsi" w:hAnsiTheme="minorHAnsi"/>
          <w:bCs/>
        </w:rPr>
        <w:t xml:space="preserve"> additional clinical evidence provided in the </w:t>
      </w:r>
      <w:r w:rsidR="007C73AD" w:rsidRPr="009F71CF">
        <w:rPr>
          <w:rFonts w:asciiTheme="minorHAnsi" w:hAnsiTheme="minorHAnsi"/>
          <w:bCs/>
        </w:rPr>
        <w:t>re</w:t>
      </w:r>
      <w:r w:rsidR="00945EB4" w:rsidRPr="009F71CF">
        <w:rPr>
          <w:rFonts w:asciiTheme="minorHAnsi" w:hAnsiTheme="minorHAnsi"/>
          <w:bCs/>
        </w:rPr>
        <w:t>submission was derived from analysis of the ATTRACT study, FACETS study, phase 2 studies, and the extension study AT10001-041</w:t>
      </w:r>
      <w:r w:rsidR="00C51A30" w:rsidRPr="009F71CF">
        <w:rPr>
          <w:rFonts w:asciiTheme="minorHAnsi" w:hAnsiTheme="minorHAnsi"/>
          <w:bCs/>
        </w:rPr>
        <w:t xml:space="preserve">. </w:t>
      </w:r>
      <w:r w:rsidR="00993B92" w:rsidRPr="009F71CF">
        <w:rPr>
          <w:rFonts w:asciiTheme="minorHAnsi" w:hAnsiTheme="minorHAnsi"/>
          <w:bCs/>
        </w:rPr>
        <w:t xml:space="preserve">The PBAC recognised that Fabry disease is a rare condition leading to difficulties undertaking clinical trials in this patient population, and recalled that it had considered annualised change in GFR was a reliable marker of long-term kidney outcome. </w:t>
      </w:r>
      <w:r w:rsidR="00945EB4" w:rsidRPr="009F71CF">
        <w:rPr>
          <w:rFonts w:asciiTheme="minorHAnsi" w:hAnsiTheme="minorHAnsi"/>
          <w:bCs/>
        </w:rPr>
        <w:t>The PBAC</w:t>
      </w:r>
      <w:r w:rsidR="00993B92" w:rsidRPr="009F71CF">
        <w:rPr>
          <w:rFonts w:asciiTheme="minorHAnsi" w:hAnsiTheme="minorHAnsi"/>
          <w:bCs/>
        </w:rPr>
        <w:t xml:space="preserve"> noted</w:t>
      </w:r>
      <w:r w:rsidR="00032EE1">
        <w:rPr>
          <w:rFonts w:asciiTheme="minorHAnsi" w:hAnsiTheme="minorHAnsi"/>
          <w:bCs/>
        </w:rPr>
        <w:t xml:space="preserve"> that</w:t>
      </w:r>
      <w:r w:rsidR="00993B92" w:rsidRPr="009F71CF">
        <w:rPr>
          <w:rFonts w:asciiTheme="minorHAnsi" w:hAnsiTheme="minorHAnsi"/>
          <w:bCs/>
        </w:rPr>
        <w:t xml:space="preserve"> while </w:t>
      </w:r>
      <w:r w:rsidR="00032EE1">
        <w:rPr>
          <w:rFonts w:asciiTheme="minorHAnsi" w:hAnsiTheme="minorHAnsi"/>
          <w:bCs/>
        </w:rPr>
        <w:t xml:space="preserve">the </w:t>
      </w:r>
      <w:r w:rsidR="00993B92" w:rsidRPr="009F71CF">
        <w:rPr>
          <w:rFonts w:asciiTheme="minorHAnsi" w:hAnsiTheme="minorHAnsi"/>
          <w:bCs/>
        </w:rPr>
        <w:t>clinical evidence in this resubmission had not been evaluated and the data was based on small numbers of patients in the uncontrolled trials</w:t>
      </w:r>
      <w:r w:rsidR="00C51A30" w:rsidRPr="009F71CF">
        <w:rPr>
          <w:rFonts w:asciiTheme="minorHAnsi" w:hAnsiTheme="minorHAnsi"/>
          <w:bCs/>
        </w:rPr>
        <w:t>,</w:t>
      </w:r>
      <w:r w:rsidR="00945EB4" w:rsidRPr="009F71CF">
        <w:rPr>
          <w:rFonts w:asciiTheme="minorHAnsi" w:hAnsiTheme="minorHAnsi"/>
          <w:bCs/>
        </w:rPr>
        <w:t xml:space="preserve"> </w:t>
      </w:r>
      <w:r w:rsidR="00993B92" w:rsidRPr="009F71CF">
        <w:rPr>
          <w:rFonts w:asciiTheme="minorHAnsi" w:hAnsiTheme="minorHAnsi"/>
          <w:bCs/>
        </w:rPr>
        <w:t>t</w:t>
      </w:r>
      <w:r w:rsidRPr="009F71CF">
        <w:rPr>
          <w:rFonts w:asciiTheme="minorHAnsi" w:hAnsiTheme="minorHAnsi"/>
          <w:bCs/>
        </w:rPr>
        <w:t xml:space="preserve">he </w:t>
      </w:r>
      <w:r w:rsidR="009F71CF" w:rsidRPr="009F71CF">
        <w:rPr>
          <w:rFonts w:asciiTheme="minorHAnsi" w:hAnsiTheme="minorHAnsi"/>
          <w:bCs/>
        </w:rPr>
        <w:t>long-term</w:t>
      </w:r>
      <w:r w:rsidRPr="009F71CF">
        <w:rPr>
          <w:rFonts w:asciiTheme="minorHAnsi" w:hAnsiTheme="minorHAnsi"/>
          <w:bCs/>
        </w:rPr>
        <w:t xml:space="preserve"> preservation</w:t>
      </w:r>
      <w:r w:rsidR="00993B92" w:rsidRPr="009F71CF">
        <w:rPr>
          <w:rFonts w:asciiTheme="minorHAnsi" w:hAnsiTheme="minorHAnsi"/>
          <w:bCs/>
        </w:rPr>
        <w:t xml:space="preserve"> of GFR in the aggregated data </w:t>
      </w:r>
      <w:r w:rsidR="008777BA">
        <w:rPr>
          <w:rFonts w:asciiTheme="minorHAnsi" w:hAnsiTheme="minorHAnsi"/>
          <w:bCs/>
        </w:rPr>
        <w:t xml:space="preserve">and ease of administration compared to ERT </w:t>
      </w:r>
      <w:r w:rsidRPr="009F71CF">
        <w:rPr>
          <w:rFonts w:asciiTheme="minorHAnsi" w:hAnsiTheme="minorHAnsi"/>
          <w:bCs/>
        </w:rPr>
        <w:t>suggest</w:t>
      </w:r>
      <w:r w:rsidR="00993B92" w:rsidRPr="009F71CF">
        <w:rPr>
          <w:rFonts w:asciiTheme="minorHAnsi" w:hAnsiTheme="minorHAnsi"/>
          <w:bCs/>
        </w:rPr>
        <w:t>ed</w:t>
      </w:r>
      <w:r w:rsidRPr="009F71CF">
        <w:rPr>
          <w:rFonts w:asciiTheme="minorHAnsi" w:hAnsiTheme="minorHAnsi"/>
          <w:bCs/>
        </w:rPr>
        <w:t xml:space="preserve"> there is likely to be a clinical place for migalastat in place of ERT for some patients</w:t>
      </w:r>
      <w:r w:rsidR="00993B92" w:rsidRPr="009F71CF">
        <w:rPr>
          <w:rFonts w:asciiTheme="minorHAnsi" w:hAnsiTheme="minorHAnsi"/>
          <w:bCs/>
        </w:rPr>
        <w:t xml:space="preserve">. </w:t>
      </w:r>
    </w:p>
    <w:p w:rsidR="00993B92" w:rsidRPr="009F71CF" w:rsidRDefault="00993B92" w:rsidP="00993B92">
      <w:pPr>
        <w:widowControl w:val="0"/>
        <w:jc w:val="both"/>
        <w:rPr>
          <w:rFonts w:asciiTheme="minorHAnsi" w:hAnsiTheme="minorHAnsi"/>
          <w:bCs/>
        </w:rPr>
      </w:pPr>
    </w:p>
    <w:p w:rsidR="005C0DA0" w:rsidRPr="009F71CF" w:rsidRDefault="00993B92" w:rsidP="00065569">
      <w:pPr>
        <w:widowControl w:val="0"/>
        <w:numPr>
          <w:ilvl w:val="1"/>
          <w:numId w:val="5"/>
        </w:numPr>
        <w:jc w:val="both"/>
        <w:rPr>
          <w:rFonts w:asciiTheme="minorHAnsi" w:hAnsiTheme="minorHAnsi"/>
          <w:bCs/>
        </w:rPr>
      </w:pPr>
      <w:r w:rsidRPr="009F71CF">
        <w:rPr>
          <w:rFonts w:asciiTheme="minorHAnsi" w:hAnsiTheme="minorHAnsi"/>
          <w:bCs/>
        </w:rPr>
        <w:t>However, t</w:t>
      </w:r>
      <w:r w:rsidR="005C0DA0" w:rsidRPr="009F71CF">
        <w:rPr>
          <w:rFonts w:asciiTheme="minorHAnsi" w:hAnsiTheme="minorHAnsi"/>
          <w:bCs/>
        </w:rPr>
        <w:t xml:space="preserve">he PBAC considered that the arguments presented in the minor resubmission supporting the </w:t>
      </w:r>
      <w:r w:rsidR="005C0DA0" w:rsidRPr="009F71CF">
        <w:rPr>
          <w:rFonts w:asciiTheme="minorHAnsi" w:hAnsiTheme="minorHAnsi"/>
        </w:rPr>
        <w:t>claim of non-inferior effectiveness versus the main comparator</w:t>
      </w:r>
      <w:r w:rsidR="005C0DA0" w:rsidRPr="009F71CF">
        <w:rPr>
          <w:rFonts w:asciiTheme="minorHAnsi" w:hAnsiTheme="minorHAnsi"/>
          <w:bCs/>
        </w:rPr>
        <w:t xml:space="preserve"> did not change the view of the Committee formed at the March 2017 </w:t>
      </w:r>
      <w:r w:rsidR="00C51A30" w:rsidRPr="009F71CF">
        <w:rPr>
          <w:rFonts w:asciiTheme="minorHAnsi" w:hAnsiTheme="minorHAnsi"/>
          <w:bCs/>
        </w:rPr>
        <w:t xml:space="preserve">and July 2017 </w:t>
      </w:r>
      <w:r w:rsidR="005C0DA0" w:rsidRPr="009F71CF">
        <w:rPr>
          <w:rFonts w:asciiTheme="minorHAnsi" w:hAnsiTheme="minorHAnsi"/>
          <w:bCs/>
        </w:rPr>
        <w:t>meeting</w:t>
      </w:r>
      <w:r w:rsidR="00C51A30" w:rsidRPr="009F71CF">
        <w:rPr>
          <w:rFonts w:asciiTheme="minorHAnsi" w:hAnsiTheme="minorHAnsi"/>
          <w:bCs/>
        </w:rPr>
        <w:t>s</w:t>
      </w:r>
      <w:r w:rsidR="005C0DA0" w:rsidRPr="009F71CF">
        <w:rPr>
          <w:rFonts w:asciiTheme="minorHAnsi" w:hAnsiTheme="minorHAnsi"/>
          <w:bCs/>
        </w:rPr>
        <w:t xml:space="preserve">. Therefore, the PBAC </w:t>
      </w:r>
      <w:r w:rsidRPr="009F71CF">
        <w:rPr>
          <w:rFonts w:asciiTheme="minorHAnsi" w:hAnsiTheme="minorHAnsi"/>
          <w:bCs/>
        </w:rPr>
        <w:t xml:space="preserve">reiterated that it </w:t>
      </w:r>
      <w:r w:rsidR="005C0DA0" w:rsidRPr="009F71CF">
        <w:rPr>
          <w:rFonts w:asciiTheme="minorHAnsi" w:hAnsiTheme="minorHAnsi"/>
          <w:bCs/>
        </w:rPr>
        <w:t>could not accept the clinical claim of non-inferior effectiveness compared with the primary comparator of ERT, in either treatment naïve patients or in treatment experienced or switch patients.</w:t>
      </w:r>
    </w:p>
    <w:p w:rsidR="005C0DA0" w:rsidRPr="009F71CF" w:rsidRDefault="005C0DA0" w:rsidP="005C0DA0">
      <w:pPr>
        <w:rPr>
          <w:rFonts w:asciiTheme="minorHAnsi" w:hAnsiTheme="minorHAnsi"/>
          <w:bCs/>
        </w:rPr>
      </w:pPr>
    </w:p>
    <w:p w:rsidR="005C0DA0" w:rsidRPr="009F71CF" w:rsidRDefault="005C0DA0" w:rsidP="005C0DA0">
      <w:pPr>
        <w:pStyle w:val="ListParagraph"/>
        <w:numPr>
          <w:ilvl w:val="1"/>
          <w:numId w:val="5"/>
        </w:numPr>
        <w:rPr>
          <w:rFonts w:asciiTheme="minorHAnsi" w:hAnsiTheme="minorHAnsi"/>
          <w:sz w:val="24"/>
          <w:szCs w:val="24"/>
        </w:rPr>
      </w:pPr>
      <w:r w:rsidRPr="009F71CF">
        <w:rPr>
          <w:rFonts w:asciiTheme="minorHAnsi" w:hAnsiTheme="minorHAnsi"/>
          <w:sz w:val="24"/>
          <w:szCs w:val="24"/>
        </w:rPr>
        <w:t>The PBAC recalled that, at its March 2017 meeting, it considered that with the currently available evidence in treatment naïve patients and in treatment experienced or switch patients, it was reasonable to accept the claim of non-inferior comparative safety of migalastat compared to ERT.</w:t>
      </w:r>
    </w:p>
    <w:p w:rsidR="005C0DA0" w:rsidRPr="009F71CF" w:rsidRDefault="005C0DA0" w:rsidP="005C0DA0">
      <w:pPr>
        <w:rPr>
          <w:rFonts w:asciiTheme="minorHAnsi" w:hAnsiTheme="minorHAnsi"/>
        </w:rPr>
      </w:pPr>
    </w:p>
    <w:p w:rsidR="005C0DA0" w:rsidRPr="009F71CF" w:rsidRDefault="005C0DA0" w:rsidP="005C0DA0">
      <w:pPr>
        <w:pStyle w:val="ListParagraph"/>
        <w:numPr>
          <w:ilvl w:val="1"/>
          <w:numId w:val="5"/>
        </w:numPr>
        <w:rPr>
          <w:rFonts w:asciiTheme="minorHAnsi" w:hAnsiTheme="minorHAnsi"/>
          <w:bCs/>
          <w:sz w:val="24"/>
          <w:szCs w:val="24"/>
        </w:rPr>
      </w:pPr>
      <w:r w:rsidRPr="009F71CF">
        <w:rPr>
          <w:rFonts w:asciiTheme="minorHAnsi" w:hAnsiTheme="minorHAnsi"/>
          <w:bCs/>
          <w:sz w:val="24"/>
          <w:szCs w:val="24"/>
        </w:rPr>
        <w:t xml:space="preserve">The PBAC noted that the minor resubmission and the comments from consumers discussed the advantages of an oral treatment option compared with the current infusible treatments. The input from clinicians with experience </w:t>
      </w:r>
      <w:r w:rsidR="00993B92" w:rsidRPr="009F71CF">
        <w:rPr>
          <w:rFonts w:asciiTheme="minorHAnsi" w:hAnsiTheme="minorHAnsi"/>
          <w:bCs/>
          <w:sz w:val="24"/>
          <w:szCs w:val="24"/>
        </w:rPr>
        <w:t>in</w:t>
      </w:r>
      <w:r w:rsidRPr="009F71CF">
        <w:rPr>
          <w:rFonts w:asciiTheme="minorHAnsi" w:hAnsiTheme="minorHAnsi"/>
          <w:bCs/>
          <w:sz w:val="24"/>
          <w:szCs w:val="24"/>
        </w:rPr>
        <w:t xml:space="preserve"> treating patients with Fabry disease provided clarity on the use of migalastat in the Australian context.  The PBAC noted that the submission had not formally analysed any associated benefits to patients using migalastat rather than ERT.</w:t>
      </w:r>
    </w:p>
    <w:p w:rsidR="005C0DA0" w:rsidRPr="009F71CF" w:rsidRDefault="005C0DA0" w:rsidP="005C0DA0">
      <w:pPr>
        <w:pStyle w:val="ListParagraph"/>
        <w:ind w:hanging="720"/>
        <w:rPr>
          <w:rFonts w:asciiTheme="minorHAnsi" w:hAnsiTheme="minorHAnsi"/>
          <w:sz w:val="24"/>
          <w:szCs w:val="24"/>
        </w:rPr>
      </w:pPr>
    </w:p>
    <w:p w:rsidR="009D38C2" w:rsidRPr="009F71CF" w:rsidRDefault="005C0DA0" w:rsidP="009D38C2">
      <w:pPr>
        <w:pStyle w:val="ListParagraph"/>
        <w:numPr>
          <w:ilvl w:val="1"/>
          <w:numId w:val="5"/>
        </w:numPr>
        <w:rPr>
          <w:rFonts w:asciiTheme="minorHAnsi" w:hAnsiTheme="minorHAnsi"/>
          <w:bCs/>
          <w:sz w:val="24"/>
          <w:szCs w:val="24"/>
        </w:rPr>
      </w:pPr>
      <w:r w:rsidRPr="009F71CF">
        <w:rPr>
          <w:rFonts w:asciiTheme="minorHAnsi" w:hAnsiTheme="minorHAnsi"/>
          <w:bCs/>
          <w:sz w:val="24"/>
          <w:szCs w:val="24"/>
        </w:rPr>
        <w:t xml:space="preserve">The PBAC recalled that it had agreed that a cost-minimisation approach would be the appropriate economic comparison based on the submission’s clinical claim of non-inferiority compared with ERT. However, as noted above, the PBAC did not accept the submission’s clinical claim of non-inferiority versus ERT and therefore the basis for determining the equi-effective doses and the cost-minimisation approach </w:t>
      </w:r>
      <w:r w:rsidR="007C73AD" w:rsidRPr="009F71CF">
        <w:rPr>
          <w:rFonts w:asciiTheme="minorHAnsi" w:hAnsiTheme="minorHAnsi"/>
          <w:bCs/>
          <w:sz w:val="24"/>
          <w:szCs w:val="24"/>
        </w:rPr>
        <w:t xml:space="preserve">were </w:t>
      </w:r>
      <w:r w:rsidRPr="009F71CF">
        <w:rPr>
          <w:rFonts w:asciiTheme="minorHAnsi" w:hAnsiTheme="minorHAnsi"/>
          <w:bCs/>
          <w:sz w:val="24"/>
          <w:szCs w:val="24"/>
        </w:rPr>
        <w:t>also not accepted.</w:t>
      </w:r>
    </w:p>
    <w:p w:rsidR="009D38C2" w:rsidRPr="009F71CF" w:rsidRDefault="009D38C2" w:rsidP="009D38C2">
      <w:pPr>
        <w:pStyle w:val="ListParagraph"/>
        <w:rPr>
          <w:rFonts w:asciiTheme="minorHAnsi" w:hAnsiTheme="minorHAnsi"/>
          <w:sz w:val="24"/>
          <w:szCs w:val="24"/>
        </w:rPr>
      </w:pPr>
    </w:p>
    <w:p w:rsidR="005C0DA0" w:rsidRPr="009F71CF" w:rsidRDefault="005C0DA0" w:rsidP="009D38C2">
      <w:pPr>
        <w:pStyle w:val="ListParagraph"/>
        <w:numPr>
          <w:ilvl w:val="1"/>
          <w:numId w:val="5"/>
        </w:numPr>
        <w:rPr>
          <w:rFonts w:asciiTheme="minorHAnsi" w:hAnsiTheme="minorHAnsi"/>
          <w:bCs/>
          <w:sz w:val="24"/>
          <w:szCs w:val="24"/>
        </w:rPr>
      </w:pPr>
      <w:r w:rsidRPr="009F71CF">
        <w:rPr>
          <w:rFonts w:asciiTheme="minorHAnsi" w:hAnsiTheme="minorHAnsi"/>
          <w:sz w:val="24"/>
          <w:szCs w:val="24"/>
        </w:rPr>
        <w:t xml:space="preserve">The minor resubmission claimed that there would a cost saving to Government by subsidising migalastat. </w:t>
      </w:r>
      <w:r w:rsidR="009D38C2" w:rsidRPr="009F71CF">
        <w:rPr>
          <w:rFonts w:asciiTheme="minorHAnsi" w:hAnsiTheme="minorHAnsi"/>
          <w:sz w:val="24"/>
          <w:szCs w:val="24"/>
        </w:rPr>
        <w:t xml:space="preserve">As the resubmission did not formally discuss the </w:t>
      </w:r>
      <w:r w:rsidR="009D38C2" w:rsidRPr="009F71CF">
        <w:rPr>
          <w:rFonts w:asciiTheme="minorHAnsi" w:eastAsiaTheme="minorHAnsi" w:hAnsiTheme="minorHAnsi" w:cstheme="minorBidi"/>
          <w:snapToGrid/>
          <w:sz w:val="24"/>
          <w:szCs w:val="24"/>
        </w:rPr>
        <w:t>estimated PBS usage &amp; financial implications</w:t>
      </w:r>
      <w:r w:rsidRPr="009F71CF">
        <w:rPr>
          <w:rFonts w:asciiTheme="minorHAnsi" w:hAnsiTheme="minorHAnsi"/>
          <w:sz w:val="24"/>
          <w:szCs w:val="24"/>
        </w:rPr>
        <w:t xml:space="preserve">, </w:t>
      </w:r>
      <w:r w:rsidR="009D38C2" w:rsidRPr="009F71CF">
        <w:rPr>
          <w:rFonts w:asciiTheme="minorHAnsi" w:hAnsiTheme="minorHAnsi"/>
          <w:sz w:val="24"/>
          <w:szCs w:val="24"/>
        </w:rPr>
        <w:t xml:space="preserve">the PBAC reiterated its view from the July 2017 meeting that </w:t>
      </w:r>
      <w:r w:rsidRPr="009F71CF">
        <w:rPr>
          <w:rFonts w:asciiTheme="minorHAnsi" w:hAnsiTheme="minorHAnsi"/>
          <w:sz w:val="24"/>
          <w:szCs w:val="24"/>
        </w:rPr>
        <w:t xml:space="preserve">at the price proposed in the </w:t>
      </w:r>
      <w:r w:rsidR="00BC3A67" w:rsidRPr="009F71CF">
        <w:rPr>
          <w:rFonts w:asciiTheme="minorHAnsi" w:hAnsiTheme="minorHAnsi"/>
          <w:sz w:val="24"/>
          <w:szCs w:val="24"/>
        </w:rPr>
        <w:t>re</w:t>
      </w:r>
      <w:r w:rsidRPr="009F71CF">
        <w:rPr>
          <w:rFonts w:asciiTheme="minorHAnsi" w:hAnsiTheme="minorHAnsi"/>
          <w:sz w:val="24"/>
          <w:szCs w:val="24"/>
        </w:rPr>
        <w:t>submission, the claims of cost saving, or even cost-neutrality may not be realised.</w:t>
      </w:r>
    </w:p>
    <w:p w:rsidR="005C0DA0" w:rsidRPr="009F71CF" w:rsidRDefault="005C0DA0" w:rsidP="005C0DA0">
      <w:pPr>
        <w:rPr>
          <w:rFonts w:asciiTheme="minorHAnsi" w:hAnsiTheme="minorHAnsi"/>
        </w:rPr>
      </w:pPr>
    </w:p>
    <w:p w:rsidR="005C0DA0" w:rsidRPr="009F71CF" w:rsidRDefault="005C0DA0" w:rsidP="005C0DA0">
      <w:pPr>
        <w:widowControl w:val="0"/>
        <w:numPr>
          <w:ilvl w:val="1"/>
          <w:numId w:val="5"/>
        </w:numPr>
        <w:spacing w:after="120"/>
        <w:jc w:val="both"/>
        <w:rPr>
          <w:rFonts w:asciiTheme="minorHAnsi" w:hAnsiTheme="minorHAnsi" w:cs="Arial"/>
          <w:bCs/>
          <w:snapToGrid w:val="0"/>
          <w:lang w:eastAsia="en-US"/>
        </w:rPr>
      </w:pPr>
      <w:r w:rsidRPr="009F71CF">
        <w:rPr>
          <w:rFonts w:asciiTheme="minorHAnsi" w:hAnsiTheme="minorHAnsi" w:cs="Arial"/>
          <w:bCs/>
          <w:snapToGrid w:val="0"/>
          <w:lang w:eastAsia="en-US"/>
        </w:rPr>
        <w:t>The PBAC noted that this submission is eligible for an Independent Review.</w:t>
      </w:r>
    </w:p>
    <w:p w:rsidR="00567CB8" w:rsidRPr="009F71CF" w:rsidRDefault="00567CB8" w:rsidP="00BC3A67">
      <w:pPr>
        <w:pStyle w:val="ListParagraph"/>
        <w:rPr>
          <w:rFonts w:asciiTheme="minorHAnsi" w:hAnsiTheme="minorHAnsi"/>
          <w:bCs/>
          <w:sz w:val="24"/>
          <w:szCs w:val="24"/>
        </w:rPr>
      </w:pPr>
    </w:p>
    <w:p w:rsidR="00567CB8" w:rsidRPr="009F71CF" w:rsidRDefault="00567CB8" w:rsidP="00A46A78">
      <w:pPr>
        <w:widowControl w:val="0"/>
        <w:numPr>
          <w:ilvl w:val="1"/>
          <w:numId w:val="5"/>
        </w:numPr>
        <w:contextualSpacing/>
        <w:jc w:val="both"/>
        <w:rPr>
          <w:rFonts w:asciiTheme="minorHAnsi" w:hAnsiTheme="minorHAnsi" w:cs="Arial"/>
          <w:bCs/>
          <w:snapToGrid w:val="0"/>
        </w:rPr>
      </w:pPr>
      <w:r w:rsidRPr="009F71CF">
        <w:rPr>
          <w:rFonts w:asciiTheme="minorHAnsi" w:hAnsiTheme="minorHAnsi" w:cs="Arial"/>
          <w:bCs/>
          <w:snapToGrid w:val="0"/>
        </w:rPr>
        <w:t xml:space="preserve">Though matters relating to the subsidy of medicines outside the PBS are not a matter for the </w:t>
      </w:r>
      <w:r w:rsidR="00065569" w:rsidRPr="009F71CF">
        <w:rPr>
          <w:rFonts w:asciiTheme="minorHAnsi" w:hAnsiTheme="minorHAnsi" w:cs="Arial"/>
          <w:bCs/>
          <w:snapToGrid w:val="0"/>
        </w:rPr>
        <w:t xml:space="preserve">PBAC, </w:t>
      </w:r>
      <w:r w:rsidR="000A4706">
        <w:rPr>
          <w:rFonts w:asciiTheme="minorHAnsi" w:hAnsiTheme="minorHAnsi" w:cs="Arial"/>
          <w:bCs/>
          <w:snapToGrid w:val="0"/>
        </w:rPr>
        <w:t xml:space="preserve">should non-PBS subsidy approaches be considered, </w:t>
      </w:r>
      <w:r w:rsidR="00065569" w:rsidRPr="009F71CF">
        <w:rPr>
          <w:rFonts w:asciiTheme="minorHAnsi" w:hAnsiTheme="minorHAnsi" w:cs="Arial"/>
          <w:bCs/>
          <w:snapToGrid w:val="0"/>
        </w:rPr>
        <w:t>the PBAC wished to advise the Minister that:</w:t>
      </w:r>
    </w:p>
    <w:p w:rsidR="00FD38C0" w:rsidRPr="009F71CF" w:rsidRDefault="00FD38C0" w:rsidP="00FD38C0">
      <w:pPr>
        <w:pStyle w:val="ListParagraph"/>
        <w:rPr>
          <w:rFonts w:asciiTheme="minorHAnsi" w:hAnsiTheme="minorHAnsi"/>
          <w:bCs/>
          <w:sz w:val="24"/>
          <w:szCs w:val="24"/>
        </w:rPr>
      </w:pPr>
    </w:p>
    <w:p w:rsidR="00FD38C0" w:rsidRPr="009F71CF" w:rsidRDefault="00CE52DD" w:rsidP="001F12E3">
      <w:pPr>
        <w:widowControl w:val="0"/>
        <w:numPr>
          <w:ilvl w:val="1"/>
          <w:numId w:val="22"/>
        </w:numPr>
        <w:ind w:left="1080"/>
        <w:contextualSpacing/>
        <w:jc w:val="both"/>
        <w:rPr>
          <w:rFonts w:asciiTheme="minorHAnsi" w:hAnsiTheme="minorHAnsi"/>
        </w:rPr>
      </w:pPr>
      <w:r w:rsidRPr="009F71CF">
        <w:rPr>
          <w:rFonts w:asciiTheme="minorHAnsi" w:hAnsiTheme="minorHAnsi"/>
        </w:rPr>
        <w:t xml:space="preserve">The PBAC considered that migalastat does </w:t>
      </w:r>
      <w:r w:rsidR="005149BE" w:rsidRPr="009F71CF">
        <w:rPr>
          <w:rFonts w:asciiTheme="minorHAnsi" w:hAnsiTheme="minorHAnsi"/>
        </w:rPr>
        <w:t xml:space="preserve">provide a clinical benefit in stabilising renal function in patients with Fabry disease. </w:t>
      </w:r>
      <w:r w:rsidRPr="009F71CF">
        <w:rPr>
          <w:rFonts w:asciiTheme="minorHAnsi" w:hAnsiTheme="minorHAnsi"/>
        </w:rPr>
        <w:t xml:space="preserve"> </w:t>
      </w:r>
      <w:r w:rsidR="005149BE" w:rsidRPr="009F71CF">
        <w:rPr>
          <w:rFonts w:asciiTheme="minorHAnsi" w:hAnsiTheme="minorHAnsi"/>
        </w:rPr>
        <w:t>Th</w:t>
      </w:r>
      <w:r w:rsidR="00DB5DC6" w:rsidRPr="009F71CF">
        <w:rPr>
          <w:rFonts w:asciiTheme="minorHAnsi" w:hAnsiTheme="minorHAnsi"/>
        </w:rPr>
        <w:t xml:space="preserve">is minor </w:t>
      </w:r>
      <w:r w:rsidR="007C73AD" w:rsidRPr="009F71CF">
        <w:rPr>
          <w:rFonts w:asciiTheme="minorHAnsi" w:hAnsiTheme="minorHAnsi"/>
        </w:rPr>
        <w:t>re</w:t>
      </w:r>
      <w:r w:rsidR="00DB5DC6" w:rsidRPr="009F71CF">
        <w:rPr>
          <w:rFonts w:asciiTheme="minorHAnsi" w:hAnsiTheme="minorHAnsi"/>
        </w:rPr>
        <w:t xml:space="preserve">submission stated ‘renal function represents one clinical manifestation of Fabry disease, and it is very likely that the benefits of therapy will also extend to other organ classes such as the cardiovascular system.’ The PBAC considered that this claim has not been substantiated.  </w:t>
      </w:r>
      <w:r w:rsidRPr="009F71CF">
        <w:rPr>
          <w:rFonts w:asciiTheme="minorHAnsi" w:hAnsiTheme="minorHAnsi"/>
        </w:rPr>
        <w:t xml:space="preserve">The submissions for migalastat did not address whether intermediate outcomes presented in clinical trials resulted in increased survival and/or improved quality of life. </w:t>
      </w:r>
      <w:r w:rsidR="00FD38C0" w:rsidRPr="009F71CF">
        <w:rPr>
          <w:rFonts w:asciiTheme="minorHAnsi" w:hAnsiTheme="minorHAnsi"/>
        </w:rPr>
        <w:t xml:space="preserve">Agalsidase alfa and agalsidase beta were added to the LSDP in 2004. </w:t>
      </w:r>
      <w:r w:rsidRPr="009F71CF">
        <w:rPr>
          <w:rFonts w:asciiTheme="minorHAnsi" w:hAnsiTheme="minorHAnsi"/>
        </w:rPr>
        <w:t>W</w:t>
      </w:r>
      <w:r w:rsidR="00FD38C0" w:rsidRPr="009F71CF">
        <w:rPr>
          <w:rFonts w:asciiTheme="minorHAnsi" w:hAnsiTheme="minorHAnsi"/>
        </w:rPr>
        <w:t xml:space="preserve">hen the PBAC considered a report on the updated literature review of the comparative efficacy and safety of agalsidase alfa versus agalsidase beta at the November 2009 meeting, the published trials and their long-term extensions appeared to support the efficacy of agalsidase alfa and agalsidase beta (in terms of both a reduction in clinical symptoms as well as an improvement/stabilisation of surrogate endpoints). </w:t>
      </w:r>
      <w:r w:rsidR="000509E8" w:rsidRPr="009F71CF">
        <w:rPr>
          <w:rFonts w:asciiTheme="minorHAnsi" w:hAnsiTheme="minorHAnsi"/>
        </w:rPr>
        <w:t xml:space="preserve">Some of these </w:t>
      </w:r>
      <w:r w:rsidR="005149BE" w:rsidRPr="009F71CF">
        <w:rPr>
          <w:rFonts w:asciiTheme="minorHAnsi" w:hAnsiTheme="minorHAnsi"/>
        </w:rPr>
        <w:t xml:space="preserve">surrogate </w:t>
      </w:r>
      <w:r w:rsidR="000509E8" w:rsidRPr="009F71CF">
        <w:rPr>
          <w:rFonts w:asciiTheme="minorHAnsi" w:hAnsiTheme="minorHAnsi"/>
        </w:rPr>
        <w:t>endpoints were</w:t>
      </w:r>
      <w:r w:rsidR="005149BE" w:rsidRPr="009F71CF">
        <w:rPr>
          <w:rFonts w:asciiTheme="minorHAnsi" w:hAnsiTheme="minorHAnsi"/>
        </w:rPr>
        <w:t xml:space="preserve"> common to trials with migalastat. </w:t>
      </w:r>
    </w:p>
    <w:p w:rsidR="00554BB2" w:rsidRPr="009F71CF" w:rsidRDefault="00554BB2" w:rsidP="001F12E3">
      <w:pPr>
        <w:widowControl w:val="0"/>
        <w:ind w:left="1080"/>
        <w:contextualSpacing/>
        <w:jc w:val="both"/>
        <w:rPr>
          <w:rFonts w:asciiTheme="minorHAnsi" w:hAnsiTheme="minorHAnsi"/>
        </w:rPr>
      </w:pPr>
    </w:p>
    <w:p w:rsidR="000509E8" w:rsidRPr="009F71CF" w:rsidRDefault="000509E8" w:rsidP="001F12E3">
      <w:pPr>
        <w:pStyle w:val="ListParagraph"/>
        <w:numPr>
          <w:ilvl w:val="1"/>
          <w:numId w:val="22"/>
        </w:numPr>
        <w:ind w:left="1080"/>
        <w:rPr>
          <w:rFonts w:asciiTheme="minorHAnsi" w:hAnsiTheme="minorHAnsi"/>
          <w:sz w:val="24"/>
          <w:szCs w:val="24"/>
        </w:rPr>
      </w:pPr>
      <w:r w:rsidRPr="009F71CF">
        <w:rPr>
          <w:rFonts w:asciiTheme="minorHAnsi" w:hAnsiTheme="minorHAnsi"/>
          <w:sz w:val="24"/>
          <w:szCs w:val="24"/>
        </w:rPr>
        <w:t xml:space="preserve">The PBAC had not accepted the </w:t>
      </w:r>
      <w:r w:rsidRPr="009F71CF">
        <w:rPr>
          <w:rFonts w:asciiTheme="minorHAnsi" w:hAnsiTheme="minorHAnsi"/>
          <w:bCs/>
          <w:sz w:val="24"/>
          <w:szCs w:val="24"/>
        </w:rPr>
        <w:t xml:space="preserve">clinical claim of non-inferior effectiveness compared with the primary comparator of ERT, in either treatment naïve patients or in treatment experienced or switch patients, nor the basis of the cost-minimisation analysis. The PBAC noted the concerns of the evaluators and the ESC in regards to the methodology and assumptions of the cost-minimisation analysis, presented in the March 2017 major submission. </w:t>
      </w:r>
      <w:r w:rsidR="005163EB" w:rsidRPr="009F71CF">
        <w:rPr>
          <w:rFonts w:asciiTheme="minorHAnsi" w:hAnsiTheme="minorHAnsi"/>
          <w:bCs/>
          <w:sz w:val="24"/>
          <w:szCs w:val="24"/>
        </w:rPr>
        <w:t xml:space="preserve">The PBAC noted </w:t>
      </w:r>
      <w:r w:rsidR="009F71CF">
        <w:rPr>
          <w:rFonts w:asciiTheme="minorHAnsi" w:hAnsiTheme="minorHAnsi"/>
          <w:bCs/>
          <w:sz w:val="24"/>
          <w:szCs w:val="24"/>
        </w:rPr>
        <w:t xml:space="preserve">the </w:t>
      </w:r>
      <w:r w:rsidR="005163EB" w:rsidRPr="009F71CF">
        <w:rPr>
          <w:rFonts w:asciiTheme="minorHAnsi" w:hAnsiTheme="minorHAnsi"/>
          <w:bCs/>
          <w:sz w:val="24"/>
          <w:szCs w:val="24"/>
        </w:rPr>
        <w:t xml:space="preserve">Department </w:t>
      </w:r>
      <w:r w:rsidR="00550120" w:rsidRPr="009F71CF">
        <w:rPr>
          <w:rFonts w:asciiTheme="minorHAnsi" w:hAnsiTheme="minorHAnsi"/>
          <w:bCs/>
          <w:sz w:val="24"/>
          <w:szCs w:val="24"/>
        </w:rPr>
        <w:t>would have</w:t>
      </w:r>
      <w:r w:rsidR="005163EB" w:rsidRPr="009F71CF">
        <w:rPr>
          <w:rFonts w:asciiTheme="minorHAnsi" w:hAnsiTheme="minorHAnsi"/>
          <w:bCs/>
          <w:sz w:val="24"/>
          <w:szCs w:val="24"/>
        </w:rPr>
        <w:t xml:space="preserve"> data on the patient characteristics and the current use of ERT, which would inform certain assumptions, such as deriving the </w:t>
      </w:r>
      <w:r w:rsidR="00550120" w:rsidRPr="009F71CF">
        <w:rPr>
          <w:rFonts w:asciiTheme="minorHAnsi" w:hAnsiTheme="minorHAnsi"/>
          <w:bCs/>
          <w:sz w:val="24"/>
          <w:szCs w:val="24"/>
        </w:rPr>
        <w:t xml:space="preserve">weight based </w:t>
      </w:r>
      <w:r w:rsidR="005163EB" w:rsidRPr="009F71CF">
        <w:rPr>
          <w:rFonts w:asciiTheme="minorHAnsi" w:hAnsiTheme="minorHAnsi"/>
          <w:bCs/>
          <w:sz w:val="24"/>
          <w:szCs w:val="24"/>
        </w:rPr>
        <w:t xml:space="preserve">annual cost of ERT. </w:t>
      </w:r>
    </w:p>
    <w:p w:rsidR="005163EB" w:rsidRPr="009F71CF" w:rsidRDefault="005163EB" w:rsidP="001F12E3">
      <w:pPr>
        <w:pStyle w:val="ListParagraph"/>
        <w:ind w:left="360"/>
        <w:rPr>
          <w:rFonts w:asciiTheme="minorHAnsi" w:hAnsiTheme="minorHAnsi"/>
          <w:sz w:val="24"/>
          <w:szCs w:val="24"/>
        </w:rPr>
      </w:pPr>
    </w:p>
    <w:p w:rsidR="000509E8" w:rsidRPr="009F71CF" w:rsidRDefault="005A22FB" w:rsidP="001F12E3">
      <w:pPr>
        <w:pStyle w:val="ListParagraph"/>
        <w:numPr>
          <w:ilvl w:val="1"/>
          <w:numId w:val="22"/>
        </w:numPr>
        <w:ind w:left="1080"/>
        <w:rPr>
          <w:rFonts w:asciiTheme="minorHAnsi" w:hAnsiTheme="minorHAnsi"/>
          <w:bCs/>
          <w:sz w:val="24"/>
          <w:szCs w:val="24"/>
        </w:rPr>
      </w:pPr>
      <w:r w:rsidRPr="009F71CF">
        <w:rPr>
          <w:rFonts w:asciiTheme="minorHAnsi" w:hAnsiTheme="minorHAnsi"/>
          <w:sz w:val="24"/>
          <w:szCs w:val="24"/>
        </w:rPr>
        <w:t>The PBAC noted that the cost of migalastat was different to agal</w:t>
      </w:r>
      <w:r w:rsidR="00550120" w:rsidRPr="009F71CF">
        <w:rPr>
          <w:rFonts w:asciiTheme="minorHAnsi" w:hAnsiTheme="minorHAnsi"/>
          <w:sz w:val="24"/>
          <w:szCs w:val="24"/>
        </w:rPr>
        <w:t>sidase alfa and agalsidase beta, and that the costs of agalsidase alfa and agalsidase beta presented in p</w:t>
      </w:r>
      <w:r w:rsidR="007C73AD" w:rsidRPr="009F71CF">
        <w:rPr>
          <w:rFonts w:asciiTheme="minorHAnsi" w:hAnsiTheme="minorHAnsi"/>
          <w:sz w:val="24"/>
          <w:szCs w:val="24"/>
        </w:rPr>
        <w:t>re</w:t>
      </w:r>
      <w:r w:rsidR="00550120" w:rsidRPr="009F71CF">
        <w:rPr>
          <w:rFonts w:asciiTheme="minorHAnsi" w:hAnsiTheme="minorHAnsi"/>
          <w:sz w:val="24"/>
          <w:szCs w:val="24"/>
        </w:rPr>
        <w:t xml:space="preserve">vious submissions are different. </w:t>
      </w:r>
      <w:r w:rsidRPr="009F71CF">
        <w:rPr>
          <w:rFonts w:asciiTheme="minorHAnsi" w:hAnsiTheme="minorHAnsi"/>
          <w:sz w:val="24"/>
          <w:szCs w:val="24"/>
        </w:rPr>
        <w:t xml:space="preserve">The </w:t>
      </w:r>
      <w:r w:rsidR="0022693C" w:rsidRPr="009F71CF">
        <w:rPr>
          <w:rFonts w:asciiTheme="minorHAnsi" w:hAnsiTheme="minorHAnsi"/>
          <w:sz w:val="24"/>
          <w:szCs w:val="24"/>
        </w:rPr>
        <w:t xml:space="preserve">PBAC noted that the sponsor offered a </w:t>
      </w:r>
      <w:r w:rsidR="002B57F5">
        <w:rPr>
          <w:rFonts w:asciiTheme="minorHAnsi" w:hAnsiTheme="minorHAnsi"/>
          <w:noProof/>
          <w:color w:val="000000"/>
          <w:sz w:val="24"/>
          <w:szCs w:val="24"/>
          <w:highlight w:val="black"/>
        </w:rPr>
        <w:t>'''</w:t>
      </w:r>
      <w:r w:rsidR="0022693C" w:rsidRPr="009F71CF">
        <w:rPr>
          <w:rFonts w:asciiTheme="minorHAnsi" w:hAnsiTheme="minorHAnsi"/>
          <w:sz w:val="24"/>
          <w:szCs w:val="24"/>
        </w:rPr>
        <w:t xml:space="preserve">% price reduction between the March 2017 and July 2017 submissions. If migalastat were to be subsidised by the Commonwealth, the Minister may wish to considerer that the cost of migalastat should not be greater than the cost of the form of agalsidase which has the lowest cost to the Commonwealth, measured over a one to two year time period, </w:t>
      </w:r>
      <w:r w:rsidR="000A4706">
        <w:rPr>
          <w:rFonts w:asciiTheme="minorHAnsi" w:hAnsiTheme="minorHAnsi"/>
          <w:sz w:val="24"/>
          <w:szCs w:val="24"/>
        </w:rPr>
        <w:t>with</w:t>
      </w:r>
      <w:r w:rsidR="000A4706" w:rsidRPr="009F71CF">
        <w:rPr>
          <w:rFonts w:asciiTheme="minorHAnsi" w:hAnsiTheme="minorHAnsi"/>
          <w:sz w:val="24"/>
          <w:szCs w:val="24"/>
        </w:rPr>
        <w:t xml:space="preserve"> </w:t>
      </w:r>
      <w:r w:rsidR="0022693C" w:rsidRPr="009F71CF">
        <w:rPr>
          <w:rFonts w:asciiTheme="minorHAnsi" w:hAnsiTheme="minorHAnsi"/>
          <w:sz w:val="24"/>
          <w:szCs w:val="24"/>
        </w:rPr>
        <w:t xml:space="preserve">a further </w:t>
      </w:r>
      <w:r w:rsidR="004D70C1">
        <w:rPr>
          <w:rFonts w:asciiTheme="minorHAnsi" w:hAnsiTheme="minorHAnsi"/>
          <w:sz w:val="24"/>
          <w:szCs w:val="24"/>
        </w:rPr>
        <w:t xml:space="preserve">significant </w:t>
      </w:r>
      <w:r w:rsidR="0022693C" w:rsidRPr="009F71CF">
        <w:rPr>
          <w:rFonts w:asciiTheme="minorHAnsi" w:hAnsiTheme="minorHAnsi"/>
          <w:sz w:val="24"/>
          <w:szCs w:val="24"/>
        </w:rPr>
        <w:t xml:space="preserve">price reduction </w:t>
      </w:r>
      <w:r w:rsidR="000A4706">
        <w:rPr>
          <w:rFonts w:asciiTheme="minorHAnsi" w:hAnsiTheme="minorHAnsi"/>
          <w:sz w:val="24"/>
          <w:szCs w:val="24"/>
        </w:rPr>
        <w:t xml:space="preserve">reflective of </w:t>
      </w:r>
      <w:r w:rsidR="00025ADD">
        <w:rPr>
          <w:rFonts w:asciiTheme="minorHAnsi" w:hAnsiTheme="minorHAnsi"/>
          <w:sz w:val="24"/>
          <w:szCs w:val="24"/>
        </w:rPr>
        <w:t>the uncertainty around the claim of non-inferiority to ERT</w:t>
      </w:r>
      <w:r w:rsidR="0022693C" w:rsidRPr="009F71CF">
        <w:rPr>
          <w:rFonts w:asciiTheme="minorHAnsi" w:hAnsiTheme="minorHAnsi"/>
          <w:sz w:val="24"/>
          <w:szCs w:val="24"/>
        </w:rPr>
        <w:t xml:space="preserve">. </w:t>
      </w:r>
    </w:p>
    <w:p w:rsidR="0022693C" w:rsidRPr="009F71CF" w:rsidRDefault="0022693C" w:rsidP="001F12E3">
      <w:pPr>
        <w:rPr>
          <w:rFonts w:asciiTheme="minorHAnsi" w:hAnsiTheme="minorHAnsi"/>
          <w:bCs/>
        </w:rPr>
      </w:pPr>
    </w:p>
    <w:p w:rsidR="000C5F7D" w:rsidRPr="009F71CF" w:rsidRDefault="000C5F7D" w:rsidP="001F12E3">
      <w:pPr>
        <w:pStyle w:val="ListParagraph"/>
        <w:numPr>
          <w:ilvl w:val="1"/>
          <w:numId w:val="22"/>
        </w:numPr>
        <w:ind w:left="1080"/>
        <w:rPr>
          <w:rFonts w:asciiTheme="minorHAnsi" w:hAnsiTheme="minorHAnsi"/>
          <w:bCs/>
          <w:sz w:val="24"/>
          <w:szCs w:val="24"/>
        </w:rPr>
      </w:pPr>
      <w:r w:rsidRPr="009F71CF">
        <w:rPr>
          <w:rFonts w:asciiTheme="minorHAnsi" w:hAnsiTheme="minorHAnsi"/>
          <w:bCs/>
          <w:sz w:val="24"/>
          <w:szCs w:val="24"/>
        </w:rPr>
        <w:t xml:space="preserve">The pre-PBAC response for this </w:t>
      </w:r>
      <w:r w:rsidR="00550120" w:rsidRPr="009F71CF">
        <w:rPr>
          <w:rFonts w:asciiTheme="minorHAnsi" w:hAnsiTheme="minorHAnsi"/>
          <w:bCs/>
          <w:sz w:val="24"/>
          <w:szCs w:val="24"/>
        </w:rPr>
        <w:t>re</w:t>
      </w:r>
      <w:r w:rsidRPr="009F71CF">
        <w:rPr>
          <w:rFonts w:asciiTheme="minorHAnsi" w:hAnsiTheme="minorHAnsi"/>
          <w:bCs/>
          <w:sz w:val="24"/>
          <w:szCs w:val="24"/>
        </w:rPr>
        <w:t>submission emphasise</w:t>
      </w:r>
      <w:r w:rsidR="00550120" w:rsidRPr="009F71CF">
        <w:rPr>
          <w:rFonts w:asciiTheme="minorHAnsi" w:hAnsiTheme="minorHAnsi"/>
          <w:bCs/>
          <w:sz w:val="24"/>
          <w:szCs w:val="24"/>
        </w:rPr>
        <w:t>d</w:t>
      </w:r>
      <w:r w:rsidRPr="009F71CF">
        <w:rPr>
          <w:rFonts w:asciiTheme="minorHAnsi" w:hAnsiTheme="minorHAnsi"/>
          <w:bCs/>
          <w:sz w:val="24"/>
          <w:szCs w:val="24"/>
        </w:rPr>
        <w:t xml:space="preserve"> migalastat will provide Fabry patients with a safe and effective treatment option with several advantages over current enzyme replacement therapies (ERTs)</w:t>
      </w:r>
      <w:r w:rsidR="00025ADD">
        <w:rPr>
          <w:rFonts w:asciiTheme="minorHAnsi" w:hAnsiTheme="minorHAnsi"/>
          <w:bCs/>
          <w:sz w:val="24"/>
          <w:szCs w:val="24"/>
        </w:rPr>
        <w:t>, such as</w:t>
      </w:r>
      <w:r w:rsidRPr="009F71CF">
        <w:rPr>
          <w:rFonts w:asciiTheme="minorHAnsi" w:hAnsiTheme="minorHAnsi"/>
          <w:bCs/>
          <w:sz w:val="24"/>
          <w:szCs w:val="24"/>
        </w:rPr>
        <w:t>:</w:t>
      </w:r>
    </w:p>
    <w:p w:rsidR="000C5F7D" w:rsidRPr="009F71CF" w:rsidRDefault="00025ADD" w:rsidP="001F12E3">
      <w:pPr>
        <w:pStyle w:val="ListParagraph"/>
        <w:numPr>
          <w:ilvl w:val="2"/>
          <w:numId w:val="22"/>
        </w:numPr>
        <w:ind w:left="1800"/>
        <w:rPr>
          <w:rFonts w:asciiTheme="minorHAnsi" w:hAnsiTheme="minorHAnsi"/>
          <w:bCs/>
          <w:sz w:val="24"/>
          <w:szCs w:val="24"/>
        </w:rPr>
      </w:pPr>
      <w:r w:rsidRPr="009F71CF">
        <w:rPr>
          <w:rFonts w:asciiTheme="minorHAnsi" w:hAnsiTheme="minorHAnsi"/>
          <w:bCs/>
          <w:sz w:val="24"/>
          <w:szCs w:val="24"/>
        </w:rPr>
        <w:t>eliminat</w:t>
      </w:r>
      <w:r>
        <w:rPr>
          <w:rFonts w:asciiTheme="minorHAnsi" w:hAnsiTheme="minorHAnsi"/>
          <w:bCs/>
          <w:sz w:val="24"/>
          <w:szCs w:val="24"/>
        </w:rPr>
        <w:t>ing</w:t>
      </w:r>
      <w:r w:rsidRPr="009F71CF">
        <w:rPr>
          <w:rFonts w:asciiTheme="minorHAnsi" w:hAnsiTheme="minorHAnsi"/>
          <w:bCs/>
          <w:sz w:val="24"/>
          <w:szCs w:val="24"/>
        </w:rPr>
        <w:t xml:space="preserve"> </w:t>
      </w:r>
      <w:r w:rsidR="000C5F7D" w:rsidRPr="009F71CF">
        <w:rPr>
          <w:rFonts w:asciiTheme="minorHAnsi" w:hAnsiTheme="minorHAnsi"/>
          <w:bCs/>
          <w:sz w:val="24"/>
          <w:szCs w:val="24"/>
        </w:rPr>
        <w:t>the burden associated with ERT administration, for patients and their caregivers</w:t>
      </w:r>
    </w:p>
    <w:p w:rsidR="000C5F7D" w:rsidRPr="009F71CF" w:rsidRDefault="00025ADD" w:rsidP="001F12E3">
      <w:pPr>
        <w:pStyle w:val="ListParagraph"/>
        <w:numPr>
          <w:ilvl w:val="2"/>
          <w:numId w:val="22"/>
        </w:numPr>
        <w:ind w:left="1800"/>
        <w:rPr>
          <w:rFonts w:asciiTheme="minorHAnsi" w:hAnsiTheme="minorHAnsi"/>
          <w:bCs/>
          <w:sz w:val="24"/>
          <w:szCs w:val="24"/>
        </w:rPr>
      </w:pPr>
      <w:r w:rsidRPr="009F71CF">
        <w:rPr>
          <w:rFonts w:asciiTheme="minorHAnsi" w:hAnsiTheme="minorHAnsi"/>
          <w:bCs/>
          <w:sz w:val="24"/>
          <w:szCs w:val="24"/>
        </w:rPr>
        <w:t>reduc</w:t>
      </w:r>
      <w:r>
        <w:rPr>
          <w:rFonts w:asciiTheme="minorHAnsi" w:hAnsiTheme="minorHAnsi"/>
          <w:bCs/>
          <w:sz w:val="24"/>
          <w:szCs w:val="24"/>
        </w:rPr>
        <w:t>ing</w:t>
      </w:r>
      <w:r w:rsidRPr="009F71CF">
        <w:rPr>
          <w:rFonts w:asciiTheme="minorHAnsi" w:hAnsiTheme="minorHAnsi"/>
          <w:bCs/>
          <w:sz w:val="24"/>
          <w:szCs w:val="24"/>
        </w:rPr>
        <w:t xml:space="preserve"> </w:t>
      </w:r>
      <w:r w:rsidR="000C5F7D" w:rsidRPr="009F71CF">
        <w:rPr>
          <w:rFonts w:asciiTheme="minorHAnsi" w:hAnsiTheme="minorHAnsi"/>
          <w:bCs/>
          <w:sz w:val="24"/>
          <w:szCs w:val="24"/>
        </w:rPr>
        <w:t>the risk of experiencing infusion associated reactions (IARs) or immunogenic reactions</w:t>
      </w:r>
    </w:p>
    <w:p w:rsidR="000C5F7D" w:rsidRPr="009F71CF" w:rsidRDefault="00025ADD" w:rsidP="001F12E3">
      <w:pPr>
        <w:pStyle w:val="ListParagraph"/>
        <w:numPr>
          <w:ilvl w:val="2"/>
          <w:numId w:val="22"/>
        </w:numPr>
        <w:ind w:left="1800"/>
        <w:rPr>
          <w:rFonts w:asciiTheme="minorHAnsi" w:hAnsiTheme="minorHAnsi"/>
          <w:bCs/>
          <w:sz w:val="24"/>
          <w:szCs w:val="24"/>
        </w:rPr>
      </w:pPr>
      <w:r w:rsidRPr="009F71CF">
        <w:rPr>
          <w:rFonts w:asciiTheme="minorHAnsi" w:hAnsiTheme="minorHAnsi"/>
          <w:bCs/>
          <w:sz w:val="24"/>
          <w:szCs w:val="24"/>
        </w:rPr>
        <w:t>facilitat</w:t>
      </w:r>
      <w:r>
        <w:rPr>
          <w:rFonts w:asciiTheme="minorHAnsi" w:hAnsiTheme="minorHAnsi"/>
          <w:bCs/>
          <w:sz w:val="24"/>
          <w:szCs w:val="24"/>
        </w:rPr>
        <w:t>ing</w:t>
      </w:r>
      <w:r w:rsidRPr="009F71CF">
        <w:rPr>
          <w:rFonts w:asciiTheme="minorHAnsi" w:hAnsiTheme="minorHAnsi"/>
          <w:bCs/>
          <w:sz w:val="24"/>
          <w:szCs w:val="24"/>
        </w:rPr>
        <w:t xml:space="preserve"> </w:t>
      </w:r>
      <w:r w:rsidR="000C5F7D" w:rsidRPr="009F71CF">
        <w:rPr>
          <w:rFonts w:asciiTheme="minorHAnsi" w:hAnsiTheme="minorHAnsi"/>
          <w:bCs/>
          <w:sz w:val="24"/>
          <w:szCs w:val="24"/>
        </w:rPr>
        <w:t>dosing to a stable drug concentration, with broad tissue distribution.</w:t>
      </w:r>
    </w:p>
    <w:p w:rsidR="003A4356" w:rsidRPr="009F71CF" w:rsidRDefault="000C5F7D" w:rsidP="001F12E3">
      <w:pPr>
        <w:pStyle w:val="ListParagraph"/>
        <w:ind w:left="1080"/>
        <w:rPr>
          <w:rFonts w:asciiTheme="minorHAnsi" w:hAnsiTheme="minorHAnsi"/>
          <w:bCs/>
          <w:sz w:val="24"/>
          <w:szCs w:val="24"/>
        </w:rPr>
      </w:pPr>
      <w:r w:rsidRPr="009F71CF">
        <w:rPr>
          <w:rFonts w:asciiTheme="minorHAnsi" w:hAnsiTheme="minorHAnsi"/>
          <w:bCs/>
          <w:sz w:val="24"/>
          <w:szCs w:val="24"/>
        </w:rPr>
        <w:t xml:space="preserve">The PBAC agreed that there </w:t>
      </w:r>
      <w:r w:rsidR="000A4706" w:rsidRPr="009F71CF">
        <w:rPr>
          <w:rFonts w:asciiTheme="minorHAnsi" w:hAnsiTheme="minorHAnsi"/>
          <w:bCs/>
          <w:sz w:val="24"/>
          <w:szCs w:val="24"/>
        </w:rPr>
        <w:t>w</w:t>
      </w:r>
      <w:r w:rsidR="000A4706">
        <w:rPr>
          <w:rFonts w:asciiTheme="minorHAnsi" w:hAnsiTheme="minorHAnsi"/>
          <w:bCs/>
          <w:sz w:val="24"/>
          <w:szCs w:val="24"/>
        </w:rPr>
        <w:t>ould</w:t>
      </w:r>
      <w:r w:rsidR="000A4706" w:rsidRPr="009F71CF">
        <w:rPr>
          <w:rFonts w:asciiTheme="minorHAnsi" w:hAnsiTheme="minorHAnsi"/>
          <w:bCs/>
          <w:sz w:val="24"/>
          <w:szCs w:val="24"/>
        </w:rPr>
        <w:t xml:space="preserve"> </w:t>
      </w:r>
      <w:r w:rsidR="00550120" w:rsidRPr="009F71CF">
        <w:rPr>
          <w:rFonts w:asciiTheme="minorHAnsi" w:hAnsiTheme="minorHAnsi"/>
          <w:bCs/>
          <w:sz w:val="24"/>
          <w:szCs w:val="24"/>
        </w:rPr>
        <w:t>be an</w:t>
      </w:r>
      <w:r w:rsidRPr="009F71CF">
        <w:rPr>
          <w:rFonts w:asciiTheme="minorHAnsi" w:hAnsiTheme="minorHAnsi"/>
          <w:bCs/>
          <w:sz w:val="24"/>
          <w:szCs w:val="24"/>
        </w:rPr>
        <w:t xml:space="preserve"> advantage of an oral treatment over an infusible medicine</w:t>
      </w:r>
      <w:r w:rsidR="00550120" w:rsidRPr="009F71CF">
        <w:rPr>
          <w:rFonts w:asciiTheme="minorHAnsi" w:hAnsiTheme="minorHAnsi"/>
          <w:bCs/>
          <w:sz w:val="24"/>
          <w:szCs w:val="24"/>
        </w:rPr>
        <w:t>. The</w:t>
      </w:r>
      <w:r w:rsidRPr="009F71CF">
        <w:rPr>
          <w:rFonts w:asciiTheme="minorHAnsi" w:hAnsiTheme="minorHAnsi"/>
          <w:bCs/>
          <w:sz w:val="24"/>
          <w:szCs w:val="24"/>
        </w:rPr>
        <w:t xml:space="preserve"> Committee noted patients with Fabry disease would likely </w:t>
      </w:r>
      <w:r w:rsidR="00805952" w:rsidRPr="009F71CF">
        <w:rPr>
          <w:rFonts w:asciiTheme="minorHAnsi" w:hAnsiTheme="minorHAnsi"/>
          <w:bCs/>
          <w:sz w:val="24"/>
          <w:szCs w:val="24"/>
        </w:rPr>
        <w:t>continue to be regularly followed by clinicians and that the evaluation of the March 2017</w:t>
      </w:r>
      <w:r w:rsidR="000A4706">
        <w:rPr>
          <w:rFonts w:asciiTheme="minorHAnsi" w:hAnsiTheme="minorHAnsi"/>
          <w:bCs/>
          <w:sz w:val="24"/>
          <w:szCs w:val="24"/>
        </w:rPr>
        <w:t xml:space="preserve"> submission</w:t>
      </w:r>
      <w:r w:rsidR="00805952" w:rsidRPr="009F71CF">
        <w:rPr>
          <w:rFonts w:asciiTheme="minorHAnsi" w:hAnsiTheme="minorHAnsi"/>
          <w:bCs/>
          <w:sz w:val="24"/>
          <w:szCs w:val="24"/>
        </w:rPr>
        <w:t xml:space="preserve"> had discussed possible requirements for patient monitoring before and during migalastat treatment. </w:t>
      </w:r>
      <w:r w:rsidR="00EF7423" w:rsidRPr="009F71CF">
        <w:rPr>
          <w:rFonts w:asciiTheme="minorHAnsi" w:hAnsiTheme="minorHAnsi"/>
          <w:bCs/>
          <w:sz w:val="24"/>
          <w:szCs w:val="24"/>
        </w:rPr>
        <w:t xml:space="preserve">As the sponsor had not quantified </w:t>
      </w:r>
      <w:r w:rsidRPr="009F71CF">
        <w:rPr>
          <w:rFonts w:asciiTheme="minorHAnsi" w:hAnsiTheme="minorHAnsi"/>
          <w:bCs/>
          <w:sz w:val="24"/>
          <w:szCs w:val="24"/>
        </w:rPr>
        <w:t xml:space="preserve">any associated benefits </w:t>
      </w:r>
      <w:r w:rsidR="00EF7423" w:rsidRPr="009F71CF">
        <w:rPr>
          <w:rFonts w:asciiTheme="minorHAnsi" w:hAnsiTheme="minorHAnsi"/>
          <w:bCs/>
          <w:sz w:val="24"/>
          <w:szCs w:val="24"/>
        </w:rPr>
        <w:t xml:space="preserve">or additional costs for </w:t>
      </w:r>
      <w:r w:rsidRPr="009F71CF">
        <w:rPr>
          <w:rFonts w:asciiTheme="minorHAnsi" w:hAnsiTheme="minorHAnsi"/>
          <w:bCs/>
          <w:sz w:val="24"/>
          <w:szCs w:val="24"/>
        </w:rPr>
        <w:t>patients using migalastat rather than ERT</w:t>
      </w:r>
      <w:r w:rsidR="00EF7423" w:rsidRPr="009F71CF">
        <w:rPr>
          <w:rFonts w:asciiTheme="minorHAnsi" w:hAnsiTheme="minorHAnsi"/>
          <w:bCs/>
          <w:sz w:val="24"/>
          <w:szCs w:val="24"/>
        </w:rPr>
        <w:t xml:space="preserve">, the PBAC considered at this time, valuing migalastat compared to ERT only on </w:t>
      </w:r>
      <w:r w:rsidR="00CA11BF" w:rsidRPr="009F71CF">
        <w:rPr>
          <w:rFonts w:asciiTheme="minorHAnsi" w:hAnsiTheme="minorHAnsi"/>
          <w:bCs/>
          <w:sz w:val="24"/>
          <w:szCs w:val="24"/>
        </w:rPr>
        <w:t xml:space="preserve">a </w:t>
      </w:r>
      <w:r w:rsidR="00EF7423" w:rsidRPr="009F71CF">
        <w:rPr>
          <w:rFonts w:asciiTheme="minorHAnsi" w:hAnsiTheme="minorHAnsi"/>
          <w:bCs/>
          <w:sz w:val="24"/>
          <w:szCs w:val="24"/>
        </w:rPr>
        <w:t xml:space="preserve">medicine </w:t>
      </w:r>
      <w:r w:rsidR="00550120" w:rsidRPr="009F71CF">
        <w:rPr>
          <w:rFonts w:asciiTheme="minorHAnsi" w:hAnsiTheme="minorHAnsi"/>
          <w:bCs/>
          <w:sz w:val="24"/>
          <w:szCs w:val="24"/>
        </w:rPr>
        <w:t>cost basis</w:t>
      </w:r>
      <w:r w:rsidR="00EF7423" w:rsidRPr="009F71CF">
        <w:rPr>
          <w:rFonts w:asciiTheme="minorHAnsi" w:hAnsiTheme="minorHAnsi"/>
          <w:bCs/>
          <w:sz w:val="24"/>
          <w:szCs w:val="24"/>
        </w:rPr>
        <w:t xml:space="preserve"> was appropriate. </w:t>
      </w:r>
    </w:p>
    <w:p w:rsidR="003A4356" w:rsidRPr="009F71CF" w:rsidRDefault="003A4356" w:rsidP="001F12E3">
      <w:pPr>
        <w:pStyle w:val="ListParagraph"/>
        <w:ind w:left="360"/>
        <w:rPr>
          <w:rFonts w:asciiTheme="minorHAnsi" w:hAnsiTheme="minorHAnsi"/>
          <w:bCs/>
          <w:sz w:val="24"/>
          <w:szCs w:val="24"/>
        </w:rPr>
      </w:pPr>
    </w:p>
    <w:p w:rsidR="00EF7423" w:rsidRPr="009F71CF" w:rsidRDefault="00B02419" w:rsidP="001F12E3">
      <w:pPr>
        <w:pStyle w:val="ListParagraph"/>
        <w:numPr>
          <w:ilvl w:val="1"/>
          <w:numId w:val="22"/>
        </w:numPr>
        <w:ind w:left="1080"/>
        <w:rPr>
          <w:rFonts w:asciiTheme="minorHAnsi" w:hAnsiTheme="minorHAnsi"/>
          <w:bCs/>
          <w:sz w:val="24"/>
          <w:szCs w:val="24"/>
        </w:rPr>
      </w:pPr>
      <w:r w:rsidRPr="009F71CF">
        <w:rPr>
          <w:rFonts w:asciiTheme="minorHAnsi" w:hAnsiTheme="minorHAnsi"/>
          <w:bCs/>
          <w:sz w:val="24"/>
          <w:szCs w:val="24"/>
        </w:rPr>
        <w:t xml:space="preserve">The PBAC remained concerned </w:t>
      </w:r>
      <w:r w:rsidR="0091678F">
        <w:rPr>
          <w:rFonts w:asciiTheme="minorHAnsi" w:hAnsiTheme="minorHAnsi"/>
          <w:bCs/>
          <w:sz w:val="24"/>
          <w:szCs w:val="24"/>
        </w:rPr>
        <w:t xml:space="preserve">by </w:t>
      </w:r>
      <w:r w:rsidR="00EF7423" w:rsidRPr="009F71CF">
        <w:rPr>
          <w:rFonts w:asciiTheme="minorHAnsi" w:hAnsiTheme="minorHAnsi"/>
          <w:bCs/>
          <w:sz w:val="24"/>
          <w:szCs w:val="24"/>
        </w:rPr>
        <w:t>the potential for unintended use in patien</w:t>
      </w:r>
      <w:r w:rsidRPr="009F71CF">
        <w:rPr>
          <w:rFonts w:asciiTheme="minorHAnsi" w:hAnsiTheme="minorHAnsi"/>
          <w:bCs/>
          <w:sz w:val="24"/>
          <w:szCs w:val="24"/>
        </w:rPr>
        <w:t>ts with non-amenable mutations. The PBAC recalled that the pre-PBAC response to the July 2017 resubmission proposed that certain factors could be considered in determining the price of migalastat, including the cost of therapy in patients who receive migalastat but do not demonstrate a response at 6 months.</w:t>
      </w:r>
    </w:p>
    <w:p w:rsidR="00EF7423" w:rsidRPr="009F71CF" w:rsidRDefault="00EF7423" w:rsidP="001F12E3">
      <w:pPr>
        <w:pStyle w:val="ListParagraph"/>
        <w:ind w:left="360"/>
        <w:rPr>
          <w:rFonts w:asciiTheme="minorHAnsi" w:hAnsiTheme="minorHAnsi"/>
          <w:bCs/>
          <w:sz w:val="24"/>
          <w:szCs w:val="24"/>
        </w:rPr>
      </w:pPr>
    </w:p>
    <w:p w:rsidR="00B02419" w:rsidRPr="009F71CF" w:rsidRDefault="003A4356" w:rsidP="001F12E3">
      <w:pPr>
        <w:pStyle w:val="ListParagraph"/>
        <w:numPr>
          <w:ilvl w:val="1"/>
          <w:numId w:val="22"/>
        </w:numPr>
        <w:ind w:left="1080"/>
        <w:rPr>
          <w:rFonts w:asciiTheme="minorHAnsi" w:hAnsiTheme="minorHAnsi"/>
          <w:bCs/>
          <w:sz w:val="24"/>
          <w:szCs w:val="24"/>
        </w:rPr>
      </w:pPr>
      <w:r w:rsidRPr="009F71CF">
        <w:rPr>
          <w:rFonts w:asciiTheme="minorHAnsi" w:hAnsiTheme="minorHAnsi"/>
          <w:bCs/>
          <w:sz w:val="24"/>
          <w:szCs w:val="24"/>
        </w:rPr>
        <w:t xml:space="preserve">The PBAC recalled from </w:t>
      </w:r>
      <w:r w:rsidR="0091678F" w:rsidRPr="009F71CF">
        <w:rPr>
          <w:rFonts w:asciiTheme="minorHAnsi" w:hAnsiTheme="minorHAnsi"/>
          <w:bCs/>
          <w:sz w:val="24"/>
          <w:szCs w:val="24"/>
        </w:rPr>
        <w:t>th</w:t>
      </w:r>
      <w:r w:rsidR="0091678F">
        <w:rPr>
          <w:rFonts w:asciiTheme="minorHAnsi" w:hAnsiTheme="minorHAnsi"/>
          <w:bCs/>
          <w:sz w:val="24"/>
          <w:szCs w:val="24"/>
        </w:rPr>
        <w:t>e</w:t>
      </w:r>
      <w:r w:rsidR="0091678F" w:rsidRPr="009F71CF">
        <w:rPr>
          <w:rFonts w:asciiTheme="minorHAnsi" w:hAnsiTheme="minorHAnsi"/>
          <w:bCs/>
          <w:sz w:val="24"/>
          <w:szCs w:val="24"/>
        </w:rPr>
        <w:t xml:space="preserve"> </w:t>
      </w:r>
      <w:r w:rsidRPr="009F71CF">
        <w:rPr>
          <w:rFonts w:asciiTheme="minorHAnsi" w:hAnsiTheme="minorHAnsi"/>
          <w:bCs/>
          <w:sz w:val="24"/>
          <w:szCs w:val="24"/>
        </w:rPr>
        <w:t xml:space="preserve">July 2017 meeting, although the </w:t>
      </w:r>
      <w:r w:rsidR="0091678F">
        <w:rPr>
          <w:rFonts w:asciiTheme="minorHAnsi" w:hAnsiTheme="minorHAnsi"/>
          <w:bCs/>
          <w:sz w:val="24"/>
          <w:szCs w:val="24"/>
        </w:rPr>
        <w:t xml:space="preserve">Committee’s </w:t>
      </w:r>
      <w:r w:rsidRPr="009F71CF">
        <w:rPr>
          <w:rFonts w:asciiTheme="minorHAnsi" w:hAnsiTheme="minorHAnsi"/>
          <w:bCs/>
          <w:sz w:val="24"/>
          <w:szCs w:val="24"/>
        </w:rPr>
        <w:t xml:space="preserve">concerns regarding determining eligibility </w:t>
      </w:r>
      <w:r w:rsidR="0091678F">
        <w:rPr>
          <w:rFonts w:asciiTheme="minorHAnsi" w:hAnsiTheme="minorHAnsi"/>
          <w:bCs/>
          <w:sz w:val="24"/>
          <w:szCs w:val="24"/>
        </w:rPr>
        <w:t xml:space="preserve">for </w:t>
      </w:r>
      <w:r w:rsidRPr="009F71CF">
        <w:rPr>
          <w:rFonts w:asciiTheme="minorHAnsi" w:hAnsiTheme="minorHAnsi"/>
          <w:bCs/>
          <w:sz w:val="24"/>
          <w:szCs w:val="24"/>
        </w:rPr>
        <w:t>migalastat remained from the March 2017 consideration, the PBAC did not consider it necessary to assess codependent testing for the MBS in the context of any Commonwealth subsidy of this medicine. If concerns arise later</w:t>
      </w:r>
      <w:r w:rsidR="00F44F6A">
        <w:rPr>
          <w:rFonts w:asciiTheme="minorHAnsi" w:hAnsiTheme="minorHAnsi"/>
          <w:bCs/>
          <w:sz w:val="24"/>
          <w:szCs w:val="24"/>
        </w:rPr>
        <w:t xml:space="preserve"> </w:t>
      </w:r>
      <w:r w:rsidRPr="009F71CF">
        <w:rPr>
          <w:rFonts w:asciiTheme="minorHAnsi" w:hAnsiTheme="minorHAnsi"/>
          <w:bCs/>
          <w:sz w:val="24"/>
          <w:szCs w:val="24"/>
        </w:rPr>
        <w:t>about test</w:t>
      </w:r>
      <w:r w:rsidR="0091678F">
        <w:rPr>
          <w:rFonts w:asciiTheme="minorHAnsi" w:hAnsiTheme="minorHAnsi"/>
          <w:bCs/>
          <w:sz w:val="24"/>
          <w:szCs w:val="24"/>
        </w:rPr>
        <w:t>ing</w:t>
      </w:r>
      <w:r w:rsidRPr="009F71CF">
        <w:rPr>
          <w:rFonts w:asciiTheme="minorHAnsi" w:hAnsiTheme="minorHAnsi"/>
          <w:bCs/>
          <w:sz w:val="24"/>
          <w:szCs w:val="24"/>
        </w:rPr>
        <w:t xml:space="preserve"> to determining eligibility, advice of the Medical Services Advisory Committee could be sought. </w:t>
      </w:r>
    </w:p>
    <w:p w:rsidR="00B02419" w:rsidRPr="009F71CF" w:rsidRDefault="00B02419" w:rsidP="001F12E3">
      <w:pPr>
        <w:pStyle w:val="ListParagraph"/>
        <w:ind w:left="360"/>
        <w:rPr>
          <w:rFonts w:asciiTheme="minorHAnsi" w:hAnsiTheme="minorHAnsi"/>
          <w:sz w:val="24"/>
          <w:szCs w:val="24"/>
        </w:rPr>
      </w:pPr>
    </w:p>
    <w:p w:rsidR="00B02419" w:rsidRPr="009F71CF" w:rsidRDefault="00B6738E" w:rsidP="001F12E3">
      <w:pPr>
        <w:pStyle w:val="ListParagraph"/>
        <w:numPr>
          <w:ilvl w:val="1"/>
          <w:numId w:val="22"/>
        </w:numPr>
        <w:spacing w:before="120" w:after="160"/>
        <w:ind w:left="1080"/>
        <w:rPr>
          <w:rFonts w:asciiTheme="minorHAnsi" w:eastAsiaTheme="minorHAnsi" w:hAnsiTheme="minorHAnsi" w:cstheme="minorBidi"/>
          <w:snapToGrid/>
          <w:sz w:val="24"/>
          <w:szCs w:val="22"/>
        </w:rPr>
      </w:pPr>
      <w:r w:rsidRPr="009F71CF">
        <w:rPr>
          <w:rFonts w:asciiTheme="minorHAnsi" w:eastAsiaTheme="minorHAnsi" w:hAnsiTheme="minorHAnsi" w:cstheme="minorBidi"/>
          <w:snapToGrid/>
          <w:sz w:val="24"/>
          <w:szCs w:val="22"/>
        </w:rPr>
        <w:t xml:space="preserve">The final version of Product Information (PI) for migalastat states that migalastat is not intended for use in combination with enzyme replacement therapies (ERTs). </w:t>
      </w:r>
      <w:r w:rsidRPr="009F71CF">
        <w:rPr>
          <w:rFonts w:asciiTheme="minorHAnsi" w:hAnsiTheme="minorHAnsi"/>
          <w:sz w:val="24"/>
          <w:szCs w:val="24"/>
        </w:rPr>
        <w:t>However, t</w:t>
      </w:r>
      <w:r w:rsidR="00B02419" w:rsidRPr="009F71CF">
        <w:rPr>
          <w:rFonts w:asciiTheme="minorHAnsi" w:hAnsiTheme="minorHAnsi"/>
          <w:sz w:val="24"/>
          <w:szCs w:val="24"/>
        </w:rPr>
        <w:t xml:space="preserve">he PBAC remained concerned of the potential </w:t>
      </w:r>
      <w:r w:rsidR="0091678F">
        <w:rPr>
          <w:rFonts w:asciiTheme="minorHAnsi" w:hAnsiTheme="minorHAnsi"/>
          <w:sz w:val="24"/>
          <w:szCs w:val="24"/>
        </w:rPr>
        <w:t xml:space="preserve">for </w:t>
      </w:r>
      <w:r w:rsidR="00BC3A67" w:rsidRPr="009F71CF">
        <w:rPr>
          <w:rFonts w:asciiTheme="minorHAnsi" w:hAnsiTheme="minorHAnsi"/>
          <w:sz w:val="24"/>
          <w:szCs w:val="24"/>
        </w:rPr>
        <w:t xml:space="preserve">migalastat </w:t>
      </w:r>
      <w:r w:rsidR="0091678F">
        <w:rPr>
          <w:rFonts w:asciiTheme="minorHAnsi" w:hAnsiTheme="minorHAnsi"/>
          <w:sz w:val="24"/>
          <w:szCs w:val="24"/>
        </w:rPr>
        <w:t xml:space="preserve">to be </w:t>
      </w:r>
      <w:r w:rsidR="00BC3A67" w:rsidRPr="009F71CF">
        <w:rPr>
          <w:rFonts w:asciiTheme="minorHAnsi" w:hAnsiTheme="minorHAnsi"/>
          <w:sz w:val="24"/>
          <w:szCs w:val="24"/>
        </w:rPr>
        <w:t xml:space="preserve">used in combination with, rather than instead of, ERT, given their different mechanisms of action, as discussed </w:t>
      </w:r>
      <w:r w:rsidR="00B02419" w:rsidRPr="009F71CF">
        <w:rPr>
          <w:rFonts w:asciiTheme="minorHAnsi" w:hAnsiTheme="minorHAnsi"/>
          <w:sz w:val="24"/>
          <w:szCs w:val="24"/>
        </w:rPr>
        <w:t xml:space="preserve">at </w:t>
      </w:r>
      <w:r w:rsidR="00BC3A67" w:rsidRPr="009F71CF">
        <w:rPr>
          <w:rFonts w:asciiTheme="minorHAnsi" w:hAnsiTheme="minorHAnsi"/>
          <w:sz w:val="24"/>
          <w:szCs w:val="24"/>
        </w:rPr>
        <w:t>the March 2017 PBAC meeting.</w:t>
      </w:r>
      <w:r w:rsidR="00B02419" w:rsidRPr="009F71CF">
        <w:rPr>
          <w:rFonts w:asciiTheme="minorHAnsi" w:hAnsiTheme="minorHAnsi"/>
          <w:sz w:val="24"/>
          <w:szCs w:val="24"/>
        </w:rPr>
        <w:t xml:space="preserve"> The PBAC considered that</w:t>
      </w:r>
      <w:r w:rsidR="00E359A7" w:rsidRPr="009F71CF">
        <w:rPr>
          <w:rFonts w:asciiTheme="minorHAnsi" w:hAnsiTheme="minorHAnsi"/>
          <w:sz w:val="24"/>
          <w:szCs w:val="24"/>
        </w:rPr>
        <w:t xml:space="preserve"> </w:t>
      </w:r>
      <w:r w:rsidR="00B02419" w:rsidRPr="009F71CF">
        <w:rPr>
          <w:rFonts w:asciiTheme="minorHAnsi" w:hAnsiTheme="minorHAnsi"/>
          <w:sz w:val="24"/>
          <w:szCs w:val="24"/>
        </w:rPr>
        <w:t xml:space="preserve">eligibility criteria for subsidised treatment for Fabry disease should exclude concomitant use </w:t>
      </w:r>
      <w:r w:rsidR="00E359A7" w:rsidRPr="009F71CF">
        <w:rPr>
          <w:rFonts w:asciiTheme="minorHAnsi" w:hAnsiTheme="minorHAnsi"/>
          <w:sz w:val="24"/>
          <w:szCs w:val="24"/>
        </w:rPr>
        <w:t xml:space="preserve">of multiple medicines. Further, the Minister may consider </w:t>
      </w:r>
      <w:r w:rsidRPr="009F71CF">
        <w:rPr>
          <w:rFonts w:asciiTheme="minorHAnsi" w:hAnsiTheme="minorHAnsi"/>
          <w:sz w:val="24"/>
          <w:szCs w:val="24"/>
        </w:rPr>
        <w:t>a Risk</w:t>
      </w:r>
      <w:r w:rsidR="00E359A7" w:rsidRPr="009F71CF">
        <w:rPr>
          <w:rFonts w:asciiTheme="minorHAnsi" w:hAnsiTheme="minorHAnsi"/>
          <w:sz w:val="24"/>
          <w:szCs w:val="24"/>
        </w:rPr>
        <w:t xml:space="preserve"> Share Agreement to ensure that, as </w:t>
      </w:r>
      <w:r w:rsidR="00CA11BF" w:rsidRPr="009F71CF">
        <w:rPr>
          <w:rFonts w:asciiTheme="minorHAnsi" w:hAnsiTheme="minorHAnsi"/>
          <w:sz w:val="24"/>
          <w:szCs w:val="24"/>
        </w:rPr>
        <w:t>reiterated</w:t>
      </w:r>
      <w:r w:rsidR="00E359A7" w:rsidRPr="009F71CF">
        <w:rPr>
          <w:rFonts w:asciiTheme="minorHAnsi" w:hAnsiTheme="minorHAnsi"/>
          <w:sz w:val="24"/>
          <w:szCs w:val="24"/>
        </w:rPr>
        <w:t xml:space="preserve"> by the sponsor in the pre-PBAC response, subsidy of migalastat would provide </w:t>
      </w:r>
      <w:r w:rsidR="0091678F" w:rsidRPr="009F71CF">
        <w:rPr>
          <w:rFonts w:asciiTheme="minorHAnsi" w:hAnsiTheme="minorHAnsi"/>
          <w:sz w:val="24"/>
          <w:szCs w:val="24"/>
        </w:rPr>
        <w:t>cost saving</w:t>
      </w:r>
      <w:r w:rsidR="00E359A7" w:rsidRPr="009F71CF">
        <w:rPr>
          <w:rFonts w:asciiTheme="minorHAnsi" w:hAnsiTheme="minorHAnsi"/>
          <w:sz w:val="24"/>
          <w:szCs w:val="24"/>
        </w:rPr>
        <w:t xml:space="preserve"> to Government. </w:t>
      </w:r>
    </w:p>
    <w:p w:rsidR="009E18A9" w:rsidRDefault="009E18A9" w:rsidP="009E6D67">
      <w:pPr>
        <w:jc w:val="both"/>
        <w:rPr>
          <w:rFonts w:asciiTheme="minorHAnsi" w:hAnsiTheme="minorHAnsi" w:cs="Arial"/>
          <w:b/>
          <w:bCs/>
          <w:snapToGrid w:val="0"/>
        </w:rPr>
      </w:pPr>
    </w:p>
    <w:p w:rsidR="009E6D67" w:rsidRPr="009F71CF" w:rsidRDefault="009E6D67" w:rsidP="009E6D67">
      <w:pPr>
        <w:jc w:val="both"/>
        <w:rPr>
          <w:rFonts w:asciiTheme="minorHAnsi" w:hAnsiTheme="minorHAnsi" w:cs="Arial"/>
          <w:b/>
          <w:bCs/>
          <w:snapToGrid w:val="0"/>
        </w:rPr>
      </w:pPr>
      <w:r w:rsidRPr="009F71CF">
        <w:rPr>
          <w:rFonts w:asciiTheme="minorHAnsi" w:hAnsiTheme="minorHAnsi" w:cs="Arial"/>
          <w:b/>
          <w:bCs/>
          <w:snapToGrid w:val="0"/>
        </w:rPr>
        <w:t>Outcome:</w:t>
      </w:r>
    </w:p>
    <w:p w:rsidR="009E6D67" w:rsidRPr="009F71CF" w:rsidRDefault="009E6D67" w:rsidP="009E6D67">
      <w:pPr>
        <w:jc w:val="both"/>
        <w:rPr>
          <w:rFonts w:asciiTheme="minorHAnsi" w:hAnsiTheme="minorHAnsi" w:cs="Arial"/>
          <w:bCs/>
          <w:snapToGrid w:val="0"/>
        </w:rPr>
      </w:pPr>
      <w:r w:rsidRPr="009F71CF">
        <w:rPr>
          <w:rFonts w:asciiTheme="minorHAnsi" w:hAnsiTheme="minorHAnsi" w:cs="Arial"/>
          <w:bCs/>
          <w:snapToGrid w:val="0"/>
        </w:rPr>
        <w:t xml:space="preserve">Rejected </w:t>
      </w:r>
    </w:p>
    <w:p w:rsidR="009E6D67" w:rsidRDefault="009E6D67" w:rsidP="009E6D67">
      <w:pPr>
        <w:widowControl w:val="0"/>
        <w:jc w:val="both"/>
        <w:rPr>
          <w:rFonts w:asciiTheme="minorHAnsi" w:hAnsiTheme="minorHAnsi" w:cs="Arial"/>
          <w:b/>
          <w:bCs/>
          <w:snapToGrid w:val="0"/>
        </w:rPr>
      </w:pPr>
    </w:p>
    <w:p w:rsidR="00EE3E1C" w:rsidRDefault="00EE3E1C" w:rsidP="00EE3E1C">
      <w:pPr>
        <w:pStyle w:val="Heading1"/>
        <w:keepNext/>
        <w:keepLines/>
        <w:widowControl/>
        <w:numPr>
          <w:ilvl w:val="0"/>
          <w:numId w:val="14"/>
        </w:numPr>
        <w:spacing w:before="240"/>
        <w:ind w:left="709" w:hanging="709"/>
        <w:contextualSpacing w:val="0"/>
        <w:jc w:val="left"/>
        <w:rPr>
          <w:rFonts w:asciiTheme="minorHAnsi" w:hAnsiTheme="minorHAnsi"/>
          <w:bCs/>
          <w:sz w:val="32"/>
        </w:rPr>
      </w:pPr>
      <w:r w:rsidRPr="00EE3E1C">
        <w:rPr>
          <w:rFonts w:asciiTheme="minorHAnsi" w:hAnsiTheme="minorHAnsi"/>
          <w:bCs/>
          <w:sz w:val="32"/>
        </w:rPr>
        <w:t>Context for Decision</w:t>
      </w:r>
    </w:p>
    <w:p w:rsidR="0009578B" w:rsidRPr="0009578B" w:rsidRDefault="0009578B" w:rsidP="0009578B">
      <w:pPr>
        <w:rPr>
          <w:lang w:eastAsia="en-US"/>
        </w:rPr>
      </w:pPr>
    </w:p>
    <w:p w:rsidR="00EE3E1C" w:rsidRPr="00EE3E1C" w:rsidRDefault="00EE3E1C" w:rsidP="00EE3E1C">
      <w:pPr>
        <w:spacing w:after="120"/>
        <w:rPr>
          <w:rFonts w:ascii="Calibri" w:hAnsi="Calibri"/>
        </w:rPr>
      </w:pPr>
      <w:r w:rsidRPr="00EE3E1C">
        <w:rPr>
          <w:rFonts w:ascii="Calibri" w:hAnsi="Calibr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E3E1C" w:rsidRDefault="00EE3E1C" w:rsidP="00EE3E1C">
      <w:pPr>
        <w:pStyle w:val="Heading1"/>
        <w:keepNext/>
        <w:keepLines/>
        <w:widowControl/>
        <w:numPr>
          <w:ilvl w:val="0"/>
          <w:numId w:val="14"/>
        </w:numPr>
        <w:spacing w:before="240"/>
        <w:ind w:left="709" w:hanging="709"/>
        <w:contextualSpacing w:val="0"/>
        <w:jc w:val="left"/>
        <w:rPr>
          <w:rFonts w:asciiTheme="minorHAnsi" w:hAnsiTheme="minorHAnsi"/>
          <w:bCs/>
          <w:sz w:val="32"/>
        </w:rPr>
      </w:pPr>
      <w:r w:rsidRPr="00EE3E1C">
        <w:rPr>
          <w:rFonts w:asciiTheme="minorHAnsi" w:hAnsiTheme="minorHAnsi"/>
          <w:bCs/>
          <w:sz w:val="32"/>
        </w:rPr>
        <w:t>Sponsor’s Comment</w:t>
      </w:r>
    </w:p>
    <w:p w:rsidR="0009578B" w:rsidRPr="0009578B" w:rsidRDefault="0009578B" w:rsidP="0009578B">
      <w:pPr>
        <w:rPr>
          <w:lang w:eastAsia="en-US"/>
        </w:rPr>
      </w:pPr>
    </w:p>
    <w:p w:rsidR="00EE3E1C" w:rsidRPr="006C3E73" w:rsidRDefault="006C3E73" w:rsidP="009E6D67">
      <w:pPr>
        <w:widowControl w:val="0"/>
        <w:jc w:val="both"/>
        <w:rPr>
          <w:rFonts w:ascii="Calibri" w:hAnsi="Calibri"/>
        </w:rPr>
      </w:pPr>
      <w:r w:rsidRPr="006C3E73">
        <w:rPr>
          <w:rFonts w:ascii="Calibri" w:hAnsi="Calibri"/>
        </w:rPr>
        <w:t xml:space="preserve">Amicus thanks the PBAC for its consideration of </w:t>
      </w:r>
      <w:proofErr w:type="spellStart"/>
      <w:r w:rsidRPr="006C3E73">
        <w:rPr>
          <w:rFonts w:ascii="Calibri" w:hAnsi="Calibri"/>
        </w:rPr>
        <w:t>migalastat</w:t>
      </w:r>
      <w:proofErr w:type="spellEnd"/>
      <w:r w:rsidRPr="006C3E73">
        <w:rPr>
          <w:rFonts w:ascii="Calibri" w:hAnsi="Calibri"/>
        </w:rPr>
        <w:t xml:space="preserve"> to treat </w:t>
      </w:r>
      <w:proofErr w:type="spellStart"/>
      <w:r w:rsidRPr="006C3E73">
        <w:rPr>
          <w:rFonts w:ascii="Calibri" w:hAnsi="Calibri"/>
        </w:rPr>
        <w:t>Fabry</w:t>
      </w:r>
      <w:proofErr w:type="spellEnd"/>
      <w:r w:rsidRPr="006C3E73">
        <w:rPr>
          <w:rFonts w:ascii="Calibri" w:hAnsi="Calibri"/>
        </w:rPr>
        <w:t xml:space="preserve"> disease. Based on the Committee’s recognition that </w:t>
      </w:r>
      <w:proofErr w:type="spellStart"/>
      <w:r w:rsidRPr="006C3E73">
        <w:rPr>
          <w:rFonts w:ascii="Calibri" w:hAnsi="Calibri"/>
        </w:rPr>
        <w:t>migalastat</w:t>
      </w:r>
      <w:proofErr w:type="spellEnd"/>
      <w:r w:rsidRPr="006C3E73">
        <w:rPr>
          <w:rFonts w:ascii="Calibri" w:hAnsi="Calibri"/>
        </w:rPr>
        <w:t xml:space="preserve"> is clinically effective in stabilising renal function in patients with </w:t>
      </w:r>
      <w:proofErr w:type="spellStart"/>
      <w:r w:rsidRPr="006C3E73">
        <w:rPr>
          <w:rFonts w:ascii="Calibri" w:hAnsi="Calibri"/>
        </w:rPr>
        <w:t>Fabry</w:t>
      </w:r>
      <w:proofErr w:type="spellEnd"/>
      <w:r w:rsidRPr="006C3E73">
        <w:rPr>
          <w:rFonts w:ascii="Calibri" w:hAnsi="Calibri"/>
        </w:rPr>
        <w:t xml:space="preserve"> disease, we look forward to liaising with the Life Saving Drugs Program to ensure that this novel oral therapy is made available to eligible Australian </w:t>
      </w:r>
      <w:proofErr w:type="spellStart"/>
      <w:r w:rsidRPr="006C3E73">
        <w:rPr>
          <w:rFonts w:ascii="Calibri" w:hAnsi="Calibri"/>
        </w:rPr>
        <w:t>Fabry</w:t>
      </w:r>
      <w:proofErr w:type="spellEnd"/>
      <w:r w:rsidRPr="006C3E73">
        <w:rPr>
          <w:rFonts w:ascii="Calibri" w:hAnsi="Calibri"/>
        </w:rPr>
        <w:t xml:space="preserve"> disease patients.</w:t>
      </w:r>
    </w:p>
    <w:sectPr w:rsidR="00EE3E1C" w:rsidRPr="006C3E73" w:rsidSect="00EE3E1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B658C" w15:done="0"/>
  <w15:commentEx w15:paraId="44939BE1" w15:done="0"/>
  <w15:commentEx w15:paraId="5EA8CB2D" w15:done="0"/>
  <w15:commentEx w15:paraId="0C8770F7" w15:paraIdParent="5EA8CB2D" w15:done="0"/>
  <w15:commentEx w15:paraId="4305719F" w15:done="0"/>
  <w15:commentEx w15:paraId="42E4BBF3" w15:paraIdParent="4305719F" w15:done="0"/>
  <w15:commentEx w15:paraId="5C0B35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7F5" w:rsidRDefault="002B57F5">
      <w:r>
        <w:separator/>
      </w:r>
    </w:p>
    <w:p w:rsidR="002B57F5" w:rsidRDefault="002B57F5"/>
  </w:endnote>
  <w:endnote w:type="continuationSeparator" w:id="0">
    <w:p w:rsidR="002B57F5" w:rsidRDefault="002B57F5">
      <w:r>
        <w:continuationSeparator/>
      </w:r>
    </w:p>
    <w:p w:rsidR="002B57F5" w:rsidRDefault="002B5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F5" w:rsidRDefault="002B57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F5" w:rsidRDefault="002B57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F5" w:rsidRDefault="002B57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7F5" w:rsidRDefault="002B57F5">
      <w:r>
        <w:separator/>
      </w:r>
    </w:p>
    <w:p w:rsidR="002B57F5" w:rsidRDefault="002B57F5"/>
  </w:footnote>
  <w:footnote w:type="continuationSeparator" w:id="0">
    <w:p w:rsidR="002B57F5" w:rsidRDefault="002B57F5">
      <w:r>
        <w:continuationSeparator/>
      </w:r>
    </w:p>
    <w:p w:rsidR="002B57F5" w:rsidRDefault="002B57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F5" w:rsidRDefault="002B57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1C" w:rsidRPr="00F90A91" w:rsidRDefault="00EE3E1C" w:rsidP="00EE3E1C">
    <w:pPr>
      <w:pStyle w:val="Header"/>
      <w:ind w:left="360"/>
      <w:jc w:val="center"/>
      <w:rPr>
        <w:i/>
        <w:color w:val="808080"/>
      </w:rPr>
    </w:pPr>
    <w:r>
      <w:rPr>
        <w:i/>
        <w:color w:val="808080"/>
      </w:rPr>
      <w:t>Public Summary Document</w:t>
    </w:r>
    <w:r w:rsidRPr="00F90A91">
      <w:rPr>
        <w:i/>
        <w:color w:val="808080"/>
      </w:rPr>
      <w:t xml:space="preserve"> – </w:t>
    </w:r>
    <w:r>
      <w:rPr>
        <w:i/>
        <w:color w:val="808080"/>
      </w:rPr>
      <w:t>November 2017</w:t>
    </w:r>
    <w:r w:rsidRPr="00F90A91">
      <w:rPr>
        <w:i/>
        <w:color w:val="808080"/>
      </w:rPr>
      <w:t xml:space="preserve"> PBAC Meeting</w:t>
    </w:r>
  </w:p>
  <w:p w:rsidR="00EE3E1C" w:rsidRDefault="00EE3E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F5" w:rsidRDefault="002B57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484778A"/>
    <w:multiLevelType w:val="hybridMultilevel"/>
    <w:tmpl w:val="62C803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4987771"/>
    <w:multiLevelType w:val="hybridMultilevel"/>
    <w:tmpl w:val="F06E3B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8FD7E6E"/>
    <w:multiLevelType w:val="hybridMultilevel"/>
    <w:tmpl w:val="3606ED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2C5D25"/>
    <w:multiLevelType w:val="hybridMultilevel"/>
    <w:tmpl w:val="4AA64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nsid w:val="14215FBC"/>
    <w:multiLevelType w:val="hybridMultilevel"/>
    <w:tmpl w:val="1382C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2A6E76A5"/>
    <w:multiLevelType w:val="hybridMultilevel"/>
    <w:tmpl w:val="D27A0D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6A0ADC"/>
    <w:multiLevelType w:val="multilevel"/>
    <w:tmpl w:val="9F667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84D033C"/>
    <w:multiLevelType w:val="multilevel"/>
    <w:tmpl w:val="6DF0314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B3A2D42"/>
    <w:multiLevelType w:val="hybridMultilevel"/>
    <w:tmpl w:val="F48A1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8"/>
  </w:num>
  <w:num w:numId="4">
    <w:abstractNumId w:val="18"/>
  </w:num>
  <w:num w:numId="5">
    <w:abstractNumId w:val="19"/>
  </w:num>
  <w:num w:numId="6">
    <w:abstractNumId w:val="10"/>
  </w:num>
  <w:num w:numId="7">
    <w:abstractNumId w:val="16"/>
  </w:num>
  <w:num w:numId="8">
    <w:abstractNumId w:val="5"/>
  </w:num>
  <w:num w:numId="9">
    <w:abstractNumId w:val="15"/>
  </w:num>
  <w:num w:numId="10">
    <w:abstractNumId w:val="14"/>
  </w:num>
  <w:num w:numId="11">
    <w:abstractNumId w:val="13"/>
  </w:num>
  <w:num w:numId="12">
    <w:abstractNumId w:val="1"/>
  </w:num>
  <w:num w:numId="13">
    <w:abstractNumId w:val="0"/>
  </w:num>
  <w:num w:numId="14">
    <w:abstractNumId w:val="19"/>
  </w:num>
  <w:num w:numId="15">
    <w:abstractNumId w:val="7"/>
  </w:num>
  <w:num w:numId="16">
    <w:abstractNumId w:val="9"/>
  </w:num>
  <w:num w:numId="17">
    <w:abstractNumId w:val="3"/>
  </w:num>
  <w:num w:numId="18">
    <w:abstractNumId w:val="12"/>
  </w:num>
  <w:num w:numId="19">
    <w:abstractNumId w:val="4"/>
  </w:num>
  <w:num w:numId="20">
    <w:abstractNumId w:val="20"/>
  </w:num>
  <w:num w:numId="21">
    <w:abstractNumId w:val="17"/>
  </w:num>
  <w:num w:numId="22">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40AA"/>
    <w:rsid w:val="0002464A"/>
    <w:rsid w:val="00025ADD"/>
    <w:rsid w:val="0003106B"/>
    <w:rsid w:val="00032EE1"/>
    <w:rsid w:val="00034AA8"/>
    <w:rsid w:val="00040C3F"/>
    <w:rsid w:val="000421A1"/>
    <w:rsid w:val="0004240E"/>
    <w:rsid w:val="00045E26"/>
    <w:rsid w:val="000509E8"/>
    <w:rsid w:val="000514B5"/>
    <w:rsid w:val="00060E64"/>
    <w:rsid w:val="00065569"/>
    <w:rsid w:val="00066755"/>
    <w:rsid w:val="00077143"/>
    <w:rsid w:val="00082169"/>
    <w:rsid w:val="00090B0C"/>
    <w:rsid w:val="0009578B"/>
    <w:rsid w:val="000969AD"/>
    <w:rsid w:val="000A4706"/>
    <w:rsid w:val="000A7162"/>
    <w:rsid w:val="000B38E2"/>
    <w:rsid w:val="000B558D"/>
    <w:rsid w:val="000C5F7D"/>
    <w:rsid w:val="000C692D"/>
    <w:rsid w:val="000C6996"/>
    <w:rsid w:val="000D23BA"/>
    <w:rsid w:val="000D63D5"/>
    <w:rsid w:val="000E681E"/>
    <w:rsid w:val="000F0003"/>
    <w:rsid w:val="000F4E6A"/>
    <w:rsid w:val="00104227"/>
    <w:rsid w:val="001107BF"/>
    <w:rsid w:val="0012417C"/>
    <w:rsid w:val="00133D27"/>
    <w:rsid w:val="00142395"/>
    <w:rsid w:val="00142714"/>
    <w:rsid w:val="001452ED"/>
    <w:rsid w:val="00145653"/>
    <w:rsid w:val="00163329"/>
    <w:rsid w:val="00164623"/>
    <w:rsid w:val="00165B64"/>
    <w:rsid w:val="00182A71"/>
    <w:rsid w:val="001830CE"/>
    <w:rsid w:val="0018643B"/>
    <w:rsid w:val="00196307"/>
    <w:rsid w:val="001A33EA"/>
    <w:rsid w:val="001B017F"/>
    <w:rsid w:val="001B2BBC"/>
    <w:rsid w:val="001B4DE7"/>
    <w:rsid w:val="001B5129"/>
    <w:rsid w:val="001C1195"/>
    <w:rsid w:val="001D516E"/>
    <w:rsid w:val="001F12E3"/>
    <w:rsid w:val="001F1850"/>
    <w:rsid w:val="00203FAC"/>
    <w:rsid w:val="00213CFB"/>
    <w:rsid w:val="00217BE1"/>
    <w:rsid w:val="0022693C"/>
    <w:rsid w:val="002710FF"/>
    <w:rsid w:val="00271BA1"/>
    <w:rsid w:val="002762FA"/>
    <w:rsid w:val="00277505"/>
    <w:rsid w:val="00291812"/>
    <w:rsid w:val="0029458F"/>
    <w:rsid w:val="002A104C"/>
    <w:rsid w:val="002A4960"/>
    <w:rsid w:val="002A50C3"/>
    <w:rsid w:val="002B1AE6"/>
    <w:rsid w:val="002B2DE8"/>
    <w:rsid w:val="002B30F8"/>
    <w:rsid w:val="002B5596"/>
    <w:rsid w:val="002B57F5"/>
    <w:rsid w:val="002C212F"/>
    <w:rsid w:val="002D4543"/>
    <w:rsid w:val="002D618A"/>
    <w:rsid w:val="002E3153"/>
    <w:rsid w:val="002E42F6"/>
    <w:rsid w:val="002E72CA"/>
    <w:rsid w:val="002F7356"/>
    <w:rsid w:val="003006B3"/>
    <w:rsid w:val="00300AD6"/>
    <w:rsid w:val="003020CD"/>
    <w:rsid w:val="00317014"/>
    <w:rsid w:val="00317C6C"/>
    <w:rsid w:val="003226B7"/>
    <w:rsid w:val="00324D81"/>
    <w:rsid w:val="00326E79"/>
    <w:rsid w:val="0033518A"/>
    <w:rsid w:val="003367EF"/>
    <w:rsid w:val="00341AE4"/>
    <w:rsid w:val="00350C44"/>
    <w:rsid w:val="003872CF"/>
    <w:rsid w:val="0039782C"/>
    <w:rsid w:val="003A4356"/>
    <w:rsid w:val="003A5874"/>
    <w:rsid w:val="003A5B4A"/>
    <w:rsid w:val="003A7CA4"/>
    <w:rsid w:val="003B23C5"/>
    <w:rsid w:val="003B2A75"/>
    <w:rsid w:val="003B6124"/>
    <w:rsid w:val="003C2FB5"/>
    <w:rsid w:val="003D4AC4"/>
    <w:rsid w:val="003D63B7"/>
    <w:rsid w:val="003E468B"/>
    <w:rsid w:val="003F3228"/>
    <w:rsid w:val="003F5C8C"/>
    <w:rsid w:val="004252EC"/>
    <w:rsid w:val="00426EC8"/>
    <w:rsid w:val="004465BD"/>
    <w:rsid w:val="00466ADA"/>
    <w:rsid w:val="00476245"/>
    <w:rsid w:val="00483035"/>
    <w:rsid w:val="00485940"/>
    <w:rsid w:val="004A2484"/>
    <w:rsid w:val="004A5A85"/>
    <w:rsid w:val="004A71D1"/>
    <w:rsid w:val="004B2204"/>
    <w:rsid w:val="004B5640"/>
    <w:rsid w:val="004C1122"/>
    <w:rsid w:val="004C1BD7"/>
    <w:rsid w:val="004C31FE"/>
    <w:rsid w:val="004C691D"/>
    <w:rsid w:val="004C6C07"/>
    <w:rsid w:val="004D70C1"/>
    <w:rsid w:val="004E692D"/>
    <w:rsid w:val="004F133A"/>
    <w:rsid w:val="00501554"/>
    <w:rsid w:val="005149BE"/>
    <w:rsid w:val="00514ACA"/>
    <w:rsid w:val="00514CD7"/>
    <w:rsid w:val="005163EB"/>
    <w:rsid w:val="00525162"/>
    <w:rsid w:val="005319B2"/>
    <w:rsid w:val="00532402"/>
    <w:rsid w:val="00532C74"/>
    <w:rsid w:val="00534E2E"/>
    <w:rsid w:val="00544552"/>
    <w:rsid w:val="00550120"/>
    <w:rsid w:val="00554BB2"/>
    <w:rsid w:val="00567CB8"/>
    <w:rsid w:val="00571679"/>
    <w:rsid w:val="00577C4D"/>
    <w:rsid w:val="005816C2"/>
    <w:rsid w:val="00581932"/>
    <w:rsid w:val="00592F4E"/>
    <w:rsid w:val="00593651"/>
    <w:rsid w:val="005963BB"/>
    <w:rsid w:val="005A22FB"/>
    <w:rsid w:val="005A3173"/>
    <w:rsid w:val="005A3223"/>
    <w:rsid w:val="005A3DA3"/>
    <w:rsid w:val="005A52C4"/>
    <w:rsid w:val="005B568D"/>
    <w:rsid w:val="005C0DA0"/>
    <w:rsid w:val="005D03AB"/>
    <w:rsid w:val="005D5017"/>
    <w:rsid w:val="005D7E94"/>
    <w:rsid w:val="005E1333"/>
    <w:rsid w:val="00600EA6"/>
    <w:rsid w:val="00601A91"/>
    <w:rsid w:val="00602BA3"/>
    <w:rsid w:val="00605B14"/>
    <w:rsid w:val="00612E34"/>
    <w:rsid w:val="00614159"/>
    <w:rsid w:val="00617C00"/>
    <w:rsid w:val="006263BF"/>
    <w:rsid w:val="0062748A"/>
    <w:rsid w:val="00630A2C"/>
    <w:rsid w:val="0063276E"/>
    <w:rsid w:val="00635CEA"/>
    <w:rsid w:val="0063682E"/>
    <w:rsid w:val="006436CD"/>
    <w:rsid w:val="00651169"/>
    <w:rsid w:val="00653D69"/>
    <w:rsid w:val="006670BE"/>
    <w:rsid w:val="00670A76"/>
    <w:rsid w:val="006711AA"/>
    <w:rsid w:val="00672B57"/>
    <w:rsid w:val="00675622"/>
    <w:rsid w:val="00675A59"/>
    <w:rsid w:val="006906DB"/>
    <w:rsid w:val="00691E6C"/>
    <w:rsid w:val="00696129"/>
    <w:rsid w:val="00697CF2"/>
    <w:rsid w:val="006A12A5"/>
    <w:rsid w:val="006B0D94"/>
    <w:rsid w:val="006B485D"/>
    <w:rsid w:val="006C3E73"/>
    <w:rsid w:val="006C708E"/>
    <w:rsid w:val="006D6EC7"/>
    <w:rsid w:val="006E4A27"/>
    <w:rsid w:val="006F4AD9"/>
    <w:rsid w:val="006F5125"/>
    <w:rsid w:val="00702B6F"/>
    <w:rsid w:val="0071340B"/>
    <w:rsid w:val="007174BB"/>
    <w:rsid w:val="0072025D"/>
    <w:rsid w:val="00723B9D"/>
    <w:rsid w:val="007353D3"/>
    <w:rsid w:val="007573D0"/>
    <w:rsid w:val="0076420C"/>
    <w:rsid w:val="0076453D"/>
    <w:rsid w:val="007753C2"/>
    <w:rsid w:val="007834A0"/>
    <w:rsid w:val="007838B8"/>
    <w:rsid w:val="007871FF"/>
    <w:rsid w:val="00793CDA"/>
    <w:rsid w:val="007B1BDD"/>
    <w:rsid w:val="007C0F57"/>
    <w:rsid w:val="007C40B6"/>
    <w:rsid w:val="007C729F"/>
    <w:rsid w:val="007C73AD"/>
    <w:rsid w:val="007E1D28"/>
    <w:rsid w:val="007E69DC"/>
    <w:rsid w:val="007F2641"/>
    <w:rsid w:val="007F7C36"/>
    <w:rsid w:val="00805952"/>
    <w:rsid w:val="00806796"/>
    <w:rsid w:val="008151D6"/>
    <w:rsid w:val="00817125"/>
    <w:rsid w:val="00826F6D"/>
    <w:rsid w:val="008306F3"/>
    <w:rsid w:val="008404D8"/>
    <w:rsid w:val="00856DDD"/>
    <w:rsid w:val="00863E68"/>
    <w:rsid w:val="008777BA"/>
    <w:rsid w:val="00882085"/>
    <w:rsid w:val="00883188"/>
    <w:rsid w:val="00897D58"/>
    <w:rsid w:val="00897F22"/>
    <w:rsid w:val="008A1956"/>
    <w:rsid w:val="008A4937"/>
    <w:rsid w:val="008A50F1"/>
    <w:rsid w:val="008D1B5C"/>
    <w:rsid w:val="008D3C82"/>
    <w:rsid w:val="008D447E"/>
    <w:rsid w:val="008D7A41"/>
    <w:rsid w:val="008E3680"/>
    <w:rsid w:val="008E5870"/>
    <w:rsid w:val="008F1434"/>
    <w:rsid w:val="008F231A"/>
    <w:rsid w:val="008F7355"/>
    <w:rsid w:val="009067B7"/>
    <w:rsid w:val="00914344"/>
    <w:rsid w:val="0091678F"/>
    <w:rsid w:val="00930937"/>
    <w:rsid w:val="00932B3A"/>
    <w:rsid w:val="00933E6C"/>
    <w:rsid w:val="00937958"/>
    <w:rsid w:val="00942160"/>
    <w:rsid w:val="00945EB4"/>
    <w:rsid w:val="00950BA1"/>
    <w:rsid w:val="0095146F"/>
    <w:rsid w:val="009602C5"/>
    <w:rsid w:val="00962223"/>
    <w:rsid w:val="00966D0D"/>
    <w:rsid w:val="0096735C"/>
    <w:rsid w:val="00974C21"/>
    <w:rsid w:val="00980904"/>
    <w:rsid w:val="00993B92"/>
    <w:rsid w:val="009B0F67"/>
    <w:rsid w:val="009B40CA"/>
    <w:rsid w:val="009C703C"/>
    <w:rsid w:val="009D38C2"/>
    <w:rsid w:val="009D3CAA"/>
    <w:rsid w:val="009E18A9"/>
    <w:rsid w:val="009E6D67"/>
    <w:rsid w:val="009F4E46"/>
    <w:rsid w:val="009F5B65"/>
    <w:rsid w:val="009F5F2E"/>
    <w:rsid w:val="009F71CF"/>
    <w:rsid w:val="00A04FFE"/>
    <w:rsid w:val="00A06225"/>
    <w:rsid w:val="00A06ADF"/>
    <w:rsid w:val="00A128E6"/>
    <w:rsid w:val="00A1299C"/>
    <w:rsid w:val="00A34E6C"/>
    <w:rsid w:val="00A37C8D"/>
    <w:rsid w:val="00A45D2E"/>
    <w:rsid w:val="00A46A78"/>
    <w:rsid w:val="00A5273B"/>
    <w:rsid w:val="00A53A9D"/>
    <w:rsid w:val="00A53D95"/>
    <w:rsid w:val="00A55FEE"/>
    <w:rsid w:val="00A62C1A"/>
    <w:rsid w:val="00A6426D"/>
    <w:rsid w:val="00A65698"/>
    <w:rsid w:val="00A665C1"/>
    <w:rsid w:val="00A70622"/>
    <w:rsid w:val="00A70977"/>
    <w:rsid w:val="00A77613"/>
    <w:rsid w:val="00A8390C"/>
    <w:rsid w:val="00A928BD"/>
    <w:rsid w:val="00A97F5F"/>
    <w:rsid w:val="00AA4D1C"/>
    <w:rsid w:val="00AC02E8"/>
    <w:rsid w:val="00AC193C"/>
    <w:rsid w:val="00AC1D23"/>
    <w:rsid w:val="00AC5206"/>
    <w:rsid w:val="00AD1E3E"/>
    <w:rsid w:val="00AD3989"/>
    <w:rsid w:val="00AE11A5"/>
    <w:rsid w:val="00AE13E2"/>
    <w:rsid w:val="00AE22D3"/>
    <w:rsid w:val="00AE66A6"/>
    <w:rsid w:val="00AF2174"/>
    <w:rsid w:val="00AF62DF"/>
    <w:rsid w:val="00AF68CC"/>
    <w:rsid w:val="00B02419"/>
    <w:rsid w:val="00B1059E"/>
    <w:rsid w:val="00B176C8"/>
    <w:rsid w:val="00B205AA"/>
    <w:rsid w:val="00B22E84"/>
    <w:rsid w:val="00B25F75"/>
    <w:rsid w:val="00B26B3F"/>
    <w:rsid w:val="00B33062"/>
    <w:rsid w:val="00B43E90"/>
    <w:rsid w:val="00B467DC"/>
    <w:rsid w:val="00B544AB"/>
    <w:rsid w:val="00B56118"/>
    <w:rsid w:val="00B6738E"/>
    <w:rsid w:val="00B6773F"/>
    <w:rsid w:val="00B801BA"/>
    <w:rsid w:val="00B840D1"/>
    <w:rsid w:val="00B84D5C"/>
    <w:rsid w:val="00B96709"/>
    <w:rsid w:val="00B96D01"/>
    <w:rsid w:val="00BA5CC3"/>
    <w:rsid w:val="00BB53DF"/>
    <w:rsid w:val="00BB69F5"/>
    <w:rsid w:val="00BB7EC3"/>
    <w:rsid w:val="00BC3A67"/>
    <w:rsid w:val="00BC4B9A"/>
    <w:rsid w:val="00BC58BF"/>
    <w:rsid w:val="00BC6B79"/>
    <w:rsid w:val="00BD784C"/>
    <w:rsid w:val="00BF4CB6"/>
    <w:rsid w:val="00C00DA7"/>
    <w:rsid w:val="00C046CB"/>
    <w:rsid w:val="00C12768"/>
    <w:rsid w:val="00C155DA"/>
    <w:rsid w:val="00C222B2"/>
    <w:rsid w:val="00C27B58"/>
    <w:rsid w:val="00C35996"/>
    <w:rsid w:val="00C375DA"/>
    <w:rsid w:val="00C4747E"/>
    <w:rsid w:val="00C51A30"/>
    <w:rsid w:val="00C5342C"/>
    <w:rsid w:val="00C603D4"/>
    <w:rsid w:val="00C6256A"/>
    <w:rsid w:val="00C731CD"/>
    <w:rsid w:val="00C77891"/>
    <w:rsid w:val="00C91449"/>
    <w:rsid w:val="00C92D10"/>
    <w:rsid w:val="00CA11BF"/>
    <w:rsid w:val="00CE10C4"/>
    <w:rsid w:val="00CE27B5"/>
    <w:rsid w:val="00CE52DD"/>
    <w:rsid w:val="00CF1FBE"/>
    <w:rsid w:val="00D0321E"/>
    <w:rsid w:val="00D12ABF"/>
    <w:rsid w:val="00D1455A"/>
    <w:rsid w:val="00D31150"/>
    <w:rsid w:val="00D3138B"/>
    <w:rsid w:val="00D3280C"/>
    <w:rsid w:val="00D3406A"/>
    <w:rsid w:val="00D4572C"/>
    <w:rsid w:val="00D469B2"/>
    <w:rsid w:val="00D67649"/>
    <w:rsid w:val="00D738A2"/>
    <w:rsid w:val="00D741EB"/>
    <w:rsid w:val="00D83605"/>
    <w:rsid w:val="00D84934"/>
    <w:rsid w:val="00D91271"/>
    <w:rsid w:val="00DA2CB5"/>
    <w:rsid w:val="00DA4BAC"/>
    <w:rsid w:val="00DB5DC6"/>
    <w:rsid w:val="00DD03F1"/>
    <w:rsid w:val="00DD5B33"/>
    <w:rsid w:val="00DE6D27"/>
    <w:rsid w:val="00DF217D"/>
    <w:rsid w:val="00DF26A7"/>
    <w:rsid w:val="00E15627"/>
    <w:rsid w:val="00E164B3"/>
    <w:rsid w:val="00E16910"/>
    <w:rsid w:val="00E235DB"/>
    <w:rsid w:val="00E32103"/>
    <w:rsid w:val="00E359A7"/>
    <w:rsid w:val="00E365CC"/>
    <w:rsid w:val="00E42BDB"/>
    <w:rsid w:val="00E57EEB"/>
    <w:rsid w:val="00E62D94"/>
    <w:rsid w:val="00E65E54"/>
    <w:rsid w:val="00E66E60"/>
    <w:rsid w:val="00E72263"/>
    <w:rsid w:val="00E80155"/>
    <w:rsid w:val="00E82931"/>
    <w:rsid w:val="00E848C0"/>
    <w:rsid w:val="00E87748"/>
    <w:rsid w:val="00E91B96"/>
    <w:rsid w:val="00E941A1"/>
    <w:rsid w:val="00E95CE3"/>
    <w:rsid w:val="00EA2825"/>
    <w:rsid w:val="00EB0B63"/>
    <w:rsid w:val="00EB28DE"/>
    <w:rsid w:val="00EB5088"/>
    <w:rsid w:val="00ED1644"/>
    <w:rsid w:val="00ED2593"/>
    <w:rsid w:val="00ED7D9C"/>
    <w:rsid w:val="00EE3E1C"/>
    <w:rsid w:val="00EF44A0"/>
    <w:rsid w:val="00EF4FED"/>
    <w:rsid w:val="00EF7423"/>
    <w:rsid w:val="00F050BD"/>
    <w:rsid w:val="00F05657"/>
    <w:rsid w:val="00F25578"/>
    <w:rsid w:val="00F258E5"/>
    <w:rsid w:val="00F300BC"/>
    <w:rsid w:val="00F3334E"/>
    <w:rsid w:val="00F36CCB"/>
    <w:rsid w:val="00F374E5"/>
    <w:rsid w:val="00F3777B"/>
    <w:rsid w:val="00F43AF2"/>
    <w:rsid w:val="00F44F6A"/>
    <w:rsid w:val="00F50EC4"/>
    <w:rsid w:val="00F550CF"/>
    <w:rsid w:val="00F57A6D"/>
    <w:rsid w:val="00F638CC"/>
    <w:rsid w:val="00F64CC1"/>
    <w:rsid w:val="00F72317"/>
    <w:rsid w:val="00F77624"/>
    <w:rsid w:val="00F80475"/>
    <w:rsid w:val="00F8247A"/>
    <w:rsid w:val="00F9629A"/>
    <w:rsid w:val="00F97EFC"/>
    <w:rsid w:val="00FA5883"/>
    <w:rsid w:val="00FA6055"/>
    <w:rsid w:val="00FB322F"/>
    <w:rsid w:val="00FB442F"/>
    <w:rsid w:val="00FC1929"/>
    <w:rsid w:val="00FC2E3B"/>
    <w:rsid w:val="00FC5B46"/>
    <w:rsid w:val="00FD38C0"/>
    <w:rsid w:val="00FD6D8E"/>
    <w:rsid w:val="00FE0E94"/>
    <w:rsid w:val="00FE3E4B"/>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C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Footer">
    <w:name w:val="Table Footer"/>
    <w:basedOn w:val="Normal"/>
    <w:qFormat/>
    <w:rsid w:val="00AD1E3E"/>
    <w:pPr>
      <w:widowControl w:val="0"/>
      <w:jc w:val="both"/>
    </w:pPr>
    <w:rPr>
      <w:rFonts w:ascii="Arial Narrow" w:hAnsi="Arial Narrow" w:cs="Arial"/>
      <w:snapToGrid w:val="0"/>
      <w:sz w:val="18"/>
      <w:szCs w:val="2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5B568D"/>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5B568D"/>
    <w:rPr>
      <w:rFonts w:ascii="Arial Narrow" w:hAnsi="Arial Narrow" w:cs="Arial"/>
      <w:b/>
      <w:bCs/>
      <w:snapToGrid w:val="0"/>
      <w:color w:val="000000" w:themeColor="text1"/>
      <w:szCs w:val="18"/>
      <w:lang w:eastAsia="en-US"/>
    </w:rPr>
  </w:style>
  <w:style w:type="character" w:customStyle="1" w:styleId="TabletextChar">
    <w:name w:val="Table text Char"/>
    <w:link w:val="Tabletext"/>
    <w:rsid w:val="00593651"/>
    <w:rPr>
      <w:rFonts w:ascii="Arial" w:hAnsi="Arial"/>
      <w:lang w:eastAsia="en-US"/>
    </w:rPr>
  </w:style>
  <w:style w:type="paragraph" w:styleId="ListBullet">
    <w:name w:val="List Bullet"/>
    <w:basedOn w:val="Normal"/>
    <w:autoRedefine/>
    <w:rsid w:val="009E6D67"/>
    <w:rPr>
      <w:rFonts w:ascii="Arial" w:hAnsi="Arial" w:cs="Arial"/>
      <w:snapToGrid w:val="0"/>
      <w:sz w:val="20"/>
      <w:szCs w:val="20"/>
      <w:lang w:eastAsia="en-US"/>
    </w:rPr>
  </w:style>
  <w:style w:type="character" w:customStyle="1" w:styleId="BalloonTextChar">
    <w:name w:val="Balloon Text Char"/>
    <w:basedOn w:val="DefaultParagraphFont"/>
    <w:link w:val="BalloonText"/>
    <w:uiPriority w:val="9"/>
    <w:rsid w:val="003006B3"/>
    <w:rPr>
      <w:rFonts w:ascii="Tahoma" w:hAnsi="Tahoma" w:cs="Tahoma"/>
      <w:sz w:val="16"/>
      <w:szCs w:val="16"/>
    </w:rPr>
  </w:style>
  <w:style w:type="paragraph" w:styleId="Revision">
    <w:name w:val="Revision"/>
    <w:hidden/>
    <w:uiPriority w:val="71"/>
    <w:rsid w:val="00BC3A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Footer">
    <w:name w:val="Table Footer"/>
    <w:basedOn w:val="Normal"/>
    <w:qFormat/>
    <w:rsid w:val="00AD1E3E"/>
    <w:pPr>
      <w:widowControl w:val="0"/>
      <w:jc w:val="both"/>
    </w:pPr>
    <w:rPr>
      <w:rFonts w:ascii="Arial Narrow" w:hAnsi="Arial Narrow" w:cs="Arial"/>
      <w:snapToGrid w:val="0"/>
      <w:sz w:val="18"/>
      <w:szCs w:val="2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5B568D"/>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5B568D"/>
    <w:rPr>
      <w:rFonts w:ascii="Arial Narrow" w:hAnsi="Arial Narrow" w:cs="Arial"/>
      <w:b/>
      <w:bCs/>
      <w:snapToGrid w:val="0"/>
      <w:color w:val="000000" w:themeColor="text1"/>
      <w:szCs w:val="18"/>
      <w:lang w:eastAsia="en-US"/>
    </w:rPr>
  </w:style>
  <w:style w:type="character" w:customStyle="1" w:styleId="TabletextChar">
    <w:name w:val="Table text Char"/>
    <w:link w:val="Tabletext"/>
    <w:rsid w:val="00593651"/>
    <w:rPr>
      <w:rFonts w:ascii="Arial" w:hAnsi="Arial"/>
      <w:lang w:eastAsia="en-US"/>
    </w:rPr>
  </w:style>
  <w:style w:type="paragraph" w:styleId="ListBullet">
    <w:name w:val="List Bullet"/>
    <w:basedOn w:val="Normal"/>
    <w:autoRedefine/>
    <w:rsid w:val="009E6D67"/>
    <w:rPr>
      <w:rFonts w:ascii="Arial" w:hAnsi="Arial" w:cs="Arial"/>
      <w:snapToGrid w:val="0"/>
      <w:sz w:val="20"/>
      <w:szCs w:val="20"/>
      <w:lang w:eastAsia="en-US"/>
    </w:rPr>
  </w:style>
  <w:style w:type="character" w:customStyle="1" w:styleId="BalloonTextChar">
    <w:name w:val="Balloon Text Char"/>
    <w:basedOn w:val="DefaultParagraphFont"/>
    <w:link w:val="BalloonText"/>
    <w:uiPriority w:val="9"/>
    <w:rsid w:val="003006B3"/>
    <w:rPr>
      <w:rFonts w:ascii="Tahoma" w:hAnsi="Tahoma" w:cs="Tahoma"/>
      <w:sz w:val="16"/>
      <w:szCs w:val="16"/>
    </w:rPr>
  </w:style>
  <w:style w:type="paragraph" w:styleId="Revision">
    <w:name w:val="Revision"/>
    <w:hidden/>
    <w:uiPriority w:val="71"/>
    <w:rsid w:val="00BC3A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37385299">
      <w:bodyDiv w:val="1"/>
      <w:marLeft w:val="0"/>
      <w:marRight w:val="0"/>
      <w:marTop w:val="0"/>
      <w:marBottom w:val="0"/>
      <w:divBdr>
        <w:top w:val="none" w:sz="0" w:space="0" w:color="auto"/>
        <w:left w:val="none" w:sz="0" w:space="0" w:color="auto"/>
        <w:bottom w:val="none" w:sz="0" w:space="0" w:color="auto"/>
        <w:right w:val="none" w:sz="0" w:space="0" w:color="auto"/>
      </w:divBdr>
    </w:div>
    <w:div w:id="551305337">
      <w:bodyDiv w:val="1"/>
      <w:marLeft w:val="0"/>
      <w:marRight w:val="0"/>
      <w:marTop w:val="0"/>
      <w:marBottom w:val="0"/>
      <w:divBdr>
        <w:top w:val="none" w:sz="0" w:space="0" w:color="auto"/>
        <w:left w:val="none" w:sz="0" w:space="0" w:color="auto"/>
        <w:bottom w:val="none" w:sz="0" w:space="0" w:color="auto"/>
        <w:right w:val="none" w:sz="0" w:space="0" w:color="auto"/>
      </w:divBdr>
    </w:div>
    <w:div w:id="77444065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92466233">
      <w:bodyDiv w:val="1"/>
      <w:marLeft w:val="0"/>
      <w:marRight w:val="0"/>
      <w:marTop w:val="0"/>
      <w:marBottom w:val="0"/>
      <w:divBdr>
        <w:top w:val="none" w:sz="0" w:space="0" w:color="auto"/>
        <w:left w:val="none" w:sz="0" w:space="0" w:color="auto"/>
        <w:bottom w:val="none" w:sz="0" w:space="0" w:color="auto"/>
        <w:right w:val="none" w:sz="0" w:space="0" w:color="auto"/>
      </w:divBdr>
    </w:div>
    <w:div w:id="1639721301">
      <w:bodyDiv w:val="1"/>
      <w:marLeft w:val="0"/>
      <w:marRight w:val="0"/>
      <w:marTop w:val="0"/>
      <w:marBottom w:val="0"/>
      <w:divBdr>
        <w:top w:val="none" w:sz="0" w:space="0" w:color="auto"/>
        <w:left w:val="none" w:sz="0" w:space="0" w:color="auto"/>
        <w:bottom w:val="none" w:sz="0" w:space="0" w:color="auto"/>
        <w:right w:val="none" w:sz="0" w:space="0" w:color="auto"/>
      </w:divBdr>
    </w:div>
    <w:div w:id="1662809138">
      <w:bodyDiv w:val="1"/>
      <w:marLeft w:val="0"/>
      <w:marRight w:val="0"/>
      <w:marTop w:val="0"/>
      <w:marBottom w:val="0"/>
      <w:divBdr>
        <w:top w:val="none" w:sz="0" w:space="0" w:color="auto"/>
        <w:left w:val="none" w:sz="0" w:space="0" w:color="auto"/>
        <w:bottom w:val="none" w:sz="0" w:space="0" w:color="auto"/>
        <w:right w:val="none" w:sz="0" w:space="0" w:color="auto"/>
      </w:divBdr>
      <w:divsChild>
        <w:div w:id="46884493">
          <w:marLeft w:val="360"/>
          <w:marRight w:val="0"/>
          <w:marTop w:val="20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EB399-0794-4A4C-BEF2-755CA047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3709</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2018-02-20T01:14:00Z</dcterms:created>
  <dcterms:modified xsi:type="dcterms:W3CDTF">2018-02-20T01:14:00Z</dcterms:modified>
</cp:coreProperties>
</file>