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53347B"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6.19</w:t>
      </w:r>
      <w:r w:rsidR="007C0F57" w:rsidRPr="002B5596">
        <w:rPr>
          <w:rFonts w:asciiTheme="minorHAnsi" w:hAnsiTheme="minorHAnsi"/>
          <w:sz w:val="36"/>
          <w:szCs w:val="36"/>
        </w:rPr>
        <w:tab/>
      </w:r>
      <w:r>
        <w:rPr>
          <w:rFonts w:asciiTheme="minorHAnsi" w:hAnsiTheme="minorHAnsi"/>
          <w:sz w:val="36"/>
          <w:szCs w:val="36"/>
        </w:rPr>
        <w:t>MEPOLIZUMAB</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117944" w:rsidRPr="00117944">
        <w:rPr>
          <w:rFonts w:asciiTheme="minorHAnsi" w:hAnsiTheme="minorHAnsi"/>
          <w:sz w:val="36"/>
          <w:szCs w:val="36"/>
        </w:rPr>
        <w:t>Powder for injection</w:t>
      </w:r>
      <w:r w:rsidR="00117944">
        <w:rPr>
          <w:rFonts w:asciiTheme="minorHAnsi" w:hAnsiTheme="minorHAnsi"/>
          <w:sz w:val="36"/>
          <w:szCs w:val="36"/>
        </w:rPr>
        <w:t>,</w:t>
      </w:r>
      <w:r w:rsidR="00117944" w:rsidRPr="00117944">
        <w:rPr>
          <w:rFonts w:asciiTheme="minorHAnsi" w:hAnsiTheme="minorHAnsi"/>
          <w:sz w:val="36"/>
          <w:szCs w:val="36"/>
        </w:rPr>
        <w:t xml:space="preserve"> 100 mg</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117944">
        <w:rPr>
          <w:rFonts w:asciiTheme="minorHAnsi" w:hAnsiTheme="minorHAnsi"/>
          <w:sz w:val="36"/>
          <w:szCs w:val="36"/>
        </w:rPr>
        <w:t>Nucala</w:t>
      </w:r>
      <w:r w:rsidR="0004240E" w:rsidRPr="002B5596">
        <w:rPr>
          <w:rFonts w:asciiTheme="minorHAnsi" w:hAnsiTheme="minorHAnsi"/>
          <w:sz w:val="36"/>
          <w:szCs w:val="36"/>
          <w:vertAlign w:val="superscript"/>
        </w:rPr>
        <w:t>®</w:t>
      </w:r>
      <w:r w:rsidR="00117944">
        <w:rPr>
          <w:rFonts w:asciiTheme="minorHAnsi" w:hAnsiTheme="minorHAnsi"/>
          <w:sz w:val="36"/>
          <w:szCs w:val="36"/>
        </w:rPr>
        <w:t>, GlaxoSmithKline Australia</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A20BCA">
        <w:rPr>
          <w:rFonts w:asciiTheme="minorHAnsi" w:eastAsiaTheme="minorHAnsi" w:hAnsiTheme="minorHAnsi" w:cstheme="minorBidi"/>
          <w:snapToGrid/>
          <w:sz w:val="24"/>
          <w:szCs w:val="22"/>
        </w:rPr>
        <w:t xml:space="preserve"> extending the period of validity for the eosinophil</w:t>
      </w:r>
      <w:r w:rsidR="00317EDB">
        <w:rPr>
          <w:rFonts w:asciiTheme="minorHAnsi" w:eastAsiaTheme="minorHAnsi" w:hAnsiTheme="minorHAnsi" w:cstheme="minorBidi"/>
          <w:snapToGrid/>
          <w:sz w:val="24"/>
          <w:szCs w:val="22"/>
        </w:rPr>
        <w:t xml:space="preserve"> blood</w:t>
      </w:r>
      <w:r w:rsidR="009A22EB">
        <w:rPr>
          <w:rFonts w:asciiTheme="minorHAnsi" w:eastAsiaTheme="minorHAnsi" w:hAnsiTheme="minorHAnsi" w:cstheme="minorBidi"/>
          <w:snapToGrid/>
          <w:sz w:val="24"/>
          <w:szCs w:val="22"/>
        </w:rPr>
        <w:t xml:space="preserve"> </w:t>
      </w:r>
      <w:r w:rsidR="00A20BCA">
        <w:rPr>
          <w:rFonts w:asciiTheme="minorHAnsi" w:eastAsiaTheme="minorHAnsi" w:hAnsiTheme="minorHAnsi" w:cstheme="minorBidi"/>
          <w:snapToGrid/>
          <w:sz w:val="24"/>
          <w:szCs w:val="22"/>
        </w:rPr>
        <w:t xml:space="preserve">test </w:t>
      </w:r>
      <w:r w:rsidR="00282870">
        <w:rPr>
          <w:rFonts w:asciiTheme="minorHAnsi" w:eastAsiaTheme="minorHAnsi" w:hAnsiTheme="minorHAnsi" w:cstheme="minorBidi"/>
          <w:snapToGrid/>
          <w:sz w:val="24"/>
          <w:szCs w:val="22"/>
        </w:rPr>
        <w:t xml:space="preserve">in the restriction of </w:t>
      </w:r>
      <w:r w:rsidR="00A20BCA">
        <w:rPr>
          <w:rFonts w:asciiTheme="minorHAnsi" w:eastAsiaTheme="minorHAnsi" w:hAnsiTheme="minorHAnsi" w:cstheme="minorBidi"/>
          <w:snapToGrid/>
          <w:sz w:val="24"/>
          <w:szCs w:val="22"/>
        </w:rPr>
        <w:t>mepolizumab</w:t>
      </w:r>
      <w:r w:rsidR="00554EAA">
        <w:rPr>
          <w:rFonts w:asciiTheme="minorHAnsi" w:eastAsiaTheme="minorHAnsi" w:hAnsiTheme="minorHAnsi" w:cstheme="minorBidi"/>
          <w:snapToGrid/>
          <w:sz w:val="24"/>
          <w:szCs w:val="22"/>
        </w:rPr>
        <w:t xml:space="preserve"> </w:t>
      </w:r>
      <w:r w:rsidR="00A20BCA">
        <w:rPr>
          <w:rFonts w:asciiTheme="minorHAnsi" w:eastAsiaTheme="minorHAnsi" w:hAnsiTheme="minorHAnsi" w:cstheme="minorBidi"/>
          <w:snapToGrid/>
          <w:sz w:val="24"/>
          <w:szCs w:val="22"/>
        </w:rPr>
        <w:t>from 6 weeks to 12 months to align with the current IgE test validity period for</w:t>
      </w:r>
      <w:r w:rsidR="00554EAA">
        <w:rPr>
          <w:rFonts w:asciiTheme="minorHAnsi" w:eastAsiaTheme="minorHAnsi" w:hAnsiTheme="minorHAnsi" w:cstheme="minorBidi"/>
          <w:snapToGrid/>
          <w:sz w:val="24"/>
          <w:szCs w:val="22"/>
        </w:rPr>
        <w:t xml:space="preserve"> the </w:t>
      </w:r>
      <w:r w:rsidR="00A20BCA">
        <w:rPr>
          <w:rFonts w:asciiTheme="minorHAnsi" w:eastAsiaTheme="minorHAnsi" w:hAnsiTheme="minorHAnsi" w:cstheme="minorBidi"/>
          <w:snapToGrid/>
          <w:sz w:val="24"/>
          <w:szCs w:val="22"/>
        </w:rPr>
        <w:t>omalizumab</w:t>
      </w:r>
      <w:r w:rsidR="00554EAA">
        <w:rPr>
          <w:rFonts w:asciiTheme="minorHAnsi" w:eastAsiaTheme="minorHAnsi" w:hAnsiTheme="minorHAnsi" w:cstheme="minorBidi"/>
          <w:snapToGrid/>
          <w:sz w:val="24"/>
          <w:szCs w:val="22"/>
        </w:rPr>
        <w:t xml:space="preserve"> </w:t>
      </w:r>
      <w:r w:rsidR="007871E8">
        <w:rPr>
          <w:rFonts w:asciiTheme="minorHAnsi" w:eastAsiaTheme="minorHAnsi" w:hAnsiTheme="minorHAnsi" w:cstheme="minorBidi"/>
          <w:snapToGrid/>
          <w:sz w:val="24"/>
          <w:szCs w:val="22"/>
        </w:rPr>
        <w:t>restriction</w:t>
      </w:r>
      <w:r w:rsidR="00A20BCA">
        <w:rPr>
          <w:rFonts w:asciiTheme="minorHAnsi" w:eastAsiaTheme="minorHAnsi" w:hAnsiTheme="minorHAnsi" w:cstheme="minorBidi"/>
          <w:snapToGrid/>
          <w:sz w:val="24"/>
          <w:szCs w:val="22"/>
        </w:rPr>
        <w:t>.</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Pr="00F72317"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w:t>
      </w:r>
      <w:r w:rsidR="00282870">
        <w:rPr>
          <w:rFonts w:asciiTheme="minorHAnsi" w:eastAsiaTheme="minorHAnsi" w:hAnsiTheme="minorHAnsi" w:cstheme="minorBidi"/>
          <w:snapToGrid/>
          <w:sz w:val="24"/>
          <w:szCs w:val="22"/>
        </w:rPr>
        <w:t xml:space="preserve">the following </w:t>
      </w:r>
      <w:r w:rsidR="00802021">
        <w:rPr>
          <w:rFonts w:asciiTheme="minorHAnsi" w:eastAsiaTheme="minorHAnsi" w:hAnsiTheme="minorHAnsi" w:cstheme="minorBidi"/>
          <w:snapToGrid/>
          <w:sz w:val="24"/>
          <w:szCs w:val="22"/>
        </w:rPr>
        <w:t xml:space="preserve">change to </w:t>
      </w:r>
      <w:r w:rsidR="002D61FE">
        <w:rPr>
          <w:rFonts w:asciiTheme="minorHAnsi" w:eastAsiaTheme="minorHAnsi" w:hAnsiTheme="minorHAnsi" w:cstheme="minorBidi"/>
          <w:snapToGrid/>
          <w:sz w:val="24"/>
          <w:szCs w:val="22"/>
        </w:rPr>
        <w:t xml:space="preserve">only </w:t>
      </w:r>
      <w:r w:rsidR="00802021">
        <w:rPr>
          <w:rFonts w:asciiTheme="minorHAnsi" w:eastAsiaTheme="minorHAnsi" w:hAnsiTheme="minorHAnsi" w:cstheme="minorBidi"/>
          <w:snapToGrid/>
          <w:sz w:val="24"/>
          <w:szCs w:val="22"/>
        </w:rPr>
        <w:t>the initial treatment phase. An abridged version of the initial treatment phase restriction is presented below</w:t>
      </w:r>
      <w:r w:rsidR="002D61FE">
        <w:rPr>
          <w:rFonts w:asciiTheme="minorHAnsi" w:eastAsiaTheme="minorHAnsi" w:hAnsiTheme="minorHAnsi" w:cstheme="minorBidi"/>
          <w:snapToGrid/>
          <w:sz w:val="24"/>
          <w:szCs w:val="22"/>
        </w:rPr>
        <w:t xml:space="preserve">, where the change is </w:t>
      </w:r>
      <w:r w:rsidR="00282870">
        <w:rPr>
          <w:rFonts w:asciiTheme="minorHAnsi" w:eastAsiaTheme="minorHAnsi" w:hAnsiTheme="minorHAnsi" w:cstheme="minorBidi"/>
          <w:snapToGrid/>
          <w:sz w:val="24"/>
          <w:szCs w:val="22"/>
        </w:rPr>
        <w:t xml:space="preserve">shown </w:t>
      </w:r>
      <w:r w:rsidR="002D61FE">
        <w:rPr>
          <w:rFonts w:asciiTheme="minorHAnsi" w:eastAsiaTheme="minorHAnsi" w:hAnsiTheme="minorHAnsi" w:cstheme="minorBidi"/>
          <w:snapToGrid/>
          <w:sz w:val="24"/>
          <w:szCs w:val="22"/>
        </w:rPr>
        <w:t xml:space="preserve">in </w:t>
      </w:r>
      <w:r w:rsidR="002D61FE">
        <w:rPr>
          <w:rFonts w:asciiTheme="minorHAnsi" w:eastAsiaTheme="minorHAnsi" w:hAnsiTheme="minorHAnsi" w:cstheme="minorBidi"/>
          <w:b/>
          <w:snapToGrid/>
          <w:sz w:val="24"/>
          <w:szCs w:val="22"/>
        </w:rPr>
        <w:t>bold</w:t>
      </w:r>
      <w:r w:rsidR="00712A23">
        <w:rPr>
          <w:rFonts w:asciiTheme="minorHAnsi" w:eastAsiaTheme="minorHAnsi" w:hAnsiTheme="minorHAnsi" w:cstheme="minorBidi"/>
          <w:snapToGrid/>
          <w:sz w:val="24"/>
          <w:szCs w:val="22"/>
        </w:rPr>
        <w:t>.</w:t>
      </w:r>
    </w:p>
    <w:tbl>
      <w:tblPr>
        <w:tblW w:w="4915" w:type="pct"/>
        <w:tblLook w:val="0000" w:firstRow="0" w:lastRow="0" w:firstColumn="0" w:lastColumn="0" w:noHBand="0" w:noVBand="0"/>
      </w:tblPr>
      <w:tblGrid>
        <w:gridCol w:w="1981"/>
        <w:gridCol w:w="1406"/>
        <w:gridCol w:w="769"/>
        <w:gridCol w:w="921"/>
        <w:gridCol w:w="1659"/>
        <w:gridCol w:w="729"/>
        <w:gridCol w:w="1604"/>
        <w:gridCol w:w="16"/>
      </w:tblGrid>
      <w:tr w:rsidR="00163329" w:rsidRPr="0039782C" w:rsidTr="00802021">
        <w:trPr>
          <w:cantSplit/>
          <w:trHeight w:val="465"/>
        </w:trPr>
        <w:tc>
          <w:tcPr>
            <w:tcW w:w="1864"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7"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1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293"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EC0032">
        <w:trPr>
          <w:cantSplit/>
          <w:trHeight w:val="570"/>
        </w:trPr>
        <w:tc>
          <w:tcPr>
            <w:tcW w:w="1864" w:type="pct"/>
            <w:gridSpan w:val="2"/>
          </w:tcPr>
          <w:p w:rsidR="00826F6D" w:rsidRPr="00260CE3" w:rsidRDefault="004315BB" w:rsidP="00EB0B63">
            <w:pPr>
              <w:keepNext/>
              <w:spacing w:before="40" w:after="40"/>
              <w:jc w:val="both"/>
              <w:rPr>
                <w:rFonts w:ascii="Arial Narrow" w:hAnsi="Arial Narrow" w:cs="Arial"/>
                <w:sz w:val="20"/>
                <w:szCs w:val="20"/>
              </w:rPr>
            </w:pPr>
            <w:r>
              <w:rPr>
                <w:rFonts w:ascii="Arial Narrow" w:hAnsi="Arial Narrow" w:cs="Arial"/>
                <w:smallCaps/>
                <w:sz w:val="20"/>
                <w:szCs w:val="20"/>
              </w:rPr>
              <w:t>MEPOLIZUMAB</w:t>
            </w:r>
          </w:p>
          <w:p w:rsidR="00826F6D" w:rsidRPr="00260CE3" w:rsidRDefault="004315BB" w:rsidP="00EB0B63">
            <w:pPr>
              <w:keepNext/>
              <w:spacing w:before="40" w:after="40"/>
              <w:jc w:val="both"/>
              <w:rPr>
                <w:rFonts w:ascii="Arial Narrow" w:hAnsi="Arial Narrow" w:cs="Arial"/>
                <w:sz w:val="20"/>
                <w:szCs w:val="20"/>
              </w:rPr>
            </w:pPr>
            <w:r w:rsidRPr="004315BB">
              <w:rPr>
                <w:rFonts w:ascii="Arial Narrow" w:hAnsi="Arial Narrow" w:cs="Arial"/>
                <w:sz w:val="20"/>
                <w:szCs w:val="20"/>
              </w:rPr>
              <w:t>100 mg injection, 1 vial</w:t>
            </w:r>
          </w:p>
        </w:tc>
        <w:tc>
          <w:tcPr>
            <w:tcW w:w="423" w:type="pct"/>
          </w:tcPr>
          <w:p w:rsidR="00826F6D" w:rsidRPr="009B0AEE" w:rsidRDefault="004315BB" w:rsidP="00EB0B63">
            <w:pPr>
              <w:keepNext/>
              <w:spacing w:before="40" w:after="40"/>
              <w:jc w:val="both"/>
              <w:rPr>
                <w:rFonts w:ascii="Arial Narrow" w:hAnsi="Arial Narrow" w:cs="Arial"/>
                <w:sz w:val="20"/>
                <w:szCs w:val="20"/>
              </w:rPr>
            </w:pPr>
            <w:r w:rsidRPr="009B0AEE">
              <w:rPr>
                <w:rFonts w:ascii="Arial Narrow" w:hAnsi="Arial Narrow" w:cs="Arial"/>
                <w:sz w:val="20"/>
                <w:szCs w:val="20"/>
              </w:rPr>
              <w:t>1</w:t>
            </w:r>
          </w:p>
        </w:tc>
        <w:tc>
          <w:tcPr>
            <w:tcW w:w="507" w:type="pct"/>
          </w:tcPr>
          <w:p w:rsidR="00826F6D" w:rsidRPr="009B0AEE" w:rsidRDefault="004315BB" w:rsidP="00EB0B63">
            <w:pPr>
              <w:keepNext/>
              <w:spacing w:before="40" w:after="40"/>
              <w:jc w:val="both"/>
              <w:rPr>
                <w:rFonts w:ascii="Arial Narrow" w:hAnsi="Arial Narrow" w:cs="Arial"/>
                <w:sz w:val="20"/>
                <w:szCs w:val="20"/>
              </w:rPr>
            </w:pPr>
            <w:r w:rsidRPr="009B0AEE">
              <w:rPr>
                <w:rFonts w:ascii="Arial Narrow" w:hAnsi="Arial Narrow" w:cs="Arial"/>
                <w:sz w:val="20"/>
                <w:szCs w:val="20"/>
              </w:rPr>
              <w:t>7</w:t>
            </w:r>
          </w:p>
        </w:tc>
        <w:tc>
          <w:tcPr>
            <w:tcW w:w="913" w:type="pct"/>
          </w:tcPr>
          <w:p w:rsidR="00826F6D" w:rsidRPr="009B0AEE" w:rsidRDefault="009B0AEE" w:rsidP="00EB0B63">
            <w:pPr>
              <w:keepNext/>
              <w:spacing w:before="40" w:after="40"/>
              <w:jc w:val="both"/>
              <w:rPr>
                <w:rFonts w:ascii="Arial Narrow" w:hAnsi="Arial Narrow" w:cs="Arial"/>
                <w:sz w:val="20"/>
                <w:szCs w:val="20"/>
              </w:rPr>
            </w:pPr>
            <w:r w:rsidRPr="009B0AEE">
              <w:rPr>
                <w:rFonts w:ascii="Arial Narrow" w:hAnsi="Arial Narrow" w:cs="Arial"/>
                <w:sz w:val="20"/>
                <w:szCs w:val="20"/>
              </w:rPr>
              <w:t xml:space="preserve">Public: </w:t>
            </w:r>
            <w:r w:rsidR="00826F6D" w:rsidRPr="009B0AEE">
              <w:rPr>
                <w:rFonts w:ascii="Arial Narrow" w:hAnsi="Arial Narrow" w:cs="Arial"/>
                <w:sz w:val="20"/>
                <w:szCs w:val="20"/>
              </w:rPr>
              <w:t>$</w:t>
            </w:r>
            <w:r w:rsidRPr="00C16DA8">
              <w:rPr>
                <w:rFonts w:ascii="Arial Narrow" w:hAnsi="Arial Narrow" w:cs="Arial"/>
                <w:sz w:val="20"/>
                <w:szCs w:val="20"/>
              </w:rPr>
              <w:t>1638.00</w:t>
            </w:r>
          </w:p>
          <w:p w:rsidR="009B0AEE" w:rsidRPr="00802021" w:rsidRDefault="009B0AEE" w:rsidP="00EC0032">
            <w:pPr>
              <w:keepNext/>
              <w:spacing w:before="40" w:after="40"/>
              <w:jc w:val="both"/>
              <w:rPr>
                <w:rFonts w:ascii="Arial Narrow" w:hAnsi="Arial Narrow" w:cs="Arial"/>
                <w:sz w:val="20"/>
                <w:szCs w:val="20"/>
                <w:highlight w:val="yellow"/>
              </w:rPr>
            </w:pPr>
            <w:r w:rsidRPr="009B0AEE">
              <w:rPr>
                <w:rFonts w:ascii="Arial Narrow" w:hAnsi="Arial Narrow" w:cs="Arial"/>
                <w:sz w:val="20"/>
                <w:szCs w:val="20"/>
              </w:rPr>
              <w:t>Private: $</w:t>
            </w:r>
            <w:r w:rsidRPr="00C16DA8">
              <w:rPr>
                <w:rFonts w:ascii="Arial Narrow" w:hAnsi="Arial Narrow" w:cs="Arial"/>
                <w:sz w:val="20"/>
                <w:szCs w:val="20"/>
              </w:rPr>
              <w:t>1685.15</w:t>
            </w:r>
          </w:p>
        </w:tc>
        <w:tc>
          <w:tcPr>
            <w:tcW w:w="401" w:type="pct"/>
          </w:tcPr>
          <w:p w:rsidR="00826F6D" w:rsidRPr="00260CE3" w:rsidRDefault="004315BB" w:rsidP="00EB0B63">
            <w:pPr>
              <w:keepNext/>
              <w:spacing w:before="40" w:after="40"/>
              <w:jc w:val="both"/>
              <w:rPr>
                <w:rFonts w:ascii="Arial Narrow" w:hAnsi="Arial Narrow" w:cs="Arial"/>
                <w:sz w:val="20"/>
                <w:szCs w:val="20"/>
              </w:rPr>
            </w:pPr>
            <w:r>
              <w:rPr>
                <w:rFonts w:ascii="Arial Narrow" w:hAnsi="Arial Narrow" w:cs="Arial"/>
                <w:sz w:val="20"/>
                <w:szCs w:val="20"/>
              </w:rPr>
              <w:t>Nucala</w:t>
            </w:r>
          </w:p>
        </w:tc>
        <w:tc>
          <w:tcPr>
            <w:tcW w:w="892" w:type="pct"/>
            <w:gridSpan w:val="2"/>
          </w:tcPr>
          <w:p w:rsidR="004315BB" w:rsidRPr="00260CE3" w:rsidRDefault="004315BB" w:rsidP="00EB0B63">
            <w:pPr>
              <w:keepNext/>
              <w:spacing w:before="40" w:after="40"/>
              <w:jc w:val="both"/>
              <w:rPr>
                <w:rFonts w:ascii="Arial Narrow" w:hAnsi="Arial Narrow" w:cs="Arial"/>
                <w:sz w:val="20"/>
                <w:szCs w:val="20"/>
              </w:rPr>
            </w:pPr>
            <w:r>
              <w:rPr>
                <w:rFonts w:ascii="Arial Narrow" w:hAnsi="Arial Narrow" w:cs="Arial"/>
                <w:sz w:val="20"/>
                <w:szCs w:val="20"/>
              </w:rPr>
              <w:t>GlaxoSmithKline Australia Pty Ltd</w:t>
            </w:r>
          </w:p>
        </w:tc>
      </w:tr>
      <w:tr w:rsidR="00826F6D" w:rsidRPr="00260CE3" w:rsidTr="00EC0032">
        <w:trPr>
          <w:gridAfter w:val="1"/>
          <w:wAfter w:w="9" w:type="pct"/>
          <w:cantSplit/>
          <w:trHeight w:val="360"/>
        </w:trPr>
        <w:tc>
          <w:tcPr>
            <w:tcW w:w="4991"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D978D7">
            <w:pPr>
              <w:spacing w:before="40" w:after="40"/>
              <w:jc w:val="both"/>
              <w:rPr>
                <w:rFonts w:ascii="Arial Narrow" w:hAnsi="Arial Narrow" w:cs="Arial"/>
                <w:b/>
                <w:sz w:val="20"/>
                <w:szCs w:val="20"/>
              </w:rPr>
            </w:pPr>
            <w:r w:rsidRPr="004C6C07">
              <w:rPr>
                <w:rFonts w:ascii="Arial Narrow" w:hAnsi="Arial Narrow" w:cs="Arial"/>
                <w:sz w:val="20"/>
                <w:szCs w:val="20"/>
              </w:rPr>
              <w:t>Category / Program</w:t>
            </w:r>
          </w:p>
        </w:tc>
        <w:tc>
          <w:tcPr>
            <w:tcW w:w="3901"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1"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D978D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802021">
              <w:rPr>
                <w:rFonts w:ascii="Arial Narrow" w:hAnsi="Arial Narrow" w:cs="Arial"/>
                <w:sz w:val="20"/>
                <w:szCs w:val="20"/>
              </w:rPr>
              <w:fldChar w:fldCharType="begin">
                <w:ffData>
                  <w:name w:val=""/>
                  <w:enabled/>
                  <w:calcOnExit w:val="0"/>
                  <w:checkBox>
                    <w:sizeAuto/>
                    <w:default w:val="1"/>
                  </w:checkBox>
                </w:ffData>
              </w:fldChar>
            </w:r>
            <w:r w:rsidR="00802021">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00802021">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D978D7">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1" w:type="pct"/>
            <w:gridSpan w:val="6"/>
            <w:tcBorders>
              <w:top w:val="single" w:sz="4" w:space="0" w:color="auto"/>
              <w:left w:val="single" w:sz="4" w:space="0" w:color="auto"/>
              <w:bottom w:val="single" w:sz="4" w:space="0" w:color="auto"/>
              <w:right w:val="single" w:sz="4" w:space="0" w:color="auto"/>
            </w:tcBorders>
          </w:tcPr>
          <w:p w:rsidR="00826F6D" w:rsidRPr="00260CE3" w:rsidRDefault="00802021" w:rsidP="00EB0B63">
            <w:pPr>
              <w:spacing w:before="40" w:after="40"/>
              <w:rPr>
                <w:rFonts w:ascii="Arial Narrow" w:hAnsi="Arial Narrow" w:cs="Arial"/>
                <w:sz w:val="20"/>
                <w:szCs w:val="20"/>
              </w:rPr>
            </w:pPr>
            <w:r w:rsidRPr="00802021">
              <w:rPr>
                <w:rFonts w:ascii="Arial Narrow" w:hAnsi="Arial Narrow" w:cs="Arial"/>
                <w:sz w:val="20"/>
                <w:szCs w:val="20"/>
              </w:rPr>
              <w:t>Uncontrolled severe eosinophilic asthma</w:t>
            </w: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1" w:type="pct"/>
            <w:gridSpan w:val="6"/>
            <w:tcBorders>
              <w:top w:val="single" w:sz="4" w:space="0" w:color="auto"/>
              <w:left w:val="single" w:sz="4" w:space="0" w:color="auto"/>
              <w:bottom w:val="single" w:sz="4" w:space="0" w:color="auto"/>
              <w:right w:val="single" w:sz="4" w:space="0" w:color="auto"/>
            </w:tcBorders>
          </w:tcPr>
          <w:p w:rsidR="00826F6D" w:rsidRPr="00260CE3" w:rsidRDefault="00802021" w:rsidP="00EB0B63">
            <w:pPr>
              <w:spacing w:before="40" w:after="40"/>
              <w:rPr>
                <w:rFonts w:ascii="Arial Narrow" w:hAnsi="Arial Narrow" w:cs="Arial"/>
                <w:sz w:val="20"/>
                <w:szCs w:val="20"/>
              </w:rPr>
            </w:pPr>
            <w:r>
              <w:rPr>
                <w:rFonts w:ascii="Arial Narrow" w:hAnsi="Arial Narrow" w:cs="Arial"/>
                <w:sz w:val="20"/>
                <w:szCs w:val="20"/>
              </w:rPr>
              <w:t>Initial</w:t>
            </w:r>
            <w:r w:rsidR="00634DCC">
              <w:rPr>
                <w:rFonts w:ascii="Arial Narrow" w:hAnsi="Arial Narrow" w:cs="Arial"/>
                <w:sz w:val="20"/>
                <w:szCs w:val="20"/>
              </w:rPr>
              <w:t xml:space="preserve"> treatment</w:t>
            </w: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01" w:type="pct"/>
            <w:gridSpan w:val="6"/>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02021"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712A23"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Telephone</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260CE3" w:rsidRDefault="00826F6D" w:rsidP="00802021">
            <w:pPr>
              <w:spacing w:before="40" w:after="40"/>
              <w:jc w:val="both"/>
              <w:rPr>
                <w:rFonts w:ascii="Arial Narrow" w:hAnsi="Arial Narrow" w:cs="Arial"/>
                <w:sz w:val="20"/>
                <w:szCs w:val="20"/>
              </w:rPr>
            </w:pPr>
            <w:r w:rsidRPr="00260CE3">
              <w:rPr>
                <w:rFonts w:ascii="Arial Narrow" w:hAnsi="Arial Narrow" w:cs="Arial"/>
                <w:b/>
                <w:sz w:val="20"/>
                <w:szCs w:val="20"/>
              </w:rPr>
              <w:lastRenderedPageBreak/>
              <w:t>Clinical criteria:</w:t>
            </w:r>
            <w:r w:rsidR="00802021" w:rsidRPr="00260CE3">
              <w:rPr>
                <w:rFonts w:ascii="Arial Narrow" w:hAnsi="Arial Narrow" w:cs="Arial"/>
                <w:sz w:val="20"/>
                <w:szCs w:val="20"/>
              </w:rPr>
              <w:t xml:space="preserve"> </w:t>
            </w:r>
          </w:p>
        </w:tc>
        <w:tc>
          <w:tcPr>
            <w:tcW w:w="3901" w:type="pct"/>
            <w:gridSpan w:val="6"/>
            <w:tcBorders>
              <w:top w:val="single" w:sz="4" w:space="0" w:color="auto"/>
              <w:left w:val="single" w:sz="4" w:space="0" w:color="auto"/>
              <w:bottom w:val="single" w:sz="4" w:space="0" w:color="auto"/>
              <w:right w:val="single" w:sz="4" w:space="0" w:color="auto"/>
            </w:tcBorders>
          </w:tcPr>
          <w:p w:rsidR="00802021" w:rsidRPr="0025300C" w:rsidRDefault="00802021" w:rsidP="00802021">
            <w:pPr>
              <w:rPr>
                <w:rFonts w:ascii="Arial Narrow" w:hAnsi="Arial Narrow"/>
                <w:sz w:val="20"/>
              </w:rPr>
            </w:pPr>
            <w:r w:rsidRPr="0025300C">
              <w:rPr>
                <w:rFonts w:ascii="Arial Narrow" w:hAnsi="Arial Narrow"/>
                <w:sz w:val="20"/>
              </w:rPr>
              <w:t>Patient must be under the care of the same physician for at least 12 months,</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25300C" w:rsidRDefault="00802021" w:rsidP="00802021">
            <w:pPr>
              <w:rPr>
                <w:rFonts w:ascii="Arial Narrow" w:hAnsi="Arial Narrow"/>
                <w:sz w:val="20"/>
              </w:rPr>
            </w:pPr>
            <w:r w:rsidRPr="0025300C">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25300C" w:rsidRDefault="00802021" w:rsidP="00802021">
            <w:pPr>
              <w:rPr>
                <w:rFonts w:ascii="Arial Narrow" w:hAnsi="Arial Narrow"/>
                <w:sz w:val="20"/>
              </w:rPr>
            </w:pPr>
            <w:r w:rsidRPr="0025300C">
              <w:rPr>
                <w:rFonts w:ascii="Arial Narrow" w:hAnsi="Arial Narrow"/>
                <w:sz w:val="20"/>
              </w:rPr>
              <w:t>Patient must have a duration of asthma of at least 1 year,</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25300C" w:rsidRDefault="00802021" w:rsidP="00802021">
            <w:pPr>
              <w:rPr>
                <w:rFonts w:ascii="Arial Narrow" w:hAnsi="Arial Narrow"/>
                <w:sz w:val="20"/>
              </w:rPr>
            </w:pPr>
            <w:r w:rsidRPr="0025300C">
              <w:rPr>
                <w:rFonts w:ascii="Arial Narrow" w:hAnsi="Arial Narrow"/>
                <w:sz w:val="20"/>
              </w:rPr>
              <w:t xml:space="preserve">Patient must have forced expiratory volume (FEV1) less than or equal to 80% predicted, documented on 1 or more occasions in the previous 12 months, </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802021" w:rsidRDefault="00802021" w:rsidP="00802021">
            <w:pPr>
              <w:rPr>
                <w:rFonts w:ascii="Arial Narrow" w:hAnsi="Arial Narrow"/>
                <w:sz w:val="20"/>
              </w:rPr>
            </w:pPr>
            <w:r w:rsidRPr="00802021">
              <w:rPr>
                <w:rFonts w:ascii="Arial Narrow" w:hAnsi="Arial Narrow"/>
                <w:sz w:val="20"/>
              </w:rPr>
              <w:t xml:space="preserve">Patient must have blood eosinophil count greater than or equal to 300 cells per microlitre in the last </w:t>
            </w:r>
            <w:r w:rsidRPr="00DE3D28">
              <w:rPr>
                <w:rFonts w:ascii="Arial Narrow" w:hAnsi="Arial Narrow"/>
                <w:b/>
                <w:strike/>
                <w:sz w:val="20"/>
              </w:rPr>
              <w:t>6 weeks</w:t>
            </w:r>
            <w:r w:rsidRPr="002D61FE">
              <w:rPr>
                <w:rFonts w:ascii="Arial Narrow" w:hAnsi="Arial Narrow"/>
                <w:b/>
                <w:sz w:val="20"/>
              </w:rPr>
              <w:t>12 months</w:t>
            </w:r>
            <w:r w:rsidRPr="00802021">
              <w:rPr>
                <w:rFonts w:ascii="Arial Narrow" w:hAnsi="Arial Narrow"/>
                <w:sz w:val="20"/>
              </w:rPr>
              <w:t xml:space="preserve">, </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25300C" w:rsidRDefault="00802021" w:rsidP="00802021">
            <w:pPr>
              <w:rPr>
                <w:rFonts w:ascii="Arial Narrow" w:hAnsi="Arial Narrow"/>
                <w:sz w:val="20"/>
              </w:rPr>
            </w:pPr>
            <w:r w:rsidRPr="0025300C">
              <w:rPr>
                <w:rFonts w:ascii="Arial Narrow" w:hAnsi="Arial Narrow"/>
                <w:sz w:val="20"/>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802021" w:rsidRPr="0025300C" w:rsidRDefault="00802021" w:rsidP="00802021">
            <w:pPr>
              <w:rPr>
                <w:rFonts w:ascii="Arial Narrow" w:hAnsi="Arial Narrow"/>
                <w:sz w:val="20"/>
              </w:rPr>
            </w:pPr>
            <w:r w:rsidRPr="0025300C">
              <w:rPr>
                <w:rFonts w:ascii="Arial Narrow" w:hAnsi="Arial Narrow"/>
                <w:sz w:val="20"/>
              </w:rPr>
              <w:t>AND</w:t>
            </w:r>
          </w:p>
          <w:p w:rsidR="00802021" w:rsidRPr="0025300C" w:rsidRDefault="00802021" w:rsidP="00802021">
            <w:pPr>
              <w:rPr>
                <w:rFonts w:ascii="Arial Narrow" w:hAnsi="Arial Narrow"/>
                <w:sz w:val="20"/>
              </w:rPr>
            </w:pPr>
            <w:r w:rsidRPr="0025300C">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802021" w:rsidRPr="0025300C" w:rsidRDefault="00802021" w:rsidP="00802021">
            <w:pPr>
              <w:rPr>
                <w:rFonts w:ascii="Arial Narrow" w:hAnsi="Arial Narrow"/>
                <w:sz w:val="20"/>
              </w:rPr>
            </w:pPr>
            <w:r w:rsidRPr="0025300C">
              <w:rPr>
                <w:rFonts w:ascii="Arial Narrow" w:hAnsi="Arial Narrow"/>
                <w:sz w:val="20"/>
              </w:rPr>
              <w:t>AND</w:t>
            </w:r>
          </w:p>
          <w:p w:rsidR="00826F6D" w:rsidRPr="00260CE3" w:rsidRDefault="00802021" w:rsidP="00802021">
            <w:pPr>
              <w:spacing w:before="40" w:after="40"/>
              <w:rPr>
                <w:rFonts w:ascii="Arial Narrow" w:hAnsi="Arial Narrow" w:cs="Arial"/>
                <w:sz w:val="20"/>
                <w:szCs w:val="20"/>
              </w:rPr>
            </w:pPr>
            <w:r w:rsidRPr="0025300C">
              <w:rPr>
                <w:rFonts w:ascii="Arial Narrow" w:hAnsi="Arial Narrow"/>
                <w:sz w:val="20"/>
              </w:rPr>
              <w:t>The treatment must not be used in combination with, or within 6 months of treatment with, PBS-subsidised omalizumab.</w:t>
            </w:r>
          </w:p>
        </w:tc>
      </w:tr>
      <w:tr w:rsidR="00350EB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350EBD" w:rsidRPr="00260CE3" w:rsidRDefault="00350EBD" w:rsidP="00802021">
            <w:pPr>
              <w:spacing w:before="40" w:after="40"/>
              <w:jc w:val="both"/>
              <w:rPr>
                <w:rFonts w:ascii="Arial Narrow" w:hAnsi="Arial Narrow" w:cs="Arial"/>
                <w:b/>
                <w:sz w:val="20"/>
                <w:szCs w:val="20"/>
              </w:rPr>
            </w:pPr>
            <w:r>
              <w:rPr>
                <w:rFonts w:ascii="Arial Narrow" w:hAnsi="Arial Narrow" w:cs="Arial"/>
                <w:b/>
                <w:sz w:val="20"/>
                <w:szCs w:val="20"/>
              </w:rPr>
              <w:t xml:space="preserve">Treatment criteria </w:t>
            </w:r>
          </w:p>
        </w:tc>
        <w:tc>
          <w:tcPr>
            <w:tcW w:w="3901" w:type="pct"/>
            <w:gridSpan w:val="6"/>
            <w:tcBorders>
              <w:top w:val="single" w:sz="4" w:space="0" w:color="auto"/>
              <w:left w:val="single" w:sz="4" w:space="0" w:color="auto"/>
              <w:bottom w:val="single" w:sz="4" w:space="0" w:color="auto"/>
              <w:right w:val="single" w:sz="4" w:space="0" w:color="auto"/>
            </w:tcBorders>
          </w:tcPr>
          <w:p w:rsidR="00350EBD" w:rsidRPr="0025300C" w:rsidRDefault="00350EBD" w:rsidP="00802021">
            <w:pPr>
              <w:rPr>
                <w:rFonts w:ascii="Arial Narrow" w:hAnsi="Arial Narrow"/>
                <w:sz w:val="20"/>
              </w:rPr>
            </w:pPr>
            <w:r>
              <w:rPr>
                <w:rFonts w:ascii="Arial Narrow" w:hAnsi="Arial Narrow"/>
                <w:sz w:val="20"/>
              </w:rPr>
              <w:t>As per existing restriction (no changes proposed)</w:t>
            </w:r>
          </w:p>
        </w:tc>
      </w:tr>
      <w:tr w:rsidR="00350EB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350EBD" w:rsidRDefault="00350EBD" w:rsidP="00802021">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01" w:type="pct"/>
            <w:gridSpan w:val="6"/>
            <w:tcBorders>
              <w:top w:val="single" w:sz="4" w:space="0" w:color="auto"/>
              <w:left w:val="single" w:sz="4" w:space="0" w:color="auto"/>
              <w:bottom w:val="single" w:sz="4" w:space="0" w:color="auto"/>
              <w:right w:val="single" w:sz="4" w:space="0" w:color="auto"/>
            </w:tcBorders>
          </w:tcPr>
          <w:p w:rsidR="00350EBD" w:rsidRDefault="00350EBD" w:rsidP="00802021">
            <w:pPr>
              <w:rPr>
                <w:rFonts w:ascii="Arial Narrow" w:hAnsi="Arial Narrow"/>
                <w:sz w:val="20"/>
              </w:rPr>
            </w:pPr>
            <w:r>
              <w:rPr>
                <w:rFonts w:ascii="Arial Narrow" w:hAnsi="Arial Narrow"/>
                <w:sz w:val="20"/>
              </w:rPr>
              <w:t>As per existing restriction (no changes proposed)</w:t>
            </w:r>
          </w:p>
        </w:tc>
      </w:tr>
      <w:tr w:rsidR="00350EB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350EBD" w:rsidRDefault="00350EBD" w:rsidP="00802021">
            <w:pPr>
              <w:spacing w:before="40" w:after="40"/>
              <w:jc w:val="both"/>
              <w:rPr>
                <w:rFonts w:ascii="Arial Narrow" w:hAnsi="Arial Narrow" w:cs="Arial"/>
                <w:b/>
                <w:sz w:val="20"/>
                <w:szCs w:val="20"/>
              </w:rPr>
            </w:pPr>
            <w:r>
              <w:rPr>
                <w:rFonts w:ascii="Arial Narrow" w:hAnsi="Arial Narrow" w:cs="Arial"/>
                <w:b/>
                <w:sz w:val="20"/>
                <w:szCs w:val="20"/>
              </w:rPr>
              <w:t xml:space="preserve">Population criteria </w:t>
            </w:r>
          </w:p>
        </w:tc>
        <w:tc>
          <w:tcPr>
            <w:tcW w:w="3901" w:type="pct"/>
            <w:gridSpan w:val="6"/>
            <w:tcBorders>
              <w:top w:val="single" w:sz="4" w:space="0" w:color="auto"/>
              <w:left w:val="single" w:sz="4" w:space="0" w:color="auto"/>
              <w:bottom w:val="single" w:sz="4" w:space="0" w:color="auto"/>
              <w:right w:val="single" w:sz="4" w:space="0" w:color="auto"/>
            </w:tcBorders>
          </w:tcPr>
          <w:p w:rsidR="00350EBD" w:rsidRDefault="00350EBD" w:rsidP="00802021">
            <w:pPr>
              <w:rPr>
                <w:rFonts w:ascii="Arial Narrow" w:hAnsi="Arial Narrow"/>
                <w:sz w:val="20"/>
              </w:rPr>
            </w:pPr>
            <w:r>
              <w:rPr>
                <w:rFonts w:ascii="Arial Narrow" w:hAnsi="Arial Narrow"/>
                <w:sz w:val="20"/>
              </w:rPr>
              <w:t>As per existing restriction (no changes proposed)</w:t>
            </w:r>
          </w:p>
        </w:tc>
      </w:tr>
      <w:tr w:rsidR="00350EBD" w:rsidRPr="00260CE3" w:rsidTr="00802021">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350EBD" w:rsidRDefault="00350EBD" w:rsidP="00802021">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01" w:type="pct"/>
            <w:gridSpan w:val="6"/>
            <w:tcBorders>
              <w:top w:val="single" w:sz="4" w:space="0" w:color="auto"/>
              <w:left w:val="single" w:sz="4" w:space="0" w:color="auto"/>
              <w:bottom w:val="single" w:sz="4" w:space="0" w:color="auto"/>
              <w:right w:val="single" w:sz="4" w:space="0" w:color="auto"/>
            </w:tcBorders>
          </w:tcPr>
          <w:p w:rsidR="00350EBD" w:rsidRPr="0025300C" w:rsidRDefault="00350EBD" w:rsidP="00802021">
            <w:pPr>
              <w:rPr>
                <w:rFonts w:ascii="Arial Narrow" w:hAnsi="Arial Narrow"/>
                <w:sz w:val="20"/>
              </w:rPr>
            </w:pPr>
            <w:r>
              <w:rPr>
                <w:rFonts w:ascii="Arial Narrow" w:hAnsi="Arial Narrow"/>
                <w:sz w:val="20"/>
              </w:rPr>
              <w:t>As per existing restriction (no changes proposed)</w:t>
            </w:r>
          </w:p>
        </w:tc>
      </w:tr>
    </w:tbl>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Pr="001B2BBC" w:rsidRDefault="00C85411" w:rsidP="00C8541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Mepolizumab</w:t>
      </w:r>
      <w:r w:rsidR="00063BA2">
        <w:rPr>
          <w:rFonts w:asciiTheme="minorHAnsi" w:eastAsiaTheme="minorHAnsi" w:hAnsiTheme="minorHAnsi" w:cstheme="minorBidi"/>
          <w:snapToGrid/>
          <w:sz w:val="24"/>
          <w:szCs w:val="22"/>
        </w:rPr>
        <w:t xml:space="preserve"> was</w:t>
      </w:r>
      <w:r w:rsidR="00920377">
        <w:rPr>
          <w:rFonts w:asciiTheme="minorHAnsi" w:eastAsiaTheme="minorHAnsi" w:hAnsiTheme="minorHAnsi" w:cstheme="minorBidi"/>
          <w:snapToGrid/>
          <w:sz w:val="24"/>
          <w:szCs w:val="22"/>
        </w:rPr>
        <w:t xml:space="preserve"> TGA</w:t>
      </w:r>
      <w:r w:rsidR="00063BA2">
        <w:rPr>
          <w:rFonts w:asciiTheme="minorHAnsi" w:eastAsiaTheme="minorHAnsi" w:hAnsiTheme="minorHAnsi" w:cstheme="minorBidi"/>
          <w:snapToGrid/>
          <w:sz w:val="24"/>
          <w:szCs w:val="22"/>
        </w:rPr>
        <w:t xml:space="preserve"> registered on 25 January 2016</w:t>
      </w:r>
      <w:r w:rsidR="00476245" w:rsidRPr="001B2BBC">
        <w:rPr>
          <w:rFonts w:asciiTheme="minorHAnsi" w:eastAsiaTheme="minorHAnsi" w:hAnsiTheme="minorHAnsi" w:cstheme="minorBidi"/>
          <w:snapToGrid/>
          <w:sz w:val="24"/>
          <w:szCs w:val="22"/>
        </w:rPr>
        <w:t xml:space="preserve"> </w:t>
      </w:r>
      <w:r w:rsidR="00063BA2">
        <w:rPr>
          <w:rFonts w:asciiTheme="minorHAnsi" w:eastAsiaTheme="minorHAnsi" w:hAnsiTheme="minorHAnsi" w:cstheme="minorBidi"/>
          <w:snapToGrid/>
          <w:sz w:val="24"/>
          <w:szCs w:val="22"/>
        </w:rPr>
        <w:t xml:space="preserve">for </w:t>
      </w:r>
      <w:r w:rsidR="002D64C6">
        <w:rPr>
          <w:rFonts w:asciiTheme="minorHAnsi" w:eastAsiaTheme="minorHAnsi" w:hAnsiTheme="minorHAnsi" w:cstheme="minorBidi"/>
          <w:snapToGrid/>
          <w:sz w:val="24"/>
          <w:szCs w:val="22"/>
        </w:rPr>
        <w:t xml:space="preserve">add-on treatment for </w:t>
      </w:r>
      <w:r w:rsidRPr="00C85411">
        <w:rPr>
          <w:rFonts w:asciiTheme="minorHAnsi" w:eastAsiaTheme="minorHAnsi" w:hAnsiTheme="minorHAnsi" w:cstheme="minorBidi"/>
          <w:snapToGrid/>
          <w:sz w:val="24"/>
          <w:szCs w:val="22"/>
        </w:rPr>
        <w:t>severe refractory eosinophilic asthma in patients aged 12 years and over</w:t>
      </w:r>
      <w:r w:rsidR="002D64C6">
        <w:rPr>
          <w:rFonts w:asciiTheme="minorHAnsi" w:eastAsiaTheme="minorHAnsi" w:hAnsiTheme="minorHAnsi" w:cstheme="minorBidi"/>
          <w:snapToGrid/>
          <w:sz w:val="24"/>
          <w:szCs w:val="22"/>
        </w:rPr>
        <w:t xml:space="preserve">. </w:t>
      </w:r>
    </w:p>
    <w:p w:rsidR="008A1956" w:rsidRDefault="002A5681" w:rsidP="00AA391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recommended the listing of mepolizumab under Section 100 Highly Specialised Drugs Program (HSD) </w:t>
      </w:r>
      <w:r w:rsidRPr="002A5681">
        <w:rPr>
          <w:rFonts w:asciiTheme="minorHAnsi" w:eastAsiaTheme="minorHAnsi" w:hAnsiTheme="minorHAnsi" w:cstheme="minorBidi"/>
          <w:snapToGrid/>
          <w:sz w:val="24"/>
          <w:szCs w:val="22"/>
        </w:rPr>
        <w:t>for the treatment of severe eosinophilic asthma in patients aged 12 years and over</w:t>
      </w:r>
      <w:r w:rsidR="00E93B56">
        <w:rPr>
          <w:rFonts w:asciiTheme="minorHAnsi" w:eastAsiaTheme="minorHAnsi" w:hAnsiTheme="minorHAnsi" w:cstheme="minorBidi"/>
          <w:snapToGrid/>
          <w:sz w:val="24"/>
          <w:szCs w:val="22"/>
        </w:rPr>
        <w:t xml:space="preserve"> at its July 2017 meeting</w:t>
      </w:r>
      <w:r w:rsidR="00C25B4D">
        <w:rPr>
          <w:rFonts w:asciiTheme="minorHAnsi" w:eastAsiaTheme="minorHAnsi" w:hAnsiTheme="minorHAnsi" w:cstheme="minorBidi"/>
          <w:snapToGrid/>
          <w:sz w:val="24"/>
          <w:szCs w:val="22"/>
        </w:rPr>
        <w:t xml:space="preserve"> </w:t>
      </w:r>
      <w:r w:rsidR="00E93B56">
        <w:rPr>
          <w:rFonts w:asciiTheme="minorHAnsi" w:eastAsiaTheme="minorHAnsi" w:hAnsiTheme="minorHAnsi" w:cstheme="minorBidi"/>
          <w:snapToGrid/>
          <w:sz w:val="24"/>
          <w:szCs w:val="22"/>
        </w:rPr>
        <w:t xml:space="preserve">on a cost-minimisation basis with omalizumab. </w:t>
      </w:r>
      <w:r w:rsidR="00C26DFC">
        <w:rPr>
          <w:rFonts w:asciiTheme="minorHAnsi" w:eastAsiaTheme="minorHAnsi" w:hAnsiTheme="minorHAnsi" w:cstheme="minorBidi"/>
          <w:snapToGrid/>
          <w:sz w:val="24"/>
          <w:szCs w:val="22"/>
        </w:rPr>
        <w:t>Prior to this, mepolizumab was rejected by the PBAC for the same indication at its March 2016 meeting</w:t>
      </w:r>
      <w:r w:rsidR="00C25B4D">
        <w:rPr>
          <w:rFonts w:asciiTheme="minorHAnsi" w:eastAsiaTheme="minorHAnsi" w:hAnsiTheme="minorHAnsi" w:cstheme="minorBidi"/>
          <w:snapToGrid/>
          <w:sz w:val="24"/>
          <w:szCs w:val="22"/>
        </w:rPr>
        <w:t xml:space="preserve"> on the basis of high and uncertain cost-effectiveness in the comparison with standard of care, and inappropriate equi-effective doses proposed in the cost-minimisation analysis against omalizumab</w:t>
      </w:r>
      <w:r w:rsidR="00C26DFC">
        <w:rPr>
          <w:rFonts w:asciiTheme="minorHAnsi" w:eastAsiaTheme="minorHAnsi" w:hAnsiTheme="minorHAnsi" w:cstheme="minorBidi"/>
          <w:snapToGrid/>
          <w:sz w:val="24"/>
          <w:szCs w:val="22"/>
        </w:rPr>
        <w:t>.</w:t>
      </w:r>
    </w:p>
    <w:p w:rsidR="008933B8" w:rsidRPr="00F43AF2" w:rsidRDefault="008933B8" w:rsidP="00AA391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w:t>
      </w:r>
      <w:r w:rsidR="001A2B63">
        <w:rPr>
          <w:rFonts w:asciiTheme="minorHAnsi" w:eastAsiaTheme="minorHAnsi" w:hAnsiTheme="minorHAnsi" w:cstheme="minorBidi"/>
          <w:snapToGrid/>
          <w:sz w:val="24"/>
          <w:szCs w:val="22"/>
        </w:rPr>
        <w:t>its November 2010</w:t>
      </w:r>
      <w:r>
        <w:rPr>
          <w:rFonts w:asciiTheme="minorHAnsi" w:eastAsiaTheme="minorHAnsi" w:hAnsiTheme="minorHAnsi" w:cstheme="minorBidi"/>
          <w:snapToGrid/>
          <w:sz w:val="24"/>
          <w:szCs w:val="22"/>
        </w:rPr>
        <w:t xml:space="preserve"> meeting, the PBAC recommended expanding the listing of omalizumab for the treatment of severe allergic asthma in patients with a baseline </w:t>
      </w:r>
      <w:r>
        <w:rPr>
          <w:rFonts w:asciiTheme="minorHAnsi" w:eastAsiaTheme="minorHAnsi" w:hAnsiTheme="minorHAnsi" w:cstheme="minorBidi"/>
          <w:snapToGrid/>
          <w:sz w:val="24"/>
          <w:szCs w:val="22"/>
        </w:rPr>
        <w:lastRenderedPageBreak/>
        <w:t>IgE of 30-75 IU/mL.</w:t>
      </w:r>
      <w:r w:rsidR="001A2B63">
        <w:rPr>
          <w:rFonts w:asciiTheme="minorHAnsi" w:eastAsiaTheme="minorHAnsi" w:hAnsiTheme="minorHAnsi" w:cstheme="minorBidi"/>
          <w:snapToGrid/>
          <w:sz w:val="24"/>
          <w:szCs w:val="22"/>
        </w:rPr>
        <w:t xml:space="preserve"> Omalizumab was previously rejected by the PBAC for this indication at its November 2009 meeting.</w:t>
      </w:r>
    </w:p>
    <w:p w:rsidR="00CE10C4" w:rsidRPr="000205D3" w:rsidRDefault="000205D3" w:rsidP="00F675B0">
      <w:pPr>
        <w:pStyle w:val="PBACHeading1"/>
        <w:spacing w:before="240" w:after="120"/>
        <w:ind w:left="709" w:hanging="709"/>
        <w:rPr>
          <w:rFonts w:asciiTheme="minorHAnsi" w:hAnsiTheme="minorHAnsi"/>
          <w:sz w:val="32"/>
          <w:szCs w:val="32"/>
        </w:rPr>
      </w:pPr>
      <w:r w:rsidRPr="000205D3">
        <w:rPr>
          <w:rFonts w:asciiTheme="minorHAnsi" w:hAnsiTheme="minorHAnsi"/>
          <w:sz w:val="32"/>
          <w:szCs w:val="32"/>
        </w:rPr>
        <w:t>C</w:t>
      </w:r>
      <w:r w:rsidR="00F675B0" w:rsidRPr="000205D3">
        <w:rPr>
          <w:rFonts w:asciiTheme="minorHAnsi" w:hAnsiTheme="minorHAnsi"/>
          <w:sz w:val="32"/>
          <w:szCs w:val="32"/>
        </w:rPr>
        <w:t>urrent situation</w:t>
      </w:r>
    </w:p>
    <w:p w:rsidR="00EB4628" w:rsidRPr="00962EE7" w:rsidRDefault="00EB4628" w:rsidP="00EB46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83120">
        <w:rPr>
          <w:rFonts w:asciiTheme="minorHAnsi" w:eastAsiaTheme="minorHAnsi" w:hAnsiTheme="minorHAnsi" w:cstheme="minorBidi"/>
          <w:snapToGrid/>
          <w:sz w:val="24"/>
          <w:szCs w:val="22"/>
        </w:rPr>
        <w:t>Eosinophilic asthma is a Type 2 T helper driven asthma inflammation which differs from atopic and allergic asthma in that it is usually later-onset (≥ 20 years), more severe, less allergic and is often refractory to corticosteroid therapy. Patients suffer from persistent symptoms and acute exacerbations despite treatment with hi</w:t>
      </w:r>
      <w:r w:rsidR="00464408">
        <w:rPr>
          <w:rFonts w:asciiTheme="minorHAnsi" w:eastAsiaTheme="minorHAnsi" w:hAnsiTheme="minorHAnsi" w:cstheme="minorBidi"/>
          <w:snapToGrid/>
          <w:sz w:val="24"/>
          <w:szCs w:val="22"/>
        </w:rPr>
        <w:t>gh-dose inhaled corticosteroids</w:t>
      </w:r>
      <w:r w:rsidRPr="00983120">
        <w:rPr>
          <w:rFonts w:asciiTheme="minorHAnsi" w:eastAsiaTheme="minorHAnsi" w:hAnsiTheme="minorHAnsi" w:cstheme="minorBidi"/>
          <w:snapToGrid/>
          <w:sz w:val="24"/>
          <w:szCs w:val="22"/>
        </w:rPr>
        <w:t xml:space="preserve"> plus additional controller therapy. Some patients who have eosinophilic asthma also have allergic asthma. </w:t>
      </w:r>
    </w:p>
    <w:p w:rsidR="005428DB" w:rsidRPr="005428DB" w:rsidRDefault="005428DB" w:rsidP="005428DB">
      <w:pPr>
        <w:pStyle w:val="ListParagraph"/>
        <w:numPr>
          <w:ilvl w:val="1"/>
          <w:numId w:val="14"/>
        </w:numPr>
        <w:rPr>
          <w:rFonts w:asciiTheme="minorHAnsi" w:eastAsiaTheme="minorHAnsi" w:hAnsiTheme="minorHAnsi" w:cstheme="minorBidi"/>
          <w:snapToGrid/>
          <w:sz w:val="24"/>
          <w:szCs w:val="22"/>
        </w:rPr>
      </w:pPr>
      <w:r w:rsidRPr="005428DB">
        <w:rPr>
          <w:rFonts w:asciiTheme="minorHAnsi" w:eastAsiaTheme="minorHAnsi" w:hAnsiTheme="minorHAnsi" w:cstheme="minorBidi"/>
          <w:snapToGrid/>
          <w:sz w:val="24"/>
          <w:szCs w:val="22"/>
        </w:rPr>
        <w:t>Mepolizumab is targeted at the IL-5 pathway (i.e. eosinophil-mediated inflammation) whereas omalizumab is targeted at immunoglobulin E (IgE)-driven asthma. Hence the biomarker of interest for mepolizumab and omalizumab are eosinophils and IgE, respectively.</w:t>
      </w:r>
    </w:p>
    <w:p w:rsidR="005F2FD9" w:rsidRPr="005F2FD9" w:rsidRDefault="005F2FD9" w:rsidP="005F2FD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83120">
        <w:rPr>
          <w:rFonts w:asciiTheme="minorHAnsi" w:eastAsiaTheme="minorHAnsi" w:hAnsiTheme="minorHAnsi" w:cstheme="minorBidi"/>
          <w:snapToGrid/>
          <w:sz w:val="24"/>
          <w:szCs w:val="22"/>
        </w:rPr>
        <w:t xml:space="preserve">Mepolizumab </w:t>
      </w:r>
      <w:r>
        <w:rPr>
          <w:rFonts w:asciiTheme="minorHAnsi" w:eastAsiaTheme="minorHAnsi" w:hAnsiTheme="minorHAnsi" w:cstheme="minorBidi"/>
          <w:snapToGrid/>
          <w:sz w:val="24"/>
          <w:szCs w:val="22"/>
        </w:rPr>
        <w:t>is</w:t>
      </w:r>
      <w:r w:rsidRPr="00983120">
        <w:rPr>
          <w:rFonts w:asciiTheme="minorHAnsi" w:eastAsiaTheme="minorHAnsi" w:hAnsiTheme="minorHAnsi" w:cstheme="minorBidi"/>
          <w:snapToGrid/>
          <w:sz w:val="24"/>
          <w:szCs w:val="22"/>
        </w:rPr>
        <w:t xml:space="preserve"> used in combination with standard of care. It is given by subcutaneous (SC) injection once every four weeks.</w:t>
      </w:r>
      <w:r w:rsidRPr="008F76C4">
        <w:rPr>
          <w:rFonts w:asciiTheme="minorHAnsi" w:hAnsiTheme="minorHAnsi"/>
          <w:b/>
          <w:color w:val="FF00FF"/>
          <w:sz w:val="24"/>
          <w:szCs w:val="24"/>
        </w:rPr>
        <w:t xml:space="preserve"> </w:t>
      </w:r>
    </w:p>
    <w:p w:rsidR="00150DB9" w:rsidRDefault="0031059E" w:rsidP="008E10D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122A14">
        <w:rPr>
          <w:rFonts w:asciiTheme="minorHAnsi" w:eastAsiaTheme="minorHAnsi" w:hAnsiTheme="minorHAnsi" w:cstheme="minorBidi"/>
          <w:snapToGrid/>
          <w:sz w:val="24"/>
          <w:szCs w:val="22"/>
        </w:rPr>
        <w:t xml:space="preserve"> current</w:t>
      </w:r>
      <w:r>
        <w:rPr>
          <w:rFonts w:asciiTheme="minorHAnsi" w:eastAsiaTheme="minorHAnsi" w:hAnsiTheme="minorHAnsi" w:cstheme="minorBidi"/>
          <w:snapToGrid/>
          <w:sz w:val="24"/>
          <w:szCs w:val="22"/>
        </w:rPr>
        <w:t xml:space="preserve"> initial treatment phase restriction for mepolizumab</w:t>
      </w:r>
      <w:r w:rsidR="00C75B3B">
        <w:rPr>
          <w:rFonts w:asciiTheme="minorHAnsi" w:eastAsiaTheme="minorHAnsi" w:hAnsiTheme="minorHAnsi" w:cstheme="minorBidi"/>
          <w:snapToGrid/>
          <w:sz w:val="24"/>
          <w:szCs w:val="22"/>
        </w:rPr>
        <w:t xml:space="preserve"> specifies that the ‘patient must have blood eosinophil count greater than or equal to 300 cells per microlitre in the last 6 weeks’. </w:t>
      </w:r>
      <w:r w:rsidR="001C1F0E">
        <w:rPr>
          <w:rFonts w:asciiTheme="minorHAnsi" w:eastAsiaTheme="minorHAnsi" w:hAnsiTheme="minorHAnsi" w:cstheme="minorBidi"/>
          <w:snapToGrid/>
          <w:sz w:val="24"/>
          <w:szCs w:val="22"/>
        </w:rPr>
        <w:t xml:space="preserve"> </w:t>
      </w:r>
    </w:p>
    <w:p w:rsidR="00091224" w:rsidRDefault="00091224" w:rsidP="008E10D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122A14">
        <w:rPr>
          <w:rFonts w:asciiTheme="minorHAnsi" w:eastAsiaTheme="minorHAnsi" w:hAnsiTheme="minorHAnsi" w:cstheme="minorBidi"/>
          <w:snapToGrid/>
          <w:sz w:val="24"/>
          <w:szCs w:val="22"/>
        </w:rPr>
        <w:t xml:space="preserve"> current</w:t>
      </w:r>
      <w:r>
        <w:rPr>
          <w:rFonts w:asciiTheme="minorHAnsi" w:eastAsiaTheme="minorHAnsi" w:hAnsiTheme="minorHAnsi" w:cstheme="minorBidi"/>
          <w:snapToGrid/>
          <w:sz w:val="24"/>
          <w:szCs w:val="22"/>
        </w:rPr>
        <w:t xml:space="preserve"> initial treatment phase restriction for omalizumab specifies that ‘the initial IgE assessment must be no more than 12 months old at the time of application’.</w:t>
      </w:r>
    </w:p>
    <w:p w:rsidR="00860DA8" w:rsidRDefault="008F76C4" w:rsidP="00860DA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did not propose a change in clinical place in therapy.</w:t>
      </w:r>
    </w:p>
    <w:p w:rsidR="00F23103" w:rsidRDefault="0031059E" w:rsidP="00860DA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summary of the key differences between the </w:t>
      </w:r>
      <w:r w:rsidR="003C49BC">
        <w:rPr>
          <w:rFonts w:asciiTheme="minorHAnsi" w:eastAsiaTheme="minorHAnsi" w:hAnsiTheme="minorHAnsi" w:cstheme="minorBidi"/>
          <w:snapToGrid/>
          <w:sz w:val="24"/>
          <w:szCs w:val="22"/>
        </w:rPr>
        <w:t>initial</w:t>
      </w:r>
      <w:r>
        <w:rPr>
          <w:rFonts w:asciiTheme="minorHAnsi" w:eastAsiaTheme="minorHAnsi" w:hAnsiTheme="minorHAnsi" w:cstheme="minorBidi"/>
          <w:snapToGrid/>
          <w:sz w:val="24"/>
          <w:szCs w:val="22"/>
        </w:rPr>
        <w:t xml:space="preserve"> treatment phase restrictions for mepolizumab and omalizumab are presented below in Table 1. </w:t>
      </w:r>
    </w:p>
    <w:p w:rsidR="008453F6" w:rsidRDefault="008453F6">
      <w:pPr>
        <w:rPr>
          <w:rFonts w:ascii="Arial Narrow" w:eastAsiaTheme="minorHAnsi" w:hAnsi="Arial Narrow" w:cstheme="minorBidi"/>
          <w:b/>
          <w:sz w:val="20"/>
          <w:szCs w:val="22"/>
          <w:lang w:eastAsia="en-US"/>
        </w:rPr>
      </w:pPr>
      <w:r>
        <w:br w:type="page"/>
      </w:r>
    </w:p>
    <w:p w:rsidR="00F23103" w:rsidRPr="00346FDF" w:rsidRDefault="00F23103" w:rsidP="00F23103">
      <w:pPr>
        <w:pStyle w:val="TableHeading0"/>
      </w:pPr>
      <w:r w:rsidRPr="00346FDF">
        <w:t xml:space="preserve">Table </w:t>
      </w:r>
      <w:r>
        <w:t>1</w:t>
      </w:r>
      <w:r w:rsidRPr="00346FDF">
        <w:t xml:space="preserve">: Key differences between </w:t>
      </w:r>
      <w:r>
        <w:t xml:space="preserve">the initial restrictions for mepolizumab and omalizumab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8"/>
        <w:gridCol w:w="3987"/>
        <w:gridCol w:w="3987"/>
      </w:tblGrid>
      <w:tr w:rsidR="00F23103" w:rsidRPr="00ED0F04" w:rsidTr="00391B08">
        <w:trPr>
          <w:trHeight w:val="58"/>
          <w:tblHeader/>
        </w:trPr>
        <w:tc>
          <w:tcPr>
            <w:tcW w:w="610" w:type="pct"/>
            <w:shd w:val="clear" w:color="auto" w:fill="auto"/>
          </w:tcPr>
          <w:p w:rsidR="00F23103" w:rsidRPr="005C3748" w:rsidRDefault="00F23103" w:rsidP="00F23103">
            <w:pPr>
              <w:keepNext/>
              <w:rPr>
                <w:rFonts w:ascii="Arial Narrow" w:hAnsi="Arial Narrow"/>
                <w:b/>
                <w:sz w:val="20"/>
              </w:rPr>
            </w:pPr>
            <w:r w:rsidRPr="005C3748">
              <w:rPr>
                <w:rFonts w:ascii="Arial Narrow" w:hAnsi="Arial Narrow"/>
                <w:b/>
                <w:sz w:val="20"/>
              </w:rPr>
              <w:t>Component</w:t>
            </w:r>
          </w:p>
        </w:tc>
        <w:tc>
          <w:tcPr>
            <w:tcW w:w="2195" w:type="pct"/>
            <w:shd w:val="clear" w:color="auto" w:fill="auto"/>
          </w:tcPr>
          <w:p w:rsidR="00F23103" w:rsidRPr="00ED0F04" w:rsidRDefault="00F23103" w:rsidP="00F23103">
            <w:pPr>
              <w:keepNext/>
              <w:rPr>
                <w:rFonts w:ascii="Arial Narrow" w:hAnsi="Arial Narrow"/>
                <w:b/>
                <w:sz w:val="20"/>
              </w:rPr>
            </w:pPr>
            <w:r>
              <w:rPr>
                <w:rFonts w:ascii="Arial Narrow" w:hAnsi="Arial Narrow"/>
                <w:b/>
                <w:sz w:val="20"/>
              </w:rPr>
              <w:t>Mepolizumab July 2016 (listed January 2017)</w:t>
            </w:r>
          </w:p>
        </w:tc>
        <w:tc>
          <w:tcPr>
            <w:tcW w:w="2195" w:type="pct"/>
            <w:shd w:val="clear" w:color="auto" w:fill="auto"/>
          </w:tcPr>
          <w:p w:rsidR="00F23103" w:rsidRPr="00ED0F04" w:rsidRDefault="00F23103" w:rsidP="00F23103">
            <w:pPr>
              <w:keepNext/>
              <w:rPr>
                <w:rFonts w:ascii="Arial Narrow" w:hAnsi="Arial Narrow"/>
                <w:b/>
                <w:sz w:val="20"/>
              </w:rPr>
            </w:pPr>
            <w:r>
              <w:rPr>
                <w:rFonts w:ascii="Arial Narrow" w:hAnsi="Arial Narrow"/>
                <w:b/>
                <w:sz w:val="20"/>
              </w:rPr>
              <w:t>Omalizumab July 2016 (</w:t>
            </w:r>
            <w:r w:rsidRPr="00EF42AB">
              <w:rPr>
                <w:rFonts w:ascii="Arial Narrow" w:hAnsi="Arial Narrow"/>
                <w:b/>
                <w:sz w:val="20"/>
              </w:rPr>
              <w:t>listed December 2016)</w:t>
            </w:r>
          </w:p>
        </w:tc>
      </w:tr>
      <w:tr w:rsidR="00F23103" w:rsidRPr="002922F8" w:rsidTr="00391B08">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F23103" w:rsidRPr="00C64974" w:rsidRDefault="00F23103" w:rsidP="00F23103">
            <w:pPr>
              <w:rPr>
                <w:rFonts w:ascii="Arial Narrow" w:hAnsi="Arial Narrow"/>
                <w:sz w:val="20"/>
              </w:rPr>
            </w:pPr>
            <w:r w:rsidRPr="004D47D0">
              <w:rPr>
                <w:rFonts w:ascii="Arial Narrow" w:hAnsi="Arial Narrow"/>
                <w:sz w:val="20"/>
              </w:rPr>
              <w:t>PBS indication</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4D47D0" w:rsidRDefault="00F23103" w:rsidP="00391B08">
            <w:pPr>
              <w:spacing w:before="40" w:after="40"/>
              <w:rPr>
                <w:rFonts w:ascii="Arial Narrow" w:hAnsi="Arial Narrow"/>
                <w:sz w:val="20"/>
              </w:rPr>
            </w:pPr>
            <w:r w:rsidRPr="00C87DD3">
              <w:rPr>
                <w:rFonts w:ascii="Arial Narrow" w:hAnsi="Arial Narrow"/>
                <w:sz w:val="20"/>
              </w:rPr>
              <w:t>Uncontrolled severe eosinophilic asthma</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2805D4" w:rsidRDefault="00F23103" w:rsidP="00391B08">
            <w:pPr>
              <w:spacing w:before="40" w:after="40"/>
              <w:rPr>
                <w:rFonts w:ascii="Arial Narrow" w:hAnsi="Arial Narrow" w:cs="Arial"/>
                <w:sz w:val="20"/>
                <w:szCs w:val="20"/>
              </w:rPr>
            </w:pPr>
            <w:r>
              <w:rPr>
                <w:rFonts w:ascii="Arial Narrow" w:hAnsi="Arial Narrow" w:cs="Arial"/>
                <w:sz w:val="20"/>
                <w:szCs w:val="20"/>
              </w:rPr>
              <w:t>U</w:t>
            </w:r>
            <w:r w:rsidRPr="002805D4">
              <w:rPr>
                <w:rFonts w:ascii="Arial Narrow" w:hAnsi="Arial Narrow" w:cs="Arial"/>
                <w:sz w:val="20"/>
                <w:szCs w:val="20"/>
              </w:rPr>
              <w:t>ncontrolled severe allergic asthma</w:t>
            </w:r>
          </w:p>
          <w:p w:rsidR="00F23103" w:rsidRPr="002922F8" w:rsidRDefault="00F23103" w:rsidP="00391B08">
            <w:pPr>
              <w:spacing w:before="40" w:after="40"/>
              <w:rPr>
                <w:rFonts w:ascii="Arial Narrow" w:hAnsi="Arial Narrow"/>
                <w:sz w:val="20"/>
              </w:rPr>
            </w:pPr>
          </w:p>
        </w:tc>
      </w:tr>
      <w:tr w:rsidR="006E28E1" w:rsidRPr="002922F8" w:rsidTr="006E28E1">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6E28E1" w:rsidRPr="00C64974" w:rsidRDefault="006E28E1" w:rsidP="00F23103">
            <w:pPr>
              <w:rPr>
                <w:rFonts w:ascii="Arial Narrow" w:hAnsi="Arial Narrow"/>
                <w:sz w:val="20"/>
              </w:rPr>
            </w:pPr>
            <w:r>
              <w:rPr>
                <w:rFonts w:ascii="Arial Narrow" w:hAnsi="Arial Narrow"/>
                <w:sz w:val="20"/>
              </w:rPr>
              <w:t>Program</w:t>
            </w:r>
          </w:p>
        </w:tc>
        <w:tc>
          <w:tcPr>
            <w:tcW w:w="4390" w:type="pct"/>
            <w:gridSpan w:val="2"/>
            <w:tcBorders>
              <w:top w:val="single" w:sz="4" w:space="0" w:color="auto"/>
              <w:left w:val="single" w:sz="4" w:space="0" w:color="auto"/>
              <w:bottom w:val="single" w:sz="4" w:space="0" w:color="auto"/>
              <w:right w:val="single" w:sz="4" w:space="0" w:color="auto"/>
            </w:tcBorders>
            <w:shd w:val="clear" w:color="auto" w:fill="auto"/>
          </w:tcPr>
          <w:p w:rsidR="006E28E1" w:rsidRPr="00C75B3B" w:rsidRDefault="006E28E1" w:rsidP="00391B08">
            <w:pPr>
              <w:widowControl w:val="0"/>
              <w:spacing w:before="40" w:after="40"/>
              <w:jc w:val="center"/>
              <w:rPr>
                <w:rFonts w:ascii="Arial Narrow" w:hAnsi="Arial Narrow" w:cs="Arial"/>
                <w:sz w:val="20"/>
                <w:szCs w:val="20"/>
              </w:rPr>
            </w:pPr>
            <w:r>
              <w:rPr>
                <w:rFonts w:ascii="Arial Narrow" w:hAnsi="Arial Narrow" w:cs="Arial"/>
                <w:sz w:val="20"/>
                <w:szCs w:val="20"/>
              </w:rPr>
              <w:t>Section 100 (Highly Specialised Drug (HSD)</w:t>
            </w:r>
            <w:r w:rsidRPr="002805D4">
              <w:rPr>
                <w:rFonts w:ascii="Arial Narrow" w:hAnsi="Arial Narrow" w:cs="Arial"/>
                <w:sz w:val="20"/>
                <w:szCs w:val="20"/>
              </w:rPr>
              <w:t xml:space="preserve"> Program</w:t>
            </w:r>
            <w:r>
              <w:rPr>
                <w:rFonts w:ascii="Arial Narrow" w:hAnsi="Arial Narrow" w:cs="Arial"/>
                <w:sz w:val="20"/>
                <w:szCs w:val="20"/>
              </w:rPr>
              <w:t xml:space="preserve">), </w:t>
            </w:r>
            <w:r>
              <w:rPr>
                <w:rFonts w:ascii="Arial Narrow" w:hAnsi="Arial Narrow"/>
                <w:sz w:val="20"/>
              </w:rPr>
              <w:t>authority required in writing</w:t>
            </w:r>
          </w:p>
        </w:tc>
      </w:tr>
      <w:tr w:rsidR="006E28E1" w:rsidRPr="002922F8" w:rsidTr="006E28E1">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6E28E1" w:rsidRPr="00C64974" w:rsidRDefault="006E28E1" w:rsidP="00F23103">
            <w:pPr>
              <w:rPr>
                <w:rFonts w:ascii="Arial Narrow" w:hAnsi="Arial Narrow"/>
                <w:sz w:val="20"/>
              </w:rPr>
            </w:pPr>
            <w:r w:rsidRPr="004D47D0">
              <w:rPr>
                <w:rFonts w:ascii="Arial Narrow" w:hAnsi="Arial Narrow"/>
                <w:sz w:val="20"/>
              </w:rPr>
              <w:t>Treatment criteria</w:t>
            </w:r>
          </w:p>
        </w:tc>
        <w:tc>
          <w:tcPr>
            <w:tcW w:w="4390" w:type="pct"/>
            <w:gridSpan w:val="2"/>
            <w:tcBorders>
              <w:top w:val="single" w:sz="4" w:space="0" w:color="auto"/>
              <w:left w:val="single" w:sz="4" w:space="0" w:color="auto"/>
              <w:bottom w:val="single" w:sz="4" w:space="0" w:color="auto"/>
              <w:right w:val="single" w:sz="4" w:space="0" w:color="auto"/>
            </w:tcBorders>
            <w:shd w:val="clear" w:color="auto" w:fill="auto"/>
          </w:tcPr>
          <w:p w:rsidR="006E28E1" w:rsidRPr="002922F8" w:rsidRDefault="006E28E1" w:rsidP="00391B08">
            <w:pPr>
              <w:spacing w:before="40" w:after="40"/>
              <w:jc w:val="center"/>
              <w:rPr>
                <w:rFonts w:ascii="Arial Narrow" w:hAnsi="Arial Narrow"/>
                <w:sz w:val="20"/>
              </w:rPr>
            </w:pPr>
            <w:r w:rsidRPr="007845A4">
              <w:rPr>
                <w:rFonts w:ascii="Arial Narrow" w:hAnsi="Arial Narrow"/>
                <w:sz w:val="20"/>
              </w:rPr>
              <w:t>Must be treated by a respiratory physician, clinical immunologist, allergist or general physician experienced in the management of patients with severe asthma.</w:t>
            </w:r>
          </w:p>
        </w:tc>
      </w:tr>
      <w:tr w:rsidR="00F23103" w:rsidRPr="002922F8" w:rsidTr="00391B08">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F23103" w:rsidRPr="00C64974" w:rsidRDefault="00F23103" w:rsidP="00F23103">
            <w:pPr>
              <w:rPr>
                <w:rFonts w:ascii="Arial Narrow" w:hAnsi="Arial Narrow"/>
                <w:sz w:val="20"/>
              </w:rPr>
            </w:pPr>
            <w:r w:rsidRPr="004D47D0">
              <w:rPr>
                <w:rFonts w:ascii="Arial Narrow" w:hAnsi="Arial Narrow"/>
                <w:sz w:val="20"/>
              </w:rPr>
              <w:t>Clinical criteria</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25300C" w:rsidRDefault="00F23103" w:rsidP="00391B08">
            <w:pPr>
              <w:spacing w:before="40" w:after="40"/>
              <w:rPr>
                <w:rFonts w:ascii="Arial Narrow" w:hAnsi="Arial Narrow"/>
                <w:sz w:val="20"/>
              </w:rPr>
            </w:pPr>
            <w:r w:rsidRPr="0025300C">
              <w:rPr>
                <w:rFonts w:ascii="Arial Narrow" w:hAnsi="Arial Narrow"/>
                <w:sz w:val="20"/>
              </w:rPr>
              <w:t>Patient must be under the care of the same physician for at least 12 months,</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Patient must have a duration of asthma of at least 1 year,</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Patient must have forced expiratory volume (FEV1) less than or equal to 80% predicted, documented on 1 or more occasions in the previous 12 months,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9D19C9" w:rsidRDefault="00F23103" w:rsidP="00391B08">
            <w:pPr>
              <w:spacing w:before="40" w:after="40"/>
              <w:rPr>
                <w:rFonts w:ascii="Arial Narrow" w:hAnsi="Arial Narrow"/>
                <w:b/>
                <w:sz w:val="20"/>
              </w:rPr>
            </w:pPr>
            <w:r w:rsidRPr="00391B08">
              <w:rPr>
                <w:rFonts w:ascii="Arial Narrow" w:hAnsi="Arial Narrow"/>
                <w:b/>
                <w:sz w:val="20"/>
              </w:rPr>
              <w:t>Patient must have blood eosinophil count greater than or equal to 300 cells per microlitre in the last 6 weeks,</w:t>
            </w:r>
            <w:r w:rsidRPr="009D19C9">
              <w:rPr>
                <w:rFonts w:ascii="Arial Narrow" w:hAnsi="Arial Narrow"/>
                <w:b/>
                <w:sz w:val="20"/>
              </w:rPr>
              <w:t xml:space="preserve">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The treatment must not be used in combination with, or within 6 months of treatment with, PBS-subsidised omalizumab. </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7845A4" w:rsidRDefault="00F23103" w:rsidP="00391B08">
            <w:pPr>
              <w:spacing w:before="40" w:after="40"/>
              <w:rPr>
                <w:rFonts w:ascii="Arial Narrow" w:hAnsi="Arial Narrow"/>
                <w:sz w:val="20"/>
              </w:rPr>
            </w:pPr>
            <w:r w:rsidRPr="007845A4">
              <w:rPr>
                <w:rFonts w:ascii="Arial Narrow" w:hAnsi="Arial Narrow"/>
                <w:sz w:val="20"/>
              </w:rPr>
              <w:t>Patient must be under the care of the same physician for at least 12 months,</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F23103" w:rsidRPr="007845A4" w:rsidRDefault="00F23103" w:rsidP="00391B08">
            <w:pPr>
              <w:spacing w:before="40" w:after="40"/>
              <w:rPr>
                <w:rFonts w:ascii="Arial Narrow" w:hAnsi="Arial Narrow"/>
                <w:sz w:val="20"/>
              </w:rPr>
            </w:pPr>
            <w:r w:rsidRPr="007845A4">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Patient must have a duration of asthma of at least 1 year,</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Patient must have forced expiratory volume (FEV1) less than or equal to 80% predicted, documented on 1 or more occasions in the previous 12 months, </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Patient must have past or current evidence of atopy, documented by skin prick testing or RAST, </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Patient must have total serum human immunoglobulin E greater than or equal to 30 IU/mL,</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Patient must not receive more than 28 weeks of treatment under this restriction,</w:t>
            </w:r>
          </w:p>
          <w:p w:rsidR="00F23103" w:rsidRPr="007845A4" w:rsidRDefault="00F23103" w:rsidP="00391B08">
            <w:pPr>
              <w:spacing w:before="40" w:after="40"/>
              <w:rPr>
                <w:rFonts w:ascii="Arial Narrow" w:hAnsi="Arial Narrow"/>
                <w:sz w:val="20"/>
              </w:rPr>
            </w:pPr>
            <w:r>
              <w:rPr>
                <w:rFonts w:ascii="Arial Narrow" w:hAnsi="Arial Narrow"/>
                <w:sz w:val="20"/>
              </w:rPr>
              <w:t>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The treatment must not be used in combination with, or within 6 months of treatment with, PBS-subsidised mepolizumab. </w:t>
            </w:r>
          </w:p>
        </w:tc>
      </w:tr>
      <w:tr w:rsidR="00A05977" w:rsidRPr="002922F8" w:rsidTr="00A05977">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A05977" w:rsidRPr="00C64974" w:rsidRDefault="00A05977" w:rsidP="00F23103">
            <w:pPr>
              <w:rPr>
                <w:rFonts w:ascii="Arial Narrow" w:hAnsi="Arial Narrow"/>
                <w:sz w:val="20"/>
              </w:rPr>
            </w:pPr>
            <w:r w:rsidRPr="004D47D0">
              <w:rPr>
                <w:rFonts w:ascii="Arial Narrow" w:hAnsi="Arial Narrow"/>
                <w:sz w:val="20"/>
              </w:rPr>
              <w:t>Population criteria</w:t>
            </w:r>
          </w:p>
        </w:tc>
        <w:tc>
          <w:tcPr>
            <w:tcW w:w="4390" w:type="pct"/>
            <w:gridSpan w:val="2"/>
            <w:tcBorders>
              <w:top w:val="single" w:sz="4" w:space="0" w:color="auto"/>
              <w:left w:val="single" w:sz="4" w:space="0" w:color="auto"/>
              <w:bottom w:val="single" w:sz="4" w:space="0" w:color="auto"/>
              <w:right w:val="single" w:sz="4" w:space="0" w:color="auto"/>
            </w:tcBorders>
            <w:shd w:val="clear" w:color="auto" w:fill="auto"/>
          </w:tcPr>
          <w:p w:rsidR="00A05977" w:rsidRPr="002922F8" w:rsidRDefault="00A05977" w:rsidP="00391B08">
            <w:pPr>
              <w:spacing w:before="40" w:after="40"/>
              <w:jc w:val="center"/>
              <w:rPr>
                <w:rFonts w:ascii="Arial Narrow" w:hAnsi="Arial Narrow"/>
                <w:sz w:val="20"/>
              </w:rPr>
            </w:pPr>
            <w:r w:rsidRPr="007845A4">
              <w:rPr>
                <w:rFonts w:ascii="Arial Narrow" w:hAnsi="Arial Narrow"/>
                <w:sz w:val="20"/>
              </w:rPr>
              <w:t>Patient must be aged 12 years or older.</w:t>
            </w:r>
          </w:p>
        </w:tc>
      </w:tr>
      <w:tr w:rsidR="00F23103" w:rsidTr="00391B08">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F23103" w:rsidRPr="00C64974" w:rsidRDefault="00F23103" w:rsidP="00F23103">
            <w:pPr>
              <w:rPr>
                <w:rFonts w:ascii="Arial Narrow" w:hAnsi="Arial Narrow"/>
                <w:sz w:val="20"/>
              </w:rPr>
            </w:pPr>
            <w:r w:rsidRPr="004D47D0">
              <w:rPr>
                <w:rFonts w:ascii="Arial Narrow" w:hAnsi="Arial Narrow"/>
                <w:sz w:val="20"/>
              </w:rPr>
              <w:t>Prescriber instructions</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25300C" w:rsidRDefault="00F23103" w:rsidP="00391B08">
            <w:pPr>
              <w:spacing w:before="40" w:after="40"/>
              <w:rPr>
                <w:rFonts w:ascii="Arial Narrow" w:hAnsi="Arial Narrow"/>
                <w:sz w:val="20"/>
              </w:rPr>
            </w:pPr>
            <w:r w:rsidRPr="0025300C">
              <w:rPr>
                <w:rFonts w:ascii="Arial Narrow" w:hAnsi="Arial Narrow"/>
                <w:sz w:val="20"/>
              </w:rPr>
              <w:t>Optimised asthma therapy includes:</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(i) Adherence to maximal inhaled therapy, including high dose inhaled corticosteroid (ICS) plus long-acting beta-2 agonist (LABA) therapy for at least 12 months, unless contraindicated or not tolerated; </w:t>
            </w:r>
          </w:p>
          <w:p w:rsidR="00F23103" w:rsidRPr="0025300C" w:rsidRDefault="00F23103" w:rsidP="00391B08">
            <w:pPr>
              <w:spacing w:before="40" w:after="40"/>
              <w:rPr>
                <w:rFonts w:ascii="Arial Narrow" w:hAnsi="Arial Narrow"/>
                <w:sz w:val="20"/>
              </w:rPr>
            </w:pPr>
            <w:r w:rsidRPr="0025300C">
              <w:rPr>
                <w:rFonts w:ascii="Arial Narrow" w:hAnsi="Arial Narrow"/>
                <w:sz w:val="20"/>
              </w:rPr>
              <w:t>AND</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(ii) treatment with oral corticosteroids, either daily oral corticosteroids for at least 6 weeks, OR a cumulative dose of oral corticosteroids of at least 500 mg prednisolone equivalent in the previous 12 months, unless contraindicated or not tolerated. </w:t>
            </w:r>
          </w:p>
          <w:p w:rsidR="00F23103" w:rsidRPr="0025300C" w:rsidRDefault="00F23103" w:rsidP="00391B08">
            <w:pPr>
              <w:spacing w:before="40" w:after="40"/>
              <w:rPr>
                <w:rFonts w:ascii="Arial Narrow" w:hAnsi="Arial Narrow"/>
                <w:sz w:val="20"/>
              </w:rPr>
            </w:pP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w:t>
            </w:r>
          </w:p>
          <w:p w:rsidR="00F23103" w:rsidRPr="0025300C" w:rsidRDefault="00F23103" w:rsidP="00391B08">
            <w:pPr>
              <w:spacing w:before="40" w:after="40"/>
              <w:rPr>
                <w:rFonts w:ascii="Arial Narrow" w:hAnsi="Arial Narrow"/>
                <w:sz w:val="20"/>
              </w:rPr>
            </w:pP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The following initiation criteria indicate failure to achieve adequate control and must be demonstrated in all patients at the time of the application: </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(a) an Asthma Control Questionnaire (ACQ-5) score of at least 2.0, as assessed in the previous month, AND </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 </w:t>
            </w:r>
          </w:p>
          <w:p w:rsidR="00F23103" w:rsidRPr="0025300C"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The Asthma Control Questionnaire (5 item version) assessment of the patient must be made at time of application for treatment (to establish baseline score) and again around 26 to 30 weeks after the first dose so that there is adequate time for a response to be demonstrated and for the application for continuing therapy to be processed. </w:t>
            </w:r>
          </w:p>
          <w:p w:rsidR="00F23103" w:rsidRPr="0025300C"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This assessment at around 26 to 30 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mepolizumab. </w:t>
            </w:r>
          </w:p>
          <w:p w:rsidR="00F23103" w:rsidRPr="0025300C" w:rsidRDefault="00F23103" w:rsidP="00391B08">
            <w:pPr>
              <w:spacing w:before="40" w:after="40"/>
              <w:rPr>
                <w:rFonts w:ascii="Arial Narrow" w:hAnsi="Arial Narrow"/>
                <w:sz w:val="20"/>
              </w:rPr>
            </w:pP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A patient who fails to respond to a course of PBS-subsidised mepolizumab for the treatment of uncontrolled severe eosinophilic asthma will not be eligible to receive further PBS-subsidised treatment with mepolizumab or omalizumab within 6 months of the date on which treatment was ceased. </w:t>
            </w:r>
          </w:p>
          <w:p w:rsidR="00F23103" w:rsidRPr="0025300C"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At the time of the authority application, medical practitioners should request 7 repeats to provide for an initial course of mepolizumab sufficient for 32 weeks of therapy. </w:t>
            </w:r>
          </w:p>
          <w:p w:rsidR="00F23103" w:rsidRPr="0025300C"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Mepolizumab and omalizumab may not be used concurrently or within 6 months of each other. A patient is required to have ceased treatment with omalizumab for 6 months prior to initiating treatment with mepolizumab. </w:t>
            </w:r>
          </w:p>
          <w:p w:rsidR="00F23103" w:rsidRPr="0025300C" w:rsidRDefault="00F23103" w:rsidP="00391B08">
            <w:pPr>
              <w:spacing w:before="40" w:after="40"/>
              <w:rPr>
                <w:rFonts w:ascii="Arial Narrow" w:hAnsi="Arial Narrow"/>
                <w:sz w:val="20"/>
              </w:rPr>
            </w:pPr>
          </w:p>
          <w:p w:rsidR="00F23103" w:rsidRPr="0025300C" w:rsidRDefault="00F23103" w:rsidP="00391B08">
            <w:pPr>
              <w:spacing w:before="40" w:after="40"/>
              <w:rPr>
                <w:rFonts w:ascii="Arial Narrow" w:hAnsi="Arial Narrow"/>
                <w:sz w:val="20"/>
              </w:rPr>
            </w:pPr>
            <w:r w:rsidRPr="0025300C">
              <w:rPr>
                <w:rFonts w:ascii="Arial Narrow" w:hAnsi="Arial Narrow"/>
                <w:sz w:val="20"/>
              </w:rPr>
              <w:t>The authority application must be made in writing and must include:</w:t>
            </w:r>
          </w:p>
          <w:p w:rsidR="00F23103" w:rsidRPr="0025300C" w:rsidRDefault="00F23103" w:rsidP="00391B08">
            <w:pPr>
              <w:spacing w:before="40" w:after="40"/>
              <w:rPr>
                <w:rFonts w:ascii="Arial Narrow" w:hAnsi="Arial Narrow"/>
                <w:sz w:val="20"/>
              </w:rPr>
            </w:pPr>
            <w:r w:rsidRPr="0025300C">
              <w:rPr>
                <w:rFonts w:ascii="Arial Narrow" w:hAnsi="Arial Narrow"/>
                <w:sz w:val="20"/>
              </w:rPr>
              <w:t>(a) a completed authority prescription form; 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(b) a completed Severe Eosinophilic Asthma Initial PBS Authority Application - Supporting Information Form, </w:t>
            </w:r>
          </w:p>
          <w:p w:rsidR="00F23103" w:rsidRPr="0025300C" w:rsidRDefault="00F23103" w:rsidP="00391B08">
            <w:pPr>
              <w:spacing w:before="40" w:after="40"/>
              <w:rPr>
                <w:rFonts w:ascii="Arial Narrow" w:hAnsi="Arial Narrow"/>
                <w:sz w:val="20"/>
              </w:rPr>
            </w:pPr>
            <w:r w:rsidRPr="0025300C">
              <w:rPr>
                <w:rFonts w:ascii="Arial Narrow" w:hAnsi="Arial Narrow"/>
                <w:sz w:val="20"/>
              </w:rPr>
              <w:t>which includes the following:</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(i) details of prior optimised asthma drug therapy (date of commencement and duration of therapy); and </w:t>
            </w:r>
          </w:p>
          <w:p w:rsidR="00F23103" w:rsidRPr="0025300C" w:rsidRDefault="00F23103" w:rsidP="00391B08">
            <w:pPr>
              <w:spacing w:before="40" w:after="40"/>
              <w:rPr>
                <w:rFonts w:ascii="Arial Narrow" w:hAnsi="Arial Narrow"/>
                <w:sz w:val="20"/>
              </w:rPr>
            </w:pPr>
            <w:r w:rsidRPr="0025300C">
              <w:rPr>
                <w:rFonts w:ascii="Arial Narrow" w:hAnsi="Arial Narrow"/>
                <w:sz w:val="20"/>
              </w:rPr>
              <w:t xml:space="preserve">(ii) details of severe exacerbation/s experienced in the past 12 months while receiving optimised asthma therapy (date and treatment); and </w:t>
            </w:r>
          </w:p>
          <w:p w:rsidR="00F23103" w:rsidRPr="0025300C" w:rsidRDefault="00F23103" w:rsidP="00391B08">
            <w:pPr>
              <w:spacing w:before="40" w:after="40"/>
              <w:rPr>
                <w:rFonts w:ascii="Arial Narrow" w:hAnsi="Arial Narrow"/>
                <w:sz w:val="20"/>
              </w:rPr>
            </w:pPr>
            <w:r w:rsidRPr="0025300C">
              <w:rPr>
                <w:rFonts w:ascii="Arial Narrow" w:hAnsi="Arial Narrow"/>
                <w:sz w:val="20"/>
              </w:rPr>
              <w:t>(iii) the signed patient or parent/guardian acknowledgement; and</w:t>
            </w:r>
          </w:p>
          <w:p w:rsidR="00F23103" w:rsidRPr="0025300C" w:rsidRDefault="00F23103" w:rsidP="00391B08">
            <w:pPr>
              <w:spacing w:before="40" w:after="40"/>
              <w:rPr>
                <w:rFonts w:ascii="Arial Narrow" w:hAnsi="Arial Narrow"/>
                <w:sz w:val="20"/>
              </w:rPr>
            </w:pPr>
            <w:r w:rsidRPr="00391B08">
              <w:rPr>
                <w:rFonts w:ascii="Arial Narrow" w:hAnsi="Arial Narrow"/>
                <w:b/>
                <w:sz w:val="20"/>
              </w:rPr>
              <w:t>(c) a copy of the eosinophil pathology report</w:t>
            </w:r>
            <w:r w:rsidRPr="0025300C">
              <w:rPr>
                <w:rFonts w:ascii="Arial Narrow" w:hAnsi="Arial Narrow"/>
                <w:sz w:val="20"/>
              </w:rPr>
              <w:t>; and</w:t>
            </w:r>
          </w:p>
          <w:p w:rsidR="00F23103" w:rsidRPr="004D47D0" w:rsidRDefault="00F23103" w:rsidP="00391B08">
            <w:pPr>
              <w:spacing w:before="40" w:after="40"/>
              <w:rPr>
                <w:rFonts w:ascii="Arial Narrow" w:hAnsi="Arial Narrow"/>
                <w:sz w:val="20"/>
              </w:rPr>
            </w:pPr>
            <w:r w:rsidRPr="0025300C">
              <w:rPr>
                <w:rFonts w:ascii="Arial Narrow" w:hAnsi="Arial Narrow"/>
                <w:sz w:val="20"/>
              </w:rPr>
              <w:t>(d) a completed Asthma Control Questionnaire (ACQ-5) calculation sheet including the date of assessment of the patient's symptoms.</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7845A4" w:rsidRDefault="00F23103" w:rsidP="00391B08">
            <w:pPr>
              <w:spacing w:before="40" w:after="40"/>
              <w:rPr>
                <w:rFonts w:ascii="Arial Narrow" w:hAnsi="Arial Narrow"/>
                <w:sz w:val="20"/>
              </w:rPr>
            </w:pPr>
            <w:r w:rsidRPr="007845A4">
              <w:rPr>
                <w:rFonts w:ascii="Arial Narrow" w:hAnsi="Arial Narrow"/>
                <w:sz w:val="20"/>
              </w:rPr>
              <w:t>Optimised asthma therapy includes:</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 Adherence to maximal inhaled therapy, including high dose inhaled corticosteroid (ICS) plus long-acting beta-2 agonist (LABA) therapy for at least 12 months, unless contraindicated or not tolerated; </w:t>
            </w:r>
          </w:p>
          <w:p w:rsidR="00F23103" w:rsidRPr="007845A4" w:rsidRDefault="00F23103" w:rsidP="00391B08">
            <w:pPr>
              <w:spacing w:before="40" w:after="40"/>
              <w:rPr>
                <w:rFonts w:ascii="Arial Narrow" w:hAnsi="Arial Narrow"/>
                <w:sz w:val="20"/>
              </w:rPr>
            </w:pPr>
            <w:r w:rsidRPr="007845A4">
              <w:rPr>
                <w:rFonts w:ascii="Arial Narrow" w:hAnsi="Arial Narrow"/>
                <w:sz w:val="20"/>
              </w:rPr>
              <w:t>AND</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(ii) treatment with oral corticosteroids, either daily oral corticosteroids for at least 6 weeks, OR a cumulative dose of oral corticosteroids of at least 500 mg prednisolone equivalent in the previous 12 months, unless contraindicated or not tolerated.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w:t>
            </w:r>
          </w:p>
          <w:p w:rsidR="00F23103" w:rsidRPr="007845A4" w:rsidRDefault="00F23103" w:rsidP="00391B08">
            <w:pPr>
              <w:spacing w:before="40" w:after="40"/>
              <w:rPr>
                <w:rFonts w:ascii="Arial Narrow" w:hAnsi="Arial Narrow"/>
                <w:sz w:val="20"/>
              </w:rPr>
            </w:pPr>
          </w:p>
          <w:p w:rsidR="00F23103" w:rsidRPr="009D19C9" w:rsidRDefault="00F23103" w:rsidP="00391B08">
            <w:pPr>
              <w:spacing w:before="40" w:after="40"/>
              <w:rPr>
                <w:rFonts w:ascii="Arial Narrow" w:hAnsi="Arial Narrow"/>
                <w:b/>
                <w:sz w:val="20"/>
              </w:rPr>
            </w:pPr>
            <w:r w:rsidRPr="00D03D64">
              <w:rPr>
                <w:rFonts w:ascii="Arial Narrow" w:hAnsi="Arial Narrow"/>
                <w:b/>
                <w:sz w:val="20"/>
              </w:rPr>
              <w:t>The initial IgE assessment must be no more than 12 months old at the time of application.</w:t>
            </w:r>
          </w:p>
          <w:p w:rsidR="00D03D64" w:rsidRDefault="00D03D64"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The following initiation criteria indicate failure to achieve adequate control and must be demonstrated in all patients at the time of the application: </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(a) an Asthma Control Questionnaire (ACQ-5) score of at least 2.0, as assessed in the previous month, AND </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The Asthma Control Questionnaire (5 item version) assessment of the patient's response to this initial course of treatment, and the assessment of oral corticosteroid dose, must be made at around 22 to 26 weeks after the first dose so that there is adequate time for a response to be demonstrated and for the application for continuing therapy to be processed.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omalizumab.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A patient who fails to respond to a course of PBS-subsidised omalizumab for the treatment of uncontrolled severe allergic asthma will not be eligible to receive further PBS-subsidised treatment with omalizumab or mepolizumab for this condition within 6 months of the date on which treatment was ceased.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The authority application must be made in writing and must include:</w:t>
            </w:r>
          </w:p>
          <w:p w:rsidR="00F23103" w:rsidRPr="007845A4" w:rsidRDefault="00F23103" w:rsidP="00391B08">
            <w:pPr>
              <w:spacing w:before="40" w:after="40"/>
              <w:rPr>
                <w:rFonts w:ascii="Arial Narrow" w:hAnsi="Arial Narrow"/>
                <w:sz w:val="20"/>
              </w:rPr>
            </w:pPr>
            <w:r w:rsidRPr="007845A4">
              <w:rPr>
                <w:rFonts w:ascii="Arial Narrow" w:hAnsi="Arial Narrow"/>
                <w:sz w:val="20"/>
              </w:rPr>
              <w:t>(a) a completed authority prescription form; and</w:t>
            </w: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(b) a completed Severe Allergic Asthma PBS Authority Application - Supporting Information Form, </w:t>
            </w:r>
          </w:p>
          <w:p w:rsidR="00F23103" w:rsidRPr="00562C69" w:rsidRDefault="00F23103" w:rsidP="00391B08">
            <w:pPr>
              <w:spacing w:before="40" w:after="40"/>
              <w:rPr>
                <w:rFonts w:ascii="Arial Narrow" w:hAnsi="Arial Narrow"/>
                <w:sz w:val="20"/>
              </w:rPr>
            </w:pPr>
            <w:r w:rsidRPr="00562C69">
              <w:rPr>
                <w:rFonts w:ascii="Arial Narrow" w:hAnsi="Arial Narrow"/>
                <w:sz w:val="20"/>
              </w:rPr>
              <w:t>which includes the following:</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 details of prior optimised asthma drug therapy (date of commencement and duration of therapy); and </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(ii) details of severe exacerbation/s experienced in the past 12 months while receiving optimised asthma therapy (date and treatment); and </w:t>
            </w:r>
          </w:p>
          <w:p w:rsidR="00F23103" w:rsidRPr="007845A4" w:rsidRDefault="00F23103" w:rsidP="00391B08">
            <w:pPr>
              <w:spacing w:before="40" w:after="40"/>
              <w:rPr>
                <w:rFonts w:ascii="Arial Narrow" w:hAnsi="Arial Narrow"/>
                <w:sz w:val="20"/>
              </w:rPr>
            </w:pPr>
            <w:r w:rsidRPr="007845A4">
              <w:rPr>
                <w:rFonts w:ascii="Arial Narrow" w:hAnsi="Arial Narrow"/>
                <w:sz w:val="20"/>
              </w:rPr>
              <w:t>(iii) the signed patient or parent/guardian acknowledgement; and</w:t>
            </w:r>
          </w:p>
          <w:p w:rsidR="00F23103" w:rsidRPr="007845A4" w:rsidRDefault="00F23103" w:rsidP="00391B08">
            <w:pPr>
              <w:spacing w:before="40" w:after="40"/>
              <w:rPr>
                <w:rFonts w:ascii="Arial Narrow" w:hAnsi="Arial Narrow"/>
                <w:sz w:val="20"/>
              </w:rPr>
            </w:pPr>
            <w:r w:rsidRPr="00391B08">
              <w:rPr>
                <w:rFonts w:ascii="Arial Narrow" w:hAnsi="Arial Narrow"/>
                <w:b/>
                <w:sz w:val="20"/>
              </w:rPr>
              <w:t>(c) the IgE pathology report</w:t>
            </w:r>
            <w:r w:rsidRPr="007845A4">
              <w:rPr>
                <w:rFonts w:ascii="Arial Narrow" w:hAnsi="Arial Narrow"/>
                <w:sz w:val="20"/>
              </w:rPr>
              <w:t>; and</w:t>
            </w:r>
          </w:p>
          <w:p w:rsidR="00F23103" w:rsidRDefault="00F23103" w:rsidP="00391B08">
            <w:pPr>
              <w:spacing w:before="40" w:after="40"/>
              <w:rPr>
                <w:rFonts w:ascii="Arial Narrow" w:hAnsi="Arial Narrow"/>
                <w:sz w:val="20"/>
              </w:rPr>
            </w:pPr>
            <w:r w:rsidRPr="007845A4">
              <w:rPr>
                <w:rFonts w:ascii="Arial Narrow" w:hAnsi="Arial Narrow"/>
                <w:sz w:val="20"/>
              </w:rPr>
              <w:t>(d) a completed Asthma Control Questionnaire (ACQ-5) calculation sheet including the date of assessment of the patient's symptoms.</w:t>
            </w:r>
          </w:p>
        </w:tc>
      </w:tr>
      <w:tr w:rsidR="00F23103" w:rsidTr="00391B08">
        <w:trPr>
          <w:trHeight w:val="70"/>
        </w:trPr>
        <w:tc>
          <w:tcPr>
            <w:tcW w:w="610" w:type="pct"/>
            <w:tcBorders>
              <w:top w:val="single" w:sz="4" w:space="0" w:color="auto"/>
              <w:left w:val="single" w:sz="4" w:space="0" w:color="auto"/>
              <w:bottom w:val="single" w:sz="4" w:space="0" w:color="auto"/>
              <w:right w:val="single" w:sz="4" w:space="0" w:color="auto"/>
            </w:tcBorders>
            <w:shd w:val="clear" w:color="auto" w:fill="auto"/>
          </w:tcPr>
          <w:p w:rsidR="00F23103" w:rsidRPr="004D47D0" w:rsidRDefault="00F23103" w:rsidP="00F23103">
            <w:pPr>
              <w:rPr>
                <w:rFonts w:ascii="Arial Narrow" w:hAnsi="Arial Narrow"/>
                <w:sz w:val="20"/>
              </w:rPr>
            </w:pPr>
            <w:r>
              <w:rPr>
                <w:rFonts w:ascii="Arial Narrow" w:hAnsi="Arial Narrow"/>
                <w:sz w:val="20"/>
              </w:rPr>
              <w:t>Administrative advice</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Pr="00C87DD3" w:rsidRDefault="00F23103" w:rsidP="00391B08">
            <w:pPr>
              <w:pStyle w:val="TableBodyText"/>
              <w:contextualSpacing/>
              <w:rPr>
                <w:rStyle w:val="TableText0"/>
                <w:rFonts w:ascii="Arial Narrow" w:eastAsiaTheme="majorEastAsia" w:hAnsi="Arial Narrow"/>
                <w:szCs w:val="24"/>
                <w:highlight w:val="yellow"/>
                <w:lang w:val="en-AU" w:eastAsia="en-AU"/>
              </w:rPr>
            </w:pPr>
            <w:r w:rsidRPr="007E2C2C">
              <w:rPr>
                <w:rStyle w:val="TableText0"/>
                <w:rFonts w:ascii="Arial Narrow" w:eastAsiaTheme="majorEastAsia" w:hAnsi="Arial Narrow"/>
              </w:rPr>
              <w:t>The Department of Human Services website (www.humanservices.gov.au) has details of the accepted toxicities, including severity, which will be accepted for the purposes of exempting a patient from the requirement of treatment with optimised asthma therapy.</w:t>
            </w:r>
          </w:p>
          <w:p w:rsidR="00F23103" w:rsidRDefault="00F23103" w:rsidP="00391B08">
            <w:pPr>
              <w:pStyle w:val="TableBodyText"/>
              <w:contextualSpacing/>
              <w:rPr>
                <w:rStyle w:val="TableText0"/>
                <w:rFonts w:ascii="Arial Narrow" w:eastAsiaTheme="majorEastAsia" w:hAnsi="Arial Narrow"/>
                <w:szCs w:val="24"/>
                <w:highlight w:val="yellow"/>
                <w:lang w:val="en-AU" w:eastAsia="en-AU"/>
              </w:rPr>
            </w:pPr>
          </w:p>
          <w:p w:rsidR="00F23103" w:rsidRPr="00391B08" w:rsidRDefault="00F23103" w:rsidP="00391B08">
            <w:pPr>
              <w:pStyle w:val="TableBodyText"/>
              <w:contextualSpacing/>
              <w:rPr>
                <w:rStyle w:val="TableText0"/>
                <w:rFonts w:ascii="Arial Narrow" w:eastAsiaTheme="majorEastAsia" w:hAnsi="Arial Narrow"/>
                <w:b/>
              </w:rPr>
            </w:pPr>
            <w:r w:rsidRPr="00391B08">
              <w:rPr>
                <w:rStyle w:val="TableText0"/>
                <w:rFonts w:ascii="Arial Narrow" w:eastAsiaTheme="majorEastAsia" w:hAnsi="Arial Narrow"/>
                <w:b/>
              </w:rPr>
              <w:t xml:space="preserve">For copies of the ACQ, please contact GlaxoSmithKline Medical Information on 1800 033 109. </w:t>
            </w:r>
          </w:p>
          <w:p w:rsidR="00F23103" w:rsidRDefault="00F23103" w:rsidP="00391B08">
            <w:pPr>
              <w:pStyle w:val="TableBodyText"/>
              <w:contextualSpacing/>
              <w:rPr>
                <w:rStyle w:val="TableText0"/>
                <w:rFonts w:ascii="Arial Narrow" w:eastAsiaTheme="majorEastAsia" w:hAnsi="Arial Narrow"/>
                <w:highlight w:val="yellow"/>
              </w:rPr>
            </w:pPr>
          </w:p>
          <w:p w:rsidR="00F23103"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 xml:space="preserve">It is recommended that an application for continuing treatment is submitted at the time of the 26 to 30 week assessment, to ensure continuity of treatment for those patients who meet the continuation </w:t>
            </w:r>
            <w:r>
              <w:rPr>
                <w:rStyle w:val="TableText0"/>
                <w:rFonts w:ascii="Arial Narrow" w:eastAsiaTheme="majorEastAsia" w:hAnsi="Arial Narrow"/>
              </w:rPr>
              <w:t>criteria</w:t>
            </w:r>
            <w:r w:rsidRPr="007E2C2C">
              <w:rPr>
                <w:rStyle w:val="TableText0"/>
                <w:rFonts w:ascii="Arial Narrow" w:eastAsiaTheme="majorEastAsia" w:hAnsi="Arial Narrow"/>
              </w:rPr>
              <w:t xml:space="preserve"> for PBS-subsidised mepolizumab treatment.</w:t>
            </w:r>
          </w:p>
          <w:p w:rsidR="00F23103" w:rsidRDefault="00F23103" w:rsidP="00391B08">
            <w:pPr>
              <w:pStyle w:val="TableBodyText"/>
              <w:contextualSpacing/>
              <w:rPr>
                <w:rStyle w:val="TableText0"/>
                <w:rFonts w:ascii="Arial Narrow" w:eastAsiaTheme="majorEastAsia" w:hAnsi="Arial Narrow"/>
              </w:rPr>
            </w:pPr>
          </w:p>
          <w:p w:rsidR="00F23103"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Any queries concerning the arrangements to prescribe may be directed to the Department of Human Services on 1800 700 270 (hours of operation 8 a.m. to 5 p.m. EST Monday to Friday).</w:t>
            </w:r>
          </w:p>
          <w:p w:rsidR="00F23103" w:rsidRPr="007E2C2C" w:rsidRDefault="00F23103" w:rsidP="00391B08">
            <w:pPr>
              <w:pStyle w:val="TableBodyText"/>
              <w:contextualSpacing/>
              <w:rPr>
                <w:rStyle w:val="TableText0"/>
                <w:rFonts w:ascii="Arial Narrow" w:eastAsiaTheme="majorEastAsia" w:hAnsi="Arial Narrow"/>
              </w:rPr>
            </w:pPr>
          </w:p>
          <w:p w:rsidR="00F23103"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 xml:space="preserve">Prescribing information (including Authority Application forms and other relevant documentation as applicable) is available on the Department of Human Services website at </w:t>
            </w:r>
            <w:r w:rsidRPr="0027706A">
              <w:rPr>
                <w:rFonts w:ascii="Arial Narrow" w:eastAsiaTheme="majorEastAsia" w:hAnsi="Arial Narrow"/>
                <w:sz w:val="20"/>
              </w:rPr>
              <w:t>www.humanservices.gov.au</w:t>
            </w:r>
          </w:p>
          <w:p w:rsidR="00F23103" w:rsidRPr="007E2C2C" w:rsidRDefault="00F23103" w:rsidP="00391B08">
            <w:pPr>
              <w:pStyle w:val="TableBodyText"/>
              <w:contextualSpacing/>
              <w:rPr>
                <w:rStyle w:val="TableText0"/>
                <w:rFonts w:ascii="Arial Narrow" w:eastAsiaTheme="majorEastAsia" w:hAnsi="Arial Narrow"/>
              </w:rPr>
            </w:pP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Applications for authority to prescribe should be forwarded to:</w:t>
            </w: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Department of Human Services</w:t>
            </w: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Complex Drugs</w:t>
            </w:r>
            <w:r>
              <w:rPr>
                <w:rStyle w:val="TableText0"/>
                <w:rFonts w:ascii="Arial Narrow" w:eastAsiaTheme="majorEastAsia" w:hAnsi="Arial Narrow"/>
              </w:rPr>
              <w:t xml:space="preserve"> Programs</w:t>
            </w: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Reply Paid 9826</w:t>
            </w: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HOBART TAS 7001</w:t>
            </w:r>
          </w:p>
          <w:p w:rsidR="00F23103" w:rsidRDefault="00F23103" w:rsidP="00391B08">
            <w:pPr>
              <w:pStyle w:val="TableBodyText"/>
              <w:contextualSpacing/>
              <w:rPr>
                <w:rStyle w:val="TableText0"/>
                <w:rFonts w:ascii="Arial Narrow" w:eastAsiaTheme="majorEastAsia" w:hAnsi="Arial Narrow"/>
              </w:rPr>
            </w:pPr>
          </w:p>
          <w:p w:rsidR="00F23103" w:rsidRPr="00391B08" w:rsidRDefault="00F23103" w:rsidP="00391B08">
            <w:pPr>
              <w:pStyle w:val="TableBodyText"/>
              <w:contextualSpacing/>
              <w:rPr>
                <w:rStyle w:val="TableText0"/>
                <w:rFonts w:ascii="Arial Narrow" w:eastAsiaTheme="majorEastAsia" w:hAnsi="Arial Narrow"/>
                <w:b/>
              </w:rPr>
            </w:pPr>
            <w:r w:rsidRPr="00391B08">
              <w:rPr>
                <w:rStyle w:val="TableText0"/>
                <w:rFonts w:ascii="Arial Narrow" w:eastAsiaTheme="majorEastAsia" w:hAnsi="Arial Narrow"/>
                <w:b/>
              </w:rPr>
              <w:t>TREATMENT OF ADULT AND ADOLESCENT PATIENTS WITH UNCONTROLLED SEVERE EOSINOPHILIC ASTHMA</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 xml:space="preserve">Patients are eligible to commence a </w:t>
            </w:r>
            <w:r w:rsidRPr="00391B08">
              <w:rPr>
                <w:rStyle w:val="TableText0"/>
                <w:rFonts w:ascii="Arial Narrow" w:eastAsiaTheme="majorEastAsia" w:hAnsi="Arial Narrow"/>
                <w:b/>
              </w:rPr>
              <w:t>'mepolizumab treatment cycle</w:t>
            </w:r>
            <w:r w:rsidRPr="007E2C2C">
              <w:rPr>
                <w:rStyle w:val="TableText0"/>
                <w:rFonts w:ascii="Arial Narrow" w:eastAsiaTheme="majorEastAsia" w:hAnsi="Arial Narrow"/>
              </w:rPr>
              <w:t>' (initial treatment course with or without continuing treatment course/s) if they satisfy the eligibility criteria as detailed under the initial treatment restriction.</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7E2C2C" w:rsidRDefault="00F23103" w:rsidP="00391B08">
            <w:pPr>
              <w:pStyle w:val="TableBodyText"/>
              <w:contextualSpacing/>
              <w:rPr>
                <w:rStyle w:val="TableText0"/>
                <w:rFonts w:ascii="Arial Narrow" w:eastAsiaTheme="majorEastAsia" w:hAnsi="Arial Narrow"/>
              </w:rPr>
            </w:pPr>
            <w:r w:rsidRPr="007E2C2C">
              <w:rPr>
                <w:rStyle w:val="TableText0"/>
                <w:rFonts w:ascii="Arial Narrow" w:eastAsiaTheme="majorEastAsia" w:hAnsi="Arial Narrow"/>
              </w:rPr>
              <w:t xml:space="preserve">Once a patient has either failed to achieve or maintain a response to </w:t>
            </w:r>
            <w:r w:rsidRPr="00391B08">
              <w:rPr>
                <w:rStyle w:val="TableText0"/>
                <w:rFonts w:ascii="Arial Narrow" w:eastAsiaTheme="majorEastAsia" w:hAnsi="Arial Narrow"/>
                <w:b/>
              </w:rPr>
              <w:t>mepolizumab</w:t>
            </w:r>
            <w:r w:rsidRPr="007E2C2C">
              <w:rPr>
                <w:rStyle w:val="TableText0"/>
                <w:rFonts w:ascii="Arial Narrow" w:eastAsiaTheme="majorEastAsia" w:hAnsi="Arial Narrow"/>
              </w:rPr>
              <w:t xml:space="preserve">, they are deemed to have completed a treatment cycle and they must have, at a minimum, a 6 month break in PBS-subsidised mepolizumab therapy before they are eligible to commence the next </w:t>
            </w:r>
            <w:r w:rsidRPr="00391B08">
              <w:rPr>
                <w:rStyle w:val="TableText0"/>
                <w:rFonts w:ascii="Arial Narrow" w:eastAsiaTheme="majorEastAsia" w:hAnsi="Arial Narrow"/>
                <w:b/>
              </w:rPr>
              <w:t>mepolizumab</w:t>
            </w:r>
            <w:r>
              <w:rPr>
                <w:rStyle w:val="TableText0"/>
                <w:rFonts w:ascii="Arial Narrow" w:eastAsiaTheme="majorEastAsia" w:hAnsi="Arial Narrow"/>
              </w:rPr>
              <w:t xml:space="preserve"> treatment </w:t>
            </w:r>
            <w:r w:rsidRPr="007E2C2C">
              <w:rPr>
                <w:rStyle w:val="TableText0"/>
                <w:rFonts w:ascii="Arial Narrow" w:eastAsiaTheme="majorEastAsia" w:hAnsi="Arial Narrow"/>
              </w:rPr>
              <w:t>cycle</w:t>
            </w:r>
            <w:r>
              <w:rPr>
                <w:rStyle w:val="TableText0"/>
                <w:rFonts w:ascii="Arial Narrow" w:eastAsiaTheme="majorEastAsia" w:hAnsi="Arial Narrow"/>
              </w:rPr>
              <w:t xml:space="preserve"> or, if eligible, an ‘</w:t>
            </w:r>
            <w:r w:rsidRPr="00391B08">
              <w:rPr>
                <w:rStyle w:val="TableText0"/>
                <w:rFonts w:ascii="Arial Narrow" w:eastAsiaTheme="majorEastAsia" w:hAnsi="Arial Narrow"/>
                <w:b/>
              </w:rPr>
              <w:t>omalizumab treatment cycle</w:t>
            </w:r>
            <w:r>
              <w:rPr>
                <w:rStyle w:val="TableText0"/>
                <w:rFonts w:ascii="Arial Narrow" w:eastAsiaTheme="majorEastAsia" w:hAnsi="Arial Narrow"/>
              </w:rPr>
              <w:t>’</w:t>
            </w:r>
            <w:r w:rsidRPr="007E2C2C">
              <w:rPr>
                <w:rStyle w:val="TableText0"/>
                <w:rFonts w:ascii="Arial Narrow" w:eastAsiaTheme="majorEastAsia" w:hAnsi="Arial Narrow"/>
              </w:rPr>
              <w:t xml:space="preserve">. The length of a treatment break is measured from the date the most recent treatment with PBS-subsidised </w:t>
            </w:r>
            <w:r w:rsidRPr="00391B08">
              <w:rPr>
                <w:rStyle w:val="TableText0"/>
                <w:rFonts w:ascii="Arial Narrow" w:eastAsiaTheme="majorEastAsia" w:hAnsi="Arial Narrow"/>
                <w:b/>
              </w:rPr>
              <w:t>mepolizumab</w:t>
            </w:r>
            <w:r w:rsidRPr="007E2C2C">
              <w:rPr>
                <w:rStyle w:val="TableText0"/>
                <w:rFonts w:ascii="Arial Narrow" w:eastAsiaTheme="majorEastAsia" w:hAnsi="Arial Narrow"/>
              </w:rPr>
              <w:t xml:space="preserve"> is stopped to the date of the first application for initial treatment with</w:t>
            </w:r>
            <w:r w:rsidRPr="007E2C2C">
              <w:rPr>
                <w:rFonts w:ascii="Arial Narrow" w:hAnsi="Arial Narrow"/>
                <w:sz w:val="20"/>
              </w:rPr>
              <w:t xml:space="preserve"> </w:t>
            </w:r>
            <w:r w:rsidRPr="00391B08">
              <w:rPr>
                <w:rStyle w:val="TableText0"/>
                <w:rFonts w:ascii="Arial Narrow" w:eastAsiaTheme="majorEastAsia" w:hAnsi="Arial Narrow"/>
                <w:b/>
              </w:rPr>
              <w:t>mepolizumab</w:t>
            </w:r>
            <w:r w:rsidRPr="007E2C2C">
              <w:rPr>
                <w:rStyle w:val="TableText0"/>
                <w:rFonts w:ascii="Arial Narrow" w:eastAsiaTheme="majorEastAsia" w:hAnsi="Arial Narrow"/>
              </w:rPr>
              <w:t xml:space="preserve"> under the new treatment cycle.</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116294"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There is no limit to the number of treatment cycles a patient may undertake in their lifetime.</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116294"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 xml:space="preserve">(1) How to prescribe PBS-subsidised </w:t>
            </w:r>
            <w:r w:rsidRPr="00391B08">
              <w:rPr>
                <w:rStyle w:val="TableText0"/>
                <w:rFonts w:ascii="Arial Narrow" w:eastAsiaTheme="majorEastAsia" w:hAnsi="Arial Narrow"/>
                <w:b/>
              </w:rPr>
              <w:t>mepolizumab</w:t>
            </w:r>
            <w:r w:rsidRPr="00116294">
              <w:rPr>
                <w:rStyle w:val="TableText0"/>
                <w:rFonts w:ascii="Arial Narrow" w:eastAsiaTheme="majorEastAsia" w:hAnsi="Arial Narrow"/>
              </w:rPr>
              <w:t xml:space="preserve"> therapy:</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116294"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(a) Initial treatment:</w:t>
            </w:r>
          </w:p>
          <w:p w:rsidR="00F23103" w:rsidRPr="00116294" w:rsidRDefault="00F23103" w:rsidP="00391B08">
            <w:pPr>
              <w:pStyle w:val="TableBodyText"/>
              <w:contextualSpacing/>
              <w:rPr>
                <w:rStyle w:val="TableText0"/>
                <w:rFonts w:ascii="Arial Narrow" w:eastAsiaTheme="majorEastAsia" w:hAnsi="Arial Narrow"/>
              </w:rPr>
            </w:pPr>
          </w:p>
          <w:p w:rsidR="00F23103"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Applications for initial treatment should be made where</w:t>
            </w:r>
            <w:r>
              <w:rPr>
                <w:rStyle w:val="TableText0"/>
                <w:rFonts w:ascii="Arial Narrow" w:eastAsiaTheme="majorEastAsia" w:hAnsi="Arial Narrow"/>
              </w:rPr>
              <w:t>:</w:t>
            </w:r>
          </w:p>
          <w:p w:rsidR="00F23103" w:rsidRDefault="00F23103" w:rsidP="00391B08">
            <w:pPr>
              <w:pStyle w:val="TableBodyText"/>
              <w:numPr>
                <w:ilvl w:val="0"/>
                <w:numId w:val="15"/>
              </w:numPr>
              <w:ind w:left="452" w:hanging="345"/>
              <w:contextualSpacing/>
              <w:rPr>
                <w:rStyle w:val="TableText0"/>
                <w:rFonts w:ascii="Arial Narrow" w:eastAsiaTheme="majorEastAsia" w:hAnsi="Arial Narrow"/>
              </w:rPr>
            </w:pPr>
            <w:r w:rsidRPr="00116294">
              <w:rPr>
                <w:rStyle w:val="TableText0"/>
                <w:rFonts w:ascii="Arial Narrow" w:eastAsiaTheme="majorEastAsia" w:hAnsi="Arial Narrow"/>
              </w:rPr>
              <w:t xml:space="preserve">a patient has received no prior PBS-subsidised </w:t>
            </w:r>
            <w:r w:rsidRPr="00391B08">
              <w:rPr>
                <w:rStyle w:val="TableText0"/>
                <w:rFonts w:ascii="Arial Narrow" w:eastAsiaTheme="majorEastAsia" w:hAnsi="Arial Narrow"/>
                <w:b/>
              </w:rPr>
              <w:t>mepolizumab</w:t>
            </w:r>
            <w:r w:rsidRPr="00116294">
              <w:rPr>
                <w:rStyle w:val="TableText0"/>
                <w:rFonts w:ascii="Arial Narrow" w:eastAsiaTheme="majorEastAsia" w:hAnsi="Arial Narrow"/>
              </w:rPr>
              <w:t xml:space="preserve"> treatment and wishes to commence such therapy</w:t>
            </w:r>
            <w:r>
              <w:rPr>
                <w:rStyle w:val="TableText0"/>
                <w:rFonts w:ascii="Arial Narrow" w:eastAsiaTheme="majorEastAsia" w:hAnsi="Arial Narrow"/>
              </w:rPr>
              <w:t xml:space="preserve">; or </w:t>
            </w:r>
          </w:p>
          <w:p w:rsidR="00F23103" w:rsidRDefault="00F23103" w:rsidP="00391B08">
            <w:pPr>
              <w:pStyle w:val="TableBodyText"/>
              <w:numPr>
                <w:ilvl w:val="0"/>
                <w:numId w:val="15"/>
              </w:numPr>
              <w:ind w:left="452" w:hanging="345"/>
              <w:contextualSpacing/>
              <w:rPr>
                <w:rStyle w:val="TableText0"/>
                <w:rFonts w:ascii="Arial Narrow" w:eastAsiaTheme="majorEastAsia" w:hAnsi="Arial Narrow"/>
              </w:rPr>
            </w:pPr>
            <w:r>
              <w:rPr>
                <w:rStyle w:val="TableText0"/>
                <w:rFonts w:ascii="Arial Narrow" w:eastAsiaTheme="majorEastAsia" w:hAnsi="Arial Narrow"/>
              </w:rPr>
              <w:t xml:space="preserve">A patient wishes to recommence treatment with </w:t>
            </w:r>
            <w:r w:rsidRPr="00391B08">
              <w:rPr>
                <w:rStyle w:val="TableText0"/>
                <w:rFonts w:ascii="Arial Narrow" w:eastAsiaTheme="majorEastAsia" w:hAnsi="Arial Narrow"/>
                <w:b/>
              </w:rPr>
              <w:t>mepolizumab</w:t>
            </w:r>
            <w:r>
              <w:rPr>
                <w:rStyle w:val="TableText0"/>
                <w:rFonts w:ascii="Arial Narrow" w:eastAsiaTheme="majorEastAsia" w:hAnsi="Arial Narrow"/>
              </w:rPr>
              <w:t xml:space="preserve"> following a break in PBS-subsidised therapy of more than 6 months; or</w:t>
            </w:r>
          </w:p>
          <w:p w:rsidR="00F23103" w:rsidRPr="00391B08" w:rsidRDefault="00F23103" w:rsidP="00391B08">
            <w:pPr>
              <w:pStyle w:val="TableBodyText"/>
              <w:numPr>
                <w:ilvl w:val="0"/>
                <w:numId w:val="15"/>
              </w:numPr>
              <w:ind w:left="452" w:hanging="345"/>
              <w:contextualSpacing/>
              <w:rPr>
                <w:rStyle w:val="TableText0"/>
                <w:rFonts w:ascii="Arial Narrow" w:eastAsiaTheme="majorEastAsia" w:hAnsi="Arial Narrow"/>
                <w:b/>
              </w:rPr>
            </w:pPr>
            <w:r w:rsidRPr="00391B08">
              <w:rPr>
                <w:rStyle w:val="TableText0"/>
                <w:rFonts w:ascii="Arial Narrow" w:eastAsiaTheme="majorEastAsia" w:hAnsi="Arial Narrow"/>
                <w:b/>
              </w:rPr>
              <w:t xml:space="preserve">A patient has received prior PBS-subsidised omalizumab and wishes to commence treatment with mepolizumab after a treatment break of 6 months. </w:t>
            </w:r>
          </w:p>
          <w:p w:rsidR="00F23103" w:rsidRPr="00116294" w:rsidRDefault="00F23103" w:rsidP="00973958">
            <w:pPr>
              <w:pStyle w:val="TableBodyText"/>
              <w:contextualSpacing/>
              <w:rPr>
                <w:rStyle w:val="TableText0"/>
                <w:rFonts w:ascii="Arial Narrow" w:eastAsiaTheme="majorEastAsia" w:hAnsi="Arial Narrow"/>
              </w:rPr>
            </w:pPr>
          </w:p>
          <w:p w:rsidR="00F23103" w:rsidRPr="00391B08" w:rsidRDefault="00F23103" w:rsidP="00391B08">
            <w:pPr>
              <w:pStyle w:val="TableBodyText"/>
              <w:contextualSpacing/>
              <w:rPr>
                <w:rStyle w:val="TableText0"/>
                <w:rFonts w:ascii="Arial Narrow" w:eastAsiaTheme="majorEastAsia" w:hAnsi="Arial Narrow"/>
                <w:b/>
                <w:highlight w:val="yellow"/>
              </w:rPr>
            </w:pPr>
            <w:r w:rsidRPr="00391B08">
              <w:rPr>
                <w:rStyle w:val="TableText0"/>
                <w:rFonts w:ascii="Arial Narrow" w:eastAsiaTheme="majorEastAsia" w:hAnsi="Arial Narrow"/>
                <w:b/>
              </w:rPr>
              <w:t xml:space="preserve">All applications for initial treatment for non-grandfather patients will be limited to provide for a maximum of 32 weeks of therapy for mepolizumab. </w:t>
            </w:r>
          </w:p>
          <w:p w:rsidR="00F23103" w:rsidRDefault="00F23103" w:rsidP="00391B08">
            <w:pPr>
              <w:pStyle w:val="TableBodyText"/>
              <w:contextualSpacing/>
              <w:rPr>
                <w:rStyle w:val="TableText0"/>
                <w:rFonts w:ascii="Arial Narrow" w:eastAsiaTheme="majorEastAsia" w:hAnsi="Arial Narrow"/>
                <w:highlight w:val="yellow"/>
              </w:rPr>
            </w:pPr>
          </w:p>
          <w:p w:rsidR="00F23103" w:rsidRPr="00391B08" w:rsidRDefault="00F23103" w:rsidP="00391B08">
            <w:pPr>
              <w:pStyle w:val="TableBodyText"/>
              <w:contextualSpacing/>
              <w:rPr>
                <w:rStyle w:val="TableText0"/>
                <w:rFonts w:ascii="Arial Narrow" w:eastAsiaTheme="majorEastAsia" w:hAnsi="Arial Narrow"/>
                <w:b/>
              </w:rPr>
            </w:pPr>
            <w:r w:rsidRPr="00391B08">
              <w:rPr>
                <w:rStyle w:val="TableText0"/>
                <w:rFonts w:ascii="Arial Narrow" w:eastAsiaTheme="majorEastAsia" w:hAnsi="Arial Narrow"/>
                <w:b/>
              </w:rPr>
              <w:t xml:space="preserve">(b) </w:t>
            </w:r>
            <w:r w:rsidRPr="00391B08">
              <w:rPr>
                <w:rFonts w:ascii="Arial Narrow" w:hAnsi="Arial Narrow"/>
                <w:b/>
                <w:sz w:val="20"/>
              </w:rPr>
              <w:t xml:space="preserve">Grandfather patients: </w:t>
            </w:r>
          </w:p>
          <w:p w:rsidR="00F23103" w:rsidRPr="00391B08" w:rsidRDefault="00F23103" w:rsidP="00391B08">
            <w:pPr>
              <w:pStyle w:val="TableBodyText"/>
              <w:contextualSpacing/>
              <w:rPr>
                <w:rStyle w:val="TableText0"/>
                <w:rFonts w:ascii="Arial Narrow" w:eastAsiaTheme="majorEastAsia" w:hAnsi="Arial Narrow"/>
                <w:b/>
                <w:highlight w:val="yellow"/>
              </w:rPr>
            </w:pPr>
          </w:p>
          <w:p w:rsidR="00F23103" w:rsidRPr="00391B08" w:rsidRDefault="00F23103" w:rsidP="00391B08">
            <w:pPr>
              <w:pStyle w:val="TableBodyText"/>
              <w:contextualSpacing/>
              <w:rPr>
                <w:rFonts w:ascii="Arial Narrow" w:hAnsi="Arial Narrow"/>
                <w:b/>
                <w:sz w:val="20"/>
              </w:rPr>
            </w:pPr>
            <w:r w:rsidRPr="00391B08">
              <w:rPr>
                <w:rStyle w:val="TableText0"/>
                <w:rFonts w:ascii="Arial Narrow" w:eastAsiaTheme="majorEastAsia" w:hAnsi="Arial Narrow"/>
                <w:b/>
              </w:rPr>
              <w:t xml:space="preserve">For patients who commenced treatment with mepolizumab for uncontrolled severe eosinophilic asthma prior to 1 January 2017 and who continues to receive treatment at the time of application, may qualify for treatment under the initial ‘grandfather’ treatment restriction. </w:t>
            </w:r>
            <w:r w:rsidRPr="00391B08">
              <w:rPr>
                <w:rFonts w:ascii="Arial Narrow" w:hAnsi="Arial Narrow"/>
                <w:b/>
                <w:sz w:val="20"/>
              </w:rPr>
              <w:t xml:space="preserve">A patient may only qualify for PBS-subsidised treatment under this restriction once. A maximum of 24 weeks of treatment with mepolizumab will be authorised under this criterion. </w:t>
            </w:r>
            <w:r w:rsidRPr="00391B08">
              <w:rPr>
                <w:rStyle w:val="TableText0"/>
                <w:rFonts w:ascii="Arial Narrow" w:eastAsiaTheme="majorEastAsia" w:hAnsi="Arial Narrow"/>
                <w:b/>
              </w:rPr>
              <w:t>Approval will be based on the criteria included in the relevant restriction.</w:t>
            </w:r>
            <w:r w:rsidRPr="00391B08">
              <w:rPr>
                <w:rFonts w:ascii="Arial Narrow" w:hAnsi="Arial Narrow"/>
                <w:b/>
                <w:sz w:val="20"/>
              </w:rPr>
              <w:t xml:space="preserve"> Following completion of the Initial PBS-subsidised course, further applications for treatment with mepolizumab will be assessed under the continuing treatment restriction. </w:t>
            </w:r>
          </w:p>
          <w:p w:rsidR="00F23103" w:rsidRPr="00391B08" w:rsidRDefault="00F23103" w:rsidP="00391B08">
            <w:pPr>
              <w:pStyle w:val="TableBodyText"/>
              <w:contextualSpacing/>
              <w:rPr>
                <w:rFonts w:ascii="Arial Narrow" w:hAnsi="Arial Narrow"/>
                <w:b/>
                <w:sz w:val="20"/>
              </w:rPr>
            </w:pPr>
          </w:p>
          <w:p w:rsidR="00F23103" w:rsidRPr="00391B08" w:rsidRDefault="00F23103" w:rsidP="00391B08">
            <w:pPr>
              <w:pStyle w:val="TableBodyText"/>
              <w:contextualSpacing/>
              <w:rPr>
                <w:rStyle w:val="TableText0"/>
                <w:rFonts w:ascii="Arial Narrow" w:eastAsiaTheme="majorEastAsia" w:hAnsi="Arial Narrow"/>
                <w:b/>
              </w:rPr>
            </w:pPr>
            <w:r w:rsidRPr="00391B08">
              <w:rPr>
                <w:rFonts w:ascii="Arial Narrow" w:hAnsi="Arial Narrow"/>
                <w:b/>
                <w:sz w:val="20"/>
              </w:rPr>
              <w:t>'Grandfather' arrangements will only apply for the first treatment cycle (initial treatment course with or without continuing treatment course/s). If a ‘Grandfathered’ patient recommences on second and subsequent cycles after a treatment break, the 'Grandfathered' patient must re-qualify for Initial treatment under the criteria that apply to a new patient. See 'Re-commencement of treatment after a 6 month break in PBS-subsidised therapy' below for further details.</w:t>
            </w:r>
          </w:p>
          <w:p w:rsidR="00F23103" w:rsidRPr="00116294" w:rsidRDefault="00F23103" w:rsidP="00391B08">
            <w:pPr>
              <w:pStyle w:val="TableBodyText"/>
              <w:contextualSpacing/>
              <w:rPr>
                <w:rStyle w:val="TableText0"/>
                <w:rFonts w:ascii="Arial Narrow" w:eastAsiaTheme="majorEastAsia" w:hAnsi="Arial Narrow"/>
              </w:rPr>
            </w:pPr>
          </w:p>
          <w:p w:rsidR="00F23103" w:rsidRPr="00116294"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(c) Continuing treatment:</w:t>
            </w:r>
          </w:p>
          <w:p w:rsidR="00F23103" w:rsidRPr="00116294" w:rsidRDefault="00F23103" w:rsidP="00391B08">
            <w:pPr>
              <w:pStyle w:val="TableBodyText"/>
              <w:contextualSpacing/>
              <w:rPr>
                <w:rStyle w:val="TableText0"/>
                <w:rFonts w:ascii="Arial Narrow" w:eastAsiaTheme="majorEastAsia" w:hAnsi="Arial Narrow"/>
              </w:rPr>
            </w:pPr>
          </w:p>
          <w:p w:rsidR="00F23103" w:rsidRPr="00116294" w:rsidRDefault="00F23103" w:rsidP="00391B08">
            <w:pPr>
              <w:pStyle w:val="TableBodyText"/>
              <w:contextualSpacing/>
              <w:rPr>
                <w:rStyle w:val="TableText0"/>
                <w:rFonts w:ascii="Arial Narrow" w:eastAsiaTheme="majorEastAsia" w:hAnsi="Arial Narrow"/>
              </w:rPr>
            </w:pPr>
            <w:r w:rsidRPr="00116294">
              <w:rPr>
                <w:rStyle w:val="TableText0"/>
                <w:rFonts w:ascii="Arial Narrow" w:eastAsiaTheme="majorEastAsia" w:hAnsi="Arial Narrow"/>
              </w:rPr>
              <w:t xml:space="preserve">Following the completion of the initial treatment course with mepolizumab, a patient may qualify to receive up to a further </w:t>
            </w:r>
            <w:r>
              <w:rPr>
                <w:rStyle w:val="TableText0"/>
                <w:rFonts w:ascii="Arial Narrow" w:eastAsiaTheme="majorEastAsia" w:hAnsi="Arial Narrow"/>
              </w:rPr>
              <w:t>24</w:t>
            </w:r>
            <w:r w:rsidRPr="00116294">
              <w:rPr>
                <w:rStyle w:val="TableText0"/>
                <w:rFonts w:ascii="Arial Narrow" w:eastAsiaTheme="majorEastAsia" w:hAnsi="Arial Narrow"/>
              </w:rPr>
              <w:t xml:space="preserve"> weeks of continuing treatment with mepolizumab providing they have demonstrated an adequate response to treatment. The patient remains eligible to receive continuing mepolizumab treatment in courses of up to </w:t>
            </w:r>
            <w:r>
              <w:rPr>
                <w:rStyle w:val="TableText0"/>
                <w:rFonts w:ascii="Arial Narrow" w:eastAsiaTheme="majorEastAsia" w:hAnsi="Arial Narrow"/>
              </w:rPr>
              <w:t>24</w:t>
            </w:r>
            <w:r w:rsidRPr="00116294">
              <w:rPr>
                <w:rStyle w:val="TableText0"/>
                <w:rFonts w:ascii="Arial Narrow" w:eastAsiaTheme="majorEastAsia" w:hAnsi="Arial Narrow"/>
              </w:rPr>
              <w:t xml:space="preserve"> weeks providing they continue to sustain the response.</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5C54ED" w:rsidRDefault="00F23103" w:rsidP="00391B08">
            <w:pPr>
              <w:pStyle w:val="TableBodyText"/>
              <w:contextualSpacing/>
              <w:rPr>
                <w:rStyle w:val="TableText0"/>
                <w:rFonts w:ascii="Arial Narrow" w:eastAsiaTheme="majorEastAsia" w:hAnsi="Arial Narrow"/>
              </w:rPr>
            </w:pPr>
            <w:r w:rsidRPr="005C54ED">
              <w:rPr>
                <w:rStyle w:val="TableText0"/>
                <w:rFonts w:ascii="Arial Narrow" w:eastAsiaTheme="majorEastAsia" w:hAnsi="Arial Narrow"/>
              </w:rPr>
              <w:t>(2) Baseline measurements to determine response:</w:t>
            </w:r>
          </w:p>
          <w:p w:rsidR="00F23103" w:rsidRPr="005C54ED" w:rsidRDefault="00F23103" w:rsidP="00391B08">
            <w:pPr>
              <w:pStyle w:val="TableBodyText"/>
              <w:contextualSpacing/>
              <w:rPr>
                <w:rStyle w:val="TableText0"/>
                <w:rFonts w:ascii="Arial Narrow" w:eastAsiaTheme="majorEastAsia" w:hAnsi="Arial Narrow"/>
              </w:rPr>
            </w:pPr>
          </w:p>
          <w:p w:rsidR="00F23103" w:rsidRPr="005C54ED" w:rsidRDefault="00F23103" w:rsidP="00391B08">
            <w:pPr>
              <w:pStyle w:val="TableBodyText"/>
              <w:contextualSpacing/>
              <w:rPr>
                <w:rStyle w:val="TableText0"/>
                <w:rFonts w:ascii="Arial Narrow" w:eastAsiaTheme="majorEastAsia" w:hAnsi="Arial Narrow"/>
              </w:rPr>
            </w:pPr>
            <w:r w:rsidRPr="005C54ED">
              <w:rPr>
                <w:rStyle w:val="TableText0"/>
                <w:rFonts w:ascii="Arial Narrow" w:eastAsiaTheme="majorEastAsia" w:hAnsi="Arial Narrow"/>
              </w:rPr>
              <w:t>The Department of Human Services will determine whether a response to treatment has been demonstrated based on the baseline measurements of the Asthma Control Questionnaire (ACQ; 5 item version) and oral</w:t>
            </w:r>
            <w:r>
              <w:rPr>
                <w:rStyle w:val="TableText0"/>
                <w:rFonts w:ascii="Arial Narrow" w:eastAsiaTheme="majorEastAsia" w:hAnsi="Arial Narrow"/>
              </w:rPr>
              <w:t xml:space="preserve"> </w:t>
            </w:r>
            <w:r w:rsidRPr="005C54ED">
              <w:rPr>
                <w:rStyle w:val="TableText0"/>
                <w:rFonts w:ascii="Arial Narrow" w:eastAsiaTheme="majorEastAsia" w:hAnsi="Arial Narrow"/>
              </w:rPr>
              <w:t xml:space="preserve">corticosteroid dose, submitted with the Initial authority application for </w:t>
            </w:r>
            <w:r w:rsidRPr="00391B08">
              <w:rPr>
                <w:rStyle w:val="TableText0"/>
                <w:rFonts w:ascii="Arial Narrow" w:eastAsiaTheme="majorEastAsia" w:hAnsi="Arial Narrow"/>
                <w:b/>
              </w:rPr>
              <w:t>mepolizumab</w:t>
            </w:r>
            <w:r w:rsidRPr="005C54ED">
              <w:rPr>
                <w:rStyle w:val="TableText0"/>
                <w:rFonts w:ascii="Arial Narrow" w:eastAsiaTheme="majorEastAsia" w:hAnsi="Arial Narrow"/>
              </w:rPr>
              <w:t>. However, prescribers may provide new baseline measurements when a new Initial treatment authority application is submitted and the Department of Human Services will assess response according to these revised baseline measurements.</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Pr="005C54ED" w:rsidRDefault="00F23103" w:rsidP="00391B08">
            <w:pPr>
              <w:pStyle w:val="TableBodyText"/>
              <w:contextualSpacing/>
              <w:rPr>
                <w:rStyle w:val="TableText0"/>
                <w:rFonts w:ascii="Arial Narrow" w:eastAsiaTheme="majorEastAsia" w:hAnsi="Arial Narrow"/>
              </w:rPr>
            </w:pPr>
            <w:r w:rsidRPr="005C54ED">
              <w:rPr>
                <w:rStyle w:val="TableText0"/>
                <w:rFonts w:ascii="Arial Narrow" w:eastAsiaTheme="majorEastAsia" w:hAnsi="Arial Narrow"/>
              </w:rPr>
              <w:t>(3) Re-commencement of treatment after a 6 month break in PBS-subsidised therapy:</w:t>
            </w:r>
          </w:p>
          <w:p w:rsidR="00F23103" w:rsidRPr="005C54ED" w:rsidRDefault="00F23103" w:rsidP="00391B08">
            <w:pPr>
              <w:pStyle w:val="TableBodyText"/>
              <w:contextualSpacing/>
              <w:rPr>
                <w:rStyle w:val="TableText0"/>
                <w:rFonts w:ascii="Arial Narrow" w:eastAsiaTheme="majorEastAsia" w:hAnsi="Arial Narrow"/>
              </w:rPr>
            </w:pPr>
          </w:p>
          <w:p w:rsidR="00F23103" w:rsidRPr="005C54ED" w:rsidRDefault="00F23103" w:rsidP="00391B08">
            <w:pPr>
              <w:pStyle w:val="TableBodyText"/>
              <w:contextualSpacing/>
              <w:rPr>
                <w:rStyle w:val="TableText0"/>
                <w:rFonts w:ascii="Arial Narrow" w:eastAsiaTheme="majorEastAsia" w:hAnsi="Arial Narrow"/>
              </w:rPr>
            </w:pPr>
            <w:r w:rsidRPr="005C54ED">
              <w:rPr>
                <w:rStyle w:val="TableText0"/>
                <w:rFonts w:ascii="Arial Narrow" w:eastAsiaTheme="majorEastAsia" w:hAnsi="Arial Narrow"/>
              </w:rPr>
              <w:t xml:space="preserve">A patient who wishes to trial a second or subsequent </w:t>
            </w:r>
            <w:r w:rsidRPr="00391B08">
              <w:rPr>
                <w:rStyle w:val="TableText0"/>
                <w:rFonts w:ascii="Arial Narrow" w:eastAsiaTheme="majorEastAsia" w:hAnsi="Arial Narrow"/>
                <w:b/>
              </w:rPr>
              <w:t>mepolizumab</w:t>
            </w:r>
            <w:r>
              <w:rPr>
                <w:rStyle w:val="TableText0"/>
                <w:rFonts w:ascii="Arial Narrow" w:eastAsiaTheme="majorEastAsia" w:hAnsi="Arial Narrow"/>
              </w:rPr>
              <w:t xml:space="preserve"> </w:t>
            </w:r>
            <w:r w:rsidRPr="005C54ED">
              <w:rPr>
                <w:rStyle w:val="TableText0"/>
                <w:rFonts w:ascii="Arial Narrow" w:eastAsiaTheme="majorEastAsia" w:hAnsi="Arial Narrow"/>
              </w:rPr>
              <w:t>treatment cycle</w:t>
            </w:r>
            <w:r>
              <w:rPr>
                <w:rStyle w:val="TableText0"/>
                <w:rFonts w:ascii="Arial Narrow" w:eastAsiaTheme="majorEastAsia" w:hAnsi="Arial Narrow"/>
              </w:rPr>
              <w:t>, or an initial omalizumab treatment cycle,</w:t>
            </w:r>
            <w:r w:rsidRPr="005C54ED">
              <w:rPr>
                <w:rStyle w:val="TableText0"/>
                <w:rFonts w:ascii="Arial Narrow" w:eastAsiaTheme="majorEastAsia" w:hAnsi="Arial Narrow"/>
              </w:rPr>
              <w:t xml:space="preserv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F23103" w:rsidRPr="00C87DD3" w:rsidRDefault="00F23103" w:rsidP="00391B08">
            <w:pPr>
              <w:pStyle w:val="TableBodyText"/>
              <w:contextualSpacing/>
              <w:rPr>
                <w:rStyle w:val="TableText0"/>
                <w:rFonts w:ascii="Arial Narrow" w:eastAsiaTheme="majorEastAsia" w:hAnsi="Arial Narrow"/>
                <w:highlight w:val="yellow"/>
              </w:rPr>
            </w:pPr>
          </w:p>
          <w:p w:rsidR="00F23103" w:rsidRDefault="00F23103" w:rsidP="00391B08">
            <w:pPr>
              <w:pStyle w:val="TableBodyText"/>
              <w:contextualSpacing/>
              <w:rPr>
                <w:rStyle w:val="TableText0"/>
                <w:rFonts w:ascii="Arial Narrow" w:eastAsiaTheme="majorEastAsia" w:hAnsi="Arial Narrow"/>
              </w:rPr>
            </w:pPr>
            <w:r w:rsidRPr="005C54ED">
              <w:rPr>
                <w:rStyle w:val="TableText0"/>
                <w:rFonts w:ascii="Arial Narrow" w:eastAsiaTheme="majorEastAsia" w:hAnsi="Arial Narrow"/>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F23103" w:rsidRDefault="00F23103" w:rsidP="00391B08">
            <w:pPr>
              <w:pStyle w:val="TableBodyText"/>
              <w:contextualSpacing/>
              <w:rPr>
                <w:rStyle w:val="TableText0"/>
                <w:rFonts w:ascii="Arial Narrow" w:eastAsiaTheme="majorEastAsia" w:hAnsi="Arial Narrow"/>
              </w:rPr>
            </w:pPr>
          </w:p>
          <w:p w:rsidR="00F23103" w:rsidRPr="00391B08" w:rsidRDefault="00F23103" w:rsidP="00391B08">
            <w:pPr>
              <w:pStyle w:val="TableBodyText"/>
              <w:contextualSpacing/>
              <w:rPr>
                <w:rStyle w:val="TableText0"/>
                <w:rFonts w:ascii="Arial Narrow" w:eastAsiaTheme="majorEastAsia" w:hAnsi="Arial Narrow"/>
                <w:b/>
              </w:rPr>
            </w:pPr>
            <w:r w:rsidRPr="00391B08">
              <w:rPr>
                <w:rStyle w:val="TableText0"/>
                <w:rFonts w:ascii="Arial Narrow" w:eastAsiaTheme="majorEastAsia" w:hAnsi="Arial Narrow"/>
                <w:b/>
              </w:rPr>
              <w:t xml:space="preserve">No increase in maximum quantity or number of units may be authorized </w:t>
            </w:r>
          </w:p>
          <w:p w:rsidR="00F23103" w:rsidRPr="00391B08" w:rsidRDefault="00F23103" w:rsidP="00391B08">
            <w:pPr>
              <w:pStyle w:val="TableBodyText"/>
              <w:contextualSpacing/>
              <w:rPr>
                <w:rStyle w:val="TableText0"/>
                <w:rFonts w:ascii="Arial Narrow" w:eastAsiaTheme="majorEastAsia" w:hAnsi="Arial Narrow"/>
                <w:b/>
              </w:rPr>
            </w:pPr>
          </w:p>
          <w:p w:rsidR="00F23103" w:rsidRPr="00391B08" w:rsidRDefault="00F23103" w:rsidP="00391B08">
            <w:pPr>
              <w:pStyle w:val="TableBodyText"/>
              <w:contextualSpacing/>
              <w:rPr>
                <w:rStyle w:val="TableText0"/>
                <w:rFonts w:ascii="Arial Narrow" w:eastAsiaTheme="majorEastAsia" w:hAnsi="Arial Narrow"/>
                <w:b/>
              </w:rPr>
            </w:pPr>
            <w:r w:rsidRPr="00391B08">
              <w:rPr>
                <w:rStyle w:val="TableText0"/>
                <w:rFonts w:ascii="Arial Narrow" w:eastAsiaTheme="majorEastAsia" w:hAnsi="Arial Narrow"/>
                <w:b/>
              </w:rPr>
              <w:t xml:space="preserve">No increase in the maximum number of repeats may be authorized. </w:t>
            </w:r>
          </w:p>
          <w:p w:rsidR="00F23103" w:rsidRDefault="00F23103" w:rsidP="00391B08">
            <w:pPr>
              <w:pStyle w:val="TableBodyText"/>
              <w:contextualSpacing/>
              <w:rPr>
                <w:rStyle w:val="TableText0"/>
                <w:rFonts w:ascii="Arial Narrow" w:eastAsiaTheme="majorEastAsia" w:hAnsi="Arial Narrow"/>
              </w:rPr>
            </w:pPr>
          </w:p>
          <w:p w:rsidR="00F23103" w:rsidRPr="00DF39AE" w:rsidRDefault="00F23103" w:rsidP="00391B08">
            <w:pPr>
              <w:pStyle w:val="TableBodyText"/>
              <w:contextualSpacing/>
              <w:rPr>
                <w:rFonts w:ascii="Arial Narrow" w:eastAsiaTheme="majorEastAsia" w:hAnsi="Arial Narrow"/>
                <w:sz w:val="20"/>
              </w:rPr>
            </w:pPr>
            <w:r>
              <w:rPr>
                <w:rStyle w:val="TableText0"/>
                <w:rFonts w:ascii="Arial Narrow" w:eastAsiaTheme="majorEastAsia" w:hAnsi="Arial Narrow"/>
              </w:rPr>
              <w:t xml:space="preserve">Special pricing arrangements apply. </w:t>
            </w:r>
          </w:p>
        </w:tc>
        <w:tc>
          <w:tcPr>
            <w:tcW w:w="2195" w:type="pct"/>
            <w:tcBorders>
              <w:top w:val="single" w:sz="4" w:space="0" w:color="auto"/>
              <w:left w:val="single" w:sz="4" w:space="0" w:color="auto"/>
              <w:bottom w:val="single" w:sz="4" w:space="0" w:color="auto"/>
              <w:right w:val="single" w:sz="4" w:space="0" w:color="auto"/>
            </w:tcBorders>
            <w:shd w:val="clear" w:color="auto" w:fill="auto"/>
          </w:tcPr>
          <w:p w:rsidR="00F23103" w:rsidRDefault="00F23103" w:rsidP="00391B08">
            <w:pPr>
              <w:spacing w:before="40" w:after="40"/>
              <w:rPr>
                <w:rFonts w:ascii="Arial Narrow" w:hAnsi="Arial Narrow"/>
                <w:sz w:val="20"/>
              </w:rPr>
            </w:pPr>
            <w:r w:rsidRPr="007845A4">
              <w:rPr>
                <w:rFonts w:ascii="Arial Narrow" w:hAnsi="Arial Narrow"/>
                <w:sz w:val="20"/>
              </w:rPr>
              <w:t>The Department of Human Services website (www.humanservices.gov.au) has details of the accepted toxicities, including severity, which will be accepted for the purposes of exempting a patient from the requirement of treatment with optimised asthma therapy.</w:t>
            </w:r>
          </w:p>
          <w:p w:rsidR="00F23103"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For copies of the ACQ and the calculation sheets please contact Novartis Medical Information on 1800 671 203 or </w:t>
            </w:r>
            <w:r w:rsidRPr="0027706A">
              <w:rPr>
                <w:rFonts w:ascii="Arial Narrow" w:hAnsi="Arial Narrow"/>
                <w:b/>
                <w:sz w:val="20"/>
              </w:rPr>
              <w:t>medinfo.phauno@novartis.com</w:t>
            </w:r>
          </w:p>
          <w:p w:rsidR="00F23103" w:rsidRDefault="00F23103" w:rsidP="00391B08">
            <w:pPr>
              <w:spacing w:before="40" w:after="40"/>
              <w:rPr>
                <w:rFonts w:ascii="Arial Narrow" w:hAnsi="Arial Narrow"/>
                <w:sz w:val="20"/>
              </w:rPr>
            </w:pPr>
          </w:p>
          <w:p w:rsidR="00F23103" w:rsidRDefault="00F23103" w:rsidP="00391B08">
            <w:pPr>
              <w:spacing w:before="40" w:after="40"/>
              <w:rPr>
                <w:rFonts w:ascii="Arial Narrow" w:hAnsi="Arial Narrow"/>
                <w:sz w:val="20"/>
              </w:rPr>
            </w:pPr>
            <w:r w:rsidRPr="007845A4">
              <w:rPr>
                <w:rFonts w:ascii="Arial Narrow" w:hAnsi="Arial Narrow"/>
                <w:sz w:val="20"/>
              </w:rPr>
              <w:t>It is recommended that an application for continuing treatment is submitted at the time of the 22 to 26 week assessment, to ensure continuity of treatment for those patients who meet the continuation criterion for PBS-subsidised omalizumab treatment.</w:t>
            </w:r>
          </w:p>
          <w:p w:rsidR="00F23103"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Applications for authority to prescribe should be forwarded to: </w:t>
            </w:r>
          </w:p>
          <w:p w:rsidR="00F23103" w:rsidRPr="007845A4" w:rsidRDefault="00F23103" w:rsidP="00391B08">
            <w:pPr>
              <w:spacing w:before="40" w:after="40"/>
              <w:rPr>
                <w:rFonts w:ascii="Arial Narrow" w:hAnsi="Arial Narrow"/>
                <w:sz w:val="20"/>
              </w:rPr>
            </w:pPr>
            <w:r w:rsidRPr="007845A4">
              <w:rPr>
                <w:rFonts w:ascii="Arial Narrow" w:hAnsi="Arial Narrow"/>
                <w:sz w:val="20"/>
              </w:rPr>
              <w:t>Department of Human Services</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Complex Drugs </w:t>
            </w: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Reply Paid 9826 </w:t>
            </w:r>
          </w:p>
          <w:p w:rsidR="00F23103" w:rsidRDefault="00F23103" w:rsidP="00391B08">
            <w:pPr>
              <w:spacing w:before="40" w:after="40"/>
              <w:rPr>
                <w:rFonts w:ascii="Arial Narrow" w:hAnsi="Arial Narrow"/>
                <w:sz w:val="20"/>
              </w:rPr>
            </w:pPr>
            <w:r w:rsidRPr="007845A4">
              <w:rPr>
                <w:rFonts w:ascii="Arial Narrow" w:hAnsi="Arial Narrow"/>
                <w:sz w:val="20"/>
              </w:rPr>
              <w:t>HOBART TAS 7001</w:t>
            </w:r>
          </w:p>
          <w:p w:rsidR="00F23103"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TREATMENT OF ADULT AND ADOLESCENT PATIENTS WITH UNCONTROLLED SEVERE ALLERGIC ASTHMA</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Patients are eligible to commence an </w:t>
            </w:r>
            <w:r w:rsidRPr="00391B08">
              <w:rPr>
                <w:rFonts w:ascii="Arial Narrow" w:hAnsi="Arial Narrow"/>
                <w:b/>
                <w:sz w:val="20"/>
              </w:rPr>
              <w:t>'omalizumab treatment cycle</w:t>
            </w:r>
            <w:r w:rsidRPr="007845A4">
              <w:rPr>
                <w:rFonts w:ascii="Arial Narrow" w:hAnsi="Arial Narrow"/>
                <w:sz w:val="20"/>
              </w:rPr>
              <w:t xml:space="preserve">' (initial treatment course with or without continuing treatment course/s) if they satisfy the eligibility criteria as detailed under the initial treatment restriction.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Once a patient has either failed to achieve or maintain a response to </w:t>
            </w:r>
            <w:r w:rsidRPr="00391B08">
              <w:rPr>
                <w:rFonts w:ascii="Arial Narrow" w:hAnsi="Arial Narrow"/>
                <w:b/>
                <w:sz w:val="20"/>
              </w:rPr>
              <w:t>omalizumab</w:t>
            </w:r>
            <w:r w:rsidRPr="007845A4">
              <w:rPr>
                <w:rFonts w:ascii="Arial Narrow" w:hAnsi="Arial Narrow"/>
                <w:sz w:val="20"/>
              </w:rPr>
              <w:t xml:space="preserve">, they are deemed to have completed a treatment cycle and they must have, at a minimum, a 6 month break in PBS-subsidised omalizumab therapy before they are eligible to commence the next </w:t>
            </w:r>
            <w:r w:rsidRPr="00391B08">
              <w:rPr>
                <w:rFonts w:ascii="Arial Narrow" w:hAnsi="Arial Narrow"/>
                <w:b/>
                <w:sz w:val="20"/>
              </w:rPr>
              <w:t>omalizumab</w:t>
            </w:r>
            <w:r w:rsidRPr="007845A4">
              <w:rPr>
                <w:rFonts w:ascii="Arial Narrow" w:hAnsi="Arial Narrow"/>
                <w:sz w:val="20"/>
              </w:rPr>
              <w:t xml:space="preserve"> treatment cycle or, if eligible, a '</w:t>
            </w:r>
            <w:r w:rsidRPr="00391B08">
              <w:rPr>
                <w:rFonts w:ascii="Arial Narrow" w:hAnsi="Arial Narrow"/>
                <w:b/>
                <w:sz w:val="20"/>
              </w:rPr>
              <w:t>mepolizumab treatment cycle</w:t>
            </w:r>
            <w:r w:rsidRPr="004B149A">
              <w:rPr>
                <w:rFonts w:ascii="Arial Narrow" w:hAnsi="Arial Narrow"/>
                <w:sz w:val="20"/>
              </w:rPr>
              <w:t>'</w:t>
            </w:r>
            <w:r w:rsidRPr="007845A4">
              <w:rPr>
                <w:rFonts w:ascii="Arial Narrow" w:hAnsi="Arial Narrow"/>
                <w:sz w:val="20"/>
              </w:rPr>
              <w:t xml:space="preserve">. The length of a treatment break is measured from the date the most recent treatment with PBS-subsidised </w:t>
            </w:r>
            <w:r w:rsidRPr="00391B08">
              <w:rPr>
                <w:rFonts w:ascii="Arial Narrow" w:hAnsi="Arial Narrow"/>
                <w:b/>
                <w:sz w:val="20"/>
              </w:rPr>
              <w:t>omalizumab or mepolizumab</w:t>
            </w:r>
            <w:r w:rsidRPr="007845A4">
              <w:rPr>
                <w:rFonts w:ascii="Arial Narrow" w:hAnsi="Arial Narrow"/>
                <w:sz w:val="20"/>
              </w:rPr>
              <w:t xml:space="preserve"> treatment is stopped to the date of the first application for initial treatment with </w:t>
            </w:r>
            <w:r w:rsidRPr="00391B08">
              <w:rPr>
                <w:rFonts w:ascii="Arial Narrow" w:hAnsi="Arial Narrow"/>
                <w:b/>
                <w:sz w:val="20"/>
              </w:rPr>
              <w:t>omalizumab or mepolizumab</w:t>
            </w:r>
            <w:r w:rsidRPr="007845A4">
              <w:rPr>
                <w:rFonts w:ascii="Arial Narrow" w:hAnsi="Arial Narrow"/>
                <w:sz w:val="20"/>
              </w:rPr>
              <w:t xml:space="preserve"> under the new treatment cycle.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There is no limit to the number of treatment cycles a patient may undertake in their lifetime.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(1) How to prescribe PBS-subsidised </w:t>
            </w:r>
            <w:r w:rsidRPr="00391B08">
              <w:rPr>
                <w:rFonts w:ascii="Arial Narrow" w:hAnsi="Arial Narrow"/>
                <w:b/>
                <w:sz w:val="20"/>
              </w:rPr>
              <w:t>omalizumab</w:t>
            </w:r>
            <w:r w:rsidRPr="007845A4">
              <w:rPr>
                <w:rFonts w:ascii="Arial Narrow" w:hAnsi="Arial Narrow"/>
                <w:sz w:val="20"/>
              </w:rPr>
              <w:t xml:space="preserve"> therapy:</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(a) Initial treatment:</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Applications for initial treatment should be made where:</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i) A patient has received no prior PBS-subsidised </w:t>
            </w:r>
            <w:r w:rsidRPr="00391B08">
              <w:rPr>
                <w:rFonts w:ascii="Arial Narrow" w:hAnsi="Arial Narrow"/>
                <w:b/>
                <w:sz w:val="20"/>
              </w:rPr>
              <w:t>omalizumab</w:t>
            </w:r>
            <w:r w:rsidRPr="007845A4">
              <w:rPr>
                <w:rFonts w:ascii="Arial Narrow" w:hAnsi="Arial Narrow"/>
                <w:sz w:val="20"/>
              </w:rPr>
              <w:t xml:space="preserve"> treatment and wishes to commence such therapy; or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ii</w:t>
            </w:r>
            <w:r w:rsidRPr="00391B08">
              <w:rPr>
                <w:rFonts w:ascii="Arial Narrow" w:hAnsi="Arial Narrow"/>
                <w:b/>
                <w:sz w:val="20"/>
              </w:rPr>
              <w:t>) A patient wishes to recommence treatment with omalizumab following a break in PBS-subsidised therapy of at least 6 months; or</w:t>
            </w:r>
            <w:r w:rsidRPr="007845A4">
              <w:rPr>
                <w:rFonts w:ascii="Arial Narrow" w:hAnsi="Arial Narrow"/>
                <w:sz w:val="20"/>
              </w:rPr>
              <w:t xml:space="preserve">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iii) A patient has received prior PBS-subsidised mepolizumab and wishes to commence treatment with omalizumab after a treatment break of at least 6 months.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 xml:space="preserve">All applications for initial treatment for non-grandfathered patients will be limited to provide for a maximum of 28 weeks of therapy of omalizumab.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(b) Continuing treatment:</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(2) Baseline measurements to determine response:</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The Department of Human Services will determine whether a response to treatment has been demonstrated based on the baseline measurements of the Asthma Control Questionnaire (ACQ; 5 item version) or oral corticosteroid dose submitted with the Initial authority application for </w:t>
            </w:r>
            <w:r w:rsidRPr="00391B08">
              <w:rPr>
                <w:rFonts w:ascii="Arial Narrow" w:hAnsi="Arial Narrow"/>
                <w:b/>
                <w:sz w:val="20"/>
              </w:rPr>
              <w:t>omalizumab</w:t>
            </w:r>
            <w:r w:rsidRPr="007845A4">
              <w:rPr>
                <w:rFonts w:ascii="Arial Narrow" w:hAnsi="Arial Narrow"/>
                <w:sz w:val="20"/>
              </w:rPr>
              <w:t xml:space="preserve">. For patients transitioned from the paediatric to the adolescent/adult restriction, the exacerbation history may also be used to determine response. However, prescribers may provide new baseline measurements when a new Initial treatment authority application is submitted and the Department of Human Services will assess response according to these revised baseline measurements. </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(3) Re-commencement of treatment after a 6 month break in PBS-subsidised therapy:</w:t>
            </w:r>
          </w:p>
          <w:p w:rsidR="00F23103" w:rsidRPr="007845A4" w:rsidRDefault="00F23103" w:rsidP="00391B08">
            <w:pPr>
              <w:spacing w:before="40" w:after="40"/>
              <w:rPr>
                <w:rFonts w:ascii="Arial Narrow" w:hAnsi="Arial Narrow"/>
                <w:sz w:val="20"/>
              </w:rPr>
            </w:pPr>
          </w:p>
          <w:p w:rsidR="00F23103" w:rsidRPr="007845A4" w:rsidRDefault="00F23103" w:rsidP="00391B08">
            <w:pPr>
              <w:spacing w:before="40" w:after="40"/>
              <w:rPr>
                <w:rFonts w:ascii="Arial Narrow" w:hAnsi="Arial Narrow"/>
                <w:sz w:val="20"/>
              </w:rPr>
            </w:pPr>
            <w:r w:rsidRPr="007845A4">
              <w:rPr>
                <w:rFonts w:ascii="Arial Narrow" w:hAnsi="Arial Narrow"/>
                <w:sz w:val="20"/>
              </w:rPr>
              <w:t xml:space="preserve">A patient who wishes to trial a second or subsequent </w:t>
            </w:r>
            <w:r w:rsidRPr="00391B08">
              <w:rPr>
                <w:rFonts w:ascii="Arial Narrow" w:hAnsi="Arial Narrow"/>
                <w:b/>
                <w:sz w:val="20"/>
              </w:rPr>
              <w:t>omalizumab</w:t>
            </w:r>
            <w:r w:rsidRPr="007845A4">
              <w:rPr>
                <w:rFonts w:ascii="Arial Narrow" w:hAnsi="Arial Narrow"/>
                <w:sz w:val="20"/>
              </w:rPr>
              <w:t xml:space="preserve"> treatment cycle, or an initial mepolizumab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 </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(4) Monitoring of patients:</w:t>
            </w:r>
          </w:p>
          <w:p w:rsidR="00F23103" w:rsidRPr="007845A4" w:rsidRDefault="00F23103" w:rsidP="00391B08">
            <w:pPr>
              <w:spacing w:before="40" w:after="40"/>
              <w:rPr>
                <w:rFonts w:ascii="Arial Narrow" w:hAnsi="Arial Narrow"/>
                <w:sz w:val="20"/>
              </w:rPr>
            </w:pPr>
          </w:p>
          <w:p w:rsidR="00F23103" w:rsidRPr="00391B08" w:rsidRDefault="00F23103" w:rsidP="00391B08">
            <w:pPr>
              <w:spacing w:before="40" w:after="40"/>
              <w:rPr>
                <w:rFonts w:ascii="Arial Narrow" w:hAnsi="Arial Narrow"/>
                <w:b/>
                <w:sz w:val="20"/>
              </w:rPr>
            </w:pPr>
            <w:r w:rsidRPr="00391B08">
              <w:rPr>
                <w:rFonts w:ascii="Arial Narrow" w:hAnsi="Arial Narrow"/>
                <w:b/>
                <w:sz w:val="20"/>
              </w:rPr>
              <w:t>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possible and prompt medical attention should be sought if allergic reactions occur.</w:t>
            </w:r>
          </w:p>
          <w:p w:rsidR="00F23103" w:rsidRDefault="00F23103" w:rsidP="00391B08">
            <w:pPr>
              <w:spacing w:before="40" w:after="40"/>
              <w:rPr>
                <w:rFonts w:ascii="Arial Narrow" w:hAnsi="Arial Narrow"/>
                <w:sz w:val="20"/>
              </w:rPr>
            </w:pPr>
          </w:p>
          <w:p w:rsidR="00F23103" w:rsidRDefault="00F23103" w:rsidP="00391B08">
            <w:pPr>
              <w:spacing w:before="40" w:after="40"/>
              <w:rPr>
                <w:rFonts w:ascii="Arial Narrow" w:hAnsi="Arial Narrow"/>
                <w:sz w:val="20"/>
              </w:rPr>
            </w:pPr>
            <w:r w:rsidRPr="007845A4">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F23103" w:rsidRDefault="00F23103" w:rsidP="00391B08">
            <w:pPr>
              <w:spacing w:before="40" w:after="40"/>
              <w:rPr>
                <w:rFonts w:ascii="Arial Narrow" w:hAnsi="Arial Narrow"/>
                <w:sz w:val="20"/>
              </w:rPr>
            </w:pPr>
          </w:p>
          <w:p w:rsidR="00F23103" w:rsidRDefault="00F23103" w:rsidP="00391B08">
            <w:pPr>
              <w:spacing w:before="40" w:after="40"/>
              <w:rPr>
                <w:rFonts w:ascii="Arial Narrow" w:hAnsi="Arial Narrow"/>
                <w:sz w:val="20"/>
              </w:rPr>
            </w:pPr>
            <w:r w:rsidRPr="00404104">
              <w:rPr>
                <w:rFonts w:ascii="Arial Narrow" w:hAnsi="Arial Narrow"/>
                <w:sz w:val="20"/>
              </w:rPr>
              <w:t>Special Pricing Arrangements apply.</w:t>
            </w:r>
          </w:p>
        </w:tc>
      </w:tr>
    </w:tbl>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476245" w:rsidRPr="00E8149C" w:rsidRDefault="00FF2801" w:rsidP="00E8149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149C">
        <w:rPr>
          <w:rFonts w:asciiTheme="minorHAnsi" w:eastAsiaTheme="minorHAnsi" w:hAnsiTheme="minorHAnsi" w:cstheme="minorBidi"/>
          <w:snapToGrid/>
          <w:sz w:val="24"/>
          <w:szCs w:val="22"/>
        </w:rPr>
        <w:t>As a minor submission, there wa</w:t>
      </w:r>
      <w:r w:rsidR="00476245" w:rsidRPr="00E8149C">
        <w:rPr>
          <w:rFonts w:asciiTheme="minorHAnsi" w:eastAsiaTheme="minorHAnsi" w:hAnsiTheme="minorHAnsi" w:cstheme="minorBidi"/>
          <w:snapToGrid/>
          <w:sz w:val="24"/>
          <w:szCs w:val="22"/>
        </w:rPr>
        <w:t>s no economic comparison.</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106FCE" w:rsidRPr="00966D0D" w:rsidRDefault="00106FCE" w:rsidP="00106FC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106FCE" w:rsidRDefault="00106FCE" w:rsidP="00106FC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There was no hearing for this item as it was a minor submission. </w:t>
      </w:r>
    </w:p>
    <w:p w:rsidR="00106FCE" w:rsidRPr="00966D0D" w:rsidRDefault="00106FCE" w:rsidP="00106FC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106FCE" w:rsidRPr="00106FCE" w:rsidRDefault="00106FCE" w:rsidP="00106FC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no consumer comments were received for this item.  </w:t>
      </w:r>
    </w:p>
    <w:p w:rsidR="00122A14" w:rsidRPr="00966D0D" w:rsidRDefault="00122A14" w:rsidP="00122A14">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122A14" w:rsidRDefault="00F23CF7"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a minor submission no new clinical data was presented. </w:t>
      </w:r>
    </w:p>
    <w:p w:rsidR="006069C7" w:rsidRDefault="009679B7"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pivotal trial presented in the March 2016 and July 2016 mepolizumab submissions wa</w:t>
      </w:r>
      <w:r w:rsidR="004A2046">
        <w:rPr>
          <w:rFonts w:asciiTheme="minorHAnsi" w:eastAsiaTheme="minorHAnsi" w:hAnsiTheme="minorHAnsi" w:cstheme="minorBidi"/>
          <w:snapToGrid/>
          <w:sz w:val="24"/>
          <w:szCs w:val="22"/>
        </w:rPr>
        <w:t>s S</w:t>
      </w:r>
      <w:r>
        <w:rPr>
          <w:rFonts w:asciiTheme="minorHAnsi" w:eastAsiaTheme="minorHAnsi" w:hAnsiTheme="minorHAnsi" w:cstheme="minorBidi"/>
          <w:snapToGrid/>
          <w:sz w:val="24"/>
          <w:szCs w:val="22"/>
        </w:rPr>
        <w:t>tudy 588</w:t>
      </w:r>
      <w:r w:rsidR="00482183">
        <w:rPr>
          <w:rFonts w:asciiTheme="minorHAnsi" w:eastAsiaTheme="minorHAnsi" w:hAnsiTheme="minorHAnsi" w:cstheme="minorBidi"/>
          <w:snapToGrid/>
          <w:sz w:val="24"/>
          <w:szCs w:val="22"/>
        </w:rPr>
        <w:t xml:space="preserve"> (n=580)</w:t>
      </w:r>
      <w:r>
        <w:rPr>
          <w:rFonts w:asciiTheme="minorHAnsi" w:eastAsiaTheme="minorHAnsi" w:hAnsiTheme="minorHAnsi" w:cstheme="minorBidi"/>
          <w:snapToGrid/>
          <w:sz w:val="24"/>
          <w:szCs w:val="22"/>
        </w:rPr>
        <w:t>, a</w:t>
      </w:r>
      <w:r w:rsidR="00482183">
        <w:rPr>
          <w:rFonts w:asciiTheme="minorHAnsi" w:eastAsiaTheme="minorHAnsi" w:hAnsiTheme="minorHAnsi" w:cstheme="minorBidi"/>
          <w:snapToGrid/>
          <w:sz w:val="24"/>
          <w:szCs w:val="22"/>
        </w:rPr>
        <w:t xml:space="preserve"> 32-week</w:t>
      </w:r>
      <w:r>
        <w:rPr>
          <w:rFonts w:asciiTheme="minorHAnsi" w:eastAsiaTheme="minorHAnsi" w:hAnsiTheme="minorHAnsi" w:cstheme="minorBidi"/>
          <w:snapToGrid/>
          <w:sz w:val="24"/>
          <w:szCs w:val="22"/>
        </w:rPr>
        <w:t xml:space="preserve"> phase III randomised</w:t>
      </w:r>
      <w:r w:rsidR="00E76FB4">
        <w:rPr>
          <w:rFonts w:asciiTheme="minorHAnsi" w:eastAsiaTheme="minorHAnsi" w:hAnsiTheme="minorHAnsi" w:cstheme="minorBidi"/>
          <w:snapToGrid/>
          <w:sz w:val="24"/>
          <w:szCs w:val="22"/>
        </w:rPr>
        <w:t xml:space="preserve"> </w:t>
      </w:r>
      <w:r w:rsidR="00482183">
        <w:rPr>
          <w:rFonts w:asciiTheme="minorHAnsi" w:eastAsiaTheme="minorHAnsi" w:hAnsiTheme="minorHAnsi" w:cstheme="minorBidi"/>
          <w:snapToGrid/>
          <w:sz w:val="24"/>
          <w:szCs w:val="22"/>
        </w:rPr>
        <w:t xml:space="preserve">double-blind trial comparing mepolizumab </w:t>
      </w:r>
      <w:r w:rsidR="004F09DA">
        <w:rPr>
          <w:rFonts w:asciiTheme="minorHAnsi" w:eastAsiaTheme="minorHAnsi" w:hAnsiTheme="minorHAnsi" w:cstheme="minorBidi"/>
          <w:snapToGrid/>
          <w:sz w:val="24"/>
          <w:szCs w:val="22"/>
        </w:rPr>
        <w:t>with</w:t>
      </w:r>
      <w:r w:rsidR="00482183">
        <w:rPr>
          <w:rFonts w:asciiTheme="minorHAnsi" w:eastAsiaTheme="minorHAnsi" w:hAnsiTheme="minorHAnsi" w:cstheme="minorBidi"/>
          <w:snapToGrid/>
          <w:sz w:val="24"/>
          <w:szCs w:val="22"/>
        </w:rPr>
        <w:t xml:space="preserve"> standard of care in the treatment of severe uncontrolled refractory asthma. </w:t>
      </w:r>
    </w:p>
    <w:p w:rsidR="004A2046" w:rsidRDefault="004A2046"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indicated that the 6 week eosinophil blood test validity period specified in the </w:t>
      </w:r>
      <w:r w:rsidR="004F09DA">
        <w:rPr>
          <w:rFonts w:asciiTheme="minorHAnsi" w:eastAsiaTheme="minorHAnsi" w:hAnsiTheme="minorHAnsi" w:cstheme="minorBidi"/>
          <w:snapToGrid/>
          <w:sz w:val="24"/>
          <w:szCs w:val="22"/>
        </w:rPr>
        <w:t xml:space="preserve">current </w:t>
      </w:r>
      <w:r>
        <w:rPr>
          <w:rFonts w:asciiTheme="minorHAnsi" w:eastAsiaTheme="minorHAnsi" w:hAnsiTheme="minorHAnsi" w:cstheme="minorBidi"/>
          <w:snapToGrid/>
          <w:sz w:val="24"/>
          <w:szCs w:val="22"/>
        </w:rPr>
        <w:t xml:space="preserve">mepolizumab restriction is based on the 6 week run-in period post eosinophil screening to treatment initiation applied in Study 588. </w:t>
      </w:r>
    </w:p>
    <w:p w:rsidR="00262B76" w:rsidRPr="001F3AE9" w:rsidRDefault="00E76FB4"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F3AE9">
        <w:rPr>
          <w:rFonts w:asciiTheme="minorHAnsi" w:eastAsiaTheme="minorHAnsi" w:hAnsiTheme="minorHAnsi" w:cstheme="minorBidi"/>
          <w:snapToGrid/>
          <w:sz w:val="24"/>
          <w:szCs w:val="22"/>
        </w:rPr>
        <w:t xml:space="preserve">The </w:t>
      </w:r>
      <w:r w:rsidR="00BE2398">
        <w:rPr>
          <w:rFonts w:asciiTheme="minorHAnsi" w:eastAsiaTheme="minorHAnsi" w:hAnsiTheme="minorHAnsi" w:cstheme="minorBidi"/>
          <w:snapToGrid/>
          <w:sz w:val="24"/>
          <w:szCs w:val="22"/>
        </w:rPr>
        <w:t>PBAC</w:t>
      </w:r>
      <w:r w:rsidR="00BE2398" w:rsidRPr="001F3AE9">
        <w:rPr>
          <w:rFonts w:asciiTheme="minorHAnsi" w:eastAsiaTheme="minorHAnsi" w:hAnsiTheme="minorHAnsi" w:cstheme="minorBidi"/>
          <w:snapToGrid/>
          <w:sz w:val="24"/>
          <w:szCs w:val="22"/>
        </w:rPr>
        <w:t xml:space="preserve"> </w:t>
      </w:r>
      <w:r w:rsidR="00175476" w:rsidRPr="001F3AE9">
        <w:rPr>
          <w:rFonts w:asciiTheme="minorHAnsi" w:eastAsiaTheme="minorHAnsi" w:hAnsiTheme="minorHAnsi" w:cstheme="minorBidi"/>
          <w:snapToGrid/>
          <w:sz w:val="24"/>
          <w:szCs w:val="22"/>
        </w:rPr>
        <w:t>note</w:t>
      </w:r>
      <w:r w:rsidR="00175476">
        <w:rPr>
          <w:rFonts w:asciiTheme="minorHAnsi" w:eastAsiaTheme="minorHAnsi" w:hAnsiTheme="minorHAnsi" w:cstheme="minorBidi"/>
          <w:snapToGrid/>
          <w:sz w:val="24"/>
          <w:szCs w:val="22"/>
        </w:rPr>
        <w:t>d</w:t>
      </w:r>
      <w:r w:rsidRPr="001F3AE9">
        <w:rPr>
          <w:rFonts w:asciiTheme="minorHAnsi" w:eastAsiaTheme="minorHAnsi" w:hAnsiTheme="minorHAnsi" w:cstheme="minorBidi"/>
          <w:snapToGrid/>
          <w:sz w:val="24"/>
          <w:szCs w:val="22"/>
        </w:rPr>
        <w:t xml:space="preserve"> that the key eligibility criteria for Study 588 includes peripheral blood eosinophil count greater than or equal to 300 cells per microlitre in the past 12 months.</w:t>
      </w:r>
    </w:p>
    <w:p w:rsidR="00930650" w:rsidRDefault="00BB460A"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omalizumab listing for the treatment of uncontrolled severe allergic asthma was largely based on the data from Trial 2306</w:t>
      </w:r>
      <w:r w:rsidR="00930650">
        <w:rPr>
          <w:rFonts w:asciiTheme="minorHAnsi" w:eastAsiaTheme="minorHAnsi" w:hAnsiTheme="minorHAnsi" w:cstheme="minorBidi"/>
          <w:snapToGrid/>
          <w:sz w:val="24"/>
          <w:szCs w:val="22"/>
        </w:rPr>
        <w:t xml:space="preserve"> (INNOVATE)</w:t>
      </w:r>
      <w:r w:rsidR="00175476">
        <w:rPr>
          <w:rFonts w:asciiTheme="minorHAnsi" w:eastAsiaTheme="minorHAnsi" w:hAnsiTheme="minorHAnsi" w:cstheme="minorBidi"/>
          <w:snapToGrid/>
          <w:sz w:val="24"/>
          <w:szCs w:val="22"/>
        </w:rPr>
        <w:t>;</w:t>
      </w:r>
      <w:r w:rsidR="00A45E35">
        <w:rPr>
          <w:rFonts w:asciiTheme="minorHAnsi" w:eastAsiaTheme="minorHAnsi" w:hAnsiTheme="minorHAnsi" w:cstheme="minorBidi"/>
          <w:snapToGrid/>
          <w:sz w:val="24"/>
          <w:szCs w:val="22"/>
        </w:rPr>
        <w:t xml:space="preserve"> </w:t>
      </w:r>
      <w:r w:rsidR="00130FFC">
        <w:rPr>
          <w:rFonts w:asciiTheme="minorHAnsi" w:eastAsiaTheme="minorHAnsi" w:hAnsiTheme="minorHAnsi" w:cstheme="minorBidi"/>
          <w:snapToGrid/>
          <w:sz w:val="24"/>
          <w:szCs w:val="22"/>
        </w:rPr>
        <w:t>a</w:t>
      </w:r>
      <w:r>
        <w:rPr>
          <w:rFonts w:asciiTheme="minorHAnsi" w:eastAsiaTheme="minorHAnsi" w:hAnsiTheme="minorHAnsi" w:cstheme="minorBidi"/>
          <w:snapToGrid/>
          <w:sz w:val="24"/>
          <w:szCs w:val="22"/>
        </w:rPr>
        <w:t xml:space="preserve"> 28-week phase III randomised double-blind trial </w:t>
      </w:r>
      <w:r w:rsidR="00DB3486">
        <w:rPr>
          <w:rFonts w:asciiTheme="minorHAnsi" w:eastAsiaTheme="minorHAnsi" w:hAnsiTheme="minorHAnsi" w:cstheme="minorBidi"/>
          <w:snapToGrid/>
          <w:sz w:val="24"/>
          <w:szCs w:val="22"/>
        </w:rPr>
        <w:t>assessing the efficacy of omalizumab + optimal asthma therapy versus placebo + optimal asthma therapy</w:t>
      </w:r>
      <w:r w:rsidR="00130FFC">
        <w:rPr>
          <w:rFonts w:asciiTheme="minorHAnsi" w:eastAsiaTheme="minorHAnsi" w:hAnsiTheme="minorHAnsi" w:cstheme="minorBidi"/>
          <w:snapToGrid/>
          <w:sz w:val="24"/>
          <w:szCs w:val="22"/>
        </w:rPr>
        <w:t xml:space="preserve">. </w:t>
      </w:r>
      <w:r w:rsidR="00930650">
        <w:rPr>
          <w:rFonts w:asciiTheme="minorHAnsi" w:eastAsiaTheme="minorHAnsi" w:hAnsiTheme="minorHAnsi" w:cstheme="minorBidi"/>
          <w:snapToGrid/>
          <w:sz w:val="24"/>
          <w:szCs w:val="22"/>
        </w:rPr>
        <w:t xml:space="preserve">Two open label studies </w:t>
      </w:r>
      <w:r w:rsidR="00DC70F1">
        <w:rPr>
          <w:rFonts w:asciiTheme="minorHAnsi" w:eastAsiaTheme="minorHAnsi" w:hAnsiTheme="minorHAnsi" w:cstheme="minorBidi"/>
          <w:snapToGrid/>
          <w:sz w:val="24"/>
          <w:szCs w:val="22"/>
        </w:rPr>
        <w:t>Trial 2425</w:t>
      </w:r>
      <w:r w:rsidR="00930650">
        <w:rPr>
          <w:rFonts w:asciiTheme="minorHAnsi" w:eastAsiaTheme="minorHAnsi" w:hAnsiTheme="minorHAnsi" w:cstheme="minorBidi"/>
          <w:snapToGrid/>
          <w:sz w:val="24"/>
          <w:szCs w:val="22"/>
        </w:rPr>
        <w:t xml:space="preserve"> (EXALT)</w:t>
      </w:r>
      <w:r w:rsidR="00DC70F1">
        <w:rPr>
          <w:rFonts w:asciiTheme="minorHAnsi" w:eastAsiaTheme="minorHAnsi" w:hAnsiTheme="minorHAnsi" w:cstheme="minorBidi"/>
          <w:snapToGrid/>
          <w:sz w:val="24"/>
          <w:szCs w:val="22"/>
        </w:rPr>
        <w:t xml:space="preserve"> and Trial IA04</w:t>
      </w:r>
      <w:r w:rsidR="00930650">
        <w:rPr>
          <w:rFonts w:asciiTheme="minorHAnsi" w:eastAsiaTheme="minorHAnsi" w:hAnsiTheme="minorHAnsi" w:cstheme="minorBidi"/>
          <w:snapToGrid/>
          <w:sz w:val="24"/>
          <w:szCs w:val="22"/>
        </w:rPr>
        <w:t xml:space="preserve"> (ETOPA) </w:t>
      </w:r>
      <w:r w:rsidR="00175476">
        <w:rPr>
          <w:rFonts w:asciiTheme="minorHAnsi" w:eastAsiaTheme="minorHAnsi" w:hAnsiTheme="minorHAnsi" w:cstheme="minorBidi"/>
          <w:snapToGrid/>
          <w:sz w:val="24"/>
          <w:szCs w:val="22"/>
        </w:rPr>
        <w:t>was</w:t>
      </w:r>
      <w:r w:rsidR="00930650">
        <w:rPr>
          <w:rFonts w:asciiTheme="minorHAnsi" w:eastAsiaTheme="minorHAnsi" w:hAnsiTheme="minorHAnsi" w:cstheme="minorBidi"/>
          <w:snapToGrid/>
          <w:sz w:val="24"/>
          <w:szCs w:val="22"/>
        </w:rPr>
        <w:t xml:space="preserve"> provided as supporting evidence in the omalizumab submission</w:t>
      </w:r>
      <w:r w:rsidR="001A2B63">
        <w:rPr>
          <w:rFonts w:asciiTheme="minorHAnsi" w:eastAsiaTheme="minorHAnsi" w:hAnsiTheme="minorHAnsi" w:cstheme="minorBidi"/>
          <w:snapToGrid/>
          <w:sz w:val="24"/>
          <w:szCs w:val="22"/>
        </w:rPr>
        <w:t>s</w:t>
      </w:r>
      <w:r w:rsidR="00930650">
        <w:rPr>
          <w:rFonts w:asciiTheme="minorHAnsi" w:eastAsiaTheme="minorHAnsi" w:hAnsiTheme="minorHAnsi" w:cstheme="minorBidi"/>
          <w:snapToGrid/>
          <w:sz w:val="24"/>
          <w:szCs w:val="22"/>
        </w:rPr>
        <w:t xml:space="preserve">. </w:t>
      </w:r>
    </w:p>
    <w:p w:rsidR="00E76FB4" w:rsidRDefault="00930650" w:rsidP="00F23CF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argued that the 12 month IgE test validity period currently specified in the omalizumab restriction</w:t>
      </w:r>
      <w:r w:rsidR="001A2B63">
        <w:rPr>
          <w:rFonts w:asciiTheme="minorHAnsi" w:eastAsiaTheme="minorHAnsi" w:hAnsiTheme="minorHAnsi" w:cstheme="minorBidi"/>
          <w:snapToGrid/>
          <w:sz w:val="24"/>
          <w:szCs w:val="22"/>
        </w:rPr>
        <w:t xml:space="preserve"> for the treatment of uncontrolled severe allergic asthma</w:t>
      </w:r>
      <w:r>
        <w:rPr>
          <w:rFonts w:asciiTheme="minorHAnsi" w:eastAsiaTheme="minorHAnsi" w:hAnsiTheme="minorHAnsi" w:cstheme="minorBidi"/>
          <w:snapToGrid/>
          <w:sz w:val="24"/>
          <w:szCs w:val="22"/>
        </w:rPr>
        <w:t xml:space="preserve"> was not based on evidence from the omalizumab clinical trials noting that the timing of baseline IgE assessments prior to</w:t>
      </w:r>
      <w:r w:rsidR="002E4812">
        <w:rPr>
          <w:rFonts w:asciiTheme="minorHAnsi" w:eastAsiaTheme="minorHAnsi" w:hAnsiTheme="minorHAnsi" w:cstheme="minorBidi"/>
          <w:snapToGrid/>
          <w:sz w:val="24"/>
          <w:szCs w:val="22"/>
        </w:rPr>
        <w:t xml:space="preserve"> initial</w:t>
      </w:r>
      <w:r>
        <w:rPr>
          <w:rFonts w:asciiTheme="minorHAnsi" w:eastAsiaTheme="minorHAnsi" w:hAnsiTheme="minorHAnsi" w:cstheme="minorBidi"/>
          <w:snapToGrid/>
          <w:sz w:val="24"/>
          <w:szCs w:val="22"/>
        </w:rPr>
        <w:t xml:space="preserve"> treatment for these trials ranged from 4 to 9 weeks. </w:t>
      </w:r>
    </w:p>
    <w:p w:rsidR="005D5004" w:rsidRPr="001F3AE9" w:rsidRDefault="005D5004" w:rsidP="005D500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F3AE9">
        <w:rPr>
          <w:rFonts w:asciiTheme="minorHAnsi" w:eastAsiaTheme="minorHAnsi" w:hAnsiTheme="minorHAnsi" w:cstheme="minorBidi"/>
          <w:snapToGrid/>
          <w:sz w:val="24"/>
          <w:szCs w:val="22"/>
        </w:rPr>
        <w:t>The submission presented the clinical claim that IgE levels varied in a comparable manner to blood eosinophil levels such that a validity period of 12 months, if imposed on eosinophil assessments, would affect eligibility for PBS funded mepolizumab similarly to PBS funded omalizumab. Two studies (a retrospective analysis by Mummadi et al 2012 and a prospective study by Hatipoglu et al 2016) based in the United States were presented in the submission in support of IgE variability. The submission presented Study 997 and 558 in support of eosinophil variability. Both of these studies were previously presented in the mepolizumab submissions.</w:t>
      </w:r>
    </w:p>
    <w:p w:rsidR="003C49BC" w:rsidRPr="003C49BC" w:rsidRDefault="003C49BC" w:rsidP="003C49BC">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Basis of request</w:t>
      </w:r>
    </w:p>
    <w:p w:rsidR="005276B5" w:rsidRPr="005276B5" w:rsidRDefault="0076420C" w:rsidP="003A03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basis of the minor submission’s request </w:t>
      </w:r>
      <w:r w:rsidR="00FF2801" w:rsidRPr="001B2BBC">
        <w:rPr>
          <w:rFonts w:asciiTheme="minorHAnsi" w:eastAsiaTheme="minorHAnsi" w:hAnsiTheme="minorHAnsi" w:cstheme="minorBidi"/>
          <w:snapToGrid/>
          <w:sz w:val="24"/>
          <w:szCs w:val="22"/>
        </w:rPr>
        <w:t>wa</w:t>
      </w:r>
      <w:r w:rsidRPr="001B2BBC">
        <w:rPr>
          <w:rFonts w:asciiTheme="minorHAnsi" w:eastAsiaTheme="minorHAnsi" w:hAnsiTheme="minorHAnsi" w:cstheme="minorBidi"/>
          <w:snapToGrid/>
          <w:sz w:val="24"/>
          <w:szCs w:val="22"/>
        </w:rPr>
        <w:t>s</w:t>
      </w:r>
      <w:r w:rsidR="00AB249B">
        <w:rPr>
          <w:rFonts w:asciiTheme="minorHAnsi" w:eastAsiaTheme="minorHAnsi" w:hAnsiTheme="minorHAnsi" w:cstheme="minorBidi"/>
          <w:snapToGrid/>
          <w:sz w:val="24"/>
          <w:szCs w:val="22"/>
        </w:rPr>
        <w:t xml:space="preserve"> c</w:t>
      </w:r>
      <w:r w:rsidRPr="001B2BBC">
        <w:rPr>
          <w:rFonts w:asciiTheme="minorHAnsi" w:eastAsiaTheme="minorHAnsi" w:hAnsiTheme="minorHAnsi" w:cstheme="minorBidi"/>
          <w:snapToGrid/>
          <w:sz w:val="24"/>
          <w:szCs w:val="22"/>
        </w:rPr>
        <w:t>li</w:t>
      </w:r>
      <w:r w:rsidR="00641C12">
        <w:rPr>
          <w:rFonts w:asciiTheme="minorHAnsi" w:eastAsiaTheme="minorHAnsi" w:hAnsiTheme="minorHAnsi" w:cstheme="minorBidi"/>
          <w:snapToGrid/>
          <w:sz w:val="24"/>
          <w:szCs w:val="22"/>
        </w:rPr>
        <w:t xml:space="preserve">nician support for </w:t>
      </w:r>
      <w:r w:rsidR="006F4A8C">
        <w:rPr>
          <w:rFonts w:asciiTheme="minorHAnsi" w:eastAsiaTheme="minorHAnsi" w:hAnsiTheme="minorHAnsi" w:cstheme="minorBidi"/>
          <w:snapToGrid/>
          <w:sz w:val="24"/>
          <w:szCs w:val="22"/>
        </w:rPr>
        <w:t xml:space="preserve">the </w:t>
      </w:r>
      <w:r w:rsidR="00641C12">
        <w:rPr>
          <w:rFonts w:asciiTheme="minorHAnsi" w:eastAsiaTheme="minorHAnsi" w:hAnsiTheme="minorHAnsi" w:cstheme="minorBidi"/>
          <w:snapToGrid/>
          <w:sz w:val="24"/>
          <w:szCs w:val="22"/>
        </w:rPr>
        <w:t>validity period of the eosinophil</w:t>
      </w:r>
      <w:r w:rsidR="002E5ED3">
        <w:rPr>
          <w:rFonts w:asciiTheme="minorHAnsi" w:eastAsiaTheme="minorHAnsi" w:hAnsiTheme="minorHAnsi" w:cstheme="minorBidi"/>
          <w:snapToGrid/>
          <w:sz w:val="24"/>
          <w:szCs w:val="22"/>
        </w:rPr>
        <w:t xml:space="preserve"> blood</w:t>
      </w:r>
      <w:r w:rsidR="00641C12">
        <w:rPr>
          <w:rFonts w:asciiTheme="minorHAnsi" w:eastAsiaTheme="minorHAnsi" w:hAnsiTheme="minorHAnsi" w:cstheme="minorBidi"/>
          <w:snapToGrid/>
          <w:sz w:val="24"/>
          <w:szCs w:val="22"/>
        </w:rPr>
        <w:t xml:space="preserve"> test </w:t>
      </w:r>
      <w:r w:rsidR="003E2118">
        <w:rPr>
          <w:rFonts w:asciiTheme="minorHAnsi" w:eastAsiaTheme="minorHAnsi" w:hAnsiTheme="minorHAnsi" w:cstheme="minorBidi"/>
          <w:snapToGrid/>
          <w:sz w:val="24"/>
          <w:szCs w:val="22"/>
        </w:rPr>
        <w:t xml:space="preserve">to be extended to 12 months in the mepolizumab PBS eligibility criteria </w:t>
      </w:r>
      <w:r w:rsidR="00641C12">
        <w:rPr>
          <w:rFonts w:asciiTheme="minorHAnsi" w:eastAsiaTheme="minorHAnsi" w:hAnsiTheme="minorHAnsi" w:cstheme="minorBidi"/>
          <w:snapToGrid/>
          <w:sz w:val="24"/>
          <w:szCs w:val="22"/>
        </w:rPr>
        <w:t xml:space="preserve">to align with the </w:t>
      </w:r>
      <w:r w:rsidR="003E2118">
        <w:rPr>
          <w:rFonts w:asciiTheme="minorHAnsi" w:eastAsiaTheme="minorHAnsi" w:hAnsiTheme="minorHAnsi" w:cstheme="minorBidi"/>
          <w:snapToGrid/>
          <w:sz w:val="24"/>
          <w:szCs w:val="22"/>
        </w:rPr>
        <w:t xml:space="preserve">IgE test </w:t>
      </w:r>
      <w:r w:rsidR="00641C12">
        <w:rPr>
          <w:rFonts w:asciiTheme="minorHAnsi" w:eastAsiaTheme="minorHAnsi" w:hAnsiTheme="minorHAnsi" w:cstheme="minorBidi"/>
          <w:snapToGrid/>
          <w:sz w:val="24"/>
          <w:szCs w:val="22"/>
        </w:rPr>
        <w:t xml:space="preserve">validity period of 12 months </w:t>
      </w:r>
      <w:r w:rsidR="003E2118">
        <w:rPr>
          <w:rFonts w:asciiTheme="minorHAnsi" w:eastAsiaTheme="minorHAnsi" w:hAnsiTheme="minorHAnsi" w:cstheme="minorBidi"/>
          <w:snapToGrid/>
          <w:sz w:val="24"/>
          <w:szCs w:val="22"/>
        </w:rPr>
        <w:t xml:space="preserve">in the PBS eligibility criteria for </w:t>
      </w:r>
      <w:r w:rsidR="00175141">
        <w:rPr>
          <w:rFonts w:asciiTheme="minorHAnsi" w:eastAsiaTheme="minorHAnsi" w:hAnsiTheme="minorHAnsi" w:cstheme="minorBidi"/>
          <w:snapToGrid/>
          <w:sz w:val="24"/>
          <w:szCs w:val="22"/>
        </w:rPr>
        <w:t>omalizumab.</w:t>
      </w:r>
    </w:p>
    <w:p w:rsidR="006F4A8C" w:rsidRPr="006F4A8C" w:rsidRDefault="00F569F5" w:rsidP="009805C6">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included </w:t>
      </w:r>
      <w:r w:rsidR="006F4A8C" w:rsidRPr="006F4A8C">
        <w:rPr>
          <w:rFonts w:asciiTheme="minorHAnsi" w:eastAsiaTheme="minorHAnsi" w:hAnsiTheme="minorHAnsi" w:cstheme="minorBidi"/>
          <w:snapToGrid/>
          <w:sz w:val="24"/>
          <w:szCs w:val="22"/>
        </w:rPr>
        <w:t xml:space="preserve">clinical </w:t>
      </w:r>
      <w:r w:rsidR="00E05646">
        <w:rPr>
          <w:rFonts w:asciiTheme="minorHAnsi" w:eastAsiaTheme="minorHAnsi" w:hAnsiTheme="minorHAnsi" w:cstheme="minorBidi"/>
          <w:snapToGrid/>
          <w:sz w:val="24"/>
          <w:szCs w:val="22"/>
        </w:rPr>
        <w:t xml:space="preserve">opinion </w:t>
      </w:r>
      <w:r>
        <w:rPr>
          <w:rFonts w:asciiTheme="minorHAnsi" w:eastAsiaTheme="minorHAnsi" w:hAnsiTheme="minorHAnsi" w:cstheme="minorBidi"/>
          <w:snapToGrid/>
          <w:sz w:val="24"/>
          <w:szCs w:val="22"/>
        </w:rPr>
        <w:t>from three Australian respiratory specialists</w:t>
      </w:r>
      <w:r w:rsidR="006F4A8C" w:rsidRPr="006F4A8C">
        <w:rPr>
          <w:rFonts w:asciiTheme="minorHAnsi" w:eastAsiaTheme="minorHAnsi" w:hAnsiTheme="minorHAnsi" w:cstheme="minorBidi"/>
          <w:snapToGrid/>
          <w:sz w:val="24"/>
          <w:szCs w:val="22"/>
        </w:rPr>
        <w:t xml:space="preserve"> regarding the burden on patients and prescribers imposed by the</w:t>
      </w:r>
      <w:r w:rsidR="00876A27">
        <w:rPr>
          <w:rFonts w:asciiTheme="minorHAnsi" w:eastAsiaTheme="minorHAnsi" w:hAnsiTheme="minorHAnsi" w:cstheme="minorBidi"/>
          <w:snapToGrid/>
          <w:sz w:val="24"/>
          <w:szCs w:val="22"/>
        </w:rPr>
        <w:t xml:space="preserve"> current</w:t>
      </w:r>
      <w:r w:rsidR="006F4A8C" w:rsidRPr="006F4A8C">
        <w:rPr>
          <w:rFonts w:asciiTheme="minorHAnsi" w:eastAsiaTheme="minorHAnsi" w:hAnsiTheme="minorHAnsi" w:cstheme="minorBidi"/>
          <w:snapToGrid/>
          <w:sz w:val="24"/>
          <w:szCs w:val="22"/>
        </w:rPr>
        <w:t xml:space="preserve"> 6 week eosinophil</w:t>
      </w:r>
      <w:r w:rsidR="002E5ED3">
        <w:rPr>
          <w:rFonts w:asciiTheme="minorHAnsi" w:eastAsiaTheme="minorHAnsi" w:hAnsiTheme="minorHAnsi" w:cstheme="minorBidi"/>
          <w:snapToGrid/>
          <w:sz w:val="24"/>
          <w:szCs w:val="22"/>
        </w:rPr>
        <w:t xml:space="preserve"> blood test</w:t>
      </w:r>
      <w:r w:rsidR="006F4A8C" w:rsidRPr="006F4A8C">
        <w:rPr>
          <w:rFonts w:asciiTheme="minorHAnsi" w:eastAsiaTheme="minorHAnsi" w:hAnsiTheme="minorHAnsi" w:cstheme="minorBidi"/>
          <w:snapToGrid/>
          <w:sz w:val="24"/>
          <w:szCs w:val="22"/>
        </w:rPr>
        <w:t xml:space="preserve"> validity period</w:t>
      </w:r>
      <w:r w:rsidR="00E05646">
        <w:rPr>
          <w:rFonts w:asciiTheme="minorHAnsi" w:eastAsiaTheme="minorHAnsi" w:hAnsiTheme="minorHAnsi" w:cstheme="minorBidi"/>
          <w:snapToGrid/>
          <w:sz w:val="24"/>
          <w:szCs w:val="22"/>
        </w:rPr>
        <w:t xml:space="preserve"> in the mepolizumab </w:t>
      </w:r>
      <w:r w:rsidR="005F1A45">
        <w:rPr>
          <w:rFonts w:asciiTheme="minorHAnsi" w:eastAsiaTheme="minorHAnsi" w:hAnsiTheme="minorHAnsi" w:cstheme="minorBidi"/>
          <w:snapToGrid/>
          <w:sz w:val="24"/>
          <w:szCs w:val="22"/>
        </w:rPr>
        <w:t>PBS eligibility criteria</w:t>
      </w:r>
      <w:r w:rsidR="006F4A8C" w:rsidRPr="006F4A8C">
        <w:rPr>
          <w:rFonts w:asciiTheme="minorHAnsi" w:eastAsiaTheme="minorHAnsi" w:hAnsiTheme="minorHAnsi" w:cstheme="minorBidi"/>
          <w:snapToGrid/>
          <w:sz w:val="24"/>
          <w:szCs w:val="22"/>
        </w:rPr>
        <w:t xml:space="preserve"> and why IgE and </w:t>
      </w:r>
      <w:r w:rsidR="00EB3D6C" w:rsidRPr="006F4A8C">
        <w:rPr>
          <w:rFonts w:asciiTheme="minorHAnsi" w:eastAsiaTheme="minorHAnsi" w:hAnsiTheme="minorHAnsi" w:cstheme="minorBidi"/>
          <w:snapToGrid/>
          <w:sz w:val="24"/>
          <w:szCs w:val="22"/>
        </w:rPr>
        <w:t>eosinophils</w:t>
      </w:r>
      <w:r w:rsidR="006F4A8C" w:rsidRPr="006F4A8C">
        <w:rPr>
          <w:rFonts w:asciiTheme="minorHAnsi" w:eastAsiaTheme="minorHAnsi" w:hAnsiTheme="minorHAnsi" w:cstheme="minorBidi"/>
          <w:snapToGrid/>
          <w:sz w:val="24"/>
          <w:szCs w:val="22"/>
        </w:rPr>
        <w:t xml:space="preserve"> should be subject to the same test validity period of 12 months. </w:t>
      </w:r>
      <w:r w:rsidR="00F51437">
        <w:rPr>
          <w:rFonts w:asciiTheme="minorHAnsi" w:eastAsiaTheme="minorHAnsi" w:hAnsiTheme="minorHAnsi" w:cstheme="minorBidi"/>
          <w:snapToGrid/>
          <w:sz w:val="24"/>
          <w:szCs w:val="22"/>
        </w:rPr>
        <w:t>The submission</w:t>
      </w:r>
      <w:r w:rsidR="006F4A8C" w:rsidRPr="006F4A8C">
        <w:rPr>
          <w:rFonts w:asciiTheme="minorHAnsi" w:eastAsiaTheme="minorHAnsi" w:hAnsiTheme="minorHAnsi" w:cstheme="minorBidi"/>
          <w:snapToGrid/>
          <w:sz w:val="24"/>
          <w:szCs w:val="22"/>
        </w:rPr>
        <w:t xml:space="preserve"> noted that eosinophil measurements would be available within the 12 month period before application.</w:t>
      </w:r>
      <w:r w:rsidR="005F1A45">
        <w:rPr>
          <w:rFonts w:asciiTheme="minorHAnsi" w:eastAsiaTheme="minorHAnsi" w:hAnsiTheme="minorHAnsi" w:cstheme="minorBidi"/>
          <w:snapToGrid/>
          <w:sz w:val="24"/>
          <w:szCs w:val="22"/>
        </w:rPr>
        <w:t xml:space="preserve"> </w:t>
      </w:r>
      <w:r w:rsidR="00861E7C">
        <w:rPr>
          <w:rFonts w:asciiTheme="minorHAnsi" w:eastAsiaTheme="minorHAnsi" w:hAnsiTheme="minorHAnsi" w:cstheme="minorBidi"/>
          <w:snapToGrid/>
          <w:sz w:val="24"/>
          <w:szCs w:val="22"/>
        </w:rPr>
        <w:t>The PBAC considered this to be reasonable.</w:t>
      </w:r>
    </w:p>
    <w:p w:rsidR="006F4A8C" w:rsidRPr="006F4A8C" w:rsidRDefault="009B06C4" w:rsidP="009805C6">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According to clinical </w:t>
      </w:r>
      <w:r w:rsidR="004229ED">
        <w:rPr>
          <w:rFonts w:asciiTheme="minorHAnsi" w:eastAsiaTheme="minorHAnsi" w:hAnsiTheme="minorHAnsi" w:cstheme="minorBidi"/>
          <w:snapToGrid/>
          <w:sz w:val="24"/>
          <w:szCs w:val="22"/>
        </w:rPr>
        <w:t>opinion in the submission,</w:t>
      </w:r>
      <w:r w:rsidR="006F4A8C" w:rsidRPr="006F4A8C">
        <w:rPr>
          <w:rFonts w:asciiTheme="minorHAnsi" w:eastAsiaTheme="minorHAnsi" w:hAnsiTheme="minorHAnsi" w:cstheme="minorBidi"/>
          <w:snapToGrid/>
          <w:sz w:val="24"/>
          <w:szCs w:val="22"/>
        </w:rPr>
        <w:t xml:space="preserve"> prescribers reduce or withdraw oral corticosteroids to maximise the likelihood of obtaining an eosinophil </w:t>
      </w:r>
      <w:r w:rsidR="005F1A45">
        <w:rPr>
          <w:rFonts w:asciiTheme="minorHAnsi" w:eastAsiaTheme="minorHAnsi" w:hAnsiTheme="minorHAnsi" w:cstheme="minorBidi"/>
          <w:snapToGrid/>
          <w:sz w:val="24"/>
          <w:szCs w:val="22"/>
        </w:rPr>
        <w:t xml:space="preserve">blood </w:t>
      </w:r>
      <w:r w:rsidR="006F4A8C" w:rsidRPr="006F4A8C">
        <w:rPr>
          <w:rFonts w:asciiTheme="minorHAnsi" w:eastAsiaTheme="minorHAnsi" w:hAnsiTheme="minorHAnsi" w:cstheme="minorBidi"/>
          <w:snapToGrid/>
          <w:sz w:val="24"/>
          <w:szCs w:val="22"/>
        </w:rPr>
        <w:t>count</w:t>
      </w:r>
      <w:r w:rsidR="005F1A45">
        <w:rPr>
          <w:rFonts w:asciiTheme="minorHAnsi" w:eastAsiaTheme="minorHAnsi" w:hAnsiTheme="minorHAnsi" w:cstheme="minorBidi"/>
          <w:snapToGrid/>
          <w:sz w:val="24"/>
          <w:szCs w:val="22"/>
        </w:rPr>
        <w:t xml:space="preserve"> of</w:t>
      </w:r>
      <w:r w:rsidR="006F4A8C" w:rsidRPr="006F4A8C">
        <w:rPr>
          <w:rFonts w:asciiTheme="minorHAnsi" w:eastAsiaTheme="minorHAnsi" w:hAnsiTheme="minorHAnsi" w:cstheme="minorBidi"/>
          <w:snapToGrid/>
          <w:sz w:val="24"/>
          <w:szCs w:val="22"/>
        </w:rPr>
        <w:t xml:space="preserve"> ≥ 300 cells per microliter within the 6 week period</w:t>
      </w:r>
      <w:r w:rsidR="004229ED">
        <w:rPr>
          <w:rFonts w:asciiTheme="minorHAnsi" w:eastAsiaTheme="minorHAnsi" w:hAnsiTheme="minorHAnsi" w:cstheme="minorBidi"/>
          <w:snapToGrid/>
          <w:sz w:val="24"/>
          <w:szCs w:val="22"/>
        </w:rPr>
        <w:t xml:space="preserve"> d</w:t>
      </w:r>
      <w:r w:rsidR="006F4A8C" w:rsidRPr="006F4A8C">
        <w:rPr>
          <w:rFonts w:asciiTheme="minorHAnsi" w:eastAsiaTheme="minorHAnsi" w:hAnsiTheme="minorHAnsi" w:cstheme="minorBidi"/>
          <w:snapToGrid/>
          <w:sz w:val="24"/>
          <w:szCs w:val="22"/>
        </w:rPr>
        <w:t xml:space="preserve">espite </w:t>
      </w:r>
      <w:r w:rsidR="004229ED">
        <w:rPr>
          <w:rFonts w:asciiTheme="minorHAnsi" w:eastAsiaTheme="minorHAnsi" w:hAnsiTheme="minorHAnsi" w:cstheme="minorBidi"/>
          <w:snapToGrid/>
          <w:sz w:val="24"/>
          <w:szCs w:val="22"/>
        </w:rPr>
        <w:t>that it is widely</w:t>
      </w:r>
      <w:r w:rsidR="006F4A8C" w:rsidRPr="006F4A8C">
        <w:rPr>
          <w:rFonts w:asciiTheme="minorHAnsi" w:eastAsiaTheme="minorHAnsi" w:hAnsiTheme="minorHAnsi" w:cstheme="minorBidi"/>
          <w:snapToGrid/>
          <w:sz w:val="24"/>
          <w:szCs w:val="22"/>
        </w:rPr>
        <w:t xml:space="preserve"> acknowledge</w:t>
      </w:r>
      <w:r>
        <w:rPr>
          <w:rFonts w:asciiTheme="minorHAnsi" w:eastAsiaTheme="minorHAnsi" w:hAnsiTheme="minorHAnsi" w:cstheme="minorBidi"/>
          <w:snapToGrid/>
          <w:sz w:val="24"/>
          <w:szCs w:val="22"/>
        </w:rPr>
        <w:t>d</w:t>
      </w:r>
      <w:r w:rsidR="006F4A8C" w:rsidRPr="006F4A8C">
        <w:rPr>
          <w:rFonts w:asciiTheme="minorHAnsi" w:eastAsiaTheme="minorHAnsi" w:hAnsiTheme="minorHAnsi" w:cstheme="minorBidi"/>
          <w:snapToGrid/>
          <w:sz w:val="24"/>
          <w:szCs w:val="22"/>
        </w:rPr>
        <w:t xml:space="preserve"> that this action put</w:t>
      </w:r>
      <w:r w:rsidR="00CD4FF7">
        <w:rPr>
          <w:rFonts w:asciiTheme="minorHAnsi" w:eastAsiaTheme="minorHAnsi" w:hAnsiTheme="minorHAnsi" w:cstheme="minorBidi"/>
          <w:snapToGrid/>
          <w:sz w:val="24"/>
          <w:szCs w:val="22"/>
        </w:rPr>
        <w:t>s</w:t>
      </w:r>
      <w:r w:rsidR="006F4A8C" w:rsidRPr="006F4A8C">
        <w:rPr>
          <w:rFonts w:asciiTheme="minorHAnsi" w:eastAsiaTheme="minorHAnsi" w:hAnsiTheme="minorHAnsi" w:cstheme="minorBidi"/>
          <w:snapToGrid/>
          <w:sz w:val="24"/>
          <w:szCs w:val="22"/>
        </w:rPr>
        <w:t xml:space="preserve"> patients at risk of asthma exacerbation. Consequently, if there was an exacerbation, prescribers would have to administer high dose</w:t>
      </w:r>
      <w:r w:rsidR="005F1A45">
        <w:rPr>
          <w:rFonts w:asciiTheme="minorHAnsi" w:eastAsiaTheme="minorHAnsi" w:hAnsiTheme="minorHAnsi" w:cstheme="minorBidi"/>
          <w:snapToGrid/>
          <w:sz w:val="24"/>
          <w:szCs w:val="22"/>
        </w:rPr>
        <w:t xml:space="preserve"> of</w:t>
      </w:r>
      <w:r w:rsidR="006F4A8C" w:rsidRPr="006F4A8C">
        <w:rPr>
          <w:rFonts w:asciiTheme="minorHAnsi" w:eastAsiaTheme="minorHAnsi" w:hAnsiTheme="minorHAnsi" w:cstheme="minorBidi"/>
          <w:snapToGrid/>
          <w:sz w:val="24"/>
          <w:szCs w:val="22"/>
        </w:rPr>
        <w:t xml:space="preserve"> </w:t>
      </w:r>
      <w:r w:rsidR="006434F2">
        <w:rPr>
          <w:rFonts w:asciiTheme="minorHAnsi" w:eastAsiaTheme="minorHAnsi" w:hAnsiTheme="minorHAnsi" w:cstheme="minorBidi"/>
          <w:snapToGrid/>
          <w:sz w:val="24"/>
          <w:szCs w:val="22"/>
        </w:rPr>
        <w:t xml:space="preserve">oral corticosteroids </w:t>
      </w:r>
      <w:r w:rsidR="006F4A8C" w:rsidRPr="006F4A8C">
        <w:rPr>
          <w:rFonts w:asciiTheme="minorHAnsi" w:eastAsiaTheme="minorHAnsi" w:hAnsiTheme="minorHAnsi" w:cstheme="minorBidi"/>
          <w:snapToGrid/>
          <w:sz w:val="24"/>
          <w:szCs w:val="22"/>
        </w:rPr>
        <w:t xml:space="preserve">which in turn would suppress the eosinophil count and subsequently delay access to treatment. </w:t>
      </w:r>
    </w:p>
    <w:p w:rsidR="00496A7E" w:rsidRDefault="003A034C" w:rsidP="009805C6">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Clinical opinion on the</w:t>
      </w:r>
      <w:r w:rsidR="006F4A8C" w:rsidRPr="006F4A8C">
        <w:rPr>
          <w:rFonts w:asciiTheme="minorHAnsi" w:eastAsiaTheme="minorHAnsi" w:hAnsiTheme="minorHAnsi" w:cstheme="minorBidi"/>
          <w:snapToGrid/>
          <w:sz w:val="24"/>
          <w:szCs w:val="22"/>
        </w:rPr>
        <w:t xml:space="preserve"> proportion of patients requiring a second test to confirm eosinophil</w:t>
      </w:r>
      <w:r w:rsidR="00CD4FF7">
        <w:rPr>
          <w:rFonts w:asciiTheme="minorHAnsi" w:eastAsiaTheme="minorHAnsi" w:hAnsiTheme="minorHAnsi" w:cstheme="minorBidi"/>
          <w:snapToGrid/>
          <w:sz w:val="24"/>
          <w:szCs w:val="22"/>
        </w:rPr>
        <w:t xml:space="preserve"> blood</w:t>
      </w:r>
      <w:r w:rsidR="006F4A8C" w:rsidRPr="006F4A8C">
        <w:rPr>
          <w:rFonts w:asciiTheme="minorHAnsi" w:eastAsiaTheme="minorHAnsi" w:hAnsiTheme="minorHAnsi" w:cstheme="minorBidi"/>
          <w:snapToGrid/>
          <w:sz w:val="24"/>
          <w:szCs w:val="22"/>
        </w:rPr>
        <w:t xml:space="preserve"> levels</w:t>
      </w:r>
      <w:r w:rsidR="00CD4FF7">
        <w:rPr>
          <w:rFonts w:asciiTheme="minorHAnsi" w:eastAsiaTheme="minorHAnsi" w:hAnsiTheme="minorHAnsi" w:cstheme="minorBidi"/>
          <w:snapToGrid/>
          <w:sz w:val="24"/>
          <w:szCs w:val="22"/>
        </w:rPr>
        <w:t xml:space="preserve"> of ≥ 300 cells per microlitre</w:t>
      </w:r>
      <w:r w:rsidR="006F4A8C" w:rsidRPr="006F4A8C">
        <w:rPr>
          <w:rFonts w:asciiTheme="minorHAnsi" w:eastAsiaTheme="minorHAnsi" w:hAnsiTheme="minorHAnsi" w:cstheme="minorBidi"/>
          <w:snapToGrid/>
          <w:sz w:val="24"/>
          <w:szCs w:val="22"/>
        </w:rPr>
        <w:t xml:space="preserve"> for the purposes of an application for a PBS approva</w:t>
      </w:r>
      <w:r w:rsidR="009B06C4">
        <w:rPr>
          <w:rFonts w:asciiTheme="minorHAnsi" w:eastAsiaTheme="minorHAnsi" w:hAnsiTheme="minorHAnsi" w:cstheme="minorBidi"/>
          <w:snapToGrid/>
          <w:sz w:val="24"/>
          <w:szCs w:val="22"/>
        </w:rPr>
        <w:t xml:space="preserve">l was mixed, but it was agreed </w:t>
      </w:r>
      <w:r w:rsidR="006F4A8C" w:rsidRPr="006F4A8C">
        <w:rPr>
          <w:rFonts w:asciiTheme="minorHAnsi" w:eastAsiaTheme="minorHAnsi" w:hAnsiTheme="minorHAnsi" w:cstheme="minorBidi"/>
          <w:snapToGrid/>
          <w:sz w:val="24"/>
          <w:szCs w:val="22"/>
        </w:rPr>
        <w:t xml:space="preserve">that a retest would further delay access to mepolizumab treatment </w:t>
      </w:r>
      <w:r w:rsidR="00CD4FF7">
        <w:rPr>
          <w:rFonts w:asciiTheme="minorHAnsi" w:eastAsiaTheme="minorHAnsi" w:hAnsiTheme="minorHAnsi" w:cstheme="minorBidi"/>
          <w:snapToGrid/>
          <w:sz w:val="24"/>
          <w:szCs w:val="22"/>
        </w:rPr>
        <w:t xml:space="preserve">in addition to </w:t>
      </w:r>
      <w:r w:rsidR="006F4A8C" w:rsidRPr="006F4A8C">
        <w:rPr>
          <w:rFonts w:asciiTheme="minorHAnsi" w:eastAsiaTheme="minorHAnsi" w:hAnsiTheme="minorHAnsi" w:cstheme="minorBidi"/>
          <w:snapToGrid/>
          <w:sz w:val="24"/>
          <w:szCs w:val="22"/>
        </w:rPr>
        <w:t>logistical and administrative burden</w:t>
      </w:r>
      <w:r w:rsidR="00CD4FF7" w:rsidRPr="009805C6">
        <w:rPr>
          <w:rFonts w:asciiTheme="minorHAnsi" w:eastAsiaTheme="minorHAnsi" w:hAnsiTheme="minorHAnsi" w:cstheme="minorBidi"/>
          <w:i/>
          <w:snapToGrid/>
          <w:sz w:val="24"/>
          <w:szCs w:val="22"/>
        </w:rPr>
        <w:t>.</w:t>
      </w:r>
      <w:r w:rsidR="006F4A8C" w:rsidRPr="009805C6">
        <w:rPr>
          <w:rFonts w:asciiTheme="minorHAnsi" w:eastAsiaTheme="minorHAnsi" w:hAnsiTheme="minorHAnsi" w:cstheme="minorBidi"/>
          <w:i/>
          <w:snapToGrid/>
          <w:sz w:val="24"/>
          <w:szCs w:val="22"/>
        </w:rPr>
        <w:t xml:space="preserve"> </w:t>
      </w:r>
      <w:r w:rsidR="0028341A" w:rsidRPr="001F3AE9">
        <w:rPr>
          <w:rFonts w:asciiTheme="minorHAnsi" w:eastAsiaTheme="minorHAnsi" w:hAnsiTheme="minorHAnsi" w:cstheme="minorBidi"/>
          <w:snapToGrid/>
          <w:sz w:val="24"/>
          <w:szCs w:val="22"/>
        </w:rPr>
        <w:t xml:space="preserve">The submission did not provide estimates of the proportion of patients requiring a second eosinophil blood test </w:t>
      </w:r>
      <w:r w:rsidRPr="001F3AE9">
        <w:rPr>
          <w:rFonts w:asciiTheme="minorHAnsi" w:eastAsiaTheme="minorHAnsi" w:hAnsiTheme="minorHAnsi" w:cstheme="minorBidi"/>
          <w:snapToGrid/>
          <w:sz w:val="24"/>
          <w:szCs w:val="22"/>
        </w:rPr>
        <w:t>to meet the PBS eligibility criteria for treatment with mepolizumab.</w:t>
      </w:r>
      <w:r>
        <w:rPr>
          <w:rFonts w:asciiTheme="minorHAnsi" w:eastAsiaTheme="minorHAnsi" w:hAnsiTheme="minorHAnsi" w:cstheme="minorBidi"/>
          <w:i/>
          <w:snapToGrid/>
          <w:sz w:val="24"/>
          <w:szCs w:val="22"/>
        </w:rPr>
        <w:t xml:space="preserve"> </w:t>
      </w:r>
    </w:p>
    <w:p w:rsidR="006F4A8C" w:rsidRPr="00D82026" w:rsidRDefault="006F4A8C" w:rsidP="00C61A60">
      <w:pPr>
        <w:pStyle w:val="ListParagraph"/>
        <w:numPr>
          <w:ilvl w:val="1"/>
          <w:numId w:val="14"/>
        </w:numPr>
        <w:spacing w:after="120"/>
        <w:contextualSpacing w:val="0"/>
        <w:rPr>
          <w:rFonts w:asciiTheme="minorHAnsi" w:eastAsiaTheme="minorHAnsi" w:hAnsiTheme="minorHAnsi" w:cstheme="minorBidi"/>
          <w:snapToGrid/>
          <w:sz w:val="24"/>
          <w:szCs w:val="22"/>
        </w:rPr>
      </w:pPr>
      <w:r w:rsidRPr="003F473E">
        <w:rPr>
          <w:rFonts w:asciiTheme="minorHAnsi" w:eastAsiaTheme="minorHAnsi" w:hAnsiTheme="minorHAnsi" w:cstheme="minorBidi"/>
          <w:snapToGrid/>
          <w:sz w:val="24"/>
          <w:szCs w:val="22"/>
        </w:rPr>
        <w:t xml:space="preserve">The submission noted that </w:t>
      </w:r>
      <w:r w:rsidR="00A26444" w:rsidRPr="003F473E">
        <w:rPr>
          <w:rFonts w:asciiTheme="minorHAnsi" w:eastAsiaTheme="minorHAnsi" w:hAnsiTheme="minorHAnsi" w:cstheme="minorBidi"/>
          <w:snapToGrid/>
          <w:sz w:val="24"/>
          <w:szCs w:val="22"/>
        </w:rPr>
        <w:t xml:space="preserve">although </w:t>
      </w:r>
      <w:r w:rsidRPr="003F473E">
        <w:rPr>
          <w:rFonts w:asciiTheme="minorHAnsi" w:eastAsiaTheme="minorHAnsi" w:hAnsiTheme="minorHAnsi" w:cstheme="minorBidi"/>
          <w:snapToGrid/>
          <w:sz w:val="24"/>
          <w:szCs w:val="22"/>
        </w:rPr>
        <w:t xml:space="preserve">the analyses were not directly comparable </w:t>
      </w:r>
      <w:r w:rsidR="00D82026">
        <w:rPr>
          <w:rFonts w:asciiTheme="minorHAnsi" w:eastAsiaTheme="minorHAnsi" w:hAnsiTheme="minorHAnsi" w:cstheme="minorBidi"/>
          <w:snapToGrid/>
          <w:sz w:val="24"/>
          <w:szCs w:val="22"/>
        </w:rPr>
        <w:t>due to</w:t>
      </w:r>
      <w:r w:rsidRPr="003F473E">
        <w:rPr>
          <w:rFonts w:asciiTheme="minorHAnsi" w:eastAsiaTheme="minorHAnsi" w:hAnsiTheme="minorHAnsi" w:cstheme="minorBidi"/>
          <w:snapToGrid/>
          <w:sz w:val="24"/>
          <w:szCs w:val="22"/>
        </w:rPr>
        <w:t xml:space="preserve"> difference</w:t>
      </w:r>
      <w:r w:rsidR="00D82026">
        <w:rPr>
          <w:rFonts w:asciiTheme="minorHAnsi" w:eastAsiaTheme="minorHAnsi" w:hAnsiTheme="minorHAnsi" w:cstheme="minorBidi"/>
          <w:snapToGrid/>
          <w:sz w:val="24"/>
          <w:szCs w:val="22"/>
        </w:rPr>
        <w:t>s</w:t>
      </w:r>
      <w:r w:rsidRPr="003F473E">
        <w:rPr>
          <w:rFonts w:asciiTheme="minorHAnsi" w:eastAsiaTheme="minorHAnsi" w:hAnsiTheme="minorHAnsi" w:cstheme="minorBidi"/>
          <w:snapToGrid/>
          <w:sz w:val="24"/>
          <w:szCs w:val="22"/>
        </w:rPr>
        <w:t xml:space="preserve"> in study design</w:t>
      </w:r>
      <w:r w:rsidRPr="00D82026">
        <w:rPr>
          <w:rFonts w:asciiTheme="minorHAnsi" w:eastAsiaTheme="minorHAnsi" w:hAnsiTheme="minorHAnsi" w:cstheme="minorBidi"/>
          <w:snapToGrid/>
          <w:sz w:val="24"/>
          <w:szCs w:val="22"/>
        </w:rPr>
        <w:t xml:space="preserve">s, </w:t>
      </w:r>
      <w:r w:rsidR="00D82026">
        <w:rPr>
          <w:rFonts w:asciiTheme="minorHAnsi" w:eastAsiaTheme="minorHAnsi" w:hAnsiTheme="minorHAnsi" w:cstheme="minorBidi"/>
          <w:snapToGrid/>
          <w:sz w:val="24"/>
          <w:szCs w:val="22"/>
        </w:rPr>
        <w:t xml:space="preserve">the submission claimed </w:t>
      </w:r>
      <w:r w:rsidR="00A26444" w:rsidRPr="00D82026">
        <w:rPr>
          <w:rFonts w:asciiTheme="minorHAnsi" w:eastAsiaTheme="minorHAnsi" w:hAnsiTheme="minorHAnsi" w:cstheme="minorBidi"/>
          <w:snapToGrid/>
          <w:sz w:val="24"/>
          <w:szCs w:val="22"/>
        </w:rPr>
        <w:t xml:space="preserve">it could be </w:t>
      </w:r>
      <w:r w:rsidRPr="00D82026">
        <w:rPr>
          <w:rFonts w:asciiTheme="minorHAnsi" w:eastAsiaTheme="minorHAnsi" w:hAnsiTheme="minorHAnsi" w:cstheme="minorBidi"/>
          <w:snapToGrid/>
          <w:sz w:val="24"/>
          <w:szCs w:val="22"/>
        </w:rPr>
        <w:t>considered that the results were broadly similar</w:t>
      </w:r>
      <w:r w:rsidR="00A26444" w:rsidRPr="00D82026">
        <w:rPr>
          <w:rFonts w:asciiTheme="minorHAnsi" w:eastAsiaTheme="minorHAnsi" w:hAnsiTheme="minorHAnsi" w:cstheme="minorBidi"/>
          <w:snapToGrid/>
          <w:sz w:val="24"/>
          <w:szCs w:val="22"/>
        </w:rPr>
        <w:t xml:space="preserve">. </w:t>
      </w:r>
      <w:r w:rsidR="00D82026">
        <w:rPr>
          <w:rFonts w:asciiTheme="minorHAnsi" w:eastAsiaTheme="minorHAnsi" w:hAnsiTheme="minorHAnsi" w:cstheme="minorBidi"/>
          <w:snapToGrid/>
          <w:sz w:val="24"/>
          <w:szCs w:val="22"/>
        </w:rPr>
        <w:t>The submission noted that</w:t>
      </w:r>
      <w:r w:rsidR="006219D6">
        <w:rPr>
          <w:rFonts w:asciiTheme="minorHAnsi" w:eastAsiaTheme="minorHAnsi" w:hAnsiTheme="minorHAnsi" w:cstheme="minorBidi"/>
          <w:snapToGrid/>
          <w:sz w:val="24"/>
          <w:szCs w:val="22"/>
        </w:rPr>
        <w:t xml:space="preserve"> based on the results of Hatipoglu et al 2016,</w:t>
      </w:r>
      <w:r w:rsidR="00D82026">
        <w:rPr>
          <w:rFonts w:asciiTheme="minorHAnsi" w:eastAsiaTheme="minorHAnsi" w:hAnsiTheme="minorHAnsi" w:cstheme="minorBidi"/>
          <w:snapToGrid/>
          <w:sz w:val="24"/>
          <w:szCs w:val="22"/>
        </w:rPr>
        <w:t xml:space="preserve"> </w:t>
      </w:r>
      <w:r w:rsidR="00A26444" w:rsidRPr="00D82026">
        <w:rPr>
          <w:rFonts w:asciiTheme="minorHAnsi" w:eastAsiaTheme="minorHAnsi" w:hAnsiTheme="minorHAnsi" w:cstheme="minorBidi"/>
          <w:snapToGrid/>
          <w:sz w:val="24"/>
          <w:szCs w:val="22"/>
        </w:rPr>
        <w:t>18% of pat</w:t>
      </w:r>
      <w:r w:rsidRPr="00D82026">
        <w:rPr>
          <w:rFonts w:asciiTheme="minorHAnsi" w:eastAsiaTheme="minorHAnsi" w:hAnsiTheme="minorHAnsi" w:cstheme="minorBidi"/>
          <w:snapToGrid/>
          <w:sz w:val="24"/>
          <w:szCs w:val="22"/>
        </w:rPr>
        <w:t>ients who may have been eligible for omalizumab treatment at different time points, had IgE concentration measures at other time points which would have deemed</w:t>
      </w:r>
      <w:r w:rsidR="009354C9" w:rsidRPr="00D82026">
        <w:rPr>
          <w:rFonts w:asciiTheme="minorHAnsi" w:eastAsiaTheme="minorHAnsi" w:hAnsiTheme="minorHAnsi" w:cstheme="minorBidi"/>
          <w:snapToGrid/>
          <w:sz w:val="24"/>
          <w:szCs w:val="22"/>
        </w:rPr>
        <w:t xml:space="preserve"> them ineligible for treatment.</w:t>
      </w:r>
      <w:r w:rsidR="00D82026">
        <w:rPr>
          <w:rFonts w:asciiTheme="minorHAnsi" w:eastAsiaTheme="minorHAnsi" w:hAnsiTheme="minorHAnsi" w:cstheme="minorBidi"/>
          <w:snapToGrid/>
          <w:sz w:val="24"/>
          <w:szCs w:val="22"/>
        </w:rPr>
        <w:t xml:space="preserve"> The submission noted that</w:t>
      </w:r>
      <w:r w:rsidR="006219D6">
        <w:rPr>
          <w:rFonts w:asciiTheme="minorHAnsi" w:eastAsiaTheme="minorHAnsi" w:hAnsiTheme="minorHAnsi" w:cstheme="minorBidi"/>
          <w:snapToGrid/>
          <w:sz w:val="24"/>
          <w:szCs w:val="22"/>
        </w:rPr>
        <w:t xml:space="preserve"> </w:t>
      </w:r>
      <w:r w:rsidR="0027706A">
        <w:rPr>
          <w:rFonts w:asciiTheme="minorHAnsi" w:eastAsiaTheme="minorHAnsi" w:hAnsiTheme="minorHAnsi" w:cstheme="minorBidi"/>
          <w:noProof/>
          <w:snapToGrid/>
          <w:color w:val="000000"/>
          <w:sz w:val="24"/>
          <w:szCs w:val="22"/>
          <w:highlight w:val="black"/>
        </w:rPr>
        <w:t>'''''</w:t>
      </w:r>
      <w:r w:rsidR="006219D6">
        <w:rPr>
          <w:rFonts w:asciiTheme="minorHAnsi" w:eastAsiaTheme="minorHAnsi" w:hAnsiTheme="minorHAnsi" w:cstheme="minorBidi"/>
          <w:snapToGrid/>
          <w:sz w:val="24"/>
          <w:szCs w:val="22"/>
        </w:rPr>
        <w:t>%</w:t>
      </w:r>
      <w:r w:rsidR="00D82026">
        <w:rPr>
          <w:rFonts w:asciiTheme="minorHAnsi" w:eastAsiaTheme="minorHAnsi" w:hAnsiTheme="minorHAnsi" w:cstheme="minorBidi"/>
          <w:snapToGrid/>
          <w:sz w:val="24"/>
          <w:szCs w:val="22"/>
        </w:rPr>
        <w:t xml:space="preserve"> of patients </w:t>
      </w:r>
      <w:r w:rsidR="006219D6">
        <w:rPr>
          <w:rFonts w:asciiTheme="minorHAnsi" w:eastAsiaTheme="minorHAnsi" w:hAnsiTheme="minorHAnsi" w:cstheme="minorBidi"/>
          <w:snapToGrid/>
          <w:sz w:val="24"/>
          <w:szCs w:val="22"/>
        </w:rPr>
        <w:t xml:space="preserve">in Study 997 </w:t>
      </w:r>
      <w:r w:rsidR="00D82026">
        <w:rPr>
          <w:rFonts w:asciiTheme="minorHAnsi" w:eastAsiaTheme="minorHAnsi" w:hAnsiTheme="minorHAnsi" w:cstheme="minorBidi"/>
          <w:snapToGrid/>
          <w:sz w:val="24"/>
          <w:szCs w:val="22"/>
        </w:rPr>
        <w:t>did not maintain average eosinophil blood levels ≥ 300 cells per microlitre</w:t>
      </w:r>
      <w:r w:rsidR="006219D6">
        <w:rPr>
          <w:rFonts w:asciiTheme="minorHAnsi" w:eastAsiaTheme="minorHAnsi" w:hAnsiTheme="minorHAnsi" w:cstheme="minorBidi"/>
          <w:snapToGrid/>
          <w:sz w:val="24"/>
          <w:szCs w:val="22"/>
        </w:rPr>
        <w:t xml:space="preserve"> over the subsequent 56 weeks</w:t>
      </w:r>
      <w:r w:rsidR="00D82026">
        <w:rPr>
          <w:rFonts w:asciiTheme="minorHAnsi" w:eastAsiaTheme="minorHAnsi" w:hAnsiTheme="minorHAnsi" w:cstheme="minorBidi"/>
          <w:snapToGrid/>
          <w:sz w:val="24"/>
          <w:szCs w:val="22"/>
        </w:rPr>
        <w:t xml:space="preserve"> and inferred that</w:t>
      </w:r>
      <w:r w:rsidR="009354C9" w:rsidRPr="00D82026">
        <w:rPr>
          <w:rFonts w:asciiTheme="minorHAnsi" w:eastAsiaTheme="minorHAnsi" w:hAnsiTheme="minorHAnsi" w:cstheme="minorBidi"/>
          <w:snapToGrid/>
          <w:sz w:val="24"/>
          <w:szCs w:val="22"/>
        </w:rPr>
        <w:t xml:space="preserve"> </w:t>
      </w:r>
      <w:r w:rsidR="0027706A">
        <w:rPr>
          <w:rFonts w:asciiTheme="minorHAnsi" w:eastAsiaTheme="minorHAnsi" w:hAnsiTheme="minorHAnsi" w:cstheme="minorBidi"/>
          <w:noProof/>
          <w:snapToGrid/>
          <w:color w:val="000000"/>
          <w:sz w:val="24"/>
          <w:szCs w:val="22"/>
          <w:highlight w:val="black"/>
        </w:rPr>
        <w:t>'''''</w:t>
      </w:r>
      <w:r w:rsidRPr="00D82026">
        <w:rPr>
          <w:rFonts w:asciiTheme="minorHAnsi" w:eastAsiaTheme="minorHAnsi" w:hAnsiTheme="minorHAnsi" w:cstheme="minorBidi"/>
          <w:snapToGrid/>
          <w:sz w:val="24"/>
          <w:szCs w:val="22"/>
        </w:rPr>
        <w:t xml:space="preserve">% of patients were likely to have been ineligible for mepolizumab at a subsequent time point had the eosinophil assessment been conducted at a visit post screening. </w:t>
      </w:r>
    </w:p>
    <w:p w:rsidR="006F4A8C" w:rsidRPr="006F4A8C" w:rsidRDefault="006F4A8C" w:rsidP="00C61A60">
      <w:pPr>
        <w:pStyle w:val="ListParagraph"/>
        <w:numPr>
          <w:ilvl w:val="1"/>
          <w:numId w:val="14"/>
        </w:numPr>
        <w:spacing w:after="120"/>
        <w:contextualSpacing w:val="0"/>
        <w:rPr>
          <w:rFonts w:asciiTheme="minorHAnsi" w:eastAsiaTheme="minorHAnsi" w:hAnsiTheme="minorHAnsi" w:cstheme="minorBidi"/>
          <w:snapToGrid/>
          <w:sz w:val="24"/>
          <w:szCs w:val="22"/>
        </w:rPr>
      </w:pPr>
      <w:r w:rsidRPr="006F4A8C">
        <w:rPr>
          <w:rFonts w:asciiTheme="minorHAnsi" w:eastAsiaTheme="minorHAnsi" w:hAnsiTheme="minorHAnsi" w:cstheme="minorBidi"/>
          <w:snapToGrid/>
          <w:sz w:val="24"/>
          <w:szCs w:val="22"/>
        </w:rPr>
        <w:t xml:space="preserve">The clinical </w:t>
      </w:r>
      <w:r w:rsidR="00D82026">
        <w:rPr>
          <w:rFonts w:asciiTheme="minorHAnsi" w:eastAsiaTheme="minorHAnsi" w:hAnsiTheme="minorHAnsi" w:cstheme="minorBidi"/>
          <w:snapToGrid/>
          <w:sz w:val="24"/>
          <w:szCs w:val="22"/>
        </w:rPr>
        <w:t>opinion was mixed</w:t>
      </w:r>
      <w:r w:rsidRPr="006F4A8C">
        <w:rPr>
          <w:rFonts w:asciiTheme="minorHAnsi" w:eastAsiaTheme="minorHAnsi" w:hAnsiTheme="minorHAnsi" w:cstheme="minorBidi"/>
          <w:snapToGrid/>
          <w:sz w:val="24"/>
          <w:szCs w:val="22"/>
        </w:rPr>
        <w:t xml:space="preserve"> </w:t>
      </w:r>
      <w:r w:rsidR="00D82026">
        <w:rPr>
          <w:rFonts w:asciiTheme="minorHAnsi" w:eastAsiaTheme="minorHAnsi" w:hAnsiTheme="minorHAnsi" w:cstheme="minorBidi"/>
          <w:snapToGrid/>
          <w:sz w:val="24"/>
          <w:szCs w:val="22"/>
        </w:rPr>
        <w:t xml:space="preserve">regarding </w:t>
      </w:r>
      <w:r w:rsidRPr="006F4A8C">
        <w:rPr>
          <w:rFonts w:asciiTheme="minorHAnsi" w:eastAsiaTheme="minorHAnsi" w:hAnsiTheme="minorHAnsi" w:cstheme="minorBidi"/>
          <w:snapToGrid/>
          <w:sz w:val="24"/>
          <w:szCs w:val="22"/>
        </w:rPr>
        <w:t>the level of fluctuation for eosinophil</w:t>
      </w:r>
      <w:r w:rsidR="009354C9">
        <w:rPr>
          <w:rFonts w:asciiTheme="minorHAnsi" w:eastAsiaTheme="minorHAnsi" w:hAnsiTheme="minorHAnsi" w:cstheme="minorBidi"/>
          <w:snapToGrid/>
          <w:sz w:val="24"/>
          <w:szCs w:val="22"/>
        </w:rPr>
        <w:t xml:space="preserve"> levels over time</w:t>
      </w:r>
      <w:r w:rsidRPr="006F4A8C">
        <w:rPr>
          <w:rFonts w:asciiTheme="minorHAnsi" w:eastAsiaTheme="minorHAnsi" w:hAnsiTheme="minorHAnsi" w:cstheme="minorBidi"/>
          <w:snapToGrid/>
          <w:sz w:val="24"/>
          <w:szCs w:val="22"/>
        </w:rPr>
        <w:t>. One clinician stated that there were studies which supported stability of eosinophil counts over a longer period. For example, data from the DREAM study</w:t>
      </w:r>
      <w:r w:rsidR="00EC0032">
        <w:rPr>
          <w:rFonts w:asciiTheme="minorHAnsi" w:eastAsiaTheme="minorHAnsi" w:hAnsiTheme="minorHAnsi" w:cstheme="minorBidi"/>
          <w:snapToGrid/>
          <w:sz w:val="24"/>
          <w:szCs w:val="22"/>
        </w:rPr>
        <w:t xml:space="preserve"> </w:t>
      </w:r>
      <w:r w:rsidR="00175476">
        <w:rPr>
          <w:rFonts w:asciiTheme="minorHAnsi" w:eastAsiaTheme="minorHAnsi" w:hAnsiTheme="minorHAnsi" w:cstheme="minorBidi"/>
          <w:snapToGrid/>
          <w:sz w:val="24"/>
          <w:szCs w:val="22"/>
        </w:rPr>
        <w:t>showed</w:t>
      </w:r>
      <w:r w:rsidRPr="006F4A8C">
        <w:rPr>
          <w:rFonts w:asciiTheme="minorHAnsi" w:eastAsiaTheme="minorHAnsi" w:hAnsiTheme="minorHAnsi" w:cstheme="minorBidi"/>
          <w:snapToGrid/>
          <w:sz w:val="24"/>
          <w:szCs w:val="22"/>
        </w:rPr>
        <w:t xml:space="preserve"> that on average</w:t>
      </w:r>
      <w:r w:rsidR="0042659A">
        <w:rPr>
          <w:rFonts w:asciiTheme="minorHAnsi" w:eastAsiaTheme="minorHAnsi" w:hAnsiTheme="minorHAnsi" w:cstheme="minorBidi"/>
          <w:snapToGrid/>
          <w:sz w:val="24"/>
          <w:szCs w:val="22"/>
        </w:rPr>
        <w:t>,</w:t>
      </w:r>
      <w:r w:rsidRPr="006F4A8C">
        <w:rPr>
          <w:rFonts w:asciiTheme="minorHAnsi" w:eastAsiaTheme="minorHAnsi" w:hAnsiTheme="minorHAnsi" w:cstheme="minorBidi"/>
          <w:snapToGrid/>
          <w:sz w:val="24"/>
          <w:szCs w:val="22"/>
        </w:rPr>
        <w:t xml:space="preserve"> subsequent measurements of eosinophils were still above the original screening level (&gt; 150 cells per microlitre in 85% of patients). </w:t>
      </w:r>
      <w:r w:rsidR="00146CCE">
        <w:rPr>
          <w:rFonts w:asciiTheme="minorHAnsi" w:eastAsiaTheme="minorHAnsi" w:hAnsiTheme="minorHAnsi" w:cstheme="minorBidi"/>
          <w:snapToGrid/>
          <w:sz w:val="24"/>
          <w:szCs w:val="22"/>
        </w:rPr>
        <w:t xml:space="preserve">However, the clinician noted that </w:t>
      </w:r>
      <w:r w:rsidRPr="006F4A8C">
        <w:rPr>
          <w:rFonts w:asciiTheme="minorHAnsi" w:eastAsiaTheme="minorHAnsi" w:hAnsiTheme="minorHAnsi" w:cstheme="minorBidi"/>
          <w:snapToGrid/>
          <w:sz w:val="24"/>
          <w:szCs w:val="22"/>
        </w:rPr>
        <w:t xml:space="preserve">it is not known if stability would be similar if an eosinophil threshold of &gt; 300 cells per microlitre is used. </w:t>
      </w:r>
    </w:p>
    <w:p w:rsidR="00F57A6D" w:rsidRPr="000205D3" w:rsidRDefault="000205D3" w:rsidP="00C61A60">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Overall, the clinicians argued that there were </w:t>
      </w:r>
      <w:r w:rsidR="006F4A8C" w:rsidRPr="006F4A8C">
        <w:rPr>
          <w:rFonts w:asciiTheme="minorHAnsi" w:eastAsiaTheme="minorHAnsi" w:hAnsiTheme="minorHAnsi" w:cstheme="minorBidi"/>
          <w:snapToGrid/>
          <w:sz w:val="24"/>
          <w:szCs w:val="22"/>
        </w:rPr>
        <w:t>no clinical grounds to have a 12 month validity period for IgE tests and 6 weeks validity period for eosinophil</w:t>
      </w:r>
      <w:r w:rsidR="00317EDB">
        <w:rPr>
          <w:rFonts w:asciiTheme="minorHAnsi" w:eastAsiaTheme="minorHAnsi" w:hAnsiTheme="minorHAnsi" w:cstheme="minorBidi"/>
          <w:snapToGrid/>
          <w:sz w:val="24"/>
          <w:szCs w:val="22"/>
        </w:rPr>
        <w:t xml:space="preserve"> blood </w:t>
      </w:r>
      <w:r w:rsidR="006F4A8C" w:rsidRPr="006F4A8C">
        <w:rPr>
          <w:rFonts w:asciiTheme="minorHAnsi" w:eastAsiaTheme="minorHAnsi" w:hAnsiTheme="minorHAnsi" w:cstheme="minorBidi"/>
          <w:snapToGrid/>
          <w:sz w:val="24"/>
          <w:szCs w:val="22"/>
        </w:rPr>
        <w:t xml:space="preserve">tests to inform eligibility for omalizumab and mepolizumab, respectively.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5963BB" w:rsidRDefault="004F0BBF" w:rsidP="00B84D5C">
      <w:pPr>
        <w:pStyle w:val="ListParagraph"/>
        <w:widowControl/>
        <w:numPr>
          <w:ilvl w:val="1"/>
          <w:numId w:val="14"/>
        </w:numPr>
        <w:spacing w:after="120"/>
        <w:ind w:left="709"/>
        <w:contextualSpacing w:val="0"/>
        <w:rPr>
          <w:rFonts w:asciiTheme="minorHAnsi" w:hAnsiTheme="minorHAnsi"/>
          <w:sz w:val="24"/>
          <w:szCs w:val="24"/>
        </w:rPr>
      </w:pPr>
      <w:r w:rsidRPr="00180AD5">
        <w:rPr>
          <w:rFonts w:asciiTheme="minorHAnsi" w:eastAsiaTheme="minorHAnsi" w:hAnsiTheme="minorHAnsi" w:cstheme="minorBidi"/>
          <w:snapToGrid/>
          <w:sz w:val="24"/>
          <w:szCs w:val="22"/>
        </w:rPr>
        <w:t>As</w:t>
      </w:r>
      <w:r w:rsidR="00FF2801" w:rsidRPr="00180AD5">
        <w:rPr>
          <w:rFonts w:asciiTheme="minorHAnsi" w:hAnsiTheme="minorHAnsi"/>
          <w:sz w:val="24"/>
          <w:szCs w:val="24"/>
        </w:rPr>
        <w:t xml:space="preserve"> a </w:t>
      </w:r>
      <w:r w:rsidR="00FF2801" w:rsidRPr="004F0BBF">
        <w:rPr>
          <w:rFonts w:asciiTheme="minorHAnsi" w:hAnsiTheme="minorHAnsi"/>
          <w:sz w:val="24"/>
          <w:szCs w:val="24"/>
        </w:rPr>
        <w:t>minor submission, there wa</w:t>
      </w:r>
      <w:r w:rsidR="009B0F67" w:rsidRPr="004F0BBF">
        <w:rPr>
          <w:rFonts w:asciiTheme="minorHAnsi" w:hAnsiTheme="minorHAnsi"/>
          <w:sz w:val="24"/>
          <w:szCs w:val="24"/>
        </w:rPr>
        <w:t>s no economic comparison presented</w:t>
      </w:r>
      <w:r w:rsidRPr="004F0BBF">
        <w:rPr>
          <w:rFonts w:asciiTheme="minorHAnsi" w:hAnsiTheme="minorHAnsi"/>
          <w:sz w:val="24"/>
          <w:szCs w:val="24"/>
        </w:rPr>
        <w:t>.</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BB7EC3" w:rsidRPr="00EB3D6C" w:rsidRDefault="00FF2801" w:rsidP="00A4204B">
      <w:pPr>
        <w:pStyle w:val="ListParagraph"/>
        <w:widowControl/>
        <w:numPr>
          <w:ilvl w:val="1"/>
          <w:numId w:val="14"/>
        </w:numPr>
        <w:spacing w:after="120"/>
        <w:ind w:left="709"/>
        <w:contextualSpacing w:val="0"/>
        <w:rPr>
          <w:rFonts w:asciiTheme="minorHAnsi" w:hAnsiTheme="minorHAnsi"/>
        </w:rPr>
      </w:pPr>
      <w:r w:rsidRPr="003C2FB5">
        <w:rPr>
          <w:rFonts w:asciiTheme="minorHAnsi" w:hAnsiTheme="minorHAnsi"/>
          <w:sz w:val="24"/>
          <w:szCs w:val="24"/>
        </w:rPr>
        <w:t>The minor submission estimated</w:t>
      </w:r>
      <w:r w:rsidR="00C00DA7" w:rsidRPr="003C2FB5">
        <w:rPr>
          <w:rFonts w:asciiTheme="minorHAnsi" w:hAnsiTheme="minorHAnsi"/>
          <w:sz w:val="24"/>
          <w:szCs w:val="24"/>
        </w:rPr>
        <w:t xml:space="preserve"> there to be no financial implications to the PBS/changes in PBS usage as the submission </w:t>
      </w:r>
      <w:r w:rsidR="00A4204B">
        <w:rPr>
          <w:rFonts w:asciiTheme="minorHAnsi" w:hAnsiTheme="minorHAnsi"/>
          <w:sz w:val="24"/>
          <w:szCs w:val="24"/>
        </w:rPr>
        <w:t>does not expect the change in restriction to change uptake numbers.</w:t>
      </w:r>
    </w:p>
    <w:p w:rsidR="00EB3D6C" w:rsidRDefault="00EB3D6C" w:rsidP="00EB3D6C">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(p1) stated the extension of the validity period would not expand the mepolizumab patient population as the patients would have to meet the other requirements within the current restriction. The change would ensure timely access to eligible patients and reduce the risk of exacerbations due to unnecessary modification of oral corticosteroid dose. Additionally, the pre-PBAC response reiterated that the change could potentially reduce </w:t>
      </w:r>
      <w:r>
        <w:rPr>
          <w:rFonts w:asciiTheme="minorHAnsi" w:hAnsiTheme="minorHAnsi"/>
          <w:sz w:val="24"/>
          <w:szCs w:val="24"/>
        </w:rPr>
        <w:t xml:space="preserve">health care costs given the reduction in blood testing and clinician appointments to retest patients as well as decrease hospitalisations because of the reduced risk of exacerbations due to modifications to patient corticosteroid doses to meet the target eosinophil count. </w:t>
      </w:r>
      <w:r>
        <w:rPr>
          <w:rFonts w:asciiTheme="minorHAnsi" w:eastAsiaTheme="minorHAnsi" w:hAnsiTheme="minorHAnsi" w:cstheme="minorBidi"/>
          <w:snapToGrid/>
          <w:sz w:val="24"/>
          <w:szCs w:val="22"/>
        </w:rPr>
        <w:t>The PBAC considered these arguments to be reasonable.</w:t>
      </w:r>
    </w:p>
    <w:p w:rsidR="00E10EA1" w:rsidRPr="00E10EA1" w:rsidRDefault="00E10EA1" w:rsidP="00E10EA1">
      <w:pPr>
        <w:pStyle w:val="ListParagraph"/>
        <w:widowControl/>
        <w:spacing w:after="120"/>
        <w:ind w:left="709"/>
        <w:contextualSpacing w:val="0"/>
        <w:rPr>
          <w:rFonts w:asciiTheme="minorHAnsi" w:hAnsiTheme="minorHAnsi"/>
          <w:sz w:val="24"/>
          <w:szCs w:val="24"/>
        </w:rPr>
      </w:pPr>
      <w:r w:rsidRPr="00861E7C">
        <w:rPr>
          <w:rFonts w:asciiTheme="minorHAnsi" w:hAnsiTheme="minorHAnsi"/>
          <w:i/>
          <w:sz w:val="24"/>
          <w:szCs w:val="24"/>
        </w:rPr>
        <w:t>For more detail on PBAC’s view, see section 7 “PBAC outcome.”</w:t>
      </w:r>
    </w:p>
    <w:p w:rsidR="00106FCE" w:rsidRPr="00C2277E" w:rsidRDefault="00106FCE" w:rsidP="00C2277E">
      <w:pPr>
        <w:pStyle w:val="PBACHeading1"/>
        <w:spacing w:before="240" w:after="120"/>
        <w:rPr>
          <w:rFonts w:asciiTheme="minorHAnsi" w:hAnsiTheme="minorHAnsi"/>
          <w:sz w:val="32"/>
        </w:rPr>
      </w:pPr>
      <w:r w:rsidRPr="00106FCE">
        <w:rPr>
          <w:rFonts w:asciiTheme="minorHAnsi" w:hAnsiTheme="minorHAnsi"/>
          <w:sz w:val="32"/>
        </w:rPr>
        <w:t xml:space="preserve">PBAC Outcome </w:t>
      </w:r>
    </w:p>
    <w:p w:rsidR="00106FCE" w:rsidRDefault="00EF4839" w:rsidP="00F93691">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The PBAC recommended extending the eosinophil blood test</w:t>
      </w:r>
      <w:r w:rsidR="002723C6">
        <w:rPr>
          <w:rFonts w:asciiTheme="minorHAnsi" w:hAnsiTheme="minorHAnsi"/>
          <w:sz w:val="24"/>
          <w:szCs w:val="24"/>
        </w:rPr>
        <w:t xml:space="preserve"> validity period </w:t>
      </w:r>
      <w:r>
        <w:rPr>
          <w:rFonts w:asciiTheme="minorHAnsi" w:hAnsiTheme="minorHAnsi"/>
          <w:sz w:val="24"/>
          <w:szCs w:val="24"/>
        </w:rPr>
        <w:t xml:space="preserve">from 6 weeks to 12 months in the mepolizumab </w:t>
      </w:r>
      <w:r w:rsidR="00F93691" w:rsidRPr="00F93691">
        <w:rPr>
          <w:rFonts w:asciiTheme="minorHAnsi" w:hAnsiTheme="minorHAnsi"/>
          <w:sz w:val="24"/>
          <w:szCs w:val="24"/>
        </w:rPr>
        <w:t xml:space="preserve">listing </w:t>
      </w:r>
      <w:r w:rsidR="00FC510A">
        <w:rPr>
          <w:rFonts w:asciiTheme="minorHAnsi" w:hAnsiTheme="minorHAnsi"/>
          <w:sz w:val="24"/>
          <w:szCs w:val="24"/>
        </w:rPr>
        <w:t xml:space="preserve">to align with the </w:t>
      </w:r>
      <w:r w:rsidR="00F93691" w:rsidRPr="00F93691">
        <w:rPr>
          <w:rFonts w:asciiTheme="minorHAnsi" w:hAnsiTheme="minorHAnsi"/>
          <w:sz w:val="24"/>
          <w:szCs w:val="24"/>
        </w:rPr>
        <w:t xml:space="preserve">omalizumab </w:t>
      </w:r>
      <w:r w:rsidR="00FC510A">
        <w:rPr>
          <w:rFonts w:asciiTheme="minorHAnsi" w:hAnsiTheme="minorHAnsi"/>
          <w:sz w:val="24"/>
          <w:szCs w:val="24"/>
        </w:rPr>
        <w:t xml:space="preserve">listing </w:t>
      </w:r>
      <w:r w:rsidR="00F93691" w:rsidRPr="00F93691">
        <w:rPr>
          <w:rFonts w:asciiTheme="minorHAnsi" w:hAnsiTheme="minorHAnsi"/>
          <w:sz w:val="24"/>
          <w:szCs w:val="24"/>
        </w:rPr>
        <w:t>for uncontrolled severe allergic asthma</w:t>
      </w:r>
      <w:r>
        <w:rPr>
          <w:rFonts w:asciiTheme="minorHAnsi" w:hAnsiTheme="minorHAnsi"/>
          <w:sz w:val="24"/>
          <w:szCs w:val="24"/>
        </w:rPr>
        <w:t xml:space="preserve">. </w:t>
      </w:r>
    </w:p>
    <w:p w:rsidR="008953EA" w:rsidRPr="008953EA" w:rsidRDefault="001F3AE9" w:rsidP="008953EA">
      <w:pPr>
        <w:pStyle w:val="ListParagraph"/>
        <w:widowControl/>
        <w:numPr>
          <w:ilvl w:val="1"/>
          <w:numId w:val="14"/>
        </w:numPr>
        <w:spacing w:after="120"/>
        <w:contextualSpacing w:val="0"/>
        <w:rPr>
          <w:rFonts w:asciiTheme="minorHAnsi" w:hAnsiTheme="minorHAnsi"/>
          <w:bCs/>
          <w:lang w:val="en-GB"/>
        </w:rPr>
      </w:pPr>
      <w:r>
        <w:rPr>
          <w:rFonts w:asciiTheme="minorHAnsi" w:hAnsiTheme="minorHAnsi"/>
          <w:sz w:val="24"/>
          <w:szCs w:val="24"/>
        </w:rPr>
        <w:t xml:space="preserve">The PBAC noted the clinical </w:t>
      </w:r>
      <w:r w:rsidR="004569F1">
        <w:rPr>
          <w:rFonts w:asciiTheme="minorHAnsi" w:hAnsiTheme="minorHAnsi"/>
          <w:sz w:val="24"/>
          <w:szCs w:val="24"/>
        </w:rPr>
        <w:t>support</w:t>
      </w:r>
      <w:r>
        <w:rPr>
          <w:rFonts w:asciiTheme="minorHAnsi" w:hAnsiTheme="minorHAnsi"/>
          <w:sz w:val="24"/>
          <w:szCs w:val="24"/>
        </w:rPr>
        <w:t xml:space="preserve"> for extending the validity period of eosinophil blood test to 12 months </w:t>
      </w:r>
      <w:r w:rsidR="00CA505D">
        <w:rPr>
          <w:rFonts w:asciiTheme="minorHAnsi" w:hAnsiTheme="minorHAnsi"/>
          <w:sz w:val="24"/>
          <w:szCs w:val="24"/>
        </w:rPr>
        <w:t>w</w:t>
      </w:r>
      <w:r w:rsidR="007778F6">
        <w:rPr>
          <w:rFonts w:asciiTheme="minorHAnsi" w:hAnsiTheme="minorHAnsi"/>
          <w:sz w:val="24"/>
          <w:szCs w:val="24"/>
        </w:rPr>
        <w:t>as to allow timely access to</w:t>
      </w:r>
      <w:r w:rsidR="00CA505D">
        <w:rPr>
          <w:rFonts w:asciiTheme="minorHAnsi" w:hAnsiTheme="minorHAnsi"/>
          <w:sz w:val="24"/>
          <w:szCs w:val="24"/>
        </w:rPr>
        <w:t xml:space="preserve"> mepolizumab treatment</w:t>
      </w:r>
      <w:r w:rsidR="008953EA">
        <w:rPr>
          <w:rFonts w:asciiTheme="minorHAnsi" w:hAnsiTheme="minorHAnsi"/>
          <w:sz w:val="24"/>
          <w:szCs w:val="24"/>
        </w:rPr>
        <w:t xml:space="preserve"> </w:t>
      </w:r>
      <w:r w:rsidR="007778F6">
        <w:rPr>
          <w:rFonts w:asciiTheme="minorHAnsi" w:hAnsiTheme="minorHAnsi"/>
          <w:sz w:val="24"/>
          <w:szCs w:val="24"/>
        </w:rPr>
        <w:t xml:space="preserve">and reduce the </w:t>
      </w:r>
      <w:r w:rsidR="008953EA">
        <w:rPr>
          <w:rFonts w:asciiTheme="minorHAnsi" w:hAnsiTheme="minorHAnsi"/>
          <w:sz w:val="24"/>
          <w:szCs w:val="24"/>
        </w:rPr>
        <w:t xml:space="preserve">logistical and administrative burden </w:t>
      </w:r>
      <w:r w:rsidR="004903F4">
        <w:rPr>
          <w:rFonts w:asciiTheme="minorHAnsi" w:hAnsiTheme="minorHAnsi"/>
          <w:sz w:val="24"/>
          <w:szCs w:val="24"/>
        </w:rPr>
        <w:t>on</w:t>
      </w:r>
      <w:r w:rsidR="008953EA">
        <w:rPr>
          <w:rFonts w:asciiTheme="minorHAnsi" w:hAnsiTheme="minorHAnsi"/>
          <w:sz w:val="24"/>
          <w:szCs w:val="24"/>
        </w:rPr>
        <w:t xml:space="preserve"> patient</w:t>
      </w:r>
      <w:r w:rsidR="004903F4">
        <w:rPr>
          <w:rFonts w:asciiTheme="minorHAnsi" w:hAnsiTheme="minorHAnsi"/>
          <w:sz w:val="24"/>
          <w:szCs w:val="24"/>
        </w:rPr>
        <w:t>s</w:t>
      </w:r>
      <w:r w:rsidR="008953EA">
        <w:rPr>
          <w:rFonts w:asciiTheme="minorHAnsi" w:hAnsiTheme="minorHAnsi"/>
          <w:sz w:val="24"/>
          <w:szCs w:val="24"/>
        </w:rPr>
        <w:t xml:space="preserve"> and clinician</w:t>
      </w:r>
      <w:r w:rsidR="004903F4">
        <w:rPr>
          <w:rFonts w:asciiTheme="minorHAnsi" w:hAnsiTheme="minorHAnsi"/>
          <w:sz w:val="24"/>
          <w:szCs w:val="24"/>
        </w:rPr>
        <w:t>s</w:t>
      </w:r>
      <w:r w:rsidR="006170DE">
        <w:rPr>
          <w:rFonts w:asciiTheme="minorHAnsi" w:hAnsiTheme="minorHAnsi"/>
          <w:sz w:val="24"/>
          <w:szCs w:val="24"/>
        </w:rPr>
        <w:t xml:space="preserve">. </w:t>
      </w:r>
      <w:r w:rsidR="00D0128C">
        <w:rPr>
          <w:rFonts w:asciiTheme="minorHAnsi" w:hAnsiTheme="minorHAnsi"/>
          <w:sz w:val="24"/>
          <w:szCs w:val="24"/>
        </w:rPr>
        <w:t xml:space="preserve">The PBAC considered that the change may reduce the </w:t>
      </w:r>
      <w:r w:rsidR="008953EA">
        <w:rPr>
          <w:rFonts w:asciiTheme="minorHAnsi" w:hAnsiTheme="minorHAnsi"/>
          <w:sz w:val="24"/>
          <w:szCs w:val="24"/>
        </w:rPr>
        <w:t xml:space="preserve">risk of </w:t>
      </w:r>
      <w:r w:rsidR="00B50C6D">
        <w:rPr>
          <w:rFonts w:asciiTheme="minorHAnsi" w:hAnsiTheme="minorHAnsi"/>
          <w:sz w:val="24"/>
          <w:szCs w:val="24"/>
        </w:rPr>
        <w:t xml:space="preserve">asthmatic </w:t>
      </w:r>
      <w:r w:rsidR="008953EA">
        <w:rPr>
          <w:rFonts w:asciiTheme="minorHAnsi" w:hAnsiTheme="minorHAnsi"/>
          <w:sz w:val="24"/>
          <w:szCs w:val="24"/>
        </w:rPr>
        <w:t>exacerbations due to withdrawal or reduction of corticosteroids to maximise the likelihood of obtaining the target results within 6 weeks.</w:t>
      </w:r>
    </w:p>
    <w:p w:rsidR="00E77627" w:rsidRPr="00050C24" w:rsidRDefault="00446FCA" w:rsidP="008953EA">
      <w:pPr>
        <w:pStyle w:val="ListParagraph"/>
        <w:widowControl/>
        <w:numPr>
          <w:ilvl w:val="1"/>
          <w:numId w:val="14"/>
        </w:numPr>
        <w:spacing w:after="120"/>
        <w:contextualSpacing w:val="0"/>
        <w:rPr>
          <w:rFonts w:asciiTheme="minorHAnsi" w:hAnsiTheme="minorHAnsi"/>
          <w:sz w:val="24"/>
          <w:szCs w:val="24"/>
        </w:rPr>
      </w:pPr>
      <w:r w:rsidRPr="00050C24">
        <w:rPr>
          <w:rFonts w:asciiTheme="minorHAnsi" w:hAnsiTheme="minorHAnsi"/>
          <w:sz w:val="24"/>
          <w:szCs w:val="24"/>
        </w:rPr>
        <w:t>Consistent with the existing arrangements for current listing of mepolizumab, t</w:t>
      </w:r>
      <w:r w:rsidR="00E77627" w:rsidRPr="00050C24">
        <w:rPr>
          <w:rFonts w:asciiTheme="minorHAnsi" w:hAnsiTheme="minorHAnsi"/>
          <w:sz w:val="24"/>
          <w:szCs w:val="24"/>
        </w:rPr>
        <w:t xml:space="preserve">he PBAC </w:t>
      </w:r>
      <w:r w:rsidRPr="00050C24">
        <w:rPr>
          <w:rFonts w:asciiTheme="minorHAnsi" w:hAnsiTheme="minorHAnsi"/>
          <w:sz w:val="24"/>
          <w:szCs w:val="24"/>
        </w:rPr>
        <w:t xml:space="preserve">advised that </w:t>
      </w:r>
      <w:r w:rsidR="00E77627" w:rsidRPr="00050C24">
        <w:rPr>
          <w:rFonts w:asciiTheme="minorHAnsi" w:hAnsiTheme="minorHAnsi"/>
          <w:sz w:val="24"/>
          <w:szCs w:val="24"/>
        </w:rPr>
        <w:t>mepolizumab should not be treated as interchangeable with any other drugs.</w:t>
      </w:r>
    </w:p>
    <w:p w:rsidR="00EF4839" w:rsidRPr="00E77627" w:rsidRDefault="00EF4839" w:rsidP="00E77627">
      <w:pPr>
        <w:widowControl w:val="0"/>
        <w:numPr>
          <w:ilvl w:val="1"/>
          <w:numId w:val="5"/>
        </w:numPr>
        <w:spacing w:after="120"/>
        <w:jc w:val="both"/>
        <w:rPr>
          <w:rFonts w:asciiTheme="minorHAnsi" w:hAnsiTheme="minorHAnsi" w:cs="Arial"/>
          <w:bCs/>
          <w:snapToGrid w:val="0"/>
          <w:lang w:val="en-GB"/>
        </w:rPr>
      </w:pPr>
      <w:r w:rsidRPr="00E77627">
        <w:rPr>
          <w:rFonts w:asciiTheme="minorHAnsi" w:hAnsiTheme="minorHAnsi" w:cs="Arial"/>
          <w:bCs/>
          <w:snapToGrid w:val="0"/>
          <w:lang w:val="en-GB"/>
        </w:rPr>
        <w:t xml:space="preserve">The PBAC </w:t>
      </w:r>
      <w:r w:rsidR="008453F6">
        <w:rPr>
          <w:rFonts w:asciiTheme="minorHAnsi" w:hAnsiTheme="minorHAnsi" w:cs="Arial"/>
          <w:bCs/>
          <w:snapToGrid w:val="0"/>
          <w:lang w:val="en-GB"/>
        </w:rPr>
        <w:t>advised</w:t>
      </w:r>
      <w:r w:rsidR="00E77627" w:rsidRPr="00E77627">
        <w:rPr>
          <w:rFonts w:asciiTheme="minorHAnsi" w:hAnsiTheme="minorHAnsi" w:cs="Arial"/>
          <w:bCs/>
          <w:snapToGrid w:val="0"/>
          <w:lang w:val="en-GB"/>
        </w:rPr>
        <w:t xml:space="preserve"> that Section 100 medicines are currently considered out of scope</w:t>
      </w:r>
      <w:r w:rsidR="00E77627">
        <w:rPr>
          <w:rFonts w:asciiTheme="minorHAnsi" w:hAnsiTheme="minorHAnsi" w:cs="Arial"/>
          <w:bCs/>
          <w:snapToGrid w:val="0"/>
          <w:lang w:val="en-GB"/>
        </w:rPr>
        <w:t xml:space="preserve"> </w:t>
      </w:r>
      <w:r w:rsidR="00E77627" w:rsidRPr="00E77627">
        <w:rPr>
          <w:rFonts w:asciiTheme="minorHAnsi" w:hAnsiTheme="minorHAnsi" w:cs="Arial"/>
          <w:bCs/>
          <w:snapToGrid w:val="0"/>
          <w:lang w:val="en-GB"/>
        </w:rPr>
        <w:t xml:space="preserve">for prescribing by nurse practitioners. </w:t>
      </w:r>
    </w:p>
    <w:p w:rsidR="00EF4839" w:rsidRPr="00197792" w:rsidRDefault="00EF4839" w:rsidP="00197792">
      <w:pPr>
        <w:widowControl w:val="0"/>
        <w:numPr>
          <w:ilvl w:val="1"/>
          <w:numId w:val="5"/>
        </w:numPr>
        <w:spacing w:after="120"/>
        <w:jc w:val="both"/>
        <w:rPr>
          <w:rFonts w:asciiTheme="minorHAnsi" w:hAnsiTheme="minorHAnsi" w:cs="Arial"/>
          <w:bCs/>
          <w:snapToGrid w:val="0"/>
          <w:lang w:val="en-GB"/>
        </w:rPr>
      </w:pPr>
      <w:r w:rsidRPr="00197792">
        <w:rPr>
          <w:rFonts w:asciiTheme="minorHAnsi" w:hAnsiTheme="minorHAnsi" w:cs="Arial"/>
          <w:bCs/>
          <w:snapToGrid w:val="0"/>
          <w:lang w:val="en-GB"/>
        </w:rPr>
        <w:t xml:space="preserve">The </w:t>
      </w:r>
      <w:r w:rsidR="00197792" w:rsidRPr="00197792">
        <w:rPr>
          <w:rFonts w:asciiTheme="minorHAnsi" w:hAnsiTheme="minorHAnsi" w:cs="Arial"/>
          <w:bCs/>
          <w:snapToGrid w:val="0"/>
          <w:lang w:val="en-GB"/>
        </w:rPr>
        <w:t>PBAC noted that the Early Supply Rule does not currently apply to Section 100 listings</w:t>
      </w:r>
      <w:r w:rsidR="00A678FA">
        <w:rPr>
          <w:rFonts w:asciiTheme="minorHAnsi" w:hAnsiTheme="minorHAnsi" w:cs="Arial"/>
          <w:bCs/>
          <w:snapToGrid w:val="0"/>
          <w:lang w:val="en-GB"/>
        </w:rPr>
        <w:t>. Should</w:t>
      </w:r>
      <w:r w:rsidR="00197792" w:rsidRPr="00197792">
        <w:rPr>
          <w:rFonts w:asciiTheme="minorHAnsi" w:hAnsiTheme="minorHAnsi" w:cs="Arial"/>
          <w:bCs/>
          <w:snapToGrid w:val="0"/>
          <w:lang w:val="en-GB"/>
        </w:rPr>
        <w:t xml:space="preserve"> this change in the future</w:t>
      </w:r>
      <w:r w:rsidR="00A678FA">
        <w:rPr>
          <w:rFonts w:asciiTheme="minorHAnsi" w:hAnsiTheme="minorHAnsi" w:cs="Arial"/>
          <w:bCs/>
          <w:snapToGrid w:val="0"/>
          <w:lang w:val="en-GB"/>
        </w:rPr>
        <w:t>,</w:t>
      </w:r>
      <w:r w:rsidR="00197792" w:rsidRPr="00197792">
        <w:rPr>
          <w:rFonts w:asciiTheme="minorHAnsi" w:hAnsiTheme="minorHAnsi" w:cs="Arial"/>
          <w:bCs/>
          <w:snapToGrid w:val="0"/>
          <w:lang w:val="en-GB"/>
        </w:rPr>
        <w:t xml:space="preserve"> the Committee </w:t>
      </w:r>
      <w:r w:rsidR="00A678FA">
        <w:rPr>
          <w:rFonts w:asciiTheme="minorHAnsi" w:hAnsiTheme="minorHAnsi" w:cs="Arial"/>
          <w:bCs/>
          <w:snapToGrid w:val="0"/>
          <w:lang w:val="en-GB"/>
        </w:rPr>
        <w:t xml:space="preserve">recalled that it </w:t>
      </w:r>
      <w:r w:rsidR="00197792" w:rsidRPr="00197792">
        <w:rPr>
          <w:rFonts w:asciiTheme="minorHAnsi" w:hAnsiTheme="minorHAnsi" w:cs="Arial"/>
          <w:bCs/>
          <w:snapToGrid w:val="0"/>
          <w:lang w:val="en-GB"/>
        </w:rPr>
        <w:t>would</w:t>
      </w:r>
      <w:r w:rsidR="00197792">
        <w:rPr>
          <w:rFonts w:asciiTheme="minorHAnsi" w:hAnsiTheme="minorHAnsi" w:cs="Arial"/>
          <w:bCs/>
          <w:snapToGrid w:val="0"/>
          <w:lang w:val="en-GB"/>
        </w:rPr>
        <w:t xml:space="preserve"> </w:t>
      </w:r>
      <w:r w:rsidR="00197792" w:rsidRPr="00197792">
        <w:rPr>
          <w:rFonts w:asciiTheme="minorHAnsi" w:hAnsiTheme="minorHAnsi" w:cs="Arial"/>
          <w:bCs/>
          <w:snapToGrid w:val="0"/>
          <w:lang w:val="en-GB"/>
        </w:rPr>
        <w:t>be appropriate for the Early Supply Rule to apply to mepolizumab</w:t>
      </w:r>
      <w:r w:rsidR="00197792">
        <w:rPr>
          <w:rFonts w:asciiTheme="minorHAnsi" w:hAnsiTheme="minorHAnsi" w:cs="Arial"/>
          <w:bCs/>
          <w:snapToGrid w:val="0"/>
          <w:lang w:val="en-GB"/>
        </w:rPr>
        <w:t>.</w:t>
      </w:r>
    </w:p>
    <w:p w:rsidR="00106FCE" w:rsidRPr="00AB62C3" w:rsidRDefault="00EF4839" w:rsidP="00B119A3">
      <w:pPr>
        <w:widowControl w:val="0"/>
        <w:numPr>
          <w:ilvl w:val="1"/>
          <w:numId w:val="5"/>
        </w:numPr>
        <w:spacing w:after="120"/>
        <w:jc w:val="both"/>
        <w:rPr>
          <w:rFonts w:asciiTheme="minorHAnsi" w:hAnsiTheme="minorHAnsi"/>
        </w:rPr>
      </w:pPr>
      <w:r w:rsidRPr="00AB62C3">
        <w:rPr>
          <w:rFonts w:asciiTheme="minorHAnsi" w:hAnsiTheme="minorHAnsi" w:cs="Arial"/>
          <w:bCs/>
          <w:snapToGrid w:val="0"/>
          <w:lang w:val="en-GB"/>
        </w:rPr>
        <w:t>The PBAC noted that this submission is not eligible for an Independent Review</w:t>
      </w:r>
      <w:r w:rsidR="00B119A3">
        <w:rPr>
          <w:rFonts w:asciiTheme="minorHAnsi" w:hAnsiTheme="minorHAnsi" w:cs="Arial"/>
          <w:bCs/>
          <w:snapToGrid w:val="0"/>
          <w:lang w:val="en-GB"/>
        </w:rPr>
        <w:t xml:space="preserve"> </w:t>
      </w:r>
      <w:r w:rsidR="00B119A3" w:rsidRPr="00B119A3">
        <w:rPr>
          <w:rFonts w:asciiTheme="minorHAnsi" w:hAnsiTheme="minorHAnsi" w:cs="Arial"/>
          <w:bCs/>
          <w:snapToGrid w:val="0"/>
          <w:lang w:val="en-GB"/>
        </w:rPr>
        <w:t>because it has received a positive recommendation</w:t>
      </w:r>
      <w:r w:rsidRPr="00AB62C3">
        <w:rPr>
          <w:rFonts w:asciiTheme="minorHAnsi" w:hAnsiTheme="minorHAnsi" w:cs="Arial"/>
          <w:bCs/>
          <w:snapToGrid w:val="0"/>
          <w:lang w:val="en-GB"/>
        </w:rPr>
        <w:t>.</w:t>
      </w:r>
      <w:r w:rsidR="00AB62C3" w:rsidRPr="00AB62C3">
        <w:rPr>
          <w:rFonts w:asciiTheme="minorHAnsi" w:hAnsiTheme="minorHAnsi" w:cs="Arial"/>
          <w:bCs/>
          <w:snapToGrid w:val="0"/>
          <w:lang w:val="en-GB"/>
        </w:rPr>
        <w:t xml:space="preserve"> </w:t>
      </w:r>
    </w:p>
    <w:p w:rsidR="00106FCE" w:rsidRPr="00AB62C3" w:rsidRDefault="00106FCE" w:rsidP="00106FCE">
      <w:pPr>
        <w:spacing w:before="240" w:after="120"/>
        <w:jc w:val="both"/>
        <w:rPr>
          <w:rFonts w:asciiTheme="minorHAnsi" w:hAnsiTheme="minorHAnsi" w:cs="Arial"/>
          <w:b/>
          <w:bCs/>
          <w:snapToGrid w:val="0"/>
          <w:lang w:val="en-GB" w:eastAsia="en-US"/>
        </w:rPr>
      </w:pPr>
      <w:r w:rsidRPr="00AB62C3">
        <w:rPr>
          <w:rFonts w:asciiTheme="minorHAnsi" w:hAnsiTheme="minorHAnsi" w:cs="Arial"/>
          <w:b/>
          <w:bCs/>
          <w:snapToGrid w:val="0"/>
          <w:lang w:val="en-GB" w:eastAsia="en-US"/>
        </w:rPr>
        <w:t>Outcome:</w:t>
      </w:r>
    </w:p>
    <w:p w:rsidR="00106FCE" w:rsidRDefault="00EF4839" w:rsidP="00106FCE">
      <w:pPr>
        <w:spacing w:after="120"/>
        <w:jc w:val="both"/>
        <w:rPr>
          <w:rFonts w:asciiTheme="minorHAnsi" w:hAnsiTheme="minorHAnsi" w:cs="Arial"/>
          <w:bCs/>
          <w:snapToGrid w:val="0"/>
          <w:lang w:val="en-GB" w:eastAsia="en-US"/>
        </w:rPr>
      </w:pPr>
      <w:r w:rsidRPr="00AB62C3">
        <w:rPr>
          <w:rFonts w:asciiTheme="minorHAnsi" w:hAnsiTheme="minorHAnsi" w:cs="Arial"/>
          <w:bCs/>
          <w:snapToGrid w:val="0"/>
          <w:lang w:val="en-GB" w:eastAsia="en-US"/>
        </w:rPr>
        <w:t>Recommended</w:t>
      </w:r>
    </w:p>
    <w:p w:rsidR="007936FB" w:rsidRPr="00FE0F9B" w:rsidRDefault="007936FB" w:rsidP="00FE0F9B">
      <w:pPr>
        <w:pStyle w:val="PBACHeading1"/>
        <w:spacing w:before="240" w:after="120"/>
        <w:rPr>
          <w:rFonts w:asciiTheme="minorHAnsi" w:hAnsiTheme="minorHAnsi"/>
          <w:sz w:val="32"/>
        </w:rPr>
      </w:pPr>
      <w:r w:rsidRPr="00FE0F9B">
        <w:rPr>
          <w:rFonts w:asciiTheme="minorHAnsi" w:hAnsiTheme="minorHAnsi"/>
          <w:sz w:val="32"/>
        </w:rPr>
        <w:t>Recommended listing</w:t>
      </w:r>
    </w:p>
    <w:p w:rsidR="007936FB" w:rsidRPr="007936FB" w:rsidRDefault="007936FB" w:rsidP="007936FB">
      <w:pPr>
        <w:widowControl w:val="0"/>
        <w:numPr>
          <w:ilvl w:val="1"/>
          <w:numId w:val="5"/>
        </w:numPr>
        <w:spacing w:after="120"/>
        <w:jc w:val="both"/>
        <w:rPr>
          <w:rFonts w:asciiTheme="minorHAnsi" w:hAnsiTheme="minorHAnsi"/>
          <w:lang w:eastAsia="en-US"/>
        </w:rPr>
      </w:pPr>
      <w:r w:rsidRPr="007936FB">
        <w:rPr>
          <w:rFonts w:asciiTheme="minorHAnsi" w:hAnsiTheme="minorHAnsi" w:cs="Arial"/>
          <w:bCs/>
          <w:snapToGrid w:val="0"/>
        </w:rPr>
        <w:t>Amend existing listing as follows:</w:t>
      </w:r>
    </w:p>
    <w:tbl>
      <w:tblPr>
        <w:tblW w:w="4915" w:type="pct"/>
        <w:tblLook w:val="0000" w:firstRow="0" w:lastRow="0" w:firstColumn="0" w:lastColumn="0" w:noHBand="0" w:noVBand="0"/>
      </w:tblPr>
      <w:tblGrid>
        <w:gridCol w:w="1864"/>
        <w:gridCol w:w="1289"/>
        <w:gridCol w:w="652"/>
        <w:gridCol w:w="804"/>
        <w:gridCol w:w="1542"/>
        <w:gridCol w:w="1429"/>
        <w:gridCol w:w="1505"/>
      </w:tblGrid>
      <w:tr w:rsidR="0022639E" w:rsidRPr="0039782C" w:rsidTr="00EB3D6C">
        <w:trPr>
          <w:cantSplit/>
          <w:trHeight w:val="465"/>
        </w:trPr>
        <w:tc>
          <w:tcPr>
            <w:tcW w:w="1864" w:type="pct"/>
            <w:gridSpan w:val="2"/>
            <w:tcBorders>
              <w:bottom w:val="single" w:sz="4" w:space="0" w:color="auto"/>
            </w:tcBorders>
          </w:tcPr>
          <w:p w:rsidR="0022639E" w:rsidRPr="0039782C" w:rsidRDefault="007936FB" w:rsidP="00EB3D6C">
            <w:pPr>
              <w:keepNext/>
              <w:spacing w:before="40" w:after="40"/>
              <w:jc w:val="both"/>
              <w:rPr>
                <w:rFonts w:ascii="Arial Narrow" w:hAnsi="Arial Narrow" w:cs="Arial"/>
                <w:b/>
                <w:sz w:val="20"/>
                <w:szCs w:val="20"/>
              </w:rPr>
            </w:pPr>
            <w:r w:rsidRPr="0033466E">
              <w:rPr>
                <w:rFonts w:asciiTheme="minorHAnsi" w:hAnsiTheme="minorHAnsi"/>
                <w:lang w:eastAsia="en-US"/>
              </w:rPr>
              <w:t xml:space="preserve"> </w:t>
            </w:r>
            <w:r w:rsidR="0022639E" w:rsidRPr="0039782C">
              <w:rPr>
                <w:rFonts w:ascii="Arial Narrow" w:hAnsi="Arial Narrow" w:cs="Arial"/>
                <w:b/>
                <w:sz w:val="20"/>
                <w:szCs w:val="20"/>
              </w:rPr>
              <w:t>Name, Restriction,</w:t>
            </w:r>
          </w:p>
          <w:p w:rsidR="0022639E" w:rsidRPr="0039782C" w:rsidRDefault="0022639E"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3" w:type="pct"/>
            <w:tcBorders>
              <w:bottom w:val="single" w:sz="4" w:space="0" w:color="auto"/>
            </w:tcBorders>
          </w:tcPr>
          <w:p w:rsidR="0022639E" w:rsidRPr="0039782C" w:rsidRDefault="0022639E"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22639E" w:rsidRPr="0039782C" w:rsidRDefault="0022639E"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7" w:type="pct"/>
            <w:tcBorders>
              <w:bottom w:val="single" w:sz="4" w:space="0" w:color="auto"/>
            </w:tcBorders>
          </w:tcPr>
          <w:p w:rsidR="0022639E" w:rsidRPr="0039782C" w:rsidRDefault="0022639E"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22639E" w:rsidRPr="0039782C" w:rsidRDefault="0022639E"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13" w:type="pct"/>
            <w:tcBorders>
              <w:bottom w:val="single" w:sz="4" w:space="0" w:color="auto"/>
            </w:tcBorders>
          </w:tcPr>
          <w:p w:rsidR="0022639E" w:rsidRPr="0039782C" w:rsidRDefault="00175476" w:rsidP="00EB3D6C">
            <w:pPr>
              <w:keepNext/>
              <w:spacing w:before="40" w:after="40"/>
              <w:jc w:val="both"/>
              <w:rPr>
                <w:rFonts w:ascii="Arial Narrow" w:hAnsi="Arial Narrow" w:cs="Arial"/>
                <w:b/>
                <w:sz w:val="20"/>
                <w:szCs w:val="20"/>
              </w:rPr>
            </w:pPr>
            <w:r w:rsidRPr="0039782C">
              <w:rPr>
                <w:rFonts w:ascii="Arial Narrow" w:hAnsi="Arial Narrow" w:cs="Arial"/>
                <w:b/>
                <w:sz w:val="20"/>
                <w:szCs w:val="20"/>
              </w:rPr>
              <w:t>Proprietary Name</w:t>
            </w:r>
          </w:p>
        </w:tc>
        <w:tc>
          <w:tcPr>
            <w:tcW w:w="1293" w:type="pct"/>
            <w:gridSpan w:val="2"/>
            <w:tcBorders>
              <w:bottom w:val="single" w:sz="4" w:space="0" w:color="auto"/>
            </w:tcBorders>
          </w:tcPr>
          <w:p w:rsidR="0022639E" w:rsidRPr="0039782C" w:rsidRDefault="0022639E" w:rsidP="00175476">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 xml:space="preserve"> Manufacturer</w:t>
            </w:r>
          </w:p>
        </w:tc>
      </w:tr>
      <w:tr w:rsidR="0022639E" w:rsidRPr="00260CE3" w:rsidTr="00EB3D6C">
        <w:trPr>
          <w:cantSplit/>
          <w:trHeight w:val="570"/>
        </w:trPr>
        <w:tc>
          <w:tcPr>
            <w:tcW w:w="1864" w:type="pct"/>
            <w:gridSpan w:val="2"/>
          </w:tcPr>
          <w:p w:rsidR="0022639E" w:rsidRPr="00260CE3" w:rsidRDefault="0022639E" w:rsidP="00EB3D6C">
            <w:pPr>
              <w:keepNext/>
              <w:spacing w:before="40" w:after="40"/>
              <w:jc w:val="both"/>
              <w:rPr>
                <w:rFonts w:ascii="Arial Narrow" w:hAnsi="Arial Narrow" w:cs="Arial"/>
                <w:sz w:val="20"/>
                <w:szCs w:val="20"/>
              </w:rPr>
            </w:pPr>
            <w:r>
              <w:rPr>
                <w:rFonts w:ascii="Arial Narrow" w:hAnsi="Arial Narrow" w:cs="Arial"/>
                <w:smallCaps/>
                <w:sz w:val="20"/>
                <w:szCs w:val="20"/>
              </w:rPr>
              <w:t>MEPOLIZUMAB</w:t>
            </w:r>
          </w:p>
          <w:p w:rsidR="0022639E" w:rsidRPr="00260CE3" w:rsidRDefault="0022639E" w:rsidP="00EB3D6C">
            <w:pPr>
              <w:keepNext/>
              <w:spacing w:before="40" w:after="40"/>
              <w:jc w:val="both"/>
              <w:rPr>
                <w:rFonts w:ascii="Arial Narrow" w:hAnsi="Arial Narrow" w:cs="Arial"/>
                <w:sz w:val="20"/>
                <w:szCs w:val="20"/>
              </w:rPr>
            </w:pPr>
            <w:r w:rsidRPr="004315BB">
              <w:rPr>
                <w:rFonts w:ascii="Arial Narrow" w:hAnsi="Arial Narrow" w:cs="Arial"/>
                <w:sz w:val="20"/>
                <w:szCs w:val="20"/>
              </w:rPr>
              <w:t>100 mg injection, 1 vial</w:t>
            </w:r>
          </w:p>
        </w:tc>
        <w:tc>
          <w:tcPr>
            <w:tcW w:w="423" w:type="pct"/>
          </w:tcPr>
          <w:p w:rsidR="0022639E" w:rsidRPr="009B0AEE" w:rsidRDefault="0022639E" w:rsidP="00EB3D6C">
            <w:pPr>
              <w:keepNext/>
              <w:spacing w:before="40" w:after="40"/>
              <w:jc w:val="both"/>
              <w:rPr>
                <w:rFonts w:ascii="Arial Narrow" w:hAnsi="Arial Narrow" w:cs="Arial"/>
                <w:sz w:val="20"/>
                <w:szCs w:val="20"/>
              </w:rPr>
            </w:pPr>
            <w:r w:rsidRPr="009B0AEE">
              <w:rPr>
                <w:rFonts w:ascii="Arial Narrow" w:hAnsi="Arial Narrow" w:cs="Arial"/>
                <w:sz w:val="20"/>
                <w:szCs w:val="20"/>
              </w:rPr>
              <w:t>1</w:t>
            </w:r>
          </w:p>
        </w:tc>
        <w:tc>
          <w:tcPr>
            <w:tcW w:w="507" w:type="pct"/>
          </w:tcPr>
          <w:p w:rsidR="0022639E" w:rsidRPr="009B0AEE" w:rsidRDefault="0022639E" w:rsidP="00EB3D6C">
            <w:pPr>
              <w:keepNext/>
              <w:spacing w:before="40" w:after="40"/>
              <w:jc w:val="both"/>
              <w:rPr>
                <w:rFonts w:ascii="Arial Narrow" w:hAnsi="Arial Narrow" w:cs="Arial"/>
                <w:sz w:val="20"/>
                <w:szCs w:val="20"/>
              </w:rPr>
            </w:pPr>
            <w:r w:rsidRPr="009B0AEE">
              <w:rPr>
                <w:rFonts w:ascii="Arial Narrow" w:hAnsi="Arial Narrow" w:cs="Arial"/>
                <w:sz w:val="20"/>
                <w:szCs w:val="20"/>
              </w:rPr>
              <w:t>7</w:t>
            </w:r>
          </w:p>
        </w:tc>
        <w:tc>
          <w:tcPr>
            <w:tcW w:w="913" w:type="pct"/>
          </w:tcPr>
          <w:p w:rsidR="0022639E" w:rsidRPr="00802021" w:rsidRDefault="00175476" w:rsidP="00EB3D6C">
            <w:pPr>
              <w:keepNext/>
              <w:spacing w:before="40" w:after="40"/>
              <w:jc w:val="both"/>
              <w:rPr>
                <w:rFonts w:ascii="Arial Narrow" w:hAnsi="Arial Narrow" w:cs="Arial"/>
                <w:sz w:val="20"/>
                <w:szCs w:val="20"/>
                <w:highlight w:val="yellow"/>
              </w:rPr>
            </w:pPr>
            <w:r>
              <w:rPr>
                <w:rFonts w:ascii="Arial Narrow" w:hAnsi="Arial Narrow" w:cs="Arial"/>
                <w:sz w:val="20"/>
                <w:szCs w:val="20"/>
              </w:rPr>
              <w:t>Nucala</w:t>
            </w:r>
          </w:p>
        </w:tc>
        <w:tc>
          <w:tcPr>
            <w:tcW w:w="401" w:type="pct"/>
          </w:tcPr>
          <w:p w:rsidR="0022639E" w:rsidRPr="00260CE3" w:rsidRDefault="00175476" w:rsidP="00EB3D6C">
            <w:pPr>
              <w:keepNext/>
              <w:spacing w:before="40" w:after="40"/>
              <w:jc w:val="both"/>
              <w:rPr>
                <w:rFonts w:ascii="Arial Narrow" w:hAnsi="Arial Narrow" w:cs="Arial"/>
                <w:sz w:val="20"/>
                <w:szCs w:val="20"/>
              </w:rPr>
            </w:pPr>
            <w:r>
              <w:rPr>
                <w:rFonts w:ascii="Arial Narrow" w:hAnsi="Arial Narrow" w:cs="Arial"/>
                <w:sz w:val="20"/>
                <w:szCs w:val="20"/>
              </w:rPr>
              <w:t>GlaxoSmithKline Australia Pty Ltd</w:t>
            </w:r>
          </w:p>
        </w:tc>
        <w:tc>
          <w:tcPr>
            <w:tcW w:w="892" w:type="pct"/>
          </w:tcPr>
          <w:p w:rsidR="0022639E" w:rsidRPr="00260CE3" w:rsidRDefault="0022639E" w:rsidP="00EB3D6C">
            <w:pPr>
              <w:keepNext/>
              <w:spacing w:before="40" w:after="40"/>
              <w:jc w:val="both"/>
              <w:rPr>
                <w:rFonts w:ascii="Arial Narrow" w:hAnsi="Arial Narrow" w:cs="Arial"/>
                <w:sz w:val="20"/>
                <w:szCs w:val="20"/>
              </w:rPr>
            </w:pPr>
          </w:p>
        </w:tc>
      </w:tr>
      <w:tr w:rsidR="0022639E" w:rsidRPr="00260CE3" w:rsidTr="00EB3D6C">
        <w:trPr>
          <w:cantSplit/>
          <w:trHeight w:val="360"/>
        </w:trPr>
        <w:tc>
          <w:tcPr>
            <w:tcW w:w="4991" w:type="pct"/>
            <w:gridSpan w:val="7"/>
            <w:tcBorders>
              <w:bottom w:val="single" w:sz="4" w:space="0" w:color="auto"/>
            </w:tcBorders>
          </w:tcPr>
          <w:p w:rsidR="0022639E" w:rsidRPr="00260CE3" w:rsidRDefault="0022639E" w:rsidP="00EB3D6C">
            <w:pPr>
              <w:spacing w:before="40" w:after="40"/>
              <w:jc w:val="both"/>
              <w:rPr>
                <w:rFonts w:ascii="Arial Narrow" w:hAnsi="Arial Narrow" w:cs="Arial"/>
                <w:sz w:val="20"/>
                <w:szCs w:val="20"/>
              </w:rPr>
            </w:pP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22639E">
            <w:pPr>
              <w:spacing w:before="40" w:after="40"/>
              <w:jc w:val="both"/>
              <w:rPr>
                <w:rFonts w:ascii="Arial Narrow" w:hAnsi="Arial Narrow" w:cs="Arial"/>
                <w:b/>
                <w:sz w:val="20"/>
                <w:szCs w:val="20"/>
              </w:rPr>
            </w:pPr>
            <w:r w:rsidRPr="004C6C07">
              <w:rPr>
                <w:rFonts w:ascii="Arial Narrow" w:hAnsi="Arial Narrow" w:cs="Arial"/>
                <w:sz w:val="20"/>
                <w:szCs w:val="20"/>
              </w:rPr>
              <w:t>Category / Program</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60CE3" w:rsidRDefault="0022639E" w:rsidP="007D5262">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7D5262">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rPr>
                <w:rFonts w:ascii="Arial Narrow" w:hAnsi="Arial Narrow" w:cs="Arial"/>
                <w:sz w:val="20"/>
                <w:szCs w:val="20"/>
              </w:rPr>
            </w:pPr>
            <w:r w:rsidRPr="00802021">
              <w:rPr>
                <w:rFonts w:ascii="Arial Narrow" w:hAnsi="Arial Narrow" w:cs="Arial"/>
                <w:sz w:val="20"/>
                <w:szCs w:val="20"/>
              </w:rPr>
              <w:t>Uncontrolled severe eosinophilic asthma</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rPr>
                <w:rFonts w:ascii="Arial Narrow" w:hAnsi="Arial Narrow" w:cs="Arial"/>
                <w:sz w:val="20"/>
                <w:szCs w:val="20"/>
              </w:rPr>
            </w:pPr>
            <w:r>
              <w:rPr>
                <w:rFonts w:ascii="Arial Narrow" w:hAnsi="Arial Narrow" w:cs="Arial"/>
                <w:sz w:val="20"/>
                <w:szCs w:val="20"/>
              </w:rPr>
              <w:t>Initial</w:t>
            </w:r>
            <w:r w:rsidR="007D5262">
              <w:rPr>
                <w:rFonts w:ascii="Arial Narrow" w:hAnsi="Arial Narrow" w:cs="Arial"/>
                <w:sz w:val="20"/>
                <w:szCs w:val="20"/>
              </w:rPr>
              <w:t xml:space="preserve"> treatment</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2639E" w:rsidRPr="00260CE3" w:rsidRDefault="0022639E" w:rsidP="00EB3D6C">
            <w:pPr>
              <w:spacing w:before="40" w:after="40"/>
              <w:rPr>
                <w:rFonts w:ascii="Arial Narrow" w:hAnsi="Arial Narrow" w:cs="Arial"/>
                <w:sz w:val="20"/>
                <w:szCs w:val="20"/>
              </w:rPr>
            </w:pPr>
          </w:p>
        </w:tc>
        <w:tc>
          <w:tcPr>
            <w:tcW w:w="3901" w:type="pct"/>
            <w:gridSpan w:val="6"/>
            <w:tcBorders>
              <w:top w:val="single" w:sz="4" w:space="0" w:color="auto"/>
              <w:left w:val="single" w:sz="4" w:space="0" w:color="auto"/>
              <w:bottom w:val="single" w:sz="4" w:space="0" w:color="auto"/>
              <w:right w:val="single" w:sz="4" w:space="0" w:color="auto"/>
            </w:tcBorders>
          </w:tcPr>
          <w:p w:rsidR="0022639E" w:rsidRPr="00106BCF" w:rsidRDefault="0022639E" w:rsidP="00EB3D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2639E" w:rsidRPr="00106BCF" w:rsidRDefault="0022639E" w:rsidP="00EB3D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2639E" w:rsidRPr="00106BCF" w:rsidRDefault="0022639E" w:rsidP="00EB3D6C">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22639E" w:rsidRPr="00106BCF" w:rsidRDefault="0022639E" w:rsidP="00EB3D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2639E" w:rsidRPr="00106BCF" w:rsidRDefault="0022639E" w:rsidP="00EB3D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2639E" w:rsidRPr="00260CE3" w:rsidRDefault="0022639E" w:rsidP="00EB3D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7706A">
              <w:rPr>
                <w:rFonts w:ascii="Arial Narrow" w:hAnsi="Arial Narrow" w:cs="Arial"/>
                <w:sz w:val="20"/>
                <w:szCs w:val="20"/>
              </w:rPr>
            </w:r>
            <w:r w:rsidR="0027706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sz w:val="20"/>
                <w:szCs w:val="20"/>
              </w:rPr>
            </w:pPr>
            <w:r w:rsidRPr="00260CE3">
              <w:rPr>
                <w:rFonts w:ascii="Arial Narrow" w:hAnsi="Arial Narrow" w:cs="Arial"/>
                <w:b/>
                <w:sz w:val="20"/>
                <w:szCs w:val="20"/>
              </w:rPr>
              <w:t>Clinical criteria:</w:t>
            </w:r>
            <w:r w:rsidRPr="00260CE3">
              <w:rPr>
                <w:rFonts w:ascii="Arial Narrow" w:hAnsi="Arial Narrow" w:cs="Arial"/>
                <w:sz w:val="20"/>
                <w:szCs w:val="20"/>
              </w:rPr>
              <w:t xml:space="preserve"> </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5300C" w:rsidRDefault="0022639E" w:rsidP="00EB3D6C">
            <w:pPr>
              <w:rPr>
                <w:rFonts w:ascii="Arial Narrow" w:hAnsi="Arial Narrow"/>
                <w:sz w:val="20"/>
              </w:rPr>
            </w:pPr>
            <w:r w:rsidRPr="0025300C">
              <w:rPr>
                <w:rFonts w:ascii="Arial Narrow" w:hAnsi="Arial Narrow"/>
                <w:sz w:val="20"/>
              </w:rPr>
              <w:t>Patient must be under the care of the same physician for at least 12 months,</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5300C" w:rsidRDefault="0022639E" w:rsidP="00EB3D6C">
            <w:pPr>
              <w:rPr>
                <w:rFonts w:ascii="Arial Narrow" w:hAnsi="Arial Narrow"/>
                <w:sz w:val="20"/>
              </w:rPr>
            </w:pPr>
            <w:r w:rsidRPr="0025300C">
              <w:rPr>
                <w:rFonts w:ascii="Arial Narrow" w:hAnsi="Arial Narrow"/>
                <w:sz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5300C" w:rsidRDefault="0022639E" w:rsidP="00EB3D6C">
            <w:pPr>
              <w:rPr>
                <w:rFonts w:ascii="Arial Narrow" w:hAnsi="Arial Narrow"/>
                <w:sz w:val="20"/>
              </w:rPr>
            </w:pPr>
            <w:r w:rsidRPr="0025300C">
              <w:rPr>
                <w:rFonts w:ascii="Arial Narrow" w:hAnsi="Arial Narrow"/>
                <w:sz w:val="20"/>
              </w:rPr>
              <w:t>Patient must have a duration of asthma of at least 1 year,</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5300C" w:rsidRDefault="0022639E" w:rsidP="00EB3D6C">
            <w:pPr>
              <w:rPr>
                <w:rFonts w:ascii="Arial Narrow" w:hAnsi="Arial Narrow"/>
                <w:sz w:val="20"/>
              </w:rPr>
            </w:pPr>
            <w:r w:rsidRPr="0025300C">
              <w:rPr>
                <w:rFonts w:ascii="Arial Narrow" w:hAnsi="Arial Narrow"/>
                <w:sz w:val="20"/>
              </w:rPr>
              <w:t xml:space="preserve">Patient must have forced expiratory volume (FEV1) less than or equal to 80% predicted, documented on 1 or more occasions in the previous 12 months, </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802021" w:rsidRDefault="0022639E" w:rsidP="00EB3D6C">
            <w:pPr>
              <w:rPr>
                <w:rFonts w:ascii="Arial Narrow" w:hAnsi="Arial Narrow"/>
                <w:sz w:val="20"/>
              </w:rPr>
            </w:pPr>
            <w:r w:rsidRPr="00802021">
              <w:rPr>
                <w:rFonts w:ascii="Arial Narrow" w:hAnsi="Arial Narrow"/>
                <w:sz w:val="20"/>
              </w:rPr>
              <w:t xml:space="preserve">Patient must have blood eosinophil count greater than or equal to 300 cells per microlitre in the last </w:t>
            </w:r>
            <w:r w:rsidRPr="00DE3D28">
              <w:rPr>
                <w:rFonts w:ascii="Arial Narrow" w:hAnsi="Arial Narrow"/>
                <w:b/>
                <w:strike/>
                <w:sz w:val="20"/>
              </w:rPr>
              <w:t>6 weeks</w:t>
            </w:r>
            <w:r w:rsidR="00175476">
              <w:rPr>
                <w:rFonts w:ascii="Arial Narrow" w:hAnsi="Arial Narrow"/>
                <w:b/>
                <w:strike/>
                <w:sz w:val="20"/>
              </w:rPr>
              <w:t xml:space="preserve"> </w:t>
            </w:r>
            <w:r w:rsidRPr="00175476">
              <w:rPr>
                <w:rFonts w:ascii="Arial Narrow" w:hAnsi="Arial Narrow"/>
                <w:b/>
                <w:i/>
                <w:sz w:val="20"/>
              </w:rPr>
              <w:t>12 months</w:t>
            </w:r>
            <w:r w:rsidRPr="00802021">
              <w:rPr>
                <w:rFonts w:ascii="Arial Narrow" w:hAnsi="Arial Narrow"/>
                <w:sz w:val="20"/>
              </w:rPr>
              <w:t xml:space="preserve">, </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5300C" w:rsidRDefault="0022639E" w:rsidP="00EB3D6C">
            <w:pPr>
              <w:rPr>
                <w:rFonts w:ascii="Arial Narrow" w:hAnsi="Arial Narrow"/>
                <w:sz w:val="20"/>
              </w:rPr>
            </w:pPr>
            <w:r w:rsidRPr="0025300C">
              <w:rPr>
                <w:rFonts w:ascii="Arial Narrow" w:hAnsi="Arial Narrow"/>
                <w:sz w:val="20"/>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5300C" w:rsidRDefault="0022639E" w:rsidP="00EB3D6C">
            <w:pPr>
              <w:rPr>
                <w:rFonts w:ascii="Arial Narrow" w:hAnsi="Arial Narrow"/>
                <w:sz w:val="20"/>
              </w:rPr>
            </w:pPr>
            <w:r w:rsidRPr="0025300C">
              <w:rPr>
                <w:rFonts w:ascii="Arial Narrow" w:hAnsi="Arial Narrow"/>
                <w:sz w:val="20"/>
              </w:rPr>
              <w:t xml:space="preserve">Patient must have failed to achieve adequate control with optimised asthma therapy, despite formal assessment of and adherence to correct inhaler technique, which has been documented, </w:t>
            </w:r>
          </w:p>
          <w:p w:rsidR="0022639E" w:rsidRPr="0025300C" w:rsidRDefault="0022639E" w:rsidP="00EB3D6C">
            <w:pPr>
              <w:rPr>
                <w:rFonts w:ascii="Arial Narrow" w:hAnsi="Arial Narrow"/>
                <w:sz w:val="20"/>
              </w:rPr>
            </w:pPr>
            <w:r w:rsidRPr="0025300C">
              <w:rPr>
                <w:rFonts w:ascii="Arial Narrow" w:hAnsi="Arial Narrow"/>
                <w:sz w:val="20"/>
              </w:rPr>
              <w:t>AND</w:t>
            </w:r>
          </w:p>
          <w:p w:rsidR="0022639E" w:rsidRPr="00260CE3" w:rsidRDefault="0022639E" w:rsidP="00EB3D6C">
            <w:pPr>
              <w:spacing w:before="40" w:after="40"/>
              <w:rPr>
                <w:rFonts w:ascii="Arial Narrow" w:hAnsi="Arial Narrow" w:cs="Arial"/>
                <w:sz w:val="20"/>
                <w:szCs w:val="20"/>
              </w:rPr>
            </w:pPr>
            <w:r w:rsidRPr="0025300C">
              <w:rPr>
                <w:rFonts w:ascii="Arial Narrow" w:hAnsi="Arial Narrow"/>
                <w:sz w:val="20"/>
              </w:rPr>
              <w:t>The treatment must not be used in combination with, or within 6 months of treatment with, PBS-subsidised omalizumab.</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Pr="00260CE3" w:rsidRDefault="0022639E" w:rsidP="00EB3D6C">
            <w:pPr>
              <w:spacing w:before="40" w:after="40"/>
              <w:jc w:val="both"/>
              <w:rPr>
                <w:rFonts w:ascii="Arial Narrow" w:hAnsi="Arial Narrow" w:cs="Arial"/>
                <w:b/>
                <w:sz w:val="20"/>
                <w:szCs w:val="20"/>
              </w:rPr>
            </w:pPr>
            <w:r>
              <w:rPr>
                <w:rFonts w:ascii="Arial Narrow" w:hAnsi="Arial Narrow" w:cs="Arial"/>
                <w:b/>
                <w:sz w:val="20"/>
                <w:szCs w:val="20"/>
              </w:rPr>
              <w:t xml:space="preserve">Treatment criteria </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5300C" w:rsidRDefault="0022639E" w:rsidP="00EB3D6C">
            <w:pPr>
              <w:rPr>
                <w:rFonts w:ascii="Arial Narrow" w:hAnsi="Arial Narrow"/>
                <w:sz w:val="20"/>
              </w:rPr>
            </w:pPr>
            <w:r>
              <w:rPr>
                <w:rFonts w:ascii="Arial Narrow" w:hAnsi="Arial Narrow"/>
                <w:sz w:val="20"/>
              </w:rPr>
              <w:t>As per existing restriction (no changes proposed)</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Default="0022639E" w:rsidP="00EB3D6C">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01" w:type="pct"/>
            <w:gridSpan w:val="6"/>
            <w:tcBorders>
              <w:top w:val="single" w:sz="4" w:space="0" w:color="auto"/>
              <w:left w:val="single" w:sz="4" w:space="0" w:color="auto"/>
              <w:bottom w:val="single" w:sz="4" w:space="0" w:color="auto"/>
              <w:right w:val="single" w:sz="4" w:space="0" w:color="auto"/>
            </w:tcBorders>
          </w:tcPr>
          <w:p w:rsidR="0022639E" w:rsidRDefault="0022639E" w:rsidP="00EB3D6C">
            <w:pPr>
              <w:rPr>
                <w:rFonts w:ascii="Arial Narrow" w:hAnsi="Arial Narrow"/>
                <w:sz w:val="20"/>
              </w:rPr>
            </w:pPr>
            <w:r>
              <w:rPr>
                <w:rFonts w:ascii="Arial Narrow" w:hAnsi="Arial Narrow"/>
                <w:sz w:val="20"/>
              </w:rPr>
              <w:t>As per existing restriction (no changes proposed)</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Default="0022639E" w:rsidP="00EB3D6C">
            <w:pPr>
              <w:spacing w:before="40" w:after="40"/>
              <w:jc w:val="both"/>
              <w:rPr>
                <w:rFonts w:ascii="Arial Narrow" w:hAnsi="Arial Narrow" w:cs="Arial"/>
                <w:b/>
                <w:sz w:val="20"/>
                <w:szCs w:val="20"/>
              </w:rPr>
            </w:pPr>
            <w:r>
              <w:rPr>
                <w:rFonts w:ascii="Arial Narrow" w:hAnsi="Arial Narrow" w:cs="Arial"/>
                <w:b/>
                <w:sz w:val="20"/>
                <w:szCs w:val="20"/>
              </w:rPr>
              <w:t xml:space="preserve">Population criteria </w:t>
            </w:r>
          </w:p>
        </w:tc>
        <w:tc>
          <w:tcPr>
            <w:tcW w:w="3901" w:type="pct"/>
            <w:gridSpan w:val="6"/>
            <w:tcBorders>
              <w:top w:val="single" w:sz="4" w:space="0" w:color="auto"/>
              <w:left w:val="single" w:sz="4" w:space="0" w:color="auto"/>
              <w:bottom w:val="single" w:sz="4" w:space="0" w:color="auto"/>
              <w:right w:val="single" w:sz="4" w:space="0" w:color="auto"/>
            </w:tcBorders>
          </w:tcPr>
          <w:p w:rsidR="0022639E" w:rsidRDefault="0022639E" w:rsidP="00EB3D6C">
            <w:pPr>
              <w:rPr>
                <w:rFonts w:ascii="Arial Narrow" w:hAnsi="Arial Narrow"/>
                <w:sz w:val="20"/>
              </w:rPr>
            </w:pPr>
            <w:r>
              <w:rPr>
                <w:rFonts w:ascii="Arial Narrow" w:hAnsi="Arial Narrow"/>
                <w:sz w:val="20"/>
              </w:rPr>
              <w:t>As per existing restriction (no changes proposed)</w:t>
            </w:r>
          </w:p>
        </w:tc>
      </w:tr>
      <w:tr w:rsidR="0022639E" w:rsidRPr="00260CE3" w:rsidTr="00EB3D6C">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639E" w:rsidRDefault="0022639E" w:rsidP="00EB3D6C">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01" w:type="pct"/>
            <w:gridSpan w:val="6"/>
            <w:tcBorders>
              <w:top w:val="single" w:sz="4" w:space="0" w:color="auto"/>
              <w:left w:val="single" w:sz="4" w:space="0" w:color="auto"/>
              <w:bottom w:val="single" w:sz="4" w:space="0" w:color="auto"/>
              <w:right w:val="single" w:sz="4" w:space="0" w:color="auto"/>
            </w:tcBorders>
          </w:tcPr>
          <w:p w:rsidR="0022639E" w:rsidRPr="0025300C" w:rsidRDefault="0022639E" w:rsidP="00EB3D6C">
            <w:pPr>
              <w:rPr>
                <w:rFonts w:ascii="Arial Narrow" w:hAnsi="Arial Narrow"/>
                <w:sz w:val="20"/>
              </w:rPr>
            </w:pPr>
            <w:r>
              <w:rPr>
                <w:rFonts w:ascii="Arial Narrow" w:hAnsi="Arial Narrow"/>
                <w:sz w:val="20"/>
              </w:rPr>
              <w:t>As per existing restriction (no changes proposed)</w:t>
            </w:r>
          </w:p>
        </w:tc>
      </w:tr>
    </w:tbl>
    <w:p w:rsidR="00AD1F05" w:rsidRDefault="00AD1F05" w:rsidP="007936FB">
      <w:pPr>
        <w:widowControl w:val="0"/>
        <w:spacing w:after="120"/>
        <w:jc w:val="both"/>
        <w:rPr>
          <w:rFonts w:asciiTheme="minorHAnsi" w:hAnsiTheme="minorHAnsi"/>
          <w:lang w:eastAsia="en-US"/>
        </w:rPr>
      </w:pPr>
    </w:p>
    <w:p w:rsidR="00A87E3A" w:rsidRPr="00A87E3A" w:rsidRDefault="00A87E3A" w:rsidP="00A87E3A">
      <w:pPr>
        <w:pStyle w:val="PBACHeading1"/>
        <w:spacing w:before="240" w:after="120"/>
        <w:rPr>
          <w:rFonts w:asciiTheme="minorHAnsi" w:hAnsiTheme="minorHAnsi"/>
          <w:sz w:val="32"/>
        </w:rPr>
      </w:pPr>
      <w:r w:rsidRPr="00A87E3A">
        <w:rPr>
          <w:rFonts w:asciiTheme="minorHAnsi" w:hAnsiTheme="minorHAnsi"/>
          <w:sz w:val="32"/>
        </w:rPr>
        <w:t>Context for Decision</w:t>
      </w:r>
    </w:p>
    <w:p w:rsidR="00A87E3A" w:rsidRPr="00A87E3A" w:rsidRDefault="00A87E3A" w:rsidP="00A87E3A">
      <w:pPr>
        <w:spacing w:before="120" w:after="120"/>
        <w:rPr>
          <w:rFonts w:ascii="Calibri" w:eastAsia="Calibri" w:hAnsi="Calibri" w:cs="Arial"/>
          <w:szCs w:val="22"/>
          <w:lang w:eastAsia="en-US"/>
        </w:rPr>
      </w:pPr>
      <w:r w:rsidRPr="00A87E3A">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87E3A" w:rsidRPr="00A87E3A" w:rsidRDefault="00A87E3A" w:rsidP="00A87E3A">
      <w:pPr>
        <w:pStyle w:val="PBACHeading1"/>
        <w:spacing w:before="240" w:after="120"/>
        <w:rPr>
          <w:rFonts w:asciiTheme="minorHAnsi" w:hAnsiTheme="minorHAnsi"/>
          <w:sz w:val="32"/>
        </w:rPr>
      </w:pPr>
      <w:r w:rsidRPr="00A87E3A">
        <w:rPr>
          <w:rFonts w:asciiTheme="minorHAnsi" w:hAnsiTheme="minorHAnsi"/>
          <w:sz w:val="32"/>
        </w:rPr>
        <w:t>Sponsor’s Comment</w:t>
      </w:r>
    </w:p>
    <w:p w:rsidR="002E4812" w:rsidRPr="0033466E" w:rsidRDefault="002E4812" w:rsidP="007936FB">
      <w:pPr>
        <w:widowControl w:val="0"/>
        <w:spacing w:after="120"/>
        <w:jc w:val="both"/>
        <w:rPr>
          <w:rFonts w:asciiTheme="minorHAnsi" w:hAnsiTheme="minorHAnsi"/>
          <w:lang w:eastAsia="en-US"/>
        </w:rPr>
      </w:pPr>
      <w:r w:rsidRPr="002E4812">
        <w:rPr>
          <w:rFonts w:asciiTheme="minorHAnsi" w:hAnsiTheme="minorHAnsi"/>
          <w:lang w:eastAsia="en-US"/>
        </w:rPr>
        <w:t>GSK welcomes the PBAC recommendation.</w:t>
      </w:r>
    </w:p>
    <w:sectPr w:rsidR="002E4812" w:rsidRPr="0033466E" w:rsidSect="00A87E3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6A" w:rsidRDefault="0027706A">
      <w:r>
        <w:separator/>
      </w:r>
    </w:p>
    <w:p w:rsidR="0027706A" w:rsidRDefault="0027706A"/>
  </w:endnote>
  <w:endnote w:type="continuationSeparator" w:id="0">
    <w:p w:rsidR="0027706A" w:rsidRDefault="0027706A">
      <w:r>
        <w:continuationSeparator/>
      </w:r>
    </w:p>
    <w:p w:rsidR="0027706A" w:rsidRDefault="00277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4812" w:rsidTr="005A3173">
      <w:trPr>
        <w:trHeight w:val="151"/>
      </w:trPr>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4812" w:rsidRPr="005A3173" w:rsidRDefault="002E481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r>
    <w:tr w:rsidR="002E4812" w:rsidTr="005A3173">
      <w:trPr>
        <w:trHeight w:val="150"/>
      </w:trPr>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0" w:type="auto"/>
          <w:vMerge/>
          <w:vAlign w:val="center"/>
          <w:hideMark/>
        </w:tcPr>
        <w:p w:rsidR="002E4812" w:rsidRPr="005A3173" w:rsidRDefault="002E481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r>
  </w:tbl>
  <w:p w:rsidR="002E4812" w:rsidRDefault="002E481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4812" w:rsidRDefault="002E4812">
    <w:pPr>
      <w:pStyle w:val="Footer"/>
    </w:pPr>
  </w:p>
  <w:p w:rsidR="002E4812" w:rsidRDefault="002E48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12" w:rsidRDefault="002E4812" w:rsidP="00277E2E">
    <w:pPr>
      <w:pStyle w:val="Footer"/>
      <w:jc w:val="center"/>
      <w:rPr>
        <w:rFonts w:ascii="Arial" w:hAnsi="Arial" w:cs="Arial"/>
        <w:b/>
        <w:sz w:val="20"/>
        <w:szCs w:val="20"/>
      </w:rPr>
    </w:pPr>
  </w:p>
  <w:p w:rsidR="002E4812" w:rsidRPr="00277E2E" w:rsidRDefault="002E4812" w:rsidP="00277E2E">
    <w:pPr>
      <w:pStyle w:val="Footer"/>
      <w:jc w:val="center"/>
    </w:pPr>
    <w:r w:rsidRPr="006A2CC8">
      <w:rPr>
        <w:rFonts w:asciiTheme="minorHAnsi" w:hAnsiTheme="minorHAnsi" w:cs="Arial"/>
      </w:rPr>
      <w:fldChar w:fldCharType="begin"/>
    </w:r>
    <w:r w:rsidRPr="006A2CC8">
      <w:rPr>
        <w:rFonts w:asciiTheme="minorHAnsi" w:hAnsiTheme="minorHAnsi" w:cs="Arial"/>
      </w:rPr>
      <w:instrText xml:space="preserve"> PAGE   \* MERGEFORMAT </w:instrText>
    </w:r>
    <w:r w:rsidRPr="006A2CC8">
      <w:rPr>
        <w:rFonts w:asciiTheme="minorHAnsi" w:hAnsiTheme="minorHAnsi" w:cs="Arial"/>
      </w:rPr>
      <w:fldChar w:fldCharType="separate"/>
    </w:r>
    <w:r w:rsidR="0027706A">
      <w:rPr>
        <w:rFonts w:asciiTheme="minorHAnsi" w:hAnsiTheme="minorHAnsi" w:cs="Arial"/>
        <w:noProof/>
      </w:rPr>
      <w:t>1</w:t>
    </w:r>
    <w:r w:rsidRPr="006A2CC8">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E4812" w:rsidTr="005A3173">
      <w:trPr>
        <w:trHeight w:val="151"/>
      </w:trPr>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4812" w:rsidRPr="005A3173" w:rsidRDefault="002E481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r>
    <w:tr w:rsidR="002E4812" w:rsidTr="005A3173">
      <w:trPr>
        <w:trHeight w:val="150"/>
      </w:trPr>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0" w:type="auto"/>
          <w:vMerge/>
          <w:vAlign w:val="center"/>
          <w:hideMark/>
        </w:tcPr>
        <w:p w:rsidR="002E4812" w:rsidRPr="005A3173" w:rsidRDefault="002E481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4812" w:rsidTr="005A3173">
      <w:trPr>
        <w:trHeight w:val="151"/>
      </w:trPr>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4812" w:rsidRPr="005A3173" w:rsidRDefault="002E481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4812" w:rsidRPr="005A3173" w:rsidRDefault="002E4812" w:rsidP="005A3173">
          <w:pPr>
            <w:pStyle w:val="Header"/>
            <w:spacing w:line="276" w:lineRule="auto"/>
            <w:rPr>
              <w:rFonts w:ascii="Calibri" w:eastAsia="MS Gothic" w:hAnsi="Calibri"/>
              <w:b/>
              <w:bCs/>
              <w:color w:val="4F81BD"/>
            </w:rPr>
          </w:pPr>
        </w:p>
      </w:tc>
    </w:tr>
    <w:tr w:rsidR="002E4812" w:rsidTr="005A3173">
      <w:trPr>
        <w:trHeight w:val="150"/>
      </w:trPr>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c>
        <w:tcPr>
          <w:tcW w:w="0" w:type="auto"/>
          <w:vMerge/>
          <w:vAlign w:val="center"/>
          <w:hideMark/>
        </w:tcPr>
        <w:p w:rsidR="002E4812" w:rsidRPr="005A3173" w:rsidRDefault="002E481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4812" w:rsidRPr="005A3173" w:rsidRDefault="002E4812" w:rsidP="005A3173">
          <w:pPr>
            <w:pStyle w:val="Header"/>
            <w:spacing w:line="276" w:lineRule="auto"/>
            <w:rPr>
              <w:rFonts w:ascii="Calibri" w:eastAsia="MS Gothic" w:hAnsi="Calibri"/>
              <w:b/>
              <w:bCs/>
              <w:color w:val="4F81BD"/>
            </w:rPr>
          </w:pPr>
        </w:p>
      </w:tc>
    </w:tr>
  </w:tbl>
  <w:p w:rsidR="002E4812" w:rsidRPr="007C0F57" w:rsidRDefault="002E481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E4812" w:rsidRPr="007C0F57" w:rsidRDefault="002E4812" w:rsidP="007C0F57">
    <w:pPr>
      <w:pStyle w:val="Footer"/>
      <w:jc w:val="center"/>
      <w:rPr>
        <w:b/>
        <w:i/>
        <w:sz w:val="20"/>
        <w:szCs w:val="20"/>
      </w:rPr>
    </w:pPr>
    <w:r w:rsidRPr="007C0F57">
      <w:rPr>
        <w:b/>
        <w:i/>
        <w:sz w:val="20"/>
        <w:szCs w:val="20"/>
      </w:rPr>
      <w:t>Commercial-in-Confidence</w:t>
    </w:r>
  </w:p>
  <w:p w:rsidR="002E4812" w:rsidRDefault="002E48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6A" w:rsidRDefault="0027706A">
      <w:r>
        <w:separator/>
      </w:r>
    </w:p>
    <w:p w:rsidR="0027706A" w:rsidRDefault="0027706A"/>
  </w:footnote>
  <w:footnote w:type="continuationSeparator" w:id="0">
    <w:p w:rsidR="0027706A" w:rsidRDefault="0027706A">
      <w:r>
        <w:continuationSeparator/>
      </w:r>
    </w:p>
    <w:p w:rsidR="0027706A" w:rsidRDefault="002770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E4812" w:rsidRPr="008E0D90" w:rsidTr="00A06225">
      <w:trPr>
        <w:trHeight w:val="151"/>
      </w:trPr>
      <w:tc>
        <w:tcPr>
          <w:tcW w:w="2389" w:type="pct"/>
          <w:tcBorders>
            <w:top w:val="nil"/>
            <w:left w:val="nil"/>
            <w:bottom w:val="single" w:sz="4" w:space="0" w:color="4F81BD"/>
            <w:right w:val="nil"/>
          </w:tcBorders>
        </w:tcPr>
        <w:p w:rsidR="002E4812" w:rsidRPr="00A06225" w:rsidRDefault="002E4812">
          <w:pPr>
            <w:pStyle w:val="Header"/>
            <w:spacing w:line="276" w:lineRule="auto"/>
            <w:rPr>
              <w:rFonts w:ascii="Cambria" w:eastAsia="MS Gothic" w:hAnsi="Cambria"/>
              <w:b/>
              <w:bCs/>
              <w:color w:val="4F81BD"/>
            </w:rPr>
          </w:pPr>
        </w:p>
      </w:tc>
      <w:tc>
        <w:tcPr>
          <w:tcW w:w="333" w:type="pct"/>
          <w:vMerge w:val="restart"/>
          <w:noWrap/>
          <w:vAlign w:val="center"/>
          <w:hideMark/>
        </w:tcPr>
        <w:p w:rsidR="002E4812" w:rsidRPr="00A06225" w:rsidRDefault="002E481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E4812" w:rsidRPr="00A06225" w:rsidRDefault="002E4812">
          <w:pPr>
            <w:pStyle w:val="Header"/>
            <w:spacing w:line="276" w:lineRule="auto"/>
            <w:rPr>
              <w:rFonts w:ascii="Cambria" w:eastAsia="MS Gothic" w:hAnsi="Cambria"/>
              <w:b/>
              <w:bCs/>
              <w:color w:val="4F81BD"/>
            </w:rPr>
          </w:pPr>
        </w:p>
      </w:tc>
    </w:tr>
    <w:tr w:rsidR="002E4812" w:rsidRPr="008E0D90" w:rsidTr="00A06225">
      <w:trPr>
        <w:trHeight w:val="150"/>
      </w:trPr>
      <w:tc>
        <w:tcPr>
          <w:tcW w:w="2389" w:type="pct"/>
          <w:tcBorders>
            <w:top w:val="single" w:sz="4" w:space="0" w:color="4F81BD"/>
            <w:left w:val="nil"/>
            <w:bottom w:val="nil"/>
            <w:right w:val="nil"/>
          </w:tcBorders>
        </w:tcPr>
        <w:p w:rsidR="002E4812" w:rsidRPr="00A06225" w:rsidRDefault="002E4812">
          <w:pPr>
            <w:pStyle w:val="Header"/>
            <w:spacing w:line="276" w:lineRule="auto"/>
            <w:rPr>
              <w:rFonts w:ascii="Cambria" w:eastAsia="MS Gothic" w:hAnsi="Cambria"/>
              <w:b/>
              <w:bCs/>
              <w:color w:val="4F81BD"/>
            </w:rPr>
          </w:pPr>
        </w:p>
      </w:tc>
      <w:tc>
        <w:tcPr>
          <w:tcW w:w="0" w:type="auto"/>
          <w:vMerge/>
          <w:vAlign w:val="center"/>
          <w:hideMark/>
        </w:tcPr>
        <w:p w:rsidR="002E4812" w:rsidRPr="00A06225" w:rsidRDefault="002E4812">
          <w:pPr>
            <w:rPr>
              <w:rFonts w:ascii="Cambria" w:hAnsi="Cambria"/>
              <w:color w:val="4F81BD"/>
              <w:sz w:val="22"/>
              <w:szCs w:val="22"/>
            </w:rPr>
          </w:pPr>
        </w:p>
      </w:tc>
      <w:tc>
        <w:tcPr>
          <w:tcW w:w="2278" w:type="pct"/>
          <w:tcBorders>
            <w:top w:val="single" w:sz="4" w:space="0" w:color="4F81BD"/>
            <w:left w:val="nil"/>
            <w:bottom w:val="nil"/>
            <w:right w:val="nil"/>
          </w:tcBorders>
        </w:tcPr>
        <w:p w:rsidR="002E4812" w:rsidRPr="00A06225" w:rsidRDefault="002E4812">
          <w:pPr>
            <w:pStyle w:val="Header"/>
            <w:spacing w:line="276" w:lineRule="auto"/>
            <w:rPr>
              <w:rFonts w:ascii="Cambria" w:eastAsia="MS Gothic" w:hAnsi="Cambria"/>
              <w:b/>
              <w:bCs/>
              <w:color w:val="4F81BD"/>
            </w:rPr>
          </w:pPr>
        </w:p>
      </w:tc>
    </w:tr>
  </w:tbl>
  <w:p w:rsidR="002E4812" w:rsidRDefault="002E4812">
    <w:pPr>
      <w:pStyle w:val="Header"/>
    </w:pPr>
  </w:p>
  <w:p w:rsidR="002E4812" w:rsidRDefault="002E48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12" w:rsidRPr="00EE725C" w:rsidRDefault="002E4812" w:rsidP="00277E2E">
    <w:pPr>
      <w:tabs>
        <w:tab w:val="center" w:pos="4153"/>
        <w:tab w:val="right" w:pos="8306"/>
      </w:tabs>
      <w:ind w:left="357"/>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Pr="00EE725C">
      <w:rPr>
        <w:rFonts w:asciiTheme="minorHAnsi" w:hAnsiTheme="minorHAnsi" w:cs="Arial"/>
        <w:i/>
        <w:color w:val="808080"/>
        <w:lang w:eastAsia="en-US"/>
      </w:rPr>
      <w:t xml:space="preserve"> – November 2017 PBAC Meeting</w:t>
    </w:r>
  </w:p>
  <w:p w:rsidR="002E4812" w:rsidRDefault="002E481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6A" w:rsidRDefault="00277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4329"/>
        </w:tabs>
        <w:ind w:left="4329"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2E2C51"/>
    <w:multiLevelType w:val="hybridMultilevel"/>
    <w:tmpl w:val="93ACD640"/>
    <w:lvl w:ilvl="0" w:tplc="D5804B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02427A"/>
    <w:multiLevelType w:val="hybridMultilevel"/>
    <w:tmpl w:val="93ACD640"/>
    <w:lvl w:ilvl="0" w:tplc="D5804B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C97021"/>
    <w:multiLevelType w:val="hybridMultilevel"/>
    <w:tmpl w:val="93ACD640"/>
    <w:lvl w:ilvl="0" w:tplc="D5804B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AC30671"/>
    <w:multiLevelType w:val="hybridMultilevel"/>
    <w:tmpl w:val="98EE72C4"/>
    <w:lvl w:ilvl="0" w:tplc="49B8ABAE">
      <w:start w:val="1"/>
      <w:numFmt w:val="bullet"/>
      <w:lvlText w:val="•"/>
      <w:lvlJc w:val="left"/>
      <w:pPr>
        <w:tabs>
          <w:tab w:val="num" w:pos="720"/>
        </w:tabs>
        <w:ind w:left="720" w:hanging="360"/>
      </w:pPr>
      <w:rPr>
        <w:rFonts w:ascii="Arial" w:hAnsi="Arial" w:hint="default"/>
      </w:rPr>
    </w:lvl>
    <w:lvl w:ilvl="1" w:tplc="C07032E8">
      <w:start w:val="1"/>
      <w:numFmt w:val="bullet"/>
      <w:lvlText w:val="•"/>
      <w:lvlJc w:val="left"/>
      <w:pPr>
        <w:tabs>
          <w:tab w:val="num" w:pos="1440"/>
        </w:tabs>
        <w:ind w:left="1440" w:hanging="360"/>
      </w:pPr>
      <w:rPr>
        <w:rFonts w:ascii="Arial" w:hAnsi="Arial" w:hint="default"/>
      </w:rPr>
    </w:lvl>
    <w:lvl w:ilvl="2" w:tplc="395E3E6C" w:tentative="1">
      <w:start w:val="1"/>
      <w:numFmt w:val="bullet"/>
      <w:lvlText w:val="•"/>
      <w:lvlJc w:val="left"/>
      <w:pPr>
        <w:tabs>
          <w:tab w:val="num" w:pos="2160"/>
        </w:tabs>
        <w:ind w:left="2160" w:hanging="360"/>
      </w:pPr>
      <w:rPr>
        <w:rFonts w:ascii="Arial" w:hAnsi="Arial" w:hint="default"/>
      </w:rPr>
    </w:lvl>
    <w:lvl w:ilvl="3" w:tplc="0EE23550" w:tentative="1">
      <w:start w:val="1"/>
      <w:numFmt w:val="bullet"/>
      <w:lvlText w:val="•"/>
      <w:lvlJc w:val="left"/>
      <w:pPr>
        <w:tabs>
          <w:tab w:val="num" w:pos="2880"/>
        </w:tabs>
        <w:ind w:left="2880" w:hanging="360"/>
      </w:pPr>
      <w:rPr>
        <w:rFonts w:ascii="Arial" w:hAnsi="Arial" w:hint="default"/>
      </w:rPr>
    </w:lvl>
    <w:lvl w:ilvl="4" w:tplc="C756B12A" w:tentative="1">
      <w:start w:val="1"/>
      <w:numFmt w:val="bullet"/>
      <w:lvlText w:val="•"/>
      <w:lvlJc w:val="left"/>
      <w:pPr>
        <w:tabs>
          <w:tab w:val="num" w:pos="3600"/>
        </w:tabs>
        <w:ind w:left="3600" w:hanging="360"/>
      </w:pPr>
      <w:rPr>
        <w:rFonts w:ascii="Arial" w:hAnsi="Arial" w:hint="default"/>
      </w:rPr>
    </w:lvl>
    <w:lvl w:ilvl="5" w:tplc="4FE67C6A" w:tentative="1">
      <w:start w:val="1"/>
      <w:numFmt w:val="bullet"/>
      <w:lvlText w:val="•"/>
      <w:lvlJc w:val="left"/>
      <w:pPr>
        <w:tabs>
          <w:tab w:val="num" w:pos="4320"/>
        </w:tabs>
        <w:ind w:left="4320" w:hanging="360"/>
      </w:pPr>
      <w:rPr>
        <w:rFonts w:ascii="Arial" w:hAnsi="Arial" w:hint="default"/>
      </w:rPr>
    </w:lvl>
    <w:lvl w:ilvl="6" w:tplc="5EEAB720" w:tentative="1">
      <w:start w:val="1"/>
      <w:numFmt w:val="bullet"/>
      <w:lvlText w:val="•"/>
      <w:lvlJc w:val="left"/>
      <w:pPr>
        <w:tabs>
          <w:tab w:val="num" w:pos="5040"/>
        </w:tabs>
        <w:ind w:left="5040" w:hanging="360"/>
      </w:pPr>
      <w:rPr>
        <w:rFonts w:ascii="Arial" w:hAnsi="Arial" w:hint="default"/>
      </w:rPr>
    </w:lvl>
    <w:lvl w:ilvl="7" w:tplc="D0B43408" w:tentative="1">
      <w:start w:val="1"/>
      <w:numFmt w:val="bullet"/>
      <w:lvlText w:val="•"/>
      <w:lvlJc w:val="left"/>
      <w:pPr>
        <w:tabs>
          <w:tab w:val="num" w:pos="5760"/>
        </w:tabs>
        <w:ind w:left="5760" w:hanging="360"/>
      </w:pPr>
      <w:rPr>
        <w:rFonts w:ascii="Arial" w:hAnsi="Arial" w:hint="default"/>
      </w:rPr>
    </w:lvl>
    <w:lvl w:ilvl="8" w:tplc="61882934" w:tentative="1">
      <w:start w:val="1"/>
      <w:numFmt w:val="bullet"/>
      <w:lvlText w:val="•"/>
      <w:lvlJc w:val="left"/>
      <w:pPr>
        <w:tabs>
          <w:tab w:val="num" w:pos="6480"/>
        </w:tabs>
        <w:ind w:left="6480" w:hanging="360"/>
      </w:pPr>
      <w:rPr>
        <w:rFonts w:ascii="Arial" w:hAnsi="Arial" w:hint="default"/>
      </w:rPr>
    </w:lvl>
  </w:abstractNum>
  <w:abstractNum w:abstractNumId="20">
    <w:nsid w:val="6C4A2745"/>
    <w:multiLevelType w:val="hybridMultilevel"/>
    <w:tmpl w:val="1AF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575AD"/>
    <w:multiLevelType w:val="hybridMultilevel"/>
    <w:tmpl w:val="7C28AF8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nsid w:val="784D033C"/>
    <w:multiLevelType w:val="multilevel"/>
    <w:tmpl w:val="269CAD3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22"/>
  </w:num>
  <w:num w:numId="6">
    <w:abstractNumId w:val="7"/>
  </w:num>
  <w:num w:numId="7">
    <w:abstractNumId w:val="14"/>
  </w:num>
  <w:num w:numId="8">
    <w:abstractNumId w:val="4"/>
  </w:num>
  <w:num w:numId="9">
    <w:abstractNumId w:val="13"/>
  </w:num>
  <w:num w:numId="10">
    <w:abstractNumId w:val="11"/>
  </w:num>
  <w:num w:numId="11">
    <w:abstractNumId w:val="10"/>
  </w:num>
  <w:num w:numId="12">
    <w:abstractNumId w:val="1"/>
  </w:num>
  <w:num w:numId="13">
    <w:abstractNumId w:val="0"/>
  </w:num>
  <w:num w:numId="14">
    <w:abstractNumId w:val="22"/>
  </w:num>
  <w:num w:numId="15">
    <w:abstractNumId w:val="15"/>
  </w:num>
  <w:num w:numId="16">
    <w:abstractNumId w:val="22"/>
  </w:num>
  <w:num w:numId="17">
    <w:abstractNumId w:val="21"/>
  </w:num>
  <w:num w:numId="18">
    <w:abstractNumId w:val="2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5"/>
  </w:num>
  <w:num w:numId="23">
    <w:abstractNumId w:val="2"/>
  </w:num>
  <w:num w:numId="24">
    <w:abstractNumId w:val="9"/>
  </w:num>
  <w:num w:numId="25">
    <w:abstractNumId w:val="16"/>
  </w:num>
  <w:num w:numId="26">
    <w:abstractNumId w:val="12"/>
  </w:num>
  <w:num w:numId="27">
    <w:abstractNumId w:val="22"/>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05D3"/>
    <w:rsid w:val="0002464A"/>
    <w:rsid w:val="0002777F"/>
    <w:rsid w:val="0003106B"/>
    <w:rsid w:val="00031DDE"/>
    <w:rsid w:val="000421A1"/>
    <w:rsid w:val="0004240E"/>
    <w:rsid w:val="000434A3"/>
    <w:rsid w:val="00045E26"/>
    <w:rsid w:val="00050C24"/>
    <w:rsid w:val="000514B5"/>
    <w:rsid w:val="00060E64"/>
    <w:rsid w:val="00063BA2"/>
    <w:rsid w:val="00066755"/>
    <w:rsid w:val="00074421"/>
    <w:rsid w:val="000757D3"/>
    <w:rsid w:val="00077143"/>
    <w:rsid w:val="00082169"/>
    <w:rsid w:val="00091224"/>
    <w:rsid w:val="000969AD"/>
    <w:rsid w:val="000B558D"/>
    <w:rsid w:val="000B5712"/>
    <w:rsid w:val="000C6996"/>
    <w:rsid w:val="000D23BA"/>
    <w:rsid w:val="000E2BA6"/>
    <w:rsid w:val="000E681E"/>
    <w:rsid w:val="000F0003"/>
    <w:rsid w:val="000F4E6A"/>
    <w:rsid w:val="001020AB"/>
    <w:rsid w:val="00104227"/>
    <w:rsid w:val="00106FCE"/>
    <w:rsid w:val="001107BF"/>
    <w:rsid w:val="00117944"/>
    <w:rsid w:val="00122A14"/>
    <w:rsid w:val="0012417C"/>
    <w:rsid w:val="00130FFC"/>
    <w:rsid w:val="00142395"/>
    <w:rsid w:val="00142714"/>
    <w:rsid w:val="00143F76"/>
    <w:rsid w:val="001452ED"/>
    <w:rsid w:val="00146CCE"/>
    <w:rsid w:val="00150DB9"/>
    <w:rsid w:val="00163329"/>
    <w:rsid w:val="00164623"/>
    <w:rsid w:val="001652BF"/>
    <w:rsid w:val="00165B64"/>
    <w:rsid w:val="0017007C"/>
    <w:rsid w:val="00175141"/>
    <w:rsid w:val="00175476"/>
    <w:rsid w:val="00177FC8"/>
    <w:rsid w:val="00180AD5"/>
    <w:rsid w:val="001830CE"/>
    <w:rsid w:val="001837AB"/>
    <w:rsid w:val="0018643B"/>
    <w:rsid w:val="00192F23"/>
    <w:rsid w:val="00195E69"/>
    <w:rsid w:val="00196307"/>
    <w:rsid w:val="00197792"/>
    <w:rsid w:val="001A03C7"/>
    <w:rsid w:val="001A2B63"/>
    <w:rsid w:val="001A33EA"/>
    <w:rsid w:val="001B017F"/>
    <w:rsid w:val="001B2BBC"/>
    <w:rsid w:val="001B5129"/>
    <w:rsid w:val="001C1195"/>
    <w:rsid w:val="001C1F0E"/>
    <w:rsid w:val="001F1850"/>
    <w:rsid w:val="001F3AE9"/>
    <w:rsid w:val="00203FAC"/>
    <w:rsid w:val="00204B12"/>
    <w:rsid w:val="00213CFB"/>
    <w:rsid w:val="00215756"/>
    <w:rsid w:val="00217BE1"/>
    <w:rsid w:val="0022639E"/>
    <w:rsid w:val="0025300C"/>
    <w:rsid w:val="00262B76"/>
    <w:rsid w:val="00271BA1"/>
    <w:rsid w:val="002723C6"/>
    <w:rsid w:val="002762FA"/>
    <w:rsid w:val="0027706A"/>
    <w:rsid w:val="00277505"/>
    <w:rsid w:val="00277E2E"/>
    <w:rsid w:val="00282870"/>
    <w:rsid w:val="0028341A"/>
    <w:rsid w:val="00291E5C"/>
    <w:rsid w:val="0029458F"/>
    <w:rsid w:val="002A104C"/>
    <w:rsid w:val="002A4960"/>
    <w:rsid w:val="002A5681"/>
    <w:rsid w:val="002B1AE6"/>
    <w:rsid w:val="002B2DE8"/>
    <w:rsid w:val="002B30F8"/>
    <w:rsid w:val="002B54FF"/>
    <w:rsid w:val="002B5596"/>
    <w:rsid w:val="002C1A72"/>
    <w:rsid w:val="002C212F"/>
    <w:rsid w:val="002C794B"/>
    <w:rsid w:val="002D4543"/>
    <w:rsid w:val="002D61FE"/>
    <w:rsid w:val="002D64C6"/>
    <w:rsid w:val="002E3153"/>
    <w:rsid w:val="002E4812"/>
    <w:rsid w:val="002E5ED3"/>
    <w:rsid w:val="002E72CA"/>
    <w:rsid w:val="002F29B8"/>
    <w:rsid w:val="00300AD6"/>
    <w:rsid w:val="00305554"/>
    <w:rsid w:val="0030719C"/>
    <w:rsid w:val="0031059E"/>
    <w:rsid w:val="00317C6C"/>
    <w:rsid w:val="00317EDB"/>
    <w:rsid w:val="00325125"/>
    <w:rsid w:val="00326E79"/>
    <w:rsid w:val="00332E1D"/>
    <w:rsid w:val="00333E54"/>
    <w:rsid w:val="0033466E"/>
    <w:rsid w:val="0033518A"/>
    <w:rsid w:val="003367EF"/>
    <w:rsid w:val="00341AE4"/>
    <w:rsid w:val="00350EBD"/>
    <w:rsid w:val="003824C2"/>
    <w:rsid w:val="003872CF"/>
    <w:rsid w:val="00391B08"/>
    <w:rsid w:val="0039782C"/>
    <w:rsid w:val="003A034C"/>
    <w:rsid w:val="003A5B4A"/>
    <w:rsid w:val="003B23C5"/>
    <w:rsid w:val="003B2A75"/>
    <w:rsid w:val="003B6124"/>
    <w:rsid w:val="003C2FB5"/>
    <w:rsid w:val="003C308D"/>
    <w:rsid w:val="003C3282"/>
    <w:rsid w:val="003C49BC"/>
    <w:rsid w:val="003D4AC4"/>
    <w:rsid w:val="003D63B7"/>
    <w:rsid w:val="003E2118"/>
    <w:rsid w:val="003E4260"/>
    <w:rsid w:val="003E468B"/>
    <w:rsid w:val="003F3228"/>
    <w:rsid w:val="003F473E"/>
    <w:rsid w:val="003F5C8C"/>
    <w:rsid w:val="00404104"/>
    <w:rsid w:val="004229ED"/>
    <w:rsid w:val="004252EC"/>
    <w:rsid w:val="0042659A"/>
    <w:rsid w:val="004315BB"/>
    <w:rsid w:val="00434504"/>
    <w:rsid w:val="004465BD"/>
    <w:rsid w:val="00446FCA"/>
    <w:rsid w:val="004526FD"/>
    <w:rsid w:val="00456792"/>
    <w:rsid w:val="004569F1"/>
    <w:rsid w:val="00464408"/>
    <w:rsid w:val="00466ADA"/>
    <w:rsid w:val="004721AF"/>
    <w:rsid w:val="00476245"/>
    <w:rsid w:val="00477161"/>
    <w:rsid w:val="00482183"/>
    <w:rsid w:val="00483035"/>
    <w:rsid w:val="00485940"/>
    <w:rsid w:val="00490391"/>
    <w:rsid w:val="004903F4"/>
    <w:rsid w:val="00496A7E"/>
    <w:rsid w:val="004A1B9F"/>
    <w:rsid w:val="004A2046"/>
    <w:rsid w:val="004A2484"/>
    <w:rsid w:val="004A5A85"/>
    <w:rsid w:val="004A71D1"/>
    <w:rsid w:val="004B11C3"/>
    <w:rsid w:val="004B149A"/>
    <w:rsid w:val="004B5640"/>
    <w:rsid w:val="004C0F13"/>
    <w:rsid w:val="004C1BD7"/>
    <w:rsid w:val="004C31FE"/>
    <w:rsid w:val="004C691D"/>
    <w:rsid w:val="004C6C07"/>
    <w:rsid w:val="004D47D0"/>
    <w:rsid w:val="004D6FC8"/>
    <w:rsid w:val="004E0EDB"/>
    <w:rsid w:val="004E33F6"/>
    <w:rsid w:val="004E692D"/>
    <w:rsid w:val="004F09DA"/>
    <w:rsid w:val="004F0BBF"/>
    <w:rsid w:val="00501554"/>
    <w:rsid w:val="005055C1"/>
    <w:rsid w:val="00514CD7"/>
    <w:rsid w:val="005276B5"/>
    <w:rsid w:val="005319B2"/>
    <w:rsid w:val="00532402"/>
    <w:rsid w:val="00532C74"/>
    <w:rsid w:val="0053347B"/>
    <w:rsid w:val="00534E2E"/>
    <w:rsid w:val="005428DB"/>
    <w:rsid w:val="00544552"/>
    <w:rsid w:val="00544A49"/>
    <w:rsid w:val="00550E6C"/>
    <w:rsid w:val="00554EAA"/>
    <w:rsid w:val="00562C69"/>
    <w:rsid w:val="00577C4D"/>
    <w:rsid w:val="00581932"/>
    <w:rsid w:val="0058762D"/>
    <w:rsid w:val="005963BB"/>
    <w:rsid w:val="00596AC1"/>
    <w:rsid w:val="005A2E60"/>
    <w:rsid w:val="005A3173"/>
    <w:rsid w:val="005A3223"/>
    <w:rsid w:val="005A3DA3"/>
    <w:rsid w:val="005A52C4"/>
    <w:rsid w:val="005D03AB"/>
    <w:rsid w:val="005D5004"/>
    <w:rsid w:val="005D5017"/>
    <w:rsid w:val="005E1333"/>
    <w:rsid w:val="005F1A45"/>
    <w:rsid w:val="005F2FD9"/>
    <w:rsid w:val="005F5B95"/>
    <w:rsid w:val="00601A91"/>
    <w:rsid w:val="00602BA3"/>
    <w:rsid w:val="006069C7"/>
    <w:rsid w:val="00612BF1"/>
    <w:rsid w:val="00612E34"/>
    <w:rsid w:val="00614159"/>
    <w:rsid w:val="006170DE"/>
    <w:rsid w:val="0061760D"/>
    <w:rsid w:val="00617C00"/>
    <w:rsid w:val="006219D6"/>
    <w:rsid w:val="006263BF"/>
    <w:rsid w:val="0062711F"/>
    <w:rsid w:val="0062748A"/>
    <w:rsid w:val="00630A2C"/>
    <w:rsid w:val="00634DCC"/>
    <w:rsid w:val="0063682E"/>
    <w:rsid w:val="00637593"/>
    <w:rsid w:val="00641C12"/>
    <w:rsid w:val="006434F2"/>
    <w:rsid w:val="006436CD"/>
    <w:rsid w:val="00651169"/>
    <w:rsid w:val="00653D69"/>
    <w:rsid w:val="006670BE"/>
    <w:rsid w:val="00670A76"/>
    <w:rsid w:val="006711AA"/>
    <w:rsid w:val="00672A20"/>
    <w:rsid w:val="00672B57"/>
    <w:rsid w:val="00675622"/>
    <w:rsid w:val="006906DB"/>
    <w:rsid w:val="00691E6C"/>
    <w:rsid w:val="00692EED"/>
    <w:rsid w:val="00696129"/>
    <w:rsid w:val="00697CF2"/>
    <w:rsid w:val="006A12A5"/>
    <w:rsid w:val="006B0D94"/>
    <w:rsid w:val="006B485D"/>
    <w:rsid w:val="006C3A6D"/>
    <w:rsid w:val="006C5B93"/>
    <w:rsid w:val="006C659E"/>
    <w:rsid w:val="006C708E"/>
    <w:rsid w:val="006D353D"/>
    <w:rsid w:val="006D3EFF"/>
    <w:rsid w:val="006D6EC7"/>
    <w:rsid w:val="006E137E"/>
    <w:rsid w:val="006E1F7B"/>
    <w:rsid w:val="006E28E1"/>
    <w:rsid w:val="006F4A8C"/>
    <w:rsid w:val="006F5125"/>
    <w:rsid w:val="0070107C"/>
    <w:rsid w:val="00702B6F"/>
    <w:rsid w:val="00712A23"/>
    <w:rsid w:val="0071340B"/>
    <w:rsid w:val="007174BB"/>
    <w:rsid w:val="0072025D"/>
    <w:rsid w:val="0072111A"/>
    <w:rsid w:val="007353D3"/>
    <w:rsid w:val="0076420C"/>
    <w:rsid w:val="00772E06"/>
    <w:rsid w:val="007753C2"/>
    <w:rsid w:val="007778F6"/>
    <w:rsid w:val="007838B8"/>
    <w:rsid w:val="007845A4"/>
    <w:rsid w:val="007871E8"/>
    <w:rsid w:val="007936FB"/>
    <w:rsid w:val="007A17B2"/>
    <w:rsid w:val="007C0F57"/>
    <w:rsid w:val="007C40B6"/>
    <w:rsid w:val="007C412D"/>
    <w:rsid w:val="007C729F"/>
    <w:rsid w:val="007D5262"/>
    <w:rsid w:val="007D731D"/>
    <w:rsid w:val="007E12EF"/>
    <w:rsid w:val="007E1D28"/>
    <w:rsid w:val="007E3748"/>
    <w:rsid w:val="007F2641"/>
    <w:rsid w:val="007F7C36"/>
    <w:rsid w:val="00802021"/>
    <w:rsid w:val="00806796"/>
    <w:rsid w:val="008151D6"/>
    <w:rsid w:val="0081786C"/>
    <w:rsid w:val="00826F6D"/>
    <w:rsid w:val="008306F3"/>
    <w:rsid w:val="00842041"/>
    <w:rsid w:val="008453F6"/>
    <w:rsid w:val="00856DDD"/>
    <w:rsid w:val="008607F4"/>
    <w:rsid w:val="00860DA8"/>
    <w:rsid w:val="00861E7C"/>
    <w:rsid w:val="00862376"/>
    <w:rsid w:val="008625B5"/>
    <w:rsid w:val="00863E68"/>
    <w:rsid w:val="008744C6"/>
    <w:rsid w:val="00876A27"/>
    <w:rsid w:val="00881B15"/>
    <w:rsid w:val="00882085"/>
    <w:rsid w:val="00883188"/>
    <w:rsid w:val="008933B8"/>
    <w:rsid w:val="008953EA"/>
    <w:rsid w:val="00897D58"/>
    <w:rsid w:val="00897F22"/>
    <w:rsid w:val="008A1956"/>
    <w:rsid w:val="008A4937"/>
    <w:rsid w:val="008A50F1"/>
    <w:rsid w:val="008D1B5C"/>
    <w:rsid w:val="008D3C82"/>
    <w:rsid w:val="008D447E"/>
    <w:rsid w:val="008D7A41"/>
    <w:rsid w:val="008E10D8"/>
    <w:rsid w:val="008E3680"/>
    <w:rsid w:val="008E5870"/>
    <w:rsid w:val="008E6BD4"/>
    <w:rsid w:val="008F1434"/>
    <w:rsid w:val="008F7355"/>
    <w:rsid w:val="008F76C4"/>
    <w:rsid w:val="009067B7"/>
    <w:rsid w:val="00920377"/>
    <w:rsid w:val="00922281"/>
    <w:rsid w:val="00930650"/>
    <w:rsid w:val="00930937"/>
    <w:rsid w:val="00930AF2"/>
    <w:rsid w:val="00931796"/>
    <w:rsid w:val="00933E6C"/>
    <w:rsid w:val="009354C9"/>
    <w:rsid w:val="00937958"/>
    <w:rsid w:val="00940153"/>
    <w:rsid w:val="00942160"/>
    <w:rsid w:val="009432B2"/>
    <w:rsid w:val="0095146F"/>
    <w:rsid w:val="009602C5"/>
    <w:rsid w:val="00962223"/>
    <w:rsid w:val="00962EE7"/>
    <w:rsid w:val="00966D0D"/>
    <w:rsid w:val="009679B7"/>
    <w:rsid w:val="009719FD"/>
    <w:rsid w:val="00973958"/>
    <w:rsid w:val="00974C21"/>
    <w:rsid w:val="009805C6"/>
    <w:rsid w:val="00983120"/>
    <w:rsid w:val="00983B74"/>
    <w:rsid w:val="00985ECF"/>
    <w:rsid w:val="009A22EB"/>
    <w:rsid w:val="009A2384"/>
    <w:rsid w:val="009A3690"/>
    <w:rsid w:val="009A6F4E"/>
    <w:rsid w:val="009B06C4"/>
    <w:rsid w:val="009B0AEE"/>
    <w:rsid w:val="009B0F67"/>
    <w:rsid w:val="009C46AA"/>
    <w:rsid w:val="009C703C"/>
    <w:rsid w:val="009C7D56"/>
    <w:rsid w:val="009D00F3"/>
    <w:rsid w:val="009D14BE"/>
    <w:rsid w:val="009D19C9"/>
    <w:rsid w:val="009D3CAA"/>
    <w:rsid w:val="009D54BF"/>
    <w:rsid w:val="009F4E46"/>
    <w:rsid w:val="009F5B65"/>
    <w:rsid w:val="009F5F2E"/>
    <w:rsid w:val="00A05977"/>
    <w:rsid w:val="00A06225"/>
    <w:rsid w:val="00A128E6"/>
    <w:rsid w:val="00A20BCA"/>
    <w:rsid w:val="00A26444"/>
    <w:rsid w:val="00A34E6C"/>
    <w:rsid w:val="00A37C8D"/>
    <w:rsid w:val="00A4204B"/>
    <w:rsid w:val="00A45E35"/>
    <w:rsid w:val="00A5273B"/>
    <w:rsid w:val="00A53A9D"/>
    <w:rsid w:val="00A55FEE"/>
    <w:rsid w:val="00A62C1A"/>
    <w:rsid w:val="00A6426D"/>
    <w:rsid w:val="00A6433D"/>
    <w:rsid w:val="00A665C1"/>
    <w:rsid w:val="00A678FA"/>
    <w:rsid w:val="00A70622"/>
    <w:rsid w:val="00A70977"/>
    <w:rsid w:val="00A75CBD"/>
    <w:rsid w:val="00A77613"/>
    <w:rsid w:val="00A8390C"/>
    <w:rsid w:val="00A87E3A"/>
    <w:rsid w:val="00A928BD"/>
    <w:rsid w:val="00AA05A1"/>
    <w:rsid w:val="00AA391B"/>
    <w:rsid w:val="00AA4D1C"/>
    <w:rsid w:val="00AB249B"/>
    <w:rsid w:val="00AB2930"/>
    <w:rsid w:val="00AB62C3"/>
    <w:rsid w:val="00AC193C"/>
    <w:rsid w:val="00AC5206"/>
    <w:rsid w:val="00AC648C"/>
    <w:rsid w:val="00AD1F05"/>
    <w:rsid w:val="00AD36B8"/>
    <w:rsid w:val="00AD520F"/>
    <w:rsid w:val="00AE059E"/>
    <w:rsid w:val="00AE11A5"/>
    <w:rsid w:val="00AE13E2"/>
    <w:rsid w:val="00AE22D3"/>
    <w:rsid w:val="00AF62DF"/>
    <w:rsid w:val="00AF68CC"/>
    <w:rsid w:val="00B00BB5"/>
    <w:rsid w:val="00B1059E"/>
    <w:rsid w:val="00B119A3"/>
    <w:rsid w:val="00B176C8"/>
    <w:rsid w:val="00B205AA"/>
    <w:rsid w:val="00B22E84"/>
    <w:rsid w:val="00B25F75"/>
    <w:rsid w:val="00B26B3F"/>
    <w:rsid w:val="00B35F6A"/>
    <w:rsid w:val="00B43E90"/>
    <w:rsid w:val="00B467DC"/>
    <w:rsid w:val="00B474F5"/>
    <w:rsid w:val="00B50C6D"/>
    <w:rsid w:val="00B56118"/>
    <w:rsid w:val="00B6399D"/>
    <w:rsid w:val="00B6773F"/>
    <w:rsid w:val="00B801BA"/>
    <w:rsid w:val="00B84D5C"/>
    <w:rsid w:val="00B85407"/>
    <w:rsid w:val="00BB2B92"/>
    <w:rsid w:val="00BB460A"/>
    <w:rsid w:val="00BB69F5"/>
    <w:rsid w:val="00BB7EC3"/>
    <w:rsid w:val="00BC4B9A"/>
    <w:rsid w:val="00BD784C"/>
    <w:rsid w:val="00BE2398"/>
    <w:rsid w:val="00BE4550"/>
    <w:rsid w:val="00BF4CB6"/>
    <w:rsid w:val="00C00DA7"/>
    <w:rsid w:val="00C044C1"/>
    <w:rsid w:val="00C07EAC"/>
    <w:rsid w:val="00C12768"/>
    <w:rsid w:val="00C16DA8"/>
    <w:rsid w:val="00C17095"/>
    <w:rsid w:val="00C2277E"/>
    <w:rsid w:val="00C25B4D"/>
    <w:rsid w:val="00C26DFC"/>
    <w:rsid w:val="00C27B58"/>
    <w:rsid w:val="00C3451B"/>
    <w:rsid w:val="00C35996"/>
    <w:rsid w:val="00C46850"/>
    <w:rsid w:val="00C4747E"/>
    <w:rsid w:val="00C5170E"/>
    <w:rsid w:val="00C5342C"/>
    <w:rsid w:val="00C603D4"/>
    <w:rsid w:val="00C61A60"/>
    <w:rsid w:val="00C6256A"/>
    <w:rsid w:val="00C75B3B"/>
    <w:rsid w:val="00C77891"/>
    <w:rsid w:val="00C85411"/>
    <w:rsid w:val="00C91449"/>
    <w:rsid w:val="00C92D10"/>
    <w:rsid w:val="00CA505D"/>
    <w:rsid w:val="00CC7813"/>
    <w:rsid w:val="00CD4FF7"/>
    <w:rsid w:val="00CE10C4"/>
    <w:rsid w:val="00CE27B5"/>
    <w:rsid w:val="00CE4AF4"/>
    <w:rsid w:val="00CF3AAC"/>
    <w:rsid w:val="00D0047D"/>
    <w:rsid w:val="00D0128C"/>
    <w:rsid w:val="00D0223C"/>
    <w:rsid w:val="00D0321E"/>
    <w:rsid w:val="00D03D64"/>
    <w:rsid w:val="00D1455A"/>
    <w:rsid w:val="00D23397"/>
    <w:rsid w:val="00D31150"/>
    <w:rsid w:val="00D3138B"/>
    <w:rsid w:val="00D3280C"/>
    <w:rsid w:val="00D3406A"/>
    <w:rsid w:val="00D4572C"/>
    <w:rsid w:val="00D469B2"/>
    <w:rsid w:val="00D4798F"/>
    <w:rsid w:val="00D712AD"/>
    <w:rsid w:val="00D741EB"/>
    <w:rsid w:val="00D75239"/>
    <w:rsid w:val="00D75BE8"/>
    <w:rsid w:val="00D8064B"/>
    <w:rsid w:val="00D81611"/>
    <w:rsid w:val="00D82026"/>
    <w:rsid w:val="00D83605"/>
    <w:rsid w:val="00D84934"/>
    <w:rsid w:val="00D91271"/>
    <w:rsid w:val="00D978D7"/>
    <w:rsid w:val="00DA2CB5"/>
    <w:rsid w:val="00DA4BAC"/>
    <w:rsid w:val="00DA7341"/>
    <w:rsid w:val="00DB3486"/>
    <w:rsid w:val="00DC70F1"/>
    <w:rsid w:val="00DE387E"/>
    <w:rsid w:val="00DE3D28"/>
    <w:rsid w:val="00DE6D27"/>
    <w:rsid w:val="00DE7EB4"/>
    <w:rsid w:val="00DF217D"/>
    <w:rsid w:val="00DF26A7"/>
    <w:rsid w:val="00DF39AE"/>
    <w:rsid w:val="00E05646"/>
    <w:rsid w:val="00E06D1B"/>
    <w:rsid w:val="00E10EA1"/>
    <w:rsid w:val="00E15627"/>
    <w:rsid w:val="00E164B3"/>
    <w:rsid w:val="00E16910"/>
    <w:rsid w:val="00E23BD2"/>
    <w:rsid w:val="00E312C3"/>
    <w:rsid w:val="00E32311"/>
    <w:rsid w:val="00E40653"/>
    <w:rsid w:val="00E42BDB"/>
    <w:rsid w:val="00E53CD3"/>
    <w:rsid w:val="00E57EEB"/>
    <w:rsid w:val="00E62D94"/>
    <w:rsid w:val="00E65E54"/>
    <w:rsid w:val="00E67BB1"/>
    <w:rsid w:val="00E76AB6"/>
    <w:rsid w:val="00E76FB4"/>
    <w:rsid w:val="00E77627"/>
    <w:rsid w:val="00E80155"/>
    <w:rsid w:val="00E80706"/>
    <w:rsid w:val="00E8149C"/>
    <w:rsid w:val="00E848C0"/>
    <w:rsid w:val="00E91B96"/>
    <w:rsid w:val="00E93B56"/>
    <w:rsid w:val="00E941A1"/>
    <w:rsid w:val="00E95CE3"/>
    <w:rsid w:val="00E97A6F"/>
    <w:rsid w:val="00EA2825"/>
    <w:rsid w:val="00EB0B63"/>
    <w:rsid w:val="00EB3D6C"/>
    <w:rsid w:val="00EB4628"/>
    <w:rsid w:val="00EB5088"/>
    <w:rsid w:val="00EC0032"/>
    <w:rsid w:val="00ED1644"/>
    <w:rsid w:val="00ED2593"/>
    <w:rsid w:val="00ED7D9C"/>
    <w:rsid w:val="00EE2D04"/>
    <w:rsid w:val="00EE6252"/>
    <w:rsid w:val="00EE725C"/>
    <w:rsid w:val="00EF42AB"/>
    <w:rsid w:val="00EF44A0"/>
    <w:rsid w:val="00EF4736"/>
    <w:rsid w:val="00EF4839"/>
    <w:rsid w:val="00EF4FED"/>
    <w:rsid w:val="00F034FE"/>
    <w:rsid w:val="00F050BD"/>
    <w:rsid w:val="00F05657"/>
    <w:rsid w:val="00F23103"/>
    <w:rsid w:val="00F23CF7"/>
    <w:rsid w:val="00F25578"/>
    <w:rsid w:val="00F258E5"/>
    <w:rsid w:val="00F259A2"/>
    <w:rsid w:val="00F300BC"/>
    <w:rsid w:val="00F3334E"/>
    <w:rsid w:val="00F36CCB"/>
    <w:rsid w:val="00F374E5"/>
    <w:rsid w:val="00F43AF2"/>
    <w:rsid w:val="00F44F5D"/>
    <w:rsid w:val="00F50772"/>
    <w:rsid w:val="00F50EC4"/>
    <w:rsid w:val="00F51437"/>
    <w:rsid w:val="00F54F2F"/>
    <w:rsid w:val="00F550CF"/>
    <w:rsid w:val="00F569F5"/>
    <w:rsid w:val="00F57A6D"/>
    <w:rsid w:val="00F61A0A"/>
    <w:rsid w:val="00F638CC"/>
    <w:rsid w:val="00F64CC1"/>
    <w:rsid w:val="00F675B0"/>
    <w:rsid w:val="00F72317"/>
    <w:rsid w:val="00F75D2B"/>
    <w:rsid w:val="00F80475"/>
    <w:rsid w:val="00F8247A"/>
    <w:rsid w:val="00F93691"/>
    <w:rsid w:val="00F9629A"/>
    <w:rsid w:val="00F97EFC"/>
    <w:rsid w:val="00FA5883"/>
    <w:rsid w:val="00FA6055"/>
    <w:rsid w:val="00FB322F"/>
    <w:rsid w:val="00FB442F"/>
    <w:rsid w:val="00FC1929"/>
    <w:rsid w:val="00FC3EB2"/>
    <w:rsid w:val="00FC510A"/>
    <w:rsid w:val="00FC5B46"/>
    <w:rsid w:val="00FD5BDD"/>
    <w:rsid w:val="00FD6D8E"/>
    <w:rsid w:val="00FE0E94"/>
    <w:rsid w:val="00FE0F9B"/>
    <w:rsid w:val="00FF00BD"/>
    <w:rsid w:val="00FF1ED4"/>
    <w:rsid w:val="00FF2801"/>
    <w:rsid w:val="00FF3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Heading0">
    <w:name w:val="Table Heading"/>
    <w:basedOn w:val="Normal"/>
    <w:qFormat/>
    <w:rsid w:val="00860DA8"/>
    <w:pPr>
      <w:keepNext/>
      <w:spacing w:after="60"/>
    </w:pPr>
    <w:rPr>
      <w:rFonts w:ascii="Arial Narrow" w:eastAsiaTheme="minorHAnsi" w:hAnsi="Arial Narrow" w:cstheme="minorBidi"/>
      <w:b/>
      <w:sz w:val="20"/>
      <w:szCs w:val="22"/>
      <w:lang w:eastAsia="en-US"/>
    </w:rPr>
  </w:style>
  <w:style w:type="paragraph" w:customStyle="1" w:styleId="TableLeft">
    <w:name w:val="Table Left"/>
    <w:basedOn w:val="Normal"/>
    <w:link w:val="TableLeftChar"/>
    <w:uiPriority w:val="99"/>
    <w:qFormat/>
    <w:rsid w:val="00F44F5D"/>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F44F5D"/>
    <w:rPr>
      <w:rFonts w:ascii="Arial Narrow" w:eastAsiaTheme="majorEastAsia" w:hAnsi="Arial Narrow" w:cstheme="majorBidi"/>
      <w:szCs w:val="22"/>
      <w:lang w:eastAsia="en-US" w:bidi="en-US"/>
    </w:rPr>
  </w:style>
  <w:style w:type="character" w:customStyle="1" w:styleId="TableText0">
    <w:name w:val="Table Text"/>
    <w:basedOn w:val="DefaultParagraphFont"/>
    <w:uiPriority w:val="4"/>
    <w:qFormat/>
    <w:rsid w:val="0025300C"/>
    <w:rPr>
      <w:rFonts w:ascii="Candara" w:hAnsi="Candara"/>
      <w:sz w:val="20"/>
    </w:rPr>
  </w:style>
  <w:style w:type="paragraph" w:customStyle="1" w:styleId="TableBodyText">
    <w:name w:val="Table Body Text"/>
    <w:basedOn w:val="Normal"/>
    <w:link w:val="TableBodyTextChar"/>
    <w:qFormat/>
    <w:rsid w:val="00DF39AE"/>
    <w:pPr>
      <w:keepLines/>
      <w:widowControl w:val="0"/>
      <w:spacing w:before="40" w:after="40"/>
    </w:pPr>
    <w:rPr>
      <w:rFonts w:ascii="Tahoma" w:hAnsi="Tahoma"/>
      <w:sz w:val="16"/>
      <w:szCs w:val="20"/>
      <w:lang w:val="en-US" w:eastAsia="en-US"/>
    </w:rPr>
  </w:style>
  <w:style w:type="character" w:customStyle="1" w:styleId="TableBodyTextChar">
    <w:name w:val="Table Body Text Char"/>
    <w:basedOn w:val="DefaultParagraphFont"/>
    <w:link w:val="TableBodyText"/>
    <w:rsid w:val="00DF39AE"/>
    <w:rPr>
      <w:rFonts w:ascii="Tahoma" w:hAnsi="Tahoma"/>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Heading0">
    <w:name w:val="Table Heading"/>
    <w:basedOn w:val="Normal"/>
    <w:qFormat/>
    <w:rsid w:val="00860DA8"/>
    <w:pPr>
      <w:keepNext/>
      <w:spacing w:after="60"/>
    </w:pPr>
    <w:rPr>
      <w:rFonts w:ascii="Arial Narrow" w:eastAsiaTheme="minorHAnsi" w:hAnsi="Arial Narrow" w:cstheme="minorBidi"/>
      <w:b/>
      <w:sz w:val="20"/>
      <w:szCs w:val="22"/>
      <w:lang w:eastAsia="en-US"/>
    </w:rPr>
  </w:style>
  <w:style w:type="paragraph" w:customStyle="1" w:styleId="TableLeft">
    <w:name w:val="Table Left"/>
    <w:basedOn w:val="Normal"/>
    <w:link w:val="TableLeftChar"/>
    <w:uiPriority w:val="99"/>
    <w:qFormat/>
    <w:rsid w:val="00F44F5D"/>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F44F5D"/>
    <w:rPr>
      <w:rFonts w:ascii="Arial Narrow" w:eastAsiaTheme="majorEastAsia" w:hAnsi="Arial Narrow" w:cstheme="majorBidi"/>
      <w:szCs w:val="22"/>
      <w:lang w:eastAsia="en-US" w:bidi="en-US"/>
    </w:rPr>
  </w:style>
  <w:style w:type="character" w:customStyle="1" w:styleId="TableText0">
    <w:name w:val="Table Text"/>
    <w:basedOn w:val="DefaultParagraphFont"/>
    <w:uiPriority w:val="4"/>
    <w:qFormat/>
    <w:rsid w:val="0025300C"/>
    <w:rPr>
      <w:rFonts w:ascii="Candara" w:hAnsi="Candara"/>
      <w:sz w:val="20"/>
    </w:rPr>
  </w:style>
  <w:style w:type="paragraph" w:customStyle="1" w:styleId="TableBodyText">
    <w:name w:val="Table Body Text"/>
    <w:basedOn w:val="Normal"/>
    <w:link w:val="TableBodyTextChar"/>
    <w:qFormat/>
    <w:rsid w:val="00DF39AE"/>
    <w:pPr>
      <w:keepLines/>
      <w:widowControl w:val="0"/>
      <w:spacing w:before="40" w:after="40"/>
    </w:pPr>
    <w:rPr>
      <w:rFonts w:ascii="Tahoma" w:hAnsi="Tahoma"/>
      <w:sz w:val="16"/>
      <w:szCs w:val="20"/>
      <w:lang w:val="en-US" w:eastAsia="en-US"/>
    </w:rPr>
  </w:style>
  <w:style w:type="character" w:customStyle="1" w:styleId="TableBodyTextChar">
    <w:name w:val="Table Body Text Char"/>
    <w:basedOn w:val="DefaultParagraphFont"/>
    <w:link w:val="TableBodyText"/>
    <w:rsid w:val="00DF39AE"/>
    <w:rPr>
      <w:rFonts w:ascii="Tahoma" w:hAnsi="Tahoma"/>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53879830">
      <w:bodyDiv w:val="1"/>
      <w:marLeft w:val="0"/>
      <w:marRight w:val="0"/>
      <w:marTop w:val="0"/>
      <w:marBottom w:val="0"/>
      <w:divBdr>
        <w:top w:val="none" w:sz="0" w:space="0" w:color="auto"/>
        <w:left w:val="none" w:sz="0" w:space="0" w:color="auto"/>
        <w:bottom w:val="none" w:sz="0" w:space="0" w:color="auto"/>
        <w:right w:val="none" w:sz="0" w:space="0" w:color="auto"/>
      </w:divBdr>
      <w:divsChild>
        <w:div w:id="1584679227">
          <w:marLeft w:val="547"/>
          <w:marRight w:val="0"/>
          <w:marTop w:val="115"/>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B4E6-2EB7-4CB8-B72D-AF149EF0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6219</Words>
  <Characters>35820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2018-02-20T00:11:00Z</dcterms:created>
  <dcterms:modified xsi:type="dcterms:W3CDTF">2018-02-20T00:11:00Z</dcterms:modified>
</cp:coreProperties>
</file>