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2D5AF0" w:rsidP="002D5AF0">
      <w:pPr>
        <w:pStyle w:val="Title"/>
        <w:tabs>
          <w:tab w:val="left" w:pos="993"/>
        </w:tabs>
        <w:spacing w:before="120" w:after="160"/>
        <w:ind w:left="851" w:hanging="851"/>
        <w:rPr>
          <w:rFonts w:asciiTheme="minorHAnsi" w:hAnsiTheme="minorHAnsi"/>
          <w:sz w:val="36"/>
          <w:szCs w:val="36"/>
        </w:rPr>
      </w:pPr>
      <w:bookmarkStart w:id="0" w:name="_GoBack"/>
      <w:bookmarkEnd w:id="0"/>
      <w:r>
        <w:rPr>
          <w:rFonts w:asciiTheme="minorHAnsi" w:hAnsiTheme="minorHAnsi"/>
          <w:sz w:val="36"/>
          <w:szCs w:val="36"/>
        </w:rPr>
        <w:t xml:space="preserve">14.02 </w:t>
      </w:r>
      <w:r w:rsidR="00273404">
        <w:rPr>
          <w:rFonts w:asciiTheme="minorHAnsi" w:hAnsiTheme="minorHAnsi"/>
          <w:sz w:val="36"/>
          <w:szCs w:val="36"/>
        </w:rPr>
        <w:t>LENALIDOMIDE</w:t>
      </w:r>
      <w:r>
        <w:rPr>
          <w:rFonts w:asciiTheme="minorHAnsi" w:hAnsiTheme="minorHAnsi"/>
          <w:sz w:val="36"/>
          <w:szCs w:val="36"/>
        </w:rPr>
        <w:br/>
        <w:t xml:space="preserve"> </w:t>
      </w:r>
      <w:r w:rsidR="00025000">
        <w:rPr>
          <w:rFonts w:asciiTheme="minorHAnsi" w:hAnsiTheme="minorHAnsi"/>
          <w:sz w:val="36"/>
          <w:szCs w:val="36"/>
        </w:rPr>
        <w:t>C</w:t>
      </w:r>
      <w:r w:rsidR="00273404">
        <w:rPr>
          <w:rFonts w:asciiTheme="minorHAnsi" w:hAnsiTheme="minorHAnsi"/>
          <w:sz w:val="36"/>
          <w:szCs w:val="36"/>
        </w:rPr>
        <w:t>apsule, 5 mg, 10 mg, 15 mg, 25 mg</w:t>
      </w:r>
      <w:r w:rsidR="008A50F1" w:rsidRPr="002B5596">
        <w:rPr>
          <w:rFonts w:asciiTheme="minorHAnsi" w:hAnsiTheme="minorHAnsi"/>
          <w:sz w:val="36"/>
          <w:szCs w:val="36"/>
        </w:rPr>
        <w:br/>
      </w:r>
      <w:r>
        <w:rPr>
          <w:rFonts w:asciiTheme="minorHAnsi" w:hAnsiTheme="minorHAnsi"/>
          <w:sz w:val="36"/>
          <w:szCs w:val="36"/>
        </w:rPr>
        <w:t xml:space="preserve"> </w:t>
      </w:r>
      <w:proofErr w:type="spellStart"/>
      <w:r w:rsidR="00273404">
        <w:rPr>
          <w:rFonts w:asciiTheme="minorHAnsi" w:hAnsiTheme="minorHAnsi"/>
          <w:sz w:val="36"/>
          <w:szCs w:val="36"/>
        </w:rPr>
        <w:t>Revlimid</w:t>
      </w:r>
      <w:proofErr w:type="spellEnd"/>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00273404">
        <w:rPr>
          <w:rFonts w:asciiTheme="minorHAnsi" w:hAnsiTheme="minorHAnsi"/>
          <w:sz w:val="36"/>
          <w:szCs w:val="36"/>
        </w:rPr>
        <w:t>Celgene</w:t>
      </w:r>
      <w:r w:rsidR="0026353D">
        <w:rPr>
          <w:rFonts w:asciiTheme="minorHAnsi" w:hAnsiTheme="minorHAnsi"/>
          <w:sz w:val="36"/>
          <w:szCs w:val="36"/>
        </w:rPr>
        <w:t xml:space="preserve"> </w:t>
      </w:r>
      <w:r w:rsidR="0026353D" w:rsidRPr="0026353D">
        <w:rPr>
          <w:rFonts w:asciiTheme="minorHAnsi" w:hAnsiTheme="minorHAnsi"/>
          <w:sz w:val="36"/>
          <w:szCs w:val="36"/>
        </w:rPr>
        <w:t>Pty Ltd</w:t>
      </w:r>
    </w:p>
    <w:p w:rsidR="008A50F1" w:rsidRPr="00D4572C" w:rsidRDefault="00CE10C4" w:rsidP="00F550CF">
      <w:pPr>
        <w:pStyle w:val="PBACHeading1"/>
        <w:spacing w:before="240" w:after="120"/>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EF44A0" w:rsidRPr="00577C4D" w:rsidRDefault="00EF44A0" w:rsidP="00273404">
      <w:pPr>
        <w:pStyle w:val="ListParagraph"/>
        <w:widowControl/>
        <w:numPr>
          <w:ilvl w:val="1"/>
          <w:numId w:val="5"/>
        </w:numPr>
        <w:spacing w:before="120" w:after="160"/>
        <w:rPr>
          <w:rFonts w:asciiTheme="minorHAnsi" w:hAnsiTheme="minorHAnsi"/>
          <w:sz w:val="24"/>
          <w:szCs w:val="24"/>
        </w:rPr>
      </w:pPr>
      <w:r w:rsidRPr="001B2BBC">
        <w:rPr>
          <w:rFonts w:asciiTheme="minorHAnsi" w:eastAsiaTheme="minorHAnsi" w:hAnsiTheme="minorHAnsi" w:cstheme="minorBidi"/>
          <w:snapToGrid/>
          <w:sz w:val="24"/>
          <w:szCs w:val="22"/>
        </w:rPr>
        <w:t>T</w:t>
      </w:r>
      <w:r w:rsidR="00273404">
        <w:rPr>
          <w:rFonts w:asciiTheme="minorHAnsi" w:eastAsiaTheme="minorHAnsi" w:hAnsiTheme="minorHAnsi" w:cstheme="minorBidi"/>
          <w:snapToGrid/>
          <w:sz w:val="24"/>
          <w:szCs w:val="22"/>
        </w:rPr>
        <w:t xml:space="preserve">o seek the PBAC’s advice on the </w:t>
      </w:r>
      <w:r w:rsidR="00054DB8">
        <w:rPr>
          <w:rFonts w:asciiTheme="minorHAnsi" w:eastAsiaTheme="minorHAnsi" w:hAnsiTheme="minorHAnsi" w:cstheme="minorBidi"/>
          <w:snapToGrid/>
          <w:sz w:val="24"/>
          <w:szCs w:val="22"/>
        </w:rPr>
        <w:t>extension of the listing for lenalidomide to remove the requirement for thalidomide trial prior to lenalidomide use, and to allow retreatment with lenalidomide in relapse or refractory multiple myeloma (RRMM)</w:t>
      </w:r>
    </w:p>
    <w:p w:rsidR="006A12A5" w:rsidRDefault="00054DB8" w:rsidP="00F550CF">
      <w:pPr>
        <w:pStyle w:val="PBACHeading1"/>
        <w:spacing w:before="240" w:after="120"/>
        <w:rPr>
          <w:rFonts w:asciiTheme="minorHAnsi" w:hAnsiTheme="minorHAnsi"/>
          <w:sz w:val="32"/>
          <w:szCs w:val="32"/>
        </w:rPr>
      </w:pPr>
      <w:r>
        <w:rPr>
          <w:rFonts w:asciiTheme="minorHAnsi" w:hAnsiTheme="minorHAnsi"/>
          <w:sz w:val="32"/>
          <w:szCs w:val="32"/>
        </w:rPr>
        <w:t>Background</w:t>
      </w:r>
    </w:p>
    <w:p w:rsidR="00054DB8" w:rsidRPr="00054DB8" w:rsidRDefault="00054DB8" w:rsidP="00054DB8">
      <w:pPr>
        <w:pStyle w:val="ListParagraph"/>
        <w:widowControl/>
        <w:numPr>
          <w:ilvl w:val="1"/>
          <w:numId w:val="5"/>
        </w:numPr>
        <w:spacing w:before="120" w:after="160"/>
        <w:rPr>
          <w:rFonts w:asciiTheme="minorHAnsi" w:eastAsiaTheme="minorHAnsi" w:hAnsiTheme="minorHAnsi" w:cstheme="minorBidi"/>
          <w:snapToGrid/>
          <w:sz w:val="24"/>
          <w:szCs w:val="22"/>
        </w:rPr>
      </w:pPr>
      <w:r w:rsidRPr="00054DB8">
        <w:rPr>
          <w:rFonts w:asciiTheme="minorHAnsi" w:eastAsiaTheme="minorHAnsi" w:hAnsiTheme="minorHAnsi" w:cstheme="minorBidi"/>
          <w:snapToGrid/>
          <w:sz w:val="24"/>
          <w:szCs w:val="22"/>
        </w:rPr>
        <w:t xml:space="preserve">At the March 2016 meeting, the PBAC recommended that the requirement for progression, intolerance or contraindication to thalidomide in order to qualify for lenalidomide treatment in RRMM be removed from the lenalidomide restriction. The PBAC also recommended that re-treatment with lenalidomide be incorporated within the RRMM restriction to allow patients who cease treatment after initial successful disease control and then experience disease progression to access lenalidomide again.  This would also enable patients re-accessing lenalidomide to be eligible for </w:t>
      </w:r>
      <w:proofErr w:type="spellStart"/>
      <w:r w:rsidRPr="00054DB8">
        <w:rPr>
          <w:rFonts w:asciiTheme="minorHAnsi" w:eastAsiaTheme="minorHAnsi" w:hAnsiTheme="minorHAnsi" w:cstheme="minorBidi"/>
          <w:snapToGrid/>
          <w:sz w:val="24"/>
          <w:szCs w:val="22"/>
        </w:rPr>
        <w:t>pomalidomide</w:t>
      </w:r>
      <w:proofErr w:type="spellEnd"/>
      <w:r w:rsidRPr="00054DB8">
        <w:rPr>
          <w:rFonts w:asciiTheme="minorHAnsi" w:eastAsiaTheme="minorHAnsi" w:hAnsiTheme="minorHAnsi" w:cstheme="minorBidi"/>
          <w:snapToGrid/>
          <w:sz w:val="24"/>
          <w:szCs w:val="22"/>
        </w:rPr>
        <w:t xml:space="preserve"> should subsequent failure of lenalidomide treatment occur.</w:t>
      </w:r>
    </w:p>
    <w:p w:rsidR="00054DB8" w:rsidRPr="00054DB8" w:rsidRDefault="00054DB8" w:rsidP="00054DB8">
      <w:pPr>
        <w:pStyle w:val="ListParagraph"/>
        <w:widowControl/>
        <w:spacing w:before="120" w:after="160"/>
        <w:rPr>
          <w:rFonts w:asciiTheme="minorHAnsi" w:eastAsiaTheme="minorHAnsi" w:hAnsiTheme="minorHAnsi" w:cstheme="minorBidi"/>
          <w:snapToGrid/>
          <w:sz w:val="24"/>
          <w:szCs w:val="22"/>
        </w:rPr>
      </w:pPr>
    </w:p>
    <w:p w:rsidR="00054DB8" w:rsidRPr="00054DB8" w:rsidRDefault="00054DB8" w:rsidP="00054DB8">
      <w:pPr>
        <w:pStyle w:val="ListParagraph"/>
        <w:widowControl/>
        <w:numPr>
          <w:ilvl w:val="1"/>
          <w:numId w:val="5"/>
        </w:numPr>
        <w:spacing w:before="120" w:after="160"/>
        <w:rPr>
          <w:rFonts w:asciiTheme="minorHAnsi" w:eastAsiaTheme="minorHAnsi" w:hAnsiTheme="minorHAnsi" w:cstheme="minorBidi"/>
          <w:snapToGrid/>
          <w:sz w:val="24"/>
          <w:szCs w:val="22"/>
        </w:rPr>
      </w:pPr>
      <w:r w:rsidRPr="00054DB8">
        <w:rPr>
          <w:rFonts w:asciiTheme="minorHAnsi" w:eastAsiaTheme="minorHAnsi" w:hAnsiTheme="minorHAnsi" w:cstheme="minorBidi"/>
          <w:snapToGrid/>
          <w:sz w:val="24"/>
          <w:szCs w:val="22"/>
        </w:rPr>
        <w:t>The sponsor has requested that matters relating to the price and expected patient numbers relating to these recommendation</w:t>
      </w:r>
      <w:r>
        <w:rPr>
          <w:rFonts w:asciiTheme="minorHAnsi" w:eastAsiaTheme="minorHAnsi" w:hAnsiTheme="minorHAnsi" w:cstheme="minorBidi"/>
          <w:snapToGrid/>
          <w:sz w:val="24"/>
          <w:szCs w:val="22"/>
        </w:rPr>
        <w:t>s be clarified by the committee</w:t>
      </w:r>
      <w:r w:rsidRPr="00054DB8">
        <w:rPr>
          <w:rFonts w:asciiTheme="minorHAnsi" w:eastAsiaTheme="minorHAnsi" w:hAnsiTheme="minorHAnsi" w:cstheme="minorBidi"/>
          <w:snapToGrid/>
          <w:sz w:val="24"/>
          <w:szCs w:val="22"/>
        </w:rPr>
        <w:t>.</w:t>
      </w:r>
    </w:p>
    <w:p w:rsidR="00054DB8" w:rsidRDefault="00054DB8" w:rsidP="009532D4">
      <w:pPr>
        <w:pStyle w:val="PBACHeading1"/>
        <w:keepNext/>
        <w:spacing w:before="240" w:after="120"/>
        <w:rPr>
          <w:rFonts w:asciiTheme="minorHAnsi" w:hAnsiTheme="minorHAnsi"/>
          <w:sz w:val="32"/>
          <w:szCs w:val="32"/>
        </w:rPr>
      </w:pPr>
      <w:r>
        <w:rPr>
          <w:rFonts w:asciiTheme="minorHAnsi" w:hAnsiTheme="minorHAnsi"/>
          <w:sz w:val="32"/>
          <w:szCs w:val="32"/>
        </w:rPr>
        <w:t>PBAC Outcome</w:t>
      </w:r>
    </w:p>
    <w:p w:rsidR="00054DB8" w:rsidRDefault="00054DB8" w:rsidP="009532D4">
      <w:pPr>
        <w:pStyle w:val="ListParagraph"/>
        <w:keepNext/>
        <w:widowControl/>
        <w:numPr>
          <w:ilvl w:val="1"/>
          <w:numId w:val="5"/>
        </w:numPr>
        <w:spacing w:before="120" w:after="160"/>
        <w:rPr>
          <w:rFonts w:asciiTheme="minorHAnsi" w:eastAsiaTheme="minorHAnsi" w:hAnsiTheme="minorHAnsi" w:cstheme="minorBidi"/>
          <w:snapToGrid/>
          <w:sz w:val="24"/>
          <w:szCs w:val="22"/>
        </w:rPr>
      </w:pPr>
      <w:r w:rsidRPr="0083184E">
        <w:rPr>
          <w:rFonts w:asciiTheme="minorHAnsi" w:eastAsiaTheme="minorHAnsi" w:hAnsiTheme="minorHAnsi" w:cstheme="minorBidi"/>
          <w:snapToGrid/>
          <w:sz w:val="24"/>
          <w:szCs w:val="22"/>
        </w:rPr>
        <w:t xml:space="preserve">The committee advised that removal of the requirement for a </w:t>
      </w:r>
      <w:r w:rsidR="00FB0FE1" w:rsidRPr="0083184E">
        <w:rPr>
          <w:rFonts w:asciiTheme="minorHAnsi" w:eastAsiaTheme="minorHAnsi" w:hAnsiTheme="minorHAnsi" w:cstheme="minorBidi"/>
          <w:snapToGrid/>
          <w:sz w:val="24"/>
          <w:szCs w:val="22"/>
        </w:rPr>
        <w:t>contraindication to or failure</w:t>
      </w:r>
      <w:r w:rsidRPr="0083184E">
        <w:rPr>
          <w:rFonts w:asciiTheme="minorHAnsi" w:eastAsiaTheme="minorHAnsi" w:hAnsiTheme="minorHAnsi" w:cstheme="minorBidi"/>
          <w:snapToGrid/>
          <w:sz w:val="24"/>
          <w:szCs w:val="22"/>
        </w:rPr>
        <w:t xml:space="preserve"> of thalidomide in RRMM, and allowing lenalidomide retreatment should be included in the RRMM risk share agreement, and at the same price as treatment for RRMM.</w:t>
      </w:r>
    </w:p>
    <w:p w:rsidR="0083184E" w:rsidRPr="0083184E" w:rsidRDefault="0083184E" w:rsidP="0083184E">
      <w:pPr>
        <w:pStyle w:val="ListParagraph"/>
        <w:widowControl/>
        <w:spacing w:before="120" w:after="160"/>
        <w:rPr>
          <w:rFonts w:asciiTheme="minorHAnsi" w:eastAsiaTheme="minorHAnsi" w:hAnsiTheme="minorHAnsi" w:cstheme="minorBidi"/>
          <w:snapToGrid/>
          <w:sz w:val="24"/>
          <w:szCs w:val="22"/>
        </w:rPr>
      </w:pPr>
    </w:p>
    <w:p w:rsidR="00FB0FE1" w:rsidRDefault="00054DB8" w:rsidP="0083184E">
      <w:pPr>
        <w:pStyle w:val="ListParagraph"/>
        <w:widowControl/>
        <w:numPr>
          <w:ilvl w:val="1"/>
          <w:numId w:val="5"/>
        </w:numPr>
        <w:spacing w:before="120" w:after="160"/>
        <w:rPr>
          <w:rFonts w:asciiTheme="minorHAnsi" w:eastAsiaTheme="minorHAnsi" w:hAnsiTheme="minorHAnsi" w:cstheme="minorBidi"/>
          <w:snapToGrid/>
          <w:sz w:val="24"/>
          <w:szCs w:val="22"/>
        </w:rPr>
      </w:pPr>
      <w:r w:rsidRPr="0083184E">
        <w:rPr>
          <w:rFonts w:asciiTheme="minorHAnsi" w:eastAsiaTheme="minorHAnsi" w:hAnsiTheme="minorHAnsi" w:cstheme="minorBidi"/>
          <w:snapToGrid/>
          <w:sz w:val="24"/>
          <w:szCs w:val="22"/>
        </w:rPr>
        <w:t xml:space="preserve">The committee also advised that </w:t>
      </w:r>
      <w:r w:rsidR="00FB0FE1" w:rsidRPr="0083184E">
        <w:rPr>
          <w:rFonts w:asciiTheme="minorHAnsi" w:eastAsiaTheme="minorHAnsi" w:hAnsiTheme="minorHAnsi" w:cstheme="minorBidi"/>
          <w:snapToGrid/>
          <w:sz w:val="24"/>
          <w:szCs w:val="22"/>
        </w:rPr>
        <w:t xml:space="preserve">neither of these changes </w:t>
      </w:r>
      <w:proofErr w:type="gramStart"/>
      <w:r w:rsidR="00FB0FE1" w:rsidRPr="0083184E">
        <w:rPr>
          <w:rFonts w:asciiTheme="minorHAnsi" w:eastAsiaTheme="minorHAnsi" w:hAnsiTheme="minorHAnsi" w:cstheme="minorBidi"/>
          <w:snapToGrid/>
          <w:sz w:val="24"/>
          <w:szCs w:val="22"/>
        </w:rPr>
        <w:t>are</w:t>
      </w:r>
      <w:proofErr w:type="gramEnd"/>
      <w:r w:rsidR="00FB0FE1" w:rsidRPr="0083184E">
        <w:rPr>
          <w:rFonts w:asciiTheme="minorHAnsi" w:eastAsiaTheme="minorHAnsi" w:hAnsiTheme="minorHAnsi" w:cstheme="minorBidi"/>
          <w:snapToGrid/>
          <w:sz w:val="24"/>
          <w:szCs w:val="22"/>
        </w:rPr>
        <w:t xml:space="preserve"> expected to increase utilisation or patients numbers. </w:t>
      </w:r>
    </w:p>
    <w:p w:rsidR="0083184E" w:rsidRPr="0083184E" w:rsidRDefault="0083184E" w:rsidP="0083184E">
      <w:pPr>
        <w:pStyle w:val="ListParagraph"/>
        <w:widowControl/>
        <w:spacing w:before="120" w:after="160"/>
        <w:ind w:left="0"/>
        <w:rPr>
          <w:rFonts w:asciiTheme="minorHAnsi" w:eastAsiaTheme="minorHAnsi" w:hAnsiTheme="minorHAnsi" w:cstheme="minorBidi"/>
          <w:snapToGrid/>
          <w:sz w:val="24"/>
          <w:szCs w:val="22"/>
        </w:rPr>
      </w:pPr>
    </w:p>
    <w:p w:rsidR="00054DB8" w:rsidRDefault="00FB0FE1" w:rsidP="0083184E">
      <w:pPr>
        <w:pStyle w:val="ListParagraph"/>
        <w:widowControl/>
        <w:numPr>
          <w:ilvl w:val="1"/>
          <w:numId w:val="5"/>
        </w:numPr>
        <w:spacing w:before="120" w:after="160"/>
        <w:rPr>
          <w:rFonts w:asciiTheme="minorHAnsi" w:eastAsiaTheme="minorHAnsi" w:hAnsiTheme="minorHAnsi" w:cstheme="minorBidi"/>
          <w:snapToGrid/>
          <w:sz w:val="24"/>
          <w:szCs w:val="22"/>
        </w:rPr>
      </w:pPr>
      <w:r w:rsidRPr="0083184E">
        <w:rPr>
          <w:rFonts w:asciiTheme="minorHAnsi" w:eastAsiaTheme="minorHAnsi" w:hAnsiTheme="minorHAnsi" w:cstheme="minorBidi"/>
          <w:snapToGrid/>
          <w:sz w:val="24"/>
          <w:szCs w:val="22"/>
        </w:rPr>
        <w:t xml:space="preserve">The committee noted that multiple myeloma is a relapsing disease, and patients generally move through a number of different treatments. The committee therefore considered that currently thalidomide was displacing, rather than replacing lenalidomide treatment and that removing this requirement would not affect utilisation. </w:t>
      </w:r>
    </w:p>
    <w:p w:rsidR="0083184E" w:rsidRPr="0083184E" w:rsidRDefault="0083184E" w:rsidP="00EC1413">
      <w:pPr>
        <w:pStyle w:val="ListParagraph"/>
        <w:widowControl/>
        <w:spacing w:before="120" w:after="160"/>
        <w:rPr>
          <w:rFonts w:asciiTheme="minorHAnsi" w:eastAsiaTheme="minorHAnsi" w:hAnsiTheme="minorHAnsi" w:cstheme="minorBidi"/>
          <w:snapToGrid/>
          <w:sz w:val="24"/>
          <w:szCs w:val="22"/>
        </w:rPr>
      </w:pPr>
    </w:p>
    <w:p w:rsidR="00EC1413" w:rsidRPr="00EC1413" w:rsidRDefault="00FB0FE1" w:rsidP="00EC1413">
      <w:pPr>
        <w:pStyle w:val="ListParagraph"/>
        <w:widowControl/>
        <w:numPr>
          <w:ilvl w:val="1"/>
          <w:numId w:val="5"/>
        </w:numPr>
        <w:spacing w:before="120" w:after="160"/>
        <w:rPr>
          <w:rFonts w:asciiTheme="minorHAnsi" w:eastAsiaTheme="minorHAnsi" w:hAnsiTheme="minorHAnsi" w:cstheme="minorBidi"/>
          <w:snapToGrid/>
          <w:sz w:val="24"/>
          <w:szCs w:val="22"/>
        </w:rPr>
      </w:pPr>
      <w:r w:rsidRPr="0083184E">
        <w:rPr>
          <w:rFonts w:asciiTheme="minorHAnsi" w:eastAsiaTheme="minorHAnsi" w:hAnsiTheme="minorHAnsi" w:cstheme="minorBidi"/>
          <w:snapToGrid/>
          <w:sz w:val="24"/>
          <w:szCs w:val="22"/>
        </w:rPr>
        <w:t xml:space="preserve">The committee considered that allowing retreatment with lenalidomide in patients who had previously responded would delay treatment, but not extend the duration of treatment. The committee also noted that </w:t>
      </w:r>
      <w:r w:rsidR="00EC1413">
        <w:rPr>
          <w:rFonts w:asciiTheme="minorHAnsi" w:eastAsiaTheme="minorHAnsi" w:hAnsiTheme="minorHAnsi" w:cstheme="minorBidi"/>
          <w:snapToGrid/>
          <w:sz w:val="24"/>
          <w:szCs w:val="22"/>
        </w:rPr>
        <w:t>patients</w:t>
      </w:r>
      <w:r w:rsidR="00EC1413" w:rsidRPr="00EC1413">
        <w:rPr>
          <w:rFonts w:asciiTheme="minorHAnsi" w:eastAsiaTheme="minorHAnsi" w:hAnsiTheme="minorHAnsi" w:cstheme="minorBidi"/>
          <w:snapToGrid/>
          <w:sz w:val="24"/>
          <w:szCs w:val="22"/>
        </w:rPr>
        <w:t xml:space="preserve"> may be currently seeking to remain on lenalidomide for a longer period than would otherwise be the case due to </w:t>
      </w:r>
      <w:r w:rsidR="00EC1413" w:rsidRPr="00EC1413">
        <w:rPr>
          <w:rFonts w:asciiTheme="minorHAnsi" w:eastAsiaTheme="minorHAnsi" w:hAnsiTheme="minorHAnsi" w:cstheme="minorBidi"/>
          <w:snapToGrid/>
          <w:sz w:val="24"/>
          <w:szCs w:val="22"/>
        </w:rPr>
        <w:lastRenderedPageBreak/>
        <w:t>the inability for patients to take a treatment holiday; as such this change could potentially reduce usage.</w:t>
      </w:r>
    </w:p>
    <w:p w:rsidR="0083184E" w:rsidRPr="0083184E" w:rsidRDefault="0083184E" w:rsidP="0083184E">
      <w:pPr>
        <w:pStyle w:val="ListParagraph"/>
        <w:widowControl/>
        <w:spacing w:before="120" w:after="160"/>
        <w:ind w:left="0"/>
        <w:rPr>
          <w:rFonts w:asciiTheme="minorHAnsi" w:eastAsiaTheme="minorHAnsi" w:hAnsiTheme="minorHAnsi" w:cstheme="minorBidi"/>
          <w:snapToGrid/>
          <w:sz w:val="24"/>
          <w:szCs w:val="22"/>
        </w:rPr>
      </w:pPr>
    </w:p>
    <w:p w:rsidR="0083184E" w:rsidRDefault="0083184E" w:rsidP="0083184E">
      <w:pPr>
        <w:pStyle w:val="ListParagraph"/>
        <w:widowControl/>
        <w:numPr>
          <w:ilvl w:val="1"/>
          <w:numId w:val="5"/>
        </w:numPr>
        <w:spacing w:before="120" w:after="160"/>
        <w:rPr>
          <w:rFonts w:asciiTheme="minorHAnsi" w:eastAsiaTheme="minorHAnsi" w:hAnsiTheme="minorHAnsi" w:cstheme="minorBidi"/>
          <w:snapToGrid/>
          <w:sz w:val="24"/>
          <w:szCs w:val="22"/>
        </w:rPr>
      </w:pPr>
      <w:r w:rsidRPr="0083184E">
        <w:rPr>
          <w:rFonts w:asciiTheme="minorHAnsi" w:eastAsiaTheme="minorHAnsi" w:hAnsiTheme="minorHAnsi" w:cstheme="minorBidi"/>
          <w:snapToGrid/>
          <w:sz w:val="24"/>
          <w:szCs w:val="22"/>
        </w:rPr>
        <w:t>Based on these factors, the PBAC considered that these changes to the listing should be cost neutral and these changes could be included within the existing RRMM Deed arrangements without requiring any increases in the caps.</w:t>
      </w:r>
    </w:p>
    <w:p w:rsidR="0083184E" w:rsidRDefault="0083184E" w:rsidP="0083184E">
      <w:pPr>
        <w:pStyle w:val="ListParagraph"/>
        <w:rPr>
          <w:rFonts w:asciiTheme="minorHAnsi" w:eastAsiaTheme="minorHAnsi" w:hAnsiTheme="minorHAnsi" w:cstheme="minorBidi"/>
          <w:snapToGrid/>
          <w:sz w:val="24"/>
          <w:szCs w:val="22"/>
        </w:rPr>
      </w:pPr>
    </w:p>
    <w:p w:rsidR="00D97207" w:rsidRPr="005D105D" w:rsidRDefault="00D97207" w:rsidP="00D97207">
      <w:pPr>
        <w:pStyle w:val="ListParagraph"/>
        <w:ind w:left="0"/>
        <w:rPr>
          <w:rFonts w:ascii="Calibri" w:hAnsi="Calibri"/>
          <w:b/>
          <w:bCs/>
          <w:szCs w:val="24"/>
        </w:rPr>
      </w:pPr>
      <w:r w:rsidRPr="005D105D">
        <w:rPr>
          <w:rFonts w:ascii="Calibri" w:hAnsi="Calibri"/>
          <w:b/>
          <w:bCs/>
          <w:szCs w:val="24"/>
        </w:rPr>
        <w:t>Outcome:</w:t>
      </w:r>
    </w:p>
    <w:p w:rsidR="009532D4" w:rsidRPr="002D5AF0" w:rsidRDefault="00D97207" w:rsidP="002D5AF0">
      <w:pPr>
        <w:jc w:val="both"/>
        <w:rPr>
          <w:rFonts w:ascii="Calibri" w:hAnsi="Calibri" w:cs="Arial"/>
          <w:bCs/>
          <w:snapToGrid w:val="0"/>
        </w:rPr>
      </w:pPr>
      <w:r w:rsidRPr="005D105D">
        <w:rPr>
          <w:rFonts w:ascii="Calibri" w:hAnsi="Calibri" w:cs="Arial"/>
          <w:bCs/>
          <w:snapToGrid w:val="0"/>
        </w:rPr>
        <w:t xml:space="preserve">Recommended </w:t>
      </w:r>
    </w:p>
    <w:p w:rsidR="00D97207" w:rsidRPr="00D97207" w:rsidRDefault="00D97207" w:rsidP="00D97207">
      <w:pPr>
        <w:pStyle w:val="PBACHeading1"/>
        <w:spacing w:before="240" w:after="120"/>
        <w:rPr>
          <w:rFonts w:asciiTheme="minorHAnsi" w:hAnsiTheme="minorHAnsi"/>
          <w:sz w:val="32"/>
          <w:szCs w:val="32"/>
        </w:rPr>
      </w:pPr>
      <w:r w:rsidRPr="00D97207">
        <w:rPr>
          <w:rFonts w:asciiTheme="minorHAnsi" w:hAnsiTheme="minorHAnsi"/>
          <w:sz w:val="32"/>
          <w:szCs w:val="32"/>
        </w:rPr>
        <w:t xml:space="preserve">Recommended listing </w:t>
      </w:r>
    </w:p>
    <w:p w:rsidR="00195EC5" w:rsidRDefault="00195EC5" w:rsidP="00D97207">
      <w:pPr>
        <w:pStyle w:val="ListParagraph"/>
        <w:widowControl/>
        <w:numPr>
          <w:ilvl w:val="1"/>
          <w:numId w:val="5"/>
        </w:numPr>
        <w:spacing w:before="120" w:after="160"/>
        <w:rPr>
          <w:rFonts w:ascii="Calibri" w:hAnsi="Calibri"/>
          <w:bCs/>
          <w:szCs w:val="24"/>
        </w:rPr>
      </w:pPr>
      <w:r>
        <w:rPr>
          <w:rFonts w:ascii="Calibri" w:hAnsi="Calibri"/>
          <w:bCs/>
          <w:szCs w:val="24"/>
        </w:rPr>
        <w:t>Add new item: retreatment restriction to be finalised</w:t>
      </w:r>
      <w:r w:rsidR="00D97207" w:rsidRPr="00BC16CA">
        <w:rPr>
          <w:rFonts w:ascii="Calibri" w:hAnsi="Calibri"/>
          <w:bCs/>
          <w:szCs w:val="24"/>
        </w:rPr>
        <w:t xml:space="preserve"> </w:t>
      </w:r>
    </w:p>
    <w:p w:rsidR="00195EC5" w:rsidRDefault="00195EC5" w:rsidP="00195EC5">
      <w:pPr>
        <w:pStyle w:val="ListParagraph"/>
        <w:widowControl/>
        <w:spacing w:before="120" w:after="160"/>
        <w:rPr>
          <w:rFonts w:ascii="Calibri" w:hAnsi="Calibri"/>
          <w:bCs/>
          <w:szCs w:val="24"/>
        </w:rPr>
      </w:pPr>
    </w:p>
    <w:p w:rsidR="00D97207" w:rsidRDefault="00D97207" w:rsidP="00D97207">
      <w:pPr>
        <w:pStyle w:val="ListParagraph"/>
        <w:widowControl/>
        <w:numPr>
          <w:ilvl w:val="1"/>
          <w:numId w:val="5"/>
        </w:numPr>
        <w:spacing w:before="120" w:after="160"/>
        <w:rPr>
          <w:rFonts w:ascii="Calibri" w:hAnsi="Calibri"/>
          <w:bCs/>
          <w:szCs w:val="24"/>
        </w:rPr>
      </w:pPr>
      <w:r>
        <w:rPr>
          <w:rFonts w:ascii="Calibri" w:hAnsi="Calibri"/>
          <w:bCs/>
          <w:szCs w:val="24"/>
        </w:rPr>
        <w:t>Amend existing item:</w:t>
      </w:r>
    </w:p>
    <w:tbl>
      <w:tblPr>
        <w:tblW w:w="9214" w:type="dxa"/>
        <w:tblInd w:w="108" w:type="dxa"/>
        <w:tblLayout w:type="fixed"/>
        <w:tblLook w:val="0000" w:firstRow="0" w:lastRow="0" w:firstColumn="0" w:lastColumn="0" w:noHBand="0" w:noVBand="0"/>
      </w:tblPr>
      <w:tblGrid>
        <w:gridCol w:w="2835"/>
        <w:gridCol w:w="426"/>
        <w:gridCol w:w="708"/>
        <w:gridCol w:w="709"/>
        <w:gridCol w:w="1559"/>
        <w:gridCol w:w="2977"/>
      </w:tblGrid>
      <w:tr w:rsidR="00D97207" w:rsidRPr="00BC16CA" w:rsidTr="00EE20C3">
        <w:trPr>
          <w:trHeight w:val="471"/>
        </w:trPr>
        <w:tc>
          <w:tcPr>
            <w:tcW w:w="3261" w:type="dxa"/>
            <w:gridSpan w:val="2"/>
            <w:tcBorders>
              <w:bottom w:val="single" w:sz="4" w:space="0" w:color="auto"/>
            </w:tcBorders>
          </w:tcPr>
          <w:p w:rsidR="00D97207" w:rsidRPr="005D105D" w:rsidRDefault="00D97207" w:rsidP="00EE20C3">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Name, Restriction,</w:t>
            </w:r>
          </w:p>
          <w:p w:rsidR="00D97207" w:rsidRPr="005D105D" w:rsidRDefault="00D97207" w:rsidP="00EE20C3">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Manner of administration and form</w:t>
            </w:r>
          </w:p>
        </w:tc>
        <w:tc>
          <w:tcPr>
            <w:tcW w:w="708" w:type="dxa"/>
            <w:tcBorders>
              <w:bottom w:val="single" w:sz="4" w:space="0" w:color="auto"/>
            </w:tcBorders>
          </w:tcPr>
          <w:p w:rsidR="00D97207" w:rsidRPr="005D105D" w:rsidRDefault="00D97207" w:rsidP="00EE20C3">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Max.</w:t>
            </w:r>
          </w:p>
          <w:p w:rsidR="00D97207" w:rsidRPr="005D105D" w:rsidRDefault="00195EC5" w:rsidP="00EE20C3">
            <w:pPr>
              <w:keepNext/>
              <w:spacing w:line="276" w:lineRule="auto"/>
              <w:ind w:left="-108"/>
              <w:jc w:val="both"/>
              <w:rPr>
                <w:rFonts w:ascii="Arial Narrow" w:hAnsi="Arial Narrow" w:cs="Arial"/>
                <w:sz w:val="20"/>
                <w:szCs w:val="20"/>
              </w:rPr>
            </w:pPr>
            <w:r>
              <w:rPr>
                <w:rFonts w:ascii="Arial Narrow" w:hAnsi="Arial Narrow" w:cs="Arial"/>
                <w:sz w:val="20"/>
                <w:szCs w:val="20"/>
              </w:rPr>
              <w:t>Qty</w:t>
            </w:r>
          </w:p>
        </w:tc>
        <w:tc>
          <w:tcPr>
            <w:tcW w:w="709" w:type="dxa"/>
            <w:tcBorders>
              <w:bottom w:val="single" w:sz="4" w:space="0" w:color="auto"/>
            </w:tcBorders>
          </w:tcPr>
          <w:p w:rsidR="00D97207" w:rsidRPr="005D105D" w:rsidRDefault="00D97207" w:rsidP="00EE20C3">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№.of</w:t>
            </w:r>
          </w:p>
          <w:p w:rsidR="00D97207" w:rsidRPr="005D105D" w:rsidRDefault="00D97207" w:rsidP="00EE20C3">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Rpts</w:t>
            </w:r>
          </w:p>
        </w:tc>
        <w:tc>
          <w:tcPr>
            <w:tcW w:w="4536" w:type="dxa"/>
            <w:gridSpan w:val="2"/>
            <w:tcBorders>
              <w:bottom w:val="single" w:sz="4" w:space="0" w:color="auto"/>
            </w:tcBorders>
          </w:tcPr>
          <w:p w:rsidR="00D97207" w:rsidRPr="005D105D" w:rsidRDefault="00D97207" w:rsidP="00EE20C3">
            <w:pPr>
              <w:keepNext/>
              <w:spacing w:line="276" w:lineRule="auto"/>
              <w:jc w:val="both"/>
              <w:rPr>
                <w:rFonts w:ascii="Arial Narrow" w:hAnsi="Arial Narrow" w:cs="Arial"/>
                <w:sz w:val="20"/>
                <w:szCs w:val="20"/>
              </w:rPr>
            </w:pPr>
            <w:r w:rsidRPr="005D105D">
              <w:rPr>
                <w:rFonts w:ascii="Arial Narrow" w:hAnsi="Arial Narrow" w:cs="Arial"/>
                <w:sz w:val="20"/>
                <w:szCs w:val="20"/>
              </w:rPr>
              <w:t>Proprietary Name and Manufacturer</w:t>
            </w:r>
          </w:p>
        </w:tc>
      </w:tr>
      <w:tr w:rsidR="00D97207" w:rsidRPr="00BC16CA" w:rsidTr="00EE20C3">
        <w:trPr>
          <w:trHeight w:val="577"/>
        </w:trPr>
        <w:tc>
          <w:tcPr>
            <w:tcW w:w="3261" w:type="dxa"/>
            <w:gridSpan w:val="2"/>
          </w:tcPr>
          <w:p w:rsidR="00D97207" w:rsidRPr="005D105D" w:rsidRDefault="00D97207" w:rsidP="00EE20C3">
            <w:pPr>
              <w:keepNext/>
              <w:spacing w:line="276" w:lineRule="auto"/>
              <w:ind w:left="-108"/>
              <w:jc w:val="both"/>
              <w:rPr>
                <w:rFonts w:ascii="Arial Narrow" w:hAnsi="Arial Narrow" w:cs="Arial"/>
                <w:sz w:val="20"/>
                <w:szCs w:val="20"/>
              </w:rPr>
            </w:pPr>
            <w:r>
              <w:rPr>
                <w:rFonts w:ascii="Arial Narrow" w:hAnsi="Arial Narrow" w:cs="Arial"/>
                <w:smallCaps/>
                <w:sz w:val="20"/>
                <w:szCs w:val="20"/>
              </w:rPr>
              <w:t>Lenalidomide</w:t>
            </w:r>
          </w:p>
          <w:p w:rsidR="00D97207" w:rsidRDefault="00D97207" w:rsidP="00EE20C3">
            <w:pPr>
              <w:keepNext/>
              <w:spacing w:line="276" w:lineRule="auto"/>
              <w:ind w:left="-108"/>
              <w:jc w:val="both"/>
              <w:rPr>
                <w:rFonts w:ascii="Arial Narrow" w:hAnsi="Arial Narrow" w:cs="Arial"/>
                <w:sz w:val="20"/>
                <w:szCs w:val="20"/>
              </w:rPr>
            </w:pPr>
            <w:r>
              <w:rPr>
                <w:rFonts w:ascii="Arial Narrow" w:hAnsi="Arial Narrow" w:cs="Arial"/>
                <w:sz w:val="20"/>
                <w:szCs w:val="20"/>
              </w:rPr>
              <w:t>Tablet, 5 mg</w:t>
            </w:r>
          </w:p>
          <w:p w:rsidR="00D97207" w:rsidRDefault="00D97207" w:rsidP="00EE20C3">
            <w:pPr>
              <w:keepNext/>
              <w:spacing w:line="276" w:lineRule="auto"/>
              <w:ind w:left="-108"/>
              <w:jc w:val="both"/>
              <w:rPr>
                <w:rFonts w:ascii="Arial Narrow" w:hAnsi="Arial Narrow" w:cs="Arial"/>
                <w:sz w:val="20"/>
                <w:szCs w:val="20"/>
              </w:rPr>
            </w:pPr>
            <w:r>
              <w:rPr>
                <w:rFonts w:ascii="Arial Narrow" w:hAnsi="Arial Narrow" w:cs="Arial"/>
                <w:sz w:val="20"/>
                <w:szCs w:val="20"/>
              </w:rPr>
              <w:t>Table, 10 mg</w:t>
            </w:r>
          </w:p>
          <w:p w:rsidR="00D97207" w:rsidRDefault="00D97207" w:rsidP="00EE20C3">
            <w:pPr>
              <w:keepNext/>
              <w:spacing w:line="276" w:lineRule="auto"/>
              <w:ind w:left="-108"/>
              <w:jc w:val="both"/>
              <w:rPr>
                <w:rFonts w:ascii="Arial Narrow" w:hAnsi="Arial Narrow" w:cs="Arial"/>
                <w:sz w:val="20"/>
                <w:szCs w:val="20"/>
              </w:rPr>
            </w:pPr>
            <w:r>
              <w:rPr>
                <w:rFonts w:ascii="Arial Narrow" w:hAnsi="Arial Narrow" w:cs="Arial"/>
                <w:sz w:val="20"/>
                <w:szCs w:val="20"/>
              </w:rPr>
              <w:t>Tablet, 15 mg</w:t>
            </w:r>
          </w:p>
          <w:p w:rsidR="00D97207" w:rsidRPr="005D105D" w:rsidRDefault="00D97207" w:rsidP="00EE20C3">
            <w:pPr>
              <w:keepNext/>
              <w:spacing w:line="276" w:lineRule="auto"/>
              <w:ind w:left="-108"/>
              <w:jc w:val="both"/>
              <w:rPr>
                <w:rFonts w:ascii="Arial Narrow" w:hAnsi="Arial Narrow" w:cs="Arial"/>
                <w:sz w:val="20"/>
                <w:szCs w:val="20"/>
              </w:rPr>
            </w:pPr>
            <w:r>
              <w:rPr>
                <w:rFonts w:ascii="Arial Narrow" w:hAnsi="Arial Narrow" w:cs="Arial"/>
                <w:sz w:val="20"/>
                <w:szCs w:val="20"/>
              </w:rPr>
              <w:t>Tablet, 25 mg</w:t>
            </w:r>
          </w:p>
        </w:tc>
        <w:tc>
          <w:tcPr>
            <w:tcW w:w="708" w:type="dxa"/>
          </w:tcPr>
          <w:p w:rsidR="00D97207" w:rsidRPr="005D105D" w:rsidRDefault="00D97207" w:rsidP="00EE20C3">
            <w:pPr>
              <w:keepNext/>
              <w:spacing w:line="276" w:lineRule="auto"/>
              <w:ind w:left="-108"/>
              <w:jc w:val="both"/>
              <w:rPr>
                <w:rFonts w:ascii="Arial Narrow" w:hAnsi="Arial Narrow" w:cs="Arial"/>
                <w:sz w:val="20"/>
                <w:szCs w:val="20"/>
              </w:rPr>
            </w:pPr>
          </w:p>
          <w:p w:rsidR="00D97207" w:rsidRPr="005D105D" w:rsidRDefault="00195EC5" w:rsidP="00EE20C3">
            <w:pPr>
              <w:keepNext/>
              <w:spacing w:line="276" w:lineRule="auto"/>
              <w:ind w:left="-108"/>
              <w:jc w:val="both"/>
              <w:rPr>
                <w:rFonts w:ascii="Arial Narrow" w:hAnsi="Arial Narrow" w:cs="Arial"/>
                <w:sz w:val="20"/>
                <w:szCs w:val="20"/>
              </w:rPr>
            </w:pPr>
            <w:r>
              <w:rPr>
                <w:rFonts w:ascii="Arial Narrow" w:hAnsi="Arial Narrow" w:cs="Arial"/>
                <w:sz w:val="20"/>
                <w:szCs w:val="20"/>
              </w:rPr>
              <w:t>21</w:t>
            </w:r>
          </w:p>
        </w:tc>
        <w:tc>
          <w:tcPr>
            <w:tcW w:w="709" w:type="dxa"/>
          </w:tcPr>
          <w:p w:rsidR="00D97207" w:rsidRPr="005D105D" w:rsidRDefault="00D97207" w:rsidP="00EE20C3">
            <w:pPr>
              <w:keepNext/>
              <w:spacing w:line="276" w:lineRule="auto"/>
              <w:ind w:left="-108"/>
              <w:jc w:val="both"/>
              <w:rPr>
                <w:rFonts w:ascii="Arial Narrow" w:hAnsi="Arial Narrow" w:cs="Arial"/>
                <w:sz w:val="20"/>
                <w:szCs w:val="20"/>
              </w:rPr>
            </w:pPr>
          </w:p>
          <w:p w:rsidR="00D97207" w:rsidRPr="005D105D" w:rsidRDefault="00195EC5" w:rsidP="00EE20C3">
            <w:pPr>
              <w:keepNext/>
              <w:spacing w:line="276" w:lineRule="auto"/>
              <w:ind w:left="-108"/>
              <w:jc w:val="both"/>
              <w:rPr>
                <w:rFonts w:ascii="Arial Narrow" w:hAnsi="Arial Narrow" w:cs="Arial"/>
                <w:sz w:val="20"/>
                <w:szCs w:val="20"/>
              </w:rPr>
            </w:pPr>
            <w:r>
              <w:rPr>
                <w:rFonts w:ascii="Arial Narrow" w:hAnsi="Arial Narrow" w:cs="Arial"/>
                <w:sz w:val="20"/>
                <w:szCs w:val="20"/>
              </w:rPr>
              <w:t>0</w:t>
            </w:r>
          </w:p>
        </w:tc>
        <w:tc>
          <w:tcPr>
            <w:tcW w:w="1559" w:type="dxa"/>
          </w:tcPr>
          <w:p w:rsidR="00D97207" w:rsidRPr="005D105D" w:rsidRDefault="00195EC5" w:rsidP="00EE20C3">
            <w:pPr>
              <w:keepNext/>
              <w:spacing w:line="276" w:lineRule="auto"/>
              <w:jc w:val="both"/>
              <w:rPr>
                <w:rFonts w:ascii="Arial Narrow" w:hAnsi="Arial Narrow" w:cs="Arial"/>
                <w:sz w:val="20"/>
                <w:szCs w:val="20"/>
              </w:rPr>
            </w:pPr>
            <w:proofErr w:type="spellStart"/>
            <w:r>
              <w:rPr>
                <w:rFonts w:ascii="Arial Narrow" w:hAnsi="Arial Narrow" w:cs="Arial"/>
                <w:sz w:val="20"/>
                <w:szCs w:val="20"/>
              </w:rPr>
              <w:t>Revlimid</w:t>
            </w:r>
            <w:proofErr w:type="spellEnd"/>
          </w:p>
        </w:tc>
        <w:tc>
          <w:tcPr>
            <w:tcW w:w="2977" w:type="dxa"/>
          </w:tcPr>
          <w:p w:rsidR="00D97207" w:rsidRPr="005D105D" w:rsidRDefault="00195EC5" w:rsidP="00EE20C3">
            <w:pPr>
              <w:keepNext/>
              <w:spacing w:line="276" w:lineRule="auto"/>
              <w:jc w:val="both"/>
              <w:rPr>
                <w:rFonts w:ascii="Arial Narrow" w:hAnsi="Arial Narrow" w:cs="Arial"/>
                <w:sz w:val="20"/>
                <w:szCs w:val="20"/>
              </w:rPr>
            </w:pPr>
            <w:r>
              <w:rPr>
                <w:rFonts w:ascii="Arial Narrow" w:hAnsi="Arial Narrow" w:cs="Arial"/>
                <w:sz w:val="20"/>
                <w:szCs w:val="20"/>
              </w:rPr>
              <w:t>Celgene</w:t>
            </w:r>
          </w:p>
        </w:tc>
      </w:tr>
      <w:tr w:rsidR="00D97207" w:rsidRPr="00BC16CA" w:rsidTr="00EE20C3">
        <w:trPr>
          <w:trHeight w:val="360"/>
        </w:trPr>
        <w:tc>
          <w:tcPr>
            <w:tcW w:w="9214" w:type="dxa"/>
            <w:gridSpan w:val="6"/>
            <w:tcBorders>
              <w:bottom w:val="single" w:sz="4" w:space="0" w:color="auto"/>
            </w:tcBorders>
          </w:tcPr>
          <w:p w:rsidR="00D97207" w:rsidRPr="005D105D" w:rsidRDefault="00D97207" w:rsidP="00EE20C3">
            <w:pPr>
              <w:spacing w:line="276" w:lineRule="auto"/>
              <w:jc w:val="both"/>
              <w:rPr>
                <w:rFonts w:ascii="Arial Narrow" w:hAnsi="Arial Narrow" w:cs="Arial"/>
                <w:sz w:val="20"/>
                <w:szCs w:val="20"/>
              </w:rPr>
            </w:pP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 xml:space="preserve">Category / </w:t>
            </w:r>
          </w:p>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t>Section 100 – Efficient funding of Chemotherapy</w:t>
            </w: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Prescriber type:</w:t>
            </w:r>
          </w:p>
          <w:p w:rsidR="00D97207" w:rsidRPr="005D105D" w:rsidRDefault="00D97207" w:rsidP="00EE20C3">
            <w:pPr>
              <w:spacing w:line="276" w:lineRule="auto"/>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1"/>
                  <w:enabled/>
                  <w:calcOnExit w:val="0"/>
                  <w:checkBox>
                    <w:sizeAuto/>
                    <w:default w:val="0"/>
                  </w:checkBox>
                </w:ffData>
              </w:fldChar>
            </w:r>
            <w:r w:rsidRPr="005D105D">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 xml:space="preserve">Dental  </w:t>
            </w:r>
            <w:r w:rsidRPr="005D105D">
              <w:rPr>
                <w:rFonts w:ascii="Arial Narrow" w:hAnsi="Arial Narrow" w:cs="Arial"/>
                <w:sz w:val="20"/>
                <w:szCs w:val="20"/>
              </w:rPr>
              <w:fldChar w:fldCharType="begin">
                <w:ffData>
                  <w:name w:val=""/>
                  <w:enabled/>
                  <w:calcOnExit w:val="0"/>
                  <w:checkBox>
                    <w:sizeAuto/>
                    <w:default w:val="1"/>
                  </w:checkBox>
                </w:ffData>
              </w:fldChar>
            </w:r>
            <w:r w:rsidRPr="005D105D">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 xml:space="preserve">Medical Practitioners  </w:t>
            </w:r>
            <w:r w:rsidRPr="005D105D">
              <w:rPr>
                <w:rFonts w:ascii="Arial Narrow" w:hAnsi="Arial Narrow" w:cs="Arial"/>
                <w:sz w:val="20"/>
                <w:szCs w:val="20"/>
              </w:rPr>
              <w:fldChar w:fldCharType="begin">
                <w:ffData>
                  <w:name w:val="Check3"/>
                  <w:enabled/>
                  <w:calcOnExit w:val="0"/>
                  <w:checkBox>
                    <w:sizeAuto/>
                    <w:default w:val="0"/>
                  </w:checkBox>
                </w:ffData>
              </w:fldChar>
            </w:r>
            <w:r w:rsidRPr="005D105D">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 xml:space="preserve">Nurse practitioners  </w:t>
            </w:r>
            <w:r w:rsidRPr="005D105D">
              <w:rPr>
                <w:rFonts w:ascii="Arial Narrow" w:hAnsi="Arial Narrow" w:cs="Arial"/>
                <w:sz w:val="20"/>
                <w:szCs w:val="20"/>
              </w:rPr>
              <w:fldChar w:fldCharType="begin">
                <w:ffData>
                  <w:name w:val=""/>
                  <w:enabled/>
                  <w:calcOnExit w:val="0"/>
                  <w:checkBox>
                    <w:sizeAuto/>
                    <w:default w:val="0"/>
                  </w:checkBox>
                </w:ffData>
              </w:fldChar>
            </w:r>
            <w:r w:rsidRPr="005D105D">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Optometrists</w:t>
            </w:r>
          </w:p>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5"/>
                  <w:enabled/>
                  <w:calcOnExit w:val="0"/>
                  <w:checkBox>
                    <w:sizeAuto/>
                    <w:default w:val="0"/>
                  </w:checkBox>
                </w:ffData>
              </w:fldChar>
            </w:r>
            <w:r w:rsidRPr="005D105D">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Midwives</w:t>
            </w: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t>Multiple myeloma</w:t>
            </w: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rPr>
                <w:rFonts w:ascii="Arial Narrow" w:hAnsi="Arial Narrow" w:cs="Arial"/>
                <w:sz w:val="20"/>
                <w:szCs w:val="20"/>
              </w:rPr>
            </w:pPr>
            <w:r>
              <w:rPr>
                <w:rFonts w:ascii="Arial Narrow" w:hAnsi="Arial Narrow" w:cs="Arial"/>
                <w:sz w:val="20"/>
                <w:szCs w:val="20"/>
              </w:rPr>
              <w:t>M</w:t>
            </w:r>
            <w:r w:rsidRPr="005D105D">
              <w:rPr>
                <w:rFonts w:ascii="Arial Narrow" w:hAnsi="Arial Narrow" w:cs="Arial"/>
                <w:sz w:val="20"/>
                <w:szCs w:val="20"/>
              </w:rPr>
              <w:t>ultiple myeloma</w:t>
            </w: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t>Initial treatment</w:t>
            </w: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Restriction Level / Method:</w:t>
            </w:r>
          </w:p>
          <w:p w:rsidR="00D97207" w:rsidRPr="005D105D" w:rsidRDefault="00D97207" w:rsidP="00EE20C3">
            <w:pPr>
              <w:spacing w:line="276" w:lineRule="auto"/>
              <w:rPr>
                <w:rFonts w:ascii="Arial Narrow" w:hAnsi="Arial Narrow" w:cs="Arial"/>
                <w:sz w:val="20"/>
                <w:szCs w:val="20"/>
              </w:rPr>
            </w:pPr>
          </w:p>
          <w:p w:rsidR="00D97207" w:rsidRPr="005D105D" w:rsidRDefault="00D97207" w:rsidP="00EE20C3">
            <w:pPr>
              <w:spacing w:line="276" w:lineRule="auto"/>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1"/>
                  <w:enabled/>
                  <w:calcOnExit w:val="0"/>
                  <w:checkBox>
                    <w:sizeAuto/>
                    <w:default w:val="0"/>
                  </w:checkBox>
                </w:ffData>
              </w:fldChar>
            </w:r>
            <w:r w:rsidRPr="005D105D">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Restricted benefit</w:t>
            </w:r>
          </w:p>
          <w:p w:rsidR="00D97207" w:rsidRPr="005D105D" w:rsidRDefault="00195EC5" w:rsidP="00EE20C3">
            <w:pPr>
              <w:spacing w:line="276"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Pr>
                <w:rFonts w:ascii="Arial Narrow" w:hAnsi="Arial Narrow" w:cs="Arial"/>
                <w:sz w:val="20"/>
                <w:szCs w:val="20"/>
              </w:rPr>
              <w:fldChar w:fldCharType="end"/>
            </w:r>
            <w:r w:rsidR="00D97207" w:rsidRPr="005D105D">
              <w:rPr>
                <w:rFonts w:ascii="Arial Narrow" w:hAnsi="Arial Narrow" w:cs="Arial"/>
                <w:sz w:val="20"/>
                <w:szCs w:val="20"/>
              </w:rPr>
              <w:t>Authority Required - In Writing</w:t>
            </w:r>
          </w:p>
          <w:p w:rsidR="00D97207" w:rsidRPr="005D105D" w:rsidRDefault="00195EC5" w:rsidP="00EE20C3">
            <w:pPr>
              <w:spacing w:line="276"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Pr>
                <w:rFonts w:ascii="Arial Narrow" w:hAnsi="Arial Narrow" w:cs="Arial"/>
                <w:sz w:val="20"/>
                <w:szCs w:val="20"/>
              </w:rPr>
              <w:fldChar w:fldCharType="end"/>
            </w:r>
            <w:r w:rsidR="00D97207" w:rsidRPr="005D105D">
              <w:rPr>
                <w:rFonts w:ascii="Arial Narrow" w:hAnsi="Arial Narrow" w:cs="Arial"/>
                <w:sz w:val="20"/>
                <w:szCs w:val="20"/>
              </w:rPr>
              <w:t>Authority Required - Telephone</w:t>
            </w:r>
          </w:p>
          <w:p w:rsidR="00D97207" w:rsidRPr="005D105D" w:rsidRDefault="00195EC5" w:rsidP="00EE20C3">
            <w:pPr>
              <w:spacing w:line="276"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Pr>
                <w:rFonts w:ascii="Arial Narrow" w:hAnsi="Arial Narrow" w:cs="Arial"/>
                <w:sz w:val="20"/>
                <w:szCs w:val="20"/>
              </w:rPr>
              <w:fldChar w:fldCharType="end"/>
            </w:r>
            <w:r w:rsidR="00D97207" w:rsidRPr="005D105D">
              <w:rPr>
                <w:rFonts w:ascii="Arial Narrow" w:hAnsi="Arial Narrow" w:cs="Arial"/>
                <w:sz w:val="20"/>
                <w:szCs w:val="20"/>
              </w:rPr>
              <w:t>Authority Required - Emergency</w:t>
            </w:r>
          </w:p>
          <w:p w:rsidR="00D97207" w:rsidRPr="005D105D" w:rsidRDefault="00195EC5" w:rsidP="00EE20C3">
            <w:pPr>
              <w:spacing w:line="276"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Pr>
                <w:rFonts w:ascii="Arial Narrow" w:hAnsi="Arial Narrow" w:cs="Arial"/>
                <w:sz w:val="20"/>
                <w:szCs w:val="20"/>
              </w:rPr>
              <w:fldChar w:fldCharType="end"/>
            </w:r>
            <w:r w:rsidR="00D97207" w:rsidRPr="005D105D">
              <w:rPr>
                <w:rFonts w:ascii="Arial Narrow" w:hAnsi="Arial Narrow" w:cs="Arial"/>
                <w:sz w:val="20"/>
                <w:szCs w:val="20"/>
              </w:rPr>
              <w:t>Authority Required - Electronic</w:t>
            </w:r>
          </w:p>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5"/>
                  <w:enabled/>
                  <w:calcOnExit w:val="0"/>
                  <w:checkBox>
                    <w:sizeAuto/>
                    <w:default w:val="0"/>
                  </w:checkBox>
                </w:ffData>
              </w:fldChar>
            </w:r>
            <w:r w:rsidRPr="005D105D">
              <w:rPr>
                <w:rFonts w:ascii="Arial Narrow" w:hAnsi="Arial Narrow" w:cs="Arial"/>
                <w:sz w:val="20"/>
                <w:szCs w:val="20"/>
              </w:rPr>
              <w:instrText xml:space="preserve"> FORMCHECKBOX </w:instrText>
            </w:r>
            <w:r w:rsidR="00FC115A">
              <w:rPr>
                <w:rFonts w:ascii="Arial Narrow" w:hAnsi="Arial Narrow" w:cs="Arial"/>
                <w:sz w:val="20"/>
                <w:szCs w:val="20"/>
              </w:rPr>
            </w:r>
            <w:r w:rsidR="00FC115A">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Streamlined</w:t>
            </w: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D97207" w:rsidRPr="00D97207" w:rsidRDefault="00D97207" w:rsidP="00D97207">
            <w:pPr>
              <w:numPr>
                <w:ilvl w:val="0"/>
                <w:numId w:val="18"/>
              </w:numPr>
              <w:spacing w:line="276" w:lineRule="auto"/>
              <w:rPr>
                <w:rFonts w:ascii="Arial Narrow" w:hAnsi="Arial Narrow" w:cs="Arial"/>
                <w:sz w:val="20"/>
                <w:szCs w:val="20"/>
              </w:rPr>
            </w:pPr>
            <w:r w:rsidRPr="00D97207">
              <w:rPr>
                <w:rFonts w:ascii="Arial Narrow" w:hAnsi="Arial Narrow" w:cs="Arial"/>
                <w:sz w:val="20"/>
                <w:szCs w:val="20"/>
              </w:rPr>
              <w:t>The condition must be confirmed by a histological diagnosis,</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bCs/>
                <w:sz w:val="20"/>
                <w:szCs w:val="20"/>
              </w:rPr>
              <w:t>AND</w:t>
            </w:r>
          </w:p>
          <w:p w:rsidR="00D97207" w:rsidRPr="00D97207" w:rsidRDefault="00D97207" w:rsidP="00D97207">
            <w:pPr>
              <w:numPr>
                <w:ilvl w:val="0"/>
                <w:numId w:val="19"/>
              </w:numPr>
              <w:spacing w:line="276" w:lineRule="auto"/>
              <w:rPr>
                <w:rFonts w:ascii="Arial Narrow" w:hAnsi="Arial Narrow" w:cs="Arial"/>
                <w:sz w:val="20"/>
                <w:szCs w:val="20"/>
              </w:rPr>
            </w:pPr>
            <w:r w:rsidRPr="00D97207">
              <w:rPr>
                <w:rFonts w:ascii="Arial Narrow" w:hAnsi="Arial Narrow" w:cs="Arial"/>
                <w:sz w:val="20"/>
                <w:szCs w:val="20"/>
              </w:rPr>
              <w:t>The treatment must be as monotherapy; OR</w:t>
            </w:r>
          </w:p>
          <w:p w:rsidR="00D97207" w:rsidRPr="00D97207" w:rsidRDefault="00D97207" w:rsidP="00D97207">
            <w:pPr>
              <w:numPr>
                <w:ilvl w:val="0"/>
                <w:numId w:val="19"/>
              </w:numPr>
              <w:spacing w:line="276" w:lineRule="auto"/>
              <w:rPr>
                <w:rFonts w:ascii="Arial Narrow" w:hAnsi="Arial Narrow" w:cs="Arial"/>
                <w:sz w:val="20"/>
                <w:szCs w:val="20"/>
              </w:rPr>
            </w:pPr>
            <w:r w:rsidRPr="00D97207">
              <w:rPr>
                <w:rFonts w:ascii="Arial Narrow" w:hAnsi="Arial Narrow" w:cs="Arial"/>
                <w:sz w:val="20"/>
                <w:szCs w:val="20"/>
              </w:rPr>
              <w:t>The treatment must be in combination with dexamethasone,</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bCs/>
                <w:sz w:val="20"/>
                <w:szCs w:val="20"/>
              </w:rPr>
              <w:t>AND</w:t>
            </w:r>
          </w:p>
          <w:p w:rsidR="00D97207" w:rsidRPr="00D97207" w:rsidRDefault="00D97207" w:rsidP="00D97207">
            <w:pPr>
              <w:numPr>
                <w:ilvl w:val="0"/>
                <w:numId w:val="20"/>
              </w:numPr>
              <w:spacing w:line="276" w:lineRule="auto"/>
              <w:rPr>
                <w:rFonts w:ascii="Arial Narrow" w:hAnsi="Arial Narrow" w:cs="Arial"/>
                <w:sz w:val="20"/>
                <w:szCs w:val="20"/>
              </w:rPr>
            </w:pPr>
            <w:r w:rsidRPr="00D97207">
              <w:rPr>
                <w:rFonts w:ascii="Arial Narrow" w:hAnsi="Arial Narrow" w:cs="Arial"/>
                <w:sz w:val="20"/>
                <w:szCs w:val="20"/>
              </w:rPr>
              <w:t>Patient must have progressive disease after at least one prior therapy,</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bCs/>
                <w:sz w:val="20"/>
                <w:szCs w:val="20"/>
              </w:rPr>
              <w:t>AND</w:t>
            </w:r>
          </w:p>
          <w:p w:rsidR="00D97207" w:rsidRPr="00D97207" w:rsidRDefault="00D97207" w:rsidP="00D97207">
            <w:pPr>
              <w:numPr>
                <w:ilvl w:val="0"/>
                <w:numId w:val="21"/>
              </w:numPr>
              <w:spacing w:line="276" w:lineRule="auto"/>
              <w:rPr>
                <w:rFonts w:ascii="Arial Narrow" w:hAnsi="Arial Narrow" w:cs="Arial"/>
                <w:sz w:val="20"/>
                <w:szCs w:val="20"/>
              </w:rPr>
            </w:pPr>
            <w:r w:rsidRPr="00D97207">
              <w:rPr>
                <w:rFonts w:ascii="Arial Narrow" w:hAnsi="Arial Narrow" w:cs="Arial"/>
                <w:sz w:val="20"/>
                <w:szCs w:val="20"/>
              </w:rPr>
              <w:t>Patient must have undergone or be ineligible for a primary stem cell transplant,</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bCs/>
                <w:sz w:val="20"/>
                <w:szCs w:val="20"/>
              </w:rPr>
              <w:t>AND</w:t>
            </w:r>
          </w:p>
          <w:p w:rsidR="00D97207" w:rsidRPr="00D97207" w:rsidRDefault="00D97207" w:rsidP="00D97207">
            <w:pPr>
              <w:numPr>
                <w:ilvl w:val="0"/>
                <w:numId w:val="22"/>
              </w:numPr>
              <w:spacing w:line="276" w:lineRule="auto"/>
              <w:rPr>
                <w:rFonts w:ascii="Arial Narrow" w:hAnsi="Arial Narrow" w:cs="Arial"/>
                <w:strike/>
                <w:sz w:val="20"/>
                <w:szCs w:val="20"/>
              </w:rPr>
            </w:pPr>
            <w:r w:rsidRPr="00D97207">
              <w:rPr>
                <w:rFonts w:ascii="Arial Narrow" w:hAnsi="Arial Narrow" w:cs="Arial"/>
                <w:strike/>
                <w:sz w:val="20"/>
                <w:szCs w:val="20"/>
              </w:rPr>
              <w:t xml:space="preserve">Patient must have experienced treatment failure after a trial of at least four </w:t>
            </w:r>
            <w:r w:rsidRPr="00D97207">
              <w:rPr>
                <w:rFonts w:ascii="Arial Narrow" w:hAnsi="Arial Narrow" w:cs="Arial"/>
                <w:strike/>
                <w:sz w:val="20"/>
                <w:szCs w:val="20"/>
              </w:rPr>
              <w:lastRenderedPageBreak/>
              <w:t xml:space="preserve">(4) weeks of thalidomide at a dose of at least 100 mg daily or have failed to achieve at least a minimal response after eight (8) or more weeks of thalidomide-based therapy for progressive disease,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bCs/>
                <w:sz w:val="20"/>
                <w:szCs w:val="20"/>
              </w:rPr>
              <w:t>AND</w:t>
            </w:r>
          </w:p>
          <w:p w:rsidR="00D97207" w:rsidRPr="00D97207" w:rsidRDefault="00D97207" w:rsidP="00D97207">
            <w:pPr>
              <w:numPr>
                <w:ilvl w:val="0"/>
                <w:numId w:val="23"/>
              </w:numPr>
              <w:spacing w:line="276" w:lineRule="auto"/>
              <w:rPr>
                <w:rFonts w:ascii="Arial Narrow" w:hAnsi="Arial Narrow" w:cs="Arial"/>
                <w:sz w:val="20"/>
                <w:szCs w:val="20"/>
              </w:rPr>
            </w:pPr>
            <w:r w:rsidRPr="00D97207">
              <w:rPr>
                <w:rFonts w:ascii="Arial Narrow" w:hAnsi="Arial Narrow" w:cs="Arial"/>
                <w:sz w:val="20"/>
                <w:szCs w:val="20"/>
              </w:rPr>
              <w:t>Patient must not be receiving concomitant PBS-subsidised bortezomib</w:t>
            </w:r>
          </w:p>
          <w:p w:rsidR="00D97207" w:rsidRPr="005D105D" w:rsidRDefault="00D97207" w:rsidP="00EE20C3">
            <w:pPr>
              <w:spacing w:line="276" w:lineRule="auto"/>
              <w:rPr>
                <w:rFonts w:ascii="Arial Narrow" w:hAnsi="Arial Narrow" w:cs="Arial"/>
                <w:sz w:val="20"/>
                <w:szCs w:val="20"/>
              </w:rPr>
            </w:pP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lastRenderedPageBreak/>
              <w:t>Prescriber Instructions</w:t>
            </w:r>
          </w:p>
          <w:p w:rsidR="00D97207" w:rsidRPr="005D105D" w:rsidRDefault="00D97207" w:rsidP="00EE20C3">
            <w:pPr>
              <w:spacing w:line="276" w:lineRule="auto"/>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Progressive disease is defined as at least 1 of the following: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(a) at least a 25% increase and an absolute increase of at least 5 g per L in serum M protein (monoclonal protein);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(b) at least a 25% increase in 24-hour urinary light chain M protein excretion, and an absolute increase of at least 200 mg per 24 hours;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(c) in oligo-secretory and non-secretory myeloma patients only, at least a 50% increase of the difference between involved free light chain and uninvolved free light chain;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(d) at least a 25% relative increase and at least a 10% absolute increase in plasma cells in a bone marrow aspirate or on biopsy;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(e) an increase in the size or number of lytic bone lesions (not including compression fractures);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(f) at least a 25% increase in the size of an existing or the development of a new soft tissue </w:t>
            </w:r>
            <w:proofErr w:type="spellStart"/>
            <w:r w:rsidRPr="00D97207">
              <w:rPr>
                <w:rFonts w:ascii="Arial Narrow" w:hAnsi="Arial Narrow" w:cs="Arial"/>
                <w:sz w:val="20"/>
                <w:szCs w:val="20"/>
              </w:rPr>
              <w:t>plasmacytoma</w:t>
            </w:r>
            <w:proofErr w:type="spellEnd"/>
            <w:r w:rsidRPr="00D97207">
              <w:rPr>
                <w:rFonts w:ascii="Arial Narrow" w:hAnsi="Arial Narrow" w:cs="Arial"/>
                <w:sz w:val="20"/>
                <w:szCs w:val="20"/>
              </w:rPr>
              <w:t xml:space="preserve"> (determined by clinical examination or diagnostic imaging);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(g) </w:t>
            </w:r>
            <w:proofErr w:type="gramStart"/>
            <w:r w:rsidRPr="00D97207">
              <w:rPr>
                <w:rFonts w:ascii="Arial Narrow" w:hAnsi="Arial Narrow" w:cs="Arial"/>
                <w:sz w:val="20"/>
                <w:szCs w:val="20"/>
              </w:rPr>
              <w:t>development</w:t>
            </w:r>
            <w:proofErr w:type="gramEnd"/>
            <w:r w:rsidRPr="00D97207">
              <w:rPr>
                <w:rFonts w:ascii="Arial Narrow" w:hAnsi="Arial Narrow" w:cs="Arial"/>
                <w:sz w:val="20"/>
                <w:szCs w:val="20"/>
              </w:rPr>
              <w:t xml:space="preserve"> of hypercalcaemia (corrected serum calcium greater than 2.65 mmol per L not attributable to any other cause).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Oligo-secretory and non-secretory patients are defined as having active disease with less than 10 g per L serum M protein.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The authority application must be made in writing and must include: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(1) a completed authority prescription form; and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(2) a completed Multiple Myeloma lenalidomide Authority Application - Supporting Information Form, which includes details of the histological diagnosis of multiple myeloma, prior treatments including name(s) of drug(s) and date of most recent treatment cycle and record of prior stem cell transplant or ineligibility for prior stem cell transplant; details of thalidomide treatment failure; details of the basis of the diagnosis of progressive disease or failure to respond; and nomination of which disease activity parameters will be used to assess response; and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(3) duration of thalidomide and daily dose prescribed; and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(4) </w:t>
            </w:r>
            <w:proofErr w:type="gramStart"/>
            <w:r w:rsidRPr="00D97207">
              <w:rPr>
                <w:rFonts w:ascii="Arial Narrow" w:hAnsi="Arial Narrow" w:cs="Arial"/>
                <w:sz w:val="20"/>
                <w:szCs w:val="20"/>
              </w:rPr>
              <w:t>a</w:t>
            </w:r>
            <w:proofErr w:type="gramEnd"/>
            <w:r w:rsidRPr="00D97207">
              <w:rPr>
                <w:rFonts w:ascii="Arial Narrow" w:hAnsi="Arial Narrow" w:cs="Arial"/>
                <w:sz w:val="20"/>
                <w:szCs w:val="20"/>
              </w:rPr>
              <w:t xml:space="preserve"> signed patient acknowledgment.</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To enable confirmation of eligibility for treatment, current diagnostic reports of at least one of the following must be provided: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(a) the level of serum monoclonal protein;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(b) Bence-Jones proteinuria - the results of 24-hour urinary light chain M protein excretion;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(c) the serum level of free kappa and lambda light chains;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(d) bone marrow aspirate or trephine;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(e) if present, the size and location of lytic bone lesions (not including compression fractures);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(f) if present, the size and location of all soft tissue plasmacytomas by clinical or radiographic examination i.e. MRI or CT-scan; or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(g) </w:t>
            </w:r>
            <w:proofErr w:type="gramStart"/>
            <w:r w:rsidRPr="00D97207">
              <w:rPr>
                <w:rFonts w:ascii="Arial Narrow" w:hAnsi="Arial Narrow" w:cs="Arial"/>
                <w:sz w:val="20"/>
                <w:szCs w:val="20"/>
              </w:rPr>
              <w:t>if</w:t>
            </w:r>
            <w:proofErr w:type="gramEnd"/>
            <w:r w:rsidRPr="00D97207">
              <w:rPr>
                <w:rFonts w:ascii="Arial Narrow" w:hAnsi="Arial Narrow" w:cs="Arial"/>
                <w:sz w:val="20"/>
                <w:szCs w:val="20"/>
              </w:rPr>
              <w:t xml:space="preserve"> present, the level of hypercalcaemia, corrected for albumin concentration.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Patients receiving lenalidomide under the PBS listing must be registered in </w:t>
            </w:r>
            <w:proofErr w:type="gramStart"/>
            <w:r w:rsidRPr="00D97207">
              <w:rPr>
                <w:rFonts w:ascii="Arial Narrow" w:hAnsi="Arial Narrow" w:cs="Arial"/>
                <w:sz w:val="20"/>
                <w:szCs w:val="20"/>
              </w:rPr>
              <w:t>the i</w:t>
            </w:r>
            <w:proofErr w:type="gramEnd"/>
            <w:r w:rsidRPr="00D97207">
              <w:rPr>
                <w:rFonts w:ascii="Arial Narrow" w:hAnsi="Arial Narrow" w:cs="Arial"/>
                <w:sz w:val="20"/>
                <w:szCs w:val="20"/>
              </w:rPr>
              <w:t xml:space="preserve">-access risk management program. </w:t>
            </w:r>
          </w:p>
          <w:p w:rsidR="00D97207" w:rsidRPr="005D105D" w:rsidRDefault="00D97207" w:rsidP="00EE20C3">
            <w:pPr>
              <w:spacing w:line="276" w:lineRule="auto"/>
              <w:rPr>
                <w:rFonts w:ascii="Arial Narrow" w:hAnsi="Arial Narrow" w:cs="Arial"/>
                <w:sz w:val="20"/>
                <w:szCs w:val="20"/>
              </w:rPr>
            </w:pPr>
          </w:p>
        </w:tc>
      </w:tr>
      <w:tr w:rsidR="00D97207" w:rsidRPr="00BC16CA" w:rsidTr="00EE20C3">
        <w:trPr>
          <w:trHeight w:val="360"/>
        </w:trPr>
        <w:tc>
          <w:tcPr>
            <w:tcW w:w="2835" w:type="dxa"/>
            <w:tcBorders>
              <w:top w:val="single" w:sz="4" w:space="0" w:color="auto"/>
              <w:left w:val="single" w:sz="4" w:space="0" w:color="auto"/>
              <w:bottom w:val="single" w:sz="4" w:space="0" w:color="auto"/>
              <w:right w:val="single" w:sz="4" w:space="0" w:color="auto"/>
            </w:tcBorders>
          </w:tcPr>
          <w:p w:rsidR="00D97207" w:rsidRPr="005D105D" w:rsidRDefault="00D97207" w:rsidP="00EE20C3">
            <w:pPr>
              <w:spacing w:line="276" w:lineRule="auto"/>
              <w:jc w:val="both"/>
              <w:rPr>
                <w:rFonts w:ascii="Arial Narrow" w:hAnsi="Arial Narrow" w:cs="Arial"/>
                <w:b/>
                <w:sz w:val="20"/>
                <w:szCs w:val="20"/>
              </w:rPr>
            </w:pPr>
            <w:r w:rsidRPr="005D105D">
              <w:rPr>
                <w:rFonts w:ascii="Arial Narrow" w:hAnsi="Arial Narrow" w:cs="Arial"/>
                <w:b/>
                <w:sz w:val="20"/>
                <w:szCs w:val="20"/>
              </w:rPr>
              <w:t>Administrative Advice</w:t>
            </w:r>
          </w:p>
          <w:p w:rsidR="00D97207" w:rsidRPr="005D105D" w:rsidRDefault="00D97207" w:rsidP="00EE20C3">
            <w:pPr>
              <w:spacing w:line="276" w:lineRule="auto"/>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Prescribing information (including Authority Application forms and other relevant documentation as applicable) is available on the Department of Human Services website at www.humanservices.gov.au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Applications for authority to prescribe should be forwarded to: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Department of Human Services</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Complex Drugs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 xml:space="preserve">Reply Paid 9826 </w:t>
            </w:r>
          </w:p>
          <w:p w:rsidR="00D97207" w:rsidRPr="00D97207" w:rsidRDefault="00D97207" w:rsidP="00D97207">
            <w:pPr>
              <w:spacing w:line="276" w:lineRule="auto"/>
              <w:rPr>
                <w:rFonts w:ascii="Arial Narrow" w:hAnsi="Arial Narrow" w:cs="Arial"/>
                <w:sz w:val="20"/>
                <w:szCs w:val="20"/>
              </w:rPr>
            </w:pPr>
            <w:r w:rsidRPr="00D97207">
              <w:rPr>
                <w:rFonts w:ascii="Arial Narrow" w:hAnsi="Arial Narrow" w:cs="Arial"/>
                <w:sz w:val="20"/>
                <w:szCs w:val="20"/>
              </w:rPr>
              <w:t>HOBART TAS 7001</w:t>
            </w:r>
          </w:p>
          <w:p w:rsidR="00D97207" w:rsidRDefault="00D97207" w:rsidP="00EE20C3">
            <w:pPr>
              <w:spacing w:line="276" w:lineRule="auto"/>
              <w:rPr>
                <w:rFonts w:ascii="Arial Narrow" w:hAnsi="Arial Narrow" w:cs="Arial"/>
                <w:sz w:val="20"/>
                <w:szCs w:val="20"/>
              </w:rPr>
            </w:pPr>
          </w:p>
          <w:p w:rsidR="00D97207" w:rsidRPr="005D105D" w:rsidRDefault="00D97207" w:rsidP="00EE20C3">
            <w:pPr>
              <w:spacing w:line="276" w:lineRule="auto"/>
              <w:rPr>
                <w:rFonts w:ascii="Arial Narrow" w:hAnsi="Arial Narrow" w:cs="Arial"/>
                <w:sz w:val="20"/>
                <w:szCs w:val="20"/>
              </w:rPr>
            </w:pPr>
            <w:r w:rsidRPr="005D105D">
              <w:rPr>
                <w:rFonts w:ascii="Arial Narrow" w:hAnsi="Arial Narrow" w:cs="Arial"/>
                <w:sz w:val="20"/>
                <w:szCs w:val="20"/>
              </w:rPr>
              <w:t>Special Pricing Arrangements apply.</w:t>
            </w:r>
          </w:p>
        </w:tc>
      </w:tr>
    </w:tbl>
    <w:p w:rsidR="00D97207" w:rsidRPr="007609CC" w:rsidRDefault="00D97207" w:rsidP="00DF5DF7">
      <w:pPr>
        <w:pStyle w:val="PBACHeading1"/>
        <w:numPr>
          <w:ilvl w:val="0"/>
          <w:numId w:val="0"/>
        </w:numPr>
        <w:ind w:left="720" w:hanging="720"/>
        <w:outlineLvl w:val="9"/>
      </w:pPr>
    </w:p>
    <w:p w:rsidR="00DF5DF7" w:rsidRPr="00DF5DF7" w:rsidRDefault="00DF5DF7" w:rsidP="00DF5DF7">
      <w:pPr>
        <w:pStyle w:val="PBACHeading1"/>
        <w:keepNext/>
        <w:spacing w:before="240" w:after="120"/>
        <w:rPr>
          <w:rFonts w:asciiTheme="minorHAnsi" w:hAnsiTheme="minorHAnsi"/>
          <w:sz w:val="32"/>
          <w:szCs w:val="32"/>
        </w:rPr>
      </w:pPr>
      <w:r w:rsidRPr="00DF5DF7">
        <w:rPr>
          <w:rFonts w:asciiTheme="minorHAnsi" w:hAnsiTheme="minorHAnsi"/>
          <w:sz w:val="32"/>
          <w:szCs w:val="32"/>
        </w:rPr>
        <w:t>Context for Decision</w:t>
      </w:r>
    </w:p>
    <w:p w:rsidR="00DF5DF7" w:rsidRPr="00DF5DF7" w:rsidRDefault="00DF5DF7" w:rsidP="00DF5DF7">
      <w:pPr>
        <w:spacing w:before="120" w:after="120"/>
        <w:jc w:val="both"/>
        <w:rPr>
          <w:rFonts w:ascii="Calibri" w:eastAsia="Calibri" w:hAnsi="Calibri" w:cs="Arial"/>
          <w:szCs w:val="22"/>
          <w:lang w:eastAsia="en-US"/>
        </w:rPr>
      </w:pPr>
      <w:r w:rsidRPr="00DF5DF7">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F5DF7" w:rsidRPr="009A0AF4" w:rsidRDefault="00DF5DF7" w:rsidP="009A0AF4">
      <w:pPr>
        <w:pStyle w:val="PBACHeading1"/>
        <w:keepNext/>
        <w:spacing w:before="240" w:after="120"/>
        <w:rPr>
          <w:rFonts w:asciiTheme="minorHAnsi" w:hAnsiTheme="minorHAnsi"/>
          <w:sz w:val="32"/>
          <w:szCs w:val="32"/>
        </w:rPr>
      </w:pPr>
      <w:r w:rsidRPr="00DF5DF7">
        <w:rPr>
          <w:rFonts w:asciiTheme="minorHAnsi" w:hAnsiTheme="minorHAnsi"/>
          <w:sz w:val="32"/>
          <w:szCs w:val="32"/>
        </w:rPr>
        <w:t>Sponsor’s Comment</w:t>
      </w:r>
    </w:p>
    <w:p w:rsidR="00DF5DF7" w:rsidRPr="00DF5DF7" w:rsidRDefault="00DF5DF7" w:rsidP="00DF5DF7">
      <w:pPr>
        <w:spacing w:before="120" w:after="160"/>
        <w:jc w:val="both"/>
        <w:rPr>
          <w:rFonts w:ascii="Calibri" w:eastAsia="Calibri" w:hAnsi="Calibri" w:cs="Arial"/>
          <w:snapToGrid w:val="0"/>
          <w:szCs w:val="20"/>
          <w:lang w:eastAsia="en-US"/>
        </w:rPr>
      </w:pPr>
      <w:r w:rsidRPr="00DF5DF7">
        <w:rPr>
          <w:rFonts w:ascii="Calibri" w:eastAsia="Calibri" w:hAnsi="Calibri" w:cs="Arial"/>
          <w:snapToGrid w:val="0"/>
          <w:szCs w:val="20"/>
          <w:lang w:eastAsia="en-US"/>
        </w:rPr>
        <w:t>The sponsor had no comment.</w:t>
      </w:r>
    </w:p>
    <w:p w:rsidR="0083184E" w:rsidRPr="00577C4D" w:rsidRDefault="0083184E" w:rsidP="00DF5DF7">
      <w:pPr>
        <w:pStyle w:val="PBACHeading1"/>
        <w:numPr>
          <w:ilvl w:val="0"/>
          <w:numId w:val="0"/>
        </w:numPr>
        <w:spacing w:before="240" w:after="120"/>
        <w:outlineLvl w:val="9"/>
        <w:rPr>
          <w:rFonts w:asciiTheme="minorHAnsi" w:hAnsiTheme="minorHAnsi"/>
          <w:sz w:val="32"/>
          <w:szCs w:val="32"/>
        </w:rPr>
      </w:pPr>
    </w:p>
    <w:sectPr w:rsidR="0083184E" w:rsidRPr="00577C4D" w:rsidSect="00DF5DF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15A" w:rsidRDefault="00FC115A">
      <w:r>
        <w:separator/>
      </w:r>
    </w:p>
    <w:p w:rsidR="00FC115A" w:rsidRDefault="00FC115A"/>
  </w:endnote>
  <w:endnote w:type="continuationSeparator" w:id="0">
    <w:p w:rsidR="00FC115A" w:rsidRDefault="00FC115A">
      <w:r>
        <w:continuationSeparator/>
      </w:r>
    </w:p>
    <w:p w:rsidR="00FC115A" w:rsidRDefault="00FC1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3404" w:rsidTr="005A3173">
      <w:trPr>
        <w:trHeight w:val="151"/>
      </w:trPr>
      <w:tc>
        <w:tcPr>
          <w:tcW w:w="2250" w:type="pct"/>
          <w:tcBorders>
            <w:top w:val="nil"/>
            <w:left w:val="nil"/>
            <w:bottom w:val="single" w:sz="4" w:space="0" w:color="4F81BD"/>
            <w:right w:val="nil"/>
          </w:tcBorders>
        </w:tcPr>
        <w:p w:rsidR="00273404" w:rsidRPr="005A3173" w:rsidRDefault="002734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3404" w:rsidRPr="005A3173" w:rsidRDefault="002734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3404" w:rsidRPr="005A3173" w:rsidRDefault="00273404" w:rsidP="005A3173">
          <w:pPr>
            <w:pStyle w:val="Header"/>
            <w:spacing w:line="276" w:lineRule="auto"/>
            <w:rPr>
              <w:rFonts w:ascii="Calibri" w:eastAsia="MS Gothic" w:hAnsi="Calibri"/>
              <w:b/>
              <w:bCs/>
              <w:color w:val="4F81BD"/>
            </w:rPr>
          </w:pPr>
        </w:p>
      </w:tc>
    </w:tr>
    <w:tr w:rsidR="00273404" w:rsidTr="005A3173">
      <w:trPr>
        <w:trHeight w:val="150"/>
      </w:trPr>
      <w:tc>
        <w:tcPr>
          <w:tcW w:w="2250" w:type="pct"/>
          <w:tcBorders>
            <w:top w:val="single" w:sz="4" w:space="0" w:color="4F81BD"/>
            <w:left w:val="nil"/>
            <w:bottom w:val="nil"/>
            <w:right w:val="nil"/>
          </w:tcBorders>
        </w:tcPr>
        <w:p w:rsidR="00273404" w:rsidRPr="005A3173" w:rsidRDefault="00273404" w:rsidP="005A3173">
          <w:pPr>
            <w:pStyle w:val="Header"/>
            <w:spacing w:line="276" w:lineRule="auto"/>
            <w:rPr>
              <w:rFonts w:ascii="Calibri" w:eastAsia="MS Gothic" w:hAnsi="Calibri"/>
              <w:b/>
              <w:bCs/>
              <w:color w:val="4F81BD"/>
            </w:rPr>
          </w:pPr>
        </w:p>
      </w:tc>
      <w:tc>
        <w:tcPr>
          <w:tcW w:w="0" w:type="auto"/>
          <w:vMerge/>
          <w:vAlign w:val="center"/>
          <w:hideMark/>
        </w:tcPr>
        <w:p w:rsidR="00273404" w:rsidRPr="005A3173" w:rsidRDefault="00273404"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3404" w:rsidRPr="005A3173" w:rsidRDefault="00273404" w:rsidP="005A3173">
          <w:pPr>
            <w:pStyle w:val="Header"/>
            <w:spacing w:line="276" w:lineRule="auto"/>
            <w:rPr>
              <w:rFonts w:ascii="Calibri" w:eastAsia="MS Gothic" w:hAnsi="Calibri"/>
              <w:b/>
              <w:bCs/>
              <w:color w:val="4F81BD"/>
            </w:rPr>
          </w:pPr>
        </w:p>
      </w:tc>
    </w:tr>
  </w:tbl>
  <w:p w:rsidR="00273404" w:rsidRDefault="0027340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404" w:rsidRDefault="00273404">
    <w:pPr>
      <w:pStyle w:val="Footer"/>
    </w:pPr>
  </w:p>
  <w:p w:rsidR="00273404" w:rsidRDefault="002734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04" w:rsidRDefault="00273404" w:rsidP="00EF44A0">
    <w:pPr>
      <w:pStyle w:val="Footer"/>
      <w:jc w:val="center"/>
      <w:rPr>
        <w:rFonts w:ascii="Arial" w:hAnsi="Arial" w:cs="Arial"/>
        <w:b/>
        <w:sz w:val="20"/>
        <w:szCs w:val="20"/>
      </w:rPr>
    </w:pPr>
  </w:p>
  <w:p w:rsidR="00273404" w:rsidRPr="005E1333" w:rsidRDefault="00273404"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73404" w:rsidTr="005A3173">
      <w:trPr>
        <w:trHeight w:val="151"/>
      </w:trPr>
      <w:tc>
        <w:tcPr>
          <w:tcW w:w="2250" w:type="pct"/>
          <w:tcBorders>
            <w:top w:val="nil"/>
            <w:left w:val="nil"/>
            <w:bottom w:val="single" w:sz="4" w:space="0" w:color="4F81BD"/>
            <w:right w:val="nil"/>
          </w:tcBorders>
        </w:tcPr>
        <w:p w:rsidR="00273404" w:rsidRPr="005A3173" w:rsidRDefault="002734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3404" w:rsidRPr="005A3173" w:rsidRDefault="002734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3404" w:rsidRPr="005A3173" w:rsidRDefault="00273404" w:rsidP="005A3173">
          <w:pPr>
            <w:pStyle w:val="Header"/>
            <w:spacing w:line="276" w:lineRule="auto"/>
            <w:rPr>
              <w:rFonts w:ascii="Calibri" w:eastAsia="MS Gothic" w:hAnsi="Calibri"/>
              <w:b/>
              <w:bCs/>
              <w:color w:val="4F81BD"/>
            </w:rPr>
          </w:pPr>
        </w:p>
      </w:tc>
    </w:tr>
    <w:tr w:rsidR="00273404" w:rsidTr="005A3173">
      <w:trPr>
        <w:trHeight w:val="150"/>
      </w:trPr>
      <w:tc>
        <w:tcPr>
          <w:tcW w:w="2250" w:type="pct"/>
          <w:tcBorders>
            <w:top w:val="single" w:sz="4" w:space="0" w:color="4F81BD"/>
            <w:left w:val="nil"/>
            <w:bottom w:val="nil"/>
            <w:right w:val="nil"/>
          </w:tcBorders>
        </w:tcPr>
        <w:p w:rsidR="00273404" w:rsidRPr="005A3173" w:rsidRDefault="00273404" w:rsidP="005A3173">
          <w:pPr>
            <w:pStyle w:val="Header"/>
            <w:spacing w:line="276" w:lineRule="auto"/>
            <w:rPr>
              <w:rFonts w:ascii="Calibri" w:eastAsia="MS Gothic" w:hAnsi="Calibri"/>
              <w:b/>
              <w:bCs/>
              <w:color w:val="4F81BD"/>
            </w:rPr>
          </w:pPr>
        </w:p>
      </w:tc>
      <w:tc>
        <w:tcPr>
          <w:tcW w:w="0" w:type="auto"/>
          <w:vMerge/>
          <w:vAlign w:val="center"/>
          <w:hideMark/>
        </w:tcPr>
        <w:p w:rsidR="00273404" w:rsidRPr="005A3173" w:rsidRDefault="00273404"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3404" w:rsidRPr="005A3173" w:rsidRDefault="0027340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3404" w:rsidTr="005A3173">
      <w:trPr>
        <w:trHeight w:val="151"/>
      </w:trPr>
      <w:tc>
        <w:tcPr>
          <w:tcW w:w="2250" w:type="pct"/>
          <w:tcBorders>
            <w:top w:val="nil"/>
            <w:left w:val="nil"/>
            <w:bottom w:val="single" w:sz="4" w:space="0" w:color="4F81BD"/>
            <w:right w:val="nil"/>
          </w:tcBorders>
        </w:tcPr>
        <w:p w:rsidR="00273404" w:rsidRPr="005A3173" w:rsidRDefault="002734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3404" w:rsidRPr="005A3173" w:rsidRDefault="002734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3404" w:rsidRPr="005A3173" w:rsidRDefault="00273404" w:rsidP="005A3173">
          <w:pPr>
            <w:pStyle w:val="Header"/>
            <w:spacing w:line="276" w:lineRule="auto"/>
            <w:rPr>
              <w:rFonts w:ascii="Calibri" w:eastAsia="MS Gothic" w:hAnsi="Calibri"/>
              <w:b/>
              <w:bCs/>
              <w:color w:val="4F81BD"/>
            </w:rPr>
          </w:pPr>
        </w:p>
      </w:tc>
    </w:tr>
    <w:tr w:rsidR="00273404" w:rsidTr="005A3173">
      <w:trPr>
        <w:trHeight w:val="150"/>
      </w:trPr>
      <w:tc>
        <w:tcPr>
          <w:tcW w:w="2250" w:type="pct"/>
          <w:tcBorders>
            <w:top w:val="single" w:sz="4" w:space="0" w:color="4F81BD"/>
            <w:left w:val="nil"/>
            <w:bottom w:val="nil"/>
            <w:right w:val="nil"/>
          </w:tcBorders>
        </w:tcPr>
        <w:p w:rsidR="00273404" w:rsidRPr="005A3173" w:rsidRDefault="00273404" w:rsidP="005A3173">
          <w:pPr>
            <w:pStyle w:val="Header"/>
            <w:spacing w:line="276" w:lineRule="auto"/>
            <w:rPr>
              <w:rFonts w:ascii="Calibri" w:eastAsia="MS Gothic" w:hAnsi="Calibri"/>
              <w:b/>
              <w:bCs/>
              <w:color w:val="4F81BD"/>
            </w:rPr>
          </w:pPr>
        </w:p>
      </w:tc>
      <w:tc>
        <w:tcPr>
          <w:tcW w:w="0" w:type="auto"/>
          <w:vMerge/>
          <w:vAlign w:val="center"/>
          <w:hideMark/>
        </w:tcPr>
        <w:p w:rsidR="00273404" w:rsidRPr="005A3173" w:rsidRDefault="00273404"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3404" w:rsidRPr="005A3173" w:rsidRDefault="00273404" w:rsidP="005A3173">
          <w:pPr>
            <w:pStyle w:val="Header"/>
            <w:spacing w:line="276" w:lineRule="auto"/>
            <w:rPr>
              <w:rFonts w:ascii="Calibri" w:eastAsia="MS Gothic" w:hAnsi="Calibri"/>
              <w:b/>
              <w:bCs/>
              <w:color w:val="4F81BD"/>
            </w:rPr>
          </w:pPr>
        </w:p>
      </w:tc>
    </w:tr>
  </w:tbl>
  <w:p w:rsidR="00273404" w:rsidRPr="007C0F57" w:rsidRDefault="0027340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73404" w:rsidRPr="007C0F57" w:rsidRDefault="00273404" w:rsidP="007C0F57">
    <w:pPr>
      <w:pStyle w:val="Footer"/>
      <w:jc w:val="center"/>
      <w:rPr>
        <w:b/>
        <w:i/>
        <w:sz w:val="20"/>
        <w:szCs w:val="20"/>
      </w:rPr>
    </w:pPr>
    <w:r w:rsidRPr="007C0F57">
      <w:rPr>
        <w:b/>
        <w:i/>
        <w:sz w:val="20"/>
        <w:szCs w:val="20"/>
      </w:rPr>
      <w:t>Commercial-in-Confidence</w:t>
    </w:r>
  </w:p>
  <w:p w:rsidR="00273404" w:rsidRDefault="002734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15A" w:rsidRDefault="00FC115A">
      <w:r>
        <w:separator/>
      </w:r>
    </w:p>
    <w:p w:rsidR="00FC115A" w:rsidRDefault="00FC115A"/>
  </w:footnote>
  <w:footnote w:type="continuationSeparator" w:id="0">
    <w:p w:rsidR="00FC115A" w:rsidRDefault="00FC115A">
      <w:r>
        <w:continuationSeparator/>
      </w:r>
    </w:p>
    <w:p w:rsidR="00FC115A" w:rsidRDefault="00FC11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73404" w:rsidRPr="008E0D90" w:rsidTr="00A06225">
      <w:trPr>
        <w:trHeight w:val="151"/>
      </w:trPr>
      <w:tc>
        <w:tcPr>
          <w:tcW w:w="2389" w:type="pct"/>
          <w:tcBorders>
            <w:top w:val="nil"/>
            <w:left w:val="nil"/>
            <w:bottom w:val="single" w:sz="4" w:space="0" w:color="4F81BD"/>
            <w:right w:val="nil"/>
          </w:tcBorders>
        </w:tcPr>
        <w:p w:rsidR="00273404" w:rsidRPr="00A06225" w:rsidRDefault="00273404">
          <w:pPr>
            <w:pStyle w:val="Header"/>
            <w:spacing w:line="276" w:lineRule="auto"/>
            <w:rPr>
              <w:rFonts w:ascii="Cambria" w:eastAsia="MS Gothic" w:hAnsi="Cambria"/>
              <w:b/>
              <w:bCs/>
              <w:color w:val="4F81BD"/>
            </w:rPr>
          </w:pPr>
        </w:p>
      </w:tc>
      <w:tc>
        <w:tcPr>
          <w:tcW w:w="333" w:type="pct"/>
          <w:vMerge w:val="restart"/>
          <w:noWrap/>
          <w:vAlign w:val="center"/>
          <w:hideMark/>
        </w:tcPr>
        <w:p w:rsidR="00273404" w:rsidRPr="00A06225" w:rsidRDefault="0027340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73404" w:rsidRPr="00A06225" w:rsidRDefault="00273404">
          <w:pPr>
            <w:pStyle w:val="Header"/>
            <w:spacing w:line="276" w:lineRule="auto"/>
            <w:rPr>
              <w:rFonts w:ascii="Cambria" w:eastAsia="MS Gothic" w:hAnsi="Cambria"/>
              <w:b/>
              <w:bCs/>
              <w:color w:val="4F81BD"/>
            </w:rPr>
          </w:pPr>
        </w:p>
      </w:tc>
    </w:tr>
    <w:tr w:rsidR="00273404" w:rsidRPr="008E0D90" w:rsidTr="00A06225">
      <w:trPr>
        <w:trHeight w:val="150"/>
      </w:trPr>
      <w:tc>
        <w:tcPr>
          <w:tcW w:w="2389" w:type="pct"/>
          <w:tcBorders>
            <w:top w:val="single" w:sz="4" w:space="0" w:color="4F81BD"/>
            <w:left w:val="nil"/>
            <w:bottom w:val="nil"/>
            <w:right w:val="nil"/>
          </w:tcBorders>
        </w:tcPr>
        <w:p w:rsidR="00273404" w:rsidRPr="00A06225" w:rsidRDefault="00273404">
          <w:pPr>
            <w:pStyle w:val="Header"/>
            <w:spacing w:line="276" w:lineRule="auto"/>
            <w:rPr>
              <w:rFonts w:ascii="Cambria" w:eastAsia="MS Gothic" w:hAnsi="Cambria"/>
              <w:b/>
              <w:bCs/>
              <w:color w:val="4F81BD"/>
            </w:rPr>
          </w:pPr>
        </w:p>
      </w:tc>
      <w:tc>
        <w:tcPr>
          <w:tcW w:w="0" w:type="auto"/>
          <w:vMerge/>
          <w:vAlign w:val="center"/>
          <w:hideMark/>
        </w:tcPr>
        <w:p w:rsidR="00273404" w:rsidRPr="00A06225" w:rsidRDefault="00273404">
          <w:pPr>
            <w:rPr>
              <w:rFonts w:ascii="Cambria" w:hAnsi="Cambria"/>
              <w:color w:val="4F81BD"/>
              <w:sz w:val="22"/>
              <w:szCs w:val="22"/>
            </w:rPr>
          </w:pPr>
        </w:p>
      </w:tc>
      <w:tc>
        <w:tcPr>
          <w:tcW w:w="2278" w:type="pct"/>
          <w:tcBorders>
            <w:top w:val="single" w:sz="4" w:space="0" w:color="4F81BD"/>
            <w:left w:val="nil"/>
            <w:bottom w:val="nil"/>
            <w:right w:val="nil"/>
          </w:tcBorders>
        </w:tcPr>
        <w:p w:rsidR="00273404" w:rsidRPr="00A06225" w:rsidRDefault="00273404">
          <w:pPr>
            <w:pStyle w:val="Header"/>
            <w:spacing w:line="276" w:lineRule="auto"/>
            <w:rPr>
              <w:rFonts w:ascii="Cambria" w:eastAsia="MS Gothic" w:hAnsi="Cambria"/>
              <w:b/>
              <w:bCs/>
              <w:color w:val="4F81BD"/>
            </w:rPr>
          </w:pPr>
        </w:p>
      </w:tc>
    </w:tr>
  </w:tbl>
  <w:p w:rsidR="00273404" w:rsidRDefault="00273404">
    <w:pPr>
      <w:pStyle w:val="Header"/>
    </w:pPr>
  </w:p>
  <w:p w:rsidR="00273404" w:rsidRDefault="002734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404" w:rsidRDefault="00DF5DF7" w:rsidP="003B3A23">
    <w:pPr>
      <w:pStyle w:val="Header"/>
      <w:jc w:val="center"/>
      <w:rPr>
        <w:rFonts w:asciiTheme="minorHAnsi" w:hAnsiTheme="minorHAnsi" w:cs="Arial"/>
        <w:i/>
      </w:rPr>
    </w:pPr>
    <w:r>
      <w:rPr>
        <w:rFonts w:asciiTheme="minorHAnsi" w:hAnsiTheme="minorHAnsi" w:cs="Arial"/>
        <w:i/>
      </w:rPr>
      <w:t>Public Summary Document</w:t>
    </w:r>
    <w:r w:rsidR="00025000">
      <w:rPr>
        <w:rFonts w:asciiTheme="minorHAnsi" w:hAnsiTheme="minorHAnsi" w:cs="Arial"/>
        <w:i/>
      </w:rPr>
      <w:t xml:space="preserve"> – November 2017 PBAC Meeting </w:t>
    </w:r>
  </w:p>
  <w:p w:rsidR="00025000" w:rsidRDefault="00025000" w:rsidP="0002500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A" w:rsidRDefault="00FC1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7460D49"/>
    <w:multiLevelType w:val="multilevel"/>
    <w:tmpl w:val="CD8E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775E6"/>
    <w:multiLevelType w:val="multilevel"/>
    <w:tmpl w:val="759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A65C7"/>
    <w:multiLevelType w:val="multilevel"/>
    <w:tmpl w:val="88E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5CB27E1"/>
    <w:multiLevelType w:val="multilevel"/>
    <w:tmpl w:val="5AB8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E6825"/>
    <w:multiLevelType w:val="multilevel"/>
    <w:tmpl w:val="18BAFFD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90303E"/>
    <w:multiLevelType w:val="multilevel"/>
    <w:tmpl w:val="CA46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671D6F"/>
    <w:multiLevelType w:val="multilevel"/>
    <w:tmpl w:val="DBA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291D6A"/>
    <w:multiLevelType w:val="hybridMultilevel"/>
    <w:tmpl w:val="6F00D512"/>
    <w:lvl w:ilvl="0" w:tplc="5F362310">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
  </w:num>
  <w:num w:numId="3">
    <w:abstractNumId w:val="4"/>
  </w:num>
  <w:num w:numId="4">
    <w:abstractNumId w:val="17"/>
  </w:num>
  <w:num w:numId="5">
    <w:abstractNumId w:val="20"/>
  </w:num>
  <w:num w:numId="6">
    <w:abstractNumId w:val="8"/>
  </w:num>
  <w:num w:numId="7">
    <w:abstractNumId w:val="15"/>
  </w:num>
  <w:num w:numId="8">
    <w:abstractNumId w:val="3"/>
  </w:num>
  <w:num w:numId="9">
    <w:abstractNumId w:val="14"/>
  </w:num>
  <w:num w:numId="10">
    <w:abstractNumId w:val="13"/>
  </w:num>
  <w:num w:numId="11">
    <w:abstractNumId w:val="12"/>
  </w:num>
  <w:num w:numId="12">
    <w:abstractNumId w:val="1"/>
  </w:num>
  <w:num w:numId="13">
    <w:abstractNumId w:val="0"/>
  </w:num>
  <w:num w:numId="14">
    <w:abstractNumId w:val="20"/>
  </w:num>
  <w:num w:numId="15">
    <w:abstractNumId w:val="19"/>
  </w:num>
  <w:num w:numId="16">
    <w:abstractNumId w:val="11"/>
  </w:num>
  <w:num w:numId="17">
    <w:abstractNumId w:val="20"/>
  </w:num>
  <w:num w:numId="18">
    <w:abstractNumId w:val="5"/>
  </w:num>
  <w:num w:numId="19">
    <w:abstractNumId w:val="6"/>
  </w:num>
  <w:num w:numId="20">
    <w:abstractNumId w:val="7"/>
  </w:num>
  <w:num w:numId="21">
    <w:abstractNumId w:val="18"/>
  </w:num>
  <w:num w:numId="22">
    <w:abstractNumId w:val="10"/>
  </w:num>
  <w:num w:numId="23">
    <w:abstractNumId w:val="16"/>
  </w:num>
  <w:num w:numId="24">
    <w:abstractNumId w:val="2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B1F"/>
    <w:rsid w:val="0000335D"/>
    <w:rsid w:val="0002464A"/>
    <w:rsid w:val="00025000"/>
    <w:rsid w:val="0003106B"/>
    <w:rsid w:val="000421A1"/>
    <w:rsid w:val="0004240E"/>
    <w:rsid w:val="00045E26"/>
    <w:rsid w:val="000514B5"/>
    <w:rsid w:val="00054DB8"/>
    <w:rsid w:val="00060E64"/>
    <w:rsid w:val="00066755"/>
    <w:rsid w:val="00077143"/>
    <w:rsid w:val="00082169"/>
    <w:rsid w:val="000969AD"/>
    <w:rsid w:val="000B558D"/>
    <w:rsid w:val="000C6996"/>
    <w:rsid w:val="000D23BA"/>
    <w:rsid w:val="000E681E"/>
    <w:rsid w:val="000F0003"/>
    <w:rsid w:val="000F4E6A"/>
    <w:rsid w:val="00104227"/>
    <w:rsid w:val="001107BF"/>
    <w:rsid w:val="0012417C"/>
    <w:rsid w:val="00142395"/>
    <w:rsid w:val="00142714"/>
    <w:rsid w:val="001452ED"/>
    <w:rsid w:val="00163329"/>
    <w:rsid w:val="00164623"/>
    <w:rsid w:val="00165B64"/>
    <w:rsid w:val="001830CE"/>
    <w:rsid w:val="0018643B"/>
    <w:rsid w:val="00195EC5"/>
    <w:rsid w:val="00196307"/>
    <w:rsid w:val="001A33EA"/>
    <w:rsid w:val="001B017F"/>
    <w:rsid w:val="001B2BBC"/>
    <w:rsid w:val="001B5129"/>
    <w:rsid w:val="001C1195"/>
    <w:rsid w:val="001F1850"/>
    <w:rsid w:val="00203FAC"/>
    <w:rsid w:val="00213CFB"/>
    <w:rsid w:val="00217BE1"/>
    <w:rsid w:val="0026353D"/>
    <w:rsid w:val="00271BA1"/>
    <w:rsid w:val="00273404"/>
    <w:rsid w:val="002762FA"/>
    <w:rsid w:val="00277505"/>
    <w:rsid w:val="0029458F"/>
    <w:rsid w:val="002A104C"/>
    <w:rsid w:val="002A4960"/>
    <w:rsid w:val="002B1AE6"/>
    <w:rsid w:val="002B2DE8"/>
    <w:rsid w:val="002B30F8"/>
    <w:rsid w:val="002B5596"/>
    <w:rsid w:val="002C212F"/>
    <w:rsid w:val="002D4543"/>
    <w:rsid w:val="002D5AF0"/>
    <w:rsid w:val="002E3153"/>
    <w:rsid w:val="002E72CA"/>
    <w:rsid w:val="00300AD6"/>
    <w:rsid w:val="00317C6C"/>
    <w:rsid w:val="00326E79"/>
    <w:rsid w:val="0033518A"/>
    <w:rsid w:val="003367EF"/>
    <w:rsid w:val="00341AE4"/>
    <w:rsid w:val="003872CF"/>
    <w:rsid w:val="0039782C"/>
    <w:rsid w:val="003A5B4A"/>
    <w:rsid w:val="003B23C5"/>
    <w:rsid w:val="003B2A75"/>
    <w:rsid w:val="003B3A23"/>
    <w:rsid w:val="003B6124"/>
    <w:rsid w:val="003C2FB5"/>
    <w:rsid w:val="003D4AC4"/>
    <w:rsid w:val="003D63B7"/>
    <w:rsid w:val="003E468B"/>
    <w:rsid w:val="003F3228"/>
    <w:rsid w:val="003F5C8C"/>
    <w:rsid w:val="004252EC"/>
    <w:rsid w:val="004465BD"/>
    <w:rsid w:val="00466ADA"/>
    <w:rsid w:val="00476245"/>
    <w:rsid w:val="00483035"/>
    <w:rsid w:val="00485940"/>
    <w:rsid w:val="004A2484"/>
    <w:rsid w:val="004A5A85"/>
    <w:rsid w:val="004A71D1"/>
    <w:rsid w:val="004B5640"/>
    <w:rsid w:val="004C1BD7"/>
    <w:rsid w:val="004C31FE"/>
    <w:rsid w:val="004C691D"/>
    <w:rsid w:val="004C6C07"/>
    <w:rsid w:val="004E692D"/>
    <w:rsid w:val="00501554"/>
    <w:rsid w:val="00514CD7"/>
    <w:rsid w:val="005319B2"/>
    <w:rsid w:val="00532402"/>
    <w:rsid w:val="00532C74"/>
    <w:rsid w:val="00534E2E"/>
    <w:rsid w:val="00544552"/>
    <w:rsid w:val="00577C4D"/>
    <w:rsid w:val="00581932"/>
    <w:rsid w:val="005963BB"/>
    <w:rsid w:val="005A3173"/>
    <w:rsid w:val="005A3223"/>
    <w:rsid w:val="005A3DA3"/>
    <w:rsid w:val="005A52C4"/>
    <w:rsid w:val="005D03AB"/>
    <w:rsid w:val="005D5017"/>
    <w:rsid w:val="005E1333"/>
    <w:rsid w:val="00601A91"/>
    <w:rsid w:val="00602BA3"/>
    <w:rsid w:val="00612E34"/>
    <w:rsid w:val="00614159"/>
    <w:rsid w:val="00617C00"/>
    <w:rsid w:val="006263BF"/>
    <w:rsid w:val="0062748A"/>
    <w:rsid w:val="00630A2C"/>
    <w:rsid w:val="0063682E"/>
    <w:rsid w:val="006436CD"/>
    <w:rsid w:val="00651169"/>
    <w:rsid w:val="00653D69"/>
    <w:rsid w:val="006670BE"/>
    <w:rsid w:val="00670A76"/>
    <w:rsid w:val="006711AA"/>
    <w:rsid w:val="00672B57"/>
    <w:rsid w:val="00675622"/>
    <w:rsid w:val="006906DB"/>
    <w:rsid w:val="00691E6C"/>
    <w:rsid w:val="00697CF2"/>
    <w:rsid w:val="006A12A5"/>
    <w:rsid w:val="006B0D94"/>
    <w:rsid w:val="006B485D"/>
    <w:rsid w:val="006C708E"/>
    <w:rsid w:val="006D6EC7"/>
    <w:rsid w:val="006F5125"/>
    <w:rsid w:val="00702B6F"/>
    <w:rsid w:val="00710244"/>
    <w:rsid w:val="0071340B"/>
    <w:rsid w:val="007174BB"/>
    <w:rsid w:val="0072025D"/>
    <w:rsid w:val="0076420C"/>
    <w:rsid w:val="007753C2"/>
    <w:rsid w:val="007838B8"/>
    <w:rsid w:val="007C0F57"/>
    <w:rsid w:val="007C40B6"/>
    <w:rsid w:val="007C729F"/>
    <w:rsid w:val="007E1D28"/>
    <w:rsid w:val="007F2641"/>
    <w:rsid w:val="007F7C36"/>
    <w:rsid w:val="00806796"/>
    <w:rsid w:val="008151D6"/>
    <w:rsid w:val="00826F6D"/>
    <w:rsid w:val="008306F3"/>
    <w:rsid w:val="0083184E"/>
    <w:rsid w:val="00856DDD"/>
    <w:rsid w:val="00863E68"/>
    <w:rsid w:val="00882085"/>
    <w:rsid w:val="00883188"/>
    <w:rsid w:val="00897D58"/>
    <w:rsid w:val="00897F22"/>
    <w:rsid w:val="008A1956"/>
    <w:rsid w:val="008A4937"/>
    <w:rsid w:val="008A50F1"/>
    <w:rsid w:val="008D1B5C"/>
    <w:rsid w:val="008D3C82"/>
    <w:rsid w:val="008D447E"/>
    <w:rsid w:val="008D7A41"/>
    <w:rsid w:val="008E3680"/>
    <w:rsid w:val="008E5870"/>
    <w:rsid w:val="008F1434"/>
    <w:rsid w:val="008F7355"/>
    <w:rsid w:val="009067B7"/>
    <w:rsid w:val="00930937"/>
    <w:rsid w:val="00933E6C"/>
    <w:rsid w:val="00937958"/>
    <w:rsid w:val="00942160"/>
    <w:rsid w:val="0095146F"/>
    <w:rsid w:val="009532D4"/>
    <w:rsid w:val="009602C5"/>
    <w:rsid w:val="00962223"/>
    <w:rsid w:val="00966D0D"/>
    <w:rsid w:val="00974C21"/>
    <w:rsid w:val="009A0AF4"/>
    <w:rsid w:val="009B0F67"/>
    <w:rsid w:val="009C703C"/>
    <w:rsid w:val="009D3CAA"/>
    <w:rsid w:val="009F4E46"/>
    <w:rsid w:val="009F5B65"/>
    <w:rsid w:val="009F5F2E"/>
    <w:rsid w:val="00A06225"/>
    <w:rsid w:val="00A1219A"/>
    <w:rsid w:val="00A128E6"/>
    <w:rsid w:val="00A34E6C"/>
    <w:rsid w:val="00A37C8D"/>
    <w:rsid w:val="00A5273B"/>
    <w:rsid w:val="00A53A9D"/>
    <w:rsid w:val="00A55FEE"/>
    <w:rsid w:val="00A62C1A"/>
    <w:rsid w:val="00A6426D"/>
    <w:rsid w:val="00A665C1"/>
    <w:rsid w:val="00A70622"/>
    <w:rsid w:val="00A70977"/>
    <w:rsid w:val="00A77613"/>
    <w:rsid w:val="00A8390C"/>
    <w:rsid w:val="00A928BD"/>
    <w:rsid w:val="00AA4D1C"/>
    <w:rsid w:val="00AC193C"/>
    <w:rsid w:val="00AC5206"/>
    <w:rsid w:val="00AE11A5"/>
    <w:rsid w:val="00AE13E2"/>
    <w:rsid w:val="00AE22D3"/>
    <w:rsid w:val="00AF62DF"/>
    <w:rsid w:val="00AF68CC"/>
    <w:rsid w:val="00B1059E"/>
    <w:rsid w:val="00B176C8"/>
    <w:rsid w:val="00B205AA"/>
    <w:rsid w:val="00B22E84"/>
    <w:rsid w:val="00B25F75"/>
    <w:rsid w:val="00B26B3F"/>
    <w:rsid w:val="00B43E90"/>
    <w:rsid w:val="00B467DC"/>
    <w:rsid w:val="00B55E0C"/>
    <w:rsid w:val="00B56118"/>
    <w:rsid w:val="00B6773F"/>
    <w:rsid w:val="00B801BA"/>
    <w:rsid w:val="00BB69F5"/>
    <w:rsid w:val="00BB7EC3"/>
    <w:rsid w:val="00BC4B9A"/>
    <w:rsid w:val="00BD784C"/>
    <w:rsid w:val="00BF4CB6"/>
    <w:rsid w:val="00C00DA7"/>
    <w:rsid w:val="00C12768"/>
    <w:rsid w:val="00C27B58"/>
    <w:rsid w:val="00C35996"/>
    <w:rsid w:val="00C4747E"/>
    <w:rsid w:val="00C524A4"/>
    <w:rsid w:val="00C5342C"/>
    <w:rsid w:val="00C603D4"/>
    <w:rsid w:val="00C6256A"/>
    <w:rsid w:val="00C77891"/>
    <w:rsid w:val="00C91449"/>
    <w:rsid w:val="00C92D10"/>
    <w:rsid w:val="00CE10C4"/>
    <w:rsid w:val="00CE27B5"/>
    <w:rsid w:val="00D0321E"/>
    <w:rsid w:val="00D1455A"/>
    <w:rsid w:val="00D3138B"/>
    <w:rsid w:val="00D3280C"/>
    <w:rsid w:val="00D3406A"/>
    <w:rsid w:val="00D4572C"/>
    <w:rsid w:val="00D469B2"/>
    <w:rsid w:val="00D741EB"/>
    <w:rsid w:val="00D83605"/>
    <w:rsid w:val="00D84934"/>
    <w:rsid w:val="00D91271"/>
    <w:rsid w:val="00D97207"/>
    <w:rsid w:val="00DA2CB5"/>
    <w:rsid w:val="00DA4BAC"/>
    <w:rsid w:val="00DE6D27"/>
    <w:rsid w:val="00DF217D"/>
    <w:rsid w:val="00DF26A7"/>
    <w:rsid w:val="00DF5DF7"/>
    <w:rsid w:val="00E15627"/>
    <w:rsid w:val="00E164B3"/>
    <w:rsid w:val="00E16910"/>
    <w:rsid w:val="00E42BDB"/>
    <w:rsid w:val="00E57EEB"/>
    <w:rsid w:val="00E62D94"/>
    <w:rsid w:val="00E65E54"/>
    <w:rsid w:val="00E80155"/>
    <w:rsid w:val="00E848C0"/>
    <w:rsid w:val="00E91B96"/>
    <w:rsid w:val="00E941A1"/>
    <w:rsid w:val="00E95CE3"/>
    <w:rsid w:val="00EA2825"/>
    <w:rsid w:val="00EB5088"/>
    <w:rsid w:val="00EC1413"/>
    <w:rsid w:val="00ED1644"/>
    <w:rsid w:val="00ED2593"/>
    <w:rsid w:val="00ED7D9C"/>
    <w:rsid w:val="00EF44A0"/>
    <w:rsid w:val="00EF4FED"/>
    <w:rsid w:val="00F050BD"/>
    <w:rsid w:val="00F05657"/>
    <w:rsid w:val="00F25578"/>
    <w:rsid w:val="00F258E5"/>
    <w:rsid w:val="00F300BC"/>
    <w:rsid w:val="00F3334E"/>
    <w:rsid w:val="00F36CCB"/>
    <w:rsid w:val="00F374E5"/>
    <w:rsid w:val="00F43AF2"/>
    <w:rsid w:val="00F50EC4"/>
    <w:rsid w:val="00F550CF"/>
    <w:rsid w:val="00F57A6D"/>
    <w:rsid w:val="00F638CC"/>
    <w:rsid w:val="00F64CC1"/>
    <w:rsid w:val="00F72317"/>
    <w:rsid w:val="00F80475"/>
    <w:rsid w:val="00F8247A"/>
    <w:rsid w:val="00F9629A"/>
    <w:rsid w:val="00FA5883"/>
    <w:rsid w:val="00FA6055"/>
    <w:rsid w:val="00FB0FE1"/>
    <w:rsid w:val="00FB322F"/>
    <w:rsid w:val="00FB442F"/>
    <w:rsid w:val="00FC115A"/>
    <w:rsid w:val="00FC1929"/>
    <w:rsid w:val="00FC5B46"/>
    <w:rsid w:val="00FD6D8E"/>
    <w:rsid w:val="00FE0E94"/>
    <w:rsid w:val="00FE57BC"/>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D97207"/>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Heading8Char">
    <w:name w:val="Heading 8 Char"/>
    <w:basedOn w:val="DefaultParagraphFont"/>
    <w:link w:val="Heading8"/>
    <w:uiPriority w:val="7"/>
    <w:rsid w:val="00D97207"/>
    <w:rPr>
      <w:rFonts w:asciiTheme="majorHAnsi" w:eastAsiaTheme="majorEastAsia" w:hAnsiTheme="majorHAnsi" w:cstheme="majorBidi"/>
      <w:color w:val="272727" w:themeColor="text1" w:themeTint="D8"/>
      <w:sz w:val="21"/>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D97207"/>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Heading8Char">
    <w:name w:val="Heading 8 Char"/>
    <w:basedOn w:val="DefaultParagraphFont"/>
    <w:link w:val="Heading8"/>
    <w:uiPriority w:val="7"/>
    <w:rsid w:val="00D97207"/>
    <w:rPr>
      <w:rFonts w:asciiTheme="majorHAnsi" w:eastAsiaTheme="majorEastAsia" w:hAnsiTheme="majorHAnsi" w:cstheme="majorBidi"/>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84">
      <w:bodyDiv w:val="1"/>
      <w:marLeft w:val="0"/>
      <w:marRight w:val="0"/>
      <w:marTop w:val="0"/>
      <w:marBottom w:val="0"/>
      <w:divBdr>
        <w:top w:val="none" w:sz="0" w:space="0" w:color="auto"/>
        <w:left w:val="none" w:sz="0" w:space="0" w:color="auto"/>
        <w:bottom w:val="none" w:sz="0" w:space="0" w:color="auto"/>
        <w:right w:val="none" w:sz="0" w:space="0" w:color="auto"/>
      </w:divBdr>
      <w:divsChild>
        <w:div w:id="324818703">
          <w:marLeft w:val="0"/>
          <w:marRight w:val="0"/>
          <w:marTop w:val="0"/>
          <w:marBottom w:val="0"/>
          <w:divBdr>
            <w:top w:val="none" w:sz="0" w:space="0" w:color="auto"/>
            <w:left w:val="none" w:sz="0" w:space="0" w:color="auto"/>
            <w:bottom w:val="none" w:sz="0" w:space="0" w:color="auto"/>
            <w:right w:val="none" w:sz="0" w:space="0" w:color="auto"/>
          </w:divBdr>
          <w:divsChild>
            <w:div w:id="965164357">
              <w:marLeft w:val="0"/>
              <w:marRight w:val="0"/>
              <w:marTop w:val="0"/>
              <w:marBottom w:val="0"/>
              <w:divBdr>
                <w:top w:val="none" w:sz="0" w:space="0" w:color="auto"/>
                <w:left w:val="none" w:sz="0" w:space="0" w:color="auto"/>
                <w:bottom w:val="none" w:sz="0" w:space="0" w:color="auto"/>
                <w:right w:val="none" w:sz="0" w:space="0" w:color="auto"/>
              </w:divBdr>
              <w:divsChild>
                <w:div w:id="1628854029">
                  <w:marLeft w:val="0"/>
                  <w:marRight w:val="0"/>
                  <w:marTop w:val="0"/>
                  <w:marBottom w:val="0"/>
                  <w:divBdr>
                    <w:top w:val="none" w:sz="0" w:space="0" w:color="auto"/>
                    <w:left w:val="none" w:sz="0" w:space="0" w:color="auto"/>
                    <w:bottom w:val="none" w:sz="0" w:space="0" w:color="auto"/>
                    <w:right w:val="none" w:sz="0" w:space="0" w:color="auto"/>
                  </w:divBdr>
                  <w:divsChild>
                    <w:div w:id="1266227501">
                      <w:marLeft w:val="0"/>
                      <w:marRight w:val="0"/>
                      <w:marTop w:val="0"/>
                      <w:marBottom w:val="0"/>
                      <w:divBdr>
                        <w:top w:val="none" w:sz="0" w:space="0" w:color="auto"/>
                        <w:left w:val="none" w:sz="0" w:space="0" w:color="auto"/>
                        <w:bottom w:val="none" w:sz="0" w:space="0" w:color="auto"/>
                        <w:right w:val="none" w:sz="0" w:space="0" w:color="auto"/>
                      </w:divBdr>
                      <w:divsChild>
                        <w:div w:id="15026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6326">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73302176">
      <w:bodyDiv w:val="1"/>
      <w:marLeft w:val="0"/>
      <w:marRight w:val="0"/>
      <w:marTop w:val="0"/>
      <w:marBottom w:val="0"/>
      <w:divBdr>
        <w:top w:val="none" w:sz="0" w:space="0" w:color="auto"/>
        <w:left w:val="none" w:sz="0" w:space="0" w:color="auto"/>
        <w:bottom w:val="none" w:sz="0" w:space="0" w:color="auto"/>
        <w:right w:val="none" w:sz="0" w:space="0" w:color="auto"/>
      </w:divBdr>
    </w:div>
    <w:div w:id="608859775">
      <w:bodyDiv w:val="1"/>
      <w:marLeft w:val="0"/>
      <w:marRight w:val="0"/>
      <w:marTop w:val="0"/>
      <w:marBottom w:val="0"/>
      <w:divBdr>
        <w:top w:val="none" w:sz="0" w:space="0" w:color="auto"/>
        <w:left w:val="none" w:sz="0" w:space="0" w:color="auto"/>
        <w:bottom w:val="none" w:sz="0" w:space="0" w:color="auto"/>
        <w:right w:val="none" w:sz="0" w:space="0" w:color="auto"/>
      </w:divBdr>
      <w:divsChild>
        <w:div w:id="1988363348">
          <w:marLeft w:val="0"/>
          <w:marRight w:val="0"/>
          <w:marTop w:val="0"/>
          <w:marBottom w:val="0"/>
          <w:divBdr>
            <w:top w:val="none" w:sz="0" w:space="0" w:color="auto"/>
            <w:left w:val="none" w:sz="0" w:space="0" w:color="auto"/>
            <w:bottom w:val="none" w:sz="0" w:space="0" w:color="auto"/>
            <w:right w:val="none" w:sz="0" w:space="0" w:color="auto"/>
          </w:divBdr>
          <w:divsChild>
            <w:div w:id="288822563">
              <w:marLeft w:val="0"/>
              <w:marRight w:val="0"/>
              <w:marTop w:val="0"/>
              <w:marBottom w:val="0"/>
              <w:divBdr>
                <w:top w:val="none" w:sz="0" w:space="0" w:color="auto"/>
                <w:left w:val="none" w:sz="0" w:space="0" w:color="auto"/>
                <w:bottom w:val="none" w:sz="0" w:space="0" w:color="auto"/>
                <w:right w:val="none" w:sz="0" w:space="0" w:color="auto"/>
              </w:divBdr>
              <w:divsChild>
                <w:div w:id="468863107">
                  <w:marLeft w:val="0"/>
                  <w:marRight w:val="0"/>
                  <w:marTop w:val="0"/>
                  <w:marBottom w:val="0"/>
                  <w:divBdr>
                    <w:top w:val="none" w:sz="0" w:space="0" w:color="auto"/>
                    <w:left w:val="none" w:sz="0" w:space="0" w:color="auto"/>
                    <w:bottom w:val="none" w:sz="0" w:space="0" w:color="auto"/>
                    <w:right w:val="none" w:sz="0" w:space="0" w:color="auto"/>
                  </w:divBdr>
                  <w:divsChild>
                    <w:div w:id="15229182">
                      <w:marLeft w:val="0"/>
                      <w:marRight w:val="0"/>
                      <w:marTop w:val="0"/>
                      <w:marBottom w:val="0"/>
                      <w:divBdr>
                        <w:top w:val="none" w:sz="0" w:space="0" w:color="auto"/>
                        <w:left w:val="none" w:sz="0" w:space="0" w:color="auto"/>
                        <w:bottom w:val="none" w:sz="0" w:space="0" w:color="auto"/>
                        <w:right w:val="none" w:sz="0" w:space="0" w:color="auto"/>
                      </w:divBdr>
                      <w:divsChild>
                        <w:div w:id="2042706828">
                          <w:marLeft w:val="0"/>
                          <w:marRight w:val="0"/>
                          <w:marTop w:val="0"/>
                          <w:marBottom w:val="0"/>
                          <w:divBdr>
                            <w:top w:val="none" w:sz="0" w:space="0" w:color="auto"/>
                            <w:left w:val="none" w:sz="0" w:space="0" w:color="auto"/>
                            <w:bottom w:val="none" w:sz="0" w:space="0" w:color="auto"/>
                            <w:right w:val="none" w:sz="0" w:space="0" w:color="auto"/>
                          </w:divBdr>
                          <w:divsChild>
                            <w:div w:id="1785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660925">
      <w:bodyDiv w:val="1"/>
      <w:marLeft w:val="0"/>
      <w:marRight w:val="0"/>
      <w:marTop w:val="0"/>
      <w:marBottom w:val="0"/>
      <w:divBdr>
        <w:top w:val="none" w:sz="0" w:space="0" w:color="auto"/>
        <w:left w:val="none" w:sz="0" w:space="0" w:color="auto"/>
        <w:bottom w:val="none" w:sz="0" w:space="0" w:color="auto"/>
        <w:right w:val="none" w:sz="0" w:space="0" w:color="auto"/>
      </w:divBdr>
    </w:div>
    <w:div w:id="734204583">
      <w:bodyDiv w:val="1"/>
      <w:marLeft w:val="0"/>
      <w:marRight w:val="0"/>
      <w:marTop w:val="0"/>
      <w:marBottom w:val="0"/>
      <w:divBdr>
        <w:top w:val="none" w:sz="0" w:space="0" w:color="auto"/>
        <w:left w:val="none" w:sz="0" w:space="0" w:color="auto"/>
        <w:bottom w:val="none" w:sz="0" w:space="0" w:color="auto"/>
        <w:right w:val="none" w:sz="0" w:space="0" w:color="auto"/>
      </w:divBdr>
      <w:divsChild>
        <w:div w:id="388503628">
          <w:marLeft w:val="0"/>
          <w:marRight w:val="0"/>
          <w:marTop w:val="0"/>
          <w:marBottom w:val="0"/>
          <w:divBdr>
            <w:top w:val="none" w:sz="0" w:space="0" w:color="auto"/>
            <w:left w:val="none" w:sz="0" w:space="0" w:color="auto"/>
            <w:bottom w:val="none" w:sz="0" w:space="0" w:color="auto"/>
            <w:right w:val="none" w:sz="0" w:space="0" w:color="auto"/>
          </w:divBdr>
          <w:divsChild>
            <w:div w:id="747651941">
              <w:marLeft w:val="0"/>
              <w:marRight w:val="0"/>
              <w:marTop w:val="0"/>
              <w:marBottom w:val="0"/>
              <w:divBdr>
                <w:top w:val="none" w:sz="0" w:space="0" w:color="auto"/>
                <w:left w:val="none" w:sz="0" w:space="0" w:color="auto"/>
                <w:bottom w:val="none" w:sz="0" w:space="0" w:color="auto"/>
                <w:right w:val="none" w:sz="0" w:space="0" w:color="auto"/>
              </w:divBdr>
              <w:divsChild>
                <w:div w:id="1128088247">
                  <w:marLeft w:val="0"/>
                  <w:marRight w:val="0"/>
                  <w:marTop w:val="0"/>
                  <w:marBottom w:val="0"/>
                  <w:divBdr>
                    <w:top w:val="none" w:sz="0" w:space="0" w:color="auto"/>
                    <w:left w:val="none" w:sz="0" w:space="0" w:color="auto"/>
                    <w:bottom w:val="none" w:sz="0" w:space="0" w:color="auto"/>
                    <w:right w:val="none" w:sz="0" w:space="0" w:color="auto"/>
                  </w:divBdr>
                  <w:divsChild>
                    <w:div w:id="844517186">
                      <w:marLeft w:val="0"/>
                      <w:marRight w:val="0"/>
                      <w:marTop w:val="0"/>
                      <w:marBottom w:val="0"/>
                      <w:divBdr>
                        <w:top w:val="none" w:sz="0" w:space="0" w:color="auto"/>
                        <w:left w:val="none" w:sz="0" w:space="0" w:color="auto"/>
                        <w:bottom w:val="none" w:sz="0" w:space="0" w:color="auto"/>
                        <w:right w:val="none" w:sz="0" w:space="0" w:color="auto"/>
                      </w:divBdr>
                      <w:divsChild>
                        <w:div w:id="14412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1219619">
      <w:bodyDiv w:val="1"/>
      <w:marLeft w:val="0"/>
      <w:marRight w:val="0"/>
      <w:marTop w:val="0"/>
      <w:marBottom w:val="0"/>
      <w:divBdr>
        <w:top w:val="none" w:sz="0" w:space="0" w:color="auto"/>
        <w:left w:val="none" w:sz="0" w:space="0" w:color="auto"/>
        <w:bottom w:val="none" w:sz="0" w:space="0" w:color="auto"/>
        <w:right w:val="none" w:sz="0" w:space="0" w:color="auto"/>
      </w:divBdr>
      <w:divsChild>
        <w:div w:id="1295597760">
          <w:marLeft w:val="0"/>
          <w:marRight w:val="0"/>
          <w:marTop w:val="0"/>
          <w:marBottom w:val="0"/>
          <w:divBdr>
            <w:top w:val="none" w:sz="0" w:space="0" w:color="auto"/>
            <w:left w:val="none" w:sz="0" w:space="0" w:color="auto"/>
            <w:bottom w:val="none" w:sz="0" w:space="0" w:color="auto"/>
            <w:right w:val="none" w:sz="0" w:space="0" w:color="auto"/>
          </w:divBdr>
          <w:divsChild>
            <w:div w:id="1866864383">
              <w:marLeft w:val="0"/>
              <w:marRight w:val="0"/>
              <w:marTop w:val="0"/>
              <w:marBottom w:val="0"/>
              <w:divBdr>
                <w:top w:val="none" w:sz="0" w:space="0" w:color="auto"/>
                <w:left w:val="none" w:sz="0" w:space="0" w:color="auto"/>
                <w:bottom w:val="none" w:sz="0" w:space="0" w:color="auto"/>
                <w:right w:val="none" w:sz="0" w:space="0" w:color="auto"/>
              </w:divBdr>
              <w:divsChild>
                <w:div w:id="1872566647">
                  <w:marLeft w:val="0"/>
                  <w:marRight w:val="0"/>
                  <w:marTop w:val="0"/>
                  <w:marBottom w:val="0"/>
                  <w:divBdr>
                    <w:top w:val="none" w:sz="0" w:space="0" w:color="auto"/>
                    <w:left w:val="none" w:sz="0" w:space="0" w:color="auto"/>
                    <w:bottom w:val="none" w:sz="0" w:space="0" w:color="auto"/>
                    <w:right w:val="none" w:sz="0" w:space="0" w:color="auto"/>
                  </w:divBdr>
                  <w:divsChild>
                    <w:div w:id="2009821732">
                      <w:marLeft w:val="0"/>
                      <w:marRight w:val="0"/>
                      <w:marTop w:val="0"/>
                      <w:marBottom w:val="0"/>
                      <w:divBdr>
                        <w:top w:val="none" w:sz="0" w:space="0" w:color="auto"/>
                        <w:left w:val="none" w:sz="0" w:space="0" w:color="auto"/>
                        <w:bottom w:val="none" w:sz="0" w:space="0" w:color="auto"/>
                        <w:right w:val="none" w:sz="0" w:space="0" w:color="auto"/>
                      </w:divBdr>
                      <w:divsChild>
                        <w:div w:id="344674022">
                          <w:marLeft w:val="0"/>
                          <w:marRight w:val="0"/>
                          <w:marTop w:val="0"/>
                          <w:marBottom w:val="0"/>
                          <w:divBdr>
                            <w:top w:val="none" w:sz="0" w:space="0" w:color="auto"/>
                            <w:left w:val="none" w:sz="0" w:space="0" w:color="auto"/>
                            <w:bottom w:val="none" w:sz="0" w:space="0" w:color="auto"/>
                            <w:right w:val="none" w:sz="0" w:space="0" w:color="auto"/>
                          </w:divBdr>
                          <w:divsChild>
                            <w:div w:id="890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08749">
      <w:bodyDiv w:val="1"/>
      <w:marLeft w:val="0"/>
      <w:marRight w:val="0"/>
      <w:marTop w:val="0"/>
      <w:marBottom w:val="0"/>
      <w:divBdr>
        <w:top w:val="none" w:sz="0" w:space="0" w:color="auto"/>
        <w:left w:val="none" w:sz="0" w:space="0" w:color="auto"/>
        <w:bottom w:val="none" w:sz="0" w:space="0" w:color="auto"/>
        <w:right w:val="none" w:sz="0" w:space="0" w:color="auto"/>
      </w:divBdr>
    </w:div>
    <w:div w:id="1106852946">
      <w:bodyDiv w:val="1"/>
      <w:marLeft w:val="0"/>
      <w:marRight w:val="0"/>
      <w:marTop w:val="0"/>
      <w:marBottom w:val="0"/>
      <w:divBdr>
        <w:top w:val="none" w:sz="0" w:space="0" w:color="auto"/>
        <w:left w:val="none" w:sz="0" w:space="0" w:color="auto"/>
        <w:bottom w:val="none" w:sz="0" w:space="0" w:color="auto"/>
        <w:right w:val="none" w:sz="0" w:space="0" w:color="auto"/>
      </w:divBdr>
    </w:div>
    <w:div w:id="1162283594">
      <w:bodyDiv w:val="1"/>
      <w:marLeft w:val="0"/>
      <w:marRight w:val="0"/>
      <w:marTop w:val="0"/>
      <w:marBottom w:val="0"/>
      <w:divBdr>
        <w:top w:val="none" w:sz="0" w:space="0" w:color="auto"/>
        <w:left w:val="none" w:sz="0" w:space="0" w:color="auto"/>
        <w:bottom w:val="none" w:sz="0" w:space="0" w:color="auto"/>
        <w:right w:val="none" w:sz="0" w:space="0" w:color="auto"/>
      </w:divBdr>
      <w:divsChild>
        <w:div w:id="326131807">
          <w:marLeft w:val="0"/>
          <w:marRight w:val="0"/>
          <w:marTop w:val="0"/>
          <w:marBottom w:val="0"/>
          <w:divBdr>
            <w:top w:val="none" w:sz="0" w:space="0" w:color="auto"/>
            <w:left w:val="none" w:sz="0" w:space="0" w:color="auto"/>
            <w:bottom w:val="none" w:sz="0" w:space="0" w:color="auto"/>
            <w:right w:val="none" w:sz="0" w:space="0" w:color="auto"/>
          </w:divBdr>
          <w:divsChild>
            <w:div w:id="304284366">
              <w:marLeft w:val="0"/>
              <w:marRight w:val="0"/>
              <w:marTop w:val="0"/>
              <w:marBottom w:val="0"/>
              <w:divBdr>
                <w:top w:val="none" w:sz="0" w:space="0" w:color="auto"/>
                <w:left w:val="none" w:sz="0" w:space="0" w:color="auto"/>
                <w:bottom w:val="none" w:sz="0" w:space="0" w:color="auto"/>
                <w:right w:val="none" w:sz="0" w:space="0" w:color="auto"/>
              </w:divBdr>
              <w:divsChild>
                <w:div w:id="1425420901">
                  <w:marLeft w:val="0"/>
                  <w:marRight w:val="0"/>
                  <w:marTop w:val="0"/>
                  <w:marBottom w:val="0"/>
                  <w:divBdr>
                    <w:top w:val="none" w:sz="0" w:space="0" w:color="auto"/>
                    <w:left w:val="none" w:sz="0" w:space="0" w:color="auto"/>
                    <w:bottom w:val="none" w:sz="0" w:space="0" w:color="auto"/>
                    <w:right w:val="none" w:sz="0" w:space="0" w:color="auto"/>
                  </w:divBdr>
                  <w:divsChild>
                    <w:div w:id="74252784">
                      <w:marLeft w:val="0"/>
                      <w:marRight w:val="0"/>
                      <w:marTop w:val="0"/>
                      <w:marBottom w:val="0"/>
                      <w:divBdr>
                        <w:top w:val="none" w:sz="0" w:space="0" w:color="auto"/>
                        <w:left w:val="none" w:sz="0" w:space="0" w:color="auto"/>
                        <w:bottom w:val="none" w:sz="0" w:space="0" w:color="auto"/>
                        <w:right w:val="none" w:sz="0" w:space="0" w:color="auto"/>
                      </w:divBdr>
                      <w:divsChild>
                        <w:div w:id="1954744948">
                          <w:marLeft w:val="0"/>
                          <w:marRight w:val="0"/>
                          <w:marTop w:val="0"/>
                          <w:marBottom w:val="0"/>
                          <w:divBdr>
                            <w:top w:val="none" w:sz="0" w:space="0" w:color="auto"/>
                            <w:left w:val="none" w:sz="0" w:space="0" w:color="auto"/>
                            <w:bottom w:val="none" w:sz="0" w:space="0" w:color="auto"/>
                            <w:right w:val="none" w:sz="0" w:space="0" w:color="auto"/>
                          </w:divBdr>
                          <w:divsChild>
                            <w:div w:id="1063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3062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6C78-0052-4D37-B2BA-7A990712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2018-02-20T03:33:00Z</dcterms:created>
  <dcterms:modified xsi:type="dcterms:W3CDTF">2018-02-20T03:34:00Z</dcterms:modified>
</cp:coreProperties>
</file>