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46E" w:rsidRPr="005E0DC9" w:rsidRDefault="009D046E" w:rsidP="00882B1D">
      <w:pPr>
        <w:widowControl/>
        <w:spacing w:before="120" w:after="160"/>
        <w:ind w:left="992" w:hanging="992"/>
        <w:jc w:val="left"/>
        <w:outlineLvl w:val="0"/>
        <w:rPr>
          <w:rFonts w:ascii="Calibri" w:eastAsia="Calibri" w:hAnsi="Calibri"/>
          <w:b/>
          <w:snapToGrid/>
          <w:sz w:val="36"/>
          <w:szCs w:val="36"/>
        </w:rPr>
      </w:pPr>
      <w:bookmarkStart w:id="0" w:name="_Toc341702043"/>
      <w:bookmarkStart w:id="1" w:name="_Toc380742621"/>
      <w:bookmarkStart w:id="2" w:name="_Toc380746188"/>
      <w:bookmarkStart w:id="3" w:name="_Toc380746314"/>
      <w:bookmarkStart w:id="4" w:name="_Toc380746595"/>
      <w:r w:rsidRPr="005E0DC9">
        <w:rPr>
          <w:rFonts w:ascii="Calibri" w:eastAsia="Calibri" w:hAnsi="Calibri"/>
          <w:b/>
          <w:snapToGrid/>
          <w:sz w:val="36"/>
          <w:szCs w:val="36"/>
        </w:rPr>
        <w:t>6.05</w:t>
      </w:r>
      <w:r w:rsidRPr="005E0DC9">
        <w:rPr>
          <w:rFonts w:ascii="Calibri" w:eastAsia="Calibri" w:hAnsi="Calibri"/>
          <w:b/>
          <w:snapToGrid/>
          <w:sz w:val="36"/>
          <w:szCs w:val="36"/>
        </w:rPr>
        <w:tab/>
        <w:t xml:space="preserve">IBRUTINIB, </w:t>
      </w:r>
      <w:r w:rsidR="00882B1D">
        <w:rPr>
          <w:rFonts w:ascii="Calibri" w:eastAsia="Calibri" w:hAnsi="Calibri"/>
          <w:snapToGrid/>
          <w:sz w:val="24"/>
          <w:szCs w:val="22"/>
        </w:rPr>
        <w:br/>
      </w:r>
      <w:r w:rsidR="006761C7" w:rsidRPr="006761C7">
        <w:rPr>
          <w:rFonts w:ascii="Calibri" w:eastAsia="Calibri" w:hAnsi="Calibri"/>
          <w:b/>
          <w:snapToGrid/>
          <w:sz w:val="36"/>
          <w:szCs w:val="36"/>
        </w:rPr>
        <w:t>Capsule 140 mg</w:t>
      </w:r>
      <w:proofErr w:type="gramStart"/>
      <w:r w:rsidR="006761C7" w:rsidRPr="006761C7">
        <w:rPr>
          <w:rFonts w:ascii="Calibri" w:eastAsia="Calibri" w:hAnsi="Calibri"/>
          <w:b/>
          <w:snapToGrid/>
          <w:sz w:val="36"/>
          <w:szCs w:val="36"/>
        </w:rPr>
        <w:t>,</w:t>
      </w:r>
      <w:proofErr w:type="gramEnd"/>
      <w:r w:rsidR="00882B1D">
        <w:rPr>
          <w:rFonts w:ascii="Calibri" w:eastAsia="Calibri" w:hAnsi="Calibri"/>
          <w:b/>
          <w:snapToGrid/>
          <w:sz w:val="36"/>
          <w:szCs w:val="36"/>
        </w:rPr>
        <w:br/>
      </w:r>
      <w:r w:rsidRPr="005E0DC9">
        <w:rPr>
          <w:rFonts w:ascii="Calibri" w:eastAsia="Calibri" w:hAnsi="Calibri"/>
          <w:b/>
          <w:snapToGrid/>
          <w:sz w:val="36"/>
          <w:szCs w:val="36"/>
        </w:rPr>
        <w:t>Imbruvica</w:t>
      </w:r>
      <w:r w:rsidRPr="005E0DC9">
        <w:rPr>
          <w:rFonts w:ascii="Calibri" w:eastAsia="Calibri" w:hAnsi="Calibri"/>
          <w:b/>
          <w:snapToGrid/>
          <w:sz w:val="36"/>
          <w:szCs w:val="36"/>
          <w:vertAlign w:val="superscript"/>
        </w:rPr>
        <w:t>®</w:t>
      </w:r>
      <w:r w:rsidRPr="005E0DC9">
        <w:rPr>
          <w:rFonts w:ascii="Calibri" w:eastAsia="Calibri" w:hAnsi="Calibri"/>
          <w:b/>
          <w:snapToGrid/>
          <w:sz w:val="36"/>
          <w:szCs w:val="36"/>
        </w:rPr>
        <w:t>, Janssen-</w:t>
      </w:r>
      <w:proofErr w:type="spellStart"/>
      <w:r w:rsidRPr="005E0DC9">
        <w:rPr>
          <w:rFonts w:ascii="Calibri" w:eastAsia="Calibri" w:hAnsi="Calibri"/>
          <w:b/>
          <w:snapToGrid/>
          <w:sz w:val="36"/>
          <w:szCs w:val="36"/>
        </w:rPr>
        <w:t>Cilag</w:t>
      </w:r>
      <w:proofErr w:type="spellEnd"/>
      <w:r w:rsidRPr="005E0DC9">
        <w:rPr>
          <w:rFonts w:ascii="Calibri" w:eastAsia="Calibri" w:hAnsi="Calibri"/>
          <w:b/>
          <w:snapToGrid/>
          <w:sz w:val="36"/>
          <w:szCs w:val="36"/>
        </w:rPr>
        <w:t xml:space="preserve"> Pty Ltd</w:t>
      </w:r>
    </w:p>
    <w:p w:rsidR="009D046E" w:rsidRPr="005E0DC9" w:rsidRDefault="009D046E" w:rsidP="00FA1A53">
      <w:pPr>
        <w:pStyle w:val="Heading1"/>
        <w:keepNext/>
        <w:keepLines/>
        <w:widowControl/>
        <w:numPr>
          <w:ilvl w:val="0"/>
          <w:numId w:val="11"/>
        </w:numPr>
        <w:spacing w:before="240" w:after="120"/>
        <w:jc w:val="left"/>
        <w:rPr>
          <w:rFonts w:asciiTheme="minorHAnsi" w:eastAsiaTheme="majorEastAsia" w:hAnsiTheme="minorHAnsi" w:cstheme="majorBidi"/>
          <w:caps w:val="0"/>
          <w:snapToGrid/>
          <w:sz w:val="32"/>
          <w:szCs w:val="28"/>
        </w:rPr>
      </w:pPr>
      <w:bookmarkStart w:id="5" w:name="_Toc413139271"/>
      <w:bookmarkStart w:id="6" w:name="_Toc363984481"/>
      <w:bookmarkStart w:id="7" w:name="_Toc493239409"/>
      <w:r w:rsidRPr="005E0DC9">
        <w:rPr>
          <w:rFonts w:asciiTheme="minorHAnsi" w:eastAsiaTheme="majorEastAsia" w:hAnsiTheme="minorHAnsi" w:cstheme="majorBidi"/>
          <w:caps w:val="0"/>
          <w:snapToGrid/>
          <w:sz w:val="32"/>
          <w:szCs w:val="28"/>
        </w:rPr>
        <w:t>Purpose of application</w:t>
      </w:r>
      <w:bookmarkEnd w:id="5"/>
      <w:bookmarkEnd w:id="6"/>
      <w:bookmarkEnd w:id="7"/>
    </w:p>
    <w:p w:rsidR="009D046E" w:rsidRPr="005E0DC9" w:rsidRDefault="009D046E" w:rsidP="00FA1A53">
      <w:pPr>
        <w:widowControl/>
        <w:numPr>
          <w:ilvl w:val="1"/>
          <w:numId w:val="2"/>
        </w:numPr>
        <w:spacing w:before="120" w:after="120"/>
        <w:rPr>
          <w:rFonts w:ascii="Calibri" w:eastAsia="Calibri" w:hAnsi="Calibri"/>
          <w:snapToGrid/>
          <w:sz w:val="24"/>
          <w:szCs w:val="22"/>
        </w:rPr>
      </w:pPr>
      <w:r w:rsidRPr="005E0DC9">
        <w:rPr>
          <w:rFonts w:ascii="Calibri" w:eastAsia="Calibri" w:hAnsi="Calibri"/>
          <w:snapToGrid/>
          <w:sz w:val="24"/>
          <w:szCs w:val="22"/>
        </w:rPr>
        <w:t xml:space="preserve">Section 85 </w:t>
      </w:r>
      <w:r w:rsidR="00C00C11" w:rsidRPr="005E0DC9">
        <w:rPr>
          <w:rFonts w:ascii="Calibri" w:eastAsia="Calibri" w:hAnsi="Calibri"/>
          <w:snapToGrid/>
          <w:sz w:val="24"/>
          <w:szCs w:val="22"/>
        </w:rPr>
        <w:t xml:space="preserve">Authority Required (telephone) </w:t>
      </w:r>
      <w:r w:rsidRPr="005E0DC9">
        <w:rPr>
          <w:rFonts w:ascii="Calibri" w:eastAsia="Calibri" w:hAnsi="Calibri"/>
          <w:snapToGrid/>
          <w:sz w:val="24"/>
          <w:szCs w:val="22"/>
        </w:rPr>
        <w:t xml:space="preserve">listing for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for first-line treatment of </w:t>
      </w:r>
      <w:r w:rsidR="006852C5" w:rsidRPr="005E0DC9">
        <w:rPr>
          <w:rFonts w:asciiTheme="minorHAnsi" w:hAnsiTheme="minorHAnsi"/>
          <w:bCs/>
          <w:sz w:val="24"/>
          <w:szCs w:val="24"/>
        </w:rPr>
        <w:t xml:space="preserve">chronic lymphocytic leukaemia (CLL) or small lymphocytic leukaemia (SLL) </w:t>
      </w:r>
      <w:r w:rsidRPr="005E0DC9">
        <w:rPr>
          <w:rFonts w:ascii="Calibri" w:eastAsia="Calibri" w:hAnsi="Calibri"/>
          <w:snapToGrid/>
          <w:sz w:val="24"/>
          <w:szCs w:val="22"/>
        </w:rPr>
        <w:t xml:space="preserve">in unfit patients, </w:t>
      </w:r>
      <w:r w:rsidR="0031593C" w:rsidRPr="005E0DC9">
        <w:rPr>
          <w:rFonts w:ascii="Calibri" w:eastAsia="Calibri" w:hAnsi="Calibri"/>
          <w:snapToGrid/>
          <w:sz w:val="24"/>
          <w:szCs w:val="22"/>
        </w:rPr>
        <w:t>i.e.</w:t>
      </w:r>
      <w:r w:rsidRPr="005E0DC9">
        <w:rPr>
          <w:rFonts w:ascii="Calibri" w:eastAsia="Calibri" w:hAnsi="Calibri"/>
          <w:snapToGrid/>
          <w:sz w:val="24"/>
          <w:szCs w:val="22"/>
        </w:rPr>
        <w:t xml:space="preserve"> those unsuitable for treatment with a </w:t>
      </w:r>
      <w:proofErr w:type="spellStart"/>
      <w:r w:rsidRPr="005E0DC9">
        <w:rPr>
          <w:rFonts w:ascii="Calibri" w:eastAsia="Calibri" w:hAnsi="Calibri"/>
          <w:snapToGrid/>
          <w:sz w:val="24"/>
          <w:szCs w:val="22"/>
        </w:rPr>
        <w:t>fludarabine</w:t>
      </w:r>
      <w:proofErr w:type="spellEnd"/>
      <w:r w:rsidRPr="005E0DC9">
        <w:rPr>
          <w:rFonts w:ascii="Calibri" w:eastAsia="Calibri" w:hAnsi="Calibri"/>
          <w:snapToGrid/>
          <w:sz w:val="24"/>
          <w:szCs w:val="22"/>
        </w:rPr>
        <w:t xml:space="preserve">-based </w:t>
      </w:r>
      <w:proofErr w:type="spellStart"/>
      <w:r w:rsidRPr="005E0DC9">
        <w:rPr>
          <w:rFonts w:ascii="Calibri" w:eastAsia="Calibri" w:hAnsi="Calibri"/>
          <w:snapToGrid/>
          <w:sz w:val="24"/>
          <w:szCs w:val="22"/>
        </w:rPr>
        <w:t>chemoimmunotherapy</w:t>
      </w:r>
      <w:proofErr w:type="spellEnd"/>
      <w:r w:rsidRPr="005E0DC9">
        <w:rPr>
          <w:rFonts w:ascii="Calibri" w:eastAsia="Calibri" w:hAnsi="Calibri"/>
          <w:snapToGrid/>
          <w:sz w:val="24"/>
          <w:szCs w:val="22"/>
        </w:rPr>
        <w:t xml:space="preserve">.  The requested listing has not been previously considered by PBAC. </w:t>
      </w:r>
    </w:p>
    <w:p w:rsidR="009D046E" w:rsidRPr="005E0DC9" w:rsidRDefault="009D046E" w:rsidP="00FA1A53">
      <w:pPr>
        <w:widowControl/>
        <w:numPr>
          <w:ilvl w:val="1"/>
          <w:numId w:val="2"/>
        </w:numPr>
        <w:spacing w:before="120" w:after="120"/>
        <w:rPr>
          <w:rFonts w:ascii="Calibri" w:eastAsia="Calibri" w:hAnsi="Calibri"/>
          <w:snapToGrid/>
          <w:sz w:val="24"/>
          <w:szCs w:val="22"/>
        </w:rPr>
      </w:pPr>
      <w:r w:rsidRPr="005E0DC9">
        <w:rPr>
          <w:rFonts w:ascii="Calibri" w:eastAsia="Calibri" w:hAnsi="Calibri"/>
          <w:snapToGrid/>
          <w:sz w:val="24"/>
          <w:szCs w:val="22"/>
        </w:rPr>
        <w:t xml:space="preserve">The submission sought listing on the basis of a cost utility analysis compared to rituximab, </w:t>
      </w:r>
      <w:proofErr w:type="spellStart"/>
      <w:r w:rsidRPr="005E0DC9">
        <w:rPr>
          <w:rFonts w:ascii="Calibri" w:eastAsia="Calibri" w:hAnsi="Calibri"/>
          <w:snapToGrid/>
          <w:sz w:val="24"/>
          <w:szCs w:val="22"/>
        </w:rPr>
        <w:t>obinutuzumab</w:t>
      </w:r>
      <w:proofErr w:type="spellEnd"/>
      <w:r w:rsidRPr="005E0DC9">
        <w:rPr>
          <w:rFonts w:ascii="Calibri" w:eastAsia="Calibri" w:hAnsi="Calibri"/>
          <w:snapToGrid/>
          <w:sz w:val="24"/>
          <w:szCs w:val="22"/>
        </w:rPr>
        <w:t xml:space="preserve"> and </w:t>
      </w:r>
      <w:proofErr w:type="spellStart"/>
      <w:r w:rsidRPr="005E0DC9">
        <w:rPr>
          <w:rFonts w:ascii="Calibri" w:eastAsia="Calibri" w:hAnsi="Calibri"/>
          <w:snapToGrid/>
          <w:sz w:val="24"/>
          <w:szCs w:val="22"/>
        </w:rPr>
        <w:t>ofatumumab</w:t>
      </w:r>
      <w:proofErr w:type="spellEnd"/>
      <w:r w:rsidRPr="005E0DC9">
        <w:rPr>
          <w:rFonts w:ascii="Calibri" w:eastAsia="Calibri" w:hAnsi="Calibri"/>
          <w:snapToGrid/>
          <w:sz w:val="24"/>
          <w:szCs w:val="22"/>
        </w:rPr>
        <w:t xml:space="preserve">, with each comparator in combination with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w:t>
      </w:r>
      <w:r w:rsidRPr="005E0DC9">
        <w:rPr>
          <w:rFonts w:ascii="Calibri" w:eastAsia="Calibri" w:hAnsi="Calibri"/>
          <w:snapToGrid/>
          <w:color w:val="4472C4"/>
          <w:sz w:val="24"/>
          <w:szCs w:val="22"/>
        </w:rPr>
        <w:t xml:space="preserve"> </w:t>
      </w:r>
    </w:p>
    <w:p w:rsidR="009D046E" w:rsidRPr="005E0DC9" w:rsidRDefault="009D046E" w:rsidP="009D046E">
      <w:pPr>
        <w:keepNext/>
        <w:widowControl/>
        <w:rPr>
          <w:rFonts w:ascii="Calibri" w:eastAsia="Calibri" w:hAnsi="Calibri"/>
          <w:b/>
          <w:snapToGrid/>
          <w:color w:val="0070C0"/>
          <w:sz w:val="24"/>
          <w:szCs w:val="22"/>
        </w:rPr>
      </w:pPr>
      <w:r w:rsidRPr="005E0DC9">
        <w:rPr>
          <w:rFonts w:ascii="Arial Narrow" w:eastAsia="Calibri" w:hAnsi="Arial Narrow"/>
          <w:b/>
          <w:snapToGrid/>
          <w:sz w:val="20"/>
        </w:rPr>
        <w:t>Table 1: Key components of the clinical issue addressed by the submission</w:t>
      </w:r>
      <w:r w:rsidRPr="005E0DC9">
        <w:rPr>
          <w:rFonts w:ascii="Calibri" w:eastAsia="Calibri" w:hAnsi="Calibri"/>
          <w:b/>
          <w:snapToGrid/>
          <w:sz w:val="24"/>
          <w:szCs w:val="22"/>
        </w:rPr>
        <w:t xml:space="preserve"> </w:t>
      </w:r>
    </w:p>
    <w:tbl>
      <w:tblPr>
        <w:tblStyle w:val="TableGridbeth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
      </w:tblPr>
      <w:tblGrid>
        <w:gridCol w:w="1708"/>
        <w:gridCol w:w="7535"/>
      </w:tblGrid>
      <w:tr w:rsidR="009D046E" w:rsidRPr="005E0DC9" w:rsidTr="00812944">
        <w:trPr>
          <w:cnfStyle w:val="100000000000" w:firstRow="1" w:lastRow="0" w:firstColumn="0" w:lastColumn="0" w:oddVBand="0" w:evenVBand="0" w:oddHBand="0" w:evenHBand="0" w:firstRowFirstColumn="0" w:firstRowLastColumn="0" w:lastRowFirstColumn="0" w:lastRowLastColumn="0"/>
          <w:cantSplit/>
          <w:tblHeader/>
        </w:trPr>
        <w:tc>
          <w:tcPr>
            <w:tcW w:w="924" w:type="pct"/>
            <w:shd w:val="clear" w:color="auto" w:fill="auto"/>
            <w:vAlign w:val="center"/>
          </w:tcPr>
          <w:p w:rsidR="009D046E" w:rsidRPr="005E0DC9" w:rsidRDefault="009D046E" w:rsidP="009D046E">
            <w:pPr>
              <w:keepNext/>
              <w:widowControl/>
              <w:jc w:val="left"/>
              <w:rPr>
                <w:rFonts w:ascii="Arial Narrow" w:hAnsi="Arial Narrow"/>
                <w:sz w:val="20"/>
                <w:lang w:val="en-AU"/>
              </w:rPr>
            </w:pPr>
            <w:r w:rsidRPr="005E0DC9">
              <w:rPr>
                <w:rFonts w:ascii="Arial Narrow" w:hAnsi="Arial Narrow"/>
                <w:sz w:val="20"/>
                <w:lang w:val="en-AU"/>
              </w:rPr>
              <w:t>Component</w:t>
            </w:r>
          </w:p>
        </w:tc>
        <w:tc>
          <w:tcPr>
            <w:tcW w:w="4076" w:type="pct"/>
            <w:shd w:val="clear" w:color="auto" w:fill="auto"/>
          </w:tcPr>
          <w:p w:rsidR="009D046E" w:rsidRPr="005E0DC9" w:rsidRDefault="009D046E" w:rsidP="009D046E">
            <w:pPr>
              <w:keepNext/>
              <w:widowControl/>
              <w:jc w:val="left"/>
              <w:rPr>
                <w:rFonts w:ascii="Arial Narrow" w:hAnsi="Arial Narrow"/>
                <w:sz w:val="20"/>
                <w:lang w:val="en-AU"/>
              </w:rPr>
            </w:pPr>
            <w:r w:rsidRPr="005E0DC9">
              <w:rPr>
                <w:rFonts w:ascii="Arial Narrow" w:hAnsi="Arial Narrow"/>
                <w:sz w:val="20"/>
                <w:lang w:val="en-AU"/>
              </w:rPr>
              <w:t>Description</w:t>
            </w:r>
          </w:p>
        </w:tc>
      </w:tr>
      <w:tr w:rsidR="009D046E" w:rsidRPr="005E0DC9" w:rsidTr="00812944">
        <w:trPr>
          <w:cantSplit/>
        </w:trPr>
        <w:tc>
          <w:tcPr>
            <w:tcW w:w="924" w:type="pct"/>
            <w:shd w:val="clear" w:color="auto" w:fill="auto"/>
            <w:vAlign w:val="center"/>
          </w:tcPr>
          <w:p w:rsidR="009D046E" w:rsidRPr="005E0DC9" w:rsidRDefault="009D046E" w:rsidP="009D046E">
            <w:pPr>
              <w:keepNext/>
              <w:widowControl/>
              <w:jc w:val="left"/>
              <w:rPr>
                <w:rFonts w:ascii="Arial Narrow" w:hAnsi="Arial Narrow"/>
                <w:sz w:val="20"/>
                <w:lang w:val="en-AU"/>
              </w:rPr>
            </w:pPr>
            <w:r w:rsidRPr="005E0DC9">
              <w:rPr>
                <w:rFonts w:ascii="Arial Narrow" w:hAnsi="Arial Narrow"/>
                <w:sz w:val="20"/>
                <w:lang w:val="en-AU"/>
              </w:rPr>
              <w:t>Population</w:t>
            </w:r>
          </w:p>
        </w:tc>
        <w:tc>
          <w:tcPr>
            <w:tcW w:w="4076" w:type="pct"/>
            <w:shd w:val="clear" w:color="auto" w:fill="auto"/>
          </w:tcPr>
          <w:p w:rsidR="009D046E" w:rsidRPr="005E0DC9" w:rsidRDefault="009D046E" w:rsidP="009D046E">
            <w:pPr>
              <w:keepNext/>
              <w:widowControl/>
              <w:jc w:val="left"/>
              <w:rPr>
                <w:rFonts w:ascii="Arial Narrow" w:hAnsi="Arial Narrow"/>
                <w:sz w:val="20"/>
                <w:lang w:val="en-AU"/>
              </w:rPr>
            </w:pPr>
            <w:r w:rsidRPr="005E0DC9">
              <w:rPr>
                <w:rFonts w:ascii="Arial Narrow" w:hAnsi="Arial Narrow"/>
                <w:sz w:val="20"/>
                <w:lang w:val="en-AU"/>
              </w:rPr>
              <w:t>Previously untreated unfit patients with CLL/SLL.</w:t>
            </w:r>
          </w:p>
        </w:tc>
      </w:tr>
      <w:tr w:rsidR="009D046E" w:rsidRPr="005E0DC9" w:rsidTr="00812944">
        <w:trPr>
          <w:cantSplit/>
        </w:trPr>
        <w:tc>
          <w:tcPr>
            <w:tcW w:w="924" w:type="pct"/>
            <w:shd w:val="clear" w:color="auto" w:fill="auto"/>
            <w:vAlign w:val="center"/>
          </w:tcPr>
          <w:p w:rsidR="009D046E" w:rsidRPr="005E0DC9" w:rsidRDefault="009D046E" w:rsidP="009D046E">
            <w:pPr>
              <w:keepNext/>
              <w:widowControl/>
              <w:jc w:val="left"/>
              <w:rPr>
                <w:rFonts w:ascii="Arial Narrow" w:hAnsi="Arial Narrow"/>
                <w:sz w:val="20"/>
                <w:lang w:val="en-AU"/>
              </w:rPr>
            </w:pPr>
            <w:r w:rsidRPr="005E0DC9">
              <w:rPr>
                <w:rFonts w:ascii="Arial Narrow" w:hAnsi="Arial Narrow"/>
                <w:sz w:val="20"/>
                <w:lang w:val="en-AU"/>
              </w:rPr>
              <w:t>Intervention</w:t>
            </w:r>
          </w:p>
        </w:tc>
        <w:tc>
          <w:tcPr>
            <w:tcW w:w="4076" w:type="pct"/>
            <w:shd w:val="clear" w:color="auto" w:fill="auto"/>
          </w:tcPr>
          <w:p w:rsidR="009D046E" w:rsidRPr="005E0DC9" w:rsidRDefault="009D046E" w:rsidP="009D046E">
            <w:pPr>
              <w:keepNext/>
              <w:widowControl/>
              <w:jc w:val="left"/>
              <w:rPr>
                <w:rFonts w:ascii="Arial Narrow" w:hAnsi="Arial Narrow"/>
                <w:sz w:val="20"/>
                <w:lang w:val="en-AU"/>
              </w:rPr>
            </w:pPr>
            <w:proofErr w:type="spellStart"/>
            <w:r w:rsidRPr="005E0DC9">
              <w:rPr>
                <w:rFonts w:ascii="Arial Narrow" w:hAnsi="Arial Narrow"/>
                <w:sz w:val="20"/>
                <w:lang w:val="en-AU"/>
              </w:rPr>
              <w:t>Ibrutinib</w:t>
            </w:r>
            <w:proofErr w:type="spellEnd"/>
            <w:r w:rsidRPr="005E0DC9">
              <w:rPr>
                <w:rFonts w:ascii="Arial Narrow" w:hAnsi="Arial Narrow"/>
                <w:sz w:val="20"/>
                <w:lang w:val="en-AU"/>
              </w:rPr>
              <w:t xml:space="preserve"> - 3×140mg capsules taken orally once daily.  Treatment continues until disease progression or until </w:t>
            </w:r>
            <w:proofErr w:type="spellStart"/>
            <w:r w:rsidRPr="005E0DC9">
              <w:rPr>
                <w:rFonts w:ascii="Arial Narrow" w:hAnsi="Arial Narrow"/>
                <w:sz w:val="20"/>
                <w:lang w:val="en-AU"/>
              </w:rPr>
              <w:t>ibrutinib</w:t>
            </w:r>
            <w:proofErr w:type="spellEnd"/>
            <w:r w:rsidRPr="005E0DC9">
              <w:rPr>
                <w:rFonts w:ascii="Arial Narrow" w:hAnsi="Arial Narrow"/>
                <w:sz w:val="20"/>
                <w:lang w:val="en-AU"/>
              </w:rPr>
              <w:t xml:space="preserve"> is no longer tolerated by the patient.</w:t>
            </w:r>
          </w:p>
        </w:tc>
      </w:tr>
      <w:tr w:rsidR="009D046E" w:rsidRPr="005E0DC9" w:rsidTr="00812944">
        <w:trPr>
          <w:cantSplit/>
        </w:trPr>
        <w:tc>
          <w:tcPr>
            <w:tcW w:w="924" w:type="pct"/>
            <w:shd w:val="clear" w:color="auto" w:fill="auto"/>
            <w:vAlign w:val="center"/>
          </w:tcPr>
          <w:p w:rsidR="009D046E" w:rsidRPr="005E0DC9" w:rsidRDefault="009D046E" w:rsidP="009D046E">
            <w:pPr>
              <w:keepNext/>
              <w:widowControl/>
              <w:jc w:val="left"/>
              <w:rPr>
                <w:rFonts w:ascii="Arial Narrow" w:hAnsi="Arial Narrow"/>
                <w:sz w:val="20"/>
                <w:lang w:val="en-AU"/>
              </w:rPr>
            </w:pPr>
            <w:r w:rsidRPr="005E0DC9">
              <w:rPr>
                <w:rFonts w:ascii="Arial Narrow" w:hAnsi="Arial Narrow"/>
                <w:sz w:val="20"/>
                <w:lang w:val="en-AU"/>
              </w:rPr>
              <w:t>Comparator</w:t>
            </w:r>
          </w:p>
        </w:tc>
        <w:tc>
          <w:tcPr>
            <w:tcW w:w="4076" w:type="pct"/>
            <w:shd w:val="clear" w:color="auto" w:fill="auto"/>
          </w:tcPr>
          <w:p w:rsidR="009D046E" w:rsidRPr="005E0DC9" w:rsidRDefault="009D046E" w:rsidP="009D046E">
            <w:pPr>
              <w:keepNext/>
              <w:widowControl/>
              <w:jc w:val="left"/>
              <w:rPr>
                <w:rFonts w:ascii="Arial Narrow" w:hAnsi="Arial Narrow" w:cs="Lucida Grande"/>
                <w:color w:val="000000"/>
                <w:sz w:val="20"/>
                <w:lang w:val="en-AU"/>
              </w:rPr>
            </w:pPr>
            <w:r w:rsidRPr="005E0DC9">
              <w:rPr>
                <w:rFonts w:ascii="Arial Narrow" w:hAnsi="Arial Narrow"/>
                <w:sz w:val="20"/>
                <w:lang w:val="en-AU"/>
              </w:rPr>
              <w:t xml:space="preserve">Rituximab </w:t>
            </w:r>
            <w:r w:rsidRPr="005E0DC9">
              <w:rPr>
                <w:rFonts w:ascii="Arial Narrow" w:hAnsi="Arial Narrow" w:cs="Lucida Grande"/>
                <w:color w:val="000000"/>
                <w:sz w:val="20"/>
                <w:lang w:val="en-AU"/>
              </w:rPr>
              <w:t>administered intravenously</w:t>
            </w:r>
            <w:r w:rsidRPr="005E0DC9">
              <w:rPr>
                <w:rFonts w:ascii="Arial Narrow" w:hAnsi="Arial Narrow"/>
                <w:sz w:val="20"/>
                <w:lang w:val="en-AU"/>
              </w:rPr>
              <w:t xml:space="preserve"> </w:t>
            </w:r>
            <w:r w:rsidRPr="005E0DC9">
              <w:rPr>
                <w:rFonts w:ascii="Arial Narrow" w:hAnsi="Arial Narrow" w:cs="Lucida Grande"/>
                <w:color w:val="000000"/>
                <w:sz w:val="20"/>
                <w:lang w:val="en-AU"/>
              </w:rPr>
              <w:t>375mg/m</w:t>
            </w:r>
            <w:r w:rsidRPr="005E0DC9">
              <w:rPr>
                <w:rFonts w:ascii="Arial Narrow" w:hAnsi="Arial Narrow" w:cs="Lucida Grande"/>
                <w:color w:val="000000"/>
                <w:sz w:val="20"/>
                <w:vertAlign w:val="superscript"/>
                <w:lang w:val="en-AU"/>
              </w:rPr>
              <w:t>2</w:t>
            </w:r>
            <w:r w:rsidRPr="005E0DC9">
              <w:rPr>
                <w:rFonts w:ascii="Arial Narrow" w:hAnsi="Arial Narrow" w:cs="Lucida Grande"/>
                <w:color w:val="000000"/>
                <w:sz w:val="20"/>
                <w:lang w:val="en-AU"/>
              </w:rPr>
              <w:t xml:space="preserve"> dose on Day 1 of first 28 day cycle and 500mg/m</w:t>
            </w:r>
            <w:r w:rsidRPr="005E0DC9">
              <w:rPr>
                <w:rFonts w:ascii="Arial Narrow" w:hAnsi="Arial Narrow" w:cs="Lucida Grande"/>
                <w:color w:val="000000"/>
                <w:sz w:val="20"/>
                <w:vertAlign w:val="superscript"/>
                <w:lang w:val="en-AU"/>
              </w:rPr>
              <w:t>2</w:t>
            </w:r>
            <w:r w:rsidRPr="005E0DC9">
              <w:rPr>
                <w:rFonts w:ascii="Arial Narrow" w:hAnsi="Arial Narrow" w:cs="Lucida Grande"/>
                <w:color w:val="000000"/>
                <w:sz w:val="20"/>
                <w:lang w:val="en-AU"/>
              </w:rPr>
              <w:t xml:space="preserve"> on day 1 of each subsequent 28 day cycle + </w:t>
            </w:r>
            <w:proofErr w:type="spellStart"/>
            <w:r w:rsidRPr="005E0DC9">
              <w:rPr>
                <w:rFonts w:ascii="Arial Narrow" w:hAnsi="Arial Narrow" w:cs="Lucida Grande"/>
                <w:color w:val="000000"/>
                <w:sz w:val="20"/>
                <w:lang w:val="en-AU"/>
              </w:rPr>
              <w:t>chlorambucil</w:t>
            </w:r>
            <w:proofErr w:type="spellEnd"/>
            <w:r w:rsidRPr="005E0DC9">
              <w:rPr>
                <w:rFonts w:ascii="Arial Narrow" w:hAnsi="Arial Narrow" w:cs="Lucida Grande"/>
                <w:color w:val="000000"/>
                <w:sz w:val="20"/>
                <w:lang w:val="en-AU"/>
              </w:rPr>
              <w:t xml:space="preserve"> 10mg/m</w:t>
            </w:r>
            <w:r w:rsidRPr="005E0DC9">
              <w:rPr>
                <w:rFonts w:ascii="Arial Narrow" w:hAnsi="Arial Narrow" w:cs="Lucida Grande"/>
                <w:color w:val="000000"/>
                <w:sz w:val="20"/>
                <w:vertAlign w:val="superscript"/>
                <w:lang w:val="en-AU"/>
              </w:rPr>
              <w:t>2</w:t>
            </w:r>
            <w:r w:rsidRPr="005E0DC9">
              <w:rPr>
                <w:rFonts w:ascii="Arial Narrow" w:hAnsi="Arial Narrow" w:cs="Lucida Grande"/>
                <w:color w:val="000000"/>
                <w:sz w:val="20"/>
                <w:lang w:val="en-AU"/>
              </w:rPr>
              <w:t xml:space="preserve">/day for 7 days of each 28 day cycle administered orally.  </w:t>
            </w:r>
            <w:r w:rsidR="007D5B49" w:rsidRPr="005E0DC9">
              <w:rPr>
                <w:rFonts w:ascii="Arial Narrow" w:hAnsi="Arial Narrow" w:cs="Lucida Grande"/>
                <w:color w:val="000000"/>
                <w:sz w:val="20"/>
                <w:lang w:val="en-AU"/>
              </w:rPr>
              <w:t>Maximum treatment is 6 cycles</w:t>
            </w:r>
          </w:p>
          <w:p w:rsidR="009D046E" w:rsidRPr="005E0DC9" w:rsidRDefault="009D046E" w:rsidP="009D046E">
            <w:pPr>
              <w:keepNext/>
              <w:widowControl/>
              <w:jc w:val="left"/>
              <w:rPr>
                <w:rFonts w:ascii="Arial Narrow" w:hAnsi="Arial Narrow" w:cs="Lucida Grande"/>
                <w:color w:val="000000"/>
                <w:sz w:val="20"/>
                <w:lang w:val="en-AU"/>
              </w:rPr>
            </w:pPr>
            <w:proofErr w:type="spellStart"/>
            <w:r w:rsidRPr="005E0DC9">
              <w:rPr>
                <w:rFonts w:ascii="Arial Narrow" w:hAnsi="Arial Narrow" w:cs="Lucida Grande"/>
                <w:color w:val="000000"/>
                <w:sz w:val="20"/>
                <w:lang w:val="en-AU"/>
              </w:rPr>
              <w:t>Obinutuzumab</w:t>
            </w:r>
            <w:proofErr w:type="spellEnd"/>
            <w:r w:rsidRPr="005E0DC9">
              <w:rPr>
                <w:rFonts w:ascii="Arial Narrow" w:hAnsi="Arial Narrow" w:cs="Lucida Grande"/>
                <w:color w:val="000000"/>
                <w:sz w:val="20"/>
                <w:lang w:val="en-AU"/>
              </w:rPr>
              <w:t xml:space="preserve"> administered intravenously </w:t>
            </w:r>
            <w:r w:rsidRPr="005E0DC9">
              <w:rPr>
                <w:rFonts w:ascii="Arial Narrow" w:hAnsi="Arial Narrow"/>
                <w:color w:val="000000"/>
                <w:sz w:val="20"/>
                <w:lang w:val="en-AU"/>
              </w:rPr>
              <w:t xml:space="preserve">100mg day 1, 900mg day 2 and 1000mg on days 8 and 15 in the first 28 day cycle and </w:t>
            </w:r>
            <w:r w:rsidRPr="005E0DC9">
              <w:rPr>
                <w:rFonts w:ascii="Arial Narrow" w:hAnsi="Arial Narrow" w:cs="Lucida Grande"/>
                <w:color w:val="000000"/>
                <w:sz w:val="20"/>
                <w:lang w:val="en-AU"/>
              </w:rPr>
              <w:t xml:space="preserve">subsequent cycles 1000mg once per cycle + </w:t>
            </w:r>
            <w:proofErr w:type="spellStart"/>
            <w:r w:rsidRPr="005E0DC9">
              <w:rPr>
                <w:rFonts w:ascii="Arial Narrow" w:hAnsi="Arial Narrow" w:cs="Lucida Grande"/>
                <w:color w:val="000000"/>
                <w:sz w:val="20"/>
                <w:lang w:val="en-AU"/>
              </w:rPr>
              <w:t>chlorambucil</w:t>
            </w:r>
            <w:proofErr w:type="spellEnd"/>
            <w:r w:rsidRPr="005E0DC9">
              <w:rPr>
                <w:rFonts w:ascii="Arial Narrow" w:hAnsi="Arial Narrow" w:cs="Lucida Grande"/>
                <w:color w:val="000000"/>
                <w:sz w:val="20"/>
                <w:lang w:val="en-AU"/>
              </w:rPr>
              <w:t xml:space="preserve"> 10mg/m</w:t>
            </w:r>
            <w:r w:rsidRPr="005E0DC9">
              <w:rPr>
                <w:rFonts w:ascii="Arial Narrow" w:hAnsi="Arial Narrow" w:cs="Lucida Grande"/>
                <w:color w:val="000000"/>
                <w:sz w:val="20"/>
                <w:vertAlign w:val="superscript"/>
                <w:lang w:val="en-AU"/>
              </w:rPr>
              <w:t>2</w:t>
            </w:r>
            <w:r w:rsidRPr="005E0DC9">
              <w:rPr>
                <w:rFonts w:ascii="Arial Narrow" w:hAnsi="Arial Narrow" w:cs="Lucida Grande"/>
                <w:color w:val="000000"/>
                <w:sz w:val="20"/>
                <w:lang w:val="en-AU"/>
              </w:rPr>
              <w:t xml:space="preserve">/day for 7 days of each 28 day cycle administered orally.  </w:t>
            </w:r>
            <w:r w:rsidR="00D66D2E" w:rsidRPr="005E0DC9">
              <w:rPr>
                <w:rFonts w:ascii="Arial Narrow" w:hAnsi="Arial Narrow" w:cs="Lucida Grande"/>
                <w:color w:val="000000"/>
                <w:sz w:val="20"/>
                <w:lang w:val="en-AU"/>
              </w:rPr>
              <w:t xml:space="preserve">Maximum treatment </w:t>
            </w:r>
            <w:r w:rsidRPr="005E0DC9">
              <w:rPr>
                <w:rFonts w:ascii="Arial Narrow" w:hAnsi="Arial Narrow" w:cs="Lucida Grande"/>
                <w:color w:val="000000"/>
                <w:sz w:val="20"/>
                <w:lang w:val="en-AU"/>
              </w:rPr>
              <w:t xml:space="preserve">is </w:t>
            </w:r>
            <w:r w:rsidR="00D66D2E" w:rsidRPr="005E0DC9">
              <w:rPr>
                <w:rFonts w:ascii="Arial Narrow" w:hAnsi="Arial Narrow" w:cs="Lucida Grande"/>
                <w:color w:val="000000"/>
                <w:sz w:val="20"/>
                <w:lang w:val="en-AU"/>
              </w:rPr>
              <w:t>6 cycles</w:t>
            </w:r>
          </w:p>
          <w:p w:rsidR="009D046E" w:rsidRPr="005E0DC9" w:rsidRDefault="009D046E" w:rsidP="00C00C11">
            <w:pPr>
              <w:keepNext/>
              <w:widowControl/>
              <w:jc w:val="left"/>
              <w:rPr>
                <w:rFonts w:ascii="Arial Narrow" w:hAnsi="Arial Narrow"/>
                <w:sz w:val="20"/>
                <w:lang w:val="en-AU"/>
              </w:rPr>
            </w:pPr>
            <w:proofErr w:type="spellStart"/>
            <w:r w:rsidRPr="005E0DC9">
              <w:rPr>
                <w:rFonts w:ascii="Arial Narrow" w:hAnsi="Arial Narrow" w:cs="Lucida Grande"/>
                <w:color w:val="000000"/>
                <w:sz w:val="20"/>
                <w:lang w:val="en-AU"/>
              </w:rPr>
              <w:t>Ofatumumab</w:t>
            </w:r>
            <w:proofErr w:type="spellEnd"/>
            <w:r w:rsidRPr="005E0DC9">
              <w:rPr>
                <w:rFonts w:ascii="Arial Narrow" w:hAnsi="Arial Narrow" w:cs="Lucida Grande"/>
                <w:color w:val="000000"/>
                <w:sz w:val="20"/>
                <w:lang w:val="en-AU"/>
              </w:rPr>
              <w:t xml:space="preserve"> administered intravenously </w:t>
            </w:r>
            <w:r w:rsidRPr="005E0DC9">
              <w:rPr>
                <w:rFonts w:ascii="Arial Narrow" w:hAnsi="Arial Narrow"/>
                <w:color w:val="000000"/>
                <w:sz w:val="20"/>
                <w:lang w:val="en-AU"/>
              </w:rPr>
              <w:t xml:space="preserve">300mg on day 1 (3 x 100mg injections) and 1000mg on day 8 + </w:t>
            </w:r>
            <w:proofErr w:type="spellStart"/>
            <w:r w:rsidRPr="005E0DC9">
              <w:rPr>
                <w:rFonts w:ascii="Arial Narrow" w:hAnsi="Arial Narrow" w:cs="Lucida Grande"/>
                <w:color w:val="000000"/>
                <w:sz w:val="20"/>
                <w:lang w:val="en-AU"/>
              </w:rPr>
              <w:t>chlorambucil</w:t>
            </w:r>
            <w:proofErr w:type="spellEnd"/>
            <w:r w:rsidRPr="005E0DC9">
              <w:rPr>
                <w:rFonts w:ascii="Arial Narrow" w:hAnsi="Arial Narrow" w:cs="Lucida Grande"/>
                <w:color w:val="000000"/>
                <w:sz w:val="20"/>
                <w:lang w:val="en-AU"/>
              </w:rPr>
              <w:t xml:space="preserve"> 10mg/m</w:t>
            </w:r>
            <w:r w:rsidRPr="005E0DC9">
              <w:rPr>
                <w:rFonts w:ascii="Arial Narrow" w:hAnsi="Arial Narrow" w:cs="Lucida Grande"/>
                <w:color w:val="000000"/>
                <w:sz w:val="20"/>
                <w:vertAlign w:val="superscript"/>
                <w:lang w:val="en-AU"/>
              </w:rPr>
              <w:t>2</w:t>
            </w:r>
            <w:r w:rsidRPr="005E0DC9">
              <w:rPr>
                <w:rFonts w:ascii="Arial Narrow" w:hAnsi="Arial Narrow" w:cs="Lucida Grande"/>
                <w:color w:val="000000"/>
                <w:sz w:val="20"/>
                <w:lang w:val="en-AU"/>
              </w:rPr>
              <w:t xml:space="preserve">/day for 7 days of each 28 day cycle administered orally.  </w:t>
            </w:r>
            <w:r w:rsidR="00D66D2E" w:rsidRPr="005E0DC9">
              <w:rPr>
                <w:rFonts w:ascii="Arial Narrow" w:hAnsi="Arial Narrow" w:cs="Lucida Grande"/>
                <w:color w:val="000000"/>
                <w:sz w:val="20"/>
                <w:lang w:val="en-AU"/>
              </w:rPr>
              <w:t xml:space="preserve">Maximum treatment </w:t>
            </w:r>
            <w:r w:rsidRPr="005E0DC9">
              <w:rPr>
                <w:rFonts w:ascii="Arial Narrow" w:hAnsi="Arial Narrow" w:cs="Lucida Grande"/>
                <w:color w:val="000000"/>
                <w:sz w:val="20"/>
                <w:lang w:val="en-AU"/>
              </w:rPr>
              <w:t xml:space="preserve">is </w:t>
            </w:r>
            <w:r w:rsidR="00D66D2E" w:rsidRPr="005E0DC9">
              <w:rPr>
                <w:rFonts w:ascii="Arial Narrow" w:hAnsi="Arial Narrow" w:cs="Lucida Grande"/>
                <w:color w:val="000000"/>
                <w:sz w:val="20"/>
                <w:lang w:val="en-AU"/>
              </w:rPr>
              <w:t>12 cycles</w:t>
            </w:r>
            <w:r w:rsidRPr="005E0DC9">
              <w:rPr>
                <w:rFonts w:ascii="Arial Narrow" w:hAnsi="Arial Narrow" w:cs="Lucida Grande"/>
                <w:color w:val="000000"/>
                <w:sz w:val="20"/>
                <w:lang w:val="en-AU"/>
              </w:rPr>
              <w:t>.</w:t>
            </w:r>
          </w:p>
        </w:tc>
      </w:tr>
      <w:tr w:rsidR="009D046E" w:rsidRPr="005E0DC9" w:rsidTr="00812944">
        <w:trPr>
          <w:cantSplit/>
        </w:trPr>
        <w:tc>
          <w:tcPr>
            <w:tcW w:w="924" w:type="pct"/>
            <w:shd w:val="clear" w:color="auto" w:fill="auto"/>
            <w:vAlign w:val="center"/>
          </w:tcPr>
          <w:p w:rsidR="009D046E" w:rsidRPr="005E0DC9" w:rsidRDefault="009D046E" w:rsidP="009D046E">
            <w:pPr>
              <w:keepNext/>
              <w:widowControl/>
              <w:jc w:val="left"/>
              <w:rPr>
                <w:rFonts w:ascii="Arial Narrow" w:hAnsi="Arial Narrow"/>
                <w:sz w:val="20"/>
                <w:lang w:val="en-AU"/>
              </w:rPr>
            </w:pPr>
            <w:r w:rsidRPr="005E0DC9">
              <w:rPr>
                <w:rFonts w:ascii="Arial Narrow" w:hAnsi="Arial Narrow"/>
                <w:sz w:val="20"/>
                <w:lang w:val="en-AU"/>
              </w:rPr>
              <w:t>Outcomes</w:t>
            </w:r>
          </w:p>
        </w:tc>
        <w:tc>
          <w:tcPr>
            <w:tcW w:w="4076" w:type="pct"/>
            <w:shd w:val="clear" w:color="auto" w:fill="auto"/>
          </w:tcPr>
          <w:p w:rsidR="009D046E" w:rsidRPr="005E0DC9" w:rsidRDefault="009D046E" w:rsidP="009D046E">
            <w:pPr>
              <w:keepNext/>
              <w:widowControl/>
              <w:jc w:val="left"/>
              <w:rPr>
                <w:rFonts w:ascii="Arial Narrow" w:hAnsi="Arial Narrow"/>
                <w:sz w:val="20"/>
                <w:lang w:val="en-AU"/>
              </w:rPr>
            </w:pPr>
            <w:r w:rsidRPr="005E0DC9">
              <w:rPr>
                <w:rFonts w:ascii="Arial Narrow" w:hAnsi="Arial Narrow"/>
                <w:sz w:val="20"/>
                <w:lang w:val="en-AU"/>
              </w:rPr>
              <w:t>Progression-free survival; overall survival.</w:t>
            </w:r>
          </w:p>
        </w:tc>
      </w:tr>
      <w:tr w:rsidR="009D046E" w:rsidRPr="005E0DC9" w:rsidTr="00812944">
        <w:trPr>
          <w:cantSplit/>
        </w:trPr>
        <w:tc>
          <w:tcPr>
            <w:tcW w:w="924" w:type="pct"/>
            <w:shd w:val="clear" w:color="auto" w:fill="auto"/>
            <w:vAlign w:val="center"/>
          </w:tcPr>
          <w:p w:rsidR="009D046E" w:rsidRPr="005E0DC9" w:rsidRDefault="009D046E" w:rsidP="009D046E">
            <w:pPr>
              <w:keepNext/>
              <w:widowControl/>
              <w:jc w:val="left"/>
              <w:rPr>
                <w:rFonts w:ascii="Arial Narrow" w:hAnsi="Arial Narrow"/>
                <w:sz w:val="20"/>
                <w:lang w:val="en-AU"/>
              </w:rPr>
            </w:pPr>
            <w:r w:rsidRPr="005E0DC9">
              <w:rPr>
                <w:rFonts w:ascii="Arial Narrow" w:hAnsi="Arial Narrow"/>
                <w:sz w:val="20"/>
                <w:lang w:val="en-AU"/>
              </w:rPr>
              <w:t>Clinical claim</w:t>
            </w:r>
          </w:p>
        </w:tc>
        <w:tc>
          <w:tcPr>
            <w:tcW w:w="4076" w:type="pct"/>
            <w:shd w:val="clear" w:color="auto" w:fill="auto"/>
          </w:tcPr>
          <w:p w:rsidR="009D046E" w:rsidRPr="005E0DC9" w:rsidRDefault="009D046E" w:rsidP="009D046E">
            <w:pPr>
              <w:keepNext/>
              <w:widowControl/>
              <w:jc w:val="left"/>
              <w:rPr>
                <w:rFonts w:ascii="Arial Narrow" w:hAnsi="Arial Narrow"/>
                <w:sz w:val="20"/>
                <w:lang w:val="en-AU"/>
              </w:rPr>
            </w:pPr>
            <w:proofErr w:type="spellStart"/>
            <w:r w:rsidRPr="005E0DC9">
              <w:rPr>
                <w:rFonts w:ascii="Arial Narrow" w:hAnsi="Arial Narrow"/>
                <w:sz w:val="20"/>
                <w:lang w:val="en-AU"/>
              </w:rPr>
              <w:t>Ibrutinib</w:t>
            </w:r>
            <w:proofErr w:type="spellEnd"/>
            <w:r w:rsidRPr="005E0DC9">
              <w:rPr>
                <w:rFonts w:ascii="Arial Narrow" w:hAnsi="Arial Narrow"/>
                <w:sz w:val="20"/>
                <w:lang w:val="en-AU"/>
              </w:rPr>
              <w:t xml:space="preserve"> has superior comparative effectiveness compared to </w:t>
            </w:r>
            <w:proofErr w:type="spellStart"/>
            <w:r w:rsidRPr="005E0DC9">
              <w:rPr>
                <w:rFonts w:ascii="Arial Narrow" w:hAnsi="Arial Narrow"/>
                <w:sz w:val="20"/>
                <w:lang w:val="en-AU"/>
              </w:rPr>
              <w:t>obinutuzumab+chlorambucil</w:t>
            </w:r>
            <w:proofErr w:type="spellEnd"/>
            <w:r w:rsidR="0021271B" w:rsidRPr="005E0DC9">
              <w:rPr>
                <w:rFonts w:ascii="Arial Narrow" w:hAnsi="Arial Narrow"/>
                <w:sz w:val="20"/>
                <w:lang w:val="en-AU"/>
              </w:rPr>
              <w:t xml:space="preserve"> (</w:t>
            </w:r>
            <w:proofErr w:type="spellStart"/>
            <w:r w:rsidR="0021271B" w:rsidRPr="005E0DC9">
              <w:rPr>
                <w:rFonts w:ascii="Arial Narrow" w:hAnsi="Arial Narrow"/>
                <w:sz w:val="20"/>
                <w:lang w:val="en-AU"/>
              </w:rPr>
              <w:t>obi+chl</w:t>
            </w:r>
            <w:proofErr w:type="spellEnd"/>
            <w:r w:rsidR="0021271B" w:rsidRPr="005E0DC9">
              <w:rPr>
                <w:rFonts w:ascii="Arial Narrow" w:hAnsi="Arial Narrow"/>
                <w:sz w:val="20"/>
                <w:lang w:val="en-AU"/>
              </w:rPr>
              <w:t>)</w:t>
            </w:r>
            <w:r w:rsidRPr="005E0DC9">
              <w:rPr>
                <w:rFonts w:ascii="Arial Narrow" w:hAnsi="Arial Narrow"/>
                <w:sz w:val="20"/>
                <w:lang w:val="en-AU"/>
              </w:rPr>
              <w:t xml:space="preserve">, </w:t>
            </w:r>
            <w:proofErr w:type="spellStart"/>
            <w:r w:rsidRPr="005E0DC9">
              <w:rPr>
                <w:rFonts w:ascii="Arial Narrow" w:hAnsi="Arial Narrow"/>
                <w:sz w:val="20"/>
                <w:lang w:val="en-AU"/>
              </w:rPr>
              <w:t>rituximab+chlorambucil</w:t>
            </w:r>
            <w:proofErr w:type="spellEnd"/>
            <w:r w:rsidRPr="005E0DC9">
              <w:rPr>
                <w:rFonts w:ascii="Arial Narrow" w:hAnsi="Arial Narrow"/>
                <w:sz w:val="20"/>
                <w:lang w:val="en-AU"/>
              </w:rPr>
              <w:t xml:space="preserve"> </w:t>
            </w:r>
            <w:r w:rsidR="0021271B" w:rsidRPr="005E0DC9">
              <w:rPr>
                <w:rFonts w:ascii="Arial Narrow" w:hAnsi="Arial Narrow"/>
                <w:sz w:val="20"/>
                <w:lang w:val="en-AU"/>
              </w:rPr>
              <w:t>(</w:t>
            </w:r>
            <w:proofErr w:type="spellStart"/>
            <w:r w:rsidR="0021271B" w:rsidRPr="005E0DC9">
              <w:rPr>
                <w:rFonts w:ascii="Arial Narrow" w:hAnsi="Arial Narrow"/>
                <w:sz w:val="20"/>
                <w:lang w:val="en-AU"/>
              </w:rPr>
              <w:t>ritux+chl</w:t>
            </w:r>
            <w:proofErr w:type="spellEnd"/>
            <w:r w:rsidR="0021271B" w:rsidRPr="005E0DC9">
              <w:rPr>
                <w:rFonts w:ascii="Arial Narrow" w:hAnsi="Arial Narrow"/>
                <w:sz w:val="20"/>
                <w:lang w:val="en-AU"/>
              </w:rPr>
              <w:t xml:space="preserve">) </w:t>
            </w:r>
            <w:r w:rsidRPr="005E0DC9">
              <w:rPr>
                <w:rFonts w:ascii="Arial Narrow" w:hAnsi="Arial Narrow"/>
                <w:sz w:val="20"/>
                <w:lang w:val="en-AU"/>
              </w:rPr>
              <w:t xml:space="preserve">and </w:t>
            </w:r>
            <w:proofErr w:type="spellStart"/>
            <w:r w:rsidRPr="005E0DC9">
              <w:rPr>
                <w:rFonts w:ascii="Arial Narrow" w:hAnsi="Arial Narrow"/>
                <w:sz w:val="20"/>
                <w:lang w:val="en-AU"/>
              </w:rPr>
              <w:t>ofatumumab+chlorambucil</w:t>
            </w:r>
            <w:proofErr w:type="spellEnd"/>
            <w:r w:rsidR="0021271B" w:rsidRPr="005E0DC9">
              <w:rPr>
                <w:rFonts w:ascii="Arial Narrow" w:hAnsi="Arial Narrow"/>
                <w:sz w:val="20"/>
                <w:lang w:val="en-AU"/>
              </w:rPr>
              <w:t xml:space="preserve"> (</w:t>
            </w:r>
            <w:proofErr w:type="spellStart"/>
            <w:r w:rsidR="0021271B" w:rsidRPr="005E0DC9">
              <w:rPr>
                <w:rFonts w:ascii="Arial Narrow" w:hAnsi="Arial Narrow"/>
                <w:sz w:val="20"/>
                <w:lang w:val="en-AU"/>
              </w:rPr>
              <w:t>ofa+chl</w:t>
            </w:r>
            <w:proofErr w:type="spellEnd"/>
            <w:r w:rsidR="0021271B" w:rsidRPr="005E0DC9">
              <w:rPr>
                <w:rFonts w:ascii="Arial Narrow" w:hAnsi="Arial Narrow"/>
                <w:sz w:val="20"/>
                <w:lang w:val="en-AU"/>
              </w:rPr>
              <w:t>)</w:t>
            </w:r>
            <w:r w:rsidRPr="005E0DC9">
              <w:rPr>
                <w:rFonts w:ascii="Arial Narrow" w:hAnsi="Arial Narrow"/>
                <w:sz w:val="20"/>
                <w:lang w:val="en-AU"/>
              </w:rPr>
              <w:t xml:space="preserve">.  With a numerically similar incidence of adverse events but a different safety profile </w:t>
            </w:r>
            <w:proofErr w:type="spellStart"/>
            <w:r w:rsidRPr="005E0DC9">
              <w:rPr>
                <w:rFonts w:ascii="Arial Narrow" w:hAnsi="Arial Narrow"/>
                <w:sz w:val="20"/>
                <w:lang w:val="en-AU"/>
              </w:rPr>
              <w:t>ibrutinib</w:t>
            </w:r>
            <w:proofErr w:type="spellEnd"/>
            <w:r w:rsidRPr="005E0DC9">
              <w:rPr>
                <w:rFonts w:ascii="Arial Narrow" w:hAnsi="Arial Narrow"/>
                <w:sz w:val="20"/>
                <w:lang w:val="en-AU"/>
              </w:rPr>
              <w:t xml:space="preserve"> is non-inferior to the comparators.</w:t>
            </w:r>
          </w:p>
          <w:p w:rsidR="009D046E" w:rsidRPr="005E0DC9" w:rsidRDefault="009D046E" w:rsidP="005B36D6">
            <w:pPr>
              <w:keepNext/>
              <w:widowControl/>
              <w:jc w:val="left"/>
              <w:rPr>
                <w:rFonts w:ascii="Arial Narrow" w:hAnsi="Arial Narrow"/>
                <w:sz w:val="20"/>
                <w:lang w:val="en-AU"/>
              </w:rPr>
            </w:pPr>
            <w:r w:rsidRPr="005E0DC9">
              <w:rPr>
                <w:rFonts w:ascii="Arial Narrow" w:hAnsi="Arial Narrow"/>
                <w:sz w:val="20"/>
                <w:lang w:val="en-AU"/>
              </w:rPr>
              <w:t xml:space="preserve">The claim of superiority for </w:t>
            </w:r>
            <w:proofErr w:type="spellStart"/>
            <w:r w:rsidRPr="005E0DC9">
              <w:rPr>
                <w:rFonts w:ascii="Arial Narrow" w:hAnsi="Arial Narrow"/>
                <w:sz w:val="20"/>
                <w:lang w:val="en-AU"/>
              </w:rPr>
              <w:t>ibrutinib</w:t>
            </w:r>
            <w:proofErr w:type="spellEnd"/>
            <w:r w:rsidRPr="005E0DC9">
              <w:rPr>
                <w:rFonts w:ascii="Arial Narrow" w:hAnsi="Arial Narrow"/>
                <w:sz w:val="20"/>
                <w:lang w:val="en-AU"/>
              </w:rPr>
              <w:t xml:space="preserve"> </w:t>
            </w:r>
            <w:r w:rsidR="00CC6AF0" w:rsidRPr="005E0DC9">
              <w:rPr>
                <w:rFonts w:ascii="Arial Narrow" w:hAnsi="Arial Narrow"/>
                <w:sz w:val="20"/>
                <w:lang w:val="en-AU"/>
              </w:rPr>
              <w:t>wa</w:t>
            </w:r>
            <w:r w:rsidRPr="005E0DC9">
              <w:rPr>
                <w:rFonts w:ascii="Arial Narrow" w:hAnsi="Arial Narrow"/>
                <w:sz w:val="20"/>
                <w:lang w:val="en-AU"/>
              </w:rPr>
              <w:t xml:space="preserve">s not strongly supported, given lack of statistically significant differences for PFS and OS compared to </w:t>
            </w:r>
            <w:proofErr w:type="spellStart"/>
            <w:r w:rsidRPr="005E0DC9">
              <w:rPr>
                <w:rFonts w:ascii="Arial Narrow" w:hAnsi="Arial Narrow"/>
                <w:sz w:val="20"/>
                <w:lang w:val="en-AU"/>
              </w:rPr>
              <w:t>obinutuzumab+chlorambucil</w:t>
            </w:r>
            <w:proofErr w:type="spellEnd"/>
            <w:r w:rsidRPr="005E0DC9">
              <w:rPr>
                <w:rFonts w:ascii="Arial Narrow" w:hAnsi="Arial Narrow"/>
                <w:sz w:val="20"/>
                <w:lang w:val="en-AU"/>
              </w:rPr>
              <w:t xml:space="preserve"> (see Section 6 below).  </w:t>
            </w:r>
          </w:p>
        </w:tc>
      </w:tr>
    </w:tbl>
    <w:p w:rsidR="009D046E" w:rsidRPr="005E0DC9" w:rsidRDefault="009D046E" w:rsidP="009D046E">
      <w:pPr>
        <w:spacing w:after="120"/>
        <w:contextualSpacing/>
        <w:rPr>
          <w:rFonts w:ascii="Arial Narrow" w:hAnsi="Arial Narrow"/>
          <w:sz w:val="18"/>
        </w:rPr>
      </w:pPr>
      <w:r w:rsidRPr="005E0DC9">
        <w:rPr>
          <w:rFonts w:ascii="Arial Narrow" w:hAnsi="Arial Narrow"/>
          <w:sz w:val="18"/>
        </w:rPr>
        <w:t xml:space="preserve">Source: Section </w:t>
      </w:r>
      <w:proofErr w:type="gramStart"/>
      <w:r w:rsidRPr="005E0DC9">
        <w:rPr>
          <w:rFonts w:ascii="Arial Narrow" w:hAnsi="Arial Narrow"/>
          <w:sz w:val="18"/>
        </w:rPr>
        <w:t>A</w:t>
      </w:r>
      <w:proofErr w:type="gramEnd"/>
      <w:r w:rsidRPr="005E0DC9">
        <w:rPr>
          <w:rFonts w:ascii="Arial Narrow" w:hAnsi="Arial Narrow"/>
          <w:sz w:val="18"/>
        </w:rPr>
        <w:t xml:space="preserve">, p3-6 of Section A of the submission; Section A.3, p13 of Section A of the submission; Section Bii.5.1, p40-42 of Section </w:t>
      </w:r>
      <w:proofErr w:type="spellStart"/>
      <w:r w:rsidRPr="005E0DC9">
        <w:rPr>
          <w:rFonts w:ascii="Arial Narrow" w:hAnsi="Arial Narrow"/>
          <w:sz w:val="18"/>
        </w:rPr>
        <w:t>Bii</w:t>
      </w:r>
      <w:proofErr w:type="spellEnd"/>
      <w:r w:rsidRPr="005E0DC9">
        <w:rPr>
          <w:rFonts w:ascii="Arial Narrow" w:hAnsi="Arial Narrow"/>
          <w:sz w:val="18"/>
        </w:rPr>
        <w:t xml:space="preserve"> of the submission; Section Bii.5.2, p44-45 of Section </w:t>
      </w:r>
      <w:proofErr w:type="spellStart"/>
      <w:r w:rsidRPr="005E0DC9">
        <w:rPr>
          <w:rFonts w:ascii="Arial Narrow" w:hAnsi="Arial Narrow"/>
          <w:sz w:val="18"/>
        </w:rPr>
        <w:t>Bii</w:t>
      </w:r>
      <w:proofErr w:type="spellEnd"/>
      <w:r w:rsidRPr="005E0DC9">
        <w:rPr>
          <w:rFonts w:ascii="Arial Narrow" w:hAnsi="Arial Narrow"/>
          <w:sz w:val="18"/>
        </w:rPr>
        <w:t xml:space="preserve"> of the submission; Section Bii.8, p103 of Section </w:t>
      </w:r>
      <w:proofErr w:type="spellStart"/>
      <w:r w:rsidRPr="005E0DC9">
        <w:rPr>
          <w:rFonts w:ascii="Arial Narrow" w:hAnsi="Arial Narrow"/>
          <w:sz w:val="18"/>
        </w:rPr>
        <w:t>Bii</w:t>
      </w:r>
      <w:proofErr w:type="spellEnd"/>
      <w:r w:rsidRPr="005E0DC9">
        <w:rPr>
          <w:rFonts w:ascii="Arial Narrow" w:hAnsi="Arial Narrow"/>
          <w:sz w:val="18"/>
        </w:rPr>
        <w:t xml:space="preserve"> of the submission; Excel workbook Section E.xlsx. </w:t>
      </w:r>
    </w:p>
    <w:p w:rsidR="00610C73" w:rsidRPr="005E0DC9" w:rsidRDefault="00610C73" w:rsidP="00FA1A53">
      <w:pPr>
        <w:pStyle w:val="Heading1"/>
        <w:keepNext/>
        <w:keepLines/>
        <w:widowControl/>
        <w:numPr>
          <w:ilvl w:val="0"/>
          <w:numId w:val="11"/>
        </w:numPr>
        <w:spacing w:before="240" w:after="120"/>
        <w:jc w:val="left"/>
        <w:rPr>
          <w:rFonts w:asciiTheme="minorHAnsi" w:eastAsiaTheme="majorEastAsia" w:hAnsiTheme="minorHAnsi" w:cstheme="majorBidi"/>
          <w:caps w:val="0"/>
          <w:snapToGrid/>
          <w:sz w:val="32"/>
          <w:szCs w:val="28"/>
        </w:rPr>
      </w:pPr>
      <w:bookmarkStart w:id="8" w:name="_Toc413139272"/>
      <w:bookmarkStart w:id="9" w:name="_Toc363984482"/>
      <w:bookmarkStart w:id="10" w:name="_Toc493239410"/>
      <w:r w:rsidRPr="005E0DC9">
        <w:rPr>
          <w:rFonts w:asciiTheme="minorHAnsi" w:eastAsiaTheme="majorEastAsia" w:hAnsiTheme="minorHAnsi" w:cstheme="majorBidi"/>
          <w:caps w:val="0"/>
          <w:snapToGrid/>
          <w:sz w:val="32"/>
          <w:szCs w:val="28"/>
        </w:rPr>
        <w:lastRenderedPageBreak/>
        <w:t>Requested listing</w:t>
      </w:r>
      <w:bookmarkEnd w:id="8"/>
      <w:bookmarkEnd w:id="9"/>
      <w:bookmarkEnd w:id="10"/>
      <w:r w:rsidRPr="005E0DC9">
        <w:rPr>
          <w:rFonts w:asciiTheme="minorHAnsi" w:eastAsiaTheme="majorEastAsia" w:hAnsiTheme="minorHAnsi" w:cstheme="majorBidi"/>
          <w:caps w:val="0"/>
          <w:snapToGrid/>
          <w:sz w:val="32"/>
          <w:szCs w:val="28"/>
        </w:rPr>
        <w:t xml:space="preserve"> </w:t>
      </w:r>
    </w:p>
    <w:tbl>
      <w:tblPr>
        <w:tblW w:w="5011" w:type="pct"/>
        <w:tblCellMar>
          <w:left w:w="28" w:type="dxa"/>
          <w:right w:w="28" w:type="dxa"/>
        </w:tblCellMar>
        <w:tblLook w:val="0000" w:firstRow="0" w:lastRow="0" w:firstColumn="0" w:lastColumn="0" w:noHBand="0" w:noVBand="0"/>
      </w:tblPr>
      <w:tblGrid>
        <w:gridCol w:w="7"/>
        <w:gridCol w:w="1966"/>
        <w:gridCol w:w="1358"/>
        <w:gridCol w:w="750"/>
        <w:gridCol w:w="907"/>
        <w:gridCol w:w="1706"/>
        <w:gridCol w:w="847"/>
        <w:gridCol w:w="1562"/>
      </w:tblGrid>
      <w:tr w:rsidR="00610C73" w:rsidRPr="005E0DC9" w:rsidTr="00812944">
        <w:trPr>
          <w:cantSplit/>
          <w:trHeight w:val="463"/>
        </w:trPr>
        <w:tc>
          <w:tcPr>
            <w:tcW w:w="1830" w:type="pct"/>
            <w:gridSpan w:val="3"/>
            <w:tcBorders>
              <w:bottom w:val="single" w:sz="4" w:space="0" w:color="auto"/>
            </w:tcBorders>
            <w:vAlign w:val="center"/>
          </w:tcPr>
          <w:p w:rsidR="00610C73" w:rsidRPr="005E0DC9" w:rsidRDefault="00610C73" w:rsidP="00610C73">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Name, Restriction,</w:t>
            </w:r>
          </w:p>
          <w:p w:rsidR="00610C73" w:rsidRPr="005E0DC9" w:rsidRDefault="00610C73" w:rsidP="00610C73">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Manner of administration and form</w:t>
            </w:r>
          </w:p>
        </w:tc>
        <w:tc>
          <w:tcPr>
            <w:tcW w:w="412" w:type="pct"/>
            <w:tcBorders>
              <w:bottom w:val="single" w:sz="4" w:space="0" w:color="auto"/>
            </w:tcBorders>
            <w:vAlign w:val="center"/>
          </w:tcPr>
          <w:p w:rsidR="00610C73" w:rsidRPr="005E0DC9" w:rsidRDefault="00610C73" w:rsidP="00610C73">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Max.</w:t>
            </w:r>
          </w:p>
          <w:p w:rsidR="00610C73" w:rsidRPr="005E0DC9" w:rsidRDefault="00610C73" w:rsidP="00610C73">
            <w:pPr>
              <w:keepNext/>
              <w:widowControl/>
              <w:jc w:val="left"/>
              <w:rPr>
                <w:rFonts w:ascii="Arial Narrow" w:eastAsia="Calibri" w:hAnsi="Arial Narrow"/>
                <w:b/>
                <w:snapToGrid/>
                <w:sz w:val="20"/>
                <w:szCs w:val="22"/>
              </w:rPr>
            </w:pPr>
            <w:proofErr w:type="spellStart"/>
            <w:r w:rsidRPr="005E0DC9">
              <w:rPr>
                <w:rFonts w:ascii="Arial Narrow" w:eastAsia="Calibri" w:hAnsi="Arial Narrow"/>
                <w:b/>
                <w:snapToGrid/>
                <w:sz w:val="20"/>
                <w:szCs w:val="22"/>
              </w:rPr>
              <w:t>Qty</w:t>
            </w:r>
            <w:proofErr w:type="spellEnd"/>
            <w:r w:rsidRPr="005E0DC9">
              <w:rPr>
                <w:rFonts w:ascii="Arial Narrow" w:eastAsia="Calibri" w:hAnsi="Arial Narrow"/>
                <w:b/>
                <w:snapToGrid/>
                <w:sz w:val="20"/>
                <w:szCs w:val="22"/>
              </w:rPr>
              <w:t xml:space="preserve"> </w:t>
            </w:r>
          </w:p>
        </w:tc>
        <w:tc>
          <w:tcPr>
            <w:tcW w:w="498" w:type="pct"/>
            <w:tcBorders>
              <w:bottom w:val="single" w:sz="4" w:space="0" w:color="auto"/>
            </w:tcBorders>
            <w:vAlign w:val="center"/>
          </w:tcPr>
          <w:p w:rsidR="00610C73" w:rsidRPr="005E0DC9" w:rsidRDefault="00610C73" w:rsidP="00610C73">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№.of</w:t>
            </w:r>
          </w:p>
          <w:p w:rsidR="00610C73" w:rsidRPr="005E0DC9" w:rsidRDefault="00610C73" w:rsidP="00610C73">
            <w:pPr>
              <w:keepNext/>
              <w:widowControl/>
              <w:jc w:val="left"/>
              <w:rPr>
                <w:rFonts w:ascii="Arial Narrow" w:eastAsia="Calibri" w:hAnsi="Arial Narrow"/>
                <w:b/>
                <w:snapToGrid/>
                <w:sz w:val="20"/>
                <w:szCs w:val="22"/>
              </w:rPr>
            </w:pPr>
            <w:proofErr w:type="spellStart"/>
            <w:r w:rsidRPr="005E0DC9">
              <w:rPr>
                <w:rFonts w:ascii="Arial Narrow" w:eastAsia="Calibri" w:hAnsi="Arial Narrow"/>
                <w:b/>
                <w:snapToGrid/>
                <w:sz w:val="20"/>
                <w:szCs w:val="22"/>
              </w:rPr>
              <w:t>Rpts</w:t>
            </w:r>
            <w:proofErr w:type="spellEnd"/>
          </w:p>
        </w:tc>
        <w:tc>
          <w:tcPr>
            <w:tcW w:w="937" w:type="pct"/>
            <w:tcBorders>
              <w:bottom w:val="single" w:sz="4" w:space="0" w:color="auto"/>
            </w:tcBorders>
            <w:vAlign w:val="center"/>
          </w:tcPr>
          <w:p w:rsidR="00610C73" w:rsidRPr="005E0DC9" w:rsidRDefault="00610C73" w:rsidP="00610C73">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 xml:space="preserve">Dispensed Price for Max. </w:t>
            </w:r>
            <w:proofErr w:type="spellStart"/>
            <w:r w:rsidRPr="005E0DC9">
              <w:rPr>
                <w:rFonts w:ascii="Arial Narrow" w:eastAsia="Calibri" w:hAnsi="Arial Narrow"/>
                <w:b/>
                <w:snapToGrid/>
                <w:sz w:val="20"/>
                <w:szCs w:val="22"/>
              </w:rPr>
              <w:t>Qty</w:t>
            </w:r>
            <w:proofErr w:type="spellEnd"/>
            <w:r w:rsidRPr="005E0DC9">
              <w:rPr>
                <w:rFonts w:ascii="Arial Narrow" w:eastAsia="Calibri" w:hAnsi="Arial Narrow"/>
                <w:b/>
                <w:snapToGrid/>
                <w:sz w:val="20"/>
                <w:szCs w:val="22"/>
              </w:rPr>
              <w:t xml:space="preserve"> </w:t>
            </w:r>
          </w:p>
        </w:tc>
        <w:tc>
          <w:tcPr>
            <w:tcW w:w="1324" w:type="pct"/>
            <w:gridSpan w:val="2"/>
            <w:tcBorders>
              <w:bottom w:val="single" w:sz="4" w:space="0" w:color="auto"/>
            </w:tcBorders>
            <w:vAlign w:val="center"/>
          </w:tcPr>
          <w:p w:rsidR="00610C73" w:rsidRPr="005E0DC9" w:rsidRDefault="00610C73" w:rsidP="00610C73">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Proprietary Name and Manufacturer</w:t>
            </w:r>
          </w:p>
        </w:tc>
      </w:tr>
      <w:tr w:rsidR="00610C73" w:rsidRPr="005E0DC9" w:rsidTr="00812944">
        <w:trPr>
          <w:cantSplit/>
        </w:trPr>
        <w:tc>
          <w:tcPr>
            <w:tcW w:w="1830" w:type="pct"/>
            <w:gridSpan w:val="3"/>
            <w:vAlign w:val="center"/>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mallCaps/>
                <w:snapToGrid/>
                <w:sz w:val="20"/>
                <w:szCs w:val="22"/>
              </w:rPr>
              <w:t>IBRUTINIB</w:t>
            </w:r>
          </w:p>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Capsules 140mg</w:t>
            </w:r>
            <w:r w:rsidR="00626837" w:rsidRPr="005E0DC9">
              <w:rPr>
                <w:rFonts w:ascii="Arial Narrow" w:eastAsia="Calibri" w:hAnsi="Arial Narrow"/>
                <w:snapToGrid/>
                <w:sz w:val="20"/>
                <w:szCs w:val="22"/>
              </w:rPr>
              <w:t>, 90</w:t>
            </w:r>
          </w:p>
          <w:p w:rsidR="00610C73" w:rsidRPr="005E0DC9" w:rsidRDefault="00610C73" w:rsidP="00610C73">
            <w:pPr>
              <w:keepNext/>
              <w:widowControl/>
              <w:jc w:val="left"/>
              <w:rPr>
                <w:rFonts w:ascii="Arial Narrow" w:eastAsia="Calibri" w:hAnsi="Arial Narrow"/>
                <w:snapToGrid/>
                <w:sz w:val="20"/>
                <w:szCs w:val="22"/>
              </w:rPr>
            </w:pPr>
          </w:p>
        </w:tc>
        <w:tc>
          <w:tcPr>
            <w:tcW w:w="412" w:type="pct"/>
            <w:vAlign w:val="center"/>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1</w:t>
            </w:r>
          </w:p>
        </w:tc>
        <w:tc>
          <w:tcPr>
            <w:tcW w:w="498" w:type="pct"/>
            <w:vAlign w:val="center"/>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5</w:t>
            </w:r>
          </w:p>
        </w:tc>
        <w:tc>
          <w:tcPr>
            <w:tcW w:w="937" w:type="pct"/>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w:t>
            </w:r>
            <w:r w:rsidRPr="00AC5AD9">
              <w:rPr>
                <w:rFonts w:ascii="Arial Narrow" w:eastAsia="Calibri" w:hAnsi="Arial Narrow"/>
                <w:snapToGrid/>
                <w:sz w:val="20"/>
                <w:szCs w:val="22"/>
              </w:rPr>
              <w:t>8,782.81</w:t>
            </w:r>
            <w:r w:rsidRPr="005E0DC9">
              <w:rPr>
                <w:rFonts w:ascii="Calibri" w:eastAsia="Calibri" w:hAnsi="Calibri"/>
                <w:snapToGrid/>
                <w:sz w:val="18"/>
                <w:szCs w:val="18"/>
                <w:vertAlign w:val="superscript"/>
                <w:lang w:eastAsia="en-AU"/>
              </w:rPr>
              <w:t>a</w:t>
            </w:r>
            <w:r w:rsidRPr="005E0DC9">
              <w:rPr>
                <w:rFonts w:ascii="Arial Narrow" w:eastAsia="Calibri" w:hAnsi="Arial Narrow"/>
                <w:snapToGrid/>
                <w:sz w:val="20"/>
                <w:szCs w:val="22"/>
              </w:rPr>
              <w:t xml:space="preserve"> (published)</w:t>
            </w:r>
          </w:p>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w:t>
            </w:r>
            <w:r w:rsidR="00773C23">
              <w:rPr>
                <w:rFonts w:ascii="Arial Narrow" w:eastAsia="Calibri" w:hAnsi="Arial Narrow"/>
                <w:noProof/>
                <w:snapToGrid/>
                <w:color w:val="000000"/>
                <w:sz w:val="20"/>
                <w:szCs w:val="22"/>
                <w:highlight w:val="black"/>
              </w:rPr>
              <w:t>''''''''''''''''''''</w:t>
            </w:r>
            <w:r w:rsidRPr="005E0DC9">
              <w:rPr>
                <w:rFonts w:ascii="Calibri" w:eastAsia="Calibri" w:hAnsi="Calibri"/>
                <w:snapToGrid/>
                <w:sz w:val="18"/>
                <w:szCs w:val="18"/>
                <w:vertAlign w:val="superscript"/>
                <w:lang w:eastAsia="en-AU"/>
              </w:rPr>
              <w:t>a</w:t>
            </w:r>
            <w:r w:rsidRPr="005E0DC9">
              <w:rPr>
                <w:rFonts w:ascii="Arial Narrow" w:eastAsia="Calibri" w:hAnsi="Arial Narrow"/>
                <w:snapToGrid/>
                <w:sz w:val="20"/>
                <w:szCs w:val="22"/>
              </w:rPr>
              <w:t xml:space="preserve"> (effective)</w:t>
            </w:r>
          </w:p>
          <w:p w:rsidR="00610C73" w:rsidRPr="005E0DC9" w:rsidRDefault="00610C73" w:rsidP="00610C73">
            <w:pPr>
              <w:keepNext/>
              <w:widowControl/>
              <w:jc w:val="left"/>
              <w:rPr>
                <w:rFonts w:ascii="Arial Narrow" w:eastAsia="Calibri" w:hAnsi="Arial Narrow"/>
                <w:snapToGrid/>
                <w:sz w:val="20"/>
                <w:szCs w:val="22"/>
              </w:rPr>
            </w:pPr>
          </w:p>
        </w:tc>
        <w:tc>
          <w:tcPr>
            <w:tcW w:w="465" w:type="pct"/>
          </w:tcPr>
          <w:p w:rsidR="00610C73" w:rsidRPr="005E0DC9" w:rsidRDefault="00610C73" w:rsidP="00610C73">
            <w:pPr>
              <w:keepNext/>
              <w:widowControl/>
              <w:jc w:val="center"/>
              <w:rPr>
                <w:rFonts w:ascii="Arial Narrow" w:eastAsia="Calibri" w:hAnsi="Arial Narrow"/>
                <w:snapToGrid/>
                <w:sz w:val="20"/>
                <w:szCs w:val="22"/>
              </w:rPr>
            </w:pPr>
          </w:p>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Imbruvica</w:t>
            </w:r>
            <w:r w:rsidRPr="005E0DC9">
              <w:rPr>
                <w:rFonts w:ascii="Arial Narrow" w:eastAsia="Calibri" w:hAnsi="Arial Narrow"/>
                <w:snapToGrid/>
                <w:sz w:val="20"/>
                <w:szCs w:val="22"/>
                <w:vertAlign w:val="superscript"/>
              </w:rPr>
              <w:t>®</w:t>
            </w:r>
          </w:p>
        </w:tc>
        <w:tc>
          <w:tcPr>
            <w:tcW w:w="859" w:type="pct"/>
          </w:tcPr>
          <w:p w:rsidR="00610C73" w:rsidRPr="005E0DC9" w:rsidRDefault="00610C73" w:rsidP="00610C73">
            <w:pPr>
              <w:keepNext/>
              <w:widowControl/>
              <w:jc w:val="center"/>
              <w:rPr>
                <w:rFonts w:ascii="Arial Narrow" w:eastAsia="Calibri" w:hAnsi="Arial Narrow"/>
                <w:snapToGrid/>
                <w:sz w:val="20"/>
                <w:szCs w:val="22"/>
              </w:rPr>
            </w:pPr>
          </w:p>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JC</w:t>
            </w:r>
          </w:p>
        </w:tc>
      </w:tr>
      <w:tr w:rsidR="00610C73" w:rsidRPr="005E0DC9" w:rsidTr="00812944">
        <w:tblPrEx>
          <w:tblCellMar>
            <w:left w:w="108" w:type="dxa"/>
            <w:right w:w="108" w:type="dxa"/>
          </w:tblCellMar>
        </w:tblPrEx>
        <w:trPr>
          <w:gridBefore w:val="1"/>
          <w:wBefore w:w="4" w:type="pct"/>
          <w:cantSplit/>
        </w:trPr>
        <w:tc>
          <w:tcPr>
            <w:tcW w:w="1080" w:type="pct"/>
            <w:tcBorders>
              <w:top w:val="single" w:sz="4" w:space="0" w:color="auto"/>
              <w:left w:val="single" w:sz="4" w:space="0" w:color="auto"/>
              <w:bottom w:val="single" w:sz="4" w:space="0" w:color="auto"/>
              <w:right w:val="single" w:sz="4" w:space="0" w:color="auto"/>
            </w:tcBorders>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Category / Program:</w:t>
            </w:r>
          </w:p>
        </w:tc>
        <w:tc>
          <w:tcPr>
            <w:tcW w:w="3915" w:type="pct"/>
            <w:gridSpan w:val="6"/>
            <w:tcBorders>
              <w:top w:val="single" w:sz="4" w:space="0" w:color="auto"/>
              <w:left w:val="single" w:sz="4" w:space="0" w:color="auto"/>
              <w:bottom w:val="single" w:sz="4" w:space="0" w:color="auto"/>
              <w:right w:val="single" w:sz="4" w:space="0" w:color="auto"/>
            </w:tcBorders>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Section 85</w:t>
            </w:r>
          </w:p>
        </w:tc>
      </w:tr>
      <w:tr w:rsidR="00610C73" w:rsidRPr="005E0DC9" w:rsidTr="00812944">
        <w:tblPrEx>
          <w:tblCellMar>
            <w:left w:w="108" w:type="dxa"/>
            <w:right w:w="108" w:type="dxa"/>
          </w:tblCellMar>
        </w:tblPrEx>
        <w:trPr>
          <w:gridBefore w:val="1"/>
          <w:wBefore w:w="4" w:type="pct"/>
          <w:cantSplit/>
        </w:trPr>
        <w:tc>
          <w:tcPr>
            <w:tcW w:w="1080" w:type="pct"/>
            <w:tcBorders>
              <w:top w:val="single" w:sz="4" w:space="0" w:color="auto"/>
              <w:left w:val="single" w:sz="4" w:space="0" w:color="auto"/>
              <w:bottom w:val="single" w:sz="4" w:space="0" w:color="auto"/>
              <w:right w:val="single" w:sz="4" w:space="0" w:color="auto"/>
            </w:tcBorders>
          </w:tcPr>
          <w:p w:rsidR="00610C73" w:rsidRPr="005E0DC9" w:rsidRDefault="00610C73" w:rsidP="00610C73">
            <w:pPr>
              <w:keepNext/>
              <w:widowControl/>
              <w:jc w:val="left"/>
              <w:rPr>
                <w:rFonts w:ascii="Times" w:hAnsi="Times" w:cs="Times New Roman"/>
                <w:snapToGrid/>
                <w:sz w:val="20"/>
              </w:rPr>
            </w:pPr>
            <w:r w:rsidRPr="005E0DC9">
              <w:rPr>
                <w:rFonts w:ascii="Arial Narrow" w:eastAsia="Calibri" w:hAnsi="Arial Narrow"/>
                <w:snapToGrid/>
                <w:sz w:val="20"/>
                <w:szCs w:val="22"/>
              </w:rPr>
              <w:t>PBS Indication:</w:t>
            </w:r>
          </w:p>
        </w:tc>
        <w:tc>
          <w:tcPr>
            <w:tcW w:w="3915" w:type="pct"/>
            <w:gridSpan w:val="6"/>
            <w:tcBorders>
              <w:top w:val="single" w:sz="4" w:space="0" w:color="auto"/>
              <w:left w:val="single" w:sz="4" w:space="0" w:color="auto"/>
              <w:bottom w:val="single" w:sz="4" w:space="0" w:color="auto"/>
              <w:right w:val="single" w:sz="4" w:space="0" w:color="auto"/>
            </w:tcBorders>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lang w:eastAsia="en-AU"/>
              </w:rPr>
              <w:t>Chronic lymphocytic leukaemia (CLL)/small lymphocytic lymphoma (SLL)</w:t>
            </w:r>
          </w:p>
        </w:tc>
      </w:tr>
      <w:tr w:rsidR="00610C73" w:rsidRPr="005E0DC9" w:rsidTr="00812944">
        <w:tblPrEx>
          <w:tblCellMar>
            <w:left w:w="108" w:type="dxa"/>
            <w:right w:w="108" w:type="dxa"/>
          </w:tblCellMar>
        </w:tblPrEx>
        <w:trPr>
          <w:gridBefore w:val="1"/>
          <w:wBefore w:w="4" w:type="pct"/>
          <w:cantSplit/>
        </w:trPr>
        <w:tc>
          <w:tcPr>
            <w:tcW w:w="1080" w:type="pct"/>
            <w:tcBorders>
              <w:top w:val="single" w:sz="4" w:space="0" w:color="auto"/>
              <w:left w:val="single" w:sz="4" w:space="0" w:color="auto"/>
              <w:bottom w:val="single" w:sz="4" w:space="0" w:color="auto"/>
              <w:right w:val="single" w:sz="4" w:space="0" w:color="auto"/>
            </w:tcBorders>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Treatment phase:</w:t>
            </w:r>
          </w:p>
        </w:tc>
        <w:tc>
          <w:tcPr>
            <w:tcW w:w="3915" w:type="pct"/>
            <w:gridSpan w:val="6"/>
            <w:tcBorders>
              <w:top w:val="single" w:sz="4" w:space="0" w:color="auto"/>
              <w:left w:val="single" w:sz="4" w:space="0" w:color="auto"/>
              <w:bottom w:val="single" w:sz="4" w:space="0" w:color="auto"/>
              <w:right w:val="single" w:sz="4" w:space="0" w:color="auto"/>
            </w:tcBorders>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Initial and continuing</w:t>
            </w:r>
          </w:p>
        </w:tc>
      </w:tr>
      <w:tr w:rsidR="00610C73" w:rsidRPr="005E0DC9" w:rsidTr="00812944">
        <w:tblPrEx>
          <w:tblCellMar>
            <w:left w:w="108" w:type="dxa"/>
            <w:right w:w="108" w:type="dxa"/>
          </w:tblCellMar>
        </w:tblPrEx>
        <w:trPr>
          <w:gridBefore w:val="1"/>
          <w:wBefore w:w="4" w:type="pct"/>
          <w:cantSplit/>
        </w:trPr>
        <w:tc>
          <w:tcPr>
            <w:tcW w:w="1080" w:type="pct"/>
            <w:tcBorders>
              <w:top w:val="single" w:sz="4" w:space="0" w:color="auto"/>
              <w:left w:val="single" w:sz="4" w:space="0" w:color="auto"/>
              <w:bottom w:val="single" w:sz="4" w:space="0" w:color="auto"/>
              <w:right w:val="single" w:sz="4" w:space="0" w:color="auto"/>
            </w:tcBorders>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Restriction:</w:t>
            </w:r>
          </w:p>
        </w:tc>
        <w:tc>
          <w:tcPr>
            <w:tcW w:w="3915" w:type="pct"/>
            <w:gridSpan w:val="6"/>
            <w:tcBorders>
              <w:top w:val="single" w:sz="4" w:space="0" w:color="auto"/>
              <w:left w:val="single" w:sz="4" w:space="0" w:color="auto"/>
              <w:bottom w:val="single" w:sz="4" w:space="0" w:color="auto"/>
              <w:right w:val="single" w:sz="4" w:space="0" w:color="auto"/>
            </w:tcBorders>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lang w:eastAsia="en-AU"/>
              </w:rPr>
              <w:t>Section 85 Authority required (telephone)</w:t>
            </w:r>
          </w:p>
        </w:tc>
      </w:tr>
      <w:tr w:rsidR="00610C73" w:rsidRPr="005E0DC9" w:rsidTr="00812944">
        <w:tblPrEx>
          <w:tblCellMar>
            <w:left w:w="108" w:type="dxa"/>
            <w:right w:w="108" w:type="dxa"/>
          </w:tblCellMar>
        </w:tblPrEx>
        <w:trPr>
          <w:gridBefore w:val="1"/>
          <w:wBefore w:w="4" w:type="pct"/>
          <w:cantSplit/>
        </w:trPr>
        <w:tc>
          <w:tcPr>
            <w:tcW w:w="1080" w:type="pct"/>
            <w:tcBorders>
              <w:top w:val="single" w:sz="4" w:space="0" w:color="auto"/>
              <w:left w:val="single" w:sz="4" w:space="0" w:color="auto"/>
              <w:bottom w:val="single" w:sz="4" w:space="0" w:color="auto"/>
              <w:right w:val="single" w:sz="4" w:space="0" w:color="auto"/>
            </w:tcBorders>
          </w:tcPr>
          <w:p w:rsidR="00610C73" w:rsidRPr="005E0DC9" w:rsidRDefault="00610C73" w:rsidP="00610C73">
            <w:pPr>
              <w:keepNext/>
              <w:widowControl/>
              <w:jc w:val="left"/>
              <w:rPr>
                <w:rFonts w:ascii="Times" w:hAnsi="Times" w:cs="Times New Roman"/>
                <w:snapToGrid/>
                <w:sz w:val="20"/>
              </w:rPr>
            </w:pPr>
            <w:r w:rsidRPr="005E0DC9">
              <w:rPr>
                <w:rFonts w:ascii="Arial Narrow" w:eastAsia="Calibri" w:hAnsi="Arial Narrow"/>
                <w:snapToGrid/>
                <w:sz w:val="20"/>
                <w:szCs w:val="22"/>
              </w:rPr>
              <w:t>Treatment criteria:</w:t>
            </w:r>
          </w:p>
        </w:tc>
        <w:tc>
          <w:tcPr>
            <w:tcW w:w="3915" w:type="pct"/>
            <w:gridSpan w:val="6"/>
            <w:tcBorders>
              <w:top w:val="single" w:sz="4" w:space="0" w:color="auto"/>
              <w:left w:val="single" w:sz="4" w:space="0" w:color="auto"/>
              <w:bottom w:val="single" w:sz="4" w:space="0" w:color="auto"/>
              <w:right w:val="single" w:sz="4" w:space="0" w:color="auto"/>
            </w:tcBorders>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color w:val="000000"/>
                <w:sz w:val="20"/>
                <w:szCs w:val="22"/>
                <w:lang w:eastAsia="en-AU"/>
              </w:rPr>
              <w:t>Previously untreated</w:t>
            </w:r>
          </w:p>
        </w:tc>
      </w:tr>
      <w:tr w:rsidR="00610C73" w:rsidRPr="005E0DC9" w:rsidTr="00812944">
        <w:tblPrEx>
          <w:tblCellMar>
            <w:left w:w="108" w:type="dxa"/>
            <w:right w:w="108" w:type="dxa"/>
          </w:tblCellMar>
        </w:tblPrEx>
        <w:trPr>
          <w:gridBefore w:val="1"/>
          <w:wBefore w:w="4" w:type="pct"/>
          <w:cantSplit/>
        </w:trPr>
        <w:tc>
          <w:tcPr>
            <w:tcW w:w="1080" w:type="pct"/>
            <w:tcBorders>
              <w:top w:val="single" w:sz="4" w:space="0" w:color="auto"/>
              <w:left w:val="single" w:sz="4" w:space="0" w:color="auto"/>
              <w:bottom w:val="single" w:sz="4" w:space="0" w:color="auto"/>
              <w:right w:val="single" w:sz="4" w:space="0" w:color="auto"/>
            </w:tcBorders>
          </w:tcPr>
          <w:p w:rsidR="00610C73" w:rsidRPr="005E0DC9" w:rsidRDefault="00610C73" w:rsidP="00610C73">
            <w:pPr>
              <w:keepNext/>
              <w:widowControl/>
              <w:jc w:val="left"/>
              <w:rPr>
                <w:rFonts w:ascii="Times" w:hAnsi="Times" w:cs="Times New Roman"/>
                <w:snapToGrid/>
                <w:sz w:val="20"/>
              </w:rPr>
            </w:pPr>
            <w:r w:rsidRPr="005E0DC9">
              <w:rPr>
                <w:rFonts w:ascii="Arial Narrow" w:eastAsia="Calibri" w:hAnsi="Arial Narrow"/>
                <w:snapToGrid/>
                <w:sz w:val="20"/>
                <w:szCs w:val="22"/>
              </w:rPr>
              <w:t>Clinical criteria:</w:t>
            </w:r>
          </w:p>
        </w:tc>
        <w:tc>
          <w:tcPr>
            <w:tcW w:w="3915" w:type="pct"/>
            <w:gridSpan w:val="6"/>
            <w:tcBorders>
              <w:top w:val="single" w:sz="4" w:space="0" w:color="auto"/>
              <w:left w:val="single" w:sz="4" w:space="0" w:color="auto"/>
              <w:bottom w:val="single" w:sz="4" w:space="0" w:color="auto"/>
              <w:right w:val="single" w:sz="4" w:space="0" w:color="auto"/>
            </w:tcBorders>
          </w:tcPr>
          <w:p w:rsidR="00610C73" w:rsidRPr="005E0DC9" w:rsidRDefault="00610C73" w:rsidP="00610C73">
            <w:pPr>
              <w:widowControl/>
              <w:snapToGrid w:val="0"/>
              <w:spacing w:line="20" w:lineRule="atLeast"/>
              <w:jc w:val="left"/>
              <w:rPr>
                <w:rFonts w:ascii="Arial Narrow" w:eastAsia="Calibri" w:hAnsi="Arial Narrow"/>
                <w:snapToGrid/>
                <w:sz w:val="20"/>
                <w:szCs w:val="22"/>
                <w:lang w:eastAsia="en-AU"/>
              </w:rPr>
            </w:pPr>
            <w:r w:rsidRPr="005E0DC9">
              <w:rPr>
                <w:rFonts w:ascii="Arial Narrow" w:eastAsia="Calibri" w:hAnsi="Arial Narrow"/>
                <w:snapToGrid/>
                <w:sz w:val="20"/>
                <w:szCs w:val="22"/>
                <w:lang w:eastAsia="en-AU"/>
              </w:rPr>
              <w:t>Patient must be previously untreated</w:t>
            </w:r>
          </w:p>
          <w:p w:rsidR="00610C73" w:rsidRPr="005E0DC9" w:rsidRDefault="00610C73" w:rsidP="00610C73">
            <w:pPr>
              <w:widowControl/>
              <w:snapToGrid w:val="0"/>
              <w:spacing w:line="20" w:lineRule="atLeast"/>
              <w:jc w:val="left"/>
              <w:rPr>
                <w:rFonts w:ascii="Arial Narrow" w:eastAsia="Calibri" w:hAnsi="Arial Narrow"/>
                <w:snapToGrid/>
                <w:sz w:val="20"/>
                <w:szCs w:val="22"/>
                <w:lang w:eastAsia="en-AU"/>
              </w:rPr>
            </w:pPr>
            <w:r w:rsidRPr="005E0DC9">
              <w:rPr>
                <w:rFonts w:ascii="Arial Narrow" w:eastAsia="Calibri" w:hAnsi="Arial Narrow"/>
                <w:snapToGrid/>
                <w:sz w:val="20"/>
                <w:szCs w:val="22"/>
                <w:lang w:eastAsia="en-AU"/>
              </w:rPr>
              <w:t>AND</w:t>
            </w:r>
          </w:p>
          <w:p w:rsidR="00610C73" w:rsidRPr="005E0DC9" w:rsidRDefault="00610C73" w:rsidP="00610C73">
            <w:pPr>
              <w:widowControl/>
              <w:snapToGrid w:val="0"/>
              <w:spacing w:line="20" w:lineRule="atLeast"/>
              <w:jc w:val="left"/>
              <w:rPr>
                <w:rFonts w:ascii="Arial Narrow" w:eastAsia="Calibri" w:hAnsi="Arial Narrow"/>
                <w:snapToGrid/>
                <w:sz w:val="20"/>
                <w:szCs w:val="22"/>
                <w:lang w:eastAsia="en-AU"/>
              </w:rPr>
            </w:pPr>
            <w:r w:rsidRPr="005E0DC9">
              <w:rPr>
                <w:rFonts w:ascii="Arial Narrow" w:eastAsia="Calibri" w:hAnsi="Arial Narrow"/>
                <w:snapToGrid/>
                <w:sz w:val="20"/>
                <w:szCs w:val="22"/>
                <w:lang w:eastAsia="en-AU"/>
              </w:rPr>
              <w:t>The treatment must be as monotherapy</w:t>
            </w:r>
          </w:p>
          <w:p w:rsidR="00610C73" w:rsidRPr="005E0DC9" w:rsidRDefault="00610C73" w:rsidP="00610C73">
            <w:pPr>
              <w:widowControl/>
              <w:snapToGrid w:val="0"/>
              <w:spacing w:line="20" w:lineRule="atLeast"/>
              <w:jc w:val="left"/>
              <w:rPr>
                <w:rFonts w:ascii="Arial Narrow" w:eastAsia="Calibri" w:hAnsi="Arial Narrow"/>
                <w:snapToGrid/>
                <w:sz w:val="20"/>
                <w:szCs w:val="22"/>
                <w:lang w:eastAsia="en-AU"/>
              </w:rPr>
            </w:pPr>
            <w:r w:rsidRPr="005E0DC9">
              <w:rPr>
                <w:rFonts w:ascii="Arial Narrow" w:eastAsia="Calibri" w:hAnsi="Arial Narrow"/>
                <w:snapToGrid/>
                <w:sz w:val="20"/>
                <w:szCs w:val="22"/>
                <w:lang w:eastAsia="en-AU"/>
              </w:rPr>
              <w:t>AND</w:t>
            </w:r>
          </w:p>
          <w:p w:rsidR="00610C73" w:rsidRPr="005E0DC9" w:rsidRDefault="00610C73" w:rsidP="00610C73">
            <w:pPr>
              <w:widowControl/>
              <w:snapToGrid w:val="0"/>
              <w:spacing w:line="20" w:lineRule="atLeast"/>
              <w:jc w:val="left"/>
              <w:rPr>
                <w:rFonts w:ascii="Arial Narrow" w:eastAsia="Calibri" w:hAnsi="Arial Narrow"/>
                <w:snapToGrid/>
                <w:sz w:val="20"/>
                <w:szCs w:val="22"/>
                <w:lang w:eastAsia="en-AU"/>
              </w:rPr>
            </w:pPr>
            <w:r w:rsidRPr="005E0DC9">
              <w:rPr>
                <w:rFonts w:ascii="Arial Narrow" w:eastAsia="Calibri" w:hAnsi="Arial Narrow"/>
                <w:snapToGrid/>
                <w:sz w:val="20"/>
                <w:szCs w:val="22"/>
                <w:lang w:eastAsia="en-AU"/>
              </w:rPr>
              <w:t xml:space="preserve">Patient must be inappropriate for </w:t>
            </w:r>
            <w:proofErr w:type="spellStart"/>
            <w:r w:rsidRPr="005E0DC9">
              <w:rPr>
                <w:rFonts w:ascii="Arial Narrow" w:eastAsia="Calibri" w:hAnsi="Arial Narrow"/>
                <w:snapToGrid/>
                <w:sz w:val="20"/>
                <w:szCs w:val="22"/>
                <w:lang w:eastAsia="en-AU"/>
              </w:rPr>
              <w:t>fludarabine</w:t>
            </w:r>
            <w:proofErr w:type="spellEnd"/>
            <w:r w:rsidRPr="005E0DC9">
              <w:rPr>
                <w:rFonts w:ascii="Arial Narrow" w:eastAsia="Calibri" w:hAnsi="Arial Narrow"/>
                <w:snapToGrid/>
                <w:sz w:val="20"/>
                <w:szCs w:val="22"/>
                <w:lang w:eastAsia="en-AU"/>
              </w:rPr>
              <w:t>-based therapy</w:t>
            </w:r>
          </w:p>
          <w:p w:rsidR="00610C73" w:rsidRPr="005E0DC9" w:rsidRDefault="00610C73" w:rsidP="00610C73">
            <w:pPr>
              <w:widowControl/>
              <w:snapToGrid w:val="0"/>
              <w:spacing w:line="20" w:lineRule="atLeast"/>
              <w:jc w:val="left"/>
              <w:rPr>
                <w:rFonts w:ascii="Arial Narrow" w:eastAsia="Calibri" w:hAnsi="Arial Narrow"/>
                <w:snapToGrid/>
                <w:sz w:val="20"/>
                <w:szCs w:val="22"/>
                <w:lang w:eastAsia="en-AU"/>
              </w:rPr>
            </w:pPr>
            <w:r w:rsidRPr="005E0DC9">
              <w:rPr>
                <w:rFonts w:ascii="Arial Narrow" w:eastAsia="Calibri" w:hAnsi="Arial Narrow"/>
                <w:snapToGrid/>
                <w:sz w:val="20"/>
                <w:szCs w:val="22"/>
                <w:lang w:eastAsia="en-AU"/>
              </w:rPr>
              <w:t>AND</w:t>
            </w:r>
          </w:p>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lang w:eastAsia="en-AU"/>
              </w:rPr>
              <w:t>Patient must have a WHO performance status of 2 or less</w:t>
            </w:r>
          </w:p>
        </w:tc>
      </w:tr>
      <w:tr w:rsidR="00610C73" w:rsidRPr="005E0DC9" w:rsidTr="00812944">
        <w:tblPrEx>
          <w:tblCellMar>
            <w:left w:w="108" w:type="dxa"/>
            <w:right w:w="108" w:type="dxa"/>
          </w:tblCellMar>
        </w:tblPrEx>
        <w:trPr>
          <w:gridBefore w:val="1"/>
          <w:wBefore w:w="4" w:type="pct"/>
          <w:cantSplit/>
        </w:trPr>
        <w:tc>
          <w:tcPr>
            <w:tcW w:w="1080" w:type="pct"/>
            <w:tcBorders>
              <w:top w:val="single" w:sz="4" w:space="0" w:color="auto"/>
              <w:left w:val="single" w:sz="4" w:space="0" w:color="auto"/>
              <w:bottom w:val="single" w:sz="4" w:space="0" w:color="auto"/>
              <w:right w:val="single" w:sz="4" w:space="0" w:color="auto"/>
            </w:tcBorders>
          </w:tcPr>
          <w:p w:rsidR="00610C73" w:rsidRPr="005E0DC9" w:rsidRDefault="00610C73" w:rsidP="00610C73">
            <w:pPr>
              <w:keepNext/>
              <w:widowControl/>
              <w:jc w:val="left"/>
              <w:rPr>
                <w:rFonts w:ascii="Times" w:hAnsi="Times" w:cs="Times New Roman"/>
                <w:snapToGrid/>
                <w:sz w:val="20"/>
              </w:rPr>
            </w:pPr>
            <w:r w:rsidRPr="005E0DC9">
              <w:rPr>
                <w:rFonts w:ascii="Arial Narrow" w:eastAsia="Calibri" w:hAnsi="Arial Narrow"/>
                <w:snapToGrid/>
                <w:sz w:val="20"/>
                <w:szCs w:val="22"/>
              </w:rPr>
              <w:t>Prescriber Instructions</w:t>
            </w:r>
          </w:p>
        </w:tc>
        <w:tc>
          <w:tcPr>
            <w:tcW w:w="3915" w:type="pct"/>
            <w:gridSpan w:val="6"/>
            <w:tcBorders>
              <w:top w:val="single" w:sz="4" w:space="0" w:color="auto"/>
              <w:left w:val="single" w:sz="4" w:space="0" w:color="auto"/>
              <w:bottom w:val="single" w:sz="4" w:space="0" w:color="auto"/>
              <w:right w:val="single" w:sz="4" w:space="0" w:color="auto"/>
            </w:tcBorders>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lang w:eastAsia="en-AU"/>
              </w:rPr>
              <w:t xml:space="preserve">Patient must not receive PBS-subsidised </w:t>
            </w:r>
            <w:proofErr w:type="spellStart"/>
            <w:r w:rsidRPr="005E0DC9">
              <w:rPr>
                <w:rFonts w:ascii="Arial Narrow" w:eastAsia="Calibri" w:hAnsi="Arial Narrow"/>
                <w:snapToGrid/>
                <w:sz w:val="20"/>
                <w:szCs w:val="22"/>
                <w:lang w:eastAsia="en-AU"/>
              </w:rPr>
              <w:t>ibrutinib</w:t>
            </w:r>
            <w:proofErr w:type="spellEnd"/>
            <w:r w:rsidRPr="005E0DC9">
              <w:rPr>
                <w:rFonts w:ascii="Arial Narrow" w:eastAsia="Calibri" w:hAnsi="Arial Narrow"/>
                <w:snapToGrid/>
                <w:sz w:val="20"/>
                <w:szCs w:val="22"/>
                <w:lang w:eastAsia="en-AU"/>
              </w:rPr>
              <w:t xml:space="preserve"> if progressive disease develops while on PBS-subsidised </w:t>
            </w:r>
            <w:proofErr w:type="spellStart"/>
            <w:r w:rsidRPr="005E0DC9">
              <w:rPr>
                <w:rFonts w:ascii="Arial Narrow" w:eastAsia="Calibri" w:hAnsi="Arial Narrow"/>
                <w:snapToGrid/>
                <w:sz w:val="20"/>
                <w:szCs w:val="22"/>
                <w:lang w:eastAsia="en-AU"/>
              </w:rPr>
              <w:t>ibrutinib</w:t>
            </w:r>
            <w:r w:rsidRPr="005E0DC9">
              <w:rPr>
                <w:rFonts w:ascii="Arial Narrow" w:eastAsia="Calibri" w:hAnsi="Arial Narrow"/>
                <w:snapToGrid/>
                <w:sz w:val="18"/>
                <w:szCs w:val="18"/>
                <w:vertAlign w:val="superscript"/>
                <w:lang w:eastAsia="en-AU"/>
              </w:rPr>
              <w:t>b</w:t>
            </w:r>
            <w:proofErr w:type="spellEnd"/>
          </w:p>
        </w:tc>
      </w:tr>
      <w:tr w:rsidR="00610C73" w:rsidRPr="005E0DC9" w:rsidTr="00812944">
        <w:tblPrEx>
          <w:tblCellMar>
            <w:left w:w="108" w:type="dxa"/>
            <w:right w:w="108" w:type="dxa"/>
          </w:tblCellMar>
        </w:tblPrEx>
        <w:trPr>
          <w:gridBefore w:val="1"/>
          <w:wBefore w:w="4" w:type="pct"/>
          <w:cantSplit/>
        </w:trPr>
        <w:tc>
          <w:tcPr>
            <w:tcW w:w="4996" w:type="pct"/>
            <w:gridSpan w:val="7"/>
            <w:tcBorders>
              <w:top w:val="single" w:sz="4" w:space="0" w:color="auto"/>
            </w:tcBorders>
          </w:tcPr>
          <w:p w:rsidR="00610C73" w:rsidRPr="005E0DC9" w:rsidRDefault="00610C73" w:rsidP="00610C73">
            <w:pPr>
              <w:keepNext/>
              <w:widowControl/>
              <w:tabs>
                <w:tab w:val="left" w:pos="195"/>
              </w:tabs>
              <w:ind w:left="195" w:hanging="195"/>
              <w:rPr>
                <w:rFonts w:ascii="Arial Narrow" w:eastAsia="Calibri" w:hAnsi="Arial Narrow"/>
                <w:snapToGrid/>
                <w:sz w:val="18"/>
                <w:szCs w:val="18"/>
                <w:vertAlign w:val="superscript"/>
                <w:lang w:eastAsia="en-AU"/>
              </w:rPr>
            </w:pPr>
            <w:r w:rsidRPr="005E0DC9">
              <w:rPr>
                <w:rFonts w:ascii="Arial Narrow" w:eastAsia="Calibri" w:hAnsi="Arial Narrow"/>
                <w:snapToGrid/>
                <w:sz w:val="18"/>
                <w:szCs w:val="18"/>
                <w:vertAlign w:val="superscript"/>
                <w:lang w:eastAsia="en-AU"/>
              </w:rPr>
              <w:t>a</w:t>
            </w:r>
            <w:r w:rsidRPr="005E0DC9">
              <w:rPr>
                <w:rFonts w:ascii="Arial Narrow" w:eastAsia="Calibri" w:hAnsi="Arial Narrow"/>
                <w:snapToGrid/>
                <w:sz w:val="18"/>
                <w:szCs w:val="18"/>
                <w:lang w:eastAsia="en-AU"/>
              </w:rPr>
              <w:t xml:space="preserve"> </w:t>
            </w:r>
            <w:r w:rsidRPr="005E0DC9">
              <w:rPr>
                <w:rFonts w:ascii="Arial Narrow" w:eastAsia="Calibri" w:hAnsi="Arial Narrow"/>
                <w:snapToGrid/>
                <w:sz w:val="18"/>
                <w:szCs w:val="18"/>
              </w:rPr>
              <w:t>The requested prices have been updated to include the Administration, Handling and Infrastructure (AHI) fee ($72.43) and dispensing fee ($7.15) that are current as of 1 July 2017.</w:t>
            </w:r>
          </w:p>
          <w:p w:rsidR="00610C73" w:rsidRPr="005E0DC9" w:rsidRDefault="00610C73" w:rsidP="00610C73">
            <w:pPr>
              <w:keepNext/>
              <w:widowControl/>
              <w:tabs>
                <w:tab w:val="left" w:pos="195"/>
              </w:tabs>
              <w:ind w:left="195" w:hanging="195"/>
              <w:rPr>
                <w:rFonts w:ascii="Arial Narrow" w:eastAsia="Calibri" w:hAnsi="Arial Narrow"/>
                <w:snapToGrid/>
                <w:sz w:val="18"/>
                <w:szCs w:val="18"/>
              </w:rPr>
            </w:pPr>
            <w:r w:rsidRPr="005E0DC9">
              <w:rPr>
                <w:rFonts w:ascii="Arial Narrow" w:eastAsia="Calibri" w:hAnsi="Arial Narrow"/>
                <w:snapToGrid/>
                <w:sz w:val="18"/>
                <w:szCs w:val="18"/>
                <w:vertAlign w:val="superscript"/>
                <w:lang w:eastAsia="en-AU"/>
              </w:rPr>
              <w:t>b</w:t>
            </w:r>
            <w:r w:rsidRPr="005E0DC9">
              <w:rPr>
                <w:rFonts w:ascii="Arial Narrow" w:eastAsia="Calibri" w:hAnsi="Arial Narrow"/>
                <w:snapToGrid/>
                <w:sz w:val="18"/>
                <w:szCs w:val="18"/>
                <w:lang w:eastAsia="en-AU"/>
              </w:rPr>
              <w:tab/>
            </w:r>
            <w:r w:rsidRPr="005E0DC9">
              <w:rPr>
                <w:rFonts w:ascii="Arial Narrow" w:eastAsia="Calibri" w:hAnsi="Arial Narrow"/>
                <w:snapToGrid/>
                <w:sz w:val="18"/>
                <w:szCs w:val="18"/>
              </w:rPr>
              <w:t xml:space="preserve">While the submission included this criteria regarding development of progressive disease as part of its requested clinical criteria, for the recommended PBS restriction for </w:t>
            </w:r>
            <w:proofErr w:type="spellStart"/>
            <w:r w:rsidRPr="005E0DC9">
              <w:rPr>
                <w:rFonts w:ascii="Arial Narrow" w:eastAsia="Calibri" w:hAnsi="Arial Narrow"/>
                <w:snapToGrid/>
                <w:sz w:val="18"/>
                <w:szCs w:val="18"/>
              </w:rPr>
              <w:t>ibrutinib</w:t>
            </w:r>
            <w:proofErr w:type="spellEnd"/>
            <w:r w:rsidRPr="005E0DC9">
              <w:rPr>
                <w:rFonts w:ascii="Arial Narrow" w:eastAsia="Calibri" w:hAnsi="Arial Narrow"/>
                <w:snapToGrid/>
                <w:sz w:val="18"/>
                <w:szCs w:val="18"/>
              </w:rPr>
              <w:t xml:space="preserve"> for relapsed/refractory CLL/SLL this criteria was moved to ‘Prescriber instructions’ so the same has been done here.</w:t>
            </w:r>
          </w:p>
          <w:p w:rsidR="00610C73" w:rsidRPr="005E0DC9" w:rsidRDefault="00610C73" w:rsidP="00610C73">
            <w:pPr>
              <w:keepNext/>
              <w:widowControl/>
              <w:tabs>
                <w:tab w:val="left" w:pos="195"/>
              </w:tabs>
              <w:ind w:left="195" w:hanging="195"/>
              <w:rPr>
                <w:rFonts w:ascii="Arial Narrow" w:eastAsia="Calibri" w:hAnsi="Arial Narrow"/>
                <w:snapToGrid/>
                <w:sz w:val="20"/>
                <w:szCs w:val="22"/>
                <w:lang w:eastAsia="en-AU"/>
              </w:rPr>
            </w:pPr>
            <w:r w:rsidRPr="005E0DC9">
              <w:rPr>
                <w:rFonts w:ascii="Arial Narrow" w:eastAsia="Calibri" w:hAnsi="Arial Narrow"/>
                <w:snapToGrid/>
                <w:sz w:val="18"/>
                <w:szCs w:val="18"/>
              </w:rPr>
              <w:t>Source: Table A.1, p7 and Table A.3, p10 of Section A of the submission.</w:t>
            </w:r>
          </w:p>
        </w:tc>
      </w:tr>
    </w:tbl>
    <w:p w:rsidR="007E2539" w:rsidRPr="005E0DC9" w:rsidRDefault="007E2539" w:rsidP="00FA1A53">
      <w:pPr>
        <w:widowControl/>
        <w:numPr>
          <w:ilvl w:val="1"/>
          <w:numId w:val="11"/>
        </w:numPr>
        <w:spacing w:before="120" w:after="160"/>
        <w:ind w:left="709" w:hanging="709"/>
        <w:rPr>
          <w:rFonts w:asciiTheme="minorHAnsi" w:eastAsia="Calibri" w:hAnsiTheme="minorHAnsi"/>
          <w:snapToGrid/>
          <w:sz w:val="24"/>
          <w:szCs w:val="24"/>
        </w:rPr>
      </w:pPr>
      <w:r w:rsidRPr="005E0DC9">
        <w:rPr>
          <w:rFonts w:asciiTheme="minorHAnsi" w:eastAsia="Calibri" w:hAnsiTheme="minorHAnsi"/>
          <w:snapToGrid/>
          <w:sz w:val="24"/>
          <w:szCs w:val="24"/>
        </w:rPr>
        <w:t xml:space="preserve">The ESC noted that </w:t>
      </w:r>
      <w:r w:rsidR="0063422F" w:rsidRPr="005E0DC9">
        <w:rPr>
          <w:rFonts w:asciiTheme="minorHAnsi" w:eastAsia="Calibri" w:hAnsiTheme="minorHAnsi"/>
          <w:snapToGrid/>
          <w:sz w:val="24"/>
          <w:szCs w:val="24"/>
        </w:rPr>
        <w:t>there is no definition of progressive disease in the proposed restriction. T</w:t>
      </w:r>
      <w:r w:rsidRPr="005E0DC9">
        <w:rPr>
          <w:rFonts w:asciiTheme="minorHAnsi" w:eastAsia="Calibri" w:hAnsiTheme="minorHAnsi"/>
          <w:snapToGrid/>
          <w:sz w:val="24"/>
          <w:szCs w:val="24"/>
        </w:rPr>
        <w:t xml:space="preserve">he full </w:t>
      </w:r>
      <w:proofErr w:type="spellStart"/>
      <w:r w:rsidRPr="005E0DC9">
        <w:rPr>
          <w:rFonts w:asciiTheme="minorHAnsi" w:eastAsia="Calibri" w:hAnsiTheme="minorHAnsi"/>
          <w:snapToGrid/>
          <w:sz w:val="24"/>
          <w:szCs w:val="24"/>
        </w:rPr>
        <w:t>iwCLL</w:t>
      </w:r>
      <w:proofErr w:type="spellEnd"/>
      <w:r w:rsidRPr="005E0DC9">
        <w:rPr>
          <w:rFonts w:asciiTheme="minorHAnsi" w:eastAsia="Calibri" w:hAnsiTheme="minorHAnsi"/>
          <w:snapToGrid/>
          <w:sz w:val="24"/>
          <w:szCs w:val="24"/>
        </w:rPr>
        <w:t xml:space="preserve"> 2008 criteria for assessing progressive disease while on </w:t>
      </w:r>
      <w:proofErr w:type="spellStart"/>
      <w:r w:rsidRPr="005E0DC9">
        <w:rPr>
          <w:rFonts w:asciiTheme="minorHAnsi" w:eastAsia="Calibri" w:hAnsiTheme="minorHAnsi"/>
          <w:snapToGrid/>
          <w:sz w:val="24"/>
          <w:szCs w:val="24"/>
        </w:rPr>
        <w:t>ibrutinib</w:t>
      </w:r>
      <w:proofErr w:type="spellEnd"/>
      <w:r w:rsidRPr="005E0DC9">
        <w:rPr>
          <w:rFonts w:asciiTheme="minorHAnsi" w:eastAsia="Calibri" w:hAnsiTheme="minorHAnsi"/>
          <w:snapToGrid/>
          <w:sz w:val="24"/>
          <w:szCs w:val="24"/>
        </w:rPr>
        <w:t xml:space="preserve"> treatment may be misleading as patients on this class of drug often demonstrate an increased lymphocytosis despite improvement in nodal and bone marrow disease, which may persist for several months. </w:t>
      </w:r>
      <w:r w:rsidR="00AE0D27" w:rsidRPr="005E0DC9">
        <w:rPr>
          <w:rFonts w:asciiTheme="minorHAnsi" w:eastAsia="Calibri" w:hAnsiTheme="minorHAnsi"/>
          <w:snapToGrid/>
          <w:sz w:val="24"/>
          <w:szCs w:val="24"/>
        </w:rPr>
        <w:t xml:space="preserve">The PBAC considered progressive disease during or after therapy characterised by at least one </w:t>
      </w:r>
      <w:proofErr w:type="spellStart"/>
      <w:r w:rsidR="00AE0D27" w:rsidRPr="005E0DC9">
        <w:rPr>
          <w:rFonts w:asciiTheme="minorHAnsi" w:eastAsia="Calibri" w:hAnsiTheme="minorHAnsi"/>
          <w:snapToGrid/>
          <w:sz w:val="24"/>
          <w:szCs w:val="24"/>
        </w:rPr>
        <w:t>iwCLL</w:t>
      </w:r>
      <w:proofErr w:type="spellEnd"/>
      <w:r w:rsidR="00AE0D27" w:rsidRPr="005E0DC9">
        <w:rPr>
          <w:rFonts w:asciiTheme="minorHAnsi" w:eastAsia="Calibri" w:hAnsiTheme="minorHAnsi"/>
          <w:snapToGrid/>
          <w:sz w:val="24"/>
          <w:szCs w:val="24"/>
        </w:rPr>
        <w:t xml:space="preserve"> criteria, as per </w:t>
      </w:r>
      <w:r w:rsidR="007E7576" w:rsidRPr="005E0DC9">
        <w:rPr>
          <w:rFonts w:asciiTheme="minorHAnsi" w:eastAsia="Calibri" w:hAnsiTheme="minorHAnsi"/>
          <w:snapToGrid/>
          <w:sz w:val="24"/>
          <w:szCs w:val="24"/>
        </w:rPr>
        <w:t xml:space="preserve">the </w:t>
      </w:r>
      <w:r w:rsidR="00AE0D27" w:rsidRPr="005E0DC9">
        <w:rPr>
          <w:rFonts w:asciiTheme="minorHAnsi" w:eastAsia="Calibri" w:hAnsiTheme="minorHAnsi"/>
          <w:snapToGrid/>
          <w:sz w:val="24"/>
          <w:szCs w:val="24"/>
        </w:rPr>
        <w:t xml:space="preserve">RESONATE-2 trial protocol, </w:t>
      </w:r>
      <w:r w:rsidR="00E4305A" w:rsidRPr="005E0DC9">
        <w:rPr>
          <w:rFonts w:asciiTheme="minorHAnsi" w:eastAsia="Calibri" w:hAnsiTheme="minorHAnsi"/>
          <w:snapToGrid/>
          <w:sz w:val="24"/>
          <w:szCs w:val="24"/>
        </w:rPr>
        <w:t>was</w:t>
      </w:r>
      <w:r w:rsidR="00906373" w:rsidRPr="005E0DC9">
        <w:rPr>
          <w:rFonts w:asciiTheme="minorHAnsi" w:eastAsia="Calibri" w:hAnsiTheme="minorHAnsi"/>
          <w:snapToGrid/>
          <w:sz w:val="24"/>
          <w:szCs w:val="24"/>
        </w:rPr>
        <w:t xml:space="preserve"> </w:t>
      </w:r>
      <w:r w:rsidR="005B36D6" w:rsidRPr="005E0DC9">
        <w:rPr>
          <w:rFonts w:asciiTheme="minorHAnsi" w:eastAsia="Calibri" w:hAnsiTheme="minorHAnsi"/>
          <w:snapToGrid/>
          <w:sz w:val="24"/>
          <w:szCs w:val="24"/>
        </w:rPr>
        <w:t>appropriate</w:t>
      </w:r>
      <w:r w:rsidR="00AE0D27" w:rsidRPr="005E0DC9">
        <w:rPr>
          <w:rFonts w:asciiTheme="minorHAnsi" w:eastAsia="Calibri" w:hAnsiTheme="minorHAnsi"/>
          <w:snapToGrid/>
          <w:sz w:val="24"/>
          <w:szCs w:val="24"/>
        </w:rPr>
        <w:t xml:space="preserve">. </w:t>
      </w:r>
    </w:p>
    <w:p w:rsidR="00AE0D27" w:rsidRPr="005E0DC9" w:rsidRDefault="0075085A" w:rsidP="0075085A">
      <w:pPr>
        <w:widowControl/>
        <w:numPr>
          <w:ilvl w:val="1"/>
          <w:numId w:val="11"/>
        </w:numPr>
        <w:spacing w:before="120" w:after="160"/>
        <w:ind w:left="709" w:hanging="709"/>
        <w:rPr>
          <w:rFonts w:asciiTheme="minorHAnsi" w:eastAsia="Calibri" w:hAnsiTheme="minorHAnsi"/>
          <w:snapToGrid/>
          <w:sz w:val="24"/>
          <w:szCs w:val="24"/>
        </w:rPr>
      </w:pPr>
      <w:r w:rsidRPr="005E0DC9">
        <w:rPr>
          <w:rFonts w:ascii="Calibri" w:eastAsia="Calibri" w:hAnsi="Calibri"/>
          <w:snapToGrid/>
          <w:sz w:val="24"/>
          <w:szCs w:val="22"/>
        </w:rPr>
        <w:t xml:space="preserve">While the requested restriction specifies that patients must be unfit for </w:t>
      </w:r>
      <w:proofErr w:type="spellStart"/>
      <w:r w:rsidRPr="005E0DC9">
        <w:rPr>
          <w:rFonts w:ascii="Calibri" w:eastAsia="Calibri" w:hAnsi="Calibri"/>
          <w:snapToGrid/>
          <w:sz w:val="24"/>
          <w:szCs w:val="22"/>
        </w:rPr>
        <w:t>fludarabine</w:t>
      </w:r>
      <w:proofErr w:type="spellEnd"/>
      <w:r w:rsidRPr="005E0DC9">
        <w:rPr>
          <w:rFonts w:ascii="Calibri" w:eastAsia="Calibri" w:hAnsi="Calibri"/>
          <w:snapToGrid/>
          <w:sz w:val="24"/>
          <w:szCs w:val="22"/>
        </w:rPr>
        <w:t>-based therapy, criteria</w:t>
      </w:r>
      <w:r w:rsidR="005B36D6" w:rsidRPr="005E0DC9">
        <w:rPr>
          <w:rFonts w:ascii="Calibri" w:eastAsia="Calibri" w:hAnsi="Calibri"/>
          <w:snapToGrid/>
          <w:sz w:val="24"/>
          <w:szCs w:val="22"/>
        </w:rPr>
        <w:t xml:space="preserve"> were not proposed</w:t>
      </w:r>
      <w:r w:rsidRPr="005E0DC9">
        <w:rPr>
          <w:rFonts w:ascii="Calibri" w:eastAsia="Calibri" w:hAnsi="Calibri"/>
          <w:snapToGrid/>
          <w:sz w:val="24"/>
          <w:szCs w:val="22"/>
        </w:rPr>
        <w:t xml:space="preserve"> which detail how ‘unfit’ is defined.  The restriction recommended by the PBAC for use of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in relapsed/refractory CLL/SLL patients unfit for treatment with </w:t>
      </w:r>
      <w:proofErr w:type="spellStart"/>
      <w:r w:rsidRPr="005E0DC9">
        <w:rPr>
          <w:rFonts w:ascii="Calibri" w:eastAsia="Calibri" w:hAnsi="Calibri"/>
          <w:snapToGrid/>
          <w:sz w:val="24"/>
          <w:szCs w:val="22"/>
        </w:rPr>
        <w:t>fludarabine</w:t>
      </w:r>
      <w:proofErr w:type="spellEnd"/>
      <w:r w:rsidRPr="005E0DC9">
        <w:rPr>
          <w:rFonts w:ascii="Calibri" w:eastAsia="Calibri" w:hAnsi="Calibri"/>
          <w:snapToGrid/>
          <w:sz w:val="24"/>
          <w:szCs w:val="22"/>
        </w:rPr>
        <w:t>-based therapy provided a detailed definition of when a patient would be considered unsuitable for treatment with a purine analogue.</w:t>
      </w:r>
      <w:r w:rsidR="00AE0D27" w:rsidRPr="005E0DC9">
        <w:rPr>
          <w:rFonts w:ascii="Calibri" w:eastAsia="Calibri" w:hAnsi="Calibri"/>
          <w:snapToGrid/>
          <w:sz w:val="24"/>
          <w:szCs w:val="22"/>
        </w:rPr>
        <w:t xml:space="preserve"> The PBAC considered a similar addition to the restriction in previously untreated patients w</w:t>
      </w:r>
      <w:r w:rsidR="00906373" w:rsidRPr="005E0DC9">
        <w:rPr>
          <w:rFonts w:ascii="Calibri" w:eastAsia="Calibri" w:hAnsi="Calibri"/>
          <w:snapToGrid/>
          <w:sz w:val="24"/>
          <w:szCs w:val="22"/>
        </w:rPr>
        <w:t>ould be</w:t>
      </w:r>
      <w:r w:rsidR="00AE0D27" w:rsidRPr="005E0DC9">
        <w:rPr>
          <w:rFonts w:ascii="Calibri" w:eastAsia="Calibri" w:hAnsi="Calibri"/>
          <w:snapToGrid/>
          <w:sz w:val="24"/>
          <w:szCs w:val="22"/>
        </w:rPr>
        <w:t xml:space="preserve"> appropriate</w:t>
      </w:r>
      <w:r w:rsidR="00906373" w:rsidRPr="005E0DC9">
        <w:rPr>
          <w:rFonts w:ascii="Calibri" w:eastAsia="Calibri" w:hAnsi="Calibri"/>
          <w:snapToGrid/>
          <w:sz w:val="24"/>
          <w:szCs w:val="22"/>
        </w:rPr>
        <w:t>;</w:t>
      </w:r>
      <w:r w:rsidR="007E7576" w:rsidRPr="005E0DC9">
        <w:rPr>
          <w:rFonts w:ascii="Calibri" w:eastAsia="Calibri" w:hAnsi="Calibri"/>
          <w:snapToGrid/>
          <w:sz w:val="24"/>
          <w:szCs w:val="22"/>
        </w:rPr>
        <w:t xml:space="preserve"> see suggested prescriber instruction below</w:t>
      </w:r>
      <w:r w:rsidR="00AE0D27" w:rsidRPr="005E0DC9">
        <w:rPr>
          <w:rFonts w:ascii="Calibri" w:eastAsia="Calibri" w:hAnsi="Calibri"/>
          <w:snapToGrid/>
          <w:sz w:val="24"/>
          <w:szCs w:val="22"/>
        </w:rPr>
        <w:t>.</w:t>
      </w:r>
      <w:r w:rsidRPr="005E0DC9">
        <w:rPr>
          <w:rFonts w:ascii="Calibri" w:eastAsia="Calibri" w:hAnsi="Calibri"/>
          <w:snapToGrid/>
          <w:sz w:val="24"/>
          <w:szCs w:val="22"/>
        </w:rPr>
        <w:t xml:space="preserve"> </w:t>
      </w:r>
    </w:p>
    <w:tbl>
      <w:tblPr>
        <w:tblW w:w="5011" w:type="pct"/>
        <w:tblLook w:val="0000" w:firstRow="0" w:lastRow="0" w:firstColumn="0" w:lastColumn="0" w:noHBand="0" w:noVBand="0"/>
      </w:tblPr>
      <w:tblGrid>
        <w:gridCol w:w="2003"/>
        <w:gridCol w:w="7260"/>
      </w:tblGrid>
      <w:tr w:rsidR="007E7576" w:rsidRPr="005E0DC9" w:rsidTr="00D907B6">
        <w:trPr>
          <w:cantSplit/>
        </w:trPr>
        <w:tc>
          <w:tcPr>
            <w:tcW w:w="1080" w:type="pct"/>
            <w:tcBorders>
              <w:top w:val="single" w:sz="4" w:space="0" w:color="auto"/>
              <w:left w:val="single" w:sz="4" w:space="0" w:color="auto"/>
              <w:bottom w:val="single" w:sz="4" w:space="0" w:color="auto"/>
              <w:right w:val="single" w:sz="4" w:space="0" w:color="auto"/>
            </w:tcBorders>
          </w:tcPr>
          <w:p w:rsidR="007E7576" w:rsidRPr="005E0DC9" w:rsidRDefault="007E7576" w:rsidP="00D907B6">
            <w:pPr>
              <w:keepNext/>
              <w:widowControl/>
              <w:jc w:val="left"/>
              <w:rPr>
                <w:rFonts w:ascii="Times" w:hAnsi="Times" w:cs="Times New Roman"/>
                <w:snapToGrid/>
                <w:sz w:val="20"/>
              </w:rPr>
            </w:pPr>
            <w:r w:rsidRPr="005E0DC9">
              <w:rPr>
                <w:rFonts w:ascii="Arial Narrow" w:eastAsia="Calibri" w:hAnsi="Arial Narrow"/>
                <w:snapToGrid/>
                <w:sz w:val="20"/>
                <w:szCs w:val="22"/>
              </w:rPr>
              <w:lastRenderedPageBreak/>
              <w:t>Prescriber instruction:</w:t>
            </w:r>
          </w:p>
        </w:tc>
        <w:tc>
          <w:tcPr>
            <w:tcW w:w="3915" w:type="pct"/>
            <w:tcBorders>
              <w:top w:val="single" w:sz="4" w:space="0" w:color="auto"/>
              <w:left w:val="single" w:sz="4" w:space="0" w:color="auto"/>
              <w:bottom w:val="single" w:sz="4" w:space="0" w:color="auto"/>
              <w:right w:val="single" w:sz="4" w:space="0" w:color="auto"/>
            </w:tcBorders>
          </w:tcPr>
          <w:p w:rsidR="007E7576" w:rsidRPr="005E0DC9" w:rsidRDefault="007E7576" w:rsidP="007E7576">
            <w:pPr>
              <w:widowControl/>
              <w:spacing w:line="288" w:lineRule="auto"/>
              <w:jc w:val="left"/>
              <w:rPr>
                <w:rFonts w:ascii="Arial Narrow" w:hAnsi="Arial Narrow"/>
                <w:sz w:val="20"/>
              </w:rPr>
            </w:pPr>
            <w:r w:rsidRPr="005E0DC9">
              <w:rPr>
                <w:rFonts w:ascii="Arial Narrow" w:eastAsiaTheme="minorEastAsia" w:hAnsi="Arial Narrow" w:cstheme="minorBidi"/>
                <w:kern w:val="24"/>
                <w:sz w:val="20"/>
              </w:rPr>
              <w:t>A patient is considered unsuitable for treatment with a purine analogue as demonstrated by at least one of the following:</w:t>
            </w:r>
          </w:p>
          <w:p w:rsidR="007E7576" w:rsidRPr="005E0DC9" w:rsidRDefault="007E7576" w:rsidP="007E7576">
            <w:pPr>
              <w:pStyle w:val="ListParagraph"/>
              <w:widowControl/>
              <w:numPr>
                <w:ilvl w:val="0"/>
                <w:numId w:val="19"/>
              </w:numPr>
              <w:spacing w:line="288" w:lineRule="auto"/>
              <w:jc w:val="left"/>
              <w:rPr>
                <w:rFonts w:ascii="Arial Narrow" w:hAnsi="Arial Narrow"/>
                <w:sz w:val="20"/>
              </w:rPr>
            </w:pPr>
            <w:r w:rsidRPr="005E0DC9">
              <w:rPr>
                <w:rFonts w:ascii="Arial Narrow" w:eastAsiaTheme="minorEastAsia" w:hAnsi="Arial Narrow" w:cstheme="minorBidi"/>
                <w:kern w:val="24"/>
                <w:sz w:val="20"/>
              </w:rPr>
              <w:t>Age ≥ 70 years</w:t>
            </w:r>
          </w:p>
          <w:p w:rsidR="007E7576" w:rsidRPr="005E0DC9" w:rsidRDefault="007E7576" w:rsidP="007E7576">
            <w:pPr>
              <w:pStyle w:val="ListParagraph"/>
              <w:widowControl/>
              <w:numPr>
                <w:ilvl w:val="0"/>
                <w:numId w:val="19"/>
              </w:numPr>
              <w:spacing w:line="288" w:lineRule="auto"/>
              <w:jc w:val="left"/>
              <w:rPr>
                <w:rFonts w:ascii="Arial Narrow" w:hAnsi="Arial Narrow"/>
                <w:sz w:val="20"/>
              </w:rPr>
            </w:pPr>
            <w:r w:rsidRPr="005E0DC9">
              <w:rPr>
                <w:rFonts w:ascii="Arial Narrow" w:eastAsiaTheme="minorEastAsia" w:hAnsi="Arial Narrow" w:cstheme="minorBidi"/>
                <w:bCs/>
                <w:kern w:val="24"/>
                <w:sz w:val="20"/>
              </w:rPr>
              <w:t>Age ≥ 65 years</w:t>
            </w:r>
            <w:r w:rsidRPr="005E0DC9">
              <w:rPr>
                <w:rFonts w:ascii="Arial Narrow" w:eastAsiaTheme="minorEastAsia" w:hAnsi="Arial Narrow" w:cstheme="minorBidi"/>
                <w:b/>
                <w:bCs/>
                <w:kern w:val="24"/>
                <w:sz w:val="20"/>
              </w:rPr>
              <w:t xml:space="preserve"> </w:t>
            </w:r>
            <w:r w:rsidRPr="005E0DC9">
              <w:rPr>
                <w:rFonts w:ascii="Arial Narrow" w:eastAsiaTheme="minorEastAsia" w:hAnsi="Arial Narrow" w:cstheme="minorBidi"/>
                <w:kern w:val="24"/>
                <w:sz w:val="20"/>
              </w:rPr>
              <w:t xml:space="preserve">and the presence of comorbidities (Cumulative Illness Rating Scale ≥ 6 or creatinine clearance &lt;70 mL/min) that might place the patient at an unacceptable risk for treatment-related toxicity with purine analogue-based therapy </w:t>
            </w:r>
          </w:p>
          <w:p w:rsidR="007E7576" w:rsidRPr="005E0DC9" w:rsidRDefault="007E7576" w:rsidP="007E7576">
            <w:pPr>
              <w:pStyle w:val="ListParagraph"/>
              <w:widowControl/>
              <w:numPr>
                <w:ilvl w:val="0"/>
                <w:numId w:val="19"/>
              </w:numPr>
              <w:spacing w:line="288" w:lineRule="auto"/>
              <w:jc w:val="left"/>
              <w:rPr>
                <w:rFonts w:ascii="Arial Narrow" w:hAnsi="Arial Narrow"/>
                <w:sz w:val="20"/>
              </w:rPr>
            </w:pPr>
            <w:r w:rsidRPr="005E0DC9">
              <w:rPr>
                <w:rFonts w:ascii="Arial Narrow" w:eastAsiaTheme="minorEastAsia" w:hAnsi="Arial Narrow" w:cstheme="minorBidi"/>
                <w:kern w:val="24"/>
                <w:sz w:val="20"/>
              </w:rPr>
              <w:t>History of autoimmune thrombocytopenia</w:t>
            </w:r>
          </w:p>
          <w:p w:rsidR="007E7576" w:rsidRPr="005E0DC9" w:rsidRDefault="007E7576" w:rsidP="007E7576">
            <w:pPr>
              <w:pStyle w:val="ListParagraph"/>
              <w:widowControl/>
              <w:numPr>
                <w:ilvl w:val="0"/>
                <w:numId w:val="19"/>
              </w:numPr>
              <w:spacing w:line="288" w:lineRule="auto"/>
              <w:jc w:val="left"/>
              <w:rPr>
                <w:rFonts w:ascii="Arial Narrow" w:hAnsi="Arial Narrow"/>
                <w:sz w:val="20"/>
              </w:rPr>
            </w:pPr>
            <w:r w:rsidRPr="005E0DC9">
              <w:rPr>
                <w:rFonts w:ascii="Arial Narrow" w:eastAsiaTheme="minorEastAsia" w:hAnsi="Arial Narrow" w:cstheme="minorBidi"/>
                <w:kern w:val="24"/>
                <w:sz w:val="20"/>
              </w:rPr>
              <w:t>17p deletion</w:t>
            </w:r>
          </w:p>
        </w:tc>
      </w:tr>
    </w:tbl>
    <w:p w:rsidR="00610C73" w:rsidRPr="005E0DC9" w:rsidRDefault="00610C73" w:rsidP="007E7576">
      <w:pPr>
        <w:widowControl/>
        <w:numPr>
          <w:ilvl w:val="1"/>
          <w:numId w:val="11"/>
        </w:numPr>
        <w:spacing w:before="120" w:after="160"/>
        <w:ind w:left="709" w:hanging="709"/>
        <w:rPr>
          <w:rFonts w:asciiTheme="minorHAnsi" w:eastAsia="Calibri" w:hAnsiTheme="minorHAnsi"/>
          <w:snapToGrid/>
          <w:sz w:val="24"/>
          <w:szCs w:val="24"/>
        </w:rPr>
      </w:pPr>
      <w:r w:rsidRPr="005E0DC9">
        <w:rPr>
          <w:rFonts w:ascii="Calibri" w:eastAsia="Calibri" w:hAnsi="Calibri"/>
          <w:snapToGrid/>
          <w:sz w:val="24"/>
          <w:szCs w:val="22"/>
        </w:rPr>
        <w:t>The</w:t>
      </w:r>
      <w:r w:rsidRPr="005E0DC9">
        <w:rPr>
          <w:rFonts w:asciiTheme="minorHAnsi" w:eastAsia="Calibri" w:hAnsiTheme="minorHAnsi"/>
          <w:snapToGrid/>
          <w:sz w:val="24"/>
          <w:szCs w:val="24"/>
        </w:rPr>
        <w:t xml:space="preserve"> submission requested a special pricing arrangement and stated that details of the arrangement would be captured in a Deed of Agreement.  </w:t>
      </w:r>
    </w:p>
    <w:p w:rsidR="00B057E5" w:rsidRPr="005E0DC9" w:rsidRDefault="00610C73" w:rsidP="00FA1A53">
      <w:pPr>
        <w:widowControl/>
        <w:numPr>
          <w:ilvl w:val="1"/>
          <w:numId w:val="11"/>
        </w:numPr>
        <w:spacing w:before="120" w:after="160"/>
        <w:ind w:left="709" w:hanging="709"/>
        <w:rPr>
          <w:rFonts w:ascii="Calibri" w:eastAsia="Calibri" w:hAnsi="Calibri"/>
          <w:snapToGrid/>
          <w:sz w:val="24"/>
          <w:szCs w:val="22"/>
        </w:rPr>
      </w:pPr>
      <w:r w:rsidRPr="005E0DC9">
        <w:rPr>
          <w:rFonts w:ascii="Calibri" w:eastAsia="Calibri" w:hAnsi="Calibri"/>
          <w:snapToGrid/>
          <w:sz w:val="24"/>
          <w:szCs w:val="24"/>
        </w:rPr>
        <w:t>The requested price is the same as the recommended effective</w:t>
      </w:r>
      <w:r w:rsidRPr="005E0DC9">
        <w:rPr>
          <w:rFonts w:ascii="Calibri" w:eastAsia="Calibri" w:hAnsi="Calibri"/>
          <w:snapToGrid/>
          <w:sz w:val="24"/>
          <w:szCs w:val="22"/>
        </w:rPr>
        <w:t xml:space="preserve"> DPMQ per month for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for the relapsed or refractory CLL/SLL indication, which was approved for listing on the PBS by the PBAC in January 2017. </w:t>
      </w:r>
      <w:r w:rsidR="00B057E5" w:rsidRPr="005E0DC9">
        <w:rPr>
          <w:rFonts w:ascii="Calibri" w:eastAsia="Calibri" w:hAnsi="Calibri"/>
          <w:snapToGrid/>
          <w:sz w:val="24"/>
          <w:szCs w:val="22"/>
        </w:rPr>
        <w:t>However, t</w:t>
      </w:r>
      <w:r w:rsidR="009D3361" w:rsidRPr="005E0DC9">
        <w:rPr>
          <w:rFonts w:ascii="Calibri" w:eastAsia="Calibri" w:hAnsi="Calibri"/>
          <w:snapToGrid/>
          <w:sz w:val="24"/>
          <w:szCs w:val="22"/>
        </w:rPr>
        <w:t>he PBAC’s recommendation for listing</w:t>
      </w:r>
      <w:r w:rsidR="00B057E5" w:rsidRPr="005E0DC9">
        <w:rPr>
          <w:rFonts w:ascii="Calibri" w:eastAsia="Calibri" w:hAnsi="Calibri"/>
          <w:snapToGrid/>
          <w:sz w:val="24"/>
          <w:szCs w:val="22"/>
        </w:rPr>
        <w:t xml:space="preserve"> of </w:t>
      </w:r>
      <w:proofErr w:type="spellStart"/>
      <w:r w:rsidR="00B057E5" w:rsidRPr="005E0DC9">
        <w:rPr>
          <w:rFonts w:ascii="Calibri" w:eastAsia="Calibri" w:hAnsi="Calibri"/>
          <w:snapToGrid/>
          <w:sz w:val="24"/>
          <w:szCs w:val="22"/>
        </w:rPr>
        <w:t>Ibrutinib</w:t>
      </w:r>
      <w:proofErr w:type="spellEnd"/>
      <w:r w:rsidR="00B057E5" w:rsidRPr="005E0DC9">
        <w:rPr>
          <w:rFonts w:ascii="Calibri" w:eastAsia="Calibri" w:hAnsi="Calibri"/>
          <w:snapToGrid/>
          <w:sz w:val="24"/>
          <w:szCs w:val="22"/>
        </w:rPr>
        <w:t xml:space="preserve"> in relapsed/refractory CLL/SLL recommendation</w:t>
      </w:r>
      <w:r w:rsidR="009D3361" w:rsidRPr="005E0DC9">
        <w:rPr>
          <w:rFonts w:ascii="Calibri" w:eastAsia="Calibri" w:hAnsi="Calibri"/>
          <w:snapToGrid/>
          <w:sz w:val="24"/>
          <w:szCs w:val="22"/>
        </w:rPr>
        <w:t xml:space="preserve"> was based on, among other matters, its assessment, that the cost-effectiveness of </w:t>
      </w:r>
      <w:proofErr w:type="spellStart"/>
      <w:r w:rsidR="009D3361" w:rsidRPr="005E0DC9">
        <w:rPr>
          <w:rFonts w:ascii="Calibri" w:eastAsia="Calibri" w:hAnsi="Calibri"/>
          <w:snapToGrid/>
          <w:sz w:val="24"/>
          <w:szCs w:val="22"/>
        </w:rPr>
        <w:t>ibrutinib</w:t>
      </w:r>
      <w:proofErr w:type="spellEnd"/>
      <w:r w:rsidR="009D3361" w:rsidRPr="005E0DC9">
        <w:rPr>
          <w:rFonts w:ascii="Calibri" w:eastAsia="Calibri" w:hAnsi="Calibri"/>
          <w:snapToGrid/>
          <w:sz w:val="24"/>
          <w:szCs w:val="22"/>
        </w:rPr>
        <w:t xml:space="preserve"> would be acceptable at the prices proposed in the sponsor’s submission dated 23 January 2017, and if the measures cited in the sponsor</w:t>
      </w:r>
      <w:r w:rsidR="00B057E5" w:rsidRPr="005E0DC9">
        <w:rPr>
          <w:rFonts w:ascii="Calibri" w:eastAsia="Calibri" w:hAnsi="Calibri"/>
          <w:snapToGrid/>
          <w:sz w:val="24"/>
          <w:szCs w:val="22"/>
        </w:rPr>
        <w:t>’</w:t>
      </w:r>
      <w:r w:rsidR="009D3361" w:rsidRPr="005E0DC9">
        <w:rPr>
          <w:rFonts w:ascii="Calibri" w:eastAsia="Calibri" w:hAnsi="Calibri"/>
          <w:snapToGrid/>
          <w:sz w:val="24"/>
          <w:szCs w:val="22"/>
        </w:rPr>
        <w:t xml:space="preserve">s submission dated 23 January 2017 were implemented to contain risks associated with the cost of </w:t>
      </w:r>
      <w:proofErr w:type="spellStart"/>
      <w:r w:rsidR="00B057E5" w:rsidRPr="005E0DC9">
        <w:rPr>
          <w:rFonts w:ascii="Calibri" w:eastAsia="Calibri" w:hAnsi="Calibri"/>
          <w:snapToGrid/>
          <w:sz w:val="24"/>
          <w:szCs w:val="22"/>
        </w:rPr>
        <w:t>ibrutinib</w:t>
      </w:r>
      <w:proofErr w:type="spellEnd"/>
      <w:r w:rsidR="009D3361" w:rsidRPr="005E0DC9">
        <w:rPr>
          <w:rFonts w:ascii="Calibri" w:eastAsia="Calibri" w:hAnsi="Calibri"/>
          <w:snapToGrid/>
          <w:sz w:val="24"/>
          <w:szCs w:val="22"/>
        </w:rPr>
        <w:t xml:space="preserve"> to the PBS.</w:t>
      </w:r>
      <w:r w:rsidR="00B057E5" w:rsidRPr="005E0DC9">
        <w:rPr>
          <w:rFonts w:ascii="Calibri" w:eastAsia="Calibri" w:hAnsi="Calibri"/>
          <w:snapToGrid/>
          <w:sz w:val="24"/>
          <w:szCs w:val="22"/>
        </w:rPr>
        <w:t xml:space="preserve"> By not taking those factors into account, the requested price in this submission for the first-line treatment of CLL is higher than the price at which the PBAC considered </w:t>
      </w:r>
      <w:proofErr w:type="spellStart"/>
      <w:r w:rsidR="00B057E5" w:rsidRPr="005E0DC9">
        <w:rPr>
          <w:rFonts w:ascii="Calibri" w:eastAsia="Calibri" w:hAnsi="Calibri"/>
          <w:snapToGrid/>
          <w:sz w:val="24"/>
          <w:szCs w:val="22"/>
        </w:rPr>
        <w:t>ibrutinib</w:t>
      </w:r>
      <w:proofErr w:type="spellEnd"/>
      <w:r w:rsidR="00B057E5" w:rsidRPr="005E0DC9">
        <w:rPr>
          <w:rFonts w:ascii="Calibri" w:eastAsia="Calibri" w:hAnsi="Calibri"/>
          <w:snapToGrid/>
          <w:sz w:val="24"/>
          <w:szCs w:val="22"/>
        </w:rPr>
        <w:t xml:space="preserve"> to be cost-effective in the relapsed/refractory setting. </w:t>
      </w:r>
    </w:p>
    <w:p w:rsidR="00740A17" w:rsidRPr="005E0DC9" w:rsidRDefault="00740A17" w:rsidP="00740A17">
      <w:pPr>
        <w:widowControl/>
        <w:spacing w:before="120" w:after="160"/>
        <w:ind w:left="709"/>
        <w:rPr>
          <w:rFonts w:ascii="Calibri" w:eastAsia="Calibri" w:hAnsi="Calibri"/>
          <w:snapToGrid/>
          <w:sz w:val="24"/>
          <w:szCs w:val="24"/>
        </w:rPr>
      </w:pPr>
      <w:r w:rsidRPr="005E0DC9">
        <w:rPr>
          <w:rFonts w:asciiTheme="minorHAnsi" w:hAnsiTheme="minorHAnsi"/>
          <w:i/>
          <w:sz w:val="24"/>
          <w:szCs w:val="24"/>
        </w:rPr>
        <w:t>For more detail on PBAC’s view, see section 7 PBAC outcome.</w:t>
      </w:r>
    </w:p>
    <w:p w:rsidR="00610C73" w:rsidRPr="005E0DC9" w:rsidRDefault="00610C73" w:rsidP="00FA1A53">
      <w:pPr>
        <w:pStyle w:val="Heading1"/>
        <w:keepNext/>
        <w:keepLines/>
        <w:widowControl/>
        <w:numPr>
          <w:ilvl w:val="0"/>
          <w:numId w:val="11"/>
        </w:numPr>
        <w:spacing w:before="240" w:after="120"/>
        <w:jc w:val="left"/>
        <w:rPr>
          <w:rFonts w:asciiTheme="minorHAnsi" w:eastAsiaTheme="majorEastAsia" w:hAnsiTheme="minorHAnsi" w:cstheme="majorBidi"/>
          <w:caps w:val="0"/>
          <w:snapToGrid/>
          <w:sz w:val="32"/>
          <w:szCs w:val="28"/>
        </w:rPr>
      </w:pPr>
      <w:bookmarkStart w:id="11" w:name="_Toc413139273"/>
      <w:bookmarkStart w:id="12" w:name="_Toc363984483"/>
      <w:bookmarkStart w:id="13" w:name="_Toc493239411"/>
      <w:r w:rsidRPr="005E0DC9">
        <w:rPr>
          <w:rFonts w:asciiTheme="minorHAnsi" w:eastAsiaTheme="majorEastAsia" w:hAnsiTheme="minorHAnsi" w:cstheme="majorBidi"/>
          <w:caps w:val="0"/>
          <w:snapToGrid/>
          <w:sz w:val="32"/>
          <w:szCs w:val="28"/>
        </w:rPr>
        <w:t>Background</w:t>
      </w:r>
      <w:bookmarkEnd w:id="11"/>
      <w:bookmarkEnd w:id="12"/>
      <w:bookmarkEnd w:id="13"/>
    </w:p>
    <w:p w:rsidR="00610C73" w:rsidRPr="005E0DC9" w:rsidRDefault="00610C73" w:rsidP="00610C73">
      <w:pPr>
        <w:keepNext/>
        <w:keepLines/>
        <w:widowControl/>
        <w:spacing w:before="240" w:after="120"/>
        <w:jc w:val="left"/>
        <w:outlineLvl w:val="1"/>
        <w:rPr>
          <w:rFonts w:ascii="Calibri" w:eastAsia="MS Gothic" w:hAnsi="Calibri" w:cs="Times New Roman"/>
          <w:b/>
          <w:i/>
          <w:snapToGrid/>
          <w:sz w:val="28"/>
          <w:szCs w:val="28"/>
        </w:rPr>
      </w:pPr>
      <w:bookmarkStart w:id="14" w:name="_Toc363984484"/>
      <w:r w:rsidRPr="005E0DC9">
        <w:rPr>
          <w:rFonts w:ascii="Calibri" w:eastAsia="MS Gothic" w:hAnsi="Calibri" w:cs="Times New Roman"/>
          <w:b/>
          <w:i/>
          <w:snapToGrid/>
          <w:sz w:val="28"/>
          <w:szCs w:val="28"/>
        </w:rPr>
        <w:t>Registration and PBS status</w:t>
      </w:r>
      <w:bookmarkEnd w:id="14"/>
    </w:p>
    <w:p w:rsidR="00610C73" w:rsidRPr="005E0DC9" w:rsidRDefault="00610C73" w:rsidP="00FA1A53">
      <w:pPr>
        <w:pStyle w:val="ListParagraph"/>
        <w:numPr>
          <w:ilvl w:val="1"/>
          <w:numId w:val="11"/>
        </w:numPr>
        <w:ind w:left="709" w:hanging="709"/>
        <w:rPr>
          <w:rFonts w:asciiTheme="minorHAnsi" w:eastAsia="Calibri" w:hAnsiTheme="minorHAnsi"/>
          <w:snapToGrid/>
          <w:sz w:val="24"/>
          <w:szCs w:val="24"/>
        </w:rPr>
      </w:pPr>
      <w:r w:rsidRPr="005E0DC9">
        <w:rPr>
          <w:rFonts w:asciiTheme="minorHAnsi" w:eastAsia="Calibri" w:hAnsiTheme="minorHAnsi"/>
          <w:snapToGrid/>
          <w:sz w:val="24"/>
          <w:szCs w:val="24"/>
        </w:rPr>
        <w:t xml:space="preserve">TGA status: </w:t>
      </w:r>
      <w:proofErr w:type="spellStart"/>
      <w:r w:rsidRPr="005E0DC9">
        <w:rPr>
          <w:rFonts w:asciiTheme="minorHAnsi" w:eastAsia="Calibri" w:hAnsiTheme="minorHAnsi"/>
          <w:snapToGrid/>
          <w:sz w:val="24"/>
          <w:szCs w:val="24"/>
        </w:rPr>
        <w:t>Ibrutinib</w:t>
      </w:r>
      <w:proofErr w:type="spellEnd"/>
      <w:r w:rsidRPr="005E0DC9">
        <w:rPr>
          <w:rFonts w:asciiTheme="minorHAnsi" w:eastAsia="Calibri" w:hAnsiTheme="minorHAnsi"/>
          <w:snapToGrid/>
          <w:sz w:val="24"/>
          <w:szCs w:val="24"/>
        </w:rPr>
        <w:t xml:space="preserve"> was recommended for registration for CLL/SLL by the TGA on 20</w:t>
      </w:r>
      <w:r w:rsidR="008304BC" w:rsidRPr="005E0DC9">
        <w:rPr>
          <w:rFonts w:asciiTheme="minorHAnsi" w:eastAsia="Calibri" w:hAnsiTheme="minorHAnsi"/>
          <w:snapToGrid/>
          <w:sz w:val="24"/>
          <w:szCs w:val="24"/>
        </w:rPr>
        <w:t> </w:t>
      </w:r>
      <w:r w:rsidRPr="005E0DC9">
        <w:rPr>
          <w:rFonts w:asciiTheme="minorHAnsi" w:eastAsia="Calibri" w:hAnsiTheme="minorHAnsi"/>
          <w:snapToGrid/>
          <w:sz w:val="24"/>
          <w:szCs w:val="24"/>
        </w:rPr>
        <w:t xml:space="preserve">April </w:t>
      </w:r>
      <w:r w:rsidR="0031593C" w:rsidRPr="005E0DC9">
        <w:rPr>
          <w:rFonts w:asciiTheme="minorHAnsi" w:eastAsia="Calibri" w:hAnsiTheme="minorHAnsi"/>
          <w:snapToGrid/>
          <w:sz w:val="24"/>
          <w:szCs w:val="24"/>
        </w:rPr>
        <w:t>2015</w:t>
      </w:r>
      <w:r w:rsidRPr="005E0DC9">
        <w:rPr>
          <w:rFonts w:asciiTheme="minorHAnsi" w:eastAsia="Calibri" w:hAnsiTheme="minorHAnsi"/>
          <w:snapToGrid/>
          <w:sz w:val="24"/>
          <w:szCs w:val="24"/>
        </w:rPr>
        <w:t xml:space="preserve"> and in November 2016 a new indication for </w:t>
      </w:r>
      <w:proofErr w:type="spellStart"/>
      <w:r w:rsidRPr="005E0DC9">
        <w:rPr>
          <w:rFonts w:asciiTheme="minorHAnsi" w:eastAsia="Calibri" w:hAnsiTheme="minorHAnsi"/>
          <w:snapToGrid/>
          <w:sz w:val="24"/>
          <w:szCs w:val="24"/>
        </w:rPr>
        <w:t>Waldenstrom’s</w:t>
      </w:r>
      <w:proofErr w:type="spellEnd"/>
      <w:r w:rsidRPr="005E0DC9">
        <w:rPr>
          <w:rFonts w:asciiTheme="minorHAnsi" w:eastAsia="Calibri" w:hAnsiTheme="minorHAnsi"/>
          <w:snapToGrid/>
          <w:sz w:val="24"/>
          <w:szCs w:val="24"/>
        </w:rPr>
        <w:t xml:space="preserve"> </w:t>
      </w:r>
      <w:proofErr w:type="spellStart"/>
      <w:r w:rsidRPr="005E0DC9">
        <w:rPr>
          <w:rFonts w:asciiTheme="minorHAnsi" w:eastAsia="Calibri" w:hAnsiTheme="minorHAnsi"/>
          <w:snapToGrid/>
          <w:sz w:val="24"/>
          <w:szCs w:val="24"/>
        </w:rPr>
        <w:t>macroglobulinemia</w:t>
      </w:r>
      <w:proofErr w:type="spellEnd"/>
      <w:r w:rsidRPr="005E0DC9">
        <w:rPr>
          <w:rFonts w:asciiTheme="minorHAnsi" w:eastAsia="Calibri" w:hAnsiTheme="minorHAnsi"/>
          <w:snapToGrid/>
          <w:sz w:val="24"/>
          <w:szCs w:val="24"/>
        </w:rPr>
        <w:t xml:space="preserve"> (WM) was added and the CLL/SLL indication modified.  The current TGA indications are as follows:</w:t>
      </w:r>
    </w:p>
    <w:p w:rsidR="00610C73" w:rsidRPr="005E0DC9" w:rsidRDefault="00610C73" w:rsidP="00FA1A53">
      <w:pPr>
        <w:widowControl/>
        <w:numPr>
          <w:ilvl w:val="0"/>
          <w:numId w:val="3"/>
        </w:numPr>
        <w:spacing w:before="120" w:after="160"/>
        <w:ind w:left="993" w:hanging="284"/>
        <w:rPr>
          <w:rFonts w:ascii="Calibri" w:eastAsia="Calibri" w:hAnsi="Calibri"/>
          <w:snapToGrid/>
          <w:sz w:val="24"/>
          <w:szCs w:val="22"/>
        </w:rPr>
      </w:pPr>
      <w:r w:rsidRPr="005E0DC9">
        <w:rPr>
          <w:rFonts w:ascii="Calibri" w:eastAsia="Calibri" w:hAnsi="Calibri"/>
          <w:snapToGrid/>
          <w:sz w:val="24"/>
          <w:szCs w:val="22"/>
        </w:rPr>
        <w:t xml:space="preserve">Patients with mantle cell </w:t>
      </w:r>
      <w:proofErr w:type="gramStart"/>
      <w:r w:rsidRPr="005E0DC9">
        <w:rPr>
          <w:rFonts w:ascii="Calibri" w:eastAsia="Calibri" w:hAnsi="Calibri"/>
          <w:snapToGrid/>
          <w:sz w:val="24"/>
          <w:szCs w:val="22"/>
        </w:rPr>
        <w:t>lymphoma (MCL) who have</w:t>
      </w:r>
      <w:proofErr w:type="gramEnd"/>
      <w:r w:rsidRPr="005E0DC9">
        <w:rPr>
          <w:rFonts w:ascii="Calibri" w:eastAsia="Calibri" w:hAnsi="Calibri"/>
          <w:snapToGrid/>
          <w:sz w:val="24"/>
          <w:szCs w:val="22"/>
        </w:rPr>
        <w:t xml:space="preserve"> received at least one prior therapy.</w:t>
      </w:r>
    </w:p>
    <w:p w:rsidR="00610C73" w:rsidRPr="005E0DC9" w:rsidRDefault="00610C73" w:rsidP="00FA1A53">
      <w:pPr>
        <w:widowControl/>
        <w:numPr>
          <w:ilvl w:val="0"/>
          <w:numId w:val="3"/>
        </w:numPr>
        <w:spacing w:before="120" w:after="160"/>
        <w:ind w:left="993" w:hanging="284"/>
        <w:rPr>
          <w:rFonts w:ascii="Calibri" w:eastAsia="Calibri" w:hAnsi="Calibri"/>
          <w:snapToGrid/>
          <w:sz w:val="24"/>
          <w:szCs w:val="22"/>
        </w:rPr>
      </w:pPr>
      <w:r w:rsidRPr="005E0DC9">
        <w:rPr>
          <w:rFonts w:ascii="Calibri" w:eastAsia="Calibri" w:hAnsi="Calibri"/>
          <w:snapToGrid/>
          <w:sz w:val="24"/>
          <w:szCs w:val="22"/>
        </w:rPr>
        <w:t xml:space="preserve">Adult patients with CLL/SLL who have received at least one prior </w:t>
      </w:r>
      <w:r w:rsidR="0031593C" w:rsidRPr="005E0DC9">
        <w:rPr>
          <w:rFonts w:ascii="Calibri" w:eastAsia="Calibri" w:hAnsi="Calibri"/>
          <w:snapToGrid/>
          <w:sz w:val="24"/>
          <w:szCs w:val="22"/>
        </w:rPr>
        <w:t>therapy</w:t>
      </w:r>
      <w:r w:rsidRPr="005E0DC9">
        <w:rPr>
          <w:rFonts w:ascii="Calibri" w:eastAsia="Calibri" w:hAnsi="Calibri"/>
          <w:snapToGrid/>
          <w:sz w:val="24"/>
          <w:szCs w:val="22"/>
        </w:rPr>
        <w:t xml:space="preserve"> or adult patients with previously untreated CLL/SLL.</w:t>
      </w:r>
    </w:p>
    <w:p w:rsidR="00610C73" w:rsidRPr="005E0DC9" w:rsidRDefault="00610C73" w:rsidP="00FA1A53">
      <w:pPr>
        <w:widowControl/>
        <w:numPr>
          <w:ilvl w:val="0"/>
          <w:numId w:val="3"/>
        </w:numPr>
        <w:spacing w:before="120" w:after="160"/>
        <w:ind w:left="993" w:hanging="284"/>
        <w:rPr>
          <w:rFonts w:ascii="Calibri" w:eastAsia="Calibri" w:hAnsi="Calibri"/>
          <w:snapToGrid/>
          <w:sz w:val="24"/>
          <w:szCs w:val="22"/>
        </w:rPr>
      </w:pPr>
      <w:r w:rsidRPr="005E0DC9">
        <w:rPr>
          <w:rFonts w:ascii="Calibri" w:eastAsia="Calibri" w:hAnsi="Calibri"/>
          <w:snapToGrid/>
          <w:sz w:val="24"/>
          <w:szCs w:val="22"/>
        </w:rPr>
        <w:t>Patients with CLL/SLL with deletion 17p.</w:t>
      </w:r>
    </w:p>
    <w:p w:rsidR="00610C73" w:rsidRPr="005E0DC9" w:rsidRDefault="00610C73" w:rsidP="00FA1A53">
      <w:pPr>
        <w:widowControl/>
        <w:numPr>
          <w:ilvl w:val="0"/>
          <w:numId w:val="3"/>
        </w:numPr>
        <w:spacing w:before="120" w:after="160"/>
        <w:ind w:left="993" w:hanging="284"/>
        <w:rPr>
          <w:rFonts w:ascii="Calibri" w:eastAsia="Calibri" w:hAnsi="Calibri"/>
          <w:snapToGrid/>
          <w:sz w:val="24"/>
          <w:szCs w:val="22"/>
        </w:rPr>
      </w:pPr>
      <w:r w:rsidRPr="005E0DC9">
        <w:rPr>
          <w:rFonts w:ascii="Calibri" w:eastAsia="Calibri" w:hAnsi="Calibri"/>
          <w:snapToGrid/>
          <w:sz w:val="24"/>
          <w:szCs w:val="22"/>
        </w:rPr>
        <w:t>Adult patients with WM who have received at least one prior therapy, or in first-line treatment for patients unsuitable for combination chemo-immunotherapy.</w:t>
      </w:r>
    </w:p>
    <w:p w:rsidR="00610C73" w:rsidRPr="005E0DC9" w:rsidRDefault="00610C73" w:rsidP="00FA1A53">
      <w:pPr>
        <w:widowControl/>
        <w:numPr>
          <w:ilvl w:val="1"/>
          <w:numId w:val="11"/>
        </w:numPr>
        <w:spacing w:before="120" w:after="160"/>
        <w:ind w:left="709" w:hanging="709"/>
        <w:rPr>
          <w:rFonts w:ascii="Calibri" w:eastAsia="Calibri" w:hAnsi="Calibri"/>
          <w:snapToGrid/>
          <w:sz w:val="24"/>
          <w:szCs w:val="22"/>
        </w:rPr>
      </w:pP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received a positive recommendation at the January 2017 meeting of the PBAC for the treatment of patients with relapsed or refractory CLL/SLL who are unsuitable for treatment with </w:t>
      </w:r>
      <w:proofErr w:type="spellStart"/>
      <w:r w:rsidRPr="005E0DC9">
        <w:rPr>
          <w:rFonts w:ascii="Calibri" w:eastAsia="Calibri" w:hAnsi="Calibri"/>
          <w:snapToGrid/>
          <w:sz w:val="24"/>
          <w:szCs w:val="22"/>
        </w:rPr>
        <w:t>fludarabine</w:t>
      </w:r>
      <w:proofErr w:type="spellEnd"/>
      <w:r w:rsidRPr="005E0DC9">
        <w:rPr>
          <w:rFonts w:ascii="Calibri" w:eastAsia="Calibri" w:hAnsi="Calibri"/>
          <w:snapToGrid/>
          <w:sz w:val="24"/>
          <w:szCs w:val="22"/>
        </w:rPr>
        <w:t>, cyclophosphamide and rituximab (FCR).</w:t>
      </w:r>
    </w:p>
    <w:p w:rsidR="00610C73" w:rsidRPr="005E0DC9" w:rsidRDefault="00610C73" w:rsidP="00610C73">
      <w:pPr>
        <w:keepNext/>
        <w:keepLines/>
        <w:widowControl/>
        <w:spacing w:before="240" w:after="120"/>
        <w:jc w:val="left"/>
        <w:outlineLvl w:val="1"/>
        <w:rPr>
          <w:rFonts w:ascii="Calibri" w:eastAsia="MS Gothic" w:hAnsi="Calibri" w:cs="Times New Roman"/>
          <w:b/>
          <w:i/>
          <w:snapToGrid/>
          <w:color w:val="FF0000"/>
          <w:sz w:val="28"/>
          <w:szCs w:val="28"/>
        </w:rPr>
      </w:pPr>
      <w:bookmarkStart w:id="15" w:name="_Toc363984485"/>
      <w:r w:rsidRPr="005E0DC9">
        <w:rPr>
          <w:rFonts w:ascii="Calibri" w:eastAsia="MS Gothic" w:hAnsi="Calibri" w:cs="Times New Roman"/>
          <w:b/>
          <w:i/>
          <w:snapToGrid/>
          <w:sz w:val="28"/>
          <w:szCs w:val="28"/>
        </w:rPr>
        <w:lastRenderedPageBreak/>
        <w:t>Agents already PBS-listed</w:t>
      </w:r>
      <w:bookmarkEnd w:id="15"/>
    </w:p>
    <w:p w:rsidR="00610C73" w:rsidRPr="005E0DC9" w:rsidRDefault="007C3A6B" w:rsidP="007C3A6B">
      <w:pPr>
        <w:widowControl/>
        <w:numPr>
          <w:ilvl w:val="1"/>
          <w:numId w:val="11"/>
        </w:numPr>
        <w:spacing w:before="120" w:after="160"/>
        <w:ind w:left="709" w:hanging="709"/>
        <w:rPr>
          <w:rFonts w:ascii="Calibri" w:eastAsia="Calibri" w:hAnsi="Calibri"/>
          <w:snapToGrid/>
          <w:sz w:val="24"/>
          <w:szCs w:val="22"/>
        </w:rPr>
      </w:pPr>
      <w:r w:rsidRPr="005E0DC9">
        <w:rPr>
          <w:rFonts w:ascii="Calibri" w:eastAsia="Calibri" w:hAnsi="Calibri"/>
          <w:snapToGrid/>
          <w:sz w:val="24"/>
          <w:szCs w:val="22"/>
        </w:rPr>
        <w:t>Rituximab in combination with non-</w:t>
      </w:r>
      <w:proofErr w:type="spellStart"/>
      <w:r w:rsidRPr="005E0DC9">
        <w:rPr>
          <w:rFonts w:ascii="Calibri" w:eastAsia="Calibri" w:hAnsi="Calibri"/>
          <w:snapToGrid/>
          <w:sz w:val="24"/>
          <w:szCs w:val="22"/>
        </w:rPr>
        <w:t>fludarabine</w:t>
      </w:r>
      <w:proofErr w:type="spellEnd"/>
      <w:r w:rsidRPr="005E0DC9">
        <w:rPr>
          <w:rFonts w:ascii="Calibri" w:eastAsia="Calibri" w:hAnsi="Calibri"/>
          <w:snapToGrid/>
          <w:sz w:val="24"/>
          <w:szCs w:val="22"/>
        </w:rPr>
        <w:t xml:space="preserve"> and cyclophosphamide (FC) chemotherapy received a positive PBAC recommendation for </w:t>
      </w:r>
      <w:r w:rsidR="006852C5" w:rsidRPr="005E0DC9">
        <w:rPr>
          <w:rFonts w:ascii="Calibri" w:eastAsia="Calibri" w:hAnsi="Calibri"/>
          <w:snapToGrid/>
          <w:sz w:val="24"/>
          <w:szCs w:val="22"/>
        </w:rPr>
        <w:t xml:space="preserve">CD20 positive </w:t>
      </w:r>
      <w:r w:rsidRPr="005E0DC9">
        <w:rPr>
          <w:rFonts w:ascii="Calibri" w:eastAsia="Calibri" w:hAnsi="Calibri"/>
          <w:snapToGrid/>
          <w:sz w:val="24"/>
          <w:szCs w:val="22"/>
        </w:rPr>
        <w:t xml:space="preserve">CLL </w:t>
      </w:r>
      <w:r w:rsidR="006852C5" w:rsidRPr="005E0DC9">
        <w:rPr>
          <w:rFonts w:ascii="Calibri" w:eastAsia="Calibri" w:hAnsi="Calibri"/>
          <w:snapToGrid/>
          <w:sz w:val="24"/>
          <w:szCs w:val="22"/>
        </w:rPr>
        <w:t>in January 2011 (out-of-session</w:t>
      </w:r>
      <w:r w:rsidR="00A739C6" w:rsidRPr="005E0DC9">
        <w:rPr>
          <w:rFonts w:ascii="Calibri" w:eastAsia="Calibri" w:hAnsi="Calibri"/>
          <w:snapToGrid/>
          <w:sz w:val="24"/>
          <w:szCs w:val="22"/>
        </w:rPr>
        <w:t>, following the November 2010 consideration</w:t>
      </w:r>
      <w:r w:rsidR="006852C5" w:rsidRPr="005E0DC9">
        <w:rPr>
          <w:rFonts w:ascii="Calibri" w:eastAsia="Calibri" w:hAnsi="Calibri"/>
          <w:snapToGrid/>
          <w:sz w:val="24"/>
          <w:szCs w:val="22"/>
        </w:rPr>
        <w:t>)</w:t>
      </w:r>
      <w:r w:rsidRPr="005E0DC9">
        <w:rPr>
          <w:rFonts w:ascii="Calibri" w:eastAsia="Calibri" w:hAnsi="Calibri"/>
          <w:snapToGrid/>
          <w:sz w:val="24"/>
          <w:szCs w:val="22"/>
        </w:rPr>
        <w:t>.</w:t>
      </w:r>
    </w:p>
    <w:p w:rsidR="00377FB3" w:rsidRPr="005E0DC9" w:rsidRDefault="00377FB3" w:rsidP="006852C5">
      <w:pPr>
        <w:widowControl/>
        <w:numPr>
          <w:ilvl w:val="1"/>
          <w:numId w:val="11"/>
        </w:numPr>
        <w:spacing w:before="120" w:after="160"/>
        <w:ind w:left="709" w:hanging="709"/>
        <w:rPr>
          <w:rFonts w:ascii="Calibri" w:eastAsia="Calibri" w:hAnsi="Calibri"/>
          <w:snapToGrid/>
          <w:sz w:val="24"/>
          <w:szCs w:val="22"/>
        </w:rPr>
      </w:pPr>
      <w:proofErr w:type="spellStart"/>
      <w:r w:rsidRPr="005E0DC9">
        <w:rPr>
          <w:rFonts w:ascii="Calibri" w:eastAsia="Calibri" w:hAnsi="Calibri"/>
          <w:snapToGrid/>
          <w:sz w:val="24"/>
          <w:szCs w:val="22"/>
        </w:rPr>
        <w:t>Ofatumumab</w:t>
      </w:r>
      <w:proofErr w:type="spellEnd"/>
      <w:r w:rsidRPr="005E0DC9">
        <w:rPr>
          <w:rFonts w:ascii="Calibri" w:eastAsia="Calibri" w:hAnsi="Calibri"/>
          <w:snapToGrid/>
          <w:sz w:val="24"/>
          <w:szCs w:val="22"/>
        </w:rPr>
        <w:t xml:space="preserve"> in combination with </w:t>
      </w:r>
      <w:proofErr w:type="spellStart"/>
      <w:r w:rsidRPr="005E0DC9">
        <w:rPr>
          <w:rFonts w:ascii="Calibri" w:eastAsia="Calibri" w:hAnsi="Calibri"/>
          <w:snapToGrid/>
          <w:sz w:val="24"/>
          <w:szCs w:val="22"/>
        </w:rPr>
        <w:t>chlorambucil</w:t>
      </w:r>
      <w:proofErr w:type="spellEnd"/>
      <w:r w:rsidR="006852C5" w:rsidRPr="005E0DC9">
        <w:rPr>
          <w:rFonts w:ascii="Calibri" w:eastAsia="Calibri" w:hAnsi="Calibri"/>
          <w:snapToGrid/>
          <w:sz w:val="24"/>
          <w:szCs w:val="22"/>
        </w:rPr>
        <w:t xml:space="preserve"> received a positive PBAC recommendation for CLL, </w:t>
      </w:r>
      <w:r w:rsidR="00A739C6" w:rsidRPr="005E0DC9">
        <w:rPr>
          <w:rFonts w:ascii="Calibri" w:eastAsia="Calibri" w:hAnsi="Calibri"/>
          <w:snapToGrid/>
          <w:sz w:val="24"/>
          <w:szCs w:val="22"/>
        </w:rPr>
        <w:t xml:space="preserve">in November 2014, </w:t>
      </w:r>
      <w:r w:rsidR="006852C5" w:rsidRPr="005E0DC9">
        <w:rPr>
          <w:rFonts w:ascii="Calibri" w:eastAsia="Calibri" w:hAnsi="Calibri"/>
          <w:snapToGrid/>
          <w:sz w:val="24"/>
          <w:szCs w:val="22"/>
        </w:rPr>
        <w:t>at a price no higher than that deemed appropriate for rituximab.</w:t>
      </w:r>
    </w:p>
    <w:p w:rsidR="006852C5" w:rsidRPr="005E0DC9" w:rsidRDefault="006852C5" w:rsidP="006852C5">
      <w:pPr>
        <w:widowControl/>
        <w:numPr>
          <w:ilvl w:val="1"/>
          <w:numId w:val="11"/>
        </w:numPr>
        <w:spacing w:before="120" w:after="160"/>
        <w:ind w:left="709" w:hanging="709"/>
        <w:rPr>
          <w:rFonts w:ascii="Calibri" w:eastAsia="Calibri" w:hAnsi="Calibri"/>
          <w:snapToGrid/>
          <w:sz w:val="24"/>
          <w:szCs w:val="22"/>
        </w:rPr>
      </w:pPr>
      <w:proofErr w:type="spellStart"/>
      <w:r w:rsidRPr="005E0DC9">
        <w:rPr>
          <w:rFonts w:ascii="Calibri" w:eastAsia="Calibri" w:hAnsi="Calibri"/>
          <w:snapToGrid/>
          <w:sz w:val="24"/>
          <w:szCs w:val="22"/>
        </w:rPr>
        <w:t>Obinutuzumab</w:t>
      </w:r>
      <w:proofErr w:type="spellEnd"/>
      <w:r w:rsidRPr="005E0DC9">
        <w:rPr>
          <w:rFonts w:ascii="Calibri" w:eastAsia="Calibri" w:hAnsi="Calibri"/>
          <w:snapToGrid/>
          <w:sz w:val="24"/>
          <w:szCs w:val="22"/>
        </w:rPr>
        <w:t xml:space="preserve"> in combination with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received a positive PBAC recommendation for CLL </w:t>
      </w:r>
      <w:r w:rsidR="00A739C6" w:rsidRPr="005E0DC9">
        <w:rPr>
          <w:rFonts w:ascii="Calibri" w:eastAsia="Calibri" w:hAnsi="Calibri"/>
          <w:snapToGrid/>
          <w:sz w:val="24"/>
          <w:szCs w:val="22"/>
        </w:rPr>
        <w:t xml:space="preserve">in March 2015, </w:t>
      </w:r>
      <w:r w:rsidRPr="005E0DC9">
        <w:rPr>
          <w:rFonts w:ascii="Calibri" w:eastAsia="Calibri" w:hAnsi="Calibri"/>
          <w:snapToGrid/>
          <w:sz w:val="24"/>
          <w:szCs w:val="22"/>
        </w:rPr>
        <w:t>on the basis that</w:t>
      </w:r>
      <w:r w:rsidR="00A739C6" w:rsidRPr="005E0DC9">
        <w:rPr>
          <w:rFonts w:ascii="Calibri" w:eastAsia="Calibri" w:hAnsi="Calibri"/>
          <w:snapToGrid/>
          <w:sz w:val="24"/>
          <w:szCs w:val="22"/>
        </w:rPr>
        <w:t xml:space="preserve"> the combination therapy provided</w:t>
      </w:r>
      <w:r w:rsidRPr="005E0DC9">
        <w:rPr>
          <w:rFonts w:ascii="Calibri" w:eastAsia="Calibri" w:hAnsi="Calibri"/>
          <w:bCs/>
          <w:snapToGrid/>
          <w:sz w:val="24"/>
          <w:szCs w:val="22"/>
        </w:rPr>
        <w:t>, for some patients, a significant improvement in efficacy over</w:t>
      </w:r>
      <w:r w:rsidRPr="005E0DC9">
        <w:rPr>
          <w:rFonts w:ascii="Calibri" w:eastAsia="Calibri" w:hAnsi="Calibri"/>
          <w:snapToGrid/>
          <w:sz w:val="24"/>
          <w:szCs w:val="22"/>
        </w:rPr>
        <w:t xml:space="preserve"> rituximab plus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and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monotherapy.</w:t>
      </w:r>
    </w:p>
    <w:p w:rsidR="00610C73" w:rsidRPr="005E0DC9" w:rsidRDefault="00610C73" w:rsidP="00FA1A53">
      <w:pPr>
        <w:pStyle w:val="Heading1"/>
        <w:keepNext/>
        <w:keepLines/>
        <w:widowControl/>
        <w:numPr>
          <w:ilvl w:val="0"/>
          <w:numId w:val="11"/>
        </w:numPr>
        <w:spacing w:before="240" w:after="120"/>
        <w:jc w:val="left"/>
        <w:rPr>
          <w:rFonts w:asciiTheme="minorHAnsi" w:eastAsiaTheme="majorEastAsia" w:hAnsiTheme="minorHAnsi" w:cstheme="majorBidi"/>
          <w:caps w:val="0"/>
          <w:snapToGrid/>
          <w:sz w:val="32"/>
          <w:szCs w:val="28"/>
        </w:rPr>
      </w:pPr>
      <w:bookmarkStart w:id="16" w:name="_Toc363984486"/>
      <w:bookmarkStart w:id="17" w:name="_Toc493239412"/>
      <w:r w:rsidRPr="005E0DC9">
        <w:rPr>
          <w:rFonts w:asciiTheme="minorHAnsi" w:eastAsiaTheme="majorEastAsia" w:hAnsiTheme="minorHAnsi" w:cstheme="majorBidi"/>
          <w:caps w:val="0"/>
          <w:snapToGrid/>
          <w:sz w:val="32"/>
          <w:szCs w:val="28"/>
        </w:rPr>
        <w:t>Population and disease</w:t>
      </w:r>
      <w:bookmarkEnd w:id="16"/>
      <w:bookmarkEnd w:id="17"/>
    </w:p>
    <w:p w:rsidR="00610C73" w:rsidRPr="005E0DC9" w:rsidRDefault="00610C73" w:rsidP="00FA1A53">
      <w:pPr>
        <w:widowControl/>
        <w:numPr>
          <w:ilvl w:val="1"/>
          <w:numId w:val="11"/>
        </w:numPr>
        <w:spacing w:before="120" w:after="160"/>
        <w:ind w:left="709" w:hanging="709"/>
        <w:rPr>
          <w:rFonts w:ascii="Calibri" w:eastAsia="Calibri" w:hAnsi="Calibri"/>
          <w:snapToGrid/>
          <w:sz w:val="24"/>
          <w:szCs w:val="22"/>
        </w:rPr>
      </w:pPr>
      <w:r w:rsidRPr="005E0DC9">
        <w:rPr>
          <w:rFonts w:ascii="Calibri" w:eastAsia="Calibri" w:hAnsi="Calibri"/>
          <w:snapToGrid/>
          <w:sz w:val="24"/>
          <w:szCs w:val="22"/>
        </w:rPr>
        <w:t xml:space="preserve">CLL is a B-cell malignancy that presents with peripheral blood involvement while SLL, also a B-cell malignancy and considered to be the same entity, presents with lymph tissue involvement.  CLL and SLL primarily affect older persons who often have co-existing conditions.  The requested PBS listing is for the treatment of unfit patients, specifically those who cannot tolerate </w:t>
      </w:r>
      <w:proofErr w:type="spellStart"/>
      <w:r w:rsidRPr="005E0DC9">
        <w:rPr>
          <w:rFonts w:ascii="Calibri" w:eastAsia="Calibri" w:hAnsi="Calibri"/>
          <w:snapToGrid/>
          <w:sz w:val="24"/>
          <w:szCs w:val="22"/>
        </w:rPr>
        <w:t>fludarabine</w:t>
      </w:r>
      <w:proofErr w:type="spellEnd"/>
      <w:r w:rsidRPr="005E0DC9">
        <w:rPr>
          <w:rFonts w:ascii="Calibri" w:eastAsia="Calibri" w:hAnsi="Calibri"/>
          <w:snapToGrid/>
          <w:sz w:val="24"/>
          <w:szCs w:val="22"/>
        </w:rPr>
        <w:t>-based t</w:t>
      </w:r>
      <w:r w:rsidR="00606CF7" w:rsidRPr="005E0DC9">
        <w:rPr>
          <w:rFonts w:ascii="Calibri" w:eastAsia="Calibri" w:hAnsi="Calibri"/>
          <w:snapToGrid/>
          <w:sz w:val="24"/>
          <w:szCs w:val="22"/>
        </w:rPr>
        <w:t>reatment, who</w:t>
      </w:r>
      <w:r w:rsidRPr="005E0DC9">
        <w:rPr>
          <w:rFonts w:ascii="Calibri" w:eastAsia="Calibri" w:hAnsi="Calibri"/>
          <w:snapToGrid/>
          <w:sz w:val="24"/>
          <w:szCs w:val="22"/>
        </w:rPr>
        <w:t xml:space="preserve"> are generally older individuals with co-morbidities.  </w:t>
      </w:r>
    </w:p>
    <w:p w:rsidR="00610C73" w:rsidRPr="005E0DC9" w:rsidRDefault="00610C73" w:rsidP="00FA1A53">
      <w:pPr>
        <w:widowControl/>
        <w:numPr>
          <w:ilvl w:val="1"/>
          <w:numId w:val="11"/>
        </w:numPr>
        <w:spacing w:before="120" w:after="160"/>
        <w:ind w:left="709" w:hanging="709"/>
        <w:rPr>
          <w:rFonts w:ascii="Calibri" w:eastAsia="Calibri" w:hAnsi="Calibri"/>
          <w:snapToGrid/>
          <w:sz w:val="24"/>
          <w:szCs w:val="22"/>
        </w:rPr>
      </w:pPr>
      <w:r w:rsidRPr="005E0DC9">
        <w:rPr>
          <w:rFonts w:ascii="Calibri" w:eastAsia="Calibri" w:hAnsi="Calibri"/>
          <w:snapToGrid/>
          <w:sz w:val="24"/>
          <w:szCs w:val="22"/>
        </w:rPr>
        <w:t xml:space="preserve">The submission states that treatment initiation does not always occur at diagnosis, and the natural history of the disease is one of repeated relapse.  The submission adds that the burden of disease is high and is impacted by the presence of major co-morbidities associated with advanced age.  In particular, patients with CLL/SLL have a high risk of morbidity and mortality from disease-related </w:t>
      </w:r>
      <w:r w:rsidR="0031593C" w:rsidRPr="005E0DC9">
        <w:rPr>
          <w:rFonts w:ascii="Calibri" w:eastAsia="Calibri" w:hAnsi="Calibri"/>
          <w:snapToGrid/>
          <w:sz w:val="24"/>
          <w:szCs w:val="22"/>
        </w:rPr>
        <w:t>infections</w:t>
      </w:r>
      <w:r w:rsidRPr="005E0DC9">
        <w:rPr>
          <w:rFonts w:ascii="Calibri" w:eastAsia="Calibri" w:hAnsi="Calibri"/>
          <w:snapToGrid/>
          <w:sz w:val="24"/>
          <w:szCs w:val="22"/>
        </w:rPr>
        <w:t xml:space="preserve"> and in more advanced stages of disease neutropenia due to bone marrow infiltration and/or cytotoxic therapy may also contribute to the increased risk of infection-related morbidity and mortality.  The submission also notes negative impacts on patients’ quality of life as a result of disease-related symptoms, treatment-related adverse events and the psychological, socioeconomic and functional effects of living with the disease.  </w:t>
      </w:r>
    </w:p>
    <w:p w:rsidR="007D5B49" w:rsidRPr="005E0DC9" w:rsidRDefault="00610C73" w:rsidP="00FA1A53">
      <w:pPr>
        <w:widowControl/>
        <w:numPr>
          <w:ilvl w:val="1"/>
          <w:numId w:val="11"/>
        </w:numPr>
        <w:spacing w:before="120" w:after="160"/>
        <w:ind w:left="709" w:hanging="709"/>
        <w:rPr>
          <w:rFonts w:ascii="Calibri" w:eastAsia="Calibri" w:hAnsi="Calibri"/>
          <w:snapToGrid/>
          <w:sz w:val="24"/>
          <w:szCs w:val="22"/>
        </w:rPr>
      </w:pPr>
      <w:r w:rsidRPr="005E0DC9">
        <w:rPr>
          <w:rFonts w:ascii="Calibri" w:eastAsia="Calibri" w:hAnsi="Calibri"/>
          <w:snapToGrid/>
          <w:sz w:val="24"/>
          <w:szCs w:val="22"/>
        </w:rPr>
        <w:t xml:space="preserve">The requested listing is for first-line treatment.  </w:t>
      </w:r>
      <w:r w:rsidR="00C44055" w:rsidRPr="005E0DC9">
        <w:rPr>
          <w:rFonts w:ascii="Calibri" w:eastAsia="Calibri" w:hAnsi="Calibri"/>
          <w:snapToGrid/>
          <w:sz w:val="24"/>
          <w:szCs w:val="22"/>
        </w:rPr>
        <w:t>The ESC noted the submission</w:t>
      </w:r>
      <w:r w:rsidR="002711F6" w:rsidRPr="005E0DC9">
        <w:rPr>
          <w:rFonts w:ascii="Calibri" w:eastAsia="Calibri" w:hAnsi="Calibri"/>
          <w:snapToGrid/>
          <w:sz w:val="24"/>
          <w:szCs w:val="22"/>
        </w:rPr>
        <w:t>’s</w:t>
      </w:r>
      <w:r w:rsidR="00C44055" w:rsidRPr="005E0DC9">
        <w:rPr>
          <w:rFonts w:ascii="Calibri" w:eastAsia="Calibri" w:hAnsi="Calibri"/>
          <w:snapToGrid/>
          <w:sz w:val="24"/>
          <w:szCs w:val="22"/>
        </w:rPr>
        <w:t xml:space="preserve"> claim that first-line </w:t>
      </w:r>
      <w:proofErr w:type="spellStart"/>
      <w:r w:rsidR="00C44055" w:rsidRPr="005E0DC9">
        <w:rPr>
          <w:rFonts w:ascii="Calibri" w:eastAsia="Calibri" w:hAnsi="Calibri"/>
          <w:snapToGrid/>
          <w:sz w:val="24"/>
          <w:szCs w:val="22"/>
        </w:rPr>
        <w:t>ibrutinib</w:t>
      </w:r>
      <w:proofErr w:type="spellEnd"/>
      <w:r w:rsidR="00C44055" w:rsidRPr="005E0DC9">
        <w:rPr>
          <w:rFonts w:ascii="Calibri" w:eastAsia="Calibri" w:hAnsi="Calibri"/>
          <w:snapToGrid/>
          <w:sz w:val="24"/>
          <w:szCs w:val="22"/>
        </w:rPr>
        <w:t xml:space="preserve"> will reduce the need for second-line treatment due to its superior efficacy, and first-line </w:t>
      </w:r>
      <w:proofErr w:type="spellStart"/>
      <w:r w:rsidR="00C44055" w:rsidRPr="005E0DC9">
        <w:rPr>
          <w:rFonts w:ascii="Calibri" w:eastAsia="Calibri" w:hAnsi="Calibri"/>
          <w:snapToGrid/>
          <w:sz w:val="24"/>
          <w:szCs w:val="22"/>
        </w:rPr>
        <w:t>ibrutinib</w:t>
      </w:r>
      <w:proofErr w:type="spellEnd"/>
      <w:r w:rsidR="00C44055" w:rsidRPr="005E0DC9">
        <w:rPr>
          <w:rFonts w:ascii="Calibri" w:eastAsia="Calibri" w:hAnsi="Calibri"/>
          <w:snapToGrid/>
          <w:sz w:val="24"/>
          <w:szCs w:val="22"/>
        </w:rPr>
        <w:t xml:space="preserve"> would offset the use of </w:t>
      </w:r>
      <w:proofErr w:type="spellStart"/>
      <w:r w:rsidR="00C44055" w:rsidRPr="005E0DC9">
        <w:rPr>
          <w:rFonts w:ascii="Calibri" w:eastAsia="Calibri" w:hAnsi="Calibri"/>
          <w:snapToGrid/>
          <w:sz w:val="24"/>
          <w:szCs w:val="22"/>
        </w:rPr>
        <w:t>ibrutinib</w:t>
      </w:r>
      <w:proofErr w:type="spellEnd"/>
      <w:r w:rsidR="00C44055" w:rsidRPr="005E0DC9">
        <w:rPr>
          <w:rFonts w:ascii="Calibri" w:eastAsia="Calibri" w:hAnsi="Calibri"/>
          <w:snapToGrid/>
          <w:sz w:val="24"/>
          <w:szCs w:val="22"/>
        </w:rPr>
        <w:t xml:space="preserve"> in the relapsed/refractory setting.</w:t>
      </w:r>
      <w:r w:rsidR="00031119" w:rsidRPr="005E0DC9">
        <w:rPr>
          <w:rFonts w:ascii="Calibri" w:eastAsia="Calibri" w:hAnsi="Calibri"/>
          <w:snapToGrid/>
          <w:sz w:val="24"/>
          <w:szCs w:val="22"/>
        </w:rPr>
        <w:t xml:space="preserve"> </w:t>
      </w:r>
      <w:r w:rsidR="007D5B49" w:rsidRPr="005E0DC9">
        <w:rPr>
          <w:rFonts w:ascii="Calibri" w:eastAsia="Calibri" w:hAnsi="Calibri"/>
          <w:snapToGrid/>
          <w:sz w:val="24"/>
          <w:szCs w:val="22"/>
        </w:rPr>
        <w:t xml:space="preserve">The economic model assumed </w:t>
      </w:r>
      <w:proofErr w:type="spellStart"/>
      <w:r w:rsidR="007D5B49" w:rsidRPr="005E0DC9">
        <w:rPr>
          <w:rFonts w:ascii="Calibri" w:eastAsia="Calibri" w:hAnsi="Calibri"/>
          <w:snapToGrid/>
          <w:sz w:val="24"/>
          <w:szCs w:val="22"/>
        </w:rPr>
        <w:t>ibrutinib</w:t>
      </w:r>
      <w:proofErr w:type="spellEnd"/>
      <w:r w:rsidR="007D5B49" w:rsidRPr="005E0DC9">
        <w:rPr>
          <w:rFonts w:ascii="Calibri" w:eastAsia="Calibri" w:hAnsi="Calibri"/>
          <w:snapToGrid/>
          <w:sz w:val="24"/>
          <w:szCs w:val="22"/>
        </w:rPr>
        <w:t xml:space="preserve"> is the only treatment used in the second-line setting however there are a number of treatment options for relapsed/refractory patients and it is unlikely that </w:t>
      </w:r>
      <w:proofErr w:type="spellStart"/>
      <w:r w:rsidR="007D5B49" w:rsidRPr="005E0DC9">
        <w:rPr>
          <w:rFonts w:ascii="Calibri" w:eastAsia="Calibri" w:hAnsi="Calibri"/>
          <w:snapToGrid/>
          <w:sz w:val="24"/>
          <w:szCs w:val="22"/>
        </w:rPr>
        <w:t>ibrutinib</w:t>
      </w:r>
      <w:proofErr w:type="spellEnd"/>
      <w:r w:rsidR="007D5B49" w:rsidRPr="005E0DC9">
        <w:rPr>
          <w:rFonts w:ascii="Calibri" w:eastAsia="Calibri" w:hAnsi="Calibri"/>
          <w:snapToGrid/>
          <w:sz w:val="24"/>
          <w:szCs w:val="22"/>
        </w:rPr>
        <w:t xml:space="preserve"> would be used in 100% of </w:t>
      </w:r>
      <w:r w:rsidR="0021271B" w:rsidRPr="005E0DC9">
        <w:rPr>
          <w:rFonts w:ascii="Calibri" w:eastAsia="Calibri" w:hAnsi="Calibri"/>
          <w:snapToGrid/>
          <w:sz w:val="24"/>
          <w:szCs w:val="22"/>
        </w:rPr>
        <w:t xml:space="preserve">relapsed/refractory </w:t>
      </w:r>
      <w:r w:rsidR="007D5B49" w:rsidRPr="005E0DC9">
        <w:rPr>
          <w:rFonts w:ascii="Calibri" w:eastAsia="Calibri" w:hAnsi="Calibri"/>
          <w:snapToGrid/>
          <w:sz w:val="24"/>
          <w:szCs w:val="22"/>
        </w:rPr>
        <w:t>patients.</w:t>
      </w:r>
    </w:p>
    <w:p w:rsidR="00610C73" w:rsidRPr="005E0DC9" w:rsidRDefault="00610C73" w:rsidP="00FA1A53">
      <w:pPr>
        <w:pStyle w:val="Heading1"/>
        <w:keepNext/>
        <w:keepLines/>
        <w:widowControl/>
        <w:numPr>
          <w:ilvl w:val="0"/>
          <w:numId w:val="11"/>
        </w:numPr>
        <w:spacing w:before="240" w:after="120"/>
        <w:jc w:val="left"/>
        <w:rPr>
          <w:rFonts w:asciiTheme="minorHAnsi" w:eastAsiaTheme="majorEastAsia" w:hAnsiTheme="minorHAnsi" w:cstheme="majorBidi"/>
          <w:caps w:val="0"/>
          <w:snapToGrid/>
          <w:sz w:val="32"/>
          <w:szCs w:val="28"/>
        </w:rPr>
      </w:pPr>
      <w:bookmarkStart w:id="18" w:name="_Toc413139275"/>
      <w:bookmarkStart w:id="19" w:name="_Toc363984487"/>
      <w:bookmarkStart w:id="20" w:name="_Toc493239413"/>
      <w:r w:rsidRPr="005E0DC9">
        <w:rPr>
          <w:rFonts w:asciiTheme="minorHAnsi" w:eastAsiaTheme="majorEastAsia" w:hAnsiTheme="minorHAnsi" w:cstheme="majorBidi"/>
          <w:caps w:val="0"/>
          <w:snapToGrid/>
          <w:sz w:val="32"/>
          <w:szCs w:val="28"/>
        </w:rPr>
        <w:t>Comparator</w:t>
      </w:r>
      <w:bookmarkEnd w:id="18"/>
      <w:bookmarkEnd w:id="19"/>
      <w:bookmarkEnd w:id="20"/>
    </w:p>
    <w:p w:rsidR="002D4285" w:rsidRPr="005E0DC9" w:rsidRDefault="00610C73" w:rsidP="00FA1A53">
      <w:pPr>
        <w:widowControl/>
        <w:numPr>
          <w:ilvl w:val="1"/>
          <w:numId w:val="11"/>
        </w:numPr>
        <w:spacing w:before="120" w:after="160"/>
        <w:ind w:left="709" w:hanging="709"/>
        <w:rPr>
          <w:rFonts w:ascii="Calibri" w:eastAsia="Calibri" w:hAnsi="Calibri"/>
          <w:snapToGrid/>
          <w:sz w:val="24"/>
          <w:szCs w:val="22"/>
        </w:rPr>
      </w:pPr>
      <w:r w:rsidRPr="005E0DC9">
        <w:rPr>
          <w:rFonts w:ascii="Calibri" w:eastAsia="Calibri" w:hAnsi="Calibri"/>
          <w:snapToGrid/>
          <w:sz w:val="24"/>
          <w:szCs w:val="22"/>
        </w:rPr>
        <w:t>The submission nominate</w:t>
      </w:r>
      <w:r w:rsidR="009332F6" w:rsidRPr="005E0DC9">
        <w:rPr>
          <w:rFonts w:ascii="Calibri" w:eastAsia="Calibri" w:hAnsi="Calibri"/>
          <w:snapToGrid/>
          <w:sz w:val="24"/>
          <w:szCs w:val="22"/>
        </w:rPr>
        <w:t>d</w:t>
      </w:r>
      <w:r w:rsidRPr="005E0DC9">
        <w:rPr>
          <w:rFonts w:ascii="Calibri" w:eastAsia="Calibri" w:hAnsi="Calibri"/>
          <w:snapToGrid/>
          <w:sz w:val="24"/>
          <w:szCs w:val="22"/>
        </w:rPr>
        <w:t xml:space="preserve"> </w:t>
      </w:r>
      <w:proofErr w:type="spellStart"/>
      <w:r w:rsidRPr="005E0DC9">
        <w:rPr>
          <w:rFonts w:ascii="Calibri" w:eastAsia="Calibri" w:hAnsi="Calibri"/>
          <w:snapToGrid/>
          <w:sz w:val="24"/>
          <w:szCs w:val="22"/>
        </w:rPr>
        <w:t>chlorambucil</w:t>
      </w:r>
      <w:proofErr w:type="spellEnd"/>
      <w:r w:rsidR="001D0800" w:rsidRPr="005E0DC9">
        <w:rPr>
          <w:rFonts w:ascii="Calibri" w:eastAsia="Calibri" w:hAnsi="Calibri"/>
          <w:snapToGrid/>
          <w:sz w:val="24"/>
          <w:szCs w:val="22"/>
        </w:rPr>
        <w:t xml:space="preserve"> </w:t>
      </w:r>
      <w:r w:rsidRPr="005E0DC9">
        <w:rPr>
          <w:rFonts w:ascii="Calibri" w:eastAsia="Calibri" w:hAnsi="Calibri"/>
          <w:snapToGrid/>
          <w:sz w:val="24"/>
          <w:szCs w:val="22"/>
        </w:rPr>
        <w:t xml:space="preserve">used in combination with an anti-CD20 monoclonal antibody, </w:t>
      </w:r>
      <w:proofErr w:type="gramStart"/>
      <w:r w:rsidRPr="005E0DC9">
        <w:rPr>
          <w:rFonts w:ascii="Calibri" w:eastAsia="Calibri" w:hAnsi="Calibri"/>
          <w:snapToGrid/>
          <w:sz w:val="24"/>
          <w:szCs w:val="22"/>
        </w:rPr>
        <w:t>either rituximab</w:t>
      </w:r>
      <w:proofErr w:type="gramEnd"/>
      <w:r w:rsidRPr="005E0DC9">
        <w:rPr>
          <w:rFonts w:ascii="Calibri" w:eastAsia="Calibri" w:hAnsi="Calibri"/>
          <w:snapToGrid/>
          <w:sz w:val="24"/>
          <w:szCs w:val="22"/>
        </w:rPr>
        <w:t xml:space="preserve">, </w:t>
      </w:r>
      <w:proofErr w:type="spellStart"/>
      <w:r w:rsidRPr="005E0DC9">
        <w:rPr>
          <w:rFonts w:ascii="Calibri" w:eastAsia="Calibri" w:hAnsi="Calibri"/>
          <w:snapToGrid/>
          <w:sz w:val="24"/>
          <w:szCs w:val="22"/>
        </w:rPr>
        <w:t>obinutuzumab</w:t>
      </w:r>
      <w:proofErr w:type="spellEnd"/>
      <w:r w:rsidR="001D0800" w:rsidRPr="005E0DC9">
        <w:rPr>
          <w:rFonts w:ascii="Calibri" w:eastAsia="Calibri" w:hAnsi="Calibri"/>
          <w:snapToGrid/>
          <w:sz w:val="24"/>
          <w:szCs w:val="22"/>
        </w:rPr>
        <w:t xml:space="preserve"> </w:t>
      </w:r>
      <w:r w:rsidRPr="005E0DC9">
        <w:rPr>
          <w:rFonts w:ascii="Calibri" w:eastAsia="Calibri" w:hAnsi="Calibri"/>
          <w:snapToGrid/>
          <w:sz w:val="24"/>
          <w:szCs w:val="22"/>
        </w:rPr>
        <w:t xml:space="preserve">or </w:t>
      </w:r>
      <w:proofErr w:type="spellStart"/>
      <w:r w:rsidRPr="005E0DC9">
        <w:rPr>
          <w:rFonts w:ascii="Calibri" w:eastAsia="Calibri" w:hAnsi="Calibri"/>
          <w:snapToGrid/>
          <w:sz w:val="24"/>
          <w:szCs w:val="22"/>
        </w:rPr>
        <w:t>ofatumumab</w:t>
      </w:r>
      <w:proofErr w:type="spellEnd"/>
      <w:r w:rsidRPr="005E0DC9">
        <w:rPr>
          <w:rFonts w:ascii="Calibri" w:eastAsia="Calibri" w:hAnsi="Calibri"/>
          <w:snapToGrid/>
          <w:sz w:val="24"/>
          <w:szCs w:val="22"/>
        </w:rPr>
        <w:t xml:space="preserve"> as the main comparator.  The submission cite</w:t>
      </w:r>
      <w:r w:rsidR="009332F6" w:rsidRPr="005E0DC9">
        <w:rPr>
          <w:rFonts w:ascii="Calibri" w:eastAsia="Calibri" w:hAnsi="Calibri"/>
          <w:snapToGrid/>
          <w:sz w:val="24"/>
          <w:szCs w:val="22"/>
        </w:rPr>
        <w:t>d</w:t>
      </w:r>
      <w:r w:rsidRPr="005E0DC9">
        <w:rPr>
          <w:rFonts w:ascii="Calibri" w:eastAsia="Calibri" w:hAnsi="Calibri"/>
          <w:snapToGrid/>
          <w:sz w:val="24"/>
          <w:szCs w:val="22"/>
        </w:rPr>
        <w:t xml:space="preserve"> the European Society for Medical Oncology (ESMO) and the National Comprehensive Cancer Network (NCCN), which </w:t>
      </w:r>
      <w:r w:rsidRPr="005E0DC9">
        <w:rPr>
          <w:rFonts w:ascii="Calibri" w:eastAsia="Calibri" w:hAnsi="Calibri"/>
          <w:snapToGrid/>
          <w:sz w:val="24"/>
          <w:szCs w:val="22"/>
        </w:rPr>
        <w:lastRenderedPageBreak/>
        <w:t xml:space="preserve">recommend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-based </w:t>
      </w:r>
      <w:proofErr w:type="spellStart"/>
      <w:r w:rsidRPr="005E0DC9">
        <w:rPr>
          <w:rFonts w:ascii="Calibri" w:eastAsia="Calibri" w:hAnsi="Calibri"/>
          <w:snapToGrid/>
          <w:sz w:val="24"/>
          <w:szCs w:val="22"/>
        </w:rPr>
        <w:t>immunochemotherapy</w:t>
      </w:r>
      <w:proofErr w:type="spellEnd"/>
      <w:r w:rsidRPr="005E0DC9">
        <w:rPr>
          <w:rFonts w:ascii="Calibri" w:eastAsia="Calibri" w:hAnsi="Calibri"/>
          <w:snapToGrid/>
          <w:sz w:val="24"/>
          <w:szCs w:val="22"/>
        </w:rPr>
        <w:t xml:space="preserve"> regimens (</w:t>
      </w:r>
      <w:proofErr w:type="spellStart"/>
      <w:r w:rsidRPr="005E0DC9">
        <w:rPr>
          <w:rFonts w:ascii="Calibri" w:eastAsia="Calibri" w:hAnsi="Calibri"/>
          <w:snapToGrid/>
          <w:sz w:val="24"/>
          <w:szCs w:val="22"/>
        </w:rPr>
        <w:t>eg</w:t>
      </w:r>
      <w:proofErr w:type="spellEnd"/>
      <w:r w:rsidRPr="005E0DC9">
        <w:rPr>
          <w:rFonts w:ascii="Calibri" w:eastAsia="Calibri" w:hAnsi="Calibri"/>
          <w:snapToGrid/>
          <w:sz w:val="24"/>
          <w:szCs w:val="22"/>
        </w:rPr>
        <w:t xml:space="preserve">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in combination with </w:t>
      </w:r>
      <w:proofErr w:type="spellStart"/>
      <w:r w:rsidRPr="005E0DC9">
        <w:rPr>
          <w:rFonts w:ascii="Calibri" w:eastAsia="Calibri" w:hAnsi="Calibri"/>
          <w:snapToGrid/>
          <w:sz w:val="24"/>
          <w:szCs w:val="22"/>
        </w:rPr>
        <w:t>obinutuzumab</w:t>
      </w:r>
      <w:proofErr w:type="spellEnd"/>
      <w:r w:rsidR="00E2169A" w:rsidRPr="005E0DC9">
        <w:rPr>
          <w:rFonts w:ascii="Calibri" w:eastAsia="Calibri" w:hAnsi="Calibri"/>
          <w:snapToGrid/>
          <w:sz w:val="24"/>
          <w:szCs w:val="22"/>
        </w:rPr>
        <w:t xml:space="preserve"> (</w:t>
      </w:r>
      <w:proofErr w:type="spellStart"/>
      <w:r w:rsidR="00E2169A" w:rsidRPr="005E0DC9">
        <w:rPr>
          <w:rFonts w:ascii="Calibri" w:eastAsia="Calibri" w:hAnsi="Calibri"/>
          <w:snapToGrid/>
          <w:sz w:val="24"/>
          <w:szCs w:val="22"/>
        </w:rPr>
        <w:t>obi+chl</w:t>
      </w:r>
      <w:proofErr w:type="spellEnd"/>
      <w:r w:rsidR="00E2169A" w:rsidRPr="005E0DC9">
        <w:rPr>
          <w:rFonts w:ascii="Calibri" w:eastAsia="Calibri" w:hAnsi="Calibri"/>
          <w:snapToGrid/>
          <w:sz w:val="24"/>
          <w:szCs w:val="22"/>
        </w:rPr>
        <w:t>)</w:t>
      </w:r>
      <w:r w:rsidRPr="005E0DC9">
        <w:rPr>
          <w:rFonts w:ascii="Calibri" w:eastAsia="Calibri" w:hAnsi="Calibri"/>
          <w:snapToGrid/>
          <w:sz w:val="24"/>
          <w:szCs w:val="22"/>
        </w:rPr>
        <w:t xml:space="preserve">, </w:t>
      </w:r>
      <w:proofErr w:type="spellStart"/>
      <w:r w:rsidRPr="005E0DC9">
        <w:rPr>
          <w:rFonts w:ascii="Calibri" w:eastAsia="Calibri" w:hAnsi="Calibri"/>
          <w:snapToGrid/>
          <w:sz w:val="24"/>
          <w:szCs w:val="22"/>
        </w:rPr>
        <w:t>ofatumumab</w:t>
      </w:r>
      <w:proofErr w:type="spellEnd"/>
      <w:r w:rsidR="00E2169A" w:rsidRPr="005E0DC9">
        <w:rPr>
          <w:rFonts w:ascii="Calibri" w:eastAsia="Calibri" w:hAnsi="Calibri"/>
          <w:snapToGrid/>
          <w:sz w:val="24"/>
          <w:szCs w:val="22"/>
        </w:rPr>
        <w:t xml:space="preserve"> (</w:t>
      </w:r>
      <w:proofErr w:type="spellStart"/>
      <w:r w:rsidR="00E2169A" w:rsidRPr="005E0DC9">
        <w:rPr>
          <w:rFonts w:ascii="Calibri" w:eastAsia="Calibri" w:hAnsi="Calibri"/>
          <w:snapToGrid/>
          <w:sz w:val="24"/>
          <w:szCs w:val="22"/>
        </w:rPr>
        <w:t>ofa+chl</w:t>
      </w:r>
      <w:proofErr w:type="spellEnd"/>
      <w:r w:rsidR="00E2169A" w:rsidRPr="005E0DC9">
        <w:rPr>
          <w:rFonts w:ascii="Calibri" w:eastAsia="Calibri" w:hAnsi="Calibri"/>
          <w:snapToGrid/>
          <w:sz w:val="24"/>
          <w:szCs w:val="22"/>
        </w:rPr>
        <w:t>)</w:t>
      </w:r>
      <w:r w:rsidRPr="005E0DC9">
        <w:rPr>
          <w:rFonts w:ascii="Calibri" w:eastAsia="Calibri" w:hAnsi="Calibri"/>
          <w:snapToGrid/>
          <w:sz w:val="24"/>
          <w:szCs w:val="22"/>
        </w:rPr>
        <w:t xml:space="preserve"> or rituximab</w:t>
      </w:r>
      <w:r w:rsidR="00E2169A" w:rsidRPr="005E0DC9">
        <w:rPr>
          <w:rFonts w:ascii="Calibri" w:eastAsia="Calibri" w:hAnsi="Calibri"/>
          <w:snapToGrid/>
          <w:sz w:val="24"/>
          <w:szCs w:val="22"/>
        </w:rPr>
        <w:t xml:space="preserve"> (</w:t>
      </w:r>
      <w:proofErr w:type="spellStart"/>
      <w:r w:rsidR="00E2169A" w:rsidRPr="005E0DC9">
        <w:rPr>
          <w:rFonts w:ascii="Calibri" w:eastAsia="Calibri" w:hAnsi="Calibri"/>
          <w:snapToGrid/>
          <w:sz w:val="24"/>
          <w:szCs w:val="22"/>
        </w:rPr>
        <w:t>ritux+chl</w:t>
      </w:r>
      <w:proofErr w:type="spellEnd"/>
      <w:r w:rsidR="00E2169A" w:rsidRPr="005E0DC9">
        <w:rPr>
          <w:rFonts w:ascii="Calibri" w:eastAsia="Calibri" w:hAnsi="Calibri"/>
          <w:snapToGrid/>
          <w:sz w:val="24"/>
          <w:szCs w:val="22"/>
        </w:rPr>
        <w:t>)</w:t>
      </w:r>
      <w:r w:rsidRPr="005E0DC9">
        <w:rPr>
          <w:rFonts w:ascii="Calibri" w:eastAsia="Calibri" w:hAnsi="Calibri"/>
          <w:snapToGrid/>
          <w:sz w:val="24"/>
          <w:szCs w:val="22"/>
        </w:rPr>
        <w:t>) for patients who cannot tolerate treatment with FCR.  The submission state</w:t>
      </w:r>
      <w:r w:rsidR="009332F6" w:rsidRPr="005E0DC9">
        <w:rPr>
          <w:rFonts w:ascii="Calibri" w:eastAsia="Calibri" w:hAnsi="Calibri"/>
          <w:snapToGrid/>
          <w:sz w:val="24"/>
          <w:szCs w:val="22"/>
        </w:rPr>
        <w:t>d</w:t>
      </w:r>
      <w:r w:rsidRPr="005E0DC9">
        <w:rPr>
          <w:rFonts w:ascii="Calibri" w:eastAsia="Calibri" w:hAnsi="Calibri"/>
          <w:snapToGrid/>
          <w:sz w:val="24"/>
          <w:szCs w:val="22"/>
        </w:rPr>
        <w:t xml:space="preserve"> that a blended comparator to estimate the incremental cost-effectiveness of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is the most appropriate comparator and most informative for decision making since the recent PBS listing dates of the comparators mean there is limited data to inform which specific </w:t>
      </w:r>
      <w:proofErr w:type="spellStart"/>
      <w:r w:rsidRPr="005E0DC9">
        <w:rPr>
          <w:rFonts w:ascii="Calibri" w:eastAsia="Calibri" w:hAnsi="Calibri"/>
          <w:snapToGrid/>
          <w:sz w:val="24"/>
          <w:szCs w:val="22"/>
        </w:rPr>
        <w:t>immunochemotherapy</w:t>
      </w:r>
      <w:proofErr w:type="spellEnd"/>
      <w:r w:rsidRPr="005E0DC9">
        <w:rPr>
          <w:rFonts w:ascii="Calibri" w:eastAsia="Calibri" w:hAnsi="Calibri"/>
          <w:snapToGrid/>
          <w:sz w:val="24"/>
          <w:szCs w:val="22"/>
        </w:rPr>
        <w:t xml:space="preserve"> regimen is the preferred treatment for patients who cannot tolerate FCR.</w:t>
      </w:r>
      <w:r w:rsidR="002D4285" w:rsidRPr="005E0DC9">
        <w:rPr>
          <w:rFonts w:ascii="Calibri" w:eastAsia="Calibri" w:hAnsi="Calibri"/>
          <w:snapToGrid/>
          <w:sz w:val="24"/>
          <w:szCs w:val="22"/>
        </w:rPr>
        <w:t xml:space="preserve"> The ESC advised that in academic centres </w:t>
      </w:r>
      <w:proofErr w:type="spellStart"/>
      <w:r w:rsidR="002D4285" w:rsidRPr="005E0DC9">
        <w:rPr>
          <w:rFonts w:ascii="Calibri" w:eastAsia="Calibri" w:hAnsi="Calibri"/>
          <w:snapToGrid/>
          <w:sz w:val="24"/>
          <w:szCs w:val="22"/>
        </w:rPr>
        <w:t>obi+chl</w:t>
      </w:r>
      <w:proofErr w:type="spellEnd"/>
      <w:r w:rsidR="002D4285" w:rsidRPr="005E0DC9">
        <w:rPr>
          <w:rFonts w:ascii="Calibri" w:eastAsia="Calibri" w:hAnsi="Calibri"/>
          <w:snapToGrid/>
          <w:sz w:val="24"/>
          <w:szCs w:val="22"/>
        </w:rPr>
        <w:t xml:space="preserve"> is now the preferred treatment option, as the most effective subsidised therapy.</w:t>
      </w:r>
    </w:p>
    <w:p w:rsidR="001D0800" w:rsidRPr="005E0DC9" w:rsidRDefault="001D0800" w:rsidP="00FA1A53">
      <w:pPr>
        <w:widowControl/>
        <w:numPr>
          <w:ilvl w:val="1"/>
          <w:numId w:val="11"/>
        </w:numPr>
        <w:spacing w:before="120" w:after="160"/>
        <w:ind w:left="709" w:hanging="709"/>
        <w:rPr>
          <w:rFonts w:ascii="Calibri" w:eastAsia="Calibri" w:hAnsi="Calibri"/>
          <w:b/>
          <w:snapToGrid/>
          <w:sz w:val="24"/>
          <w:szCs w:val="22"/>
        </w:rPr>
      </w:pPr>
      <w:r w:rsidRPr="005E0DC9">
        <w:rPr>
          <w:rFonts w:ascii="Calibri" w:eastAsia="Calibri" w:hAnsi="Calibri"/>
          <w:snapToGrid/>
          <w:sz w:val="24"/>
          <w:szCs w:val="22"/>
        </w:rPr>
        <w:t xml:space="preserve">The submission’s choice of a blended comparator does not reflect the efficacy conclusions drawn by the PBAC in its considerations of rituximab, </w:t>
      </w:r>
      <w:proofErr w:type="spellStart"/>
      <w:r w:rsidRPr="005E0DC9">
        <w:rPr>
          <w:rFonts w:ascii="Calibri" w:eastAsia="Calibri" w:hAnsi="Calibri"/>
          <w:snapToGrid/>
          <w:sz w:val="24"/>
          <w:szCs w:val="22"/>
        </w:rPr>
        <w:t>ofatumumab</w:t>
      </w:r>
      <w:proofErr w:type="spellEnd"/>
      <w:r w:rsidRPr="005E0DC9">
        <w:rPr>
          <w:rFonts w:ascii="Calibri" w:eastAsia="Calibri" w:hAnsi="Calibri"/>
          <w:snapToGrid/>
          <w:sz w:val="24"/>
          <w:szCs w:val="22"/>
        </w:rPr>
        <w:t xml:space="preserve"> and </w:t>
      </w:r>
      <w:proofErr w:type="spellStart"/>
      <w:r w:rsidRPr="005E0DC9">
        <w:rPr>
          <w:rFonts w:ascii="Calibri" w:eastAsia="Calibri" w:hAnsi="Calibri"/>
          <w:snapToGrid/>
          <w:sz w:val="24"/>
          <w:szCs w:val="22"/>
        </w:rPr>
        <w:t>obinutuzumab</w:t>
      </w:r>
      <w:proofErr w:type="spellEnd"/>
      <w:r w:rsidRPr="005E0DC9">
        <w:rPr>
          <w:rFonts w:ascii="Calibri" w:eastAsia="Calibri" w:hAnsi="Calibri"/>
          <w:snapToGrid/>
          <w:sz w:val="24"/>
          <w:szCs w:val="22"/>
        </w:rPr>
        <w:t xml:space="preserve">.  The March 2015 Public Summary Document (PSD) for </w:t>
      </w:r>
      <w:proofErr w:type="spellStart"/>
      <w:r w:rsidRPr="005E0DC9">
        <w:rPr>
          <w:rFonts w:ascii="Calibri" w:eastAsia="Calibri" w:hAnsi="Calibri"/>
          <w:snapToGrid/>
          <w:sz w:val="24"/>
          <w:szCs w:val="22"/>
        </w:rPr>
        <w:t>obinutuzumab</w:t>
      </w:r>
      <w:proofErr w:type="spellEnd"/>
      <w:r w:rsidRPr="005E0DC9">
        <w:rPr>
          <w:rFonts w:ascii="Calibri" w:eastAsia="Calibri" w:hAnsi="Calibri"/>
          <w:snapToGrid/>
          <w:sz w:val="24"/>
          <w:szCs w:val="22"/>
        </w:rPr>
        <w:t xml:space="preserve"> states that “The PBAC was satisfied that </w:t>
      </w:r>
      <w:proofErr w:type="spellStart"/>
      <w:r w:rsidRPr="005E0DC9">
        <w:rPr>
          <w:rFonts w:ascii="Calibri" w:eastAsia="Calibri" w:hAnsi="Calibri"/>
          <w:snapToGrid/>
          <w:sz w:val="24"/>
          <w:szCs w:val="22"/>
        </w:rPr>
        <w:t>obinutuzumab</w:t>
      </w:r>
      <w:proofErr w:type="spellEnd"/>
      <w:r w:rsidRPr="005E0DC9">
        <w:rPr>
          <w:rFonts w:ascii="Calibri" w:eastAsia="Calibri" w:hAnsi="Calibri"/>
          <w:snapToGrid/>
          <w:sz w:val="24"/>
          <w:szCs w:val="22"/>
        </w:rPr>
        <w:t xml:space="preserve"> in combination with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provides, for some patients, a significant improvement in efficacy over rituximab plus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and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monotherapy” (paragraph 7.2).  With </w:t>
      </w:r>
      <w:proofErr w:type="spellStart"/>
      <w:r w:rsidRPr="005E0DC9">
        <w:rPr>
          <w:rFonts w:ascii="Calibri" w:eastAsia="Calibri" w:hAnsi="Calibri"/>
          <w:snapToGrid/>
          <w:sz w:val="24"/>
          <w:szCs w:val="22"/>
        </w:rPr>
        <w:t>ofatumumab</w:t>
      </w:r>
      <w:proofErr w:type="spellEnd"/>
      <w:r w:rsidRPr="005E0DC9">
        <w:rPr>
          <w:rFonts w:ascii="Calibri" w:eastAsia="Calibri" w:hAnsi="Calibri"/>
          <w:snapToGrid/>
          <w:sz w:val="24"/>
          <w:szCs w:val="22"/>
        </w:rPr>
        <w:t xml:space="preserve"> being recommended on a cost-minimisation basis with rituximab and the PBAC accepting the available evidence to support non-inferiority of </w:t>
      </w:r>
      <w:proofErr w:type="spellStart"/>
      <w:r w:rsidRPr="005E0DC9">
        <w:rPr>
          <w:rFonts w:ascii="Calibri" w:eastAsia="Calibri" w:hAnsi="Calibri"/>
          <w:snapToGrid/>
          <w:sz w:val="24"/>
          <w:szCs w:val="22"/>
        </w:rPr>
        <w:t>ofatumumab</w:t>
      </w:r>
      <w:proofErr w:type="spellEnd"/>
      <w:r w:rsidRPr="005E0DC9">
        <w:rPr>
          <w:rFonts w:ascii="Calibri" w:eastAsia="Calibri" w:hAnsi="Calibri"/>
          <w:snapToGrid/>
          <w:sz w:val="24"/>
          <w:szCs w:val="22"/>
        </w:rPr>
        <w:t xml:space="preserve"> and rituximab (paragraph 7.5 of the November 2014 </w:t>
      </w:r>
      <w:proofErr w:type="spellStart"/>
      <w:r w:rsidRPr="005E0DC9">
        <w:rPr>
          <w:rFonts w:ascii="Calibri" w:eastAsia="Calibri" w:hAnsi="Calibri"/>
          <w:snapToGrid/>
          <w:sz w:val="24"/>
          <w:szCs w:val="22"/>
        </w:rPr>
        <w:t>ofatumumab</w:t>
      </w:r>
      <w:proofErr w:type="spellEnd"/>
      <w:r w:rsidRPr="005E0DC9">
        <w:rPr>
          <w:rFonts w:ascii="Calibri" w:eastAsia="Calibri" w:hAnsi="Calibri"/>
          <w:snapToGrid/>
          <w:sz w:val="24"/>
          <w:szCs w:val="22"/>
        </w:rPr>
        <w:t xml:space="preserve"> PSD), it would be reasonable to conclude that the PBS listing of these agents indicates superior efficacy for </w:t>
      </w:r>
      <w:proofErr w:type="spellStart"/>
      <w:r w:rsidRPr="005E0DC9">
        <w:rPr>
          <w:rFonts w:ascii="Calibri" w:eastAsia="Calibri" w:hAnsi="Calibri"/>
          <w:snapToGrid/>
          <w:sz w:val="24"/>
          <w:szCs w:val="22"/>
        </w:rPr>
        <w:t>obinutuzumab</w:t>
      </w:r>
      <w:proofErr w:type="spellEnd"/>
      <w:r w:rsidRPr="005E0DC9">
        <w:rPr>
          <w:rFonts w:ascii="Calibri" w:eastAsia="Calibri" w:hAnsi="Calibri"/>
          <w:snapToGrid/>
          <w:sz w:val="24"/>
          <w:szCs w:val="22"/>
        </w:rPr>
        <w:t xml:space="preserve">.  The </w:t>
      </w:r>
      <w:r w:rsidR="00C50EFF">
        <w:rPr>
          <w:rFonts w:ascii="Calibri" w:eastAsia="Calibri" w:hAnsi="Calibri"/>
          <w:snapToGrid/>
          <w:sz w:val="24"/>
          <w:szCs w:val="22"/>
        </w:rPr>
        <w:t>Pre-Sub</w:t>
      </w:r>
      <w:r w:rsidR="00882B1D">
        <w:rPr>
          <w:rFonts w:ascii="Calibri" w:eastAsia="Calibri" w:hAnsi="Calibri"/>
          <w:snapToGrid/>
          <w:sz w:val="24"/>
          <w:szCs w:val="22"/>
        </w:rPr>
        <w:t>-</w:t>
      </w:r>
      <w:r w:rsidR="00C50EFF">
        <w:rPr>
          <w:rFonts w:ascii="Calibri" w:eastAsia="Calibri" w:hAnsi="Calibri"/>
          <w:snapToGrid/>
          <w:sz w:val="24"/>
          <w:szCs w:val="22"/>
        </w:rPr>
        <w:t>Committee Response (</w:t>
      </w:r>
      <w:r w:rsidRPr="005E0DC9">
        <w:rPr>
          <w:rFonts w:ascii="Calibri" w:eastAsia="Calibri" w:hAnsi="Calibri"/>
          <w:snapToGrid/>
          <w:sz w:val="24"/>
          <w:szCs w:val="22"/>
        </w:rPr>
        <w:t>PSCR</w:t>
      </w:r>
      <w:r w:rsidR="00C50EFF">
        <w:rPr>
          <w:rFonts w:ascii="Calibri" w:eastAsia="Calibri" w:hAnsi="Calibri"/>
          <w:snapToGrid/>
          <w:sz w:val="24"/>
          <w:szCs w:val="22"/>
        </w:rPr>
        <w:t>)</w:t>
      </w:r>
      <w:r w:rsidRPr="005E0DC9">
        <w:rPr>
          <w:rFonts w:ascii="Calibri" w:eastAsia="Calibri" w:hAnsi="Calibri"/>
          <w:snapToGrid/>
          <w:sz w:val="24"/>
          <w:szCs w:val="22"/>
        </w:rPr>
        <w:t xml:space="preserve"> (pp1-2) argued that given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did not reach statistically significant improvements in OS vs </w:t>
      </w:r>
      <w:proofErr w:type="spellStart"/>
      <w:r w:rsidRPr="005E0DC9">
        <w:rPr>
          <w:rFonts w:ascii="Calibri" w:eastAsia="Calibri" w:hAnsi="Calibri"/>
          <w:snapToGrid/>
          <w:sz w:val="24"/>
          <w:szCs w:val="22"/>
        </w:rPr>
        <w:t>ritux+chl</w:t>
      </w:r>
      <w:proofErr w:type="spellEnd"/>
      <w:r w:rsidRPr="005E0DC9">
        <w:rPr>
          <w:rFonts w:ascii="Calibri" w:eastAsia="Calibri" w:hAnsi="Calibri"/>
          <w:snapToGrid/>
          <w:sz w:val="24"/>
          <w:szCs w:val="22"/>
        </w:rPr>
        <w:t xml:space="preserve"> in the March 2015 PBAC consideration, but the indirect comparison of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vs </w:t>
      </w:r>
      <w:proofErr w:type="spellStart"/>
      <w:r w:rsidRPr="005E0DC9">
        <w:rPr>
          <w:rFonts w:ascii="Calibri" w:eastAsia="Calibri" w:hAnsi="Calibri"/>
          <w:snapToGrid/>
          <w:sz w:val="24"/>
          <w:szCs w:val="22"/>
        </w:rPr>
        <w:t>ritux+chl</w:t>
      </w:r>
      <w:proofErr w:type="spellEnd"/>
      <w:r w:rsidRPr="005E0DC9">
        <w:rPr>
          <w:rFonts w:ascii="Calibri" w:eastAsia="Calibri" w:hAnsi="Calibri"/>
          <w:snapToGrid/>
          <w:sz w:val="24"/>
          <w:szCs w:val="22"/>
        </w:rPr>
        <w:t xml:space="preserve"> did show a significant improvement, it is reasonable to conclude that survival following treatment with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is statistically and clinically superior to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The ESC noted the evidence of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superiority vs </w:t>
      </w:r>
      <w:proofErr w:type="spellStart"/>
      <w:r w:rsidRPr="005E0DC9">
        <w:rPr>
          <w:rFonts w:ascii="Calibri" w:eastAsia="Calibri" w:hAnsi="Calibri"/>
          <w:snapToGrid/>
          <w:sz w:val="24"/>
          <w:szCs w:val="22"/>
        </w:rPr>
        <w:t>ritux+chl</w:t>
      </w:r>
      <w:proofErr w:type="spellEnd"/>
      <w:r w:rsidRPr="005E0DC9">
        <w:rPr>
          <w:rFonts w:ascii="Calibri" w:eastAsia="Calibri" w:hAnsi="Calibri"/>
          <w:snapToGrid/>
          <w:sz w:val="24"/>
          <w:szCs w:val="22"/>
        </w:rPr>
        <w:t xml:space="preserve"> was based on a direct RCT which demonstrated statistically significant improvements in PFS, and approached statistical significance in OS HR=0.70 (0.47, 1.02). The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claims are based on indirect comparisons and are not sufficient evidence to support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being superior to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w:t>
      </w:r>
    </w:p>
    <w:p w:rsidR="003A35D5" w:rsidRPr="005E0DC9" w:rsidRDefault="003A35D5" w:rsidP="00FA1A53">
      <w:pPr>
        <w:widowControl/>
        <w:numPr>
          <w:ilvl w:val="1"/>
          <w:numId w:val="11"/>
        </w:numPr>
        <w:spacing w:before="120" w:after="160"/>
        <w:ind w:left="709" w:hanging="709"/>
        <w:rPr>
          <w:rFonts w:ascii="Calibri" w:hAnsi="Calibri"/>
          <w:b/>
          <w:sz w:val="24"/>
        </w:rPr>
      </w:pPr>
      <w:r w:rsidRPr="005E0DC9">
        <w:rPr>
          <w:rFonts w:ascii="Calibri" w:eastAsia="Calibri" w:hAnsi="Calibri"/>
          <w:snapToGrid/>
          <w:sz w:val="24"/>
          <w:szCs w:val="22"/>
        </w:rPr>
        <w:t>PBS</w:t>
      </w:r>
      <w:r w:rsidRPr="005E0DC9">
        <w:rPr>
          <w:rFonts w:ascii="Calibri" w:hAnsi="Calibri"/>
          <w:sz w:val="24"/>
        </w:rPr>
        <w:t xml:space="preserve"> data of current treatment</w:t>
      </w:r>
      <w:r w:rsidR="00E36A02" w:rsidRPr="005E0DC9">
        <w:rPr>
          <w:rFonts w:ascii="Calibri" w:hAnsi="Calibri"/>
          <w:sz w:val="24"/>
        </w:rPr>
        <w:t>s for</w:t>
      </w:r>
      <w:r w:rsidRPr="005E0DC9">
        <w:rPr>
          <w:rFonts w:ascii="Calibri" w:hAnsi="Calibri"/>
          <w:sz w:val="24"/>
        </w:rPr>
        <w:t xml:space="preserve"> first-line CLL in unfit patients demonstrate</w:t>
      </w:r>
      <w:r w:rsidR="00A739C6" w:rsidRPr="005E0DC9">
        <w:rPr>
          <w:rFonts w:ascii="Calibri" w:hAnsi="Calibri"/>
          <w:sz w:val="24"/>
        </w:rPr>
        <w:t>d</w:t>
      </w:r>
      <w:r w:rsidRPr="005E0DC9">
        <w:rPr>
          <w:rFonts w:ascii="Calibri" w:hAnsi="Calibri"/>
          <w:sz w:val="24"/>
        </w:rPr>
        <w:t xml:space="preserve"> u</w:t>
      </w:r>
      <w:r w:rsidR="00A739C6" w:rsidRPr="005E0DC9">
        <w:rPr>
          <w:rFonts w:ascii="Calibri" w:hAnsi="Calibri"/>
          <w:sz w:val="24"/>
        </w:rPr>
        <w:t xml:space="preserve">ptake of obi + </w:t>
      </w:r>
      <w:proofErr w:type="spellStart"/>
      <w:r w:rsidR="00A739C6" w:rsidRPr="005E0DC9">
        <w:rPr>
          <w:rFonts w:ascii="Calibri" w:hAnsi="Calibri"/>
          <w:sz w:val="24"/>
        </w:rPr>
        <w:t>chl</w:t>
      </w:r>
      <w:proofErr w:type="spellEnd"/>
      <w:r w:rsidR="00A739C6" w:rsidRPr="005E0DC9">
        <w:rPr>
          <w:rFonts w:ascii="Calibri" w:hAnsi="Calibri"/>
          <w:sz w:val="24"/>
        </w:rPr>
        <w:t xml:space="preserve"> wa</w:t>
      </w:r>
      <w:r w:rsidRPr="005E0DC9">
        <w:rPr>
          <w:rFonts w:ascii="Calibri" w:hAnsi="Calibri"/>
          <w:sz w:val="24"/>
        </w:rPr>
        <w:t>s increasing (as seen in Figures 1 and 2 below), but</w:t>
      </w:r>
      <w:r w:rsidRPr="005E0DC9">
        <w:rPr>
          <w:rFonts w:ascii="Calibri" w:hAnsi="Calibri"/>
          <w:b/>
          <w:sz w:val="24"/>
        </w:rPr>
        <w:t xml:space="preserve"> </w:t>
      </w:r>
      <w:proofErr w:type="spellStart"/>
      <w:r w:rsidR="00A739C6" w:rsidRPr="005E0DC9">
        <w:rPr>
          <w:rFonts w:ascii="Calibri" w:hAnsi="Calibri"/>
          <w:sz w:val="24"/>
        </w:rPr>
        <w:t>ritux+chl</w:t>
      </w:r>
      <w:proofErr w:type="spellEnd"/>
      <w:r w:rsidR="00A739C6" w:rsidRPr="005E0DC9">
        <w:rPr>
          <w:rFonts w:ascii="Calibri" w:hAnsi="Calibri"/>
          <w:sz w:val="24"/>
        </w:rPr>
        <w:t xml:space="preserve"> wa</w:t>
      </w:r>
      <w:r w:rsidRPr="005E0DC9">
        <w:rPr>
          <w:rFonts w:ascii="Calibri" w:hAnsi="Calibri"/>
          <w:sz w:val="24"/>
        </w:rPr>
        <w:t xml:space="preserve">s currently the more common treatment. Without </w:t>
      </w:r>
      <w:r w:rsidR="002711F6" w:rsidRPr="005E0DC9">
        <w:rPr>
          <w:rFonts w:ascii="Calibri" w:hAnsi="Calibri"/>
          <w:sz w:val="24"/>
        </w:rPr>
        <w:t xml:space="preserve">robust </w:t>
      </w:r>
      <w:r w:rsidRPr="005E0DC9">
        <w:rPr>
          <w:rFonts w:ascii="Calibri" w:hAnsi="Calibri"/>
          <w:sz w:val="24"/>
        </w:rPr>
        <w:t xml:space="preserve">evidence to justify superiority of </w:t>
      </w:r>
      <w:proofErr w:type="spellStart"/>
      <w:r w:rsidRPr="005E0DC9">
        <w:rPr>
          <w:rFonts w:ascii="Calibri" w:hAnsi="Calibri"/>
          <w:sz w:val="24"/>
        </w:rPr>
        <w:t>ibrutinib</w:t>
      </w:r>
      <w:proofErr w:type="spellEnd"/>
      <w:r w:rsidRPr="005E0DC9">
        <w:rPr>
          <w:rFonts w:ascii="Calibri" w:hAnsi="Calibri"/>
          <w:sz w:val="24"/>
        </w:rPr>
        <w:t xml:space="preserve"> vs </w:t>
      </w:r>
      <w:proofErr w:type="spellStart"/>
      <w:r w:rsidRPr="005E0DC9">
        <w:rPr>
          <w:rFonts w:ascii="Calibri" w:hAnsi="Calibri"/>
          <w:sz w:val="24"/>
        </w:rPr>
        <w:t>obi+chl</w:t>
      </w:r>
      <w:proofErr w:type="spellEnd"/>
      <w:r w:rsidRPr="005E0DC9">
        <w:rPr>
          <w:rFonts w:ascii="Calibri" w:hAnsi="Calibri"/>
          <w:sz w:val="24"/>
        </w:rPr>
        <w:t xml:space="preserve">, the ESC considered either non-inferiority to </w:t>
      </w:r>
      <w:proofErr w:type="spellStart"/>
      <w:r w:rsidRPr="005E0DC9">
        <w:rPr>
          <w:rFonts w:ascii="Calibri" w:hAnsi="Calibri"/>
          <w:sz w:val="24"/>
        </w:rPr>
        <w:t>obi+chl</w:t>
      </w:r>
      <w:proofErr w:type="spellEnd"/>
      <w:r w:rsidRPr="005E0DC9">
        <w:rPr>
          <w:rFonts w:ascii="Calibri" w:hAnsi="Calibri"/>
          <w:sz w:val="24"/>
        </w:rPr>
        <w:t xml:space="preserve"> or</w:t>
      </w:r>
      <w:r w:rsidRPr="005E0DC9">
        <w:rPr>
          <w:rFonts w:ascii="Calibri" w:hAnsi="Calibri"/>
          <w:b/>
          <w:sz w:val="24"/>
        </w:rPr>
        <w:t xml:space="preserve"> </w:t>
      </w:r>
      <w:r w:rsidRPr="005E0DC9">
        <w:rPr>
          <w:rFonts w:ascii="Calibri" w:hAnsi="Calibri"/>
          <w:sz w:val="24"/>
        </w:rPr>
        <w:t xml:space="preserve">superiority of </w:t>
      </w:r>
      <w:proofErr w:type="spellStart"/>
      <w:r w:rsidRPr="005E0DC9">
        <w:rPr>
          <w:rFonts w:ascii="Calibri" w:hAnsi="Calibri"/>
          <w:sz w:val="24"/>
        </w:rPr>
        <w:t>ibrutinib</w:t>
      </w:r>
      <w:proofErr w:type="spellEnd"/>
      <w:r w:rsidRPr="005E0DC9">
        <w:rPr>
          <w:rFonts w:ascii="Calibri" w:hAnsi="Calibri"/>
          <w:sz w:val="24"/>
        </w:rPr>
        <w:t xml:space="preserve"> vs </w:t>
      </w:r>
      <w:proofErr w:type="spellStart"/>
      <w:r w:rsidRPr="005E0DC9">
        <w:rPr>
          <w:rFonts w:ascii="Calibri" w:hAnsi="Calibri"/>
          <w:sz w:val="24"/>
        </w:rPr>
        <w:t>ritux+chl</w:t>
      </w:r>
      <w:proofErr w:type="spellEnd"/>
      <w:r w:rsidRPr="005E0DC9">
        <w:rPr>
          <w:rFonts w:ascii="Calibri" w:hAnsi="Calibri"/>
          <w:sz w:val="24"/>
        </w:rPr>
        <w:t xml:space="preserve"> </w:t>
      </w:r>
      <w:r w:rsidR="00ED4312" w:rsidRPr="005E0DC9">
        <w:rPr>
          <w:rFonts w:ascii="Calibri" w:hAnsi="Calibri"/>
          <w:sz w:val="24"/>
        </w:rPr>
        <w:t>may</w:t>
      </w:r>
      <w:r w:rsidRPr="005E0DC9">
        <w:rPr>
          <w:rFonts w:ascii="Calibri" w:hAnsi="Calibri"/>
          <w:sz w:val="24"/>
        </w:rPr>
        <w:t xml:space="preserve"> be the most relevant comparisons for assessing clinical and cost-effectiveness.</w:t>
      </w:r>
      <w:r w:rsidRPr="005E0DC9" w:rsidDel="00AF2A73">
        <w:rPr>
          <w:rFonts w:ascii="Calibri" w:hAnsi="Calibri"/>
          <w:sz w:val="24"/>
        </w:rPr>
        <w:t xml:space="preserve"> </w:t>
      </w:r>
      <w:r w:rsidR="00D852B3" w:rsidRPr="005E0DC9">
        <w:rPr>
          <w:rFonts w:ascii="Calibri" w:hAnsi="Calibri"/>
          <w:sz w:val="24"/>
        </w:rPr>
        <w:t>The PBAC agreed with the ESC.</w:t>
      </w:r>
    </w:p>
    <w:p w:rsidR="0045037F" w:rsidRPr="005E0DC9" w:rsidRDefault="0045037F" w:rsidP="0045037F">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lastRenderedPageBreak/>
        <w:t>Figure 1:</w:t>
      </w:r>
      <w:r w:rsidRPr="005E0DC9">
        <w:rPr>
          <w:rFonts w:ascii="Arial Narrow" w:eastAsia="Calibri" w:hAnsi="Arial Narrow"/>
          <w:b/>
          <w:snapToGrid/>
          <w:sz w:val="20"/>
          <w:szCs w:val="22"/>
        </w:rPr>
        <w:tab/>
        <w:t>Number of patient initiations for each treatment (PBS script analysis)</w:t>
      </w:r>
    </w:p>
    <w:p w:rsidR="0045037F" w:rsidRPr="005E0DC9" w:rsidRDefault="00773C23" w:rsidP="0045037F">
      <w:pPr>
        <w:rPr>
          <w:i/>
        </w:rPr>
      </w:pPr>
      <w:r>
        <w:rPr>
          <w:i/>
          <w:noProof/>
          <w:snapToGrid/>
          <w:lang w:eastAsia="en-AU"/>
        </w:rPr>
        <w:drawing>
          <wp:inline distT="0" distB="0" distL="0" distR="0">
            <wp:extent cx="4483100" cy="2397125"/>
            <wp:effectExtent l="0" t="0" r="0" b="3175"/>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83100" cy="2397125"/>
                    </a:xfrm>
                    <a:prstGeom prst="rect">
                      <a:avLst/>
                    </a:prstGeom>
                  </pic:spPr>
                </pic:pic>
              </a:graphicData>
            </a:graphic>
          </wp:inline>
        </w:drawing>
      </w:r>
      <w:r w:rsidR="0045037F" w:rsidRPr="005E0DC9">
        <w:rPr>
          <w:i/>
        </w:rPr>
        <w:t xml:space="preserve"> </w:t>
      </w:r>
    </w:p>
    <w:p w:rsidR="0045037F" w:rsidRPr="005E0DC9" w:rsidRDefault="0045037F" w:rsidP="0045037F">
      <w:pPr>
        <w:rPr>
          <w:i/>
        </w:rPr>
      </w:pPr>
    </w:p>
    <w:p w:rsidR="0045037F" w:rsidRPr="005E0DC9" w:rsidRDefault="0045037F" w:rsidP="0045037F">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Figure 2:</w:t>
      </w:r>
      <w:r w:rsidRPr="005E0DC9">
        <w:rPr>
          <w:rFonts w:ascii="Arial Narrow" w:eastAsia="Calibri" w:hAnsi="Arial Narrow"/>
          <w:b/>
          <w:snapToGrid/>
          <w:sz w:val="20"/>
          <w:szCs w:val="22"/>
        </w:rPr>
        <w:tab/>
        <w:t>Percentage of patient initiations for each treatment</w:t>
      </w:r>
    </w:p>
    <w:p w:rsidR="0045037F" w:rsidRPr="005E0DC9" w:rsidRDefault="00773C23" w:rsidP="0045037F">
      <w:pPr>
        <w:widowControl/>
        <w:spacing w:before="120" w:after="160"/>
        <w:ind w:left="709"/>
        <w:rPr>
          <w:rFonts w:ascii="Calibri" w:eastAsia="Calibri" w:hAnsi="Calibri"/>
          <w:snapToGrid/>
          <w:sz w:val="24"/>
          <w:szCs w:val="22"/>
        </w:rPr>
      </w:pPr>
      <w:r>
        <w:rPr>
          <w:rFonts w:ascii="Calibri" w:eastAsia="Calibri" w:hAnsi="Calibri"/>
          <w:noProof/>
          <w:snapToGrid/>
          <w:sz w:val="24"/>
          <w:szCs w:val="22"/>
          <w:lang w:eastAsia="en-AU"/>
        </w:rPr>
        <w:drawing>
          <wp:inline distT="0" distB="0" distL="0" distR="0">
            <wp:extent cx="4069715" cy="2176780"/>
            <wp:effectExtent l="0" t="0" r="6985"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69715" cy="2176780"/>
                    </a:xfrm>
                    <a:prstGeom prst="rect">
                      <a:avLst/>
                    </a:prstGeom>
                  </pic:spPr>
                </pic:pic>
              </a:graphicData>
            </a:graphic>
          </wp:inline>
        </w:drawing>
      </w:r>
    </w:p>
    <w:p w:rsidR="0045037F" w:rsidRPr="005E0DC9" w:rsidRDefault="0045037F" w:rsidP="003A1E44">
      <w:pPr>
        <w:tabs>
          <w:tab w:val="left" w:pos="142"/>
        </w:tabs>
        <w:spacing w:after="120"/>
        <w:contextualSpacing/>
        <w:rPr>
          <w:rFonts w:ascii="Arial Narrow" w:hAnsi="Arial Narrow"/>
          <w:sz w:val="18"/>
          <w:szCs w:val="18"/>
        </w:rPr>
      </w:pPr>
      <w:r w:rsidRPr="005E0DC9">
        <w:rPr>
          <w:rFonts w:ascii="Arial Narrow" w:hAnsi="Arial Narrow"/>
          <w:sz w:val="18"/>
          <w:szCs w:val="18"/>
        </w:rPr>
        <w:t>Source: Figures 1 and 2 of the Pre-sub-committee response (PSCR), p5</w:t>
      </w:r>
    </w:p>
    <w:p w:rsidR="003A1E44" w:rsidRPr="005E0DC9" w:rsidRDefault="003A1E44" w:rsidP="003A1E44">
      <w:pPr>
        <w:tabs>
          <w:tab w:val="left" w:pos="142"/>
        </w:tabs>
        <w:spacing w:after="120"/>
        <w:contextualSpacing/>
        <w:rPr>
          <w:rFonts w:ascii="Arial Narrow" w:hAnsi="Arial Narrow"/>
          <w:i/>
          <w:sz w:val="18"/>
          <w:szCs w:val="18"/>
        </w:rPr>
      </w:pPr>
    </w:p>
    <w:p w:rsidR="00610C73" w:rsidRPr="005E0DC9" w:rsidRDefault="00610C73" w:rsidP="00FA1A53">
      <w:pPr>
        <w:widowControl/>
        <w:numPr>
          <w:ilvl w:val="1"/>
          <w:numId w:val="11"/>
        </w:numPr>
        <w:spacing w:before="120" w:after="160"/>
        <w:ind w:left="709" w:hanging="709"/>
        <w:rPr>
          <w:rFonts w:ascii="Calibri" w:eastAsia="Calibri" w:hAnsi="Calibri"/>
          <w:snapToGrid/>
          <w:sz w:val="24"/>
          <w:szCs w:val="22"/>
        </w:rPr>
      </w:pPr>
      <w:r w:rsidRPr="005E0DC9">
        <w:rPr>
          <w:rFonts w:ascii="Calibri" w:eastAsia="Calibri" w:hAnsi="Calibri"/>
          <w:snapToGrid/>
          <w:sz w:val="24"/>
          <w:szCs w:val="22"/>
        </w:rPr>
        <w:t xml:space="preserve">The ICER for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versus </w:t>
      </w:r>
      <w:proofErr w:type="spellStart"/>
      <w:r w:rsidR="004E3F9F" w:rsidRPr="005E0DC9">
        <w:rPr>
          <w:rFonts w:ascii="Calibri" w:eastAsia="Calibri" w:hAnsi="Calibri"/>
          <w:snapToGrid/>
          <w:sz w:val="24"/>
          <w:szCs w:val="22"/>
        </w:rPr>
        <w:t>obi+chl</w:t>
      </w:r>
      <w:proofErr w:type="spellEnd"/>
      <w:r w:rsidR="004E3F9F" w:rsidRPr="005E0DC9">
        <w:rPr>
          <w:rFonts w:ascii="Calibri" w:eastAsia="Calibri" w:hAnsi="Calibri"/>
          <w:snapToGrid/>
          <w:sz w:val="24"/>
          <w:szCs w:val="22"/>
        </w:rPr>
        <w:t xml:space="preserve"> </w:t>
      </w:r>
      <w:r w:rsidRPr="005E0DC9">
        <w:rPr>
          <w:rFonts w:ascii="Calibri" w:eastAsia="Calibri" w:hAnsi="Calibri"/>
          <w:snapToGrid/>
          <w:sz w:val="24"/>
          <w:szCs w:val="22"/>
        </w:rPr>
        <w:t>is approximately 20% higher ($</w:t>
      </w:r>
      <w:r w:rsidR="00584D09">
        <w:rPr>
          <w:rFonts w:ascii="Calibri" w:eastAsia="Calibri" w:hAnsi="Calibri"/>
          <w:snapToGrid/>
          <w:sz w:val="24"/>
          <w:szCs w:val="22"/>
        </w:rPr>
        <w:t>75,000 – $105,000</w:t>
      </w:r>
      <w:r w:rsidRPr="005E0DC9">
        <w:rPr>
          <w:rFonts w:ascii="Calibri" w:eastAsia="Calibri" w:hAnsi="Calibri"/>
          <w:snapToGrid/>
          <w:sz w:val="24"/>
          <w:szCs w:val="22"/>
        </w:rPr>
        <w:t xml:space="preserve">) compared with the ICER for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versus the blended comparator ($</w:t>
      </w:r>
      <w:r w:rsidR="00584D09">
        <w:rPr>
          <w:rFonts w:ascii="Calibri" w:eastAsia="Calibri" w:hAnsi="Calibri"/>
          <w:snapToGrid/>
          <w:sz w:val="24"/>
          <w:szCs w:val="22"/>
        </w:rPr>
        <w:t>75,000 – $105,000</w:t>
      </w:r>
      <w:r w:rsidRPr="005E0DC9">
        <w:rPr>
          <w:rFonts w:ascii="Calibri" w:eastAsia="Calibri" w:hAnsi="Calibri"/>
          <w:snapToGrid/>
          <w:sz w:val="24"/>
          <w:szCs w:val="22"/>
        </w:rPr>
        <w:t>; see Economic analysis below)</w:t>
      </w:r>
      <w:r w:rsidRPr="005E0DC9">
        <w:rPr>
          <w:rFonts w:ascii="Calibri" w:eastAsia="Calibri" w:hAnsi="Calibri"/>
          <w:snapToGrid/>
          <w:color w:val="000000"/>
          <w:sz w:val="24"/>
          <w:szCs w:val="22"/>
          <w:lang w:eastAsia="en-AU"/>
        </w:rPr>
        <w:t xml:space="preserve">.  The blended comparator is not a conservative selection, and appears to favour </w:t>
      </w:r>
      <w:proofErr w:type="spellStart"/>
      <w:r w:rsidRPr="005E0DC9">
        <w:rPr>
          <w:rFonts w:ascii="Calibri" w:eastAsia="Calibri" w:hAnsi="Calibri"/>
          <w:snapToGrid/>
          <w:color w:val="000000"/>
          <w:sz w:val="24"/>
          <w:szCs w:val="22"/>
          <w:lang w:eastAsia="en-AU"/>
        </w:rPr>
        <w:t>ibrutinib</w:t>
      </w:r>
      <w:proofErr w:type="spellEnd"/>
      <w:r w:rsidRPr="005E0DC9">
        <w:rPr>
          <w:rFonts w:ascii="Calibri" w:eastAsia="Calibri" w:hAnsi="Calibri"/>
          <w:snapToGrid/>
          <w:color w:val="000000"/>
          <w:sz w:val="24"/>
          <w:szCs w:val="22"/>
          <w:lang w:eastAsia="en-AU"/>
        </w:rPr>
        <w:t xml:space="preserve"> in regard to estimated cost-effectiveness.</w:t>
      </w:r>
      <w:r w:rsidRPr="005E0DC9">
        <w:rPr>
          <w:rFonts w:ascii="Calibri" w:eastAsia="Calibri" w:hAnsi="Calibri"/>
          <w:iCs/>
          <w:snapToGrid/>
          <w:sz w:val="24"/>
          <w:szCs w:val="22"/>
        </w:rPr>
        <w:t xml:space="preserve"> </w:t>
      </w:r>
    </w:p>
    <w:p w:rsidR="00740A17" w:rsidRPr="005E0DC9" w:rsidRDefault="00740A17" w:rsidP="00740A17">
      <w:pPr>
        <w:widowControl/>
        <w:spacing w:before="120" w:after="160"/>
        <w:ind w:left="709"/>
        <w:rPr>
          <w:rFonts w:ascii="Calibri" w:eastAsia="Calibri" w:hAnsi="Calibri"/>
          <w:snapToGrid/>
          <w:sz w:val="24"/>
          <w:szCs w:val="24"/>
        </w:rPr>
      </w:pPr>
      <w:r w:rsidRPr="005E0DC9">
        <w:rPr>
          <w:rFonts w:asciiTheme="minorHAnsi" w:hAnsiTheme="minorHAnsi"/>
          <w:i/>
          <w:sz w:val="24"/>
          <w:szCs w:val="24"/>
        </w:rPr>
        <w:t>For more detail on PBAC’s view, see section 7 PBAC outcome.</w:t>
      </w:r>
    </w:p>
    <w:p w:rsidR="00610C73" w:rsidRPr="005E0DC9" w:rsidRDefault="00610C73" w:rsidP="00FA1A53">
      <w:pPr>
        <w:pStyle w:val="Heading1"/>
        <w:keepNext/>
        <w:keepLines/>
        <w:widowControl/>
        <w:numPr>
          <w:ilvl w:val="0"/>
          <w:numId w:val="11"/>
        </w:numPr>
        <w:spacing w:before="240" w:after="120"/>
        <w:jc w:val="left"/>
        <w:rPr>
          <w:rFonts w:asciiTheme="minorHAnsi" w:eastAsiaTheme="majorEastAsia" w:hAnsiTheme="minorHAnsi" w:cstheme="majorBidi"/>
          <w:caps w:val="0"/>
          <w:snapToGrid/>
          <w:sz w:val="32"/>
          <w:szCs w:val="28"/>
        </w:rPr>
      </w:pPr>
      <w:bookmarkStart w:id="21" w:name="_Toc413139276"/>
      <w:bookmarkStart w:id="22" w:name="_Toc363984488"/>
      <w:bookmarkStart w:id="23" w:name="_Toc493239414"/>
      <w:r w:rsidRPr="005E0DC9">
        <w:rPr>
          <w:rFonts w:asciiTheme="minorHAnsi" w:eastAsiaTheme="majorEastAsia" w:hAnsiTheme="minorHAnsi" w:cstheme="majorBidi"/>
          <w:caps w:val="0"/>
          <w:snapToGrid/>
          <w:sz w:val="32"/>
          <w:szCs w:val="28"/>
        </w:rPr>
        <w:t>Consideration of the evidence</w:t>
      </w:r>
      <w:bookmarkEnd w:id="21"/>
      <w:bookmarkEnd w:id="22"/>
      <w:bookmarkEnd w:id="23"/>
    </w:p>
    <w:p w:rsidR="00FF7D85" w:rsidRPr="005E0DC9" w:rsidRDefault="00FF7D85" w:rsidP="00C50EFF">
      <w:pPr>
        <w:spacing w:before="240" w:line="276" w:lineRule="auto"/>
        <w:outlineLvl w:val="1"/>
        <w:rPr>
          <w:rFonts w:asciiTheme="minorHAnsi" w:hAnsiTheme="minorHAnsi"/>
          <w:b/>
          <w:bCs/>
          <w:i/>
          <w:sz w:val="28"/>
          <w:szCs w:val="28"/>
        </w:rPr>
      </w:pPr>
      <w:bookmarkStart w:id="24" w:name="_Toc413139277"/>
      <w:bookmarkStart w:id="25" w:name="_Toc363984489"/>
      <w:r w:rsidRPr="005E0DC9">
        <w:rPr>
          <w:rFonts w:asciiTheme="minorHAnsi" w:hAnsiTheme="minorHAnsi"/>
          <w:b/>
          <w:bCs/>
          <w:i/>
          <w:sz w:val="28"/>
          <w:szCs w:val="28"/>
        </w:rPr>
        <w:t>Sponsor hearing</w:t>
      </w:r>
    </w:p>
    <w:p w:rsidR="00FF7D85" w:rsidRPr="005E0DC9" w:rsidRDefault="00D83A6A" w:rsidP="00FA1A53">
      <w:pPr>
        <w:widowControl/>
        <w:numPr>
          <w:ilvl w:val="1"/>
          <w:numId w:val="11"/>
        </w:numPr>
        <w:spacing w:before="120" w:after="160"/>
        <w:ind w:left="709" w:hanging="709"/>
        <w:rPr>
          <w:rFonts w:asciiTheme="minorHAnsi" w:hAnsiTheme="minorHAnsi"/>
          <w:bCs/>
          <w:sz w:val="24"/>
          <w:szCs w:val="24"/>
        </w:rPr>
      </w:pPr>
      <w:r w:rsidRPr="005E0DC9">
        <w:rPr>
          <w:rFonts w:asciiTheme="minorHAnsi" w:hAnsiTheme="minorHAnsi"/>
          <w:bCs/>
          <w:sz w:val="24"/>
          <w:szCs w:val="24"/>
        </w:rPr>
        <w:t>There was no hearing for this item</w:t>
      </w:r>
      <w:r w:rsidR="00CA5128" w:rsidRPr="005E0DC9">
        <w:rPr>
          <w:rFonts w:asciiTheme="minorHAnsi" w:hAnsiTheme="minorHAnsi"/>
          <w:bCs/>
          <w:sz w:val="24"/>
          <w:szCs w:val="24"/>
        </w:rPr>
        <w:t>.</w:t>
      </w:r>
    </w:p>
    <w:p w:rsidR="00FF7D85" w:rsidRPr="005E0DC9" w:rsidRDefault="00FF7D85" w:rsidP="00C50EFF">
      <w:pPr>
        <w:spacing w:before="240" w:line="276" w:lineRule="auto"/>
        <w:outlineLvl w:val="1"/>
        <w:rPr>
          <w:rFonts w:asciiTheme="minorHAnsi" w:hAnsiTheme="minorHAnsi"/>
          <w:b/>
          <w:bCs/>
          <w:i/>
          <w:sz w:val="28"/>
          <w:szCs w:val="28"/>
        </w:rPr>
      </w:pPr>
      <w:r w:rsidRPr="005E0DC9">
        <w:rPr>
          <w:rFonts w:asciiTheme="minorHAnsi" w:hAnsiTheme="minorHAnsi"/>
          <w:b/>
          <w:bCs/>
          <w:i/>
          <w:sz w:val="28"/>
          <w:szCs w:val="28"/>
        </w:rPr>
        <w:t>Consumer comments</w:t>
      </w:r>
    </w:p>
    <w:p w:rsidR="00FF7D85" w:rsidRPr="0031593C" w:rsidRDefault="00FF7D85" w:rsidP="0031593C">
      <w:pPr>
        <w:widowControl/>
        <w:numPr>
          <w:ilvl w:val="1"/>
          <w:numId w:val="11"/>
        </w:numPr>
        <w:spacing w:before="120" w:after="160"/>
        <w:ind w:left="709" w:hanging="709"/>
        <w:rPr>
          <w:rFonts w:asciiTheme="minorHAnsi" w:hAnsiTheme="minorHAnsi"/>
          <w:bCs/>
          <w:sz w:val="24"/>
          <w:szCs w:val="24"/>
        </w:rPr>
      </w:pPr>
      <w:r w:rsidRPr="005E0DC9">
        <w:rPr>
          <w:rFonts w:asciiTheme="minorHAnsi" w:hAnsiTheme="minorHAnsi"/>
          <w:bCs/>
          <w:sz w:val="24"/>
          <w:szCs w:val="24"/>
        </w:rPr>
        <w:t>The PBAC noted and welcomed the input from individuals (4)</w:t>
      </w:r>
      <w:r w:rsidR="002C0962" w:rsidRPr="005E0DC9">
        <w:rPr>
          <w:rFonts w:asciiTheme="minorHAnsi" w:hAnsiTheme="minorHAnsi"/>
          <w:bCs/>
          <w:sz w:val="24"/>
          <w:szCs w:val="24"/>
        </w:rPr>
        <w:t xml:space="preserve"> and</w:t>
      </w:r>
      <w:r w:rsidRPr="005E0DC9">
        <w:rPr>
          <w:rFonts w:asciiTheme="minorHAnsi" w:hAnsiTheme="minorHAnsi"/>
          <w:bCs/>
          <w:sz w:val="24"/>
          <w:szCs w:val="24"/>
        </w:rPr>
        <w:t xml:space="preserve"> health care professionals (1) via the Consumer Comments facility on the PBS website.  The comments described a range of benefits of treatment with </w:t>
      </w:r>
      <w:proofErr w:type="spellStart"/>
      <w:r w:rsidR="00D83A6A" w:rsidRPr="005E0DC9">
        <w:rPr>
          <w:rFonts w:asciiTheme="minorHAnsi" w:hAnsiTheme="minorHAnsi"/>
          <w:bCs/>
          <w:sz w:val="24"/>
          <w:szCs w:val="24"/>
        </w:rPr>
        <w:t>ibrutinib</w:t>
      </w:r>
      <w:proofErr w:type="spellEnd"/>
      <w:r w:rsidRPr="005E0DC9">
        <w:rPr>
          <w:rFonts w:asciiTheme="minorHAnsi" w:hAnsiTheme="minorHAnsi"/>
          <w:bCs/>
          <w:sz w:val="24"/>
          <w:szCs w:val="24"/>
        </w:rPr>
        <w:t xml:space="preserve"> including </w:t>
      </w:r>
      <w:r w:rsidR="002C0962" w:rsidRPr="005E0DC9">
        <w:rPr>
          <w:rFonts w:asciiTheme="minorHAnsi" w:hAnsiTheme="minorHAnsi"/>
          <w:bCs/>
          <w:sz w:val="24"/>
          <w:szCs w:val="24"/>
        </w:rPr>
        <w:lastRenderedPageBreak/>
        <w:t>improved quality of life</w:t>
      </w:r>
      <w:r w:rsidR="009D7EE6">
        <w:rPr>
          <w:rFonts w:asciiTheme="minorHAnsi" w:hAnsiTheme="minorHAnsi"/>
          <w:bCs/>
          <w:sz w:val="24"/>
          <w:szCs w:val="24"/>
        </w:rPr>
        <w:t>,</w:t>
      </w:r>
      <w:r w:rsidR="002C0962" w:rsidRPr="005E0DC9">
        <w:rPr>
          <w:rFonts w:asciiTheme="minorHAnsi" w:hAnsiTheme="minorHAnsi"/>
          <w:bCs/>
          <w:sz w:val="24"/>
          <w:szCs w:val="24"/>
        </w:rPr>
        <w:t xml:space="preserve"> and </w:t>
      </w:r>
      <w:r w:rsidR="002E49C1" w:rsidRPr="005E0DC9">
        <w:rPr>
          <w:rFonts w:asciiTheme="minorHAnsi" w:hAnsiTheme="minorHAnsi"/>
          <w:bCs/>
          <w:sz w:val="24"/>
          <w:szCs w:val="24"/>
        </w:rPr>
        <w:t xml:space="preserve">better and more durable responses </w:t>
      </w:r>
      <w:r w:rsidR="002C0962" w:rsidRPr="005E0DC9">
        <w:rPr>
          <w:rFonts w:asciiTheme="minorHAnsi" w:hAnsiTheme="minorHAnsi"/>
          <w:bCs/>
          <w:sz w:val="24"/>
          <w:szCs w:val="24"/>
        </w:rPr>
        <w:t xml:space="preserve">for patients with </w:t>
      </w:r>
      <w:r w:rsidR="002E49C1" w:rsidRPr="005E0DC9">
        <w:rPr>
          <w:rFonts w:asciiTheme="minorHAnsi" w:hAnsiTheme="minorHAnsi"/>
          <w:bCs/>
          <w:sz w:val="24"/>
          <w:szCs w:val="24"/>
        </w:rPr>
        <w:t xml:space="preserve">deletion </w:t>
      </w:r>
      <w:r w:rsidR="002C0962" w:rsidRPr="005E0DC9">
        <w:rPr>
          <w:rFonts w:asciiTheme="minorHAnsi" w:hAnsiTheme="minorHAnsi"/>
          <w:bCs/>
          <w:sz w:val="24"/>
          <w:szCs w:val="24"/>
        </w:rPr>
        <w:t>17p</w:t>
      </w:r>
      <w:r w:rsidR="002E49C1" w:rsidRPr="005E0DC9">
        <w:rPr>
          <w:rFonts w:asciiTheme="minorHAnsi" w:hAnsiTheme="minorHAnsi"/>
          <w:bCs/>
          <w:sz w:val="24"/>
          <w:szCs w:val="24"/>
        </w:rPr>
        <w:t>/p53 mutation where FCR would be ineffective and toxic</w:t>
      </w:r>
      <w:r w:rsidR="002C0962" w:rsidRPr="005E0DC9">
        <w:rPr>
          <w:rFonts w:asciiTheme="minorHAnsi" w:hAnsiTheme="minorHAnsi"/>
          <w:bCs/>
          <w:sz w:val="24"/>
          <w:szCs w:val="24"/>
        </w:rPr>
        <w:t>.</w:t>
      </w:r>
      <w:r w:rsidRPr="0031593C">
        <w:rPr>
          <w:rFonts w:asciiTheme="minorHAnsi" w:hAnsiTheme="minorHAnsi"/>
          <w:bCs/>
          <w:sz w:val="24"/>
          <w:szCs w:val="24"/>
        </w:rPr>
        <w:t xml:space="preserve">  </w:t>
      </w:r>
    </w:p>
    <w:p w:rsidR="00610C73" w:rsidRPr="005E0DC9" w:rsidRDefault="00610C73" w:rsidP="00610C73">
      <w:pPr>
        <w:keepNext/>
        <w:keepLines/>
        <w:widowControl/>
        <w:spacing w:before="240" w:after="120"/>
        <w:jc w:val="left"/>
        <w:outlineLvl w:val="1"/>
        <w:rPr>
          <w:rFonts w:ascii="Calibri" w:eastAsia="MS Gothic" w:hAnsi="Calibri" w:cs="Times New Roman"/>
          <w:b/>
          <w:i/>
          <w:snapToGrid/>
          <w:sz w:val="28"/>
          <w:szCs w:val="28"/>
        </w:rPr>
      </w:pPr>
      <w:r w:rsidRPr="005E0DC9">
        <w:rPr>
          <w:rFonts w:ascii="Calibri" w:eastAsia="MS Gothic" w:hAnsi="Calibri" w:cs="Times New Roman"/>
          <w:b/>
          <w:i/>
          <w:snapToGrid/>
          <w:sz w:val="28"/>
          <w:szCs w:val="28"/>
        </w:rPr>
        <w:t>Clinical trials</w:t>
      </w:r>
      <w:bookmarkEnd w:id="24"/>
      <w:bookmarkEnd w:id="25"/>
    </w:p>
    <w:p w:rsidR="00610C73" w:rsidRPr="005E0DC9" w:rsidRDefault="00610C73" w:rsidP="00FA1A53">
      <w:pPr>
        <w:widowControl/>
        <w:numPr>
          <w:ilvl w:val="1"/>
          <w:numId w:val="11"/>
        </w:numPr>
        <w:spacing w:before="120" w:after="160"/>
        <w:ind w:left="709" w:hanging="709"/>
        <w:rPr>
          <w:rFonts w:ascii="Calibri" w:eastAsia="Calibri" w:hAnsi="Calibri"/>
          <w:snapToGrid/>
          <w:sz w:val="24"/>
          <w:szCs w:val="22"/>
        </w:rPr>
      </w:pPr>
      <w:r w:rsidRPr="005E0DC9">
        <w:rPr>
          <w:rFonts w:ascii="Calibri" w:eastAsia="Calibri" w:hAnsi="Calibri"/>
          <w:snapToGrid/>
          <w:sz w:val="24"/>
          <w:szCs w:val="22"/>
        </w:rPr>
        <w:t xml:space="preserve">The submission is based on indirect comparisons of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to rituximab, </w:t>
      </w:r>
      <w:proofErr w:type="spellStart"/>
      <w:r w:rsidRPr="005E0DC9">
        <w:rPr>
          <w:rFonts w:ascii="Calibri" w:eastAsia="Calibri" w:hAnsi="Calibri"/>
          <w:snapToGrid/>
          <w:sz w:val="24"/>
          <w:szCs w:val="22"/>
        </w:rPr>
        <w:t>obinutuzumab</w:t>
      </w:r>
      <w:proofErr w:type="spellEnd"/>
      <w:r w:rsidRPr="005E0DC9">
        <w:rPr>
          <w:rFonts w:ascii="Calibri" w:eastAsia="Calibri" w:hAnsi="Calibri"/>
          <w:snapToGrid/>
          <w:sz w:val="24"/>
          <w:szCs w:val="22"/>
        </w:rPr>
        <w:t xml:space="preserve"> and </w:t>
      </w:r>
      <w:proofErr w:type="spellStart"/>
      <w:r w:rsidRPr="005E0DC9">
        <w:rPr>
          <w:rFonts w:ascii="Calibri" w:eastAsia="Calibri" w:hAnsi="Calibri"/>
          <w:snapToGrid/>
          <w:sz w:val="24"/>
          <w:szCs w:val="22"/>
        </w:rPr>
        <w:t>ofatumumab</w:t>
      </w:r>
      <w:proofErr w:type="spellEnd"/>
      <w:r w:rsidRPr="005E0DC9">
        <w:rPr>
          <w:rFonts w:ascii="Calibri" w:eastAsia="Calibri" w:hAnsi="Calibri"/>
          <w:snapToGrid/>
          <w:sz w:val="24"/>
          <w:szCs w:val="22"/>
        </w:rPr>
        <w:t xml:space="preserve">, the latter three in combination with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with the common reference being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monotherapy.  The trials used for the indirect comparisons are as follows:</w:t>
      </w:r>
    </w:p>
    <w:p w:rsidR="00610C73" w:rsidRPr="005E0DC9" w:rsidRDefault="00610C73" w:rsidP="00FA1A53">
      <w:pPr>
        <w:widowControl/>
        <w:numPr>
          <w:ilvl w:val="0"/>
          <w:numId w:val="12"/>
        </w:numPr>
        <w:spacing w:before="120" w:after="160"/>
        <w:ind w:left="709" w:hanging="283"/>
        <w:rPr>
          <w:rFonts w:ascii="Calibri" w:eastAsia="Calibri" w:hAnsi="Calibri"/>
          <w:snapToGrid/>
          <w:sz w:val="24"/>
          <w:szCs w:val="22"/>
        </w:rPr>
      </w:pP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RESONATE-2, a randomised, open-label trial comparing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to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in patients ≥65 years of age </w:t>
      </w:r>
      <w:r w:rsidR="00D86B67" w:rsidRPr="005E0DC9">
        <w:rPr>
          <w:rFonts w:ascii="Calibri" w:eastAsia="Calibri" w:hAnsi="Calibri"/>
          <w:snapToGrid/>
          <w:sz w:val="24"/>
          <w:szCs w:val="22"/>
        </w:rPr>
        <w:t xml:space="preserve">who </w:t>
      </w:r>
      <w:r w:rsidRPr="005E0DC9">
        <w:rPr>
          <w:rFonts w:ascii="Calibri" w:eastAsia="Calibri" w:hAnsi="Calibri"/>
          <w:snapToGrid/>
          <w:sz w:val="24"/>
          <w:szCs w:val="22"/>
        </w:rPr>
        <w:t xml:space="preserve">are considered unfit to receive </w:t>
      </w:r>
      <w:proofErr w:type="spellStart"/>
      <w:r w:rsidRPr="005E0DC9">
        <w:rPr>
          <w:rFonts w:ascii="Calibri" w:eastAsia="Calibri" w:hAnsi="Calibri"/>
          <w:snapToGrid/>
          <w:sz w:val="24"/>
          <w:szCs w:val="22"/>
        </w:rPr>
        <w:t>fludarabine</w:t>
      </w:r>
      <w:proofErr w:type="spellEnd"/>
      <w:r w:rsidRPr="005E0DC9">
        <w:rPr>
          <w:rFonts w:ascii="Calibri" w:eastAsia="Calibri" w:hAnsi="Calibri"/>
          <w:snapToGrid/>
          <w:sz w:val="24"/>
          <w:szCs w:val="22"/>
        </w:rPr>
        <w:t xml:space="preserve"> therapy (N=269).</w:t>
      </w:r>
    </w:p>
    <w:p w:rsidR="00610C73" w:rsidRPr="005E0DC9" w:rsidRDefault="00610C73" w:rsidP="00FA1A53">
      <w:pPr>
        <w:widowControl/>
        <w:numPr>
          <w:ilvl w:val="0"/>
          <w:numId w:val="12"/>
        </w:numPr>
        <w:spacing w:before="120" w:after="160"/>
        <w:ind w:left="709" w:hanging="283"/>
        <w:rPr>
          <w:rFonts w:ascii="Calibri" w:eastAsia="Calibri" w:hAnsi="Calibri"/>
          <w:snapToGrid/>
          <w:sz w:val="24"/>
          <w:szCs w:val="22"/>
        </w:rPr>
      </w:pPr>
      <w:r w:rsidRPr="005E0DC9">
        <w:rPr>
          <w:rFonts w:ascii="Calibri" w:eastAsia="Calibri" w:hAnsi="Calibri"/>
          <w:snapToGrid/>
          <w:sz w:val="24"/>
          <w:szCs w:val="22"/>
        </w:rPr>
        <w:t xml:space="preserve">Rituximab and </w:t>
      </w:r>
      <w:proofErr w:type="spellStart"/>
      <w:r w:rsidRPr="005E0DC9">
        <w:rPr>
          <w:rFonts w:ascii="Calibri" w:eastAsia="Calibri" w:hAnsi="Calibri"/>
          <w:snapToGrid/>
          <w:sz w:val="24"/>
          <w:szCs w:val="22"/>
        </w:rPr>
        <w:t>obinutuzumab</w:t>
      </w:r>
      <w:proofErr w:type="spellEnd"/>
      <w:r w:rsidRPr="005E0DC9">
        <w:rPr>
          <w:rFonts w:ascii="Calibri" w:eastAsia="Calibri" w:hAnsi="Calibri"/>
          <w:snapToGrid/>
          <w:sz w:val="24"/>
          <w:szCs w:val="22"/>
        </w:rPr>
        <w:t xml:space="preserve">: CLL11, a randomised, open-label trial three-arm trial comparing </w:t>
      </w:r>
      <w:proofErr w:type="spellStart"/>
      <w:r w:rsidRPr="005E0DC9">
        <w:rPr>
          <w:rFonts w:ascii="Calibri" w:eastAsia="Calibri" w:hAnsi="Calibri"/>
          <w:snapToGrid/>
          <w:sz w:val="24"/>
          <w:szCs w:val="22"/>
        </w:rPr>
        <w:t>ritux+chl</w:t>
      </w:r>
      <w:proofErr w:type="spellEnd"/>
      <w:r w:rsidRPr="005E0DC9">
        <w:rPr>
          <w:rFonts w:ascii="Calibri" w:eastAsia="Calibri" w:hAnsi="Calibri"/>
          <w:snapToGrid/>
          <w:sz w:val="24"/>
          <w:szCs w:val="22"/>
        </w:rPr>
        <w:t xml:space="preserve">,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and </w:t>
      </w:r>
      <w:proofErr w:type="spellStart"/>
      <w:r w:rsidR="001D0800" w:rsidRPr="005E0DC9">
        <w:rPr>
          <w:rFonts w:ascii="Calibri" w:eastAsia="Calibri" w:hAnsi="Calibri"/>
          <w:snapToGrid/>
          <w:sz w:val="24"/>
          <w:szCs w:val="22"/>
        </w:rPr>
        <w:t>chl</w:t>
      </w:r>
      <w:proofErr w:type="spellEnd"/>
      <w:r w:rsidRPr="005E0DC9">
        <w:rPr>
          <w:rFonts w:ascii="Calibri" w:eastAsia="Calibri" w:hAnsi="Calibri"/>
          <w:snapToGrid/>
          <w:sz w:val="24"/>
          <w:szCs w:val="22"/>
        </w:rPr>
        <w:t xml:space="preserve"> monotherapy in patients where treatment with a </w:t>
      </w:r>
      <w:proofErr w:type="spellStart"/>
      <w:r w:rsidRPr="005E0DC9">
        <w:rPr>
          <w:rFonts w:ascii="Calibri" w:eastAsia="Calibri" w:hAnsi="Calibri"/>
          <w:snapToGrid/>
          <w:sz w:val="24"/>
          <w:szCs w:val="22"/>
        </w:rPr>
        <w:t>fludarabine</w:t>
      </w:r>
      <w:proofErr w:type="spellEnd"/>
      <w:r w:rsidRPr="005E0DC9">
        <w:rPr>
          <w:rFonts w:ascii="Calibri" w:eastAsia="Calibri" w:hAnsi="Calibri"/>
          <w:snapToGrid/>
          <w:sz w:val="24"/>
          <w:szCs w:val="22"/>
        </w:rPr>
        <w:t xml:space="preserve">-based therapy was considered inappropriate (N=589).  </w:t>
      </w:r>
    </w:p>
    <w:p w:rsidR="00610C73" w:rsidRPr="005E0DC9" w:rsidRDefault="00610C73" w:rsidP="00FA1A53">
      <w:pPr>
        <w:widowControl/>
        <w:numPr>
          <w:ilvl w:val="0"/>
          <w:numId w:val="12"/>
        </w:numPr>
        <w:spacing w:before="120" w:after="120"/>
        <w:ind w:left="709" w:hanging="283"/>
        <w:rPr>
          <w:rFonts w:ascii="Calibri" w:eastAsia="Calibri" w:hAnsi="Calibri"/>
          <w:snapToGrid/>
          <w:sz w:val="24"/>
          <w:szCs w:val="22"/>
        </w:rPr>
      </w:pPr>
      <w:proofErr w:type="spellStart"/>
      <w:r w:rsidRPr="005E0DC9">
        <w:rPr>
          <w:rFonts w:ascii="Calibri" w:eastAsia="Calibri" w:hAnsi="Calibri"/>
          <w:snapToGrid/>
          <w:sz w:val="24"/>
          <w:szCs w:val="22"/>
        </w:rPr>
        <w:t>Ofatumumab</w:t>
      </w:r>
      <w:proofErr w:type="spellEnd"/>
      <w:r w:rsidRPr="005E0DC9">
        <w:rPr>
          <w:rFonts w:ascii="Calibri" w:eastAsia="Calibri" w:hAnsi="Calibri"/>
          <w:snapToGrid/>
          <w:sz w:val="24"/>
          <w:szCs w:val="22"/>
        </w:rPr>
        <w:t xml:space="preserve">:  COMPLEMENT-1, a randomised, open-label trial comparing </w:t>
      </w:r>
      <w:proofErr w:type="spellStart"/>
      <w:r w:rsidRPr="005E0DC9">
        <w:rPr>
          <w:rFonts w:ascii="Calibri" w:eastAsia="Calibri" w:hAnsi="Calibri"/>
          <w:snapToGrid/>
          <w:sz w:val="24"/>
          <w:szCs w:val="22"/>
        </w:rPr>
        <w:t>ofa+chl</w:t>
      </w:r>
      <w:proofErr w:type="spellEnd"/>
      <w:r w:rsidRPr="005E0DC9">
        <w:rPr>
          <w:rFonts w:ascii="Calibri" w:eastAsia="Calibri" w:hAnsi="Calibri"/>
          <w:snapToGrid/>
          <w:sz w:val="24"/>
          <w:szCs w:val="22"/>
        </w:rPr>
        <w:t xml:space="preserve"> to </w:t>
      </w:r>
      <w:proofErr w:type="spellStart"/>
      <w:r w:rsidRPr="005E0DC9">
        <w:rPr>
          <w:rFonts w:ascii="Calibri" w:eastAsia="Calibri" w:hAnsi="Calibri"/>
          <w:snapToGrid/>
          <w:sz w:val="24"/>
          <w:szCs w:val="22"/>
        </w:rPr>
        <w:t>chl</w:t>
      </w:r>
      <w:proofErr w:type="spellEnd"/>
      <w:r w:rsidRPr="005E0DC9">
        <w:rPr>
          <w:rFonts w:ascii="Calibri" w:eastAsia="Calibri" w:hAnsi="Calibri"/>
          <w:snapToGrid/>
          <w:sz w:val="24"/>
          <w:szCs w:val="22"/>
        </w:rPr>
        <w:t xml:space="preserve"> monotherapy in patients for whom </w:t>
      </w:r>
      <w:proofErr w:type="spellStart"/>
      <w:r w:rsidRPr="005E0DC9">
        <w:rPr>
          <w:rFonts w:ascii="Calibri" w:eastAsia="Calibri" w:hAnsi="Calibri"/>
          <w:snapToGrid/>
          <w:sz w:val="24"/>
          <w:szCs w:val="22"/>
        </w:rPr>
        <w:t>fludarabine</w:t>
      </w:r>
      <w:proofErr w:type="spellEnd"/>
      <w:r w:rsidRPr="005E0DC9">
        <w:rPr>
          <w:rFonts w:ascii="Calibri" w:eastAsia="Calibri" w:hAnsi="Calibri"/>
          <w:snapToGrid/>
          <w:sz w:val="24"/>
          <w:szCs w:val="22"/>
        </w:rPr>
        <w:t>-based regimens were considered inappropriate (N=447).</w:t>
      </w:r>
    </w:p>
    <w:p w:rsidR="00610C73" w:rsidRPr="005E0DC9" w:rsidRDefault="00610C73"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Details of the trials presented in the submission ar</w:t>
      </w:r>
      <w:r w:rsidR="00BC1B6A" w:rsidRPr="005E0DC9">
        <w:rPr>
          <w:rFonts w:ascii="Calibri" w:eastAsia="Calibri" w:hAnsi="Calibri"/>
          <w:snapToGrid/>
          <w:sz w:val="24"/>
          <w:szCs w:val="22"/>
        </w:rPr>
        <w:t>e provided in the table below.</w:t>
      </w:r>
    </w:p>
    <w:p w:rsidR="00610C73" w:rsidRPr="005E0DC9" w:rsidRDefault="00610C73" w:rsidP="00610C73">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lastRenderedPageBreak/>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610C73" w:rsidRPr="005E0DC9" w:rsidTr="00656000">
        <w:trPr>
          <w:tblHeader/>
        </w:trPr>
        <w:tc>
          <w:tcPr>
            <w:tcW w:w="796" w:type="pct"/>
            <w:vAlign w:val="center"/>
          </w:tcPr>
          <w:p w:rsidR="00610C73" w:rsidRPr="005E0DC9" w:rsidRDefault="00610C73" w:rsidP="00610C73">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Trial ID</w:t>
            </w:r>
          </w:p>
        </w:tc>
        <w:tc>
          <w:tcPr>
            <w:tcW w:w="3027" w:type="pct"/>
            <w:vAlign w:val="center"/>
          </w:tcPr>
          <w:p w:rsidR="00610C73" w:rsidRPr="005E0DC9" w:rsidRDefault="00610C73" w:rsidP="00610C73">
            <w:pPr>
              <w:keepNext/>
              <w:widowControl/>
              <w:jc w:val="center"/>
              <w:rPr>
                <w:rFonts w:ascii="Arial Narrow" w:eastAsia="Calibri" w:hAnsi="Arial Narrow"/>
                <w:b/>
                <w:snapToGrid/>
                <w:sz w:val="20"/>
                <w:szCs w:val="22"/>
              </w:rPr>
            </w:pPr>
            <w:r w:rsidRPr="005E0DC9">
              <w:rPr>
                <w:rFonts w:ascii="Arial Narrow" w:eastAsia="Calibri" w:hAnsi="Arial Narrow"/>
                <w:b/>
                <w:snapToGrid/>
                <w:sz w:val="20"/>
                <w:szCs w:val="22"/>
              </w:rPr>
              <w:t>Protocol title/ Publication title</w:t>
            </w:r>
          </w:p>
        </w:tc>
        <w:tc>
          <w:tcPr>
            <w:tcW w:w="1177" w:type="pct"/>
            <w:vAlign w:val="center"/>
          </w:tcPr>
          <w:p w:rsidR="00610C73" w:rsidRPr="005E0DC9" w:rsidRDefault="00610C73" w:rsidP="00610C73">
            <w:pPr>
              <w:keepNext/>
              <w:widowControl/>
              <w:jc w:val="center"/>
              <w:rPr>
                <w:rFonts w:ascii="Arial Narrow" w:eastAsia="Calibri" w:hAnsi="Arial Narrow"/>
                <w:b/>
                <w:snapToGrid/>
                <w:sz w:val="20"/>
                <w:szCs w:val="22"/>
              </w:rPr>
            </w:pPr>
            <w:r w:rsidRPr="005E0DC9">
              <w:rPr>
                <w:rFonts w:ascii="Arial Narrow" w:eastAsia="Calibri" w:hAnsi="Arial Narrow"/>
                <w:b/>
                <w:snapToGrid/>
                <w:sz w:val="20"/>
                <w:szCs w:val="22"/>
              </w:rPr>
              <w:t>Publication citation</w:t>
            </w:r>
          </w:p>
        </w:tc>
      </w:tr>
      <w:tr w:rsidR="00610C73" w:rsidRPr="005E0DC9" w:rsidTr="00656000">
        <w:tc>
          <w:tcPr>
            <w:tcW w:w="5000" w:type="pct"/>
            <w:gridSpan w:val="3"/>
            <w:tcBorders>
              <w:bottom w:val="single" w:sz="4" w:space="0" w:color="auto"/>
            </w:tcBorders>
            <w:vAlign w:val="center"/>
          </w:tcPr>
          <w:p w:rsidR="00610C73" w:rsidRPr="005E0DC9" w:rsidRDefault="00610C73" w:rsidP="00610C73">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Trials included in the indirect comparisons</w:t>
            </w:r>
          </w:p>
        </w:tc>
      </w:tr>
      <w:tr w:rsidR="00610C73" w:rsidRPr="005E0DC9" w:rsidTr="00656000">
        <w:tc>
          <w:tcPr>
            <w:tcW w:w="796" w:type="pct"/>
            <w:tcBorders>
              <w:bottom w:val="nil"/>
            </w:tcBorders>
            <w:vAlign w:val="center"/>
          </w:tcPr>
          <w:p w:rsidR="00610C73" w:rsidRPr="005E0DC9" w:rsidRDefault="00610C73" w:rsidP="00610C73">
            <w:pPr>
              <w:keepNext/>
              <w:widowControl/>
              <w:jc w:val="left"/>
              <w:rPr>
                <w:rFonts w:ascii="Times" w:hAnsi="Times" w:cs="Times New Roman"/>
                <w:snapToGrid/>
                <w:sz w:val="20"/>
                <w:szCs w:val="22"/>
              </w:rPr>
            </w:pPr>
            <w:r w:rsidRPr="005E0DC9">
              <w:rPr>
                <w:rFonts w:ascii="Arial Narrow" w:eastAsia="Calibri" w:hAnsi="Arial Narrow"/>
                <w:snapToGrid/>
                <w:sz w:val="20"/>
                <w:szCs w:val="22"/>
              </w:rPr>
              <w:t>RESONATE-2</w:t>
            </w:r>
          </w:p>
        </w:tc>
        <w:tc>
          <w:tcPr>
            <w:tcW w:w="3027" w:type="pct"/>
            <w:tcBorders>
              <w:bottom w:val="nil"/>
            </w:tcBorders>
            <w:vAlign w:val="center"/>
          </w:tcPr>
          <w:p w:rsidR="00610C73" w:rsidRPr="005E0DC9" w:rsidRDefault="00610C73" w:rsidP="00610C73">
            <w:pPr>
              <w:keepNext/>
              <w:widowControl/>
              <w:contextualSpacing/>
              <w:jc w:val="left"/>
              <w:rPr>
                <w:rFonts w:ascii="Arial Narrow" w:hAnsi="Arial Narrow"/>
                <w:snapToGrid/>
                <w:sz w:val="20"/>
                <w:szCs w:val="18"/>
              </w:rPr>
            </w:pPr>
            <w:r w:rsidRPr="005E0DC9">
              <w:rPr>
                <w:rFonts w:ascii="Arial Narrow" w:hAnsi="Arial Narrow"/>
                <w:snapToGrid/>
                <w:sz w:val="20"/>
                <w:szCs w:val="18"/>
              </w:rPr>
              <w:t xml:space="preserve">A Randomized, </w:t>
            </w:r>
            <w:proofErr w:type="spellStart"/>
            <w:r w:rsidRPr="005E0DC9">
              <w:rPr>
                <w:rFonts w:ascii="Arial Narrow" w:hAnsi="Arial Narrow"/>
                <w:snapToGrid/>
                <w:sz w:val="20"/>
                <w:szCs w:val="18"/>
              </w:rPr>
              <w:t>Multicenter</w:t>
            </w:r>
            <w:proofErr w:type="spellEnd"/>
            <w:r w:rsidRPr="005E0DC9">
              <w:rPr>
                <w:rFonts w:ascii="Arial Narrow" w:hAnsi="Arial Narrow"/>
                <w:snapToGrid/>
                <w:sz w:val="20"/>
                <w:szCs w:val="18"/>
              </w:rPr>
              <w:t xml:space="preserve">, Open-label, Phase 3 Study of the </w:t>
            </w:r>
            <w:proofErr w:type="spellStart"/>
            <w:r w:rsidRPr="005E0DC9">
              <w:rPr>
                <w:rFonts w:ascii="Arial Narrow" w:hAnsi="Arial Narrow"/>
                <w:snapToGrid/>
                <w:sz w:val="20"/>
                <w:szCs w:val="18"/>
              </w:rPr>
              <w:t>Bruton’s</w:t>
            </w:r>
            <w:proofErr w:type="spellEnd"/>
            <w:r w:rsidRPr="005E0DC9">
              <w:rPr>
                <w:rFonts w:ascii="Arial Narrow" w:hAnsi="Arial Narrow"/>
                <w:snapToGrid/>
                <w:sz w:val="20"/>
                <w:szCs w:val="18"/>
              </w:rPr>
              <w:t xml:space="preserve"> Tyrosine Kinase Inhibitor PCI-32765 versus </w:t>
            </w:r>
            <w:proofErr w:type="spellStart"/>
            <w:r w:rsidRPr="005E0DC9">
              <w:rPr>
                <w:rFonts w:ascii="Arial Narrow" w:hAnsi="Arial Narrow"/>
                <w:snapToGrid/>
                <w:sz w:val="20"/>
                <w:szCs w:val="18"/>
              </w:rPr>
              <w:t>Chlorambucil</w:t>
            </w:r>
            <w:proofErr w:type="spellEnd"/>
            <w:r w:rsidRPr="005E0DC9">
              <w:rPr>
                <w:rFonts w:ascii="Arial Narrow" w:hAnsi="Arial Narrow"/>
                <w:snapToGrid/>
                <w:sz w:val="20"/>
                <w:szCs w:val="18"/>
              </w:rPr>
              <w:t xml:space="preserve"> in Patients 65 Years or Older with Treatment-naive Chronic Lymphocytic </w:t>
            </w:r>
            <w:proofErr w:type="spellStart"/>
            <w:r w:rsidRPr="005E0DC9">
              <w:rPr>
                <w:rFonts w:ascii="Arial Narrow" w:hAnsi="Arial Narrow"/>
                <w:snapToGrid/>
                <w:sz w:val="20"/>
                <w:szCs w:val="18"/>
              </w:rPr>
              <w:t>Leukemia</w:t>
            </w:r>
            <w:proofErr w:type="spellEnd"/>
            <w:r w:rsidRPr="005E0DC9">
              <w:rPr>
                <w:rFonts w:ascii="Arial Narrow" w:hAnsi="Arial Narrow"/>
                <w:snapToGrid/>
                <w:sz w:val="20"/>
                <w:szCs w:val="18"/>
              </w:rPr>
              <w:t xml:space="preserve"> or Small Lymphocytic Lymphoma</w:t>
            </w:r>
          </w:p>
        </w:tc>
        <w:tc>
          <w:tcPr>
            <w:tcW w:w="1177" w:type="pct"/>
            <w:tcBorders>
              <w:bottom w:val="nil"/>
            </w:tcBorders>
            <w:vAlign w:val="center"/>
          </w:tcPr>
          <w:p w:rsidR="00610C73" w:rsidRPr="005E0DC9" w:rsidRDefault="00610C73" w:rsidP="00610C73">
            <w:pPr>
              <w:keepNext/>
              <w:widowControl/>
              <w:jc w:val="left"/>
              <w:rPr>
                <w:rFonts w:ascii="Times" w:hAnsi="Times" w:cs="Times New Roman"/>
                <w:snapToGrid/>
                <w:sz w:val="20"/>
                <w:szCs w:val="22"/>
              </w:rPr>
            </w:pPr>
            <w:r w:rsidRPr="005E0DC9">
              <w:rPr>
                <w:rFonts w:ascii="Arial Narrow" w:eastAsia="Calibri" w:hAnsi="Arial Narrow"/>
                <w:snapToGrid/>
                <w:sz w:val="20"/>
                <w:szCs w:val="22"/>
              </w:rPr>
              <w:t>August 2015</w:t>
            </w:r>
          </w:p>
        </w:tc>
      </w:tr>
      <w:tr w:rsidR="00610C73" w:rsidRPr="005E0DC9" w:rsidTr="00656000">
        <w:tc>
          <w:tcPr>
            <w:tcW w:w="796" w:type="pct"/>
            <w:tcBorders>
              <w:top w:val="nil"/>
              <w:bottom w:val="nil"/>
            </w:tcBorders>
            <w:vAlign w:val="center"/>
          </w:tcPr>
          <w:p w:rsidR="00610C73" w:rsidRPr="005E0DC9" w:rsidRDefault="00610C73" w:rsidP="00610C73">
            <w:pPr>
              <w:keepNext/>
              <w:widowControl/>
              <w:jc w:val="left"/>
              <w:rPr>
                <w:rFonts w:ascii="Arial Narrow" w:eastAsia="Calibri" w:hAnsi="Arial Narrow"/>
                <w:snapToGrid/>
                <w:sz w:val="20"/>
                <w:szCs w:val="22"/>
              </w:rPr>
            </w:pPr>
          </w:p>
        </w:tc>
        <w:tc>
          <w:tcPr>
            <w:tcW w:w="3027" w:type="pct"/>
            <w:tcBorders>
              <w:top w:val="nil"/>
              <w:bottom w:val="nil"/>
            </w:tcBorders>
            <w:vAlign w:val="center"/>
          </w:tcPr>
          <w:p w:rsidR="00610C73" w:rsidRPr="005E0DC9" w:rsidRDefault="00610C73" w:rsidP="00610C73">
            <w:pPr>
              <w:keepNext/>
              <w:keepLines/>
              <w:widowControl/>
              <w:contextualSpacing/>
              <w:jc w:val="left"/>
              <w:rPr>
                <w:rFonts w:ascii="Arial Narrow" w:hAnsi="Arial Narrow"/>
                <w:snapToGrid/>
                <w:sz w:val="20"/>
                <w:szCs w:val="18"/>
                <w:lang w:eastAsia="en-AU"/>
              </w:rPr>
            </w:pPr>
            <w:r w:rsidRPr="005E0DC9">
              <w:rPr>
                <w:rFonts w:ascii="Arial Narrow" w:hAnsi="Arial Narrow"/>
                <w:snapToGrid/>
                <w:sz w:val="20"/>
                <w:szCs w:val="18"/>
                <w:lang w:eastAsia="en-AU"/>
              </w:rPr>
              <w:t xml:space="preserve">Burger JA, </w:t>
            </w:r>
            <w:proofErr w:type="spellStart"/>
            <w:r w:rsidRPr="005E0DC9">
              <w:rPr>
                <w:rFonts w:ascii="Arial Narrow" w:hAnsi="Arial Narrow"/>
                <w:snapToGrid/>
                <w:sz w:val="20"/>
                <w:szCs w:val="18"/>
                <w:lang w:eastAsia="en-AU"/>
              </w:rPr>
              <w:t>Tedeschi</w:t>
            </w:r>
            <w:proofErr w:type="spellEnd"/>
            <w:r w:rsidRPr="005E0DC9">
              <w:rPr>
                <w:rFonts w:ascii="Arial Narrow" w:hAnsi="Arial Narrow"/>
                <w:snapToGrid/>
                <w:sz w:val="20"/>
                <w:szCs w:val="18"/>
                <w:lang w:eastAsia="en-AU"/>
              </w:rPr>
              <w:t xml:space="preserve"> A, Barr PM, et al.  </w:t>
            </w:r>
            <w:proofErr w:type="spellStart"/>
            <w:r w:rsidRPr="005E0DC9">
              <w:rPr>
                <w:rFonts w:ascii="Arial Narrow" w:hAnsi="Arial Narrow"/>
                <w:snapToGrid/>
                <w:sz w:val="20"/>
                <w:szCs w:val="18"/>
                <w:lang w:eastAsia="en-AU"/>
              </w:rPr>
              <w:t>Ibrutinib</w:t>
            </w:r>
            <w:proofErr w:type="spellEnd"/>
            <w:r w:rsidRPr="005E0DC9">
              <w:rPr>
                <w:rFonts w:ascii="Arial Narrow" w:hAnsi="Arial Narrow"/>
                <w:snapToGrid/>
                <w:sz w:val="20"/>
                <w:szCs w:val="18"/>
                <w:lang w:eastAsia="en-AU"/>
              </w:rPr>
              <w:t xml:space="preserve"> as initial therapy for patients with chronic lymphocytic </w:t>
            </w:r>
            <w:proofErr w:type="spellStart"/>
            <w:r w:rsidRPr="005E0DC9">
              <w:rPr>
                <w:rFonts w:ascii="Arial Narrow" w:hAnsi="Arial Narrow"/>
                <w:snapToGrid/>
                <w:sz w:val="20"/>
                <w:szCs w:val="18"/>
                <w:lang w:eastAsia="en-AU"/>
              </w:rPr>
              <w:t>leukemia</w:t>
            </w:r>
            <w:proofErr w:type="spellEnd"/>
          </w:p>
        </w:tc>
        <w:tc>
          <w:tcPr>
            <w:tcW w:w="1177" w:type="pct"/>
            <w:tcBorders>
              <w:top w:val="nil"/>
              <w:bottom w:val="nil"/>
            </w:tcBorders>
            <w:vAlign w:val="center"/>
          </w:tcPr>
          <w:p w:rsidR="00610C73" w:rsidRPr="005E0DC9" w:rsidRDefault="00610C73" w:rsidP="00610C73">
            <w:pPr>
              <w:keepNext/>
              <w:widowControl/>
              <w:jc w:val="left"/>
              <w:rPr>
                <w:rFonts w:ascii="Arial Narrow" w:eastAsia="Calibri" w:hAnsi="Arial Narrow"/>
                <w:snapToGrid/>
                <w:sz w:val="20"/>
                <w:szCs w:val="18"/>
                <w:lang w:eastAsia="en-AU"/>
              </w:rPr>
            </w:pPr>
            <w:r w:rsidRPr="005E0DC9">
              <w:rPr>
                <w:rFonts w:ascii="Arial Narrow" w:eastAsia="Calibri" w:hAnsi="Arial Narrow"/>
                <w:snapToGrid/>
                <w:sz w:val="20"/>
                <w:szCs w:val="18"/>
                <w:lang w:eastAsia="en-AU"/>
              </w:rPr>
              <w:t>New England Journal of Medicine 2015; 373:2425-2437</w:t>
            </w:r>
          </w:p>
        </w:tc>
      </w:tr>
      <w:tr w:rsidR="00610C73" w:rsidRPr="005E0DC9" w:rsidTr="00656000">
        <w:tc>
          <w:tcPr>
            <w:tcW w:w="796" w:type="pct"/>
            <w:tcBorders>
              <w:bottom w:val="nil"/>
            </w:tcBorders>
            <w:vAlign w:val="center"/>
          </w:tcPr>
          <w:p w:rsidR="00610C73" w:rsidRPr="005E0DC9" w:rsidRDefault="00610C73" w:rsidP="00610C73">
            <w:pPr>
              <w:keepNext/>
              <w:widowControl/>
              <w:jc w:val="left"/>
              <w:rPr>
                <w:rFonts w:ascii="Times" w:hAnsi="Times" w:cs="Times New Roman"/>
                <w:snapToGrid/>
                <w:sz w:val="20"/>
                <w:szCs w:val="22"/>
              </w:rPr>
            </w:pPr>
            <w:r w:rsidRPr="005E0DC9">
              <w:rPr>
                <w:rFonts w:ascii="Arial Narrow" w:eastAsia="Calibri" w:hAnsi="Arial Narrow"/>
                <w:snapToGrid/>
                <w:sz w:val="20"/>
                <w:szCs w:val="22"/>
              </w:rPr>
              <w:t>CLL11</w:t>
            </w:r>
          </w:p>
        </w:tc>
        <w:tc>
          <w:tcPr>
            <w:tcW w:w="3027" w:type="pct"/>
            <w:tcBorders>
              <w:bottom w:val="nil"/>
            </w:tcBorders>
            <w:vAlign w:val="center"/>
          </w:tcPr>
          <w:p w:rsidR="00610C73" w:rsidRPr="005E0DC9" w:rsidRDefault="00610C73" w:rsidP="00610C73">
            <w:pPr>
              <w:keepNext/>
              <w:widowControl/>
              <w:jc w:val="left"/>
              <w:rPr>
                <w:rFonts w:ascii="Times" w:hAnsi="Times" w:cs="Times New Roman"/>
                <w:snapToGrid/>
                <w:sz w:val="20"/>
                <w:szCs w:val="22"/>
              </w:rPr>
            </w:pPr>
            <w:r w:rsidRPr="005E0DC9">
              <w:rPr>
                <w:rFonts w:ascii="Arial Narrow" w:eastAsia="Calibri" w:hAnsi="Arial Narrow"/>
                <w:snapToGrid/>
                <w:sz w:val="20"/>
                <w:szCs w:val="18"/>
              </w:rPr>
              <w:t>An Open-label, Multi-</w:t>
            </w:r>
            <w:proofErr w:type="spellStart"/>
            <w:r w:rsidRPr="005E0DC9">
              <w:rPr>
                <w:rFonts w:ascii="Arial Narrow" w:eastAsia="Calibri" w:hAnsi="Arial Narrow"/>
                <w:snapToGrid/>
                <w:sz w:val="20"/>
                <w:szCs w:val="18"/>
              </w:rPr>
              <w:t>center</w:t>
            </w:r>
            <w:proofErr w:type="spellEnd"/>
            <w:r w:rsidRPr="005E0DC9">
              <w:rPr>
                <w:rFonts w:ascii="Arial Narrow" w:eastAsia="Calibri" w:hAnsi="Arial Narrow"/>
                <w:snapToGrid/>
                <w:sz w:val="20"/>
                <w:szCs w:val="18"/>
              </w:rPr>
              <w:t xml:space="preserve">, Three Arm Randomized Study to Investigate the Safety and Efficacy on Progression-free Survival of RO5072759 + </w:t>
            </w:r>
            <w:proofErr w:type="spellStart"/>
            <w:r w:rsidRPr="005E0DC9">
              <w:rPr>
                <w:rFonts w:ascii="Arial Narrow" w:eastAsia="Calibri" w:hAnsi="Arial Narrow"/>
                <w:snapToGrid/>
                <w:sz w:val="20"/>
                <w:szCs w:val="18"/>
              </w:rPr>
              <w:t>Chlorambucil</w:t>
            </w:r>
            <w:proofErr w:type="spellEnd"/>
            <w:r w:rsidRPr="005E0DC9">
              <w:rPr>
                <w:rFonts w:ascii="Arial Narrow" w:eastAsia="Calibri" w:hAnsi="Arial Narrow"/>
                <w:snapToGrid/>
                <w:sz w:val="20"/>
                <w:szCs w:val="18"/>
              </w:rPr>
              <w:t xml:space="preserve"> (</w:t>
            </w:r>
            <w:proofErr w:type="spellStart"/>
            <w:r w:rsidRPr="005E0DC9">
              <w:rPr>
                <w:rFonts w:ascii="Arial Narrow" w:eastAsia="Calibri" w:hAnsi="Arial Narrow"/>
                <w:snapToGrid/>
                <w:sz w:val="20"/>
                <w:szCs w:val="18"/>
              </w:rPr>
              <w:t>GClb</w:t>
            </w:r>
            <w:proofErr w:type="spellEnd"/>
            <w:r w:rsidRPr="005E0DC9">
              <w:rPr>
                <w:rFonts w:ascii="Arial Narrow" w:eastAsia="Calibri" w:hAnsi="Arial Narrow"/>
                <w:snapToGrid/>
                <w:sz w:val="20"/>
                <w:szCs w:val="18"/>
              </w:rPr>
              <w:t xml:space="preserve">) Compared to Rituximab + </w:t>
            </w:r>
            <w:proofErr w:type="spellStart"/>
            <w:r w:rsidRPr="005E0DC9">
              <w:rPr>
                <w:rFonts w:ascii="Arial Narrow" w:eastAsia="Calibri" w:hAnsi="Arial Narrow"/>
                <w:snapToGrid/>
                <w:sz w:val="20"/>
                <w:szCs w:val="18"/>
              </w:rPr>
              <w:t>Chlorambucil</w:t>
            </w:r>
            <w:proofErr w:type="spellEnd"/>
            <w:r w:rsidRPr="005E0DC9">
              <w:rPr>
                <w:rFonts w:ascii="Arial Narrow" w:eastAsia="Calibri" w:hAnsi="Arial Narrow"/>
                <w:snapToGrid/>
                <w:sz w:val="20"/>
                <w:szCs w:val="18"/>
              </w:rPr>
              <w:t xml:space="preserve"> (</w:t>
            </w:r>
            <w:proofErr w:type="spellStart"/>
            <w:r w:rsidRPr="005E0DC9">
              <w:rPr>
                <w:rFonts w:ascii="Arial Narrow" w:eastAsia="Calibri" w:hAnsi="Arial Narrow"/>
                <w:snapToGrid/>
                <w:sz w:val="20"/>
                <w:szCs w:val="18"/>
              </w:rPr>
              <w:t>RClb</w:t>
            </w:r>
            <w:proofErr w:type="spellEnd"/>
            <w:r w:rsidRPr="005E0DC9">
              <w:rPr>
                <w:rFonts w:ascii="Arial Narrow" w:eastAsia="Calibri" w:hAnsi="Arial Narrow"/>
                <w:snapToGrid/>
                <w:sz w:val="20"/>
                <w:szCs w:val="18"/>
              </w:rPr>
              <w:t xml:space="preserve">) or </w:t>
            </w:r>
            <w:proofErr w:type="spellStart"/>
            <w:r w:rsidRPr="005E0DC9">
              <w:rPr>
                <w:rFonts w:ascii="Arial Narrow" w:eastAsia="Calibri" w:hAnsi="Arial Narrow"/>
                <w:snapToGrid/>
                <w:sz w:val="20"/>
                <w:szCs w:val="18"/>
              </w:rPr>
              <w:t>Chlorambucil</w:t>
            </w:r>
            <w:proofErr w:type="spellEnd"/>
            <w:r w:rsidRPr="005E0DC9">
              <w:rPr>
                <w:rFonts w:ascii="Arial Narrow" w:eastAsia="Calibri" w:hAnsi="Arial Narrow"/>
                <w:snapToGrid/>
                <w:sz w:val="20"/>
                <w:szCs w:val="18"/>
              </w:rPr>
              <w:t xml:space="preserve"> (</w:t>
            </w:r>
            <w:proofErr w:type="spellStart"/>
            <w:r w:rsidRPr="005E0DC9">
              <w:rPr>
                <w:rFonts w:ascii="Arial Narrow" w:eastAsia="Calibri" w:hAnsi="Arial Narrow"/>
                <w:snapToGrid/>
                <w:sz w:val="20"/>
                <w:szCs w:val="18"/>
              </w:rPr>
              <w:t>Clb</w:t>
            </w:r>
            <w:proofErr w:type="spellEnd"/>
            <w:r w:rsidRPr="005E0DC9">
              <w:rPr>
                <w:rFonts w:ascii="Arial Narrow" w:eastAsia="Calibri" w:hAnsi="Arial Narrow"/>
                <w:snapToGrid/>
                <w:sz w:val="20"/>
                <w:szCs w:val="18"/>
              </w:rPr>
              <w:t>) Alone in Previously Untreated CLL Patients with Comorbidities.</w:t>
            </w:r>
            <w:r w:rsidRPr="005E0DC9">
              <w:rPr>
                <w:rFonts w:ascii="Arial Narrow" w:eastAsia="Calibri" w:hAnsi="Arial Narrow"/>
                <w:snapToGrid/>
                <w:sz w:val="20"/>
                <w:szCs w:val="22"/>
              </w:rPr>
              <w:t xml:space="preserve"> </w:t>
            </w:r>
          </w:p>
        </w:tc>
        <w:tc>
          <w:tcPr>
            <w:tcW w:w="1177" w:type="pct"/>
            <w:tcBorders>
              <w:bottom w:val="nil"/>
            </w:tcBorders>
            <w:vAlign w:val="center"/>
          </w:tcPr>
          <w:p w:rsidR="00610C73" w:rsidRPr="005E0DC9" w:rsidRDefault="00610C73" w:rsidP="00610C73">
            <w:pPr>
              <w:keepNext/>
              <w:widowControl/>
              <w:jc w:val="left"/>
              <w:rPr>
                <w:rFonts w:ascii="Arial Narrow" w:hAnsi="Arial Narrow" w:cs="Times New Roman"/>
                <w:snapToGrid/>
                <w:sz w:val="20"/>
                <w:szCs w:val="22"/>
              </w:rPr>
            </w:pPr>
            <w:r w:rsidRPr="005E0DC9">
              <w:rPr>
                <w:rFonts w:ascii="Arial Narrow" w:hAnsi="Arial Narrow" w:cs="Times New Roman"/>
                <w:snapToGrid/>
                <w:sz w:val="20"/>
                <w:szCs w:val="22"/>
              </w:rPr>
              <w:t>Date not provided.</w:t>
            </w:r>
          </w:p>
        </w:tc>
      </w:tr>
      <w:tr w:rsidR="00610C73" w:rsidRPr="005E0DC9" w:rsidTr="00656000">
        <w:tc>
          <w:tcPr>
            <w:tcW w:w="796" w:type="pct"/>
            <w:tcBorders>
              <w:top w:val="nil"/>
              <w:bottom w:val="nil"/>
            </w:tcBorders>
            <w:vAlign w:val="center"/>
          </w:tcPr>
          <w:p w:rsidR="00610C73" w:rsidRPr="005E0DC9" w:rsidRDefault="00610C73" w:rsidP="00610C73">
            <w:pPr>
              <w:keepNext/>
              <w:widowControl/>
              <w:jc w:val="left"/>
              <w:rPr>
                <w:rFonts w:ascii="Arial Narrow" w:eastAsia="Calibri" w:hAnsi="Arial Narrow"/>
                <w:snapToGrid/>
                <w:sz w:val="20"/>
                <w:szCs w:val="22"/>
              </w:rPr>
            </w:pPr>
          </w:p>
        </w:tc>
        <w:tc>
          <w:tcPr>
            <w:tcW w:w="3027" w:type="pct"/>
            <w:tcBorders>
              <w:top w:val="nil"/>
              <w:bottom w:val="nil"/>
            </w:tcBorders>
            <w:vAlign w:val="center"/>
          </w:tcPr>
          <w:p w:rsidR="00610C73" w:rsidRPr="005E0DC9" w:rsidRDefault="00610C73" w:rsidP="00610C73">
            <w:pPr>
              <w:keepNext/>
              <w:widowControl/>
              <w:contextualSpacing/>
              <w:jc w:val="left"/>
              <w:rPr>
                <w:rFonts w:ascii="Arial Narrow" w:hAnsi="Arial Narrow"/>
                <w:snapToGrid/>
                <w:sz w:val="20"/>
                <w:szCs w:val="18"/>
              </w:rPr>
            </w:pPr>
            <w:proofErr w:type="spellStart"/>
            <w:r w:rsidRPr="005E0DC9">
              <w:rPr>
                <w:rFonts w:ascii="Arial Narrow" w:hAnsi="Arial Narrow"/>
                <w:snapToGrid/>
                <w:sz w:val="20"/>
                <w:szCs w:val="18"/>
              </w:rPr>
              <w:t>Goede</w:t>
            </w:r>
            <w:proofErr w:type="spellEnd"/>
            <w:r w:rsidRPr="005E0DC9">
              <w:rPr>
                <w:rFonts w:ascii="Arial Narrow" w:hAnsi="Arial Narrow"/>
                <w:snapToGrid/>
                <w:sz w:val="20"/>
                <w:szCs w:val="18"/>
              </w:rPr>
              <w:t xml:space="preserve"> V, Fischer K, et al</w:t>
            </w:r>
            <w:r w:rsidRPr="005E0DC9">
              <w:rPr>
                <w:rFonts w:ascii="Arial Narrow" w:hAnsi="Arial Narrow"/>
                <w:snapToGrid/>
                <w:sz w:val="20"/>
                <w:szCs w:val="18"/>
                <w:vertAlign w:val="superscript"/>
              </w:rPr>
              <w:t>a</w:t>
            </w:r>
            <w:r w:rsidRPr="005E0DC9">
              <w:rPr>
                <w:rFonts w:ascii="Arial Narrow" w:hAnsi="Arial Narrow"/>
                <w:snapToGrid/>
                <w:sz w:val="20"/>
                <w:szCs w:val="18"/>
              </w:rPr>
              <w:t xml:space="preserve">.   </w:t>
            </w:r>
            <w:proofErr w:type="spellStart"/>
            <w:r w:rsidRPr="005E0DC9">
              <w:rPr>
                <w:rFonts w:ascii="Arial Narrow" w:hAnsi="Arial Narrow"/>
                <w:snapToGrid/>
                <w:sz w:val="20"/>
                <w:szCs w:val="18"/>
              </w:rPr>
              <w:t>Obinutuzumab</w:t>
            </w:r>
            <w:proofErr w:type="spellEnd"/>
            <w:r w:rsidRPr="005E0DC9">
              <w:rPr>
                <w:rFonts w:ascii="Arial Narrow" w:hAnsi="Arial Narrow"/>
                <w:snapToGrid/>
                <w:sz w:val="20"/>
                <w:szCs w:val="18"/>
              </w:rPr>
              <w:t xml:space="preserve"> plus </w:t>
            </w:r>
            <w:proofErr w:type="spellStart"/>
            <w:r w:rsidRPr="005E0DC9">
              <w:rPr>
                <w:rFonts w:ascii="Arial Narrow" w:hAnsi="Arial Narrow"/>
                <w:snapToGrid/>
                <w:sz w:val="20"/>
                <w:szCs w:val="18"/>
              </w:rPr>
              <w:t>chlorambucil</w:t>
            </w:r>
            <w:proofErr w:type="spellEnd"/>
            <w:r w:rsidRPr="005E0DC9">
              <w:rPr>
                <w:rFonts w:ascii="Arial Narrow" w:hAnsi="Arial Narrow"/>
                <w:snapToGrid/>
                <w:sz w:val="20"/>
                <w:szCs w:val="18"/>
              </w:rPr>
              <w:t xml:space="preserve"> in patients with CLL and coexisting conditions.</w:t>
            </w:r>
          </w:p>
        </w:tc>
        <w:tc>
          <w:tcPr>
            <w:tcW w:w="1177" w:type="pct"/>
            <w:tcBorders>
              <w:top w:val="nil"/>
              <w:bottom w:val="nil"/>
            </w:tcBorders>
            <w:vAlign w:val="center"/>
          </w:tcPr>
          <w:p w:rsidR="00610C73" w:rsidRPr="005E0DC9" w:rsidRDefault="00610C73" w:rsidP="00610C73">
            <w:pPr>
              <w:keepNext/>
              <w:widowControl/>
              <w:jc w:val="left"/>
              <w:rPr>
                <w:rFonts w:ascii="Arial Narrow" w:eastAsia="Calibri" w:hAnsi="Arial Narrow"/>
                <w:i/>
                <w:snapToGrid/>
                <w:sz w:val="20"/>
                <w:szCs w:val="22"/>
              </w:rPr>
            </w:pPr>
            <w:r w:rsidRPr="005E0DC9">
              <w:rPr>
                <w:rFonts w:ascii="Arial Narrow" w:eastAsia="Calibri" w:hAnsi="Arial Narrow"/>
                <w:snapToGrid/>
                <w:sz w:val="20"/>
                <w:szCs w:val="18"/>
              </w:rPr>
              <w:t>New England Journal of Medicine 2014; 370(12): 1101-1110.</w:t>
            </w:r>
          </w:p>
        </w:tc>
      </w:tr>
      <w:tr w:rsidR="00610C73" w:rsidRPr="005E0DC9" w:rsidTr="00656000">
        <w:tc>
          <w:tcPr>
            <w:tcW w:w="796" w:type="pct"/>
            <w:tcBorders>
              <w:top w:val="nil"/>
              <w:bottom w:val="nil"/>
            </w:tcBorders>
            <w:vAlign w:val="center"/>
          </w:tcPr>
          <w:p w:rsidR="00610C73" w:rsidRPr="005E0DC9" w:rsidRDefault="00610C73" w:rsidP="00610C73">
            <w:pPr>
              <w:keepNext/>
              <w:widowControl/>
              <w:jc w:val="left"/>
              <w:rPr>
                <w:rFonts w:ascii="Arial Narrow" w:eastAsia="Calibri" w:hAnsi="Arial Narrow"/>
                <w:snapToGrid/>
                <w:sz w:val="20"/>
                <w:szCs w:val="22"/>
              </w:rPr>
            </w:pPr>
          </w:p>
        </w:tc>
        <w:tc>
          <w:tcPr>
            <w:tcW w:w="3027" w:type="pct"/>
            <w:tcBorders>
              <w:top w:val="nil"/>
              <w:bottom w:val="nil"/>
            </w:tcBorders>
            <w:vAlign w:val="center"/>
          </w:tcPr>
          <w:p w:rsidR="00610C73" w:rsidRPr="005E0DC9" w:rsidRDefault="00610C73" w:rsidP="00610C73">
            <w:pPr>
              <w:keepNext/>
              <w:widowControl/>
              <w:contextualSpacing/>
              <w:jc w:val="left"/>
              <w:rPr>
                <w:rFonts w:ascii="Arial Narrow" w:hAnsi="Arial Narrow"/>
                <w:snapToGrid/>
                <w:sz w:val="20"/>
                <w:szCs w:val="18"/>
              </w:rPr>
            </w:pPr>
            <w:proofErr w:type="spellStart"/>
            <w:r w:rsidRPr="005E0DC9">
              <w:rPr>
                <w:rFonts w:ascii="Arial Narrow" w:hAnsi="Arial Narrow"/>
                <w:snapToGrid/>
                <w:sz w:val="20"/>
                <w:szCs w:val="18"/>
              </w:rPr>
              <w:t>Goede</w:t>
            </w:r>
            <w:proofErr w:type="spellEnd"/>
            <w:r w:rsidRPr="005E0DC9">
              <w:rPr>
                <w:rFonts w:ascii="Arial Narrow" w:hAnsi="Arial Narrow"/>
                <w:snapToGrid/>
                <w:sz w:val="20"/>
                <w:szCs w:val="18"/>
              </w:rPr>
              <w:t xml:space="preserve"> V, Fischer K, et al.  </w:t>
            </w:r>
            <w:proofErr w:type="spellStart"/>
            <w:r w:rsidRPr="005E0DC9">
              <w:rPr>
                <w:rFonts w:ascii="Arial Narrow" w:hAnsi="Arial Narrow"/>
                <w:snapToGrid/>
                <w:sz w:val="20"/>
                <w:szCs w:val="18"/>
              </w:rPr>
              <w:t>Obinutuzumab</w:t>
            </w:r>
            <w:proofErr w:type="spellEnd"/>
            <w:r w:rsidRPr="005E0DC9">
              <w:rPr>
                <w:rFonts w:ascii="Arial Narrow" w:hAnsi="Arial Narrow"/>
                <w:snapToGrid/>
                <w:sz w:val="20"/>
                <w:szCs w:val="18"/>
              </w:rPr>
              <w:t xml:space="preserve"> as frontline treatment of chronic lymphocytic </w:t>
            </w:r>
            <w:proofErr w:type="spellStart"/>
            <w:r w:rsidRPr="005E0DC9">
              <w:rPr>
                <w:rFonts w:ascii="Arial Narrow" w:hAnsi="Arial Narrow"/>
                <w:snapToGrid/>
                <w:sz w:val="20"/>
                <w:szCs w:val="18"/>
              </w:rPr>
              <w:t>leukemia</w:t>
            </w:r>
            <w:proofErr w:type="spellEnd"/>
            <w:r w:rsidRPr="005E0DC9">
              <w:rPr>
                <w:rFonts w:ascii="Arial Narrow" w:hAnsi="Arial Narrow"/>
                <w:snapToGrid/>
                <w:sz w:val="20"/>
                <w:szCs w:val="18"/>
              </w:rPr>
              <w:t xml:space="preserve">: updated results of the CLL11 study. </w:t>
            </w:r>
          </w:p>
        </w:tc>
        <w:tc>
          <w:tcPr>
            <w:tcW w:w="1177" w:type="pct"/>
            <w:tcBorders>
              <w:top w:val="nil"/>
              <w:bottom w:val="nil"/>
            </w:tcBorders>
            <w:vAlign w:val="center"/>
          </w:tcPr>
          <w:p w:rsidR="00610C73" w:rsidRPr="005E0DC9" w:rsidRDefault="00610C73" w:rsidP="00610C73">
            <w:pPr>
              <w:keepNext/>
              <w:widowControl/>
              <w:jc w:val="left"/>
              <w:rPr>
                <w:rFonts w:ascii="Times" w:hAnsi="Times" w:cs="Times New Roman"/>
                <w:snapToGrid/>
                <w:sz w:val="20"/>
                <w:szCs w:val="22"/>
              </w:rPr>
            </w:pPr>
            <w:proofErr w:type="spellStart"/>
            <w:r w:rsidRPr="005E0DC9">
              <w:rPr>
                <w:rFonts w:ascii="Arial Narrow" w:eastAsia="Calibri" w:hAnsi="Arial Narrow"/>
                <w:snapToGrid/>
                <w:sz w:val="20"/>
                <w:szCs w:val="18"/>
              </w:rPr>
              <w:t>Leukemia</w:t>
            </w:r>
            <w:proofErr w:type="spellEnd"/>
            <w:r w:rsidRPr="005E0DC9">
              <w:rPr>
                <w:rFonts w:ascii="Arial Narrow" w:eastAsia="Calibri" w:hAnsi="Arial Narrow"/>
                <w:snapToGrid/>
                <w:sz w:val="20"/>
                <w:szCs w:val="18"/>
              </w:rPr>
              <w:t xml:space="preserve"> 2015; 29:1602-1604.</w:t>
            </w:r>
          </w:p>
        </w:tc>
      </w:tr>
      <w:tr w:rsidR="00610C73" w:rsidRPr="005E0DC9" w:rsidTr="00656000">
        <w:tc>
          <w:tcPr>
            <w:tcW w:w="796" w:type="pct"/>
            <w:tcBorders>
              <w:bottom w:val="nil"/>
            </w:tcBorders>
            <w:vAlign w:val="center"/>
          </w:tcPr>
          <w:p w:rsidR="00610C73" w:rsidRPr="005E0DC9" w:rsidRDefault="00610C73" w:rsidP="00610C73">
            <w:pPr>
              <w:keepNext/>
              <w:widowControl/>
              <w:jc w:val="left"/>
              <w:rPr>
                <w:rFonts w:ascii="Times" w:hAnsi="Times" w:cs="Times New Roman"/>
                <w:snapToGrid/>
                <w:sz w:val="20"/>
                <w:szCs w:val="22"/>
              </w:rPr>
            </w:pPr>
            <w:r w:rsidRPr="005E0DC9">
              <w:rPr>
                <w:rFonts w:ascii="Arial Narrow" w:eastAsia="Calibri" w:hAnsi="Arial Narrow"/>
                <w:snapToGrid/>
                <w:sz w:val="20"/>
                <w:szCs w:val="22"/>
              </w:rPr>
              <w:t>COMPLEMENT-1</w:t>
            </w:r>
          </w:p>
        </w:tc>
        <w:tc>
          <w:tcPr>
            <w:tcW w:w="3027" w:type="pct"/>
            <w:tcBorders>
              <w:bottom w:val="nil"/>
            </w:tcBorders>
            <w:vAlign w:val="center"/>
          </w:tcPr>
          <w:p w:rsidR="00610C73" w:rsidRPr="005E0DC9" w:rsidRDefault="00610C73" w:rsidP="00610C73">
            <w:pPr>
              <w:keepNext/>
              <w:widowControl/>
              <w:jc w:val="left"/>
              <w:rPr>
                <w:rFonts w:ascii="Times" w:hAnsi="Times" w:cs="Times New Roman"/>
                <w:snapToGrid/>
                <w:sz w:val="20"/>
                <w:szCs w:val="22"/>
              </w:rPr>
            </w:pPr>
            <w:r w:rsidRPr="005E0DC9">
              <w:rPr>
                <w:rFonts w:ascii="Arial Narrow" w:eastAsia="Calibri" w:hAnsi="Arial Narrow"/>
                <w:snapToGrid/>
                <w:sz w:val="20"/>
                <w:szCs w:val="18"/>
              </w:rPr>
              <w:t xml:space="preserve">A phase III, open label, randomised, </w:t>
            </w:r>
            <w:proofErr w:type="spellStart"/>
            <w:r w:rsidRPr="005E0DC9">
              <w:rPr>
                <w:rFonts w:ascii="Arial Narrow" w:eastAsia="Calibri" w:hAnsi="Arial Narrow"/>
                <w:snapToGrid/>
                <w:sz w:val="20"/>
                <w:szCs w:val="18"/>
              </w:rPr>
              <w:t>multicenter</w:t>
            </w:r>
            <w:proofErr w:type="spellEnd"/>
            <w:r w:rsidRPr="005E0DC9">
              <w:rPr>
                <w:rFonts w:ascii="Arial Narrow" w:eastAsia="Calibri" w:hAnsi="Arial Narrow"/>
                <w:snapToGrid/>
                <w:sz w:val="20"/>
                <w:szCs w:val="18"/>
              </w:rPr>
              <w:t xml:space="preserve"> trial of </w:t>
            </w:r>
            <w:proofErr w:type="spellStart"/>
            <w:r w:rsidRPr="005E0DC9">
              <w:rPr>
                <w:rFonts w:ascii="Arial Narrow" w:eastAsia="Calibri" w:hAnsi="Arial Narrow"/>
                <w:snapToGrid/>
                <w:sz w:val="20"/>
                <w:szCs w:val="18"/>
              </w:rPr>
              <w:t>Ofatumumab</w:t>
            </w:r>
            <w:proofErr w:type="spellEnd"/>
            <w:r w:rsidRPr="005E0DC9">
              <w:rPr>
                <w:rFonts w:ascii="Arial Narrow" w:eastAsia="Calibri" w:hAnsi="Arial Narrow"/>
                <w:snapToGrid/>
                <w:sz w:val="20"/>
                <w:szCs w:val="18"/>
              </w:rPr>
              <w:t xml:space="preserve"> added to </w:t>
            </w:r>
            <w:proofErr w:type="spellStart"/>
            <w:r w:rsidRPr="005E0DC9">
              <w:rPr>
                <w:rFonts w:ascii="Arial Narrow" w:eastAsia="Calibri" w:hAnsi="Arial Narrow"/>
                <w:snapToGrid/>
                <w:sz w:val="20"/>
                <w:szCs w:val="18"/>
              </w:rPr>
              <w:t>Chlorambucil</w:t>
            </w:r>
            <w:proofErr w:type="spellEnd"/>
            <w:r w:rsidRPr="005E0DC9">
              <w:rPr>
                <w:rFonts w:ascii="Arial Narrow" w:eastAsia="Calibri" w:hAnsi="Arial Narrow"/>
                <w:snapToGrid/>
                <w:sz w:val="20"/>
                <w:szCs w:val="18"/>
              </w:rPr>
              <w:t xml:space="preserve"> versus </w:t>
            </w:r>
            <w:proofErr w:type="spellStart"/>
            <w:r w:rsidRPr="005E0DC9">
              <w:rPr>
                <w:rFonts w:ascii="Arial Narrow" w:eastAsia="Calibri" w:hAnsi="Arial Narrow"/>
                <w:snapToGrid/>
                <w:sz w:val="20"/>
                <w:szCs w:val="18"/>
              </w:rPr>
              <w:t>Chlorambucil</w:t>
            </w:r>
            <w:proofErr w:type="spellEnd"/>
            <w:r w:rsidRPr="005E0DC9">
              <w:rPr>
                <w:rFonts w:ascii="Arial Narrow" w:eastAsia="Calibri" w:hAnsi="Arial Narrow"/>
                <w:snapToGrid/>
                <w:sz w:val="20"/>
                <w:szCs w:val="18"/>
              </w:rPr>
              <w:t xml:space="preserve"> Monotherapy in previously untreated patients with Chronic Lymphocytic Leukaemia</w:t>
            </w:r>
          </w:p>
        </w:tc>
        <w:tc>
          <w:tcPr>
            <w:tcW w:w="1177" w:type="pct"/>
            <w:tcBorders>
              <w:bottom w:val="nil"/>
            </w:tcBorders>
            <w:vAlign w:val="center"/>
          </w:tcPr>
          <w:p w:rsidR="00610C73" w:rsidRPr="005E0DC9" w:rsidRDefault="00610C73" w:rsidP="00610C73">
            <w:pPr>
              <w:keepNext/>
              <w:widowControl/>
              <w:jc w:val="left"/>
              <w:rPr>
                <w:rFonts w:ascii="Times" w:hAnsi="Times" w:cs="Times New Roman"/>
                <w:snapToGrid/>
                <w:sz w:val="20"/>
                <w:szCs w:val="22"/>
              </w:rPr>
            </w:pPr>
            <w:r w:rsidRPr="005E0DC9">
              <w:rPr>
                <w:rFonts w:ascii="Arial Narrow" w:eastAsia="Calibri" w:hAnsi="Arial Narrow"/>
                <w:snapToGrid/>
                <w:sz w:val="20"/>
                <w:szCs w:val="22"/>
              </w:rPr>
              <w:t>August 2013</w:t>
            </w:r>
          </w:p>
        </w:tc>
      </w:tr>
      <w:tr w:rsidR="00610C73" w:rsidRPr="005E0DC9" w:rsidTr="00656000">
        <w:tc>
          <w:tcPr>
            <w:tcW w:w="796" w:type="pct"/>
            <w:tcBorders>
              <w:top w:val="nil"/>
              <w:bottom w:val="nil"/>
            </w:tcBorders>
            <w:vAlign w:val="center"/>
          </w:tcPr>
          <w:p w:rsidR="00610C73" w:rsidRPr="005E0DC9" w:rsidRDefault="00610C73" w:rsidP="00610C73">
            <w:pPr>
              <w:keepNext/>
              <w:widowControl/>
              <w:jc w:val="left"/>
              <w:rPr>
                <w:rFonts w:ascii="Arial Narrow" w:eastAsia="Calibri" w:hAnsi="Arial Narrow"/>
                <w:snapToGrid/>
                <w:sz w:val="20"/>
                <w:szCs w:val="22"/>
              </w:rPr>
            </w:pPr>
          </w:p>
        </w:tc>
        <w:tc>
          <w:tcPr>
            <w:tcW w:w="3027" w:type="pct"/>
            <w:tcBorders>
              <w:top w:val="nil"/>
              <w:bottom w:val="nil"/>
            </w:tcBorders>
            <w:vAlign w:val="center"/>
          </w:tcPr>
          <w:p w:rsidR="00610C73" w:rsidRPr="005E0DC9" w:rsidRDefault="00610C73" w:rsidP="00610C73">
            <w:pPr>
              <w:keepNext/>
              <w:widowControl/>
              <w:contextualSpacing/>
              <w:jc w:val="left"/>
              <w:rPr>
                <w:rFonts w:ascii="Arial Narrow" w:hAnsi="Arial Narrow"/>
                <w:snapToGrid/>
                <w:sz w:val="20"/>
                <w:szCs w:val="18"/>
              </w:rPr>
            </w:pPr>
            <w:proofErr w:type="spellStart"/>
            <w:r w:rsidRPr="005E0DC9">
              <w:rPr>
                <w:rFonts w:ascii="Arial Narrow" w:hAnsi="Arial Narrow"/>
                <w:snapToGrid/>
                <w:sz w:val="20"/>
                <w:szCs w:val="18"/>
              </w:rPr>
              <w:t>Hillmen</w:t>
            </w:r>
            <w:proofErr w:type="spellEnd"/>
            <w:r w:rsidRPr="005E0DC9">
              <w:rPr>
                <w:rFonts w:ascii="Arial Narrow" w:hAnsi="Arial Narrow"/>
                <w:snapToGrid/>
                <w:sz w:val="20"/>
                <w:szCs w:val="18"/>
              </w:rPr>
              <w:t xml:space="preserve"> P, </w:t>
            </w:r>
            <w:proofErr w:type="spellStart"/>
            <w:r w:rsidRPr="005E0DC9">
              <w:rPr>
                <w:rFonts w:ascii="Arial Narrow" w:hAnsi="Arial Narrow"/>
                <w:snapToGrid/>
                <w:sz w:val="20"/>
                <w:szCs w:val="18"/>
              </w:rPr>
              <w:t>Robak</w:t>
            </w:r>
            <w:proofErr w:type="spellEnd"/>
            <w:r w:rsidRPr="005E0DC9">
              <w:rPr>
                <w:rFonts w:ascii="Arial Narrow" w:hAnsi="Arial Narrow"/>
                <w:snapToGrid/>
                <w:sz w:val="20"/>
                <w:szCs w:val="18"/>
              </w:rPr>
              <w:t xml:space="preserve"> T, </w:t>
            </w:r>
            <w:proofErr w:type="spellStart"/>
            <w:r w:rsidRPr="005E0DC9">
              <w:rPr>
                <w:rFonts w:ascii="Arial Narrow" w:hAnsi="Arial Narrow"/>
                <w:snapToGrid/>
                <w:sz w:val="20"/>
                <w:szCs w:val="18"/>
              </w:rPr>
              <w:t>Janssens</w:t>
            </w:r>
            <w:proofErr w:type="spellEnd"/>
            <w:r w:rsidRPr="005E0DC9">
              <w:rPr>
                <w:rFonts w:ascii="Arial Narrow" w:hAnsi="Arial Narrow"/>
                <w:snapToGrid/>
                <w:sz w:val="20"/>
                <w:szCs w:val="18"/>
              </w:rPr>
              <w:t xml:space="preserve"> A, et al.  </w:t>
            </w:r>
            <w:proofErr w:type="spellStart"/>
            <w:r w:rsidRPr="005E0DC9">
              <w:rPr>
                <w:rFonts w:ascii="Arial Narrow" w:hAnsi="Arial Narrow"/>
                <w:snapToGrid/>
                <w:sz w:val="20"/>
                <w:szCs w:val="18"/>
              </w:rPr>
              <w:t>Chlorambucil</w:t>
            </w:r>
            <w:proofErr w:type="spellEnd"/>
            <w:r w:rsidRPr="005E0DC9">
              <w:rPr>
                <w:rFonts w:ascii="Arial Narrow" w:hAnsi="Arial Narrow"/>
                <w:snapToGrid/>
                <w:sz w:val="20"/>
                <w:szCs w:val="18"/>
              </w:rPr>
              <w:t xml:space="preserve"> plus </w:t>
            </w:r>
            <w:proofErr w:type="spellStart"/>
            <w:r w:rsidRPr="005E0DC9">
              <w:rPr>
                <w:rFonts w:ascii="Arial Narrow" w:hAnsi="Arial Narrow"/>
                <w:snapToGrid/>
                <w:sz w:val="20"/>
                <w:szCs w:val="18"/>
              </w:rPr>
              <w:t>ofatumumab</w:t>
            </w:r>
            <w:proofErr w:type="spellEnd"/>
            <w:r w:rsidRPr="005E0DC9">
              <w:rPr>
                <w:rFonts w:ascii="Arial Narrow" w:hAnsi="Arial Narrow"/>
                <w:snapToGrid/>
                <w:sz w:val="20"/>
                <w:szCs w:val="18"/>
              </w:rPr>
              <w:t xml:space="preserve"> versus </w:t>
            </w:r>
            <w:proofErr w:type="spellStart"/>
            <w:r w:rsidRPr="005E0DC9">
              <w:rPr>
                <w:rFonts w:ascii="Arial Narrow" w:hAnsi="Arial Narrow"/>
                <w:snapToGrid/>
                <w:sz w:val="20"/>
                <w:szCs w:val="18"/>
              </w:rPr>
              <w:t>chlorambucil</w:t>
            </w:r>
            <w:proofErr w:type="spellEnd"/>
            <w:r w:rsidRPr="005E0DC9">
              <w:rPr>
                <w:rFonts w:ascii="Arial Narrow" w:hAnsi="Arial Narrow"/>
                <w:snapToGrid/>
                <w:sz w:val="20"/>
                <w:szCs w:val="18"/>
              </w:rPr>
              <w:t xml:space="preserve"> alone in previously untreated patients with chronic lymphocytic leukaemia (COMPLEMENT 1): a randomised, multicentre, open-label phase 3 trial. </w:t>
            </w:r>
          </w:p>
        </w:tc>
        <w:tc>
          <w:tcPr>
            <w:tcW w:w="1177" w:type="pct"/>
            <w:tcBorders>
              <w:top w:val="nil"/>
              <w:bottom w:val="nil"/>
            </w:tcBorders>
            <w:vAlign w:val="center"/>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18"/>
              </w:rPr>
              <w:t>The Lancet 2015; 385(9980): 1873-1883.</w:t>
            </w:r>
          </w:p>
        </w:tc>
      </w:tr>
      <w:tr w:rsidR="00610C73" w:rsidRPr="005E0DC9" w:rsidTr="00656000">
        <w:tc>
          <w:tcPr>
            <w:tcW w:w="796" w:type="pct"/>
            <w:tcBorders>
              <w:top w:val="nil"/>
              <w:bottom w:val="nil"/>
            </w:tcBorders>
            <w:vAlign w:val="center"/>
          </w:tcPr>
          <w:p w:rsidR="00610C73" w:rsidRPr="005E0DC9" w:rsidRDefault="00610C73" w:rsidP="00610C73">
            <w:pPr>
              <w:keepNext/>
              <w:widowControl/>
              <w:jc w:val="left"/>
              <w:rPr>
                <w:rFonts w:ascii="Arial Narrow" w:eastAsia="Calibri" w:hAnsi="Arial Narrow"/>
                <w:snapToGrid/>
                <w:sz w:val="20"/>
                <w:szCs w:val="22"/>
              </w:rPr>
            </w:pPr>
          </w:p>
        </w:tc>
        <w:tc>
          <w:tcPr>
            <w:tcW w:w="3027" w:type="pct"/>
            <w:tcBorders>
              <w:top w:val="nil"/>
              <w:bottom w:val="nil"/>
            </w:tcBorders>
            <w:vAlign w:val="center"/>
          </w:tcPr>
          <w:p w:rsidR="00610C73" w:rsidRPr="005E0DC9" w:rsidRDefault="00610C73" w:rsidP="00610C73">
            <w:pPr>
              <w:keepNext/>
              <w:widowControl/>
              <w:contextualSpacing/>
              <w:jc w:val="left"/>
              <w:rPr>
                <w:rFonts w:ascii="Arial Narrow" w:hAnsi="Arial Narrow"/>
                <w:snapToGrid/>
                <w:sz w:val="20"/>
                <w:szCs w:val="18"/>
              </w:rPr>
            </w:pPr>
            <w:proofErr w:type="spellStart"/>
            <w:r w:rsidRPr="005E0DC9">
              <w:rPr>
                <w:rFonts w:ascii="Arial Narrow" w:hAnsi="Arial Narrow"/>
                <w:snapToGrid/>
                <w:sz w:val="20"/>
                <w:szCs w:val="18"/>
              </w:rPr>
              <w:t>Hillmen</w:t>
            </w:r>
            <w:proofErr w:type="spellEnd"/>
            <w:r w:rsidRPr="005E0DC9">
              <w:rPr>
                <w:rFonts w:ascii="Arial Narrow" w:hAnsi="Arial Narrow"/>
                <w:snapToGrid/>
                <w:sz w:val="20"/>
                <w:szCs w:val="18"/>
              </w:rPr>
              <w:t xml:space="preserve"> P, </w:t>
            </w:r>
            <w:proofErr w:type="spellStart"/>
            <w:r w:rsidRPr="005E0DC9">
              <w:rPr>
                <w:rFonts w:ascii="Arial Narrow" w:hAnsi="Arial Narrow"/>
                <w:snapToGrid/>
                <w:sz w:val="20"/>
                <w:szCs w:val="18"/>
              </w:rPr>
              <w:t>Robak</w:t>
            </w:r>
            <w:proofErr w:type="spellEnd"/>
            <w:r w:rsidRPr="005E0DC9">
              <w:rPr>
                <w:rFonts w:ascii="Arial Narrow" w:hAnsi="Arial Narrow"/>
                <w:snapToGrid/>
                <w:sz w:val="20"/>
                <w:szCs w:val="18"/>
              </w:rPr>
              <w:t xml:space="preserve"> T, </w:t>
            </w:r>
            <w:proofErr w:type="spellStart"/>
            <w:r w:rsidRPr="005E0DC9">
              <w:rPr>
                <w:rFonts w:ascii="Arial Narrow" w:hAnsi="Arial Narrow"/>
                <w:snapToGrid/>
                <w:sz w:val="20"/>
                <w:szCs w:val="18"/>
              </w:rPr>
              <w:t>Janssens</w:t>
            </w:r>
            <w:proofErr w:type="spellEnd"/>
            <w:r w:rsidRPr="005E0DC9">
              <w:rPr>
                <w:rFonts w:ascii="Arial Narrow" w:hAnsi="Arial Narrow"/>
                <w:snapToGrid/>
                <w:sz w:val="20"/>
                <w:szCs w:val="18"/>
              </w:rPr>
              <w:t xml:space="preserve"> A, et al.  Health-related quality of life and patient-reported outcomes of </w:t>
            </w:r>
            <w:proofErr w:type="spellStart"/>
            <w:r w:rsidRPr="005E0DC9">
              <w:rPr>
                <w:rFonts w:ascii="Arial Narrow" w:hAnsi="Arial Narrow"/>
                <w:snapToGrid/>
                <w:sz w:val="20"/>
                <w:szCs w:val="18"/>
              </w:rPr>
              <w:t>ofatumumab</w:t>
            </w:r>
            <w:proofErr w:type="spellEnd"/>
            <w:r w:rsidRPr="005E0DC9">
              <w:rPr>
                <w:rFonts w:ascii="Arial Narrow" w:hAnsi="Arial Narrow"/>
                <w:snapToGrid/>
                <w:sz w:val="20"/>
                <w:szCs w:val="18"/>
              </w:rPr>
              <w:t xml:space="preserve"> plus </w:t>
            </w:r>
            <w:proofErr w:type="spellStart"/>
            <w:r w:rsidRPr="005E0DC9">
              <w:rPr>
                <w:rFonts w:ascii="Arial Narrow" w:hAnsi="Arial Narrow"/>
                <w:snapToGrid/>
                <w:sz w:val="20"/>
                <w:szCs w:val="18"/>
              </w:rPr>
              <w:t>chlorambucil</w:t>
            </w:r>
            <w:proofErr w:type="spellEnd"/>
            <w:r w:rsidRPr="005E0DC9">
              <w:rPr>
                <w:rFonts w:ascii="Arial Narrow" w:hAnsi="Arial Narrow"/>
                <w:snapToGrid/>
                <w:sz w:val="20"/>
                <w:szCs w:val="18"/>
              </w:rPr>
              <w:t xml:space="preserve"> versus </w:t>
            </w:r>
            <w:proofErr w:type="spellStart"/>
            <w:r w:rsidRPr="005E0DC9">
              <w:rPr>
                <w:rFonts w:ascii="Arial Narrow" w:hAnsi="Arial Narrow"/>
                <w:snapToGrid/>
                <w:sz w:val="20"/>
                <w:szCs w:val="18"/>
              </w:rPr>
              <w:t>chlorambucil</w:t>
            </w:r>
            <w:proofErr w:type="spellEnd"/>
            <w:r w:rsidRPr="005E0DC9">
              <w:rPr>
                <w:rFonts w:ascii="Arial Narrow" w:hAnsi="Arial Narrow"/>
                <w:snapToGrid/>
                <w:sz w:val="20"/>
                <w:szCs w:val="18"/>
              </w:rPr>
              <w:t xml:space="preserve"> monotherapy in the COMPLEMENT 1 trial of patients with previously untreated CLL. </w:t>
            </w:r>
          </w:p>
        </w:tc>
        <w:tc>
          <w:tcPr>
            <w:tcW w:w="1177" w:type="pct"/>
            <w:tcBorders>
              <w:top w:val="nil"/>
              <w:bottom w:val="nil"/>
            </w:tcBorders>
            <w:vAlign w:val="center"/>
          </w:tcPr>
          <w:p w:rsidR="00610C73" w:rsidRPr="005E0DC9" w:rsidRDefault="00610C73" w:rsidP="00610C73">
            <w:pPr>
              <w:keepNext/>
              <w:widowControl/>
              <w:jc w:val="left"/>
              <w:rPr>
                <w:rFonts w:ascii="Arial Narrow" w:eastAsia="Calibri" w:hAnsi="Arial Narrow"/>
                <w:snapToGrid/>
                <w:sz w:val="20"/>
                <w:szCs w:val="22"/>
              </w:rPr>
            </w:pPr>
            <w:proofErr w:type="spellStart"/>
            <w:r w:rsidRPr="005E0DC9">
              <w:rPr>
                <w:rFonts w:ascii="Arial Narrow" w:eastAsia="Calibri" w:hAnsi="Arial Narrow"/>
                <w:snapToGrid/>
                <w:sz w:val="20"/>
                <w:szCs w:val="18"/>
              </w:rPr>
              <w:t>Acta</w:t>
            </w:r>
            <w:proofErr w:type="spellEnd"/>
            <w:r w:rsidRPr="005E0DC9">
              <w:rPr>
                <w:rFonts w:ascii="Arial Narrow" w:eastAsia="Calibri" w:hAnsi="Arial Narrow"/>
                <w:snapToGrid/>
                <w:sz w:val="20"/>
                <w:szCs w:val="18"/>
              </w:rPr>
              <w:t xml:space="preserve"> </w:t>
            </w:r>
            <w:proofErr w:type="spellStart"/>
            <w:r w:rsidRPr="005E0DC9">
              <w:rPr>
                <w:rFonts w:ascii="Arial Narrow" w:eastAsia="Calibri" w:hAnsi="Arial Narrow"/>
                <w:snapToGrid/>
                <w:sz w:val="20"/>
                <w:szCs w:val="18"/>
              </w:rPr>
              <w:t>Oncologica</w:t>
            </w:r>
            <w:proofErr w:type="spellEnd"/>
            <w:r w:rsidRPr="005E0DC9">
              <w:rPr>
                <w:rFonts w:ascii="Arial Narrow" w:eastAsia="Calibri" w:hAnsi="Arial Narrow"/>
                <w:snapToGrid/>
                <w:sz w:val="20"/>
                <w:szCs w:val="18"/>
              </w:rPr>
              <w:t xml:space="preserve"> 2016; 55(9-10): 1115-1120.</w:t>
            </w:r>
          </w:p>
        </w:tc>
      </w:tr>
      <w:tr w:rsidR="00610C73" w:rsidRPr="005E0DC9" w:rsidTr="00656000">
        <w:tc>
          <w:tcPr>
            <w:tcW w:w="796" w:type="pct"/>
            <w:tcBorders>
              <w:top w:val="nil"/>
              <w:bottom w:val="single" w:sz="4" w:space="0" w:color="auto"/>
            </w:tcBorders>
            <w:vAlign w:val="center"/>
          </w:tcPr>
          <w:p w:rsidR="00610C73" w:rsidRPr="005E0DC9" w:rsidRDefault="00610C73" w:rsidP="00610C73">
            <w:pPr>
              <w:keepNext/>
              <w:widowControl/>
              <w:jc w:val="left"/>
              <w:rPr>
                <w:rFonts w:ascii="Arial Narrow" w:eastAsia="Calibri" w:hAnsi="Arial Narrow"/>
                <w:snapToGrid/>
                <w:sz w:val="20"/>
                <w:szCs w:val="22"/>
              </w:rPr>
            </w:pPr>
          </w:p>
        </w:tc>
        <w:tc>
          <w:tcPr>
            <w:tcW w:w="3027" w:type="pct"/>
            <w:tcBorders>
              <w:top w:val="nil"/>
              <w:bottom w:val="single" w:sz="4" w:space="0" w:color="auto"/>
            </w:tcBorders>
            <w:vAlign w:val="center"/>
          </w:tcPr>
          <w:p w:rsidR="00610C73" w:rsidRPr="005E0DC9" w:rsidRDefault="00610C73" w:rsidP="00610C73">
            <w:pPr>
              <w:keepNext/>
              <w:widowControl/>
              <w:contextualSpacing/>
              <w:jc w:val="left"/>
              <w:rPr>
                <w:rFonts w:ascii="Arial Narrow" w:hAnsi="Arial Narrow"/>
                <w:snapToGrid/>
                <w:sz w:val="20"/>
                <w:szCs w:val="18"/>
              </w:rPr>
            </w:pPr>
            <w:proofErr w:type="spellStart"/>
            <w:r w:rsidRPr="005E0DC9">
              <w:rPr>
                <w:rFonts w:ascii="Arial Narrow" w:hAnsi="Arial Narrow"/>
                <w:snapToGrid/>
                <w:sz w:val="20"/>
                <w:szCs w:val="18"/>
              </w:rPr>
              <w:t>Frustaci</w:t>
            </w:r>
            <w:proofErr w:type="spellEnd"/>
            <w:r w:rsidRPr="005E0DC9">
              <w:rPr>
                <w:rFonts w:ascii="Arial Narrow" w:hAnsi="Arial Narrow"/>
                <w:snapToGrid/>
                <w:sz w:val="20"/>
                <w:szCs w:val="18"/>
              </w:rPr>
              <w:t xml:space="preserve"> AM, </w:t>
            </w:r>
            <w:proofErr w:type="spellStart"/>
            <w:r w:rsidRPr="005E0DC9">
              <w:rPr>
                <w:rFonts w:ascii="Arial Narrow" w:hAnsi="Arial Narrow"/>
                <w:snapToGrid/>
                <w:sz w:val="20"/>
                <w:szCs w:val="18"/>
              </w:rPr>
              <w:t>Tedeschi</w:t>
            </w:r>
            <w:proofErr w:type="spellEnd"/>
            <w:r w:rsidRPr="005E0DC9">
              <w:rPr>
                <w:rFonts w:ascii="Arial Narrow" w:hAnsi="Arial Narrow"/>
                <w:snapToGrid/>
                <w:sz w:val="20"/>
                <w:szCs w:val="18"/>
              </w:rPr>
              <w:t xml:space="preserve"> A, et al.  </w:t>
            </w:r>
            <w:proofErr w:type="spellStart"/>
            <w:r w:rsidRPr="005E0DC9">
              <w:rPr>
                <w:rFonts w:ascii="Arial Narrow" w:hAnsi="Arial Narrow"/>
                <w:snapToGrid/>
                <w:sz w:val="20"/>
                <w:szCs w:val="18"/>
              </w:rPr>
              <w:t>Ofatumumab</w:t>
            </w:r>
            <w:proofErr w:type="spellEnd"/>
            <w:r w:rsidRPr="005E0DC9">
              <w:rPr>
                <w:rFonts w:ascii="Arial Narrow" w:hAnsi="Arial Narrow"/>
                <w:snapToGrid/>
                <w:sz w:val="20"/>
                <w:szCs w:val="18"/>
              </w:rPr>
              <w:t xml:space="preserve"> plus </w:t>
            </w:r>
            <w:proofErr w:type="spellStart"/>
            <w:r w:rsidRPr="005E0DC9">
              <w:rPr>
                <w:rFonts w:ascii="Arial Narrow" w:hAnsi="Arial Narrow"/>
                <w:snapToGrid/>
                <w:sz w:val="20"/>
                <w:szCs w:val="18"/>
              </w:rPr>
              <w:t>chlorambucil</w:t>
            </w:r>
            <w:proofErr w:type="spellEnd"/>
            <w:r w:rsidRPr="005E0DC9">
              <w:rPr>
                <w:rFonts w:ascii="Arial Narrow" w:hAnsi="Arial Narrow"/>
                <w:snapToGrid/>
                <w:sz w:val="20"/>
                <w:szCs w:val="18"/>
              </w:rPr>
              <w:t xml:space="preserve"> as a first-line therapy in less fit patients with chronic lymphocytic </w:t>
            </w:r>
            <w:proofErr w:type="spellStart"/>
            <w:r w:rsidRPr="005E0DC9">
              <w:rPr>
                <w:rFonts w:ascii="Arial Narrow" w:hAnsi="Arial Narrow"/>
                <w:snapToGrid/>
                <w:sz w:val="20"/>
                <w:szCs w:val="18"/>
              </w:rPr>
              <w:t>leukemia</w:t>
            </w:r>
            <w:proofErr w:type="spellEnd"/>
            <w:r w:rsidRPr="005E0DC9">
              <w:rPr>
                <w:rFonts w:ascii="Arial Narrow" w:hAnsi="Arial Narrow"/>
                <w:snapToGrid/>
                <w:sz w:val="20"/>
                <w:szCs w:val="18"/>
              </w:rPr>
              <w:t>: analysis of COMPLEMENT1 and other monoclonal antibodies association data.</w:t>
            </w:r>
          </w:p>
        </w:tc>
        <w:tc>
          <w:tcPr>
            <w:tcW w:w="1177" w:type="pct"/>
            <w:tcBorders>
              <w:top w:val="nil"/>
              <w:bottom w:val="single" w:sz="4" w:space="0" w:color="auto"/>
            </w:tcBorders>
            <w:vAlign w:val="center"/>
          </w:tcPr>
          <w:p w:rsidR="00610C73" w:rsidRPr="005E0DC9" w:rsidRDefault="00610C73" w:rsidP="00610C73">
            <w:pPr>
              <w:keepNext/>
              <w:widowControl/>
              <w:jc w:val="left"/>
              <w:rPr>
                <w:rFonts w:ascii="Arial Narrow" w:eastAsia="Calibri" w:hAnsi="Arial Narrow"/>
                <w:snapToGrid/>
                <w:sz w:val="20"/>
                <w:szCs w:val="22"/>
              </w:rPr>
            </w:pPr>
            <w:proofErr w:type="spellStart"/>
            <w:r w:rsidRPr="005E0DC9">
              <w:rPr>
                <w:rFonts w:ascii="Arial Narrow" w:eastAsia="Calibri" w:hAnsi="Arial Narrow"/>
                <w:snapToGrid/>
                <w:sz w:val="20"/>
                <w:szCs w:val="18"/>
              </w:rPr>
              <w:t>Ther</w:t>
            </w:r>
            <w:proofErr w:type="spellEnd"/>
            <w:r w:rsidRPr="005E0DC9">
              <w:rPr>
                <w:rFonts w:ascii="Arial Narrow" w:eastAsia="Calibri" w:hAnsi="Arial Narrow"/>
                <w:snapToGrid/>
                <w:sz w:val="20"/>
                <w:szCs w:val="18"/>
              </w:rPr>
              <w:t xml:space="preserve"> </w:t>
            </w:r>
            <w:proofErr w:type="spellStart"/>
            <w:r w:rsidRPr="005E0DC9">
              <w:rPr>
                <w:rFonts w:ascii="Arial Narrow" w:eastAsia="Calibri" w:hAnsi="Arial Narrow"/>
                <w:snapToGrid/>
                <w:sz w:val="20"/>
                <w:szCs w:val="18"/>
              </w:rPr>
              <w:t>Adv</w:t>
            </w:r>
            <w:proofErr w:type="spellEnd"/>
            <w:r w:rsidRPr="005E0DC9">
              <w:rPr>
                <w:rFonts w:ascii="Arial Narrow" w:eastAsia="Calibri" w:hAnsi="Arial Narrow"/>
                <w:snapToGrid/>
                <w:sz w:val="20"/>
                <w:szCs w:val="18"/>
              </w:rPr>
              <w:t xml:space="preserve"> in </w:t>
            </w:r>
            <w:proofErr w:type="spellStart"/>
            <w:r w:rsidRPr="005E0DC9">
              <w:rPr>
                <w:rFonts w:ascii="Arial Narrow" w:eastAsia="Calibri" w:hAnsi="Arial Narrow"/>
                <w:snapToGrid/>
                <w:sz w:val="20"/>
                <w:szCs w:val="18"/>
              </w:rPr>
              <w:t>Hematol</w:t>
            </w:r>
            <w:proofErr w:type="spellEnd"/>
            <w:r w:rsidRPr="005E0DC9">
              <w:rPr>
                <w:rFonts w:ascii="Arial Narrow" w:eastAsia="Calibri" w:hAnsi="Arial Narrow"/>
                <w:snapToGrid/>
                <w:sz w:val="20"/>
                <w:szCs w:val="18"/>
              </w:rPr>
              <w:t xml:space="preserve"> 2016; 7(4): 222-230.</w:t>
            </w:r>
          </w:p>
        </w:tc>
      </w:tr>
    </w:tbl>
    <w:p w:rsidR="00610C73" w:rsidRPr="005E0DC9" w:rsidRDefault="00610C73" w:rsidP="00610C73">
      <w:pPr>
        <w:tabs>
          <w:tab w:val="left" w:pos="142"/>
        </w:tabs>
        <w:spacing w:after="120"/>
        <w:contextualSpacing/>
        <w:rPr>
          <w:rFonts w:ascii="Arial Narrow" w:hAnsi="Arial Narrow"/>
          <w:sz w:val="18"/>
        </w:rPr>
      </w:pPr>
      <w:proofErr w:type="gramStart"/>
      <w:r w:rsidRPr="005E0DC9">
        <w:rPr>
          <w:rFonts w:ascii="Arial Narrow" w:hAnsi="Arial Narrow"/>
          <w:sz w:val="18"/>
          <w:szCs w:val="18"/>
          <w:vertAlign w:val="superscript"/>
        </w:rPr>
        <w:t>a</w:t>
      </w:r>
      <w:proofErr w:type="gramEnd"/>
      <w:r w:rsidRPr="005E0DC9">
        <w:rPr>
          <w:rFonts w:ascii="Arial Narrow" w:hAnsi="Arial Narrow"/>
          <w:sz w:val="18"/>
          <w:szCs w:val="18"/>
          <w:vertAlign w:val="superscript"/>
        </w:rPr>
        <w:tab/>
      </w:r>
      <w:r w:rsidRPr="005E0DC9">
        <w:rPr>
          <w:rFonts w:ascii="Arial Narrow" w:hAnsi="Arial Narrow"/>
          <w:sz w:val="18"/>
          <w:szCs w:val="18"/>
        </w:rPr>
        <w:t>The submission also lists a trial protocol and supplementary appendix with the same citation as this paper.</w:t>
      </w:r>
    </w:p>
    <w:p w:rsidR="00610C73" w:rsidRPr="005E0DC9" w:rsidRDefault="00610C73" w:rsidP="00610C73">
      <w:pPr>
        <w:spacing w:after="120"/>
        <w:contextualSpacing/>
        <w:rPr>
          <w:rFonts w:ascii="Arial Narrow" w:hAnsi="Arial Narrow"/>
          <w:sz w:val="18"/>
        </w:rPr>
      </w:pPr>
      <w:r w:rsidRPr="005E0DC9">
        <w:rPr>
          <w:rFonts w:ascii="Arial Narrow" w:hAnsi="Arial Narrow"/>
          <w:sz w:val="18"/>
        </w:rPr>
        <w:t xml:space="preserve">Source: Table B11.7, p11-13 of Section </w:t>
      </w:r>
      <w:proofErr w:type="spellStart"/>
      <w:r w:rsidRPr="005E0DC9">
        <w:rPr>
          <w:rFonts w:ascii="Arial Narrow" w:hAnsi="Arial Narrow"/>
          <w:sz w:val="18"/>
        </w:rPr>
        <w:t>Bii</w:t>
      </w:r>
      <w:proofErr w:type="spellEnd"/>
      <w:r w:rsidRPr="005E0DC9">
        <w:rPr>
          <w:rFonts w:ascii="Arial Narrow" w:hAnsi="Arial Narrow"/>
          <w:sz w:val="18"/>
        </w:rPr>
        <w:t xml:space="preserve"> of the submission.</w:t>
      </w:r>
    </w:p>
    <w:p w:rsidR="00EB2A96" w:rsidRPr="005E0DC9" w:rsidRDefault="00EB2A96" w:rsidP="00610C73">
      <w:pPr>
        <w:spacing w:after="120"/>
        <w:contextualSpacing/>
        <w:rPr>
          <w:rFonts w:ascii="Arial Narrow" w:hAnsi="Arial Narrow"/>
          <w:sz w:val="18"/>
        </w:rPr>
      </w:pPr>
    </w:p>
    <w:p w:rsidR="00610C73" w:rsidRPr="005E0DC9" w:rsidRDefault="00610C73"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key features of the randomised trials used in the indirect comparisons are summarised in the table below.  </w:t>
      </w:r>
    </w:p>
    <w:p w:rsidR="00610C73" w:rsidRPr="005E0DC9" w:rsidRDefault="00610C73" w:rsidP="00610C73">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Table 3: Key features of the included evidence – indirect comparisons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33"/>
        <w:gridCol w:w="427"/>
        <w:gridCol w:w="1691"/>
        <w:gridCol w:w="701"/>
        <w:gridCol w:w="2439"/>
        <w:gridCol w:w="908"/>
        <w:gridCol w:w="1480"/>
      </w:tblGrid>
      <w:tr w:rsidR="00610C73" w:rsidRPr="005E0DC9" w:rsidTr="00656000">
        <w:trPr>
          <w:tblHeader/>
        </w:trPr>
        <w:tc>
          <w:tcPr>
            <w:tcW w:w="790" w:type="pct"/>
            <w:shd w:val="clear" w:color="auto" w:fill="auto"/>
            <w:vAlign w:val="center"/>
          </w:tcPr>
          <w:p w:rsidR="00610C73" w:rsidRPr="005E0DC9" w:rsidRDefault="00610C73" w:rsidP="00610C73">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Trial</w:t>
            </w:r>
          </w:p>
        </w:tc>
        <w:tc>
          <w:tcPr>
            <w:tcW w:w="235" w:type="pct"/>
            <w:shd w:val="clear" w:color="auto" w:fill="auto"/>
            <w:vAlign w:val="center"/>
          </w:tcPr>
          <w:p w:rsidR="00610C73" w:rsidRPr="005E0DC9" w:rsidRDefault="00610C73" w:rsidP="00610C73">
            <w:pPr>
              <w:keepNext/>
              <w:widowControl/>
              <w:jc w:val="center"/>
              <w:rPr>
                <w:rFonts w:ascii="Arial Narrow" w:eastAsia="Calibri" w:hAnsi="Arial Narrow"/>
                <w:b/>
                <w:snapToGrid/>
                <w:sz w:val="20"/>
                <w:szCs w:val="22"/>
              </w:rPr>
            </w:pPr>
            <w:r w:rsidRPr="005E0DC9">
              <w:rPr>
                <w:rFonts w:ascii="Arial Narrow" w:eastAsia="Calibri" w:hAnsi="Arial Narrow"/>
                <w:b/>
                <w:snapToGrid/>
                <w:sz w:val="20"/>
                <w:szCs w:val="22"/>
              </w:rPr>
              <w:t>N</w:t>
            </w:r>
          </w:p>
        </w:tc>
        <w:tc>
          <w:tcPr>
            <w:tcW w:w="931" w:type="pct"/>
            <w:shd w:val="clear" w:color="auto" w:fill="auto"/>
            <w:vAlign w:val="center"/>
          </w:tcPr>
          <w:p w:rsidR="00610C73" w:rsidRPr="005E0DC9" w:rsidRDefault="00610C73" w:rsidP="00610C73">
            <w:pPr>
              <w:keepNext/>
              <w:widowControl/>
              <w:jc w:val="center"/>
              <w:rPr>
                <w:rFonts w:ascii="Arial Narrow" w:eastAsia="Calibri" w:hAnsi="Arial Narrow"/>
                <w:b/>
                <w:snapToGrid/>
                <w:sz w:val="20"/>
                <w:szCs w:val="22"/>
              </w:rPr>
            </w:pPr>
            <w:r w:rsidRPr="005E0DC9">
              <w:rPr>
                <w:rFonts w:ascii="Arial Narrow" w:eastAsia="Calibri" w:hAnsi="Arial Narrow"/>
                <w:b/>
                <w:snapToGrid/>
                <w:sz w:val="20"/>
                <w:szCs w:val="22"/>
              </w:rPr>
              <w:t>Design/ duration of follow-up</w:t>
            </w:r>
          </w:p>
        </w:tc>
        <w:tc>
          <w:tcPr>
            <w:tcW w:w="386" w:type="pct"/>
            <w:shd w:val="clear" w:color="auto" w:fill="auto"/>
            <w:vAlign w:val="center"/>
          </w:tcPr>
          <w:p w:rsidR="00610C73" w:rsidRPr="005E0DC9" w:rsidRDefault="00610C73" w:rsidP="00610C73">
            <w:pPr>
              <w:keepNext/>
              <w:widowControl/>
              <w:jc w:val="center"/>
              <w:rPr>
                <w:rFonts w:ascii="Arial Narrow" w:eastAsia="Calibri" w:hAnsi="Arial Narrow"/>
                <w:b/>
                <w:snapToGrid/>
                <w:sz w:val="20"/>
                <w:szCs w:val="22"/>
              </w:rPr>
            </w:pPr>
            <w:r w:rsidRPr="005E0DC9">
              <w:rPr>
                <w:rFonts w:ascii="Arial Narrow" w:eastAsia="Calibri" w:hAnsi="Arial Narrow"/>
                <w:b/>
                <w:snapToGrid/>
                <w:sz w:val="20"/>
                <w:szCs w:val="22"/>
              </w:rPr>
              <w:t>Risk of bias</w:t>
            </w:r>
          </w:p>
        </w:tc>
        <w:tc>
          <w:tcPr>
            <w:tcW w:w="1343" w:type="pct"/>
            <w:shd w:val="clear" w:color="auto" w:fill="auto"/>
            <w:vAlign w:val="center"/>
          </w:tcPr>
          <w:p w:rsidR="00610C73" w:rsidRPr="005E0DC9" w:rsidRDefault="00610C73" w:rsidP="00610C73">
            <w:pPr>
              <w:keepNext/>
              <w:widowControl/>
              <w:jc w:val="center"/>
              <w:rPr>
                <w:rFonts w:ascii="Arial Narrow" w:eastAsia="Calibri" w:hAnsi="Arial Narrow"/>
                <w:b/>
                <w:snapToGrid/>
                <w:sz w:val="20"/>
                <w:szCs w:val="22"/>
              </w:rPr>
            </w:pPr>
            <w:r w:rsidRPr="005E0DC9">
              <w:rPr>
                <w:rFonts w:ascii="Arial Narrow" w:eastAsia="Calibri" w:hAnsi="Arial Narrow"/>
                <w:b/>
                <w:snapToGrid/>
                <w:sz w:val="20"/>
                <w:szCs w:val="22"/>
              </w:rPr>
              <w:t>Patient population</w:t>
            </w:r>
          </w:p>
        </w:tc>
        <w:tc>
          <w:tcPr>
            <w:tcW w:w="500" w:type="pct"/>
            <w:shd w:val="clear" w:color="auto" w:fill="auto"/>
            <w:vAlign w:val="center"/>
          </w:tcPr>
          <w:p w:rsidR="00610C73" w:rsidRPr="005E0DC9" w:rsidRDefault="00610C73" w:rsidP="00610C73">
            <w:pPr>
              <w:keepNext/>
              <w:widowControl/>
              <w:jc w:val="center"/>
              <w:rPr>
                <w:rFonts w:ascii="Arial Narrow" w:eastAsia="Calibri" w:hAnsi="Arial Narrow"/>
                <w:b/>
                <w:snapToGrid/>
                <w:sz w:val="20"/>
                <w:szCs w:val="22"/>
              </w:rPr>
            </w:pPr>
            <w:r w:rsidRPr="005E0DC9">
              <w:rPr>
                <w:rFonts w:ascii="Arial Narrow" w:eastAsia="Calibri" w:hAnsi="Arial Narrow"/>
                <w:b/>
                <w:snapToGrid/>
                <w:sz w:val="20"/>
                <w:szCs w:val="22"/>
              </w:rPr>
              <w:t>Outcomes</w:t>
            </w:r>
          </w:p>
        </w:tc>
        <w:tc>
          <w:tcPr>
            <w:tcW w:w="815" w:type="pct"/>
            <w:shd w:val="clear" w:color="auto" w:fill="auto"/>
            <w:vAlign w:val="center"/>
          </w:tcPr>
          <w:p w:rsidR="00610C73" w:rsidRPr="005E0DC9" w:rsidRDefault="00610C73" w:rsidP="00610C73">
            <w:pPr>
              <w:keepNext/>
              <w:widowControl/>
              <w:jc w:val="center"/>
              <w:rPr>
                <w:rFonts w:ascii="Arial Narrow" w:eastAsia="Calibri" w:hAnsi="Arial Narrow"/>
                <w:b/>
                <w:snapToGrid/>
                <w:sz w:val="20"/>
                <w:szCs w:val="22"/>
              </w:rPr>
            </w:pPr>
            <w:r w:rsidRPr="005E0DC9">
              <w:rPr>
                <w:rFonts w:ascii="Arial Narrow" w:eastAsia="Calibri" w:hAnsi="Arial Narrow"/>
                <w:b/>
                <w:snapToGrid/>
                <w:sz w:val="20"/>
                <w:szCs w:val="22"/>
              </w:rPr>
              <w:t>Use in modelled evaluation</w:t>
            </w:r>
          </w:p>
        </w:tc>
      </w:tr>
      <w:tr w:rsidR="00610C73" w:rsidRPr="005E0DC9" w:rsidTr="00656000">
        <w:tc>
          <w:tcPr>
            <w:tcW w:w="5000" w:type="pct"/>
            <w:gridSpan w:val="7"/>
            <w:shd w:val="clear" w:color="auto" w:fill="auto"/>
            <w:vAlign w:val="center"/>
          </w:tcPr>
          <w:p w:rsidR="00610C73" w:rsidRPr="005E0DC9" w:rsidRDefault="00610C73" w:rsidP="00610C73">
            <w:pPr>
              <w:keepNext/>
              <w:widowControl/>
              <w:jc w:val="left"/>
              <w:rPr>
                <w:rFonts w:ascii="Arial Narrow" w:eastAsia="Calibri" w:hAnsi="Arial Narrow"/>
                <w:snapToGrid/>
                <w:sz w:val="20"/>
                <w:szCs w:val="22"/>
              </w:rPr>
            </w:pPr>
            <w:proofErr w:type="spellStart"/>
            <w:r w:rsidRPr="005E0DC9">
              <w:rPr>
                <w:rFonts w:ascii="Arial Narrow" w:eastAsia="Calibri" w:hAnsi="Arial Narrow"/>
                <w:snapToGrid/>
                <w:sz w:val="20"/>
                <w:szCs w:val="22"/>
              </w:rPr>
              <w:t>Ibrutinib</w:t>
            </w:r>
            <w:proofErr w:type="spellEnd"/>
            <w:r w:rsidRPr="005E0DC9">
              <w:rPr>
                <w:rFonts w:ascii="Arial Narrow" w:eastAsia="Calibri" w:hAnsi="Arial Narrow"/>
                <w:snapToGrid/>
                <w:sz w:val="20"/>
                <w:szCs w:val="22"/>
              </w:rPr>
              <w:t xml:space="preserve"> vs. </w:t>
            </w:r>
            <w:proofErr w:type="spellStart"/>
            <w:r w:rsidRPr="005E0DC9">
              <w:rPr>
                <w:rFonts w:ascii="Arial Narrow" w:eastAsia="Calibri" w:hAnsi="Arial Narrow"/>
                <w:snapToGrid/>
                <w:sz w:val="20"/>
                <w:szCs w:val="22"/>
              </w:rPr>
              <w:t>chlorambucil</w:t>
            </w:r>
            <w:proofErr w:type="spellEnd"/>
          </w:p>
        </w:tc>
      </w:tr>
      <w:tr w:rsidR="00610C73" w:rsidRPr="005E0DC9" w:rsidTr="00656000">
        <w:tc>
          <w:tcPr>
            <w:tcW w:w="790" w:type="pct"/>
            <w:shd w:val="clear" w:color="auto" w:fill="auto"/>
            <w:vAlign w:val="center"/>
          </w:tcPr>
          <w:p w:rsidR="00610C73" w:rsidRPr="005E0DC9" w:rsidRDefault="00610C73" w:rsidP="00610C73">
            <w:pPr>
              <w:keepNext/>
              <w:widowControl/>
              <w:jc w:val="left"/>
              <w:rPr>
                <w:rFonts w:ascii="Times" w:hAnsi="Times" w:cs="Times New Roman"/>
                <w:snapToGrid/>
                <w:sz w:val="20"/>
                <w:szCs w:val="22"/>
              </w:rPr>
            </w:pPr>
            <w:r w:rsidRPr="005E0DC9">
              <w:rPr>
                <w:rFonts w:ascii="Arial Narrow" w:eastAsia="Calibri" w:hAnsi="Arial Narrow"/>
                <w:snapToGrid/>
                <w:sz w:val="20"/>
                <w:szCs w:val="22"/>
              </w:rPr>
              <w:t>RESONATE-2</w:t>
            </w:r>
          </w:p>
        </w:tc>
        <w:tc>
          <w:tcPr>
            <w:tcW w:w="235" w:type="pct"/>
            <w:shd w:val="clear" w:color="auto" w:fill="auto"/>
            <w:vAlign w:val="center"/>
          </w:tcPr>
          <w:p w:rsidR="00610C73" w:rsidRPr="005E0DC9" w:rsidRDefault="00610C73" w:rsidP="00610C73">
            <w:pPr>
              <w:keepNext/>
              <w:widowControl/>
              <w:jc w:val="center"/>
              <w:rPr>
                <w:rFonts w:ascii="Times" w:hAnsi="Times" w:cs="Times New Roman"/>
                <w:snapToGrid/>
                <w:sz w:val="20"/>
                <w:szCs w:val="22"/>
              </w:rPr>
            </w:pPr>
            <w:r w:rsidRPr="005E0DC9">
              <w:rPr>
                <w:rFonts w:ascii="Arial Narrow" w:eastAsia="Calibri" w:hAnsi="Arial Narrow"/>
                <w:snapToGrid/>
                <w:sz w:val="20"/>
                <w:szCs w:val="22"/>
              </w:rPr>
              <w:t>269</w:t>
            </w:r>
          </w:p>
        </w:tc>
        <w:tc>
          <w:tcPr>
            <w:tcW w:w="931" w:type="pct"/>
            <w:shd w:val="clear" w:color="auto" w:fill="auto"/>
            <w:vAlign w:val="center"/>
          </w:tcPr>
          <w:p w:rsidR="00610C73" w:rsidRPr="005E0DC9" w:rsidRDefault="00610C73" w:rsidP="00610C73">
            <w:pPr>
              <w:keepNext/>
              <w:widowControl/>
              <w:jc w:val="left"/>
              <w:rPr>
                <w:rFonts w:ascii="Times" w:hAnsi="Times" w:cs="Times New Roman"/>
                <w:snapToGrid/>
                <w:sz w:val="20"/>
                <w:szCs w:val="22"/>
              </w:rPr>
            </w:pPr>
            <w:r w:rsidRPr="005E0DC9">
              <w:rPr>
                <w:rFonts w:ascii="Arial Narrow" w:eastAsia="Calibri" w:hAnsi="Arial Narrow"/>
                <w:snapToGrid/>
                <w:sz w:val="20"/>
                <w:szCs w:val="22"/>
              </w:rPr>
              <w:t>R, OL, MC</w:t>
            </w:r>
          </w:p>
          <w:p w:rsidR="00610C73" w:rsidRPr="005E0DC9" w:rsidRDefault="00610C73" w:rsidP="00610C73">
            <w:pPr>
              <w:keepNext/>
              <w:widowControl/>
              <w:jc w:val="left"/>
              <w:rPr>
                <w:rFonts w:ascii="Times" w:hAnsi="Times" w:cs="Times New Roman"/>
                <w:snapToGrid/>
                <w:sz w:val="20"/>
                <w:szCs w:val="22"/>
              </w:rPr>
            </w:pPr>
            <w:r w:rsidRPr="005E0DC9">
              <w:rPr>
                <w:rFonts w:ascii="Arial Narrow" w:eastAsia="Calibri" w:hAnsi="Arial Narrow"/>
                <w:snapToGrid/>
                <w:sz w:val="20"/>
                <w:szCs w:val="22"/>
              </w:rPr>
              <w:t xml:space="preserve">Median 18.4 </w:t>
            </w:r>
            <w:proofErr w:type="spellStart"/>
            <w:r w:rsidRPr="005E0DC9">
              <w:rPr>
                <w:rFonts w:ascii="Arial Narrow" w:eastAsia="Calibri" w:hAnsi="Arial Narrow"/>
                <w:snapToGrid/>
                <w:sz w:val="20"/>
                <w:szCs w:val="22"/>
              </w:rPr>
              <w:t>mths</w:t>
            </w:r>
            <w:proofErr w:type="spellEnd"/>
          </w:p>
        </w:tc>
        <w:tc>
          <w:tcPr>
            <w:tcW w:w="386" w:type="pct"/>
            <w:shd w:val="clear" w:color="auto" w:fill="auto"/>
            <w:vAlign w:val="center"/>
          </w:tcPr>
          <w:p w:rsidR="00610C73" w:rsidRPr="005E0DC9" w:rsidRDefault="00610C73" w:rsidP="00610C73">
            <w:pPr>
              <w:keepNext/>
              <w:widowControl/>
              <w:jc w:val="center"/>
              <w:rPr>
                <w:rFonts w:ascii="Times" w:hAnsi="Times" w:cs="Times New Roman"/>
                <w:snapToGrid/>
                <w:sz w:val="20"/>
                <w:szCs w:val="22"/>
              </w:rPr>
            </w:pPr>
            <w:r w:rsidRPr="005E0DC9">
              <w:rPr>
                <w:rFonts w:ascii="Arial Narrow" w:eastAsia="Calibri" w:hAnsi="Arial Narrow"/>
                <w:snapToGrid/>
                <w:sz w:val="20"/>
                <w:szCs w:val="22"/>
              </w:rPr>
              <w:t>Unclear</w:t>
            </w:r>
          </w:p>
        </w:tc>
        <w:tc>
          <w:tcPr>
            <w:tcW w:w="1343" w:type="pct"/>
            <w:shd w:val="clear" w:color="auto" w:fill="auto"/>
            <w:vAlign w:val="center"/>
          </w:tcPr>
          <w:p w:rsidR="00610C73" w:rsidRPr="005E0DC9" w:rsidRDefault="00610C73" w:rsidP="00610C73">
            <w:pPr>
              <w:keepNext/>
              <w:widowControl/>
              <w:jc w:val="left"/>
              <w:rPr>
                <w:rFonts w:ascii="Arial Narrow" w:eastAsia="SimSun" w:hAnsi="Arial Narrow"/>
                <w:snapToGrid/>
                <w:sz w:val="20"/>
                <w:szCs w:val="18"/>
                <w:lang w:eastAsia="zh-CN"/>
              </w:rPr>
            </w:pPr>
            <w:r w:rsidRPr="005E0DC9">
              <w:rPr>
                <w:rFonts w:ascii="Arial Narrow" w:hAnsi="Arial Narrow" w:cs="Arial Narrow"/>
                <w:snapToGrid/>
                <w:sz w:val="20"/>
              </w:rPr>
              <w:t>≥65 years; p</w:t>
            </w:r>
            <w:r w:rsidRPr="005E0DC9">
              <w:rPr>
                <w:rFonts w:ascii="Arial Narrow" w:eastAsia="SimSun" w:hAnsi="Arial Narrow"/>
                <w:snapToGrid/>
                <w:sz w:val="20"/>
                <w:szCs w:val="18"/>
                <w:lang w:eastAsia="zh-CN"/>
              </w:rPr>
              <w:t xml:space="preserve">reviously untreated CLL/SLL with comorbidities excluding use of </w:t>
            </w:r>
            <w:proofErr w:type="spellStart"/>
            <w:r w:rsidRPr="005E0DC9">
              <w:rPr>
                <w:rFonts w:ascii="Arial Narrow" w:eastAsia="SimSun" w:hAnsi="Arial Narrow"/>
                <w:snapToGrid/>
                <w:sz w:val="20"/>
                <w:szCs w:val="18"/>
                <w:lang w:eastAsia="zh-CN"/>
              </w:rPr>
              <w:t>fludarabine</w:t>
            </w:r>
            <w:proofErr w:type="spellEnd"/>
            <w:r w:rsidRPr="005E0DC9">
              <w:rPr>
                <w:rFonts w:ascii="Arial Narrow" w:eastAsia="SimSun" w:hAnsi="Arial Narrow"/>
                <w:snapToGrid/>
                <w:sz w:val="20"/>
                <w:szCs w:val="18"/>
                <w:lang w:eastAsia="zh-CN"/>
              </w:rPr>
              <w:t>.</w:t>
            </w:r>
          </w:p>
        </w:tc>
        <w:tc>
          <w:tcPr>
            <w:tcW w:w="500" w:type="pct"/>
            <w:shd w:val="clear" w:color="auto" w:fill="auto"/>
            <w:vAlign w:val="center"/>
          </w:tcPr>
          <w:p w:rsidR="00610C73" w:rsidRPr="005E0DC9" w:rsidRDefault="00610C73" w:rsidP="00610C73">
            <w:pPr>
              <w:keepNext/>
              <w:widowControl/>
              <w:jc w:val="left"/>
              <w:rPr>
                <w:rFonts w:ascii="Times" w:hAnsi="Times" w:cs="Times New Roman"/>
                <w:snapToGrid/>
                <w:sz w:val="20"/>
                <w:szCs w:val="22"/>
              </w:rPr>
            </w:pPr>
            <w:r w:rsidRPr="005E0DC9">
              <w:rPr>
                <w:rFonts w:ascii="Arial Narrow" w:eastAsia="Calibri" w:hAnsi="Arial Narrow"/>
                <w:snapToGrid/>
                <w:sz w:val="20"/>
                <w:szCs w:val="22"/>
              </w:rPr>
              <w:t>PFS, OS</w:t>
            </w:r>
          </w:p>
        </w:tc>
        <w:tc>
          <w:tcPr>
            <w:tcW w:w="815" w:type="pct"/>
            <w:shd w:val="clear" w:color="auto" w:fill="auto"/>
            <w:vAlign w:val="center"/>
          </w:tcPr>
          <w:p w:rsidR="00610C73" w:rsidRPr="005E0DC9" w:rsidRDefault="00610C73" w:rsidP="00610C73">
            <w:pPr>
              <w:keepNext/>
              <w:widowControl/>
              <w:jc w:val="left"/>
              <w:rPr>
                <w:rFonts w:ascii="Times" w:hAnsi="Times" w:cs="Times New Roman"/>
                <w:snapToGrid/>
                <w:sz w:val="20"/>
                <w:szCs w:val="22"/>
              </w:rPr>
            </w:pPr>
            <w:r w:rsidRPr="005E0DC9">
              <w:rPr>
                <w:rFonts w:ascii="Arial Narrow" w:eastAsia="Calibri" w:hAnsi="Arial Narrow"/>
                <w:snapToGrid/>
                <w:sz w:val="20"/>
                <w:szCs w:val="22"/>
              </w:rPr>
              <w:t>Survival gain; proportion with AEs</w:t>
            </w:r>
          </w:p>
        </w:tc>
      </w:tr>
      <w:tr w:rsidR="00610C73" w:rsidRPr="005E0DC9" w:rsidTr="00656000">
        <w:tc>
          <w:tcPr>
            <w:tcW w:w="5000" w:type="pct"/>
            <w:gridSpan w:val="7"/>
            <w:shd w:val="clear" w:color="auto" w:fill="auto"/>
            <w:vAlign w:val="center"/>
          </w:tcPr>
          <w:p w:rsidR="00610C73" w:rsidRPr="005E0DC9" w:rsidRDefault="00610C73" w:rsidP="00610C73">
            <w:pPr>
              <w:keepNext/>
              <w:widowControl/>
              <w:jc w:val="left"/>
              <w:rPr>
                <w:rFonts w:ascii="Times" w:hAnsi="Times" w:cs="Times New Roman"/>
                <w:snapToGrid/>
                <w:sz w:val="20"/>
                <w:szCs w:val="22"/>
              </w:rPr>
            </w:pPr>
            <w:proofErr w:type="spellStart"/>
            <w:r w:rsidRPr="005E0DC9">
              <w:rPr>
                <w:rFonts w:ascii="Arial Narrow" w:eastAsia="Calibri" w:hAnsi="Arial Narrow"/>
                <w:snapToGrid/>
                <w:sz w:val="20"/>
                <w:szCs w:val="22"/>
              </w:rPr>
              <w:t>Rituximab+chlorambucil</w:t>
            </w:r>
            <w:proofErr w:type="spellEnd"/>
            <w:r w:rsidRPr="005E0DC9">
              <w:rPr>
                <w:rFonts w:ascii="Arial Narrow" w:eastAsia="Calibri" w:hAnsi="Arial Narrow"/>
                <w:snapToGrid/>
                <w:sz w:val="20"/>
                <w:szCs w:val="22"/>
              </w:rPr>
              <w:t xml:space="preserve"> (</w:t>
            </w:r>
            <w:proofErr w:type="spellStart"/>
            <w:r w:rsidRPr="005E0DC9">
              <w:rPr>
                <w:rFonts w:ascii="Arial Narrow" w:eastAsia="Calibri" w:hAnsi="Arial Narrow"/>
                <w:snapToGrid/>
                <w:sz w:val="20"/>
                <w:szCs w:val="22"/>
              </w:rPr>
              <w:t>ritux+chl</w:t>
            </w:r>
            <w:proofErr w:type="spellEnd"/>
            <w:r w:rsidRPr="005E0DC9">
              <w:rPr>
                <w:rFonts w:ascii="Arial Narrow" w:eastAsia="Calibri" w:hAnsi="Arial Narrow"/>
                <w:snapToGrid/>
                <w:sz w:val="20"/>
                <w:szCs w:val="22"/>
              </w:rPr>
              <w:t xml:space="preserve">) vs. </w:t>
            </w:r>
            <w:proofErr w:type="spellStart"/>
            <w:r w:rsidRPr="005E0DC9">
              <w:rPr>
                <w:rFonts w:ascii="Arial Narrow" w:eastAsia="Calibri" w:hAnsi="Arial Narrow"/>
                <w:snapToGrid/>
                <w:sz w:val="20"/>
                <w:szCs w:val="22"/>
              </w:rPr>
              <w:t>chlorambucil</w:t>
            </w:r>
            <w:proofErr w:type="spellEnd"/>
            <w:r w:rsidRPr="005E0DC9">
              <w:rPr>
                <w:rFonts w:ascii="Arial Narrow" w:eastAsia="Calibri" w:hAnsi="Arial Narrow"/>
                <w:snapToGrid/>
                <w:sz w:val="20"/>
                <w:szCs w:val="22"/>
              </w:rPr>
              <w:t xml:space="preserve">; </w:t>
            </w:r>
            <w:proofErr w:type="spellStart"/>
            <w:r w:rsidRPr="005E0DC9">
              <w:rPr>
                <w:rFonts w:ascii="Arial Narrow" w:eastAsia="Calibri" w:hAnsi="Arial Narrow"/>
                <w:snapToGrid/>
                <w:sz w:val="20"/>
                <w:szCs w:val="22"/>
              </w:rPr>
              <w:t>obinutuzumab+chlorambucil</w:t>
            </w:r>
            <w:proofErr w:type="spellEnd"/>
            <w:r w:rsidRPr="005E0DC9">
              <w:rPr>
                <w:rFonts w:ascii="Arial Narrow" w:eastAsia="Calibri" w:hAnsi="Arial Narrow"/>
                <w:snapToGrid/>
                <w:sz w:val="20"/>
                <w:szCs w:val="22"/>
              </w:rPr>
              <w:t xml:space="preserve"> (</w:t>
            </w:r>
            <w:proofErr w:type="spellStart"/>
            <w:r w:rsidRPr="005E0DC9">
              <w:rPr>
                <w:rFonts w:ascii="Arial Narrow" w:eastAsia="Calibri" w:hAnsi="Arial Narrow"/>
                <w:snapToGrid/>
                <w:sz w:val="20"/>
                <w:szCs w:val="22"/>
              </w:rPr>
              <w:t>obi+chl</w:t>
            </w:r>
            <w:proofErr w:type="spellEnd"/>
            <w:r w:rsidRPr="005E0DC9">
              <w:rPr>
                <w:rFonts w:ascii="Arial Narrow" w:eastAsia="Calibri" w:hAnsi="Arial Narrow"/>
                <w:snapToGrid/>
                <w:sz w:val="20"/>
                <w:szCs w:val="22"/>
              </w:rPr>
              <w:t xml:space="preserve">) vs. </w:t>
            </w:r>
            <w:proofErr w:type="spellStart"/>
            <w:r w:rsidRPr="005E0DC9">
              <w:rPr>
                <w:rFonts w:ascii="Arial Narrow" w:eastAsia="Calibri" w:hAnsi="Arial Narrow"/>
                <w:snapToGrid/>
                <w:sz w:val="20"/>
                <w:szCs w:val="22"/>
              </w:rPr>
              <w:t>chlorambucil</w:t>
            </w:r>
            <w:proofErr w:type="spellEnd"/>
          </w:p>
        </w:tc>
      </w:tr>
      <w:tr w:rsidR="00610C73" w:rsidRPr="005E0DC9" w:rsidTr="00656000">
        <w:tc>
          <w:tcPr>
            <w:tcW w:w="790" w:type="pct"/>
            <w:shd w:val="clear" w:color="auto" w:fill="auto"/>
            <w:vAlign w:val="center"/>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CLL11</w:t>
            </w:r>
          </w:p>
        </w:tc>
        <w:tc>
          <w:tcPr>
            <w:tcW w:w="235" w:type="pct"/>
            <w:shd w:val="clear" w:color="auto" w:fill="auto"/>
            <w:vAlign w:val="center"/>
          </w:tcPr>
          <w:p w:rsidR="00610C73" w:rsidRPr="005E0DC9" w:rsidRDefault="00610C73" w:rsidP="00610C73">
            <w:pPr>
              <w:keepNext/>
              <w:widowControl/>
              <w:jc w:val="center"/>
              <w:rPr>
                <w:rFonts w:ascii="Arial Narrow" w:eastAsia="Calibri" w:hAnsi="Arial Narrow"/>
                <w:snapToGrid/>
                <w:sz w:val="20"/>
                <w:szCs w:val="22"/>
              </w:rPr>
            </w:pPr>
            <w:r w:rsidRPr="005E0DC9">
              <w:rPr>
                <w:rFonts w:ascii="Arial Narrow" w:eastAsia="Calibri" w:hAnsi="Arial Narrow"/>
                <w:snapToGrid/>
                <w:sz w:val="20"/>
                <w:szCs w:val="22"/>
              </w:rPr>
              <w:t>589</w:t>
            </w:r>
          </w:p>
        </w:tc>
        <w:tc>
          <w:tcPr>
            <w:tcW w:w="931" w:type="pct"/>
            <w:shd w:val="clear" w:color="auto" w:fill="auto"/>
            <w:vAlign w:val="center"/>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R, OL, MC</w:t>
            </w:r>
          </w:p>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 xml:space="preserve">Median 14.5 </w:t>
            </w:r>
            <w:proofErr w:type="spellStart"/>
            <w:r w:rsidRPr="005E0DC9">
              <w:rPr>
                <w:rFonts w:ascii="Arial Narrow" w:eastAsia="Calibri" w:hAnsi="Arial Narrow"/>
                <w:snapToGrid/>
                <w:sz w:val="20"/>
                <w:szCs w:val="22"/>
              </w:rPr>
              <w:t>mths</w:t>
            </w:r>
            <w:proofErr w:type="spellEnd"/>
            <w:r w:rsidRPr="005E0DC9">
              <w:rPr>
                <w:rFonts w:ascii="Arial Narrow" w:eastAsia="Calibri" w:hAnsi="Arial Narrow"/>
                <w:snapToGrid/>
                <w:sz w:val="20"/>
                <w:szCs w:val="22"/>
              </w:rPr>
              <w:t xml:space="preserve"> </w:t>
            </w:r>
            <w:proofErr w:type="spellStart"/>
            <w:r w:rsidRPr="005E0DC9">
              <w:rPr>
                <w:rFonts w:ascii="Arial Narrow" w:eastAsia="Calibri" w:hAnsi="Arial Narrow"/>
                <w:snapToGrid/>
                <w:sz w:val="20"/>
                <w:szCs w:val="22"/>
              </w:rPr>
              <w:t>obi+chl</w:t>
            </w:r>
            <w:proofErr w:type="spellEnd"/>
            <w:r w:rsidRPr="005E0DC9">
              <w:rPr>
                <w:rFonts w:ascii="Arial Narrow" w:eastAsia="Calibri" w:hAnsi="Arial Narrow"/>
                <w:snapToGrid/>
                <w:sz w:val="20"/>
                <w:szCs w:val="22"/>
              </w:rPr>
              <w:t xml:space="preserve"> and 15.3 </w:t>
            </w:r>
            <w:proofErr w:type="spellStart"/>
            <w:r w:rsidRPr="005E0DC9">
              <w:rPr>
                <w:rFonts w:ascii="Arial Narrow" w:eastAsia="Calibri" w:hAnsi="Arial Narrow"/>
                <w:snapToGrid/>
                <w:sz w:val="20"/>
                <w:szCs w:val="22"/>
              </w:rPr>
              <w:t>mths</w:t>
            </w:r>
            <w:proofErr w:type="spellEnd"/>
            <w:r w:rsidRPr="005E0DC9">
              <w:rPr>
                <w:rFonts w:ascii="Arial Narrow" w:eastAsia="Calibri" w:hAnsi="Arial Narrow"/>
                <w:snapToGrid/>
                <w:sz w:val="20"/>
                <w:szCs w:val="22"/>
              </w:rPr>
              <w:t xml:space="preserve"> </w:t>
            </w:r>
            <w:proofErr w:type="spellStart"/>
            <w:r w:rsidRPr="005E0DC9">
              <w:rPr>
                <w:rFonts w:ascii="Arial Narrow" w:eastAsia="Calibri" w:hAnsi="Arial Narrow"/>
                <w:snapToGrid/>
                <w:sz w:val="20"/>
                <w:szCs w:val="22"/>
              </w:rPr>
              <w:t>ritux+chl</w:t>
            </w:r>
            <w:proofErr w:type="spellEnd"/>
          </w:p>
        </w:tc>
        <w:tc>
          <w:tcPr>
            <w:tcW w:w="386" w:type="pct"/>
            <w:shd w:val="clear" w:color="auto" w:fill="auto"/>
            <w:vAlign w:val="center"/>
          </w:tcPr>
          <w:p w:rsidR="00610C73" w:rsidRPr="005E0DC9" w:rsidRDefault="00610C73" w:rsidP="00610C73">
            <w:pPr>
              <w:keepNext/>
              <w:widowControl/>
              <w:jc w:val="center"/>
              <w:rPr>
                <w:rFonts w:ascii="Arial Narrow" w:eastAsia="Calibri" w:hAnsi="Arial Narrow"/>
                <w:snapToGrid/>
                <w:sz w:val="20"/>
                <w:szCs w:val="22"/>
              </w:rPr>
            </w:pPr>
            <w:r w:rsidRPr="005E0DC9">
              <w:rPr>
                <w:rFonts w:ascii="Arial Narrow" w:eastAsia="Calibri" w:hAnsi="Arial Narrow"/>
                <w:snapToGrid/>
                <w:sz w:val="20"/>
                <w:szCs w:val="22"/>
              </w:rPr>
              <w:t>Unclear</w:t>
            </w:r>
          </w:p>
        </w:tc>
        <w:tc>
          <w:tcPr>
            <w:tcW w:w="1343" w:type="pct"/>
            <w:shd w:val="clear" w:color="auto" w:fill="auto"/>
            <w:vAlign w:val="center"/>
          </w:tcPr>
          <w:p w:rsidR="00610C73" w:rsidRPr="005E0DC9" w:rsidRDefault="00610C73" w:rsidP="00610C73">
            <w:pPr>
              <w:keepNext/>
              <w:widowControl/>
              <w:jc w:val="left"/>
              <w:rPr>
                <w:rFonts w:ascii="Arial Narrow" w:eastAsia="SimSun" w:hAnsi="Arial Narrow"/>
                <w:snapToGrid/>
                <w:sz w:val="20"/>
                <w:szCs w:val="18"/>
                <w:lang w:eastAsia="zh-CN"/>
              </w:rPr>
            </w:pPr>
            <w:r w:rsidRPr="005E0DC9">
              <w:rPr>
                <w:rFonts w:ascii="Arial Narrow" w:eastAsia="Calibri" w:hAnsi="Arial Narrow"/>
                <w:snapToGrid/>
                <w:sz w:val="20"/>
                <w:szCs w:val="22"/>
              </w:rPr>
              <w:t xml:space="preserve">Previously untreated CLL </w:t>
            </w:r>
          </w:p>
          <w:p w:rsidR="00610C73" w:rsidRPr="005E0DC9" w:rsidRDefault="00610C73" w:rsidP="00610C73">
            <w:pPr>
              <w:keepNext/>
              <w:widowControl/>
              <w:jc w:val="left"/>
              <w:rPr>
                <w:rFonts w:ascii="Arial Narrow" w:eastAsia="Calibri" w:hAnsi="Arial Narrow"/>
                <w:snapToGrid/>
                <w:sz w:val="20"/>
                <w:szCs w:val="22"/>
              </w:rPr>
            </w:pPr>
            <w:proofErr w:type="gramStart"/>
            <w:r w:rsidRPr="005E0DC9">
              <w:rPr>
                <w:rFonts w:ascii="Arial Narrow" w:eastAsia="SimSun" w:hAnsi="Arial Narrow"/>
                <w:snapToGrid/>
                <w:sz w:val="20"/>
                <w:szCs w:val="18"/>
                <w:lang w:eastAsia="zh-CN"/>
              </w:rPr>
              <w:t>with</w:t>
            </w:r>
            <w:proofErr w:type="gramEnd"/>
            <w:r w:rsidRPr="005E0DC9">
              <w:rPr>
                <w:rFonts w:ascii="Arial Narrow" w:eastAsia="SimSun" w:hAnsi="Arial Narrow"/>
                <w:snapToGrid/>
                <w:sz w:val="20"/>
                <w:szCs w:val="18"/>
                <w:lang w:eastAsia="zh-CN"/>
              </w:rPr>
              <w:t xml:space="preserve"> comorbidities.</w:t>
            </w:r>
          </w:p>
        </w:tc>
        <w:tc>
          <w:tcPr>
            <w:tcW w:w="500" w:type="pct"/>
            <w:shd w:val="clear" w:color="auto" w:fill="auto"/>
            <w:vAlign w:val="center"/>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PFS, OS</w:t>
            </w:r>
          </w:p>
        </w:tc>
        <w:tc>
          <w:tcPr>
            <w:tcW w:w="815" w:type="pct"/>
            <w:shd w:val="clear" w:color="auto" w:fill="auto"/>
            <w:vAlign w:val="center"/>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Survival gain; proportion with AEs</w:t>
            </w:r>
          </w:p>
        </w:tc>
      </w:tr>
      <w:tr w:rsidR="00610C73" w:rsidRPr="005E0DC9" w:rsidTr="00656000">
        <w:tc>
          <w:tcPr>
            <w:tcW w:w="5000" w:type="pct"/>
            <w:gridSpan w:val="7"/>
            <w:shd w:val="clear" w:color="auto" w:fill="auto"/>
            <w:vAlign w:val="center"/>
          </w:tcPr>
          <w:p w:rsidR="00610C73" w:rsidRPr="005E0DC9" w:rsidRDefault="00610C73" w:rsidP="00610C73">
            <w:pPr>
              <w:keepNext/>
              <w:widowControl/>
              <w:jc w:val="left"/>
              <w:rPr>
                <w:rFonts w:ascii="Arial Narrow" w:eastAsia="Calibri" w:hAnsi="Arial Narrow"/>
                <w:snapToGrid/>
                <w:sz w:val="20"/>
                <w:szCs w:val="22"/>
              </w:rPr>
            </w:pPr>
            <w:proofErr w:type="spellStart"/>
            <w:r w:rsidRPr="005E0DC9">
              <w:rPr>
                <w:rFonts w:ascii="Arial Narrow" w:eastAsia="Calibri" w:hAnsi="Arial Narrow"/>
                <w:snapToGrid/>
                <w:sz w:val="20"/>
                <w:szCs w:val="22"/>
              </w:rPr>
              <w:t>Ofatumumab+chlorambucil</w:t>
            </w:r>
            <w:proofErr w:type="spellEnd"/>
            <w:r w:rsidRPr="005E0DC9">
              <w:rPr>
                <w:rFonts w:ascii="Arial Narrow" w:eastAsia="Calibri" w:hAnsi="Arial Narrow"/>
                <w:snapToGrid/>
                <w:sz w:val="20"/>
                <w:szCs w:val="22"/>
              </w:rPr>
              <w:t xml:space="preserve"> (</w:t>
            </w:r>
            <w:proofErr w:type="spellStart"/>
            <w:r w:rsidRPr="005E0DC9">
              <w:rPr>
                <w:rFonts w:ascii="Arial Narrow" w:eastAsia="Calibri" w:hAnsi="Arial Narrow"/>
                <w:snapToGrid/>
                <w:sz w:val="20"/>
                <w:szCs w:val="22"/>
              </w:rPr>
              <w:t>ofa+chl</w:t>
            </w:r>
            <w:proofErr w:type="spellEnd"/>
            <w:r w:rsidRPr="005E0DC9">
              <w:rPr>
                <w:rFonts w:ascii="Arial Narrow" w:eastAsia="Calibri" w:hAnsi="Arial Narrow"/>
                <w:snapToGrid/>
                <w:sz w:val="20"/>
                <w:szCs w:val="22"/>
              </w:rPr>
              <w:t xml:space="preserve">) vs. </w:t>
            </w:r>
            <w:proofErr w:type="spellStart"/>
            <w:r w:rsidRPr="005E0DC9">
              <w:rPr>
                <w:rFonts w:ascii="Arial Narrow" w:eastAsia="Calibri" w:hAnsi="Arial Narrow"/>
                <w:snapToGrid/>
                <w:sz w:val="20"/>
                <w:szCs w:val="22"/>
              </w:rPr>
              <w:t>chlorambucil</w:t>
            </w:r>
            <w:proofErr w:type="spellEnd"/>
          </w:p>
        </w:tc>
      </w:tr>
      <w:tr w:rsidR="00610C73" w:rsidRPr="005E0DC9" w:rsidTr="00656000">
        <w:tc>
          <w:tcPr>
            <w:tcW w:w="790" w:type="pct"/>
            <w:shd w:val="clear" w:color="auto" w:fill="auto"/>
            <w:vAlign w:val="center"/>
          </w:tcPr>
          <w:p w:rsidR="00610C73" w:rsidRPr="005E0DC9" w:rsidRDefault="00610C73" w:rsidP="00610C73">
            <w:pPr>
              <w:keepNext/>
              <w:widowControl/>
              <w:jc w:val="left"/>
              <w:rPr>
                <w:rFonts w:ascii="Times" w:hAnsi="Times" w:cs="Times New Roman"/>
                <w:snapToGrid/>
                <w:sz w:val="20"/>
                <w:szCs w:val="22"/>
              </w:rPr>
            </w:pPr>
            <w:r w:rsidRPr="005E0DC9">
              <w:rPr>
                <w:rFonts w:ascii="Arial Narrow" w:eastAsia="Calibri" w:hAnsi="Arial Narrow"/>
                <w:snapToGrid/>
                <w:sz w:val="20"/>
                <w:szCs w:val="22"/>
              </w:rPr>
              <w:t>COMPLEMENT-1</w:t>
            </w:r>
          </w:p>
        </w:tc>
        <w:tc>
          <w:tcPr>
            <w:tcW w:w="235" w:type="pct"/>
            <w:shd w:val="clear" w:color="auto" w:fill="auto"/>
            <w:vAlign w:val="center"/>
          </w:tcPr>
          <w:p w:rsidR="00610C73" w:rsidRPr="005E0DC9" w:rsidRDefault="00610C73" w:rsidP="00610C73">
            <w:pPr>
              <w:keepNext/>
              <w:widowControl/>
              <w:jc w:val="center"/>
              <w:rPr>
                <w:rFonts w:ascii="Arial Narrow" w:eastAsia="Calibri" w:hAnsi="Arial Narrow"/>
                <w:snapToGrid/>
                <w:sz w:val="20"/>
                <w:szCs w:val="22"/>
              </w:rPr>
            </w:pPr>
            <w:r w:rsidRPr="005E0DC9">
              <w:rPr>
                <w:rFonts w:ascii="Arial Narrow" w:eastAsia="Calibri" w:hAnsi="Arial Narrow"/>
                <w:snapToGrid/>
                <w:sz w:val="20"/>
                <w:szCs w:val="22"/>
              </w:rPr>
              <w:t>447</w:t>
            </w:r>
          </w:p>
        </w:tc>
        <w:tc>
          <w:tcPr>
            <w:tcW w:w="931" w:type="pct"/>
            <w:shd w:val="clear" w:color="auto" w:fill="auto"/>
            <w:vAlign w:val="center"/>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R, OL, MC</w:t>
            </w:r>
          </w:p>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 xml:space="preserve">Median 28.9 </w:t>
            </w:r>
            <w:proofErr w:type="spellStart"/>
            <w:r w:rsidRPr="005E0DC9">
              <w:rPr>
                <w:rFonts w:ascii="Arial Narrow" w:eastAsia="Calibri" w:hAnsi="Arial Narrow"/>
                <w:snapToGrid/>
                <w:sz w:val="20"/>
                <w:szCs w:val="22"/>
              </w:rPr>
              <w:t>mths</w:t>
            </w:r>
            <w:proofErr w:type="spellEnd"/>
          </w:p>
        </w:tc>
        <w:tc>
          <w:tcPr>
            <w:tcW w:w="386" w:type="pct"/>
            <w:shd w:val="clear" w:color="auto" w:fill="auto"/>
            <w:vAlign w:val="center"/>
          </w:tcPr>
          <w:p w:rsidR="00610C73" w:rsidRPr="005E0DC9" w:rsidRDefault="00610C73" w:rsidP="00610C73">
            <w:pPr>
              <w:keepNext/>
              <w:widowControl/>
              <w:jc w:val="center"/>
              <w:rPr>
                <w:rFonts w:ascii="Arial Narrow" w:eastAsia="Calibri" w:hAnsi="Arial Narrow"/>
                <w:snapToGrid/>
                <w:sz w:val="20"/>
                <w:szCs w:val="22"/>
              </w:rPr>
            </w:pPr>
            <w:r w:rsidRPr="005E0DC9">
              <w:rPr>
                <w:rFonts w:ascii="Arial Narrow" w:eastAsia="Calibri" w:hAnsi="Arial Narrow"/>
                <w:snapToGrid/>
                <w:sz w:val="20"/>
                <w:szCs w:val="22"/>
              </w:rPr>
              <w:t>Low</w:t>
            </w:r>
          </w:p>
        </w:tc>
        <w:tc>
          <w:tcPr>
            <w:tcW w:w="1343" w:type="pct"/>
            <w:shd w:val="clear" w:color="auto" w:fill="auto"/>
            <w:vAlign w:val="center"/>
          </w:tcPr>
          <w:p w:rsidR="00610C73" w:rsidRPr="005E0DC9" w:rsidRDefault="00610C73" w:rsidP="00610C73">
            <w:pPr>
              <w:keepNext/>
              <w:widowControl/>
              <w:jc w:val="left"/>
              <w:rPr>
                <w:rFonts w:ascii="Arial Narrow" w:eastAsia="SimSun" w:hAnsi="Arial Narrow"/>
                <w:snapToGrid/>
                <w:sz w:val="20"/>
                <w:szCs w:val="18"/>
                <w:lang w:eastAsia="zh-CN"/>
              </w:rPr>
            </w:pPr>
            <w:r w:rsidRPr="005E0DC9">
              <w:rPr>
                <w:rFonts w:ascii="Arial Narrow" w:eastAsia="Calibri" w:hAnsi="Arial Narrow"/>
                <w:snapToGrid/>
                <w:sz w:val="20"/>
                <w:szCs w:val="22"/>
              </w:rPr>
              <w:t xml:space="preserve">Previously untreated CLL, </w:t>
            </w:r>
            <w:r w:rsidRPr="005E0DC9">
              <w:rPr>
                <w:rFonts w:ascii="Arial Narrow" w:eastAsia="SimSun" w:hAnsi="Arial Narrow"/>
                <w:snapToGrid/>
                <w:sz w:val="20"/>
                <w:szCs w:val="18"/>
                <w:lang w:eastAsia="zh-CN"/>
              </w:rPr>
              <w:t xml:space="preserve">considered inappropriate for </w:t>
            </w:r>
            <w:proofErr w:type="spellStart"/>
            <w:r w:rsidRPr="005E0DC9">
              <w:rPr>
                <w:rFonts w:ascii="Arial Narrow" w:eastAsia="SimSun" w:hAnsi="Arial Narrow"/>
                <w:snapToGrid/>
                <w:sz w:val="20"/>
                <w:szCs w:val="18"/>
                <w:lang w:eastAsia="zh-CN"/>
              </w:rPr>
              <w:t>fludarabine</w:t>
            </w:r>
            <w:proofErr w:type="spellEnd"/>
            <w:r w:rsidRPr="005E0DC9">
              <w:rPr>
                <w:rFonts w:ascii="Arial Narrow" w:eastAsia="SimSun" w:hAnsi="Arial Narrow"/>
                <w:snapToGrid/>
                <w:sz w:val="20"/>
                <w:szCs w:val="18"/>
                <w:lang w:eastAsia="zh-CN"/>
              </w:rPr>
              <w:t>-based therapy.</w:t>
            </w:r>
          </w:p>
        </w:tc>
        <w:tc>
          <w:tcPr>
            <w:tcW w:w="500" w:type="pct"/>
            <w:shd w:val="clear" w:color="auto" w:fill="auto"/>
            <w:vAlign w:val="center"/>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PFS, OS</w:t>
            </w:r>
          </w:p>
        </w:tc>
        <w:tc>
          <w:tcPr>
            <w:tcW w:w="815" w:type="pct"/>
            <w:shd w:val="clear" w:color="auto" w:fill="auto"/>
            <w:vAlign w:val="center"/>
          </w:tcPr>
          <w:p w:rsidR="00610C73" w:rsidRPr="005E0DC9" w:rsidRDefault="00610C73" w:rsidP="00610C73">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Survival gain; proportion with AEs</w:t>
            </w:r>
          </w:p>
        </w:tc>
      </w:tr>
    </w:tbl>
    <w:p w:rsidR="00610C73" w:rsidRPr="005E0DC9" w:rsidRDefault="00610C73" w:rsidP="00503EDD">
      <w:pPr>
        <w:spacing w:after="160"/>
        <w:contextualSpacing/>
        <w:rPr>
          <w:rFonts w:ascii="Arial Narrow" w:hAnsi="Arial Narrow"/>
          <w:sz w:val="18"/>
        </w:rPr>
      </w:pPr>
      <w:r w:rsidRPr="005E0DC9">
        <w:rPr>
          <w:rFonts w:ascii="Arial Narrow" w:hAnsi="Arial Narrow"/>
          <w:sz w:val="18"/>
        </w:rPr>
        <w:t xml:space="preserve">AE=adverse events; MC=multi-centre; </w:t>
      </w:r>
      <w:proofErr w:type="spellStart"/>
      <w:r w:rsidRPr="005E0DC9">
        <w:rPr>
          <w:rFonts w:ascii="Arial Narrow" w:hAnsi="Arial Narrow"/>
          <w:sz w:val="18"/>
        </w:rPr>
        <w:t>mths</w:t>
      </w:r>
      <w:proofErr w:type="spellEnd"/>
      <w:r w:rsidRPr="005E0DC9">
        <w:rPr>
          <w:rFonts w:ascii="Arial Narrow" w:hAnsi="Arial Narrow"/>
          <w:sz w:val="18"/>
        </w:rPr>
        <w:t>=months; OL=open label; OS=overall survival; PFS=progression-free survival; R=randomised</w:t>
      </w:r>
    </w:p>
    <w:p w:rsidR="00610C73" w:rsidRPr="005E0DC9" w:rsidRDefault="00610C73" w:rsidP="00503EDD">
      <w:pPr>
        <w:spacing w:before="120" w:after="160"/>
        <w:contextualSpacing/>
        <w:rPr>
          <w:rFonts w:ascii="Arial Narrow" w:hAnsi="Arial Narrow"/>
          <w:sz w:val="18"/>
        </w:rPr>
      </w:pPr>
      <w:r w:rsidRPr="005E0DC9">
        <w:rPr>
          <w:rFonts w:ascii="Arial Narrow" w:hAnsi="Arial Narrow"/>
          <w:sz w:val="18"/>
        </w:rPr>
        <w:t xml:space="preserve">Source: Table Bii.8, p14 of Section </w:t>
      </w:r>
      <w:proofErr w:type="spellStart"/>
      <w:r w:rsidRPr="005E0DC9">
        <w:rPr>
          <w:rFonts w:ascii="Arial Narrow" w:hAnsi="Arial Narrow"/>
          <w:sz w:val="18"/>
        </w:rPr>
        <w:t>Bii</w:t>
      </w:r>
      <w:proofErr w:type="spellEnd"/>
      <w:r w:rsidRPr="005E0DC9">
        <w:rPr>
          <w:rFonts w:ascii="Arial Narrow" w:hAnsi="Arial Narrow"/>
          <w:sz w:val="18"/>
        </w:rPr>
        <w:t xml:space="preserve"> of the submission</w:t>
      </w:r>
    </w:p>
    <w:p w:rsidR="00D86B67" w:rsidRPr="005E0DC9" w:rsidRDefault="00D86B67" w:rsidP="00503EDD">
      <w:pPr>
        <w:spacing w:before="120" w:after="160"/>
        <w:contextualSpacing/>
        <w:rPr>
          <w:rFonts w:ascii="Arial Narrow" w:hAnsi="Arial Narrow"/>
          <w:sz w:val="18"/>
        </w:rPr>
      </w:pPr>
    </w:p>
    <w:p w:rsidR="00610C73" w:rsidRPr="005E0DC9" w:rsidRDefault="00610C73" w:rsidP="004B689D">
      <w:pPr>
        <w:widowControl/>
        <w:numPr>
          <w:ilvl w:val="1"/>
          <w:numId w:val="11"/>
        </w:numPr>
        <w:spacing w:before="160" w:after="160"/>
        <w:ind w:left="709" w:hanging="709"/>
        <w:rPr>
          <w:rFonts w:ascii="Calibri" w:eastAsia="Calibri" w:hAnsi="Calibri"/>
          <w:snapToGrid/>
          <w:sz w:val="24"/>
          <w:szCs w:val="22"/>
        </w:rPr>
      </w:pPr>
      <w:r w:rsidRPr="005E0DC9">
        <w:rPr>
          <w:rFonts w:ascii="Calibri" w:eastAsia="Calibri" w:hAnsi="Calibri"/>
          <w:snapToGrid/>
          <w:sz w:val="24"/>
          <w:szCs w:val="22"/>
        </w:rPr>
        <w:lastRenderedPageBreak/>
        <w:t xml:space="preserve">The submission considered that the indirect comparisons were biased against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due to the different dosing levels of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used across the trials. In RESONATE-2 and COMPLEMENT-1, patients could receive up to 12 cycles of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while in CLL11 a maximum of only 6 cycles was allowed.  The submission presented a detailed assessment of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dosing in the trials and Australian clinical practice as well as literature </w:t>
      </w:r>
      <w:r w:rsidR="00F60BA0" w:rsidRPr="005E0DC9">
        <w:rPr>
          <w:rFonts w:ascii="Calibri" w:eastAsia="Calibri" w:hAnsi="Calibri"/>
          <w:snapToGrid/>
          <w:sz w:val="24"/>
          <w:szCs w:val="22"/>
        </w:rPr>
        <w:t>assessing</w:t>
      </w:r>
      <w:r w:rsidRPr="005E0DC9">
        <w:rPr>
          <w:rFonts w:ascii="Calibri" w:eastAsia="Calibri" w:hAnsi="Calibri"/>
          <w:snapToGrid/>
          <w:sz w:val="24"/>
          <w:szCs w:val="22"/>
        </w:rPr>
        <w:t xml:space="preserve"> the impact of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dosing on PFS and response rate.  The submission concluded that the comparator arms in RESONATE-2 and CLL11 are not exchangeable and provided a single arm comparison of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and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(see ‘Comparative effectiveness’ below). </w:t>
      </w:r>
    </w:p>
    <w:p w:rsidR="00610C73" w:rsidRPr="005E0DC9" w:rsidRDefault="00610C73"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median number of cycles of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in both CLL11 and COMPLEMENT-1 was 6 (</w:t>
      </w:r>
      <w:r w:rsidR="00F60BA0" w:rsidRPr="005E0DC9">
        <w:rPr>
          <w:rFonts w:ascii="Calibri" w:eastAsia="Calibri" w:hAnsi="Calibri"/>
          <w:snapToGrid/>
          <w:sz w:val="24"/>
          <w:szCs w:val="22"/>
        </w:rPr>
        <w:t>approximately</w:t>
      </w:r>
      <w:r w:rsidRPr="005E0DC9">
        <w:rPr>
          <w:rFonts w:ascii="Calibri" w:eastAsia="Calibri" w:hAnsi="Calibri"/>
          <w:snapToGrid/>
          <w:sz w:val="24"/>
          <w:szCs w:val="22"/>
        </w:rPr>
        <w:t xml:space="preserve"> 5.5 months), compared to 7.1 months in RESONATE-2.  Although the median cumulative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dose </w:t>
      </w:r>
      <w:r w:rsidR="00F60BA0" w:rsidRPr="005E0DC9">
        <w:rPr>
          <w:rFonts w:ascii="Calibri" w:eastAsia="Calibri" w:hAnsi="Calibri"/>
          <w:snapToGrid/>
          <w:sz w:val="24"/>
          <w:szCs w:val="22"/>
        </w:rPr>
        <w:t xml:space="preserve">in the COMPLEMENT-1 trial was higher </w:t>
      </w:r>
      <w:r w:rsidRPr="005E0DC9">
        <w:rPr>
          <w:rFonts w:ascii="Calibri" w:eastAsia="Calibri" w:hAnsi="Calibri"/>
          <w:snapToGrid/>
          <w:sz w:val="24"/>
          <w:szCs w:val="22"/>
        </w:rPr>
        <w:t>than in CLL11, the dose was not much higher than that observed in RESONATE-2 (728mg versus 600mg).</w:t>
      </w:r>
      <w:r w:rsidR="001D0800" w:rsidRPr="005E0DC9">
        <w:rPr>
          <w:rFonts w:ascii="Calibri" w:eastAsia="Calibri" w:hAnsi="Calibri"/>
          <w:snapToGrid/>
          <w:sz w:val="24"/>
          <w:szCs w:val="22"/>
        </w:rPr>
        <w:t xml:space="preserve"> The median cumulative dose in CLL11 was</w:t>
      </w:r>
      <w:r w:rsidR="003623AA" w:rsidRPr="005E0DC9">
        <w:rPr>
          <w:rFonts w:ascii="Calibri" w:eastAsia="Calibri" w:hAnsi="Calibri"/>
          <w:snapToGrid/>
          <w:sz w:val="24"/>
          <w:szCs w:val="22"/>
        </w:rPr>
        <w:t xml:space="preserve"> </w:t>
      </w:r>
      <w:r w:rsidR="003623AA" w:rsidRPr="005E0DC9">
        <w:t>384mg.</w:t>
      </w:r>
    </w:p>
    <w:p w:rsidR="00610C73" w:rsidRPr="005E0DC9" w:rsidRDefault="00662299"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ESC noted the arguments put forward in the PSCR (p2) however considered the analysis of comparative doses of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and the overall response rate (ORR) (as presented in </w:t>
      </w:r>
      <w:r w:rsidR="004E3F9F" w:rsidRPr="005E0DC9">
        <w:rPr>
          <w:rFonts w:ascii="Calibri" w:eastAsia="Calibri" w:hAnsi="Calibri"/>
          <w:snapToGrid/>
          <w:sz w:val="24"/>
          <w:szCs w:val="22"/>
        </w:rPr>
        <w:t>Figure 3</w:t>
      </w:r>
      <w:r w:rsidRPr="005E0DC9">
        <w:rPr>
          <w:rFonts w:ascii="Calibri" w:eastAsia="Calibri" w:hAnsi="Calibri"/>
          <w:snapToGrid/>
          <w:sz w:val="24"/>
          <w:szCs w:val="22"/>
        </w:rPr>
        <w:t xml:space="preserve"> below) was flawed given it did not take account of the number of cycles of treatment. </w:t>
      </w:r>
      <w:r w:rsidR="00A26475" w:rsidRPr="005E0DC9">
        <w:rPr>
          <w:rFonts w:ascii="Calibri" w:eastAsia="Calibri" w:hAnsi="Calibri"/>
          <w:snapToGrid/>
          <w:sz w:val="24"/>
          <w:szCs w:val="22"/>
        </w:rPr>
        <w:t xml:space="preserve">Figure 3 </w:t>
      </w:r>
      <w:r w:rsidR="007C557D" w:rsidRPr="005E0DC9">
        <w:rPr>
          <w:rFonts w:ascii="Calibri" w:eastAsia="Calibri" w:hAnsi="Calibri"/>
          <w:snapToGrid/>
          <w:sz w:val="24"/>
          <w:szCs w:val="22"/>
        </w:rPr>
        <w:t>s</w:t>
      </w:r>
      <w:r w:rsidR="00A26475" w:rsidRPr="005E0DC9">
        <w:rPr>
          <w:rFonts w:ascii="Calibri" w:eastAsia="Calibri" w:hAnsi="Calibri"/>
          <w:snapToGrid/>
          <w:sz w:val="24"/>
          <w:szCs w:val="22"/>
        </w:rPr>
        <w:t>hows</w:t>
      </w:r>
      <w:r w:rsidR="007C557D" w:rsidRPr="005E0DC9">
        <w:rPr>
          <w:rFonts w:ascii="Calibri" w:eastAsia="Calibri" w:hAnsi="Calibri"/>
          <w:snapToGrid/>
          <w:sz w:val="24"/>
          <w:szCs w:val="22"/>
        </w:rPr>
        <w:t xml:space="preserve"> the</w:t>
      </w:r>
      <w:r w:rsidR="00C81DFD" w:rsidRPr="005E0DC9">
        <w:rPr>
          <w:rFonts w:ascii="Calibri" w:eastAsia="Calibri" w:hAnsi="Calibri"/>
          <w:snapToGrid/>
          <w:sz w:val="24"/>
          <w:szCs w:val="22"/>
        </w:rPr>
        <w:t xml:space="preserve"> difference between the CLL11 and RESONATE-2 </w:t>
      </w:r>
      <w:r w:rsidR="00A26475" w:rsidRPr="005E0DC9">
        <w:rPr>
          <w:rFonts w:ascii="Calibri" w:eastAsia="Calibri" w:hAnsi="Calibri"/>
          <w:snapToGrid/>
          <w:sz w:val="24"/>
          <w:szCs w:val="22"/>
        </w:rPr>
        <w:t xml:space="preserve">cumulative </w:t>
      </w:r>
      <w:proofErr w:type="spellStart"/>
      <w:r w:rsidR="00C81DFD" w:rsidRPr="005E0DC9">
        <w:rPr>
          <w:rFonts w:ascii="Calibri" w:eastAsia="Calibri" w:hAnsi="Calibri"/>
          <w:snapToGrid/>
          <w:sz w:val="24"/>
          <w:szCs w:val="22"/>
        </w:rPr>
        <w:t>chlorambucil</w:t>
      </w:r>
      <w:proofErr w:type="spellEnd"/>
      <w:r w:rsidR="00C81DFD" w:rsidRPr="005E0DC9">
        <w:rPr>
          <w:rFonts w:ascii="Calibri" w:eastAsia="Calibri" w:hAnsi="Calibri"/>
          <w:snapToGrid/>
          <w:sz w:val="24"/>
          <w:szCs w:val="22"/>
        </w:rPr>
        <w:t xml:space="preserve"> dosing </w:t>
      </w:r>
      <w:r w:rsidR="00A26475" w:rsidRPr="005E0DC9">
        <w:rPr>
          <w:rFonts w:ascii="Calibri" w:eastAsia="Calibri" w:hAnsi="Calibri"/>
          <w:snapToGrid/>
          <w:sz w:val="24"/>
          <w:szCs w:val="22"/>
        </w:rPr>
        <w:t xml:space="preserve">and response </w:t>
      </w:r>
      <w:r w:rsidR="00C81DFD" w:rsidRPr="005E0DC9">
        <w:rPr>
          <w:rFonts w:ascii="Calibri" w:eastAsia="Calibri" w:hAnsi="Calibri"/>
          <w:snapToGrid/>
          <w:sz w:val="24"/>
          <w:szCs w:val="22"/>
        </w:rPr>
        <w:t xml:space="preserve">was not vastly different as </w:t>
      </w:r>
      <w:r w:rsidR="00F96E92" w:rsidRPr="005E0DC9">
        <w:rPr>
          <w:rFonts w:ascii="Calibri" w:eastAsia="Calibri" w:hAnsi="Calibri"/>
          <w:snapToGrid/>
          <w:sz w:val="24"/>
          <w:szCs w:val="22"/>
        </w:rPr>
        <w:t>indicat</w:t>
      </w:r>
      <w:r w:rsidR="00C81DFD" w:rsidRPr="005E0DC9">
        <w:rPr>
          <w:rFonts w:ascii="Calibri" w:eastAsia="Calibri" w:hAnsi="Calibri"/>
          <w:snapToGrid/>
          <w:sz w:val="24"/>
          <w:szCs w:val="22"/>
        </w:rPr>
        <w:t xml:space="preserve">ed by the </w:t>
      </w:r>
      <w:r w:rsidR="00F96E92" w:rsidRPr="005E0DC9">
        <w:rPr>
          <w:rFonts w:ascii="Calibri" w:eastAsia="Calibri" w:hAnsi="Calibri"/>
          <w:snapToGrid/>
          <w:sz w:val="24"/>
          <w:szCs w:val="22"/>
        </w:rPr>
        <w:t xml:space="preserve">similar </w:t>
      </w:r>
      <w:r w:rsidR="00C81DFD" w:rsidRPr="005E0DC9">
        <w:rPr>
          <w:rFonts w:ascii="Calibri" w:eastAsia="Calibri" w:hAnsi="Calibri"/>
          <w:snapToGrid/>
          <w:sz w:val="24"/>
          <w:szCs w:val="22"/>
        </w:rPr>
        <w:t>ORR in Figure 3</w:t>
      </w:r>
      <w:r w:rsidR="00F96E92" w:rsidRPr="005E0DC9">
        <w:rPr>
          <w:rFonts w:ascii="Calibri" w:eastAsia="Calibri" w:hAnsi="Calibri"/>
          <w:snapToGrid/>
          <w:sz w:val="24"/>
          <w:szCs w:val="22"/>
        </w:rPr>
        <w:t xml:space="preserve"> (33% in CLL11 vs 35% in RESONATE-2)</w:t>
      </w:r>
      <w:r w:rsidR="007C557D" w:rsidRPr="005E0DC9">
        <w:rPr>
          <w:rFonts w:ascii="Calibri" w:eastAsia="Calibri" w:hAnsi="Calibri"/>
          <w:snapToGrid/>
          <w:sz w:val="24"/>
          <w:szCs w:val="22"/>
        </w:rPr>
        <w:t>.</w:t>
      </w:r>
      <w:r w:rsidR="004E3F9F" w:rsidRPr="005E0DC9">
        <w:rPr>
          <w:rFonts w:ascii="Calibri" w:eastAsia="Calibri" w:hAnsi="Calibri"/>
          <w:snapToGrid/>
          <w:sz w:val="24"/>
          <w:szCs w:val="22"/>
        </w:rPr>
        <w:t xml:space="preserve"> </w:t>
      </w:r>
      <w:r w:rsidR="007C557D" w:rsidRPr="005E0DC9">
        <w:rPr>
          <w:rFonts w:ascii="Calibri" w:eastAsia="Calibri" w:hAnsi="Calibri"/>
          <w:snapToGrid/>
          <w:sz w:val="24"/>
          <w:szCs w:val="22"/>
        </w:rPr>
        <w:t>The ESC also noted</w:t>
      </w:r>
      <w:r w:rsidR="004E3F9F" w:rsidRPr="005E0DC9">
        <w:rPr>
          <w:rFonts w:ascii="Calibri" w:eastAsia="Calibri" w:hAnsi="Calibri"/>
          <w:snapToGrid/>
          <w:sz w:val="24"/>
          <w:szCs w:val="22"/>
        </w:rPr>
        <w:t xml:space="preserve"> titration of </w:t>
      </w:r>
      <w:proofErr w:type="spellStart"/>
      <w:r w:rsidR="004E3F9F" w:rsidRPr="005E0DC9">
        <w:rPr>
          <w:rFonts w:ascii="Calibri" w:eastAsia="Calibri" w:hAnsi="Calibri"/>
          <w:snapToGrid/>
          <w:sz w:val="24"/>
          <w:szCs w:val="22"/>
        </w:rPr>
        <w:t>chlorambucil</w:t>
      </w:r>
      <w:proofErr w:type="spellEnd"/>
      <w:r w:rsidR="004E3F9F" w:rsidRPr="005E0DC9">
        <w:rPr>
          <w:rFonts w:ascii="Calibri" w:eastAsia="Calibri" w:hAnsi="Calibri"/>
          <w:snapToGrid/>
          <w:sz w:val="24"/>
          <w:szCs w:val="22"/>
        </w:rPr>
        <w:t xml:space="preserve"> dosing was allowed in the</w:t>
      </w:r>
      <w:r w:rsidR="00F96E92" w:rsidRPr="005E0DC9">
        <w:rPr>
          <w:rFonts w:ascii="Calibri" w:eastAsia="Calibri" w:hAnsi="Calibri"/>
          <w:snapToGrid/>
          <w:sz w:val="24"/>
          <w:szCs w:val="22"/>
        </w:rPr>
        <w:t>se</w:t>
      </w:r>
      <w:r w:rsidR="004E3F9F" w:rsidRPr="005E0DC9">
        <w:rPr>
          <w:rFonts w:ascii="Calibri" w:eastAsia="Calibri" w:hAnsi="Calibri"/>
          <w:snapToGrid/>
          <w:sz w:val="24"/>
          <w:szCs w:val="22"/>
        </w:rPr>
        <w:t xml:space="preserve"> trials</w:t>
      </w:r>
      <w:r w:rsidR="00C81DFD" w:rsidRPr="005E0DC9">
        <w:rPr>
          <w:rFonts w:ascii="Calibri" w:eastAsia="Calibri" w:hAnsi="Calibri"/>
          <w:snapToGrid/>
          <w:sz w:val="24"/>
          <w:szCs w:val="22"/>
        </w:rPr>
        <w:t xml:space="preserve">. </w:t>
      </w:r>
      <w:r w:rsidR="00272F53" w:rsidRPr="005E0DC9">
        <w:rPr>
          <w:rFonts w:ascii="Calibri" w:eastAsia="Calibri" w:hAnsi="Calibri"/>
          <w:snapToGrid/>
          <w:sz w:val="24"/>
          <w:szCs w:val="22"/>
        </w:rPr>
        <w:t>The PBAC</w:t>
      </w:r>
      <w:r w:rsidR="00F75B5F" w:rsidRPr="005E0DC9">
        <w:rPr>
          <w:rFonts w:ascii="Calibri" w:eastAsia="Calibri" w:hAnsi="Calibri"/>
          <w:snapToGrid/>
          <w:sz w:val="24"/>
          <w:szCs w:val="22"/>
        </w:rPr>
        <w:t xml:space="preserve"> reiterated its</w:t>
      </w:r>
      <w:r w:rsidR="00272F53" w:rsidRPr="005E0DC9">
        <w:rPr>
          <w:rFonts w:ascii="Calibri" w:eastAsia="Calibri" w:hAnsi="Calibri"/>
          <w:snapToGrid/>
          <w:sz w:val="24"/>
          <w:szCs w:val="22"/>
        </w:rPr>
        <w:t xml:space="preserve"> previous consideration </w:t>
      </w:r>
      <w:r w:rsidR="00F75B5F" w:rsidRPr="005E0DC9">
        <w:rPr>
          <w:rFonts w:ascii="Calibri" w:eastAsia="Calibri" w:hAnsi="Calibri"/>
          <w:snapToGrid/>
          <w:sz w:val="24"/>
          <w:szCs w:val="22"/>
        </w:rPr>
        <w:t xml:space="preserve">(November 2014 </w:t>
      </w:r>
      <w:proofErr w:type="spellStart"/>
      <w:r w:rsidR="00F75B5F" w:rsidRPr="005E0DC9">
        <w:rPr>
          <w:rFonts w:ascii="Calibri" w:eastAsia="Calibri" w:hAnsi="Calibri"/>
          <w:snapToGrid/>
          <w:sz w:val="24"/>
          <w:szCs w:val="22"/>
        </w:rPr>
        <w:t>ofatumumab</w:t>
      </w:r>
      <w:proofErr w:type="spellEnd"/>
      <w:r w:rsidR="00F75B5F" w:rsidRPr="005E0DC9">
        <w:rPr>
          <w:rFonts w:ascii="Calibri" w:eastAsia="Calibri" w:hAnsi="Calibri"/>
          <w:snapToGrid/>
          <w:sz w:val="24"/>
          <w:szCs w:val="22"/>
        </w:rPr>
        <w:t xml:space="preserve"> PSD, paragraph 7.4) </w:t>
      </w:r>
      <w:r w:rsidR="00272F53" w:rsidRPr="005E0DC9">
        <w:rPr>
          <w:rFonts w:ascii="Calibri" w:eastAsia="Calibri" w:hAnsi="Calibri"/>
          <w:snapToGrid/>
          <w:sz w:val="24"/>
          <w:szCs w:val="22"/>
        </w:rPr>
        <w:t xml:space="preserve">that variations in </w:t>
      </w:r>
      <w:r w:rsidR="00F75B5F" w:rsidRPr="005E0DC9">
        <w:rPr>
          <w:rFonts w:ascii="Calibri" w:eastAsia="Calibri" w:hAnsi="Calibri"/>
          <w:snapToGrid/>
          <w:sz w:val="24"/>
          <w:szCs w:val="22"/>
        </w:rPr>
        <w:t xml:space="preserve">the </w:t>
      </w:r>
      <w:proofErr w:type="spellStart"/>
      <w:r w:rsidR="00272F53" w:rsidRPr="005E0DC9">
        <w:rPr>
          <w:rFonts w:ascii="Calibri" w:eastAsia="Calibri" w:hAnsi="Calibri"/>
          <w:snapToGrid/>
          <w:sz w:val="24"/>
          <w:szCs w:val="22"/>
        </w:rPr>
        <w:t>chlorambucil</w:t>
      </w:r>
      <w:proofErr w:type="spellEnd"/>
      <w:r w:rsidR="00272F53" w:rsidRPr="005E0DC9">
        <w:rPr>
          <w:rFonts w:ascii="Calibri" w:eastAsia="Calibri" w:hAnsi="Calibri"/>
          <w:snapToGrid/>
          <w:sz w:val="24"/>
          <w:szCs w:val="22"/>
        </w:rPr>
        <w:t xml:space="preserve"> dosing when used as a common comparator </w:t>
      </w:r>
      <w:r w:rsidR="00F75B5F" w:rsidRPr="005E0DC9">
        <w:rPr>
          <w:rFonts w:ascii="Calibri" w:eastAsia="Calibri" w:hAnsi="Calibri"/>
          <w:snapToGrid/>
          <w:sz w:val="24"/>
          <w:szCs w:val="22"/>
        </w:rPr>
        <w:t>wa</w:t>
      </w:r>
      <w:r w:rsidR="00272F53" w:rsidRPr="005E0DC9">
        <w:rPr>
          <w:rFonts w:ascii="Calibri" w:eastAsia="Calibri" w:hAnsi="Calibri"/>
          <w:snapToGrid/>
          <w:sz w:val="24"/>
          <w:szCs w:val="22"/>
        </w:rPr>
        <w:t>s not a significant issue</w:t>
      </w:r>
      <w:r w:rsidR="00610C73" w:rsidRPr="005E0DC9">
        <w:rPr>
          <w:rFonts w:ascii="Calibri" w:eastAsia="Calibri" w:hAnsi="Calibri"/>
          <w:snapToGrid/>
          <w:sz w:val="24"/>
          <w:szCs w:val="22"/>
        </w:rPr>
        <w:t>.</w:t>
      </w:r>
    </w:p>
    <w:p w:rsidR="007249E7" w:rsidRPr="005E0DC9" w:rsidRDefault="007249E7" w:rsidP="007249E7">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 xml:space="preserve">Figure 3: Per-cycle dose of </w:t>
      </w:r>
      <w:proofErr w:type="spellStart"/>
      <w:r w:rsidRPr="005E0DC9">
        <w:rPr>
          <w:rFonts w:ascii="Arial Narrow" w:eastAsia="Calibri" w:hAnsi="Arial Narrow"/>
          <w:b/>
          <w:snapToGrid/>
          <w:sz w:val="20"/>
          <w:szCs w:val="22"/>
        </w:rPr>
        <w:t>chlorambucil</w:t>
      </w:r>
      <w:proofErr w:type="spellEnd"/>
      <w:r w:rsidRPr="005E0DC9">
        <w:rPr>
          <w:rFonts w:ascii="Arial Narrow" w:eastAsia="Calibri" w:hAnsi="Arial Narrow"/>
          <w:b/>
          <w:snapToGrid/>
          <w:sz w:val="20"/>
          <w:szCs w:val="22"/>
        </w:rPr>
        <w:t xml:space="preserve"> and overall response rate </w:t>
      </w:r>
    </w:p>
    <w:p w:rsidR="007249E7" w:rsidRPr="005E0DC9" w:rsidRDefault="007249E7" w:rsidP="007249E7">
      <w:pPr>
        <w:pStyle w:val="ESCHeading1"/>
        <w:ind w:left="360" w:right="6"/>
      </w:pPr>
      <w:r w:rsidRPr="005E0DC9">
        <w:rPr>
          <w:noProof/>
          <w:lang w:eastAsia="en-AU"/>
        </w:rPr>
        <w:drawing>
          <wp:inline distT="0" distB="0" distL="0" distR="0" wp14:anchorId="2912FE2D" wp14:editId="58ADBE6A">
            <wp:extent cx="3487003" cy="2554422"/>
            <wp:effectExtent l="0" t="0" r="0" b="0"/>
            <wp:docPr id="1" name="Picture 1" descr="orr_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r_do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746" cy="2558629"/>
                    </a:xfrm>
                    <a:prstGeom prst="rect">
                      <a:avLst/>
                    </a:prstGeom>
                    <a:noFill/>
                    <a:ln>
                      <a:noFill/>
                    </a:ln>
                  </pic:spPr>
                </pic:pic>
              </a:graphicData>
            </a:graphic>
          </wp:inline>
        </w:drawing>
      </w:r>
    </w:p>
    <w:p w:rsidR="007249E7" w:rsidRPr="005E0DC9" w:rsidRDefault="007249E7" w:rsidP="007249E7">
      <w:pPr>
        <w:spacing w:after="120"/>
        <w:contextualSpacing/>
        <w:rPr>
          <w:rFonts w:ascii="Arial Narrow" w:hAnsi="Arial Narrow"/>
          <w:sz w:val="18"/>
        </w:rPr>
      </w:pPr>
      <w:r w:rsidRPr="005E0DC9">
        <w:rPr>
          <w:rFonts w:ascii="Arial Narrow" w:hAnsi="Arial Narrow"/>
          <w:sz w:val="18"/>
        </w:rPr>
        <w:t>Source: Figure 3, PSCR, p5.</w:t>
      </w:r>
    </w:p>
    <w:p w:rsidR="004E3F9F" w:rsidRPr="005E0DC9" w:rsidRDefault="00610C73" w:rsidP="00363AD8">
      <w:pPr>
        <w:widowControl/>
        <w:numPr>
          <w:ilvl w:val="1"/>
          <w:numId w:val="11"/>
        </w:numPr>
        <w:spacing w:before="16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bulk of the evidence presented by the submission was based on the May 2015 data cut of RESONATE-2.  However, PFS </w:t>
      </w:r>
      <w:r w:rsidR="00244FBA" w:rsidRPr="005E0DC9">
        <w:rPr>
          <w:rFonts w:ascii="Calibri" w:eastAsia="Calibri" w:hAnsi="Calibri"/>
          <w:snapToGrid/>
          <w:sz w:val="24"/>
          <w:szCs w:val="22"/>
        </w:rPr>
        <w:t xml:space="preserve">and OS </w:t>
      </w:r>
      <w:r w:rsidRPr="005E0DC9">
        <w:rPr>
          <w:rFonts w:ascii="Calibri" w:eastAsia="Calibri" w:hAnsi="Calibri"/>
          <w:snapToGrid/>
          <w:sz w:val="24"/>
          <w:szCs w:val="22"/>
        </w:rPr>
        <w:t xml:space="preserve">results used in the economic model were based on an updated data cut from February 2016.  Limited PFS data </w:t>
      </w:r>
      <w:r w:rsidR="002C37AB" w:rsidRPr="005E0DC9">
        <w:rPr>
          <w:rFonts w:ascii="Calibri" w:eastAsia="Calibri" w:hAnsi="Calibri"/>
          <w:snapToGrid/>
          <w:sz w:val="24"/>
          <w:szCs w:val="22"/>
        </w:rPr>
        <w:t xml:space="preserve">were </w:t>
      </w:r>
      <w:r w:rsidRPr="005E0DC9">
        <w:rPr>
          <w:rFonts w:ascii="Calibri" w:eastAsia="Calibri" w:hAnsi="Calibri"/>
          <w:snapToGrid/>
          <w:sz w:val="24"/>
          <w:szCs w:val="22"/>
        </w:rPr>
        <w:t xml:space="preserve">available for this updated analysis (see ‘Comparative effectiveness’ below), with only hazard ratios provided, while the updated results for OS had more complete data. </w:t>
      </w:r>
      <w:bookmarkStart w:id="26" w:name="_Toc413139278"/>
      <w:bookmarkStart w:id="27" w:name="_Toc363984490"/>
      <w:r w:rsidR="004E3F9F" w:rsidRPr="005E0DC9">
        <w:rPr>
          <w:rFonts w:ascii="Calibri" w:eastAsia="Calibri" w:hAnsi="Calibri"/>
          <w:snapToGrid/>
          <w:sz w:val="24"/>
          <w:szCs w:val="22"/>
        </w:rPr>
        <w:lastRenderedPageBreak/>
        <w:t>The ESC noted the reliance on the May 2015 data cut in the clinical assessments and request</w:t>
      </w:r>
      <w:r w:rsidR="00941560">
        <w:rPr>
          <w:rFonts w:ascii="Calibri" w:eastAsia="Calibri" w:hAnsi="Calibri"/>
          <w:snapToGrid/>
          <w:sz w:val="24"/>
          <w:szCs w:val="22"/>
        </w:rPr>
        <w:t>ed</w:t>
      </w:r>
      <w:r w:rsidR="004E3F9F" w:rsidRPr="005E0DC9">
        <w:rPr>
          <w:rFonts w:ascii="Calibri" w:eastAsia="Calibri" w:hAnsi="Calibri"/>
          <w:snapToGrid/>
          <w:sz w:val="24"/>
          <w:szCs w:val="22"/>
        </w:rPr>
        <w:t xml:space="preserve"> updated data if available</w:t>
      </w:r>
      <w:r w:rsidR="00941560">
        <w:rPr>
          <w:rFonts w:ascii="Calibri" w:eastAsia="Calibri" w:hAnsi="Calibri"/>
          <w:snapToGrid/>
          <w:sz w:val="24"/>
          <w:szCs w:val="22"/>
        </w:rPr>
        <w:t>, or</w:t>
      </w:r>
      <w:r w:rsidR="00244FBA" w:rsidRPr="005E0DC9">
        <w:rPr>
          <w:rFonts w:ascii="Calibri" w:eastAsia="Calibri" w:hAnsi="Calibri"/>
          <w:snapToGrid/>
          <w:sz w:val="24"/>
          <w:szCs w:val="22"/>
        </w:rPr>
        <w:t xml:space="preserve"> if not available an indication of when it will be.</w:t>
      </w:r>
      <w:r w:rsidR="009B2721" w:rsidRPr="005E0DC9">
        <w:rPr>
          <w:rFonts w:ascii="Calibri" w:eastAsia="Calibri" w:hAnsi="Calibri"/>
          <w:snapToGrid/>
          <w:sz w:val="24"/>
          <w:szCs w:val="22"/>
        </w:rPr>
        <w:t xml:space="preserve"> The PBAC noted no further updated data was provided in the pre-PBAC response.</w:t>
      </w:r>
    </w:p>
    <w:p w:rsidR="00610C73" w:rsidRPr="005E0DC9" w:rsidRDefault="00610C73" w:rsidP="00314C8A">
      <w:pPr>
        <w:keepNext/>
        <w:keepLines/>
        <w:widowControl/>
        <w:spacing w:before="240" w:after="120"/>
        <w:ind w:left="709"/>
        <w:jc w:val="left"/>
        <w:outlineLvl w:val="1"/>
        <w:rPr>
          <w:rFonts w:ascii="Calibri" w:eastAsia="MS Gothic" w:hAnsi="Calibri" w:cs="Times New Roman"/>
          <w:b/>
          <w:i/>
          <w:snapToGrid/>
          <w:sz w:val="28"/>
          <w:szCs w:val="28"/>
        </w:rPr>
      </w:pPr>
      <w:r w:rsidRPr="005E0DC9">
        <w:rPr>
          <w:rFonts w:ascii="Calibri" w:eastAsia="MS Gothic" w:hAnsi="Calibri" w:cs="Times New Roman"/>
          <w:b/>
          <w:i/>
          <w:snapToGrid/>
          <w:sz w:val="28"/>
          <w:szCs w:val="28"/>
        </w:rPr>
        <w:t>Comparative effectiveness</w:t>
      </w:r>
      <w:bookmarkEnd w:id="26"/>
      <w:bookmarkEnd w:id="27"/>
      <w:r w:rsidRPr="005E0DC9">
        <w:rPr>
          <w:rFonts w:ascii="Calibri" w:eastAsia="MS Gothic" w:hAnsi="Calibri" w:cs="Times New Roman"/>
          <w:b/>
          <w:i/>
          <w:snapToGrid/>
          <w:sz w:val="28"/>
          <w:szCs w:val="28"/>
        </w:rPr>
        <w:t xml:space="preserve"> </w:t>
      </w:r>
    </w:p>
    <w:p w:rsidR="00610C73" w:rsidRPr="005E0DC9" w:rsidRDefault="00610C73"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submission provided results for both investigator-assessed and Independent Review Committee (IRC)-assessed PFS.  The IRC-assessed PFS was the primary endpoint in RESONATE-2. The investigator-assessed results </w:t>
      </w:r>
      <w:r w:rsidR="002C37AB" w:rsidRPr="005E0DC9">
        <w:rPr>
          <w:rFonts w:ascii="Calibri" w:eastAsia="Calibri" w:hAnsi="Calibri"/>
          <w:snapToGrid/>
          <w:sz w:val="24"/>
          <w:szCs w:val="22"/>
        </w:rPr>
        <w:t xml:space="preserve">were </w:t>
      </w:r>
      <w:r w:rsidRPr="005E0DC9">
        <w:rPr>
          <w:rFonts w:ascii="Calibri" w:eastAsia="Calibri" w:hAnsi="Calibri"/>
          <w:snapToGrid/>
          <w:sz w:val="24"/>
          <w:szCs w:val="22"/>
        </w:rPr>
        <w:t xml:space="preserve">used in the economic evaluation.  </w:t>
      </w:r>
    </w:p>
    <w:p w:rsidR="00610C73" w:rsidRPr="005E0DC9" w:rsidRDefault="00610C73"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following table provides a summary of investigator-assessed PFS across the trials, along with the results of the indirect comparisons for the May 2015 data cut of RESONATE-2, followed by available results for the February 2016 data cut.  The updated results included updated results for CLL11 (initial data cut May 2013; updated data cut April 2014), re-constructed from figures in the published paper (data for COMPLEMENT-1 was not updated). </w:t>
      </w:r>
    </w:p>
    <w:p w:rsidR="00610C73" w:rsidRPr="005E0DC9" w:rsidRDefault="00610C73" w:rsidP="00BC1B6A">
      <w:pPr>
        <w:keepNext/>
        <w:spacing w:before="120"/>
        <w:rPr>
          <w:rFonts w:ascii="Arial Narrow" w:hAnsi="Arial Narrow"/>
          <w:b/>
          <w:sz w:val="20"/>
        </w:rPr>
      </w:pPr>
      <w:r w:rsidRPr="005E0DC9">
        <w:rPr>
          <w:rFonts w:ascii="Arial Narrow" w:hAnsi="Arial Narrow"/>
          <w:b/>
          <w:sz w:val="20"/>
        </w:rPr>
        <w:t>Table 4: Summary of results of the indirect comparisons based on investigator-assessed PFS (May 2015 data cut for RESONATE-2)</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843"/>
        <w:gridCol w:w="1387"/>
        <w:gridCol w:w="1589"/>
        <w:gridCol w:w="1134"/>
        <w:gridCol w:w="1702"/>
      </w:tblGrid>
      <w:tr w:rsidR="00610C73" w:rsidRPr="005E0DC9" w:rsidTr="00656000">
        <w:trPr>
          <w:tblHeader/>
        </w:trPr>
        <w:tc>
          <w:tcPr>
            <w:tcW w:w="1524" w:type="dxa"/>
            <w:vAlign w:val="center"/>
          </w:tcPr>
          <w:p w:rsidR="00610C73" w:rsidRPr="005E0DC9" w:rsidRDefault="00610C73" w:rsidP="00656000">
            <w:pPr>
              <w:pStyle w:val="TableText1"/>
              <w:spacing w:before="0" w:after="0"/>
              <w:rPr>
                <w:b/>
                <w:szCs w:val="20"/>
              </w:rPr>
            </w:pPr>
            <w:r w:rsidRPr="005E0DC9">
              <w:rPr>
                <w:b/>
                <w:szCs w:val="20"/>
              </w:rPr>
              <w:t xml:space="preserve">Trial </w:t>
            </w:r>
          </w:p>
        </w:tc>
        <w:tc>
          <w:tcPr>
            <w:tcW w:w="1843" w:type="dxa"/>
            <w:shd w:val="clear" w:color="auto" w:fill="auto"/>
            <w:vAlign w:val="center"/>
          </w:tcPr>
          <w:p w:rsidR="00610C73" w:rsidRPr="005E0DC9" w:rsidRDefault="00610C73" w:rsidP="00656000">
            <w:pPr>
              <w:pStyle w:val="TableText1"/>
              <w:spacing w:before="0" w:after="0"/>
              <w:jc w:val="center"/>
              <w:rPr>
                <w:b/>
                <w:szCs w:val="20"/>
              </w:rPr>
            </w:pPr>
            <w:r w:rsidRPr="005E0DC9">
              <w:rPr>
                <w:b/>
                <w:szCs w:val="20"/>
              </w:rPr>
              <w:t>Outcome</w:t>
            </w:r>
          </w:p>
        </w:tc>
        <w:tc>
          <w:tcPr>
            <w:tcW w:w="1387" w:type="dxa"/>
            <w:shd w:val="clear" w:color="auto" w:fill="auto"/>
            <w:vAlign w:val="center"/>
          </w:tcPr>
          <w:p w:rsidR="00610C73" w:rsidRPr="005E0DC9" w:rsidRDefault="00610C73" w:rsidP="00656000">
            <w:pPr>
              <w:pStyle w:val="TableText1"/>
              <w:spacing w:before="0" w:after="0"/>
              <w:jc w:val="center"/>
              <w:rPr>
                <w:b/>
                <w:iCs/>
                <w:szCs w:val="20"/>
              </w:rPr>
            </w:pPr>
            <w:proofErr w:type="spellStart"/>
            <w:r w:rsidRPr="005E0DC9">
              <w:rPr>
                <w:b/>
                <w:iCs/>
                <w:szCs w:val="20"/>
              </w:rPr>
              <w:t>Ibr</w:t>
            </w:r>
            <w:proofErr w:type="spellEnd"/>
            <w:r w:rsidRPr="005E0DC9">
              <w:rPr>
                <w:b/>
                <w:iCs/>
                <w:szCs w:val="20"/>
              </w:rPr>
              <w:t xml:space="preserve"> </w:t>
            </w:r>
          </w:p>
          <w:p w:rsidR="00610C73" w:rsidRPr="005E0DC9" w:rsidRDefault="00610C73" w:rsidP="00656000">
            <w:pPr>
              <w:pStyle w:val="TableText1"/>
              <w:spacing w:before="0" w:after="0"/>
              <w:jc w:val="center"/>
              <w:rPr>
                <w:b/>
                <w:szCs w:val="20"/>
              </w:rPr>
            </w:pPr>
            <w:proofErr w:type="gramStart"/>
            <w:r w:rsidRPr="005E0DC9">
              <w:rPr>
                <w:b/>
                <w:iCs/>
                <w:szCs w:val="20"/>
              </w:rPr>
              <w:t>n/N</w:t>
            </w:r>
            <w:proofErr w:type="gramEnd"/>
            <w:r w:rsidRPr="005E0DC9">
              <w:rPr>
                <w:b/>
                <w:iCs/>
                <w:szCs w:val="20"/>
              </w:rPr>
              <w:t xml:space="preserve"> (%)</w:t>
            </w:r>
          </w:p>
        </w:tc>
        <w:tc>
          <w:tcPr>
            <w:tcW w:w="1589" w:type="dxa"/>
            <w:shd w:val="clear" w:color="auto" w:fill="auto"/>
            <w:vAlign w:val="center"/>
          </w:tcPr>
          <w:p w:rsidR="00610C73" w:rsidRPr="005E0DC9" w:rsidRDefault="00610C73" w:rsidP="00656000">
            <w:pPr>
              <w:pStyle w:val="TableText1"/>
              <w:spacing w:before="0" w:after="0"/>
              <w:jc w:val="center"/>
              <w:rPr>
                <w:b/>
                <w:szCs w:val="20"/>
              </w:rPr>
            </w:pPr>
            <w:proofErr w:type="spellStart"/>
            <w:r w:rsidRPr="005E0DC9">
              <w:rPr>
                <w:b/>
                <w:szCs w:val="20"/>
              </w:rPr>
              <w:t>Chl</w:t>
            </w:r>
            <w:proofErr w:type="spellEnd"/>
            <w:r w:rsidRPr="005E0DC9">
              <w:rPr>
                <w:b/>
                <w:szCs w:val="20"/>
              </w:rPr>
              <w:t xml:space="preserve"> </w:t>
            </w:r>
          </w:p>
          <w:p w:rsidR="00610C73" w:rsidRPr="005E0DC9" w:rsidRDefault="00610C73" w:rsidP="00656000">
            <w:pPr>
              <w:pStyle w:val="TableText1"/>
              <w:spacing w:before="0" w:after="0"/>
              <w:jc w:val="center"/>
              <w:rPr>
                <w:b/>
                <w:szCs w:val="20"/>
              </w:rPr>
            </w:pPr>
            <w:proofErr w:type="gramStart"/>
            <w:r w:rsidRPr="005E0DC9">
              <w:rPr>
                <w:b/>
                <w:szCs w:val="20"/>
              </w:rPr>
              <w:t>n/N</w:t>
            </w:r>
            <w:proofErr w:type="gramEnd"/>
            <w:r w:rsidRPr="005E0DC9">
              <w:rPr>
                <w:b/>
                <w:szCs w:val="20"/>
              </w:rPr>
              <w:t xml:space="preserve"> (%)</w:t>
            </w:r>
          </w:p>
        </w:tc>
        <w:tc>
          <w:tcPr>
            <w:tcW w:w="1134" w:type="dxa"/>
            <w:shd w:val="clear" w:color="auto" w:fill="auto"/>
            <w:vAlign w:val="center"/>
          </w:tcPr>
          <w:p w:rsidR="00610C73" w:rsidRPr="005E0DC9" w:rsidRDefault="00610C73" w:rsidP="00656000">
            <w:pPr>
              <w:pStyle w:val="TableText1"/>
              <w:spacing w:before="0" w:after="0"/>
              <w:jc w:val="center"/>
              <w:rPr>
                <w:b/>
                <w:szCs w:val="20"/>
              </w:rPr>
            </w:pPr>
            <w:r w:rsidRPr="005E0DC9">
              <w:rPr>
                <w:b/>
                <w:szCs w:val="20"/>
              </w:rPr>
              <w:t>Absolute difference</w:t>
            </w:r>
          </w:p>
        </w:tc>
        <w:tc>
          <w:tcPr>
            <w:tcW w:w="1702" w:type="dxa"/>
            <w:shd w:val="clear" w:color="auto" w:fill="auto"/>
            <w:vAlign w:val="center"/>
          </w:tcPr>
          <w:p w:rsidR="00610C73" w:rsidRPr="005E0DC9" w:rsidRDefault="00610C73" w:rsidP="00656000">
            <w:pPr>
              <w:pStyle w:val="TableText1"/>
              <w:spacing w:before="0" w:after="0"/>
              <w:jc w:val="center"/>
              <w:rPr>
                <w:b/>
                <w:szCs w:val="20"/>
              </w:rPr>
            </w:pPr>
            <w:r w:rsidRPr="005E0DC9">
              <w:rPr>
                <w:b/>
                <w:szCs w:val="20"/>
              </w:rPr>
              <w:t>HR (95% CI)</w:t>
            </w:r>
          </w:p>
        </w:tc>
      </w:tr>
      <w:tr w:rsidR="00610C73" w:rsidRPr="005E0DC9" w:rsidTr="00656000">
        <w:tc>
          <w:tcPr>
            <w:tcW w:w="1524" w:type="dxa"/>
            <w:vMerge w:val="restart"/>
            <w:vAlign w:val="center"/>
          </w:tcPr>
          <w:p w:rsidR="00610C73" w:rsidRPr="005E0DC9" w:rsidRDefault="00610C73" w:rsidP="00656000">
            <w:pPr>
              <w:pStyle w:val="TableText1"/>
              <w:spacing w:before="0" w:after="0"/>
              <w:rPr>
                <w:szCs w:val="20"/>
              </w:rPr>
            </w:pPr>
            <w:r w:rsidRPr="005E0DC9">
              <w:rPr>
                <w:szCs w:val="20"/>
              </w:rPr>
              <w:t xml:space="preserve">RESONATE-2 </w:t>
            </w:r>
          </w:p>
          <w:p w:rsidR="00610C73" w:rsidRPr="005E0DC9" w:rsidRDefault="00610C73" w:rsidP="00656000">
            <w:pPr>
              <w:pStyle w:val="TableText1"/>
              <w:spacing w:before="0" w:after="0"/>
              <w:rPr>
                <w:szCs w:val="20"/>
              </w:rPr>
            </w:pPr>
            <w:proofErr w:type="spellStart"/>
            <w:r w:rsidRPr="005E0DC9">
              <w:rPr>
                <w:szCs w:val="20"/>
              </w:rPr>
              <w:t>ibr</w:t>
            </w:r>
            <w:proofErr w:type="spellEnd"/>
            <w:r w:rsidRPr="005E0DC9">
              <w:rPr>
                <w:szCs w:val="20"/>
              </w:rPr>
              <w:t xml:space="preserve"> vs. </w:t>
            </w:r>
            <w:proofErr w:type="spellStart"/>
            <w:r w:rsidRPr="005E0DC9">
              <w:rPr>
                <w:szCs w:val="20"/>
              </w:rPr>
              <w:t>chl</w:t>
            </w:r>
            <w:proofErr w:type="spellEnd"/>
          </w:p>
        </w:tc>
        <w:tc>
          <w:tcPr>
            <w:tcW w:w="1843" w:type="dxa"/>
            <w:shd w:val="clear" w:color="auto" w:fill="auto"/>
            <w:vAlign w:val="center"/>
          </w:tcPr>
          <w:p w:rsidR="00610C73" w:rsidRPr="005E0DC9" w:rsidRDefault="00610C73" w:rsidP="00656000">
            <w:pPr>
              <w:pStyle w:val="TableText1"/>
              <w:spacing w:before="0" w:after="0"/>
              <w:rPr>
                <w:szCs w:val="20"/>
              </w:rPr>
            </w:pPr>
            <w:r w:rsidRPr="005E0DC9">
              <w:rPr>
                <w:szCs w:val="20"/>
              </w:rPr>
              <w:t>Progressed</w:t>
            </w:r>
          </w:p>
        </w:tc>
        <w:tc>
          <w:tcPr>
            <w:tcW w:w="1387" w:type="dxa"/>
            <w:shd w:val="clear" w:color="auto" w:fill="auto"/>
            <w:vAlign w:val="center"/>
          </w:tcPr>
          <w:p w:rsidR="00610C73" w:rsidRPr="005E0DC9" w:rsidRDefault="00610C73" w:rsidP="00656000">
            <w:pPr>
              <w:pStyle w:val="TableText1"/>
              <w:spacing w:before="0" w:after="0"/>
              <w:jc w:val="center"/>
              <w:rPr>
                <w:iCs/>
                <w:szCs w:val="20"/>
              </w:rPr>
            </w:pPr>
            <w:r w:rsidRPr="005E0DC9">
              <w:rPr>
                <w:iCs/>
                <w:szCs w:val="20"/>
              </w:rPr>
              <w:t>6/136 (4.4%)</w:t>
            </w:r>
          </w:p>
        </w:tc>
        <w:tc>
          <w:tcPr>
            <w:tcW w:w="1589" w:type="dxa"/>
            <w:shd w:val="clear" w:color="auto" w:fill="auto"/>
            <w:vAlign w:val="center"/>
          </w:tcPr>
          <w:p w:rsidR="00610C73" w:rsidRPr="005E0DC9" w:rsidRDefault="00610C73" w:rsidP="00656000">
            <w:pPr>
              <w:pStyle w:val="TableText1"/>
              <w:spacing w:before="0" w:after="0"/>
              <w:jc w:val="center"/>
              <w:rPr>
                <w:iCs/>
                <w:szCs w:val="20"/>
              </w:rPr>
            </w:pPr>
            <w:r w:rsidRPr="005E0DC9">
              <w:rPr>
                <w:iCs/>
                <w:szCs w:val="20"/>
              </w:rPr>
              <w:t>64/133</w:t>
            </w:r>
            <w:r w:rsidRPr="005E0DC9">
              <w:rPr>
                <w:szCs w:val="20"/>
              </w:rPr>
              <w:t xml:space="preserve"> (48.1%)</w:t>
            </w:r>
          </w:p>
        </w:tc>
        <w:tc>
          <w:tcPr>
            <w:tcW w:w="1134" w:type="dxa"/>
            <w:shd w:val="clear" w:color="auto" w:fill="auto"/>
            <w:vAlign w:val="center"/>
          </w:tcPr>
          <w:p w:rsidR="00610C73" w:rsidRPr="005E0DC9" w:rsidRDefault="00610C73" w:rsidP="00656000">
            <w:pPr>
              <w:pStyle w:val="TableText1"/>
              <w:spacing w:before="0" w:after="0"/>
              <w:jc w:val="center"/>
              <w:rPr>
                <w:szCs w:val="20"/>
              </w:rPr>
            </w:pPr>
            <w:r w:rsidRPr="005E0DC9">
              <w:rPr>
                <w:szCs w:val="20"/>
              </w:rPr>
              <w:t>-</w:t>
            </w:r>
          </w:p>
        </w:tc>
        <w:tc>
          <w:tcPr>
            <w:tcW w:w="1702" w:type="dxa"/>
            <w:shd w:val="clear" w:color="auto" w:fill="auto"/>
            <w:vAlign w:val="center"/>
          </w:tcPr>
          <w:p w:rsidR="00610C73" w:rsidRPr="005E0DC9" w:rsidRDefault="00610C73" w:rsidP="00656000">
            <w:pPr>
              <w:pStyle w:val="TableText1"/>
              <w:spacing w:before="0" w:after="0"/>
              <w:jc w:val="center"/>
              <w:rPr>
                <w:szCs w:val="20"/>
              </w:rPr>
            </w:pPr>
            <w:r w:rsidRPr="005E0DC9">
              <w:rPr>
                <w:szCs w:val="20"/>
              </w:rPr>
              <w:t>-</w:t>
            </w:r>
          </w:p>
        </w:tc>
      </w:tr>
      <w:tr w:rsidR="00610C73" w:rsidRPr="005E0DC9" w:rsidTr="00656000">
        <w:tc>
          <w:tcPr>
            <w:tcW w:w="1524" w:type="dxa"/>
            <w:vMerge/>
            <w:tcBorders>
              <w:bottom w:val="double" w:sz="4" w:space="0" w:color="auto"/>
            </w:tcBorders>
            <w:vAlign w:val="center"/>
          </w:tcPr>
          <w:p w:rsidR="00610C73" w:rsidRPr="005E0DC9" w:rsidRDefault="00610C73" w:rsidP="00656000">
            <w:pPr>
              <w:pStyle w:val="TableText1"/>
              <w:spacing w:before="0" w:after="0"/>
              <w:rPr>
                <w:szCs w:val="20"/>
              </w:rPr>
            </w:pPr>
          </w:p>
        </w:tc>
        <w:tc>
          <w:tcPr>
            <w:tcW w:w="1843" w:type="dxa"/>
            <w:tcBorders>
              <w:bottom w:val="double" w:sz="4" w:space="0" w:color="auto"/>
            </w:tcBorders>
            <w:shd w:val="clear" w:color="auto" w:fill="auto"/>
            <w:vAlign w:val="center"/>
          </w:tcPr>
          <w:p w:rsidR="00610C73" w:rsidRPr="005E0DC9" w:rsidRDefault="00610C73" w:rsidP="00656000">
            <w:pPr>
              <w:pStyle w:val="TableText1"/>
              <w:spacing w:before="0" w:after="0"/>
              <w:rPr>
                <w:szCs w:val="20"/>
              </w:rPr>
            </w:pPr>
            <w:r w:rsidRPr="005E0DC9">
              <w:rPr>
                <w:szCs w:val="20"/>
              </w:rPr>
              <w:t>Median months PFS</w:t>
            </w:r>
          </w:p>
        </w:tc>
        <w:tc>
          <w:tcPr>
            <w:tcW w:w="1387" w:type="dxa"/>
            <w:tcBorders>
              <w:bottom w:val="double" w:sz="4" w:space="0" w:color="auto"/>
            </w:tcBorders>
            <w:shd w:val="clear" w:color="auto" w:fill="auto"/>
            <w:vAlign w:val="center"/>
          </w:tcPr>
          <w:p w:rsidR="00610C73" w:rsidRPr="005E0DC9" w:rsidRDefault="00610C73" w:rsidP="00656000">
            <w:pPr>
              <w:pStyle w:val="TableText1"/>
              <w:spacing w:before="0" w:after="0"/>
              <w:jc w:val="center"/>
              <w:rPr>
                <w:iCs/>
                <w:szCs w:val="20"/>
              </w:rPr>
            </w:pPr>
            <w:r w:rsidRPr="005E0DC9">
              <w:rPr>
                <w:iCs/>
                <w:szCs w:val="20"/>
              </w:rPr>
              <w:t>NR</w:t>
            </w:r>
          </w:p>
        </w:tc>
        <w:tc>
          <w:tcPr>
            <w:tcW w:w="1589" w:type="dxa"/>
            <w:tcBorders>
              <w:bottom w:val="double" w:sz="4" w:space="0" w:color="auto"/>
            </w:tcBorders>
            <w:shd w:val="clear" w:color="auto" w:fill="auto"/>
            <w:vAlign w:val="center"/>
          </w:tcPr>
          <w:p w:rsidR="00610C73" w:rsidRPr="005E0DC9" w:rsidRDefault="00610C73" w:rsidP="00656000">
            <w:pPr>
              <w:pStyle w:val="TableText1"/>
              <w:spacing w:before="0" w:after="0"/>
              <w:jc w:val="center"/>
              <w:rPr>
                <w:iCs/>
                <w:szCs w:val="20"/>
              </w:rPr>
            </w:pPr>
            <w:r w:rsidRPr="005E0DC9">
              <w:rPr>
                <w:iCs/>
                <w:szCs w:val="20"/>
              </w:rPr>
              <w:t>15 (10.2, 18.9)</w:t>
            </w:r>
          </w:p>
        </w:tc>
        <w:tc>
          <w:tcPr>
            <w:tcW w:w="1134" w:type="dxa"/>
            <w:tcBorders>
              <w:bottom w:val="double" w:sz="4" w:space="0" w:color="auto"/>
            </w:tcBorders>
            <w:shd w:val="clear" w:color="auto" w:fill="auto"/>
            <w:vAlign w:val="center"/>
          </w:tcPr>
          <w:p w:rsidR="00610C73" w:rsidRPr="005E0DC9" w:rsidRDefault="00610C73" w:rsidP="00656000">
            <w:pPr>
              <w:pStyle w:val="TableText1"/>
              <w:spacing w:before="0" w:after="0"/>
              <w:jc w:val="center"/>
              <w:rPr>
                <w:szCs w:val="20"/>
              </w:rPr>
            </w:pPr>
            <w:r w:rsidRPr="005E0DC9">
              <w:rPr>
                <w:szCs w:val="20"/>
              </w:rPr>
              <w:t>-</w:t>
            </w:r>
          </w:p>
        </w:tc>
        <w:tc>
          <w:tcPr>
            <w:tcW w:w="1702" w:type="dxa"/>
            <w:tcBorders>
              <w:bottom w:val="double" w:sz="4" w:space="0" w:color="auto"/>
            </w:tcBorders>
            <w:shd w:val="clear" w:color="auto" w:fill="auto"/>
            <w:vAlign w:val="center"/>
          </w:tcPr>
          <w:p w:rsidR="00610C73" w:rsidRPr="005E0DC9" w:rsidRDefault="00610C73" w:rsidP="00656000">
            <w:pPr>
              <w:pStyle w:val="TableText1"/>
              <w:spacing w:before="0" w:after="0"/>
              <w:jc w:val="center"/>
              <w:rPr>
                <w:szCs w:val="20"/>
              </w:rPr>
            </w:pPr>
            <w:r w:rsidRPr="005E0DC9">
              <w:rPr>
                <w:szCs w:val="20"/>
              </w:rPr>
              <w:t>0.09 (0.04, 0.17)</w:t>
            </w:r>
          </w:p>
        </w:tc>
      </w:tr>
      <w:tr w:rsidR="00610C73" w:rsidRPr="005E0DC9" w:rsidTr="00656000">
        <w:tc>
          <w:tcPr>
            <w:tcW w:w="1524" w:type="dxa"/>
            <w:tcBorders>
              <w:top w:val="double" w:sz="4" w:space="0" w:color="auto"/>
              <w:bottom w:val="single" w:sz="4" w:space="0" w:color="auto"/>
            </w:tcBorders>
            <w:vAlign w:val="center"/>
          </w:tcPr>
          <w:p w:rsidR="00610C73" w:rsidRPr="005E0DC9" w:rsidRDefault="00610C73" w:rsidP="00656000">
            <w:pPr>
              <w:pStyle w:val="TableText1"/>
              <w:spacing w:before="0" w:after="0"/>
              <w:rPr>
                <w:b/>
                <w:szCs w:val="20"/>
              </w:rPr>
            </w:pPr>
            <w:r w:rsidRPr="005E0DC9">
              <w:rPr>
                <w:b/>
                <w:szCs w:val="20"/>
              </w:rPr>
              <w:t>Comparators</w:t>
            </w:r>
          </w:p>
        </w:tc>
        <w:tc>
          <w:tcPr>
            <w:tcW w:w="1843" w:type="dxa"/>
            <w:tcBorders>
              <w:top w:val="double" w:sz="4" w:space="0" w:color="auto"/>
              <w:bottom w:val="single" w:sz="4" w:space="0" w:color="auto"/>
            </w:tcBorders>
            <w:shd w:val="clear" w:color="auto" w:fill="auto"/>
            <w:vAlign w:val="center"/>
          </w:tcPr>
          <w:p w:rsidR="00610C73" w:rsidRPr="005E0DC9" w:rsidRDefault="00610C73" w:rsidP="00656000">
            <w:pPr>
              <w:pStyle w:val="TableText1"/>
              <w:spacing w:before="0" w:after="0"/>
              <w:rPr>
                <w:szCs w:val="20"/>
              </w:rPr>
            </w:pPr>
          </w:p>
        </w:tc>
        <w:tc>
          <w:tcPr>
            <w:tcW w:w="1387" w:type="dxa"/>
            <w:tcBorders>
              <w:top w:val="double" w:sz="4" w:space="0" w:color="auto"/>
              <w:bottom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b/>
                <w:szCs w:val="20"/>
              </w:rPr>
            </w:pPr>
            <w:r w:rsidRPr="005E0DC9">
              <w:rPr>
                <w:rFonts w:eastAsia="Times New Roman" w:cs="Times New Roman"/>
                <w:b/>
                <w:szCs w:val="20"/>
              </w:rPr>
              <w:t xml:space="preserve">Intervention </w:t>
            </w:r>
          </w:p>
          <w:p w:rsidR="00610C73" w:rsidRPr="005E0DC9" w:rsidRDefault="00610C73" w:rsidP="00656000">
            <w:pPr>
              <w:pStyle w:val="TableText1"/>
              <w:spacing w:before="0" w:after="0"/>
              <w:jc w:val="center"/>
              <w:rPr>
                <w:rFonts w:eastAsia="Times New Roman" w:cs="Times New Roman"/>
                <w:szCs w:val="20"/>
              </w:rPr>
            </w:pPr>
            <w:proofErr w:type="gramStart"/>
            <w:r w:rsidRPr="005E0DC9">
              <w:rPr>
                <w:rFonts w:eastAsia="Times New Roman" w:cs="Times New Roman"/>
                <w:b/>
                <w:szCs w:val="20"/>
              </w:rPr>
              <w:t>n/N</w:t>
            </w:r>
            <w:proofErr w:type="gramEnd"/>
            <w:r w:rsidRPr="005E0DC9">
              <w:rPr>
                <w:rFonts w:eastAsia="Times New Roman" w:cs="Times New Roman"/>
                <w:b/>
                <w:szCs w:val="20"/>
              </w:rPr>
              <w:t xml:space="preserve"> (%)</w:t>
            </w:r>
          </w:p>
        </w:tc>
        <w:tc>
          <w:tcPr>
            <w:tcW w:w="1589" w:type="dxa"/>
            <w:tcBorders>
              <w:top w:val="double" w:sz="4" w:space="0" w:color="auto"/>
              <w:bottom w:val="single" w:sz="4" w:space="0" w:color="auto"/>
            </w:tcBorders>
            <w:shd w:val="clear" w:color="auto" w:fill="auto"/>
            <w:vAlign w:val="center"/>
          </w:tcPr>
          <w:p w:rsidR="00610C73" w:rsidRPr="005E0DC9" w:rsidRDefault="00610C73" w:rsidP="00656000">
            <w:pPr>
              <w:pStyle w:val="TableText1"/>
              <w:spacing w:before="0" w:after="0"/>
              <w:jc w:val="center"/>
              <w:rPr>
                <w:b/>
                <w:szCs w:val="20"/>
              </w:rPr>
            </w:pPr>
            <w:proofErr w:type="spellStart"/>
            <w:r w:rsidRPr="005E0DC9">
              <w:rPr>
                <w:b/>
                <w:szCs w:val="20"/>
              </w:rPr>
              <w:t>Chl</w:t>
            </w:r>
            <w:proofErr w:type="spellEnd"/>
            <w:r w:rsidRPr="005E0DC9">
              <w:rPr>
                <w:b/>
                <w:szCs w:val="20"/>
              </w:rPr>
              <w:t xml:space="preserve"> </w:t>
            </w:r>
          </w:p>
          <w:p w:rsidR="00610C73" w:rsidRPr="005E0DC9" w:rsidRDefault="00610C73" w:rsidP="00656000">
            <w:pPr>
              <w:pStyle w:val="TableText1"/>
              <w:spacing w:before="0" w:after="0"/>
              <w:jc w:val="center"/>
              <w:rPr>
                <w:rFonts w:eastAsia="Times New Roman" w:cs="Times New Roman"/>
                <w:szCs w:val="20"/>
              </w:rPr>
            </w:pPr>
            <w:proofErr w:type="gramStart"/>
            <w:r w:rsidRPr="005E0DC9">
              <w:rPr>
                <w:b/>
                <w:szCs w:val="20"/>
              </w:rPr>
              <w:t>n/N</w:t>
            </w:r>
            <w:proofErr w:type="gramEnd"/>
            <w:r w:rsidRPr="005E0DC9">
              <w:rPr>
                <w:b/>
                <w:szCs w:val="20"/>
              </w:rPr>
              <w:t xml:space="preserve"> (%)</w:t>
            </w:r>
          </w:p>
        </w:tc>
        <w:tc>
          <w:tcPr>
            <w:tcW w:w="1134" w:type="dxa"/>
            <w:tcBorders>
              <w:top w:val="double" w:sz="4" w:space="0" w:color="auto"/>
              <w:bottom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b/>
                <w:szCs w:val="20"/>
              </w:rPr>
              <w:t>Absolute difference</w:t>
            </w:r>
          </w:p>
        </w:tc>
        <w:tc>
          <w:tcPr>
            <w:tcW w:w="1702" w:type="dxa"/>
            <w:tcBorders>
              <w:top w:val="double" w:sz="4" w:space="0" w:color="auto"/>
              <w:bottom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b/>
                <w:szCs w:val="20"/>
              </w:rPr>
              <w:t>HR (95% CI)</w:t>
            </w:r>
          </w:p>
        </w:tc>
      </w:tr>
      <w:tr w:rsidR="00610C73" w:rsidRPr="005E0DC9" w:rsidTr="00656000">
        <w:tc>
          <w:tcPr>
            <w:tcW w:w="1524" w:type="dxa"/>
            <w:vMerge w:val="restart"/>
            <w:tcBorders>
              <w:top w:val="single" w:sz="4" w:space="0" w:color="auto"/>
            </w:tcBorders>
            <w:vAlign w:val="center"/>
          </w:tcPr>
          <w:p w:rsidR="00610C73" w:rsidRPr="005E0DC9" w:rsidRDefault="00610C73" w:rsidP="00656000">
            <w:pPr>
              <w:pStyle w:val="TableText1"/>
              <w:spacing w:before="0" w:after="0"/>
              <w:rPr>
                <w:szCs w:val="20"/>
              </w:rPr>
            </w:pPr>
            <w:r w:rsidRPr="005E0DC9">
              <w:rPr>
                <w:szCs w:val="20"/>
              </w:rPr>
              <w:t xml:space="preserve">CLL11 </w:t>
            </w:r>
          </w:p>
          <w:p w:rsidR="00610C73" w:rsidRPr="005E0DC9" w:rsidRDefault="00610C73" w:rsidP="00656000">
            <w:pPr>
              <w:pStyle w:val="TableText1"/>
              <w:spacing w:before="0" w:after="0"/>
              <w:rPr>
                <w:szCs w:val="20"/>
              </w:rPr>
            </w:pPr>
            <w:proofErr w:type="spellStart"/>
            <w:r w:rsidRPr="005E0DC9">
              <w:rPr>
                <w:szCs w:val="20"/>
              </w:rPr>
              <w:t>ritux+chl</w:t>
            </w:r>
            <w:proofErr w:type="spellEnd"/>
            <w:r w:rsidRPr="005E0DC9">
              <w:rPr>
                <w:szCs w:val="20"/>
              </w:rPr>
              <w:t xml:space="preserve"> vs </w:t>
            </w:r>
            <w:proofErr w:type="spellStart"/>
            <w:r w:rsidRPr="005E0DC9">
              <w:rPr>
                <w:szCs w:val="20"/>
              </w:rPr>
              <w:t>chl</w:t>
            </w:r>
            <w:proofErr w:type="spellEnd"/>
          </w:p>
        </w:tc>
        <w:tc>
          <w:tcPr>
            <w:tcW w:w="1843" w:type="dxa"/>
            <w:tcBorders>
              <w:top w:val="single" w:sz="4" w:space="0" w:color="auto"/>
            </w:tcBorders>
            <w:shd w:val="clear" w:color="auto" w:fill="auto"/>
            <w:vAlign w:val="center"/>
          </w:tcPr>
          <w:p w:rsidR="00610C73" w:rsidRPr="005E0DC9" w:rsidRDefault="00610C73" w:rsidP="00656000">
            <w:pPr>
              <w:pStyle w:val="TableText1"/>
              <w:spacing w:before="0" w:after="0"/>
              <w:rPr>
                <w:rFonts w:eastAsia="Times New Roman" w:cs="Times New Roman"/>
                <w:szCs w:val="20"/>
              </w:rPr>
            </w:pPr>
            <w:r w:rsidRPr="005E0DC9">
              <w:rPr>
                <w:szCs w:val="20"/>
              </w:rPr>
              <w:t>Progressed</w:t>
            </w:r>
          </w:p>
        </w:tc>
        <w:tc>
          <w:tcPr>
            <w:tcW w:w="1387" w:type="dxa"/>
            <w:tcBorders>
              <w:top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tcBorders>
              <w:top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tcBorders>
              <w:top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702" w:type="dxa"/>
            <w:tcBorders>
              <w:top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p>
        </w:tc>
      </w:tr>
      <w:tr w:rsidR="00610C73" w:rsidRPr="005E0DC9" w:rsidTr="00656000">
        <w:tc>
          <w:tcPr>
            <w:tcW w:w="1524" w:type="dxa"/>
            <w:vMerge/>
            <w:vAlign w:val="center"/>
          </w:tcPr>
          <w:p w:rsidR="00610C73" w:rsidRPr="005E0DC9" w:rsidRDefault="00610C73" w:rsidP="00656000">
            <w:pPr>
              <w:pStyle w:val="TableText1"/>
              <w:spacing w:before="0" w:after="0"/>
              <w:rPr>
                <w:szCs w:val="20"/>
              </w:rPr>
            </w:pPr>
          </w:p>
        </w:tc>
        <w:tc>
          <w:tcPr>
            <w:tcW w:w="1843" w:type="dxa"/>
            <w:shd w:val="clear" w:color="auto" w:fill="auto"/>
            <w:vAlign w:val="center"/>
          </w:tcPr>
          <w:p w:rsidR="00610C73" w:rsidRPr="005E0DC9" w:rsidRDefault="00610C73" w:rsidP="00656000">
            <w:pPr>
              <w:pStyle w:val="TableText1"/>
              <w:spacing w:before="0" w:after="0"/>
              <w:rPr>
                <w:rFonts w:eastAsia="Times New Roman" w:cs="Times New Roman"/>
                <w:szCs w:val="20"/>
              </w:rPr>
            </w:pPr>
            <w:r w:rsidRPr="005E0DC9">
              <w:rPr>
                <w:szCs w:val="20"/>
              </w:rPr>
              <w:t>Median months PFS</w:t>
            </w:r>
          </w:p>
        </w:tc>
        <w:tc>
          <w:tcPr>
            <w:tcW w:w="1387"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16.3</w:t>
            </w:r>
          </w:p>
        </w:tc>
        <w:tc>
          <w:tcPr>
            <w:tcW w:w="1589"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11.1</w:t>
            </w:r>
          </w:p>
        </w:tc>
        <w:tc>
          <w:tcPr>
            <w:tcW w:w="1134"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 xml:space="preserve">5.2 </w:t>
            </w:r>
            <w:proofErr w:type="spellStart"/>
            <w:r w:rsidRPr="005E0DC9">
              <w:rPr>
                <w:rFonts w:eastAsia="Times New Roman" w:cs="Times New Roman"/>
                <w:szCs w:val="20"/>
              </w:rPr>
              <w:t>mths</w:t>
            </w:r>
            <w:proofErr w:type="spellEnd"/>
          </w:p>
        </w:tc>
        <w:tc>
          <w:tcPr>
            <w:tcW w:w="1702"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0.44 (0.34, 0.57)</w:t>
            </w:r>
          </w:p>
        </w:tc>
      </w:tr>
      <w:tr w:rsidR="00610C73" w:rsidRPr="005E0DC9" w:rsidTr="00656000">
        <w:tc>
          <w:tcPr>
            <w:tcW w:w="7477" w:type="dxa"/>
            <w:gridSpan w:val="5"/>
            <w:vAlign w:val="center"/>
          </w:tcPr>
          <w:p w:rsidR="00610C73" w:rsidRPr="005E0DC9" w:rsidRDefault="00610C73" w:rsidP="00656000">
            <w:pPr>
              <w:pStyle w:val="TableText1"/>
              <w:spacing w:before="0" w:after="0"/>
              <w:jc w:val="right"/>
              <w:rPr>
                <w:rFonts w:eastAsia="Times New Roman" w:cs="Times New Roman"/>
                <w:b/>
                <w:szCs w:val="20"/>
              </w:rPr>
            </w:pPr>
            <w:r w:rsidRPr="005E0DC9">
              <w:rPr>
                <w:b/>
                <w:szCs w:val="20"/>
              </w:rPr>
              <w:t xml:space="preserve">Indirect comparison </w:t>
            </w:r>
            <w:proofErr w:type="spellStart"/>
            <w:r w:rsidRPr="005E0DC9">
              <w:rPr>
                <w:b/>
                <w:szCs w:val="20"/>
              </w:rPr>
              <w:t>ibr</w:t>
            </w:r>
            <w:proofErr w:type="spellEnd"/>
            <w:r w:rsidRPr="005E0DC9">
              <w:rPr>
                <w:b/>
                <w:szCs w:val="20"/>
              </w:rPr>
              <w:t xml:space="preserve"> vs. </w:t>
            </w:r>
            <w:proofErr w:type="spellStart"/>
            <w:r w:rsidRPr="005E0DC9">
              <w:rPr>
                <w:b/>
                <w:szCs w:val="20"/>
              </w:rPr>
              <w:t>ritux+chl</w:t>
            </w:r>
            <w:proofErr w:type="spellEnd"/>
          </w:p>
        </w:tc>
        <w:tc>
          <w:tcPr>
            <w:tcW w:w="1702" w:type="dxa"/>
            <w:shd w:val="clear" w:color="auto" w:fill="auto"/>
            <w:vAlign w:val="center"/>
          </w:tcPr>
          <w:p w:rsidR="00610C73" w:rsidRPr="00773C23" w:rsidRDefault="00773C23" w:rsidP="00656000">
            <w:pPr>
              <w:pStyle w:val="TableText1"/>
              <w:spacing w:before="0" w:after="0"/>
              <w:jc w:val="center"/>
              <w:rPr>
                <w:rFonts w:eastAsia="Times New Roman" w:cs="Times New Roman"/>
                <w:b/>
                <w:szCs w:val="20"/>
                <w:highlight w:val="black"/>
              </w:rPr>
            </w:pPr>
            <w:r>
              <w:rPr>
                <w:rFonts w:eastAsia="Times New Roman" w:cs="Times New Roman"/>
                <w:b/>
                <w:noProof/>
                <w:color w:val="000000"/>
                <w:szCs w:val="20"/>
                <w:highlight w:val="black"/>
              </w:rPr>
              <w:t>''''''''' '''''''''''' '''''''''</w:t>
            </w:r>
          </w:p>
        </w:tc>
      </w:tr>
      <w:tr w:rsidR="00610C73" w:rsidRPr="005E0DC9" w:rsidTr="00656000">
        <w:tc>
          <w:tcPr>
            <w:tcW w:w="1524" w:type="dxa"/>
            <w:vMerge w:val="restart"/>
            <w:vAlign w:val="center"/>
          </w:tcPr>
          <w:p w:rsidR="00610C73" w:rsidRPr="005E0DC9" w:rsidRDefault="00610C73" w:rsidP="00656000">
            <w:pPr>
              <w:pStyle w:val="TableText1"/>
              <w:spacing w:before="0" w:after="0"/>
              <w:rPr>
                <w:szCs w:val="20"/>
              </w:rPr>
            </w:pPr>
            <w:r w:rsidRPr="005E0DC9">
              <w:rPr>
                <w:szCs w:val="20"/>
              </w:rPr>
              <w:t xml:space="preserve">CLL11 </w:t>
            </w:r>
          </w:p>
          <w:p w:rsidR="00610C73" w:rsidRPr="005E0DC9" w:rsidRDefault="00610C73" w:rsidP="00656000">
            <w:pPr>
              <w:pStyle w:val="TableText1"/>
              <w:spacing w:before="0" w:after="0"/>
              <w:rPr>
                <w:szCs w:val="20"/>
              </w:rPr>
            </w:pPr>
            <w:proofErr w:type="spellStart"/>
            <w:r w:rsidRPr="005E0DC9">
              <w:rPr>
                <w:szCs w:val="20"/>
              </w:rPr>
              <w:t>obi+chl</w:t>
            </w:r>
            <w:proofErr w:type="spellEnd"/>
            <w:r w:rsidRPr="005E0DC9">
              <w:rPr>
                <w:szCs w:val="20"/>
              </w:rPr>
              <w:t xml:space="preserve"> vs. </w:t>
            </w:r>
            <w:proofErr w:type="spellStart"/>
            <w:r w:rsidRPr="005E0DC9">
              <w:rPr>
                <w:szCs w:val="20"/>
              </w:rPr>
              <w:t>chl</w:t>
            </w:r>
            <w:proofErr w:type="spellEnd"/>
          </w:p>
        </w:tc>
        <w:tc>
          <w:tcPr>
            <w:tcW w:w="1843" w:type="dxa"/>
            <w:shd w:val="clear" w:color="auto" w:fill="auto"/>
            <w:vAlign w:val="center"/>
          </w:tcPr>
          <w:p w:rsidR="00610C73" w:rsidRPr="005E0DC9" w:rsidRDefault="00610C73" w:rsidP="00656000">
            <w:pPr>
              <w:pStyle w:val="TableText1"/>
              <w:spacing w:before="0" w:after="0"/>
              <w:rPr>
                <w:rFonts w:eastAsia="Times New Roman" w:cs="Times New Roman"/>
                <w:szCs w:val="20"/>
              </w:rPr>
            </w:pPr>
            <w:r w:rsidRPr="005E0DC9">
              <w:rPr>
                <w:szCs w:val="20"/>
              </w:rPr>
              <w:t>Progressed</w:t>
            </w:r>
          </w:p>
        </w:tc>
        <w:tc>
          <w:tcPr>
            <w:tcW w:w="1387"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702"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w:t>
            </w:r>
          </w:p>
        </w:tc>
      </w:tr>
      <w:tr w:rsidR="00610C73" w:rsidRPr="005E0DC9" w:rsidTr="00656000">
        <w:tc>
          <w:tcPr>
            <w:tcW w:w="1524" w:type="dxa"/>
            <w:vMerge/>
            <w:vAlign w:val="center"/>
          </w:tcPr>
          <w:p w:rsidR="00610C73" w:rsidRPr="005E0DC9" w:rsidRDefault="00610C73" w:rsidP="00656000">
            <w:pPr>
              <w:pStyle w:val="TableText1"/>
              <w:spacing w:before="0" w:after="0"/>
              <w:rPr>
                <w:szCs w:val="20"/>
              </w:rPr>
            </w:pPr>
          </w:p>
        </w:tc>
        <w:tc>
          <w:tcPr>
            <w:tcW w:w="1843" w:type="dxa"/>
            <w:shd w:val="clear" w:color="auto" w:fill="auto"/>
            <w:vAlign w:val="center"/>
          </w:tcPr>
          <w:p w:rsidR="00610C73" w:rsidRPr="005E0DC9" w:rsidRDefault="00610C73" w:rsidP="00656000">
            <w:pPr>
              <w:pStyle w:val="TableText1"/>
              <w:spacing w:before="0" w:after="0"/>
              <w:rPr>
                <w:rFonts w:eastAsia="Times New Roman" w:cs="Times New Roman"/>
                <w:szCs w:val="20"/>
              </w:rPr>
            </w:pPr>
            <w:r w:rsidRPr="005E0DC9">
              <w:rPr>
                <w:szCs w:val="20"/>
              </w:rPr>
              <w:t>Median months PFS</w:t>
            </w:r>
          </w:p>
        </w:tc>
        <w:tc>
          <w:tcPr>
            <w:tcW w:w="1387"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26.7</w:t>
            </w:r>
          </w:p>
        </w:tc>
        <w:tc>
          <w:tcPr>
            <w:tcW w:w="1589"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11.1</w:t>
            </w:r>
          </w:p>
        </w:tc>
        <w:tc>
          <w:tcPr>
            <w:tcW w:w="1134"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 xml:space="preserve">15.6 </w:t>
            </w:r>
            <w:proofErr w:type="spellStart"/>
            <w:r w:rsidRPr="005E0DC9">
              <w:rPr>
                <w:rFonts w:eastAsia="Times New Roman" w:cs="Times New Roman"/>
                <w:szCs w:val="20"/>
              </w:rPr>
              <w:t>mths</w:t>
            </w:r>
            <w:proofErr w:type="spellEnd"/>
          </w:p>
        </w:tc>
        <w:tc>
          <w:tcPr>
            <w:tcW w:w="1702"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0.18 (0.13, 0.24)</w:t>
            </w:r>
          </w:p>
        </w:tc>
      </w:tr>
      <w:tr w:rsidR="00610C73" w:rsidRPr="005E0DC9" w:rsidTr="00656000">
        <w:tc>
          <w:tcPr>
            <w:tcW w:w="7477" w:type="dxa"/>
            <w:gridSpan w:val="5"/>
            <w:vAlign w:val="center"/>
          </w:tcPr>
          <w:p w:rsidR="00610C73" w:rsidRPr="005E0DC9" w:rsidRDefault="00610C73" w:rsidP="00656000">
            <w:pPr>
              <w:pStyle w:val="TableText1"/>
              <w:spacing w:before="0" w:after="0"/>
              <w:jc w:val="right"/>
              <w:rPr>
                <w:rFonts w:eastAsia="Times New Roman" w:cs="Times New Roman"/>
                <w:b/>
                <w:szCs w:val="20"/>
              </w:rPr>
            </w:pPr>
            <w:r w:rsidRPr="005E0DC9">
              <w:rPr>
                <w:b/>
                <w:szCs w:val="20"/>
              </w:rPr>
              <w:t xml:space="preserve">Indirect comparison </w:t>
            </w:r>
            <w:proofErr w:type="spellStart"/>
            <w:r w:rsidRPr="005E0DC9">
              <w:rPr>
                <w:b/>
                <w:szCs w:val="20"/>
              </w:rPr>
              <w:t>ibr</w:t>
            </w:r>
            <w:proofErr w:type="spellEnd"/>
            <w:r w:rsidRPr="005E0DC9">
              <w:rPr>
                <w:b/>
                <w:szCs w:val="20"/>
              </w:rPr>
              <w:t xml:space="preserve"> vs. </w:t>
            </w:r>
            <w:proofErr w:type="spellStart"/>
            <w:r w:rsidRPr="005E0DC9">
              <w:rPr>
                <w:b/>
                <w:szCs w:val="20"/>
              </w:rPr>
              <w:t>obi+chl</w:t>
            </w:r>
            <w:proofErr w:type="spellEnd"/>
          </w:p>
        </w:tc>
        <w:tc>
          <w:tcPr>
            <w:tcW w:w="1702" w:type="dxa"/>
            <w:shd w:val="clear" w:color="auto" w:fill="auto"/>
            <w:vAlign w:val="center"/>
          </w:tcPr>
          <w:p w:rsidR="00610C73" w:rsidRPr="00773C23" w:rsidRDefault="00773C23" w:rsidP="00656000">
            <w:pPr>
              <w:pStyle w:val="TableText1"/>
              <w:spacing w:before="0" w:after="0"/>
              <w:jc w:val="center"/>
              <w:rPr>
                <w:rFonts w:eastAsia="Times New Roman" w:cs="Times New Roman"/>
                <w:szCs w:val="20"/>
                <w:highlight w:val="black"/>
              </w:rPr>
            </w:pPr>
            <w:r>
              <w:rPr>
                <w:rFonts w:eastAsia="Times New Roman" w:cs="Times New Roman"/>
                <w:noProof/>
                <w:color w:val="000000"/>
                <w:szCs w:val="20"/>
                <w:highlight w:val="black"/>
              </w:rPr>
              <w:t>'''''''''' ''''''''''''''' ''''''''''''</w:t>
            </w:r>
          </w:p>
        </w:tc>
      </w:tr>
      <w:tr w:rsidR="00610C73" w:rsidRPr="005E0DC9" w:rsidTr="00656000">
        <w:tc>
          <w:tcPr>
            <w:tcW w:w="1524" w:type="dxa"/>
            <w:vMerge w:val="restart"/>
            <w:vAlign w:val="center"/>
          </w:tcPr>
          <w:p w:rsidR="00610C73" w:rsidRPr="005E0DC9" w:rsidRDefault="00610C73" w:rsidP="00656000">
            <w:pPr>
              <w:pStyle w:val="TableText1"/>
              <w:spacing w:before="0" w:after="0"/>
              <w:rPr>
                <w:szCs w:val="20"/>
              </w:rPr>
            </w:pPr>
            <w:r w:rsidRPr="005E0DC9">
              <w:rPr>
                <w:szCs w:val="20"/>
              </w:rPr>
              <w:t xml:space="preserve">COMPLEMENT-1 </w:t>
            </w:r>
            <w:proofErr w:type="spellStart"/>
            <w:r w:rsidRPr="005E0DC9">
              <w:rPr>
                <w:szCs w:val="20"/>
              </w:rPr>
              <w:t>ofa+chl</w:t>
            </w:r>
            <w:proofErr w:type="spellEnd"/>
            <w:r w:rsidRPr="005E0DC9">
              <w:rPr>
                <w:szCs w:val="20"/>
              </w:rPr>
              <w:t xml:space="preserve"> vs. </w:t>
            </w:r>
            <w:proofErr w:type="spellStart"/>
            <w:r w:rsidRPr="005E0DC9">
              <w:rPr>
                <w:szCs w:val="20"/>
              </w:rPr>
              <w:t>chl</w:t>
            </w:r>
            <w:proofErr w:type="spellEnd"/>
          </w:p>
        </w:tc>
        <w:tc>
          <w:tcPr>
            <w:tcW w:w="1843" w:type="dxa"/>
            <w:shd w:val="clear" w:color="auto" w:fill="auto"/>
            <w:vAlign w:val="center"/>
          </w:tcPr>
          <w:p w:rsidR="00610C73" w:rsidRPr="005E0DC9" w:rsidRDefault="00610C73" w:rsidP="00656000">
            <w:pPr>
              <w:pStyle w:val="TableText1"/>
              <w:spacing w:before="0" w:after="0"/>
              <w:rPr>
                <w:rFonts w:eastAsia="Times New Roman" w:cs="Times New Roman"/>
                <w:szCs w:val="20"/>
              </w:rPr>
            </w:pPr>
            <w:r w:rsidRPr="005E0DC9">
              <w:rPr>
                <w:szCs w:val="20"/>
              </w:rPr>
              <w:t>Progressed</w:t>
            </w:r>
          </w:p>
        </w:tc>
        <w:tc>
          <w:tcPr>
            <w:tcW w:w="1387"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702"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w:t>
            </w:r>
          </w:p>
        </w:tc>
      </w:tr>
      <w:tr w:rsidR="00610C73" w:rsidRPr="005E0DC9" w:rsidTr="00656000">
        <w:tc>
          <w:tcPr>
            <w:tcW w:w="1524" w:type="dxa"/>
            <w:vMerge/>
            <w:vAlign w:val="center"/>
          </w:tcPr>
          <w:p w:rsidR="00610C73" w:rsidRPr="005E0DC9" w:rsidRDefault="00610C73" w:rsidP="00656000">
            <w:pPr>
              <w:pStyle w:val="TableText1"/>
              <w:spacing w:before="0" w:after="0"/>
              <w:rPr>
                <w:szCs w:val="20"/>
              </w:rPr>
            </w:pPr>
          </w:p>
        </w:tc>
        <w:tc>
          <w:tcPr>
            <w:tcW w:w="1843" w:type="dxa"/>
            <w:shd w:val="clear" w:color="auto" w:fill="auto"/>
            <w:vAlign w:val="center"/>
          </w:tcPr>
          <w:p w:rsidR="00610C73" w:rsidRPr="005E0DC9" w:rsidRDefault="00610C73" w:rsidP="00656000">
            <w:pPr>
              <w:pStyle w:val="TableText1"/>
              <w:spacing w:before="0" w:after="0"/>
              <w:rPr>
                <w:rFonts w:eastAsia="Times New Roman" w:cs="Times New Roman"/>
                <w:szCs w:val="20"/>
              </w:rPr>
            </w:pPr>
            <w:r w:rsidRPr="005E0DC9">
              <w:rPr>
                <w:szCs w:val="20"/>
              </w:rPr>
              <w:t>Median months PFS</w:t>
            </w:r>
          </w:p>
        </w:tc>
        <w:tc>
          <w:tcPr>
            <w:tcW w:w="1387"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23.4</w:t>
            </w:r>
          </w:p>
        </w:tc>
        <w:tc>
          <w:tcPr>
            <w:tcW w:w="1589"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14.5</w:t>
            </w:r>
          </w:p>
        </w:tc>
        <w:tc>
          <w:tcPr>
            <w:tcW w:w="1134"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 xml:space="preserve">8.9 </w:t>
            </w:r>
            <w:proofErr w:type="spellStart"/>
            <w:r w:rsidRPr="005E0DC9">
              <w:rPr>
                <w:rFonts w:eastAsia="Times New Roman" w:cs="Times New Roman"/>
                <w:szCs w:val="20"/>
              </w:rPr>
              <w:t>mths</w:t>
            </w:r>
            <w:proofErr w:type="spellEnd"/>
          </w:p>
        </w:tc>
        <w:tc>
          <w:tcPr>
            <w:tcW w:w="1702"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0.54 (0.41, 0.69)</w:t>
            </w:r>
          </w:p>
        </w:tc>
      </w:tr>
      <w:tr w:rsidR="00610C73" w:rsidRPr="005E0DC9" w:rsidTr="00656000">
        <w:tc>
          <w:tcPr>
            <w:tcW w:w="7477" w:type="dxa"/>
            <w:gridSpan w:val="5"/>
            <w:vAlign w:val="center"/>
          </w:tcPr>
          <w:p w:rsidR="00610C73" w:rsidRPr="005E0DC9" w:rsidRDefault="00610C73" w:rsidP="00656000">
            <w:pPr>
              <w:pStyle w:val="TableText1"/>
              <w:spacing w:before="0" w:after="0"/>
              <w:jc w:val="right"/>
              <w:rPr>
                <w:rFonts w:eastAsia="Times New Roman" w:cs="Times New Roman"/>
                <w:b/>
                <w:szCs w:val="20"/>
              </w:rPr>
            </w:pPr>
            <w:r w:rsidRPr="005E0DC9">
              <w:rPr>
                <w:b/>
                <w:szCs w:val="20"/>
              </w:rPr>
              <w:t xml:space="preserve">Indirect comparison </w:t>
            </w:r>
            <w:proofErr w:type="spellStart"/>
            <w:r w:rsidRPr="005E0DC9">
              <w:rPr>
                <w:b/>
                <w:szCs w:val="20"/>
              </w:rPr>
              <w:t>ibr</w:t>
            </w:r>
            <w:proofErr w:type="spellEnd"/>
            <w:r w:rsidRPr="005E0DC9">
              <w:rPr>
                <w:b/>
                <w:szCs w:val="20"/>
              </w:rPr>
              <w:t xml:space="preserve"> vs. </w:t>
            </w:r>
            <w:proofErr w:type="spellStart"/>
            <w:r w:rsidRPr="005E0DC9">
              <w:rPr>
                <w:b/>
                <w:szCs w:val="20"/>
              </w:rPr>
              <w:t>ofa+chl</w:t>
            </w:r>
            <w:proofErr w:type="spellEnd"/>
          </w:p>
        </w:tc>
        <w:tc>
          <w:tcPr>
            <w:tcW w:w="1702" w:type="dxa"/>
            <w:shd w:val="clear" w:color="auto" w:fill="auto"/>
            <w:vAlign w:val="center"/>
          </w:tcPr>
          <w:p w:rsidR="00610C73" w:rsidRPr="00773C23" w:rsidRDefault="00773C23" w:rsidP="00656000">
            <w:pPr>
              <w:pStyle w:val="TableText1"/>
              <w:spacing w:before="0" w:after="0"/>
              <w:jc w:val="center"/>
              <w:rPr>
                <w:rFonts w:eastAsia="Times New Roman" w:cs="Times New Roman"/>
                <w:b/>
                <w:szCs w:val="20"/>
                <w:highlight w:val="black"/>
              </w:rPr>
            </w:pPr>
            <w:r>
              <w:rPr>
                <w:rFonts w:eastAsia="Times New Roman" w:cs="Times New Roman"/>
                <w:b/>
                <w:noProof/>
                <w:color w:val="000000"/>
                <w:szCs w:val="20"/>
                <w:highlight w:val="black"/>
              </w:rPr>
              <w:t>'''''''''' '''''''''' ''''''''''</w:t>
            </w:r>
          </w:p>
        </w:tc>
      </w:tr>
    </w:tbl>
    <w:p w:rsidR="00610C73" w:rsidRPr="005E0DC9" w:rsidRDefault="00610C73" w:rsidP="00610C73">
      <w:pPr>
        <w:pStyle w:val="TableFooter"/>
      </w:pPr>
      <w:r w:rsidRPr="005E0DC9">
        <w:t xml:space="preserve">Source: Table Bi.28, p88 of Section Bi of the submission; Table Bii.29, p58; Table Bii.30, p58 of Section </w:t>
      </w:r>
      <w:proofErr w:type="spellStart"/>
      <w:r w:rsidRPr="005E0DC9">
        <w:t>Bii</w:t>
      </w:r>
      <w:proofErr w:type="spellEnd"/>
      <w:r w:rsidRPr="005E0DC9">
        <w:t xml:space="preserve"> of the submission.</w:t>
      </w:r>
    </w:p>
    <w:p w:rsidR="00610C73" w:rsidRPr="005E0DC9" w:rsidRDefault="00610C73" w:rsidP="00610C73">
      <w:pPr>
        <w:pStyle w:val="TableFooter"/>
      </w:pPr>
      <w:proofErr w:type="spellStart"/>
      <w:proofErr w:type="gramStart"/>
      <w:r w:rsidRPr="005E0DC9">
        <w:t>chl</w:t>
      </w:r>
      <w:proofErr w:type="spellEnd"/>
      <w:r w:rsidRPr="005E0DC9">
        <w:t>=</w:t>
      </w:r>
      <w:proofErr w:type="spellStart"/>
      <w:proofErr w:type="gramEnd"/>
      <w:r w:rsidRPr="005E0DC9">
        <w:t>chlorambucil</w:t>
      </w:r>
      <w:proofErr w:type="spellEnd"/>
      <w:r w:rsidRPr="005E0DC9">
        <w:t xml:space="preserve">; HR=hazard ratio; </w:t>
      </w:r>
      <w:proofErr w:type="spellStart"/>
      <w:r w:rsidRPr="005E0DC9">
        <w:t>ibr</w:t>
      </w:r>
      <w:proofErr w:type="spellEnd"/>
      <w:r w:rsidRPr="005E0DC9">
        <w:t>=</w:t>
      </w:r>
      <w:proofErr w:type="spellStart"/>
      <w:r w:rsidRPr="005E0DC9">
        <w:t>ibrutinib</w:t>
      </w:r>
      <w:proofErr w:type="spellEnd"/>
      <w:r w:rsidRPr="005E0DC9">
        <w:t xml:space="preserve">; NA=not available; NR=not reported; </w:t>
      </w:r>
      <w:proofErr w:type="spellStart"/>
      <w:r w:rsidRPr="005E0DC9">
        <w:t>obi+chl</w:t>
      </w:r>
      <w:proofErr w:type="spellEnd"/>
      <w:r w:rsidRPr="005E0DC9">
        <w:t>=</w:t>
      </w:r>
      <w:proofErr w:type="spellStart"/>
      <w:r w:rsidRPr="005E0DC9">
        <w:t>obinutuzumab+chlorambucil</w:t>
      </w:r>
      <w:proofErr w:type="spellEnd"/>
      <w:r w:rsidRPr="005E0DC9">
        <w:t xml:space="preserve">; </w:t>
      </w:r>
      <w:proofErr w:type="spellStart"/>
      <w:r w:rsidRPr="005E0DC9">
        <w:t>ofa+chl</w:t>
      </w:r>
      <w:proofErr w:type="spellEnd"/>
      <w:r w:rsidRPr="005E0DC9">
        <w:t>=</w:t>
      </w:r>
      <w:proofErr w:type="spellStart"/>
      <w:r w:rsidRPr="005E0DC9">
        <w:t>ofatumumab+chlorambucil</w:t>
      </w:r>
      <w:proofErr w:type="spellEnd"/>
      <w:r w:rsidRPr="005E0DC9">
        <w:t xml:space="preserve">; </w:t>
      </w:r>
      <w:proofErr w:type="spellStart"/>
      <w:r w:rsidRPr="005E0DC9">
        <w:t>ritux+chl</w:t>
      </w:r>
      <w:proofErr w:type="spellEnd"/>
      <w:r w:rsidRPr="005E0DC9">
        <w:t>=</w:t>
      </w:r>
      <w:proofErr w:type="spellStart"/>
      <w:r w:rsidRPr="005E0DC9">
        <w:t>rituximab+chlorambucil</w:t>
      </w:r>
      <w:proofErr w:type="spellEnd"/>
      <w:r w:rsidRPr="005E0DC9">
        <w:t xml:space="preserve">; </w:t>
      </w:r>
      <w:r w:rsidRPr="005E0DC9">
        <w:rPr>
          <w:b/>
        </w:rPr>
        <w:t>bold</w:t>
      </w:r>
      <w:r w:rsidRPr="005E0DC9">
        <w:t>=statistically significant.</w:t>
      </w:r>
    </w:p>
    <w:p w:rsidR="00610C73" w:rsidRPr="005E0DC9" w:rsidRDefault="00610C73" w:rsidP="00610C73">
      <w:pPr>
        <w:pStyle w:val="TableHeading0"/>
        <w:spacing w:after="0"/>
      </w:pPr>
    </w:p>
    <w:p w:rsidR="00610C73" w:rsidRPr="005E0DC9" w:rsidRDefault="00610C73" w:rsidP="00610C73">
      <w:pPr>
        <w:pStyle w:val="TableHeading0"/>
        <w:spacing w:after="0"/>
      </w:pPr>
      <w:r w:rsidRPr="005E0DC9">
        <w:t xml:space="preserve">Table 5: Summary of results of the indirect comparisons based updated investigator-assessed PFS for RESONATE-2 </w:t>
      </w:r>
      <w:r w:rsidR="00C04C81" w:rsidRPr="005E0DC9">
        <w:t xml:space="preserve">(February 2016) </w:t>
      </w:r>
      <w:r w:rsidRPr="005E0DC9">
        <w:t xml:space="preserve">and CLL11 </w:t>
      </w:r>
      <w:r w:rsidR="00C04C81" w:rsidRPr="005E0DC9">
        <w:t>(April 2014)</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843"/>
        <w:gridCol w:w="1387"/>
        <w:gridCol w:w="1589"/>
        <w:gridCol w:w="1134"/>
        <w:gridCol w:w="1545"/>
      </w:tblGrid>
      <w:tr w:rsidR="00610C73" w:rsidRPr="005E0DC9" w:rsidTr="00656000">
        <w:trPr>
          <w:tblHeader/>
        </w:trPr>
        <w:tc>
          <w:tcPr>
            <w:tcW w:w="1526" w:type="dxa"/>
            <w:vAlign w:val="center"/>
          </w:tcPr>
          <w:p w:rsidR="00610C73" w:rsidRPr="005E0DC9" w:rsidRDefault="00610C73" w:rsidP="00656000">
            <w:pPr>
              <w:pStyle w:val="TableText1"/>
              <w:spacing w:before="0" w:after="0"/>
              <w:rPr>
                <w:b/>
                <w:szCs w:val="20"/>
              </w:rPr>
            </w:pPr>
            <w:r w:rsidRPr="005E0DC9">
              <w:rPr>
                <w:b/>
                <w:szCs w:val="20"/>
              </w:rPr>
              <w:t xml:space="preserve">Trial </w:t>
            </w:r>
          </w:p>
        </w:tc>
        <w:tc>
          <w:tcPr>
            <w:tcW w:w="1843" w:type="dxa"/>
            <w:shd w:val="clear" w:color="auto" w:fill="auto"/>
            <w:vAlign w:val="center"/>
          </w:tcPr>
          <w:p w:rsidR="00610C73" w:rsidRPr="005E0DC9" w:rsidRDefault="00610C73" w:rsidP="00656000">
            <w:pPr>
              <w:pStyle w:val="TableText1"/>
              <w:spacing w:before="0" w:after="0"/>
              <w:jc w:val="center"/>
              <w:rPr>
                <w:b/>
                <w:szCs w:val="20"/>
              </w:rPr>
            </w:pPr>
            <w:r w:rsidRPr="005E0DC9">
              <w:rPr>
                <w:b/>
                <w:szCs w:val="20"/>
              </w:rPr>
              <w:t>Outcome</w:t>
            </w:r>
          </w:p>
        </w:tc>
        <w:tc>
          <w:tcPr>
            <w:tcW w:w="1387" w:type="dxa"/>
            <w:shd w:val="clear" w:color="auto" w:fill="auto"/>
            <w:vAlign w:val="center"/>
          </w:tcPr>
          <w:p w:rsidR="00610C73" w:rsidRPr="005E0DC9" w:rsidRDefault="00610C73" w:rsidP="00656000">
            <w:pPr>
              <w:pStyle w:val="TableText1"/>
              <w:spacing w:before="0" w:after="0"/>
              <w:jc w:val="center"/>
              <w:rPr>
                <w:b/>
                <w:iCs/>
                <w:szCs w:val="20"/>
              </w:rPr>
            </w:pPr>
            <w:proofErr w:type="spellStart"/>
            <w:r w:rsidRPr="005E0DC9">
              <w:rPr>
                <w:b/>
                <w:iCs/>
                <w:szCs w:val="20"/>
              </w:rPr>
              <w:t>Ibr</w:t>
            </w:r>
            <w:proofErr w:type="spellEnd"/>
            <w:r w:rsidRPr="005E0DC9">
              <w:rPr>
                <w:b/>
                <w:iCs/>
                <w:szCs w:val="20"/>
              </w:rPr>
              <w:t xml:space="preserve"> </w:t>
            </w:r>
          </w:p>
          <w:p w:rsidR="00610C73" w:rsidRPr="005E0DC9" w:rsidRDefault="00610C73" w:rsidP="00656000">
            <w:pPr>
              <w:pStyle w:val="TableText1"/>
              <w:spacing w:before="0" w:after="0"/>
              <w:jc w:val="center"/>
              <w:rPr>
                <w:b/>
                <w:szCs w:val="20"/>
              </w:rPr>
            </w:pPr>
            <w:proofErr w:type="gramStart"/>
            <w:r w:rsidRPr="005E0DC9">
              <w:rPr>
                <w:b/>
                <w:iCs/>
                <w:szCs w:val="20"/>
              </w:rPr>
              <w:t>n/N</w:t>
            </w:r>
            <w:proofErr w:type="gramEnd"/>
            <w:r w:rsidRPr="005E0DC9">
              <w:rPr>
                <w:b/>
                <w:iCs/>
                <w:szCs w:val="20"/>
              </w:rPr>
              <w:t xml:space="preserve"> (%)</w:t>
            </w:r>
          </w:p>
        </w:tc>
        <w:tc>
          <w:tcPr>
            <w:tcW w:w="1589" w:type="dxa"/>
            <w:shd w:val="clear" w:color="auto" w:fill="auto"/>
            <w:vAlign w:val="center"/>
          </w:tcPr>
          <w:p w:rsidR="00610C73" w:rsidRPr="005E0DC9" w:rsidRDefault="00610C73" w:rsidP="00656000">
            <w:pPr>
              <w:pStyle w:val="TableText1"/>
              <w:spacing w:before="0" w:after="0"/>
              <w:jc w:val="center"/>
              <w:rPr>
                <w:b/>
                <w:szCs w:val="20"/>
              </w:rPr>
            </w:pPr>
            <w:proofErr w:type="spellStart"/>
            <w:r w:rsidRPr="005E0DC9">
              <w:rPr>
                <w:b/>
                <w:szCs w:val="20"/>
              </w:rPr>
              <w:t>Chl</w:t>
            </w:r>
            <w:proofErr w:type="spellEnd"/>
            <w:r w:rsidRPr="005E0DC9">
              <w:rPr>
                <w:b/>
                <w:szCs w:val="20"/>
              </w:rPr>
              <w:t xml:space="preserve"> </w:t>
            </w:r>
          </w:p>
          <w:p w:rsidR="00610C73" w:rsidRPr="005E0DC9" w:rsidRDefault="00610C73" w:rsidP="00656000">
            <w:pPr>
              <w:pStyle w:val="TableText1"/>
              <w:spacing w:before="0" w:after="0"/>
              <w:jc w:val="center"/>
              <w:rPr>
                <w:b/>
                <w:szCs w:val="20"/>
              </w:rPr>
            </w:pPr>
            <w:proofErr w:type="gramStart"/>
            <w:r w:rsidRPr="005E0DC9">
              <w:rPr>
                <w:b/>
                <w:szCs w:val="20"/>
              </w:rPr>
              <w:t>n/N</w:t>
            </w:r>
            <w:proofErr w:type="gramEnd"/>
            <w:r w:rsidRPr="005E0DC9">
              <w:rPr>
                <w:b/>
                <w:szCs w:val="20"/>
              </w:rPr>
              <w:t xml:space="preserve"> (%)</w:t>
            </w:r>
          </w:p>
        </w:tc>
        <w:tc>
          <w:tcPr>
            <w:tcW w:w="1134" w:type="dxa"/>
            <w:shd w:val="clear" w:color="auto" w:fill="auto"/>
            <w:vAlign w:val="center"/>
          </w:tcPr>
          <w:p w:rsidR="00610C73" w:rsidRPr="005E0DC9" w:rsidRDefault="00610C73" w:rsidP="00656000">
            <w:pPr>
              <w:pStyle w:val="TableText1"/>
              <w:spacing w:before="0" w:after="0"/>
              <w:jc w:val="center"/>
              <w:rPr>
                <w:b/>
                <w:szCs w:val="20"/>
              </w:rPr>
            </w:pPr>
            <w:r w:rsidRPr="005E0DC9">
              <w:rPr>
                <w:b/>
                <w:szCs w:val="20"/>
              </w:rPr>
              <w:t>Absolute difference</w:t>
            </w:r>
          </w:p>
        </w:tc>
        <w:tc>
          <w:tcPr>
            <w:tcW w:w="1545" w:type="dxa"/>
            <w:shd w:val="clear" w:color="auto" w:fill="auto"/>
            <w:vAlign w:val="center"/>
          </w:tcPr>
          <w:p w:rsidR="00610C73" w:rsidRPr="005E0DC9" w:rsidRDefault="00610C73" w:rsidP="00656000">
            <w:pPr>
              <w:pStyle w:val="TableText1"/>
              <w:spacing w:before="0" w:after="0"/>
              <w:jc w:val="center"/>
              <w:rPr>
                <w:b/>
                <w:szCs w:val="20"/>
              </w:rPr>
            </w:pPr>
            <w:r w:rsidRPr="005E0DC9">
              <w:rPr>
                <w:b/>
                <w:szCs w:val="20"/>
              </w:rPr>
              <w:t>HR (95% CI)</w:t>
            </w:r>
          </w:p>
        </w:tc>
      </w:tr>
      <w:tr w:rsidR="00610C73" w:rsidRPr="005E0DC9" w:rsidTr="00656000">
        <w:tc>
          <w:tcPr>
            <w:tcW w:w="1526" w:type="dxa"/>
            <w:vMerge w:val="restart"/>
            <w:vAlign w:val="center"/>
          </w:tcPr>
          <w:p w:rsidR="00610C73" w:rsidRPr="005E0DC9" w:rsidRDefault="00610C73" w:rsidP="00656000">
            <w:pPr>
              <w:pStyle w:val="TableText1"/>
              <w:spacing w:before="0" w:after="0"/>
              <w:rPr>
                <w:szCs w:val="20"/>
              </w:rPr>
            </w:pPr>
            <w:r w:rsidRPr="005E0DC9">
              <w:rPr>
                <w:szCs w:val="20"/>
              </w:rPr>
              <w:t xml:space="preserve">RESONATE-2 </w:t>
            </w:r>
          </w:p>
          <w:p w:rsidR="00610C73" w:rsidRPr="005E0DC9" w:rsidRDefault="00610C73" w:rsidP="00656000">
            <w:pPr>
              <w:pStyle w:val="TableText1"/>
              <w:spacing w:before="0" w:after="0"/>
              <w:rPr>
                <w:szCs w:val="20"/>
              </w:rPr>
            </w:pPr>
            <w:proofErr w:type="spellStart"/>
            <w:r w:rsidRPr="005E0DC9">
              <w:rPr>
                <w:szCs w:val="20"/>
              </w:rPr>
              <w:t>ibr</w:t>
            </w:r>
            <w:proofErr w:type="spellEnd"/>
            <w:r w:rsidRPr="005E0DC9">
              <w:rPr>
                <w:szCs w:val="20"/>
              </w:rPr>
              <w:t xml:space="preserve"> vs. </w:t>
            </w:r>
            <w:proofErr w:type="spellStart"/>
            <w:r w:rsidRPr="005E0DC9">
              <w:rPr>
                <w:szCs w:val="20"/>
              </w:rPr>
              <w:t>chl</w:t>
            </w:r>
            <w:proofErr w:type="spellEnd"/>
          </w:p>
        </w:tc>
        <w:tc>
          <w:tcPr>
            <w:tcW w:w="1843" w:type="dxa"/>
            <w:shd w:val="clear" w:color="auto" w:fill="auto"/>
            <w:vAlign w:val="center"/>
          </w:tcPr>
          <w:p w:rsidR="00610C73" w:rsidRPr="005E0DC9" w:rsidRDefault="00610C73" w:rsidP="00656000">
            <w:pPr>
              <w:pStyle w:val="TableText1"/>
              <w:spacing w:before="0" w:after="0"/>
              <w:rPr>
                <w:szCs w:val="20"/>
              </w:rPr>
            </w:pPr>
            <w:r w:rsidRPr="005E0DC9">
              <w:rPr>
                <w:szCs w:val="20"/>
              </w:rPr>
              <w:t>Progressed</w:t>
            </w:r>
          </w:p>
        </w:tc>
        <w:tc>
          <w:tcPr>
            <w:tcW w:w="1387" w:type="dxa"/>
            <w:shd w:val="clear" w:color="auto" w:fill="auto"/>
            <w:vAlign w:val="center"/>
          </w:tcPr>
          <w:p w:rsidR="00610C73" w:rsidRPr="005E0DC9" w:rsidRDefault="00610C73" w:rsidP="00656000">
            <w:pPr>
              <w:pStyle w:val="TableText1"/>
              <w:spacing w:before="0" w:after="0"/>
              <w:jc w:val="center"/>
              <w:rPr>
                <w:iCs/>
                <w:szCs w:val="20"/>
              </w:rPr>
            </w:pPr>
            <w:r w:rsidRPr="005E0DC9">
              <w:rPr>
                <w:rFonts w:eastAsia="Times New Roman" w:cs="Times New Roman"/>
                <w:szCs w:val="20"/>
              </w:rPr>
              <w:t>NA</w:t>
            </w:r>
          </w:p>
        </w:tc>
        <w:tc>
          <w:tcPr>
            <w:tcW w:w="1589" w:type="dxa"/>
            <w:shd w:val="clear" w:color="auto" w:fill="auto"/>
            <w:vAlign w:val="center"/>
          </w:tcPr>
          <w:p w:rsidR="00610C73" w:rsidRPr="005E0DC9" w:rsidRDefault="00610C73" w:rsidP="00656000">
            <w:pPr>
              <w:pStyle w:val="TableText1"/>
              <w:spacing w:before="0" w:after="0"/>
              <w:jc w:val="center"/>
              <w:rPr>
                <w:iCs/>
                <w:szCs w:val="20"/>
              </w:rPr>
            </w:pPr>
            <w:r w:rsidRPr="005E0DC9">
              <w:rPr>
                <w:rFonts w:eastAsia="Times New Roman" w:cs="Times New Roman"/>
                <w:szCs w:val="20"/>
              </w:rPr>
              <w:t>NA</w:t>
            </w:r>
          </w:p>
        </w:tc>
        <w:tc>
          <w:tcPr>
            <w:tcW w:w="1134" w:type="dxa"/>
            <w:shd w:val="clear" w:color="auto" w:fill="auto"/>
            <w:vAlign w:val="center"/>
          </w:tcPr>
          <w:p w:rsidR="00610C73" w:rsidRPr="005E0DC9" w:rsidRDefault="00610C73" w:rsidP="00656000">
            <w:pPr>
              <w:pStyle w:val="TableText1"/>
              <w:spacing w:before="0" w:after="0"/>
              <w:jc w:val="center"/>
              <w:rPr>
                <w:szCs w:val="20"/>
              </w:rPr>
            </w:pPr>
            <w:r w:rsidRPr="005E0DC9">
              <w:rPr>
                <w:szCs w:val="20"/>
              </w:rPr>
              <w:t>-</w:t>
            </w:r>
          </w:p>
        </w:tc>
        <w:tc>
          <w:tcPr>
            <w:tcW w:w="1545" w:type="dxa"/>
            <w:shd w:val="clear" w:color="auto" w:fill="auto"/>
            <w:vAlign w:val="center"/>
          </w:tcPr>
          <w:p w:rsidR="00610C73" w:rsidRPr="005E0DC9" w:rsidRDefault="00610C73" w:rsidP="00656000">
            <w:pPr>
              <w:pStyle w:val="TableText1"/>
              <w:spacing w:before="0" w:after="0"/>
              <w:jc w:val="center"/>
              <w:rPr>
                <w:szCs w:val="20"/>
              </w:rPr>
            </w:pPr>
            <w:r w:rsidRPr="005E0DC9">
              <w:rPr>
                <w:szCs w:val="20"/>
              </w:rPr>
              <w:t>-</w:t>
            </w:r>
          </w:p>
        </w:tc>
      </w:tr>
      <w:tr w:rsidR="00610C73" w:rsidRPr="005E0DC9" w:rsidTr="00656000">
        <w:tc>
          <w:tcPr>
            <w:tcW w:w="1526" w:type="dxa"/>
            <w:vMerge/>
            <w:tcBorders>
              <w:bottom w:val="double" w:sz="4" w:space="0" w:color="auto"/>
            </w:tcBorders>
            <w:vAlign w:val="center"/>
          </w:tcPr>
          <w:p w:rsidR="00610C73" w:rsidRPr="005E0DC9" w:rsidRDefault="00610C73" w:rsidP="00656000">
            <w:pPr>
              <w:pStyle w:val="TableText1"/>
              <w:spacing w:before="0" w:after="0"/>
              <w:rPr>
                <w:szCs w:val="20"/>
              </w:rPr>
            </w:pPr>
          </w:p>
        </w:tc>
        <w:tc>
          <w:tcPr>
            <w:tcW w:w="1843" w:type="dxa"/>
            <w:tcBorders>
              <w:bottom w:val="double" w:sz="4" w:space="0" w:color="auto"/>
            </w:tcBorders>
            <w:shd w:val="clear" w:color="auto" w:fill="auto"/>
            <w:vAlign w:val="center"/>
          </w:tcPr>
          <w:p w:rsidR="00610C73" w:rsidRPr="005E0DC9" w:rsidRDefault="00610C73" w:rsidP="00656000">
            <w:pPr>
              <w:pStyle w:val="TableText1"/>
              <w:spacing w:before="0" w:after="0"/>
              <w:rPr>
                <w:szCs w:val="20"/>
              </w:rPr>
            </w:pPr>
            <w:r w:rsidRPr="005E0DC9">
              <w:rPr>
                <w:szCs w:val="20"/>
              </w:rPr>
              <w:t>Median months PFS</w:t>
            </w:r>
          </w:p>
        </w:tc>
        <w:tc>
          <w:tcPr>
            <w:tcW w:w="1387" w:type="dxa"/>
            <w:tcBorders>
              <w:bottom w:val="double" w:sz="4" w:space="0" w:color="auto"/>
            </w:tcBorders>
            <w:shd w:val="clear" w:color="auto" w:fill="auto"/>
            <w:vAlign w:val="center"/>
          </w:tcPr>
          <w:p w:rsidR="00610C73" w:rsidRPr="005E0DC9" w:rsidRDefault="00610C73" w:rsidP="00656000">
            <w:pPr>
              <w:pStyle w:val="TableText1"/>
              <w:spacing w:before="0" w:after="0"/>
              <w:jc w:val="center"/>
              <w:rPr>
                <w:iCs/>
                <w:szCs w:val="20"/>
              </w:rPr>
            </w:pPr>
            <w:r w:rsidRPr="005E0DC9">
              <w:rPr>
                <w:rFonts w:eastAsia="Times New Roman" w:cs="Times New Roman"/>
                <w:szCs w:val="20"/>
              </w:rPr>
              <w:t>NA</w:t>
            </w:r>
          </w:p>
        </w:tc>
        <w:tc>
          <w:tcPr>
            <w:tcW w:w="1589" w:type="dxa"/>
            <w:tcBorders>
              <w:bottom w:val="double" w:sz="4" w:space="0" w:color="auto"/>
            </w:tcBorders>
            <w:shd w:val="clear" w:color="auto" w:fill="auto"/>
            <w:vAlign w:val="center"/>
          </w:tcPr>
          <w:p w:rsidR="00610C73" w:rsidRPr="005E0DC9" w:rsidRDefault="00610C73" w:rsidP="00656000">
            <w:pPr>
              <w:pStyle w:val="TableText1"/>
              <w:spacing w:before="0" w:after="0"/>
              <w:jc w:val="center"/>
              <w:rPr>
                <w:iCs/>
                <w:szCs w:val="20"/>
              </w:rPr>
            </w:pPr>
            <w:r w:rsidRPr="005E0DC9">
              <w:rPr>
                <w:rFonts w:eastAsia="Times New Roman" w:cs="Times New Roman"/>
                <w:szCs w:val="20"/>
              </w:rPr>
              <w:t>NA</w:t>
            </w:r>
          </w:p>
        </w:tc>
        <w:tc>
          <w:tcPr>
            <w:tcW w:w="1134" w:type="dxa"/>
            <w:tcBorders>
              <w:bottom w:val="double" w:sz="4" w:space="0" w:color="auto"/>
            </w:tcBorders>
            <w:shd w:val="clear" w:color="auto" w:fill="auto"/>
            <w:vAlign w:val="center"/>
          </w:tcPr>
          <w:p w:rsidR="00610C73" w:rsidRPr="005E0DC9" w:rsidRDefault="00610C73" w:rsidP="00656000">
            <w:pPr>
              <w:pStyle w:val="TableText1"/>
              <w:spacing w:before="0" w:after="0"/>
              <w:jc w:val="center"/>
              <w:rPr>
                <w:szCs w:val="20"/>
              </w:rPr>
            </w:pPr>
            <w:r w:rsidRPr="005E0DC9">
              <w:rPr>
                <w:szCs w:val="20"/>
              </w:rPr>
              <w:t>-</w:t>
            </w:r>
          </w:p>
        </w:tc>
        <w:tc>
          <w:tcPr>
            <w:tcW w:w="1545" w:type="dxa"/>
            <w:tcBorders>
              <w:bottom w:val="double" w:sz="4" w:space="0" w:color="auto"/>
            </w:tcBorders>
            <w:shd w:val="clear" w:color="auto" w:fill="auto"/>
            <w:vAlign w:val="center"/>
          </w:tcPr>
          <w:p w:rsidR="00610C73" w:rsidRPr="00773C23" w:rsidRDefault="00773C23" w:rsidP="00656000">
            <w:pPr>
              <w:pStyle w:val="TableText1"/>
              <w:spacing w:before="0" w:after="0"/>
              <w:jc w:val="center"/>
              <w:rPr>
                <w:b/>
                <w:szCs w:val="20"/>
                <w:highlight w:val="black"/>
              </w:rPr>
            </w:pPr>
            <w:r>
              <w:rPr>
                <w:b/>
                <w:noProof/>
                <w:color w:val="000000"/>
                <w:szCs w:val="20"/>
                <w:highlight w:val="black"/>
              </w:rPr>
              <w:t>''''''''' '''''''''''' '''''''''''</w:t>
            </w:r>
          </w:p>
        </w:tc>
      </w:tr>
      <w:tr w:rsidR="00610C73" w:rsidRPr="005E0DC9" w:rsidTr="00656000">
        <w:tc>
          <w:tcPr>
            <w:tcW w:w="1526" w:type="dxa"/>
            <w:tcBorders>
              <w:top w:val="double" w:sz="4" w:space="0" w:color="auto"/>
              <w:bottom w:val="single" w:sz="4" w:space="0" w:color="auto"/>
            </w:tcBorders>
            <w:vAlign w:val="center"/>
          </w:tcPr>
          <w:p w:rsidR="00610C73" w:rsidRPr="005E0DC9" w:rsidRDefault="00610C73" w:rsidP="00656000">
            <w:pPr>
              <w:pStyle w:val="TableText1"/>
              <w:spacing w:before="0" w:after="0"/>
              <w:rPr>
                <w:b/>
                <w:szCs w:val="20"/>
              </w:rPr>
            </w:pPr>
            <w:r w:rsidRPr="005E0DC9">
              <w:rPr>
                <w:b/>
                <w:szCs w:val="20"/>
              </w:rPr>
              <w:t>Comparators</w:t>
            </w:r>
          </w:p>
        </w:tc>
        <w:tc>
          <w:tcPr>
            <w:tcW w:w="1843" w:type="dxa"/>
            <w:tcBorders>
              <w:top w:val="double" w:sz="4" w:space="0" w:color="auto"/>
              <w:bottom w:val="single" w:sz="4" w:space="0" w:color="auto"/>
            </w:tcBorders>
            <w:shd w:val="clear" w:color="auto" w:fill="auto"/>
            <w:vAlign w:val="center"/>
          </w:tcPr>
          <w:p w:rsidR="00610C73" w:rsidRPr="005E0DC9" w:rsidRDefault="00610C73" w:rsidP="00656000">
            <w:pPr>
              <w:pStyle w:val="TableText1"/>
              <w:spacing w:before="0" w:after="0"/>
              <w:rPr>
                <w:szCs w:val="20"/>
              </w:rPr>
            </w:pPr>
          </w:p>
        </w:tc>
        <w:tc>
          <w:tcPr>
            <w:tcW w:w="1387" w:type="dxa"/>
            <w:tcBorders>
              <w:top w:val="double" w:sz="4" w:space="0" w:color="auto"/>
              <w:bottom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b/>
                <w:szCs w:val="20"/>
              </w:rPr>
            </w:pPr>
            <w:r w:rsidRPr="005E0DC9">
              <w:rPr>
                <w:rFonts w:eastAsia="Times New Roman" w:cs="Times New Roman"/>
                <w:b/>
                <w:szCs w:val="20"/>
              </w:rPr>
              <w:t xml:space="preserve">Intervention </w:t>
            </w:r>
          </w:p>
          <w:p w:rsidR="00610C73" w:rsidRPr="005E0DC9" w:rsidRDefault="00610C73" w:rsidP="00656000">
            <w:pPr>
              <w:pStyle w:val="TableText1"/>
              <w:spacing w:before="0" w:after="0"/>
              <w:jc w:val="center"/>
              <w:rPr>
                <w:rFonts w:eastAsia="Times New Roman" w:cs="Times New Roman"/>
                <w:szCs w:val="20"/>
              </w:rPr>
            </w:pPr>
            <w:proofErr w:type="gramStart"/>
            <w:r w:rsidRPr="005E0DC9">
              <w:rPr>
                <w:rFonts w:eastAsia="Times New Roman" w:cs="Times New Roman"/>
                <w:b/>
                <w:szCs w:val="20"/>
              </w:rPr>
              <w:t>n/N</w:t>
            </w:r>
            <w:proofErr w:type="gramEnd"/>
            <w:r w:rsidRPr="005E0DC9">
              <w:rPr>
                <w:rFonts w:eastAsia="Times New Roman" w:cs="Times New Roman"/>
                <w:b/>
                <w:szCs w:val="20"/>
              </w:rPr>
              <w:t xml:space="preserve"> (%)</w:t>
            </w:r>
          </w:p>
        </w:tc>
        <w:tc>
          <w:tcPr>
            <w:tcW w:w="1589" w:type="dxa"/>
            <w:tcBorders>
              <w:top w:val="double" w:sz="4" w:space="0" w:color="auto"/>
              <w:bottom w:val="single" w:sz="4" w:space="0" w:color="auto"/>
            </w:tcBorders>
            <w:shd w:val="clear" w:color="auto" w:fill="auto"/>
            <w:vAlign w:val="center"/>
          </w:tcPr>
          <w:p w:rsidR="00610C73" w:rsidRPr="005E0DC9" w:rsidRDefault="00610C73" w:rsidP="00656000">
            <w:pPr>
              <w:pStyle w:val="TableText1"/>
              <w:spacing w:before="0" w:after="0"/>
              <w:jc w:val="center"/>
              <w:rPr>
                <w:b/>
                <w:szCs w:val="20"/>
              </w:rPr>
            </w:pPr>
            <w:proofErr w:type="spellStart"/>
            <w:r w:rsidRPr="005E0DC9">
              <w:rPr>
                <w:b/>
                <w:szCs w:val="20"/>
              </w:rPr>
              <w:t>Chl</w:t>
            </w:r>
            <w:proofErr w:type="spellEnd"/>
            <w:r w:rsidRPr="005E0DC9">
              <w:rPr>
                <w:b/>
                <w:szCs w:val="20"/>
              </w:rPr>
              <w:t xml:space="preserve"> </w:t>
            </w:r>
          </w:p>
          <w:p w:rsidR="00610C73" w:rsidRPr="005E0DC9" w:rsidRDefault="00610C73" w:rsidP="00656000">
            <w:pPr>
              <w:pStyle w:val="TableText1"/>
              <w:spacing w:before="0" w:after="0"/>
              <w:jc w:val="center"/>
              <w:rPr>
                <w:rFonts w:eastAsia="Times New Roman" w:cs="Times New Roman"/>
                <w:szCs w:val="20"/>
              </w:rPr>
            </w:pPr>
            <w:proofErr w:type="gramStart"/>
            <w:r w:rsidRPr="005E0DC9">
              <w:rPr>
                <w:b/>
                <w:szCs w:val="20"/>
              </w:rPr>
              <w:t>n/N</w:t>
            </w:r>
            <w:proofErr w:type="gramEnd"/>
            <w:r w:rsidRPr="005E0DC9">
              <w:rPr>
                <w:b/>
                <w:szCs w:val="20"/>
              </w:rPr>
              <w:t xml:space="preserve"> (%)</w:t>
            </w:r>
          </w:p>
        </w:tc>
        <w:tc>
          <w:tcPr>
            <w:tcW w:w="1134" w:type="dxa"/>
            <w:tcBorders>
              <w:top w:val="double" w:sz="4" w:space="0" w:color="auto"/>
              <w:bottom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b/>
                <w:szCs w:val="20"/>
              </w:rPr>
              <w:t>Absolute difference</w:t>
            </w:r>
          </w:p>
        </w:tc>
        <w:tc>
          <w:tcPr>
            <w:tcW w:w="1545" w:type="dxa"/>
            <w:tcBorders>
              <w:top w:val="double" w:sz="4" w:space="0" w:color="auto"/>
              <w:bottom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b/>
                <w:szCs w:val="20"/>
              </w:rPr>
              <w:t>HR (95% CI)</w:t>
            </w:r>
          </w:p>
        </w:tc>
      </w:tr>
      <w:tr w:rsidR="00610C73" w:rsidRPr="005E0DC9" w:rsidTr="00656000">
        <w:tc>
          <w:tcPr>
            <w:tcW w:w="1526" w:type="dxa"/>
            <w:vMerge w:val="restart"/>
            <w:tcBorders>
              <w:top w:val="single" w:sz="4" w:space="0" w:color="auto"/>
            </w:tcBorders>
            <w:vAlign w:val="center"/>
          </w:tcPr>
          <w:p w:rsidR="00610C73" w:rsidRPr="005E0DC9" w:rsidRDefault="00610C73" w:rsidP="00656000">
            <w:pPr>
              <w:pStyle w:val="TableText1"/>
              <w:spacing w:before="0" w:after="0"/>
              <w:rPr>
                <w:szCs w:val="20"/>
              </w:rPr>
            </w:pPr>
            <w:r w:rsidRPr="005E0DC9">
              <w:rPr>
                <w:szCs w:val="20"/>
              </w:rPr>
              <w:t xml:space="preserve">CLL11 </w:t>
            </w:r>
          </w:p>
          <w:p w:rsidR="00610C73" w:rsidRPr="005E0DC9" w:rsidRDefault="00610C73" w:rsidP="00656000">
            <w:pPr>
              <w:pStyle w:val="TableText1"/>
              <w:spacing w:before="0" w:after="0"/>
              <w:rPr>
                <w:szCs w:val="20"/>
              </w:rPr>
            </w:pPr>
            <w:proofErr w:type="spellStart"/>
            <w:r w:rsidRPr="005E0DC9">
              <w:rPr>
                <w:szCs w:val="20"/>
              </w:rPr>
              <w:t>ritux+chl</w:t>
            </w:r>
            <w:proofErr w:type="spellEnd"/>
            <w:r w:rsidRPr="005E0DC9">
              <w:rPr>
                <w:szCs w:val="20"/>
              </w:rPr>
              <w:t xml:space="preserve"> vs </w:t>
            </w:r>
            <w:proofErr w:type="spellStart"/>
            <w:r w:rsidRPr="005E0DC9">
              <w:rPr>
                <w:szCs w:val="20"/>
              </w:rPr>
              <w:t>chl</w:t>
            </w:r>
            <w:proofErr w:type="spellEnd"/>
          </w:p>
        </w:tc>
        <w:tc>
          <w:tcPr>
            <w:tcW w:w="1843" w:type="dxa"/>
            <w:tcBorders>
              <w:top w:val="single" w:sz="4" w:space="0" w:color="auto"/>
            </w:tcBorders>
            <w:shd w:val="clear" w:color="auto" w:fill="auto"/>
            <w:vAlign w:val="center"/>
          </w:tcPr>
          <w:p w:rsidR="00610C73" w:rsidRPr="005E0DC9" w:rsidRDefault="00610C73" w:rsidP="00656000">
            <w:pPr>
              <w:pStyle w:val="TableText1"/>
              <w:spacing w:before="0" w:after="0"/>
              <w:rPr>
                <w:rFonts w:eastAsia="Times New Roman" w:cs="Times New Roman"/>
                <w:szCs w:val="20"/>
              </w:rPr>
            </w:pPr>
            <w:r w:rsidRPr="005E0DC9">
              <w:rPr>
                <w:szCs w:val="20"/>
              </w:rPr>
              <w:t>Progressed</w:t>
            </w:r>
          </w:p>
        </w:tc>
        <w:tc>
          <w:tcPr>
            <w:tcW w:w="1387" w:type="dxa"/>
            <w:tcBorders>
              <w:top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tcBorders>
              <w:top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tcBorders>
              <w:top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tcBorders>
              <w:top w:val="single" w:sz="4" w:space="0" w:color="auto"/>
            </w:tcBorders>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p>
        </w:tc>
      </w:tr>
      <w:tr w:rsidR="00610C73" w:rsidRPr="005E0DC9" w:rsidTr="00656000">
        <w:tc>
          <w:tcPr>
            <w:tcW w:w="1526" w:type="dxa"/>
            <w:vMerge/>
            <w:vAlign w:val="center"/>
          </w:tcPr>
          <w:p w:rsidR="00610C73" w:rsidRPr="005E0DC9" w:rsidRDefault="00610C73" w:rsidP="00656000">
            <w:pPr>
              <w:pStyle w:val="TableText1"/>
              <w:spacing w:before="0" w:after="0"/>
              <w:rPr>
                <w:szCs w:val="20"/>
              </w:rPr>
            </w:pPr>
          </w:p>
        </w:tc>
        <w:tc>
          <w:tcPr>
            <w:tcW w:w="1843" w:type="dxa"/>
            <w:shd w:val="clear" w:color="auto" w:fill="auto"/>
            <w:vAlign w:val="center"/>
          </w:tcPr>
          <w:p w:rsidR="00610C73" w:rsidRPr="005E0DC9" w:rsidRDefault="00610C73" w:rsidP="00656000">
            <w:pPr>
              <w:pStyle w:val="TableText1"/>
              <w:spacing w:before="0" w:after="0"/>
              <w:rPr>
                <w:rFonts w:eastAsia="Times New Roman" w:cs="Times New Roman"/>
                <w:szCs w:val="20"/>
              </w:rPr>
            </w:pPr>
            <w:r w:rsidRPr="005E0DC9">
              <w:rPr>
                <w:szCs w:val="20"/>
              </w:rPr>
              <w:t>Median months PFS</w:t>
            </w:r>
          </w:p>
        </w:tc>
        <w:tc>
          <w:tcPr>
            <w:tcW w:w="1387"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shd w:val="clear" w:color="auto" w:fill="auto"/>
            <w:vAlign w:val="center"/>
          </w:tcPr>
          <w:p w:rsidR="00610C73" w:rsidRPr="005E0DC9" w:rsidRDefault="00610C73" w:rsidP="00656000">
            <w:pPr>
              <w:pStyle w:val="TableText1"/>
              <w:spacing w:before="0" w:after="0"/>
              <w:jc w:val="center"/>
              <w:rPr>
                <w:rFonts w:eastAsia="Times New Roman" w:cs="Times New Roman"/>
                <w:b/>
                <w:szCs w:val="20"/>
              </w:rPr>
            </w:pPr>
            <w:r w:rsidRPr="005E0DC9">
              <w:rPr>
                <w:rFonts w:eastAsia="Times New Roman" w:cs="Times New Roman"/>
                <w:b/>
                <w:szCs w:val="20"/>
              </w:rPr>
              <w:t>0.45 (0.35, 0.57)</w:t>
            </w:r>
          </w:p>
        </w:tc>
      </w:tr>
      <w:tr w:rsidR="00610C73" w:rsidRPr="005E0DC9" w:rsidTr="00656000">
        <w:tc>
          <w:tcPr>
            <w:tcW w:w="7479" w:type="dxa"/>
            <w:gridSpan w:val="5"/>
            <w:vAlign w:val="center"/>
          </w:tcPr>
          <w:p w:rsidR="00610C73" w:rsidRPr="005E0DC9" w:rsidRDefault="00610C73" w:rsidP="00656000">
            <w:pPr>
              <w:pStyle w:val="TableText1"/>
              <w:spacing w:before="0" w:after="0"/>
              <w:jc w:val="right"/>
              <w:rPr>
                <w:rFonts w:eastAsia="Times New Roman" w:cs="Times New Roman"/>
                <w:b/>
                <w:szCs w:val="20"/>
              </w:rPr>
            </w:pPr>
            <w:r w:rsidRPr="005E0DC9">
              <w:rPr>
                <w:b/>
                <w:szCs w:val="20"/>
              </w:rPr>
              <w:t xml:space="preserve">Indirect comparison </w:t>
            </w:r>
            <w:proofErr w:type="spellStart"/>
            <w:r w:rsidRPr="005E0DC9">
              <w:rPr>
                <w:b/>
                <w:szCs w:val="20"/>
              </w:rPr>
              <w:t>ibr</w:t>
            </w:r>
            <w:proofErr w:type="spellEnd"/>
            <w:r w:rsidRPr="005E0DC9">
              <w:rPr>
                <w:b/>
                <w:szCs w:val="20"/>
              </w:rPr>
              <w:t xml:space="preserve"> vs. </w:t>
            </w:r>
            <w:proofErr w:type="spellStart"/>
            <w:r w:rsidRPr="005E0DC9">
              <w:rPr>
                <w:b/>
                <w:szCs w:val="20"/>
              </w:rPr>
              <w:t>ritux+chl</w:t>
            </w:r>
            <w:proofErr w:type="spellEnd"/>
          </w:p>
        </w:tc>
        <w:tc>
          <w:tcPr>
            <w:tcW w:w="1545" w:type="dxa"/>
            <w:shd w:val="clear" w:color="auto" w:fill="auto"/>
            <w:vAlign w:val="center"/>
          </w:tcPr>
          <w:p w:rsidR="00610C73" w:rsidRPr="00773C23" w:rsidRDefault="00773C23" w:rsidP="00656000">
            <w:pPr>
              <w:pStyle w:val="TableText1"/>
              <w:spacing w:before="0" w:after="0"/>
              <w:jc w:val="center"/>
              <w:rPr>
                <w:rFonts w:eastAsia="Times New Roman" w:cs="Times New Roman"/>
                <w:b/>
                <w:szCs w:val="20"/>
                <w:highlight w:val="black"/>
              </w:rPr>
            </w:pPr>
            <w:r>
              <w:rPr>
                <w:rFonts w:eastAsia="Times New Roman" w:cs="Times New Roman"/>
                <w:b/>
                <w:noProof/>
                <w:color w:val="000000"/>
                <w:szCs w:val="20"/>
                <w:highlight w:val="black"/>
              </w:rPr>
              <w:t>'''''''' '''''''''''' ''''''''''</w:t>
            </w:r>
          </w:p>
        </w:tc>
      </w:tr>
      <w:tr w:rsidR="00610C73" w:rsidRPr="005E0DC9" w:rsidTr="00656000">
        <w:tc>
          <w:tcPr>
            <w:tcW w:w="1526" w:type="dxa"/>
            <w:vMerge w:val="restart"/>
            <w:vAlign w:val="center"/>
          </w:tcPr>
          <w:p w:rsidR="00610C73" w:rsidRPr="005E0DC9" w:rsidRDefault="00610C73" w:rsidP="00656000">
            <w:pPr>
              <w:pStyle w:val="TableText1"/>
              <w:spacing w:before="0" w:after="0"/>
              <w:rPr>
                <w:szCs w:val="20"/>
              </w:rPr>
            </w:pPr>
            <w:r w:rsidRPr="005E0DC9">
              <w:rPr>
                <w:szCs w:val="20"/>
              </w:rPr>
              <w:t xml:space="preserve">CLL11 </w:t>
            </w:r>
          </w:p>
          <w:p w:rsidR="00610C73" w:rsidRPr="005E0DC9" w:rsidRDefault="00610C73" w:rsidP="00656000">
            <w:pPr>
              <w:pStyle w:val="TableText1"/>
              <w:spacing w:before="0" w:after="0"/>
              <w:rPr>
                <w:szCs w:val="20"/>
              </w:rPr>
            </w:pPr>
            <w:proofErr w:type="spellStart"/>
            <w:r w:rsidRPr="005E0DC9">
              <w:rPr>
                <w:szCs w:val="20"/>
              </w:rPr>
              <w:t>obi+chl</w:t>
            </w:r>
            <w:proofErr w:type="spellEnd"/>
            <w:r w:rsidRPr="005E0DC9">
              <w:rPr>
                <w:szCs w:val="20"/>
              </w:rPr>
              <w:t xml:space="preserve"> vs. </w:t>
            </w:r>
            <w:proofErr w:type="spellStart"/>
            <w:r w:rsidRPr="005E0DC9">
              <w:rPr>
                <w:szCs w:val="20"/>
              </w:rPr>
              <w:t>chl</w:t>
            </w:r>
            <w:proofErr w:type="spellEnd"/>
          </w:p>
        </w:tc>
        <w:tc>
          <w:tcPr>
            <w:tcW w:w="1843" w:type="dxa"/>
            <w:shd w:val="clear" w:color="auto" w:fill="auto"/>
            <w:vAlign w:val="center"/>
          </w:tcPr>
          <w:p w:rsidR="00610C73" w:rsidRPr="005E0DC9" w:rsidRDefault="00610C73" w:rsidP="00656000">
            <w:pPr>
              <w:pStyle w:val="TableText1"/>
              <w:spacing w:before="0" w:after="0"/>
              <w:rPr>
                <w:rFonts w:eastAsia="Times New Roman" w:cs="Times New Roman"/>
                <w:szCs w:val="20"/>
              </w:rPr>
            </w:pPr>
            <w:r w:rsidRPr="005E0DC9">
              <w:rPr>
                <w:szCs w:val="20"/>
              </w:rPr>
              <w:t>Progressed</w:t>
            </w:r>
          </w:p>
        </w:tc>
        <w:tc>
          <w:tcPr>
            <w:tcW w:w="1387"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w:t>
            </w:r>
          </w:p>
        </w:tc>
      </w:tr>
      <w:tr w:rsidR="00610C73" w:rsidRPr="005E0DC9" w:rsidTr="00656000">
        <w:tc>
          <w:tcPr>
            <w:tcW w:w="1526" w:type="dxa"/>
            <w:vMerge/>
            <w:vAlign w:val="center"/>
          </w:tcPr>
          <w:p w:rsidR="00610C73" w:rsidRPr="005E0DC9" w:rsidRDefault="00610C73" w:rsidP="00656000">
            <w:pPr>
              <w:pStyle w:val="TableText1"/>
              <w:spacing w:before="0" w:after="0"/>
              <w:rPr>
                <w:szCs w:val="20"/>
              </w:rPr>
            </w:pPr>
          </w:p>
        </w:tc>
        <w:tc>
          <w:tcPr>
            <w:tcW w:w="1843" w:type="dxa"/>
            <w:shd w:val="clear" w:color="auto" w:fill="auto"/>
            <w:vAlign w:val="center"/>
          </w:tcPr>
          <w:p w:rsidR="00610C73" w:rsidRPr="005E0DC9" w:rsidRDefault="00610C73" w:rsidP="00656000">
            <w:pPr>
              <w:pStyle w:val="TableText1"/>
              <w:spacing w:before="0" w:after="0"/>
              <w:rPr>
                <w:rFonts w:eastAsia="Times New Roman" w:cs="Times New Roman"/>
                <w:szCs w:val="20"/>
              </w:rPr>
            </w:pPr>
            <w:r w:rsidRPr="005E0DC9">
              <w:rPr>
                <w:szCs w:val="20"/>
              </w:rPr>
              <w:t>Median months PFS</w:t>
            </w:r>
          </w:p>
        </w:tc>
        <w:tc>
          <w:tcPr>
            <w:tcW w:w="1387"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shd w:val="clear" w:color="auto" w:fill="auto"/>
            <w:vAlign w:val="center"/>
          </w:tcPr>
          <w:p w:rsidR="00610C73" w:rsidRPr="005E0DC9" w:rsidRDefault="00610C73" w:rsidP="00656000">
            <w:pPr>
              <w:pStyle w:val="TableText1"/>
              <w:spacing w:before="0" w:after="0"/>
              <w:jc w:val="center"/>
              <w:rPr>
                <w:rFonts w:eastAsia="Times New Roman" w:cs="Times New Roman"/>
                <w:b/>
                <w:szCs w:val="20"/>
              </w:rPr>
            </w:pPr>
            <w:r w:rsidRPr="005E0DC9">
              <w:rPr>
                <w:rFonts w:eastAsia="Times New Roman" w:cs="Times New Roman"/>
                <w:b/>
                <w:szCs w:val="20"/>
              </w:rPr>
              <w:t>0.19 (0.15, 0.25)</w:t>
            </w:r>
          </w:p>
        </w:tc>
      </w:tr>
      <w:tr w:rsidR="00610C73" w:rsidRPr="005E0DC9" w:rsidTr="00656000">
        <w:tc>
          <w:tcPr>
            <w:tcW w:w="7479" w:type="dxa"/>
            <w:gridSpan w:val="5"/>
            <w:vAlign w:val="center"/>
          </w:tcPr>
          <w:p w:rsidR="00610C73" w:rsidRPr="005E0DC9" w:rsidRDefault="00610C73" w:rsidP="00656000">
            <w:pPr>
              <w:pStyle w:val="TableText1"/>
              <w:spacing w:before="0" w:after="0"/>
              <w:jc w:val="right"/>
              <w:rPr>
                <w:rFonts w:eastAsia="Times New Roman" w:cs="Times New Roman"/>
                <w:b/>
                <w:szCs w:val="20"/>
              </w:rPr>
            </w:pPr>
            <w:r w:rsidRPr="005E0DC9">
              <w:rPr>
                <w:b/>
                <w:szCs w:val="20"/>
              </w:rPr>
              <w:t xml:space="preserve">Indirect comparison </w:t>
            </w:r>
            <w:proofErr w:type="spellStart"/>
            <w:r w:rsidRPr="005E0DC9">
              <w:rPr>
                <w:b/>
                <w:szCs w:val="20"/>
              </w:rPr>
              <w:t>ibr</w:t>
            </w:r>
            <w:proofErr w:type="spellEnd"/>
            <w:r w:rsidRPr="005E0DC9">
              <w:rPr>
                <w:b/>
                <w:szCs w:val="20"/>
              </w:rPr>
              <w:t xml:space="preserve"> vs. </w:t>
            </w:r>
            <w:proofErr w:type="spellStart"/>
            <w:r w:rsidRPr="005E0DC9">
              <w:rPr>
                <w:b/>
                <w:szCs w:val="20"/>
              </w:rPr>
              <w:t>obi+chl</w:t>
            </w:r>
            <w:proofErr w:type="spellEnd"/>
          </w:p>
        </w:tc>
        <w:tc>
          <w:tcPr>
            <w:tcW w:w="1545" w:type="dxa"/>
            <w:shd w:val="clear" w:color="auto" w:fill="auto"/>
            <w:vAlign w:val="center"/>
          </w:tcPr>
          <w:p w:rsidR="00610C73" w:rsidRPr="00773C23" w:rsidRDefault="00773C23" w:rsidP="00656000">
            <w:pPr>
              <w:pStyle w:val="TableText1"/>
              <w:spacing w:before="0" w:after="0"/>
              <w:jc w:val="center"/>
              <w:rPr>
                <w:rFonts w:eastAsia="Times New Roman" w:cs="Times New Roman"/>
                <w:szCs w:val="20"/>
                <w:highlight w:val="black"/>
              </w:rPr>
            </w:pPr>
            <w:r>
              <w:rPr>
                <w:rFonts w:eastAsia="Times New Roman" w:cs="Times New Roman"/>
                <w:noProof/>
                <w:color w:val="000000"/>
                <w:szCs w:val="20"/>
                <w:highlight w:val="black"/>
              </w:rPr>
              <w:t>'''''''''' ''''''''''''''' '''''''''''''</w:t>
            </w:r>
          </w:p>
        </w:tc>
      </w:tr>
      <w:tr w:rsidR="00610C73" w:rsidRPr="005E0DC9" w:rsidTr="00656000">
        <w:tc>
          <w:tcPr>
            <w:tcW w:w="1526" w:type="dxa"/>
            <w:vMerge w:val="restart"/>
            <w:vAlign w:val="center"/>
          </w:tcPr>
          <w:p w:rsidR="00610C73" w:rsidRPr="005E0DC9" w:rsidRDefault="00610C73" w:rsidP="00656000">
            <w:pPr>
              <w:pStyle w:val="TableText1"/>
              <w:spacing w:before="0" w:after="0"/>
              <w:rPr>
                <w:szCs w:val="20"/>
              </w:rPr>
            </w:pPr>
            <w:r w:rsidRPr="005E0DC9">
              <w:rPr>
                <w:szCs w:val="20"/>
              </w:rPr>
              <w:t xml:space="preserve">COMPLEMENT-1 </w:t>
            </w:r>
            <w:proofErr w:type="spellStart"/>
            <w:r w:rsidRPr="005E0DC9">
              <w:rPr>
                <w:szCs w:val="20"/>
              </w:rPr>
              <w:t>ofa+chl</w:t>
            </w:r>
            <w:proofErr w:type="spellEnd"/>
            <w:r w:rsidRPr="005E0DC9">
              <w:rPr>
                <w:szCs w:val="20"/>
              </w:rPr>
              <w:t xml:space="preserve"> vs. </w:t>
            </w:r>
            <w:proofErr w:type="spellStart"/>
            <w:r w:rsidRPr="005E0DC9">
              <w:rPr>
                <w:szCs w:val="20"/>
              </w:rPr>
              <w:t>chl</w:t>
            </w:r>
            <w:proofErr w:type="spellEnd"/>
          </w:p>
        </w:tc>
        <w:tc>
          <w:tcPr>
            <w:tcW w:w="1843" w:type="dxa"/>
            <w:shd w:val="clear" w:color="auto" w:fill="auto"/>
            <w:vAlign w:val="center"/>
          </w:tcPr>
          <w:p w:rsidR="00610C73" w:rsidRPr="005E0DC9" w:rsidRDefault="00610C73" w:rsidP="00656000">
            <w:pPr>
              <w:pStyle w:val="TableText1"/>
              <w:spacing w:before="0" w:after="0"/>
              <w:rPr>
                <w:rFonts w:eastAsia="Times New Roman" w:cs="Times New Roman"/>
                <w:szCs w:val="20"/>
              </w:rPr>
            </w:pPr>
            <w:r w:rsidRPr="005E0DC9">
              <w:rPr>
                <w:szCs w:val="20"/>
              </w:rPr>
              <w:t>Progressed</w:t>
            </w:r>
          </w:p>
        </w:tc>
        <w:tc>
          <w:tcPr>
            <w:tcW w:w="1387"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w:t>
            </w:r>
          </w:p>
        </w:tc>
      </w:tr>
      <w:tr w:rsidR="00610C73" w:rsidRPr="005E0DC9" w:rsidTr="00656000">
        <w:tc>
          <w:tcPr>
            <w:tcW w:w="1526" w:type="dxa"/>
            <w:vMerge/>
            <w:vAlign w:val="center"/>
          </w:tcPr>
          <w:p w:rsidR="00610C73" w:rsidRPr="005E0DC9" w:rsidRDefault="00610C73" w:rsidP="00656000">
            <w:pPr>
              <w:pStyle w:val="TableText1"/>
              <w:spacing w:before="0" w:after="0"/>
              <w:rPr>
                <w:szCs w:val="20"/>
              </w:rPr>
            </w:pPr>
          </w:p>
        </w:tc>
        <w:tc>
          <w:tcPr>
            <w:tcW w:w="1843" w:type="dxa"/>
            <w:shd w:val="clear" w:color="auto" w:fill="auto"/>
            <w:vAlign w:val="center"/>
          </w:tcPr>
          <w:p w:rsidR="00610C73" w:rsidRPr="005E0DC9" w:rsidRDefault="00610C73" w:rsidP="00656000">
            <w:pPr>
              <w:pStyle w:val="TableText1"/>
              <w:spacing w:before="0" w:after="0"/>
              <w:rPr>
                <w:rFonts w:eastAsia="Times New Roman" w:cs="Times New Roman"/>
                <w:szCs w:val="20"/>
              </w:rPr>
            </w:pPr>
            <w:r w:rsidRPr="005E0DC9">
              <w:rPr>
                <w:szCs w:val="20"/>
              </w:rPr>
              <w:t>Median months PFS</w:t>
            </w:r>
          </w:p>
        </w:tc>
        <w:tc>
          <w:tcPr>
            <w:tcW w:w="1387"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23.4</w:t>
            </w:r>
          </w:p>
        </w:tc>
        <w:tc>
          <w:tcPr>
            <w:tcW w:w="1589"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14.5</w:t>
            </w:r>
          </w:p>
        </w:tc>
        <w:tc>
          <w:tcPr>
            <w:tcW w:w="1134"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 xml:space="preserve">8.9 </w:t>
            </w:r>
            <w:proofErr w:type="spellStart"/>
            <w:r w:rsidRPr="005E0DC9">
              <w:rPr>
                <w:rFonts w:eastAsia="Times New Roman" w:cs="Times New Roman"/>
                <w:szCs w:val="20"/>
              </w:rPr>
              <w:t>mths</w:t>
            </w:r>
            <w:proofErr w:type="spellEnd"/>
          </w:p>
        </w:tc>
        <w:tc>
          <w:tcPr>
            <w:tcW w:w="1545" w:type="dxa"/>
            <w:shd w:val="clear" w:color="auto" w:fill="auto"/>
            <w:vAlign w:val="center"/>
          </w:tcPr>
          <w:p w:rsidR="00610C73" w:rsidRPr="005E0DC9" w:rsidRDefault="00610C73" w:rsidP="00656000">
            <w:pPr>
              <w:pStyle w:val="TableText1"/>
              <w:spacing w:before="0" w:after="0"/>
              <w:jc w:val="center"/>
              <w:rPr>
                <w:rFonts w:eastAsia="Times New Roman" w:cs="Times New Roman"/>
                <w:szCs w:val="20"/>
              </w:rPr>
            </w:pPr>
            <w:r w:rsidRPr="005E0DC9">
              <w:rPr>
                <w:rFonts w:eastAsia="Times New Roman" w:cs="Times New Roman"/>
                <w:szCs w:val="20"/>
              </w:rPr>
              <w:t>0.54 (0.41, 0.69)</w:t>
            </w:r>
          </w:p>
        </w:tc>
      </w:tr>
      <w:tr w:rsidR="00610C73" w:rsidRPr="005E0DC9" w:rsidTr="00656000">
        <w:tc>
          <w:tcPr>
            <w:tcW w:w="7479" w:type="dxa"/>
            <w:gridSpan w:val="5"/>
            <w:vAlign w:val="center"/>
          </w:tcPr>
          <w:p w:rsidR="00610C73" w:rsidRPr="005E0DC9" w:rsidRDefault="00610C73" w:rsidP="00656000">
            <w:pPr>
              <w:pStyle w:val="TableText1"/>
              <w:spacing w:before="0" w:after="0"/>
              <w:jc w:val="right"/>
              <w:rPr>
                <w:rFonts w:eastAsia="Times New Roman" w:cs="Times New Roman"/>
                <w:b/>
                <w:szCs w:val="20"/>
              </w:rPr>
            </w:pPr>
            <w:r w:rsidRPr="005E0DC9">
              <w:rPr>
                <w:b/>
                <w:szCs w:val="20"/>
              </w:rPr>
              <w:t xml:space="preserve">Indirect comparison </w:t>
            </w:r>
            <w:proofErr w:type="spellStart"/>
            <w:r w:rsidRPr="005E0DC9">
              <w:rPr>
                <w:b/>
                <w:szCs w:val="20"/>
              </w:rPr>
              <w:t>ibr</w:t>
            </w:r>
            <w:proofErr w:type="spellEnd"/>
            <w:r w:rsidRPr="005E0DC9">
              <w:rPr>
                <w:b/>
                <w:szCs w:val="20"/>
              </w:rPr>
              <w:t xml:space="preserve"> vs. </w:t>
            </w:r>
            <w:proofErr w:type="spellStart"/>
            <w:r w:rsidRPr="005E0DC9">
              <w:rPr>
                <w:b/>
                <w:szCs w:val="20"/>
              </w:rPr>
              <w:t>ofa+chl</w:t>
            </w:r>
            <w:proofErr w:type="spellEnd"/>
          </w:p>
        </w:tc>
        <w:tc>
          <w:tcPr>
            <w:tcW w:w="1545" w:type="dxa"/>
            <w:shd w:val="clear" w:color="auto" w:fill="auto"/>
            <w:vAlign w:val="center"/>
          </w:tcPr>
          <w:p w:rsidR="00610C73" w:rsidRPr="00773C23" w:rsidRDefault="00773C23" w:rsidP="00656000">
            <w:pPr>
              <w:pStyle w:val="TableText1"/>
              <w:spacing w:before="0" w:after="0"/>
              <w:jc w:val="center"/>
              <w:rPr>
                <w:rFonts w:eastAsia="Times New Roman" w:cs="Times New Roman"/>
                <w:b/>
                <w:szCs w:val="20"/>
                <w:highlight w:val="black"/>
              </w:rPr>
            </w:pPr>
            <w:r>
              <w:rPr>
                <w:rFonts w:eastAsia="Times New Roman" w:cs="Times New Roman"/>
                <w:b/>
                <w:noProof/>
                <w:color w:val="000000"/>
                <w:szCs w:val="20"/>
                <w:highlight w:val="black"/>
              </w:rPr>
              <w:t>''''''''' ''''''''''' ''''''''''</w:t>
            </w:r>
          </w:p>
        </w:tc>
      </w:tr>
    </w:tbl>
    <w:p w:rsidR="00610C73" w:rsidRPr="005E0DC9" w:rsidRDefault="00610C73" w:rsidP="00610C73">
      <w:pPr>
        <w:pStyle w:val="TableFooter"/>
      </w:pPr>
      <w:r w:rsidRPr="005E0DC9">
        <w:t xml:space="preserve">Source: Table Bi.28, p88 of Section Bi of the submission; Table Bii.29, p58; Table Bii.30, p58 of Section </w:t>
      </w:r>
      <w:proofErr w:type="spellStart"/>
      <w:r w:rsidRPr="005E0DC9">
        <w:t>Bii</w:t>
      </w:r>
      <w:proofErr w:type="spellEnd"/>
      <w:r w:rsidRPr="005E0DC9">
        <w:t xml:space="preserve"> of the submission.</w:t>
      </w:r>
    </w:p>
    <w:p w:rsidR="00610C73" w:rsidRPr="005E0DC9" w:rsidRDefault="00610C73" w:rsidP="00610C73">
      <w:pPr>
        <w:pStyle w:val="TableFooter"/>
      </w:pPr>
      <w:proofErr w:type="spellStart"/>
      <w:proofErr w:type="gramStart"/>
      <w:r w:rsidRPr="005E0DC9">
        <w:t>chl</w:t>
      </w:r>
      <w:proofErr w:type="spellEnd"/>
      <w:r w:rsidRPr="005E0DC9">
        <w:t>=</w:t>
      </w:r>
      <w:proofErr w:type="spellStart"/>
      <w:proofErr w:type="gramEnd"/>
      <w:r w:rsidRPr="005E0DC9">
        <w:t>chlorambucil</w:t>
      </w:r>
      <w:proofErr w:type="spellEnd"/>
      <w:r w:rsidRPr="005E0DC9">
        <w:t xml:space="preserve">; HR=hazard ratio; </w:t>
      </w:r>
      <w:proofErr w:type="spellStart"/>
      <w:r w:rsidRPr="005E0DC9">
        <w:t>ibr</w:t>
      </w:r>
      <w:proofErr w:type="spellEnd"/>
      <w:r w:rsidRPr="005E0DC9">
        <w:t>=</w:t>
      </w:r>
      <w:proofErr w:type="spellStart"/>
      <w:r w:rsidRPr="005E0DC9">
        <w:t>ibrutinib</w:t>
      </w:r>
      <w:proofErr w:type="spellEnd"/>
      <w:r w:rsidRPr="005E0DC9">
        <w:t xml:space="preserve">; NA=not available; NR=not reported; </w:t>
      </w:r>
      <w:proofErr w:type="spellStart"/>
      <w:r w:rsidRPr="005E0DC9">
        <w:t>obi+chl</w:t>
      </w:r>
      <w:proofErr w:type="spellEnd"/>
      <w:r w:rsidRPr="005E0DC9">
        <w:t>=</w:t>
      </w:r>
      <w:proofErr w:type="spellStart"/>
      <w:r w:rsidRPr="005E0DC9">
        <w:t>obinutuzumab+chlorambucil</w:t>
      </w:r>
      <w:proofErr w:type="spellEnd"/>
      <w:r w:rsidRPr="005E0DC9">
        <w:t xml:space="preserve">; </w:t>
      </w:r>
      <w:proofErr w:type="spellStart"/>
      <w:r w:rsidRPr="005E0DC9">
        <w:t>ofa+chl</w:t>
      </w:r>
      <w:proofErr w:type="spellEnd"/>
      <w:r w:rsidRPr="005E0DC9">
        <w:t>=</w:t>
      </w:r>
      <w:proofErr w:type="spellStart"/>
      <w:r w:rsidRPr="005E0DC9">
        <w:t>ofatumumab+chlorambucil</w:t>
      </w:r>
      <w:proofErr w:type="spellEnd"/>
      <w:r w:rsidRPr="005E0DC9">
        <w:t xml:space="preserve">; PFS=progression-free survival; </w:t>
      </w:r>
      <w:proofErr w:type="spellStart"/>
      <w:r w:rsidRPr="005E0DC9">
        <w:t>ritux+chl</w:t>
      </w:r>
      <w:proofErr w:type="spellEnd"/>
      <w:r w:rsidRPr="005E0DC9">
        <w:t xml:space="preserve">=rituximab+ </w:t>
      </w:r>
      <w:proofErr w:type="spellStart"/>
      <w:r w:rsidRPr="005E0DC9">
        <w:t>chlorambucil</w:t>
      </w:r>
      <w:proofErr w:type="spellEnd"/>
      <w:r w:rsidRPr="005E0DC9">
        <w:t>; bold=statistically significant.</w:t>
      </w:r>
    </w:p>
    <w:p w:rsidR="00CF49F5" w:rsidRPr="005E0DC9" w:rsidRDefault="00CF49F5"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The ESC noted the</w:t>
      </w:r>
      <w:r w:rsidR="00A7545A" w:rsidRPr="005E0DC9">
        <w:rPr>
          <w:rFonts w:ascii="Calibri" w:eastAsia="Calibri" w:hAnsi="Calibri"/>
          <w:snapToGrid/>
          <w:sz w:val="24"/>
          <w:szCs w:val="22"/>
        </w:rPr>
        <w:t>re is a</w:t>
      </w:r>
      <w:r w:rsidR="00C04C81" w:rsidRPr="005E0DC9">
        <w:rPr>
          <w:rFonts w:ascii="Calibri" w:hAnsi="Calibri"/>
          <w:sz w:val="24"/>
        </w:rPr>
        <w:t xml:space="preserve"> trend to less favourable indirect comparison results in the updated data</w:t>
      </w:r>
      <w:r w:rsidR="00A7545A" w:rsidRPr="005E0DC9">
        <w:rPr>
          <w:rFonts w:ascii="Calibri" w:hAnsi="Calibri"/>
          <w:sz w:val="24"/>
        </w:rPr>
        <w:t>, which</w:t>
      </w:r>
      <w:r w:rsidR="00C04C81" w:rsidRPr="005E0DC9">
        <w:rPr>
          <w:rFonts w:ascii="Calibri" w:hAnsi="Calibri"/>
          <w:sz w:val="24"/>
        </w:rPr>
        <w:t xml:space="preserve"> is consistent across all comparators </w:t>
      </w:r>
      <w:r w:rsidR="00C04C81" w:rsidRPr="005E0DC9">
        <w:rPr>
          <w:rFonts w:ascii="Calibri" w:eastAsia="Calibri" w:hAnsi="Calibri"/>
          <w:snapToGrid/>
          <w:sz w:val="24"/>
          <w:szCs w:val="22"/>
        </w:rPr>
        <w:t>(see Tables 4 and 5 above).</w:t>
      </w:r>
    </w:p>
    <w:p w:rsidR="00610C73" w:rsidRPr="005E0DC9" w:rsidRDefault="00610C73"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Based on the May 2015 data cut of RESONATE-2, only </w:t>
      </w:r>
      <w:r w:rsidR="00773C23">
        <w:rPr>
          <w:rFonts w:ascii="Calibri" w:eastAsia="Calibri" w:hAnsi="Calibri"/>
          <w:noProof/>
          <w:snapToGrid/>
          <w:color w:val="000000"/>
          <w:sz w:val="24"/>
          <w:szCs w:val="22"/>
          <w:highlight w:val="black"/>
        </w:rPr>
        <w:t>''' '''''''''''</w:t>
      </w:r>
      <w:r w:rsidRPr="009B29EF">
        <w:rPr>
          <w:rFonts w:ascii="Calibri" w:eastAsia="Calibri" w:hAnsi="Calibri"/>
          <w:snapToGrid/>
          <w:sz w:val="24"/>
          <w:szCs w:val="22"/>
        </w:rPr>
        <w:t xml:space="preserve"> </w:t>
      </w:r>
      <w:r w:rsidRPr="005E0DC9">
        <w:rPr>
          <w:rFonts w:ascii="Calibri" w:eastAsia="Calibri" w:hAnsi="Calibri"/>
          <w:snapToGrid/>
          <w:sz w:val="24"/>
          <w:szCs w:val="22"/>
        </w:rPr>
        <w:t xml:space="preserve">patients in the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arm had a progression event, and median PFS was not reached.  The indirect comparisons demonstrated statistically significant advantages for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compared to </w:t>
      </w:r>
      <w:proofErr w:type="spellStart"/>
      <w:r w:rsidRPr="005E0DC9">
        <w:rPr>
          <w:rFonts w:ascii="Calibri" w:eastAsia="Calibri" w:hAnsi="Calibri"/>
          <w:snapToGrid/>
          <w:sz w:val="24"/>
          <w:szCs w:val="22"/>
        </w:rPr>
        <w:t>ritux+chl</w:t>
      </w:r>
      <w:proofErr w:type="spellEnd"/>
      <w:r w:rsidRPr="005E0DC9">
        <w:rPr>
          <w:rFonts w:ascii="Calibri" w:eastAsia="Calibri" w:hAnsi="Calibri"/>
          <w:snapToGrid/>
          <w:sz w:val="24"/>
          <w:szCs w:val="22"/>
        </w:rPr>
        <w:t xml:space="preserve"> and </w:t>
      </w:r>
      <w:proofErr w:type="spellStart"/>
      <w:r w:rsidRPr="005E0DC9">
        <w:rPr>
          <w:rFonts w:ascii="Calibri" w:eastAsia="Calibri" w:hAnsi="Calibri"/>
          <w:snapToGrid/>
          <w:sz w:val="24"/>
          <w:szCs w:val="22"/>
        </w:rPr>
        <w:t>ofa+chl</w:t>
      </w:r>
      <w:proofErr w:type="spellEnd"/>
      <w:r w:rsidRPr="005E0DC9">
        <w:rPr>
          <w:rFonts w:ascii="Calibri" w:eastAsia="Calibri" w:hAnsi="Calibri"/>
          <w:snapToGrid/>
          <w:sz w:val="24"/>
          <w:szCs w:val="22"/>
        </w:rPr>
        <w:t xml:space="preserve">, but there was no statistically significant advantage for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compared to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for both the original and updated analyses.</w:t>
      </w:r>
    </w:p>
    <w:p w:rsidR="00610C73" w:rsidRPr="005E0DC9" w:rsidRDefault="00610C73"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PBAC has previously concluded that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w:t>
      </w:r>
      <w:r w:rsidRPr="005E0DC9">
        <w:rPr>
          <w:rFonts w:ascii="Calibri" w:eastAsia="Calibri" w:hAnsi="Calibri"/>
          <w:snapToGrid/>
          <w:color w:val="000000"/>
          <w:sz w:val="24"/>
          <w:szCs w:val="22"/>
          <w:lang w:eastAsia="en-AU"/>
        </w:rPr>
        <w:t xml:space="preserve">provided a significant improvement in efficacy over </w:t>
      </w:r>
      <w:proofErr w:type="spellStart"/>
      <w:r w:rsidRPr="005E0DC9">
        <w:rPr>
          <w:rFonts w:ascii="Calibri" w:eastAsia="Calibri" w:hAnsi="Calibri"/>
          <w:snapToGrid/>
          <w:color w:val="000000"/>
          <w:sz w:val="24"/>
          <w:szCs w:val="22"/>
          <w:lang w:eastAsia="en-AU"/>
        </w:rPr>
        <w:t>ritux+chl</w:t>
      </w:r>
      <w:proofErr w:type="spellEnd"/>
      <w:r w:rsidRPr="005E0DC9">
        <w:rPr>
          <w:rFonts w:ascii="Calibri" w:eastAsia="Calibri" w:hAnsi="Calibri"/>
          <w:snapToGrid/>
          <w:color w:val="000000"/>
          <w:sz w:val="24"/>
          <w:szCs w:val="22"/>
          <w:lang w:eastAsia="en-AU"/>
        </w:rPr>
        <w:t xml:space="preserve"> (March 2015 </w:t>
      </w:r>
      <w:proofErr w:type="spellStart"/>
      <w:r w:rsidRPr="005E0DC9">
        <w:rPr>
          <w:rFonts w:ascii="Calibri" w:eastAsia="Calibri" w:hAnsi="Calibri"/>
          <w:snapToGrid/>
          <w:color w:val="000000"/>
          <w:sz w:val="24"/>
          <w:szCs w:val="22"/>
          <w:lang w:eastAsia="en-AU"/>
        </w:rPr>
        <w:t>obinutuzumab</w:t>
      </w:r>
      <w:proofErr w:type="spellEnd"/>
      <w:r w:rsidRPr="005E0DC9">
        <w:rPr>
          <w:rFonts w:ascii="Calibri" w:eastAsia="Calibri" w:hAnsi="Calibri"/>
          <w:snapToGrid/>
          <w:color w:val="000000"/>
          <w:sz w:val="24"/>
          <w:szCs w:val="22"/>
          <w:lang w:eastAsia="en-AU"/>
        </w:rPr>
        <w:t xml:space="preserve"> PSD, paragraph 7.2).  Consistent with this, a recent systematic review and meta-analysis (</w:t>
      </w:r>
      <w:proofErr w:type="spellStart"/>
      <w:r w:rsidRPr="005E0DC9">
        <w:rPr>
          <w:rFonts w:ascii="Calibri" w:eastAsia="Calibri" w:hAnsi="Calibri"/>
          <w:snapToGrid/>
          <w:color w:val="000000"/>
          <w:sz w:val="24"/>
          <w:szCs w:val="22"/>
          <w:lang w:eastAsia="en-AU"/>
        </w:rPr>
        <w:t>Stadler</w:t>
      </w:r>
      <w:proofErr w:type="spellEnd"/>
      <w:r w:rsidRPr="005E0DC9">
        <w:rPr>
          <w:rFonts w:ascii="Calibri" w:eastAsia="Calibri" w:hAnsi="Calibri"/>
          <w:snapToGrid/>
          <w:color w:val="000000"/>
          <w:sz w:val="24"/>
          <w:szCs w:val="22"/>
          <w:lang w:eastAsia="en-AU"/>
        </w:rPr>
        <w:t xml:space="preserve"> 2016) of interventions for unfit patients with CLL demonstrated a significant advantage for </w:t>
      </w:r>
      <w:proofErr w:type="spellStart"/>
      <w:r w:rsidRPr="005E0DC9">
        <w:rPr>
          <w:rFonts w:ascii="Calibri" w:eastAsia="Calibri" w:hAnsi="Calibri"/>
          <w:snapToGrid/>
          <w:color w:val="000000"/>
          <w:sz w:val="24"/>
          <w:szCs w:val="22"/>
          <w:lang w:eastAsia="en-AU"/>
        </w:rPr>
        <w:t>obi+chl</w:t>
      </w:r>
      <w:proofErr w:type="spellEnd"/>
      <w:r w:rsidRPr="005E0DC9">
        <w:rPr>
          <w:rFonts w:ascii="Calibri" w:eastAsia="Calibri" w:hAnsi="Calibri"/>
          <w:snapToGrid/>
          <w:color w:val="000000"/>
          <w:sz w:val="24"/>
          <w:szCs w:val="22"/>
          <w:lang w:eastAsia="en-AU"/>
        </w:rPr>
        <w:t xml:space="preserve"> compared to </w:t>
      </w:r>
      <w:proofErr w:type="gramStart"/>
      <w:r w:rsidRPr="005E0DC9">
        <w:rPr>
          <w:rFonts w:ascii="Calibri" w:eastAsia="Calibri" w:hAnsi="Calibri"/>
          <w:snapToGrid/>
          <w:color w:val="000000"/>
          <w:sz w:val="24"/>
          <w:szCs w:val="22"/>
          <w:lang w:eastAsia="en-AU"/>
        </w:rPr>
        <w:t xml:space="preserve">both </w:t>
      </w:r>
      <w:proofErr w:type="spellStart"/>
      <w:r w:rsidRPr="005E0DC9">
        <w:rPr>
          <w:rFonts w:ascii="Calibri" w:eastAsia="Calibri" w:hAnsi="Calibri"/>
          <w:snapToGrid/>
          <w:color w:val="000000"/>
          <w:sz w:val="24"/>
          <w:szCs w:val="22"/>
          <w:lang w:eastAsia="en-AU"/>
        </w:rPr>
        <w:t>ritux</w:t>
      </w:r>
      <w:proofErr w:type="gramEnd"/>
      <w:r w:rsidRPr="005E0DC9">
        <w:rPr>
          <w:rFonts w:ascii="Calibri" w:eastAsia="Calibri" w:hAnsi="Calibri"/>
          <w:snapToGrid/>
          <w:color w:val="000000"/>
          <w:sz w:val="24"/>
          <w:szCs w:val="22"/>
          <w:lang w:eastAsia="en-AU"/>
        </w:rPr>
        <w:t>+chl</w:t>
      </w:r>
      <w:proofErr w:type="spellEnd"/>
      <w:r w:rsidRPr="005E0DC9">
        <w:rPr>
          <w:rFonts w:ascii="Calibri" w:eastAsia="Calibri" w:hAnsi="Calibri"/>
          <w:snapToGrid/>
          <w:color w:val="000000"/>
          <w:sz w:val="24"/>
          <w:szCs w:val="22"/>
          <w:lang w:eastAsia="en-AU"/>
        </w:rPr>
        <w:t xml:space="preserve"> and </w:t>
      </w:r>
      <w:proofErr w:type="spellStart"/>
      <w:r w:rsidRPr="005E0DC9">
        <w:rPr>
          <w:rFonts w:ascii="Calibri" w:eastAsia="Calibri" w:hAnsi="Calibri"/>
          <w:snapToGrid/>
          <w:color w:val="000000"/>
          <w:sz w:val="24"/>
          <w:szCs w:val="22"/>
          <w:lang w:eastAsia="en-AU"/>
        </w:rPr>
        <w:t>ofa+chl</w:t>
      </w:r>
      <w:proofErr w:type="spellEnd"/>
      <w:r w:rsidRPr="005E0DC9">
        <w:rPr>
          <w:rFonts w:ascii="Calibri" w:eastAsia="Calibri" w:hAnsi="Calibri"/>
          <w:snapToGrid/>
          <w:color w:val="000000"/>
          <w:sz w:val="24"/>
          <w:szCs w:val="22"/>
          <w:lang w:eastAsia="en-AU"/>
        </w:rPr>
        <w:t xml:space="preserve">. </w:t>
      </w:r>
    </w:p>
    <w:p w:rsidR="00610C73" w:rsidRPr="005E0DC9" w:rsidRDefault="00610C73"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color w:val="000000"/>
          <w:sz w:val="24"/>
          <w:szCs w:val="22"/>
          <w:lang w:eastAsia="en-AU"/>
        </w:rPr>
        <w:t xml:space="preserve">The submission’s proposed blended comparator </w:t>
      </w:r>
      <w:r w:rsidR="00093BD2" w:rsidRPr="005E0DC9">
        <w:rPr>
          <w:rFonts w:ascii="Calibri" w:eastAsia="Calibri" w:hAnsi="Calibri"/>
          <w:snapToGrid/>
          <w:color w:val="000000"/>
          <w:sz w:val="24"/>
          <w:szCs w:val="22"/>
          <w:lang w:eastAsia="en-AU"/>
        </w:rPr>
        <w:t>pools</w:t>
      </w:r>
      <w:r w:rsidRPr="005E0DC9">
        <w:rPr>
          <w:rFonts w:ascii="Calibri" w:eastAsia="Calibri" w:hAnsi="Calibri"/>
          <w:snapToGrid/>
          <w:color w:val="000000"/>
          <w:sz w:val="24"/>
          <w:szCs w:val="22"/>
          <w:lang w:eastAsia="en-AU"/>
        </w:rPr>
        <w:t xml:space="preserve"> treatments with different efficacy</w:t>
      </w:r>
      <w:r w:rsidR="00ED4312" w:rsidRPr="005E0DC9">
        <w:rPr>
          <w:rFonts w:ascii="Calibri" w:eastAsia="Calibri" w:hAnsi="Calibri"/>
          <w:snapToGrid/>
          <w:color w:val="000000"/>
          <w:sz w:val="24"/>
          <w:szCs w:val="22"/>
          <w:lang w:eastAsia="en-AU"/>
        </w:rPr>
        <w:t>;</w:t>
      </w:r>
      <w:r w:rsidRPr="005E0DC9">
        <w:rPr>
          <w:rFonts w:ascii="Calibri" w:eastAsia="Calibri" w:hAnsi="Calibri"/>
          <w:snapToGrid/>
          <w:color w:val="000000"/>
          <w:sz w:val="24"/>
          <w:szCs w:val="22"/>
          <w:lang w:eastAsia="en-AU"/>
        </w:rPr>
        <w:t xml:space="preserve"> further</w:t>
      </w:r>
      <w:r w:rsidR="00ED4312" w:rsidRPr="005E0DC9">
        <w:rPr>
          <w:rFonts w:ascii="Calibri" w:eastAsia="Calibri" w:hAnsi="Calibri"/>
          <w:snapToGrid/>
          <w:color w:val="000000"/>
          <w:sz w:val="24"/>
          <w:szCs w:val="22"/>
          <w:lang w:eastAsia="en-AU"/>
        </w:rPr>
        <w:t>,</w:t>
      </w:r>
      <w:r w:rsidRPr="005E0DC9">
        <w:rPr>
          <w:rFonts w:ascii="Calibri" w:eastAsia="Calibri" w:hAnsi="Calibri"/>
          <w:snapToGrid/>
          <w:color w:val="000000"/>
          <w:sz w:val="24"/>
          <w:szCs w:val="22"/>
          <w:lang w:eastAsia="en-AU"/>
        </w:rPr>
        <w:t xml:space="preserve"> superiority over the most effective regimen (</w:t>
      </w:r>
      <w:proofErr w:type="spellStart"/>
      <w:r w:rsidRPr="005E0DC9">
        <w:rPr>
          <w:rFonts w:ascii="Calibri" w:eastAsia="Calibri" w:hAnsi="Calibri"/>
          <w:snapToGrid/>
          <w:color w:val="000000"/>
          <w:sz w:val="24"/>
          <w:szCs w:val="22"/>
          <w:lang w:eastAsia="en-AU"/>
        </w:rPr>
        <w:t>obi+chl</w:t>
      </w:r>
      <w:proofErr w:type="spellEnd"/>
      <w:r w:rsidRPr="005E0DC9">
        <w:rPr>
          <w:rFonts w:ascii="Calibri" w:eastAsia="Calibri" w:hAnsi="Calibri"/>
          <w:snapToGrid/>
          <w:color w:val="000000"/>
          <w:sz w:val="24"/>
          <w:szCs w:val="22"/>
          <w:lang w:eastAsia="en-AU"/>
        </w:rPr>
        <w:t xml:space="preserve">) has not been demonstrated. </w:t>
      </w:r>
    </w:p>
    <w:p w:rsidR="00656000" w:rsidRPr="005E0DC9" w:rsidRDefault="00610C73" w:rsidP="00FA1A53">
      <w:pPr>
        <w:widowControl/>
        <w:numPr>
          <w:ilvl w:val="1"/>
          <w:numId w:val="11"/>
        </w:numPr>
        <w:spacing w:before="120" w:after="120"/>
        <w:ind w:left="709" w:hanging="709"/>
        <w:rPr>
          <w:rFonts w:ascii="Calibri" w:eastAsia="Calibri" w:hAnsi="Calibri"/>
          <w:i/>
          <w:snapToGrid/>
          <w:sz w:val="24"/>
          <w:szCs w:val="22"/>
        </w:rPr>
      </w:pPr>
      <w:r w:rsidRPr="005E0DC9">
        <w:rPr>
          <w:rFonts w:ascii="Calibri" w:eastAsia="Calibri" w:hAnsi="Calibri"/>
          <w:snapToGrid/>
          <w:sz w:val="24"/>
          <w:szCs w:val="22"/>
        </w:rPr>
        <w:t xml:space="preserve">Results for </w:t>
      </w:r>
      <w:r w:rsidR="00ED4312" w:rsidRPr="005E0DC9">
        <w:rPr>
          <w:rFonts w:ascii="Calibri" w:eastAsia="Calibri" w:hAnsi="Calibri"/>
          <w:snapToGrid/>
          <w:sz w:val="24"/>
          <w:szCs w:val="22"/>
        </w:rPr>
        <w:t>Independent review Committee (</w:t>
      </w:r>
      <w:r w:rsidRPr="005E0DC9">
        <w:rPr>
          <w:rFonts w:ascii="Calibri" w:eastAsia="Calibri" w:hAnsi="Calibri"/>
          <w:snapToGrid/>
          <w:sz w:val="24"/>
          <w:szCs w:val="22"/>
        </w:rPr>
        <w:t>IRC</w:t>
      </w:r>
      <w:r w:rsidR="00ED4312" w:rsidRPr="005E0DC9">
        <w:rPr>
          <w:rFonts w:ascii="Calibri" w:eastAsia="Calibri" w:hAnsi="Calibri"/>
          <w:snapToGrid/>
          <w:sz w:val="24"/>
          <w:szCs w:val="22"/>
        </w:rPr>
        <w:t>)</w:t>
      </w:r>
      <w:r w:rsidRPr="005E0DC9">
        <w:rPr>
          <w:rFonts w:ascii="Calibri" w:eastAsia="Calibri" w:hAnsi="Calibri"/>
          <w:snapToGrid/>
          <w:sz w:val="24"/>
          <w:szCs w:val="22"/>
        </w:rPr>
        <w:t>-assessed PFS are provided in the following table (May 2015 data cut for RESONATE-2).</w:t>
      </w:r>
    </w:p>
    <w:p w:rsidR="00656000" w:rsidRPr="005E0DC9" w:rsidRDefault="00656000" w:rsidP="00656000">
      <w:pPr>
        <w:keepNext/>
        <w:rPr>
          <w:rFonts w:ascii="Arial Narrow" w:hAnsi="Arial Narrow"/>
          <w:b/>
          <w:sz w:val="20"/>
        </w:rPr>
      </w:pPr>
      <w:r w:rsidRPr="005E0DC9">
        <w:rPr>
          <w:rFonts w:ascii="Arial Narrow" w:hAnsi="Arial Narrow"/>
          <w:b/>
          <w:sz w:val="20"/>
        </w:rPr>
        <w:lastRenderedPageBreak/>
        <w:t xml:space="preserve">Table 6: Summary of results of the indirect comparisons based on IRC-assessed PFS </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843"/>
        <w:gridCol w:w="1387"/>
        <w:gridCol w:w="1589"/>
        <w:gridCol w:w="1134"/>
        <w:gridCol w:w="1545"/>
      </w:tblGrid>
      <w:tr w:rsidR="00656000" w:rsidRPr="005E0DC9" w:rsidTr="00656000">
        <w:trPr>
          <w:tblHeader/>
        </w:trPr>
        <w:tc>
          <w:tcPr>
            <w:tcW w:w="1526" w:type="dxa"/>
            <w:vAlign w:val="center"/>
          </w:tcPr>
          <w:p w:rsidR="00656000" w:rsidRPr="005E0DC9" w:rsidRDefault="00656000" w:rsidP="00656000">
            <w:pPr>
              <w:pStyle w:val="TableText1"/>
              <w:spacing w:before="0" w:after="0"/>
              <w:rPr>
                <w:b/>
                <w:szCs w:val="20"/>
              </w:rPr>
            </w:pPr>
            <w:r w:rsidRPr="005E0DC9">
              <w:rPr>
                <w:b/>
                <w:szCs w:val="20"/>
              </w:rPr>
              <w:t xml:space="preserve">Trial </w:t>
            </w:r>
          </w:p>
        </w:tc>
        <w:tc>
          <w:tcPr>
            <w:tcW w:w="1843" w:type="dxa"/>
            <w:shd w:val="clear" w:color="auto" w:fill="auto"/>
            <w:vAlign w:val="center"/>
          </w:tcPr>
          <w:p w:rsidR="00656000" w:rsidRPr="005E0DC9" w:rsidRDefault="00656000" w:rsidP="00656000">
            <w:pPr>
              <w:pStyle w:val="TableText1"/>
              <w:spacing w:before="0" w:after="0"/>
              <w:jc w:val="center"/>
              <w:rPr>
                <w:b/>
                <w:szCs w:val="20"/>
              </w:rPr>
            </w:pPr>
            <w:r w:rsidRPr="005E0DC9">
              <w:rPr>
                <w:b/>
                <w:szCs w:val="20"/>
              </w:rPr>
              <w:t>Outcome</w:t>
            </w:r>
          </w:p>
        </w:tc>
        <w:tc>
          <w:tcPr>
            <w:tcW w:w="1387" w:type="dxa"/>
            <w:shd w:val="clear" w:color="auto" w:fill="auto"/>
            <w:vAlign w:val="center"/>
          </w:tcPr>
          <w:p w:rsidR="00656000" w:rsidRPr="005E0DC9" w:rsidRDefault="00656000" w:rsidP="00656000">
            <w:pPr>
              <w:pStyle w:val="TableText1"/>
              <w:spacing w:before="0" w:after="0"/>
              <w:jc w:val="center"/>
              <w:rPr>
                <w:b/>
                <w:iCs/>
                <w:szCs w:val="20"/>
              </w:rPr>
            </w:pPr>
            <w:proofErr w:type="spellStart"/>
            <w:r w:rsidRPr="005E0DC9">
              <w:rPr>
                <w:b/>
                <w:iCs/>
                <w:szCs w:val="20"/>
              </w:rPr>
              <w:t>Ibr</w:t>
            </w:r>
            <w:proofErr w:type="spellEnd"/>
            <w:r w:rsidRPr="005E0DC9">
              <w:rPr>
                <w:b/>
                <w:iCs/>
                <w:szCs w:val="20"/>
              </w:rPr>
              <w:t xml:space="preserve"> </w:t>
            </w:r>
          </w:p>
          <w:p w:rsidR="00656000" w:rsidRPr="005E0DC9" w:rsidRDefault="00656000" w:rsidP="00656000">
            <w:pPr>
              <w:pStyle w:val="TableText1"/>
              <w:spacing w:before="0" w:after="0"/>
              <w:jc w:val="center"/>
              <w:rPr>
                <w:b/>
                <w:szCs w:val="20"/>
              </w:rPr>
            </w:pPr>
            <w:proofErr w:type="gramStart"/>
            <w:r w:rsidRPr="005E0DC9">
              <w:rPr>
                <w:b/>
                <w:iCs/>
                <w:szCs w:val="20"/>
              </w:rPr>
              <w:t>n/N</w:t>
            </w:r>
            <w:proofErr w:type="gramEnd"/>
            <w:r w:rsidRPr="005E0DC9">
              <w:rPr>
                <w:b/>
                <w:iCs/>
                <w:szCs w:val="20"/>
              </w:rPr>
              <w:t xml:space="preserve"> (%)</w:t>
            </w:r>
          </w:p>
        </w:tc>
        <w:tc>
          <w:tcPr>
            <w:tcW w:w="1589" w:type="dxa"/>
            <w:shd w:val="clear" w:color="auto" w:fill="auto"/>
            <w:vAlign w:val="center"/>
          </w:tcPr>
          <w:p w:rsidR="00656000" w:rsidRPr="005E0DC9" w:rsidRDefault="00656000" w:rsidP="00656000">
            <w:pPr>
              <w:pStyle w:val="TableText1"/>
              <w:spacing w:before="0" w:after="0"/>
              <w:jc w:val="center"/>
              <w:rPr>
                <w:b/>
                <w:szCs w:val="20"/>
              </w:rPr>
            </w:pPr>
            <w:proofErr w:type="spellStart"/>
            <w:r w:rsidRPr="005E0DC9">
              <w:rPr>
                <w:b/>
                <w:szCs w:val="20"/>
              </w:rPr>
              <w:t>Chl</w:t>
            </w:r>
            <w:proofErr w:type="spellEnd"/>
            <w:r w:rsidRPr="005E0DC9">
              <w:rPr>
                <w:b/>
                <w:szCs w:val="20"/>
              </w:rPr>
              <w:t xml:space="preserve"> </w:t>
            </w:r>
          </w:p>
          <w:p w:rsidR="00656000" w:rsidRPr="005E0DC9" w:rsidRDefault="00656000" w:rsidP="00656000">
            <w:pPr>
              <w:pStyle w:val="TableText1"/>
              <w:spacing w:before="0" w:after="0"/>
              <w:jc w:val="center"/>
              <w:rPr>
                <w:b/>
                <w:szCs w:val="20"/>
              </w:rPr>
            </w:pPr>
            <w:proofErr w:type="gramStart"/>
            <w:r w:rsidRPr="005E0DC9">
              <w:rPr>
                <w:b/>
                <w:szCs w:val="20"/>
              </w:rPr>
              <w:t>n/N</w:t>
            </w:r>
            <w:proofErr w:type="gramEnd"/>
            <w:r w:rsidRPr="005E0DC9">
              <w:rPr>
                <w:b/>
                <w:szCs w:val="20"/>
              </w:rPr>
              <w:t xml:space="preserve"> (%)</w:t>
            </w:r>
          </w:p>
        </w:tc>
        <w:tc>
          <w:tcPr>
            <w:tcW w:w="1134" w:type="dxa"/>
            <w:shd w:val="clear" w:color="auto" w:fill="auto"/>
            <w:vAlign w:val="center"/>
          </w:tcPr>
          <w:p w:rsidR="00656000" w:rsidRPr="005E0DC9" w:rsidRDefault="00656000" w:rsidP="00656000">
            <w:pPr>
              <w:pStyle w:val="TableText1"/>
              <w:spacing w:before="0" w:after="0"/>
              <w:jc w:val="center"/>
              <w:rPr>
                <w:b/>
                <w:szCs w:val="20"/>
              </w:rPr>
            </w:pPr>
            <w:r w:rsidRPr="005E0DC9">
              <w:rPr>
                <w:b/>
                <w:szCs w:val="20"/>
              </w:rPr>
              <w:t>Absolute difference</w:t>
            </w:r>
          </w:p>
        </w:tc>
        <w:tc>
          <w:tcPr>
            <w:tcW w:w="1545" w:type="dxa"/>
            <w:shd w:val="clear" w:color="auto" w:fill="auto"/>
            <w:vAlign w:val="center"/>
          </w:tcPr>
          <w:p w:rsidR="00656000" w:rsidRPr="005E0DC9" w:rsidRDefault="00656000" w:rsidP="00656000">
            <w:pPr>
              <w:pStyle w:val="TableText1"/>
              <w:spacing w:before="0" w:after="0"/>
              <w:jc w:val="center"/>
              <w:rPr>
                <w:b/>
                <w:szCs w:val="20"/>
              </w:rPr>
            </w:pPr>
            <w:r w:rsidRPr="005E0DC9">
              <w:rPr>
                <w:b/>
                <w:szCs w:val="20"/>
              </w:rPr>
              <w:t>HR (95% CI)</w:t>
            </w:r>
          </w:p>
        </w:tc>
      </w:tr>
      <w:tr w:rsidR="00656000" w:rsidRPr="005E0DC9" w:rsidTr="00656000">
        <w:tc>
          <w:tcPr>
            <w:tcW w:w="1526" w:type="dxa"/>
            <w:vMerge w:val="restart"/>
            <w:vAlign w:val="center"/>
          </w:tcPr>
          <w:p w:rsidR="00656000" w:rsidRPr="005E0DC9" w:rsidRDefault="00656000" w:rsidP="00656000">
            <w:pPr>
              <w:pStyle w:val="TableText1"/>
              <w:spacing w:before="0" w:after="0"/>
              <w:rPr>
                <w:szCs w:val="20"/>
              </w:rPr>
            </w:pPr>
            <w:r w:rsidRPr="005E0DC9">
              <w:rPr>
                <w:szCs w:val="20"/>
              </w:rPr>
              <w:t xml:space="preserve">RESONATE-2 </w:t>
            </w:r>
          </w:p>
          <w:p w:rsidR="00656000" w:rsidRPr="005E0DC9" w:rsidRDefault="00656000" w:rsidP="00656000">
            <w:pPr>
              <w:pStyle w:val="TableText1"/>
              <w:spacing w:before="0" w:after="0"/>
              <w:rPr>
                <w:szCs w:val="20"/>
              </w:rPr>
            </w:pPr>
            <w:proofErr w:type="spellStart"/>
            <w:r w:rsidRPr="005E0DC9">
              <w:rPr>
                <w:szCs w:val="20"/>
              </w:rPr>
              <w:t>ibr</w:t>
            </w:r>
            <w:proofErr w:type="spellEnd"/>
            <w:r w:rsidRPr="005E0DC9">
              <w:rPr>
                <w:szCs w:val="20"/>
              </w:rPr>
              <w:t xml:space="preserve"> vs. </w:t>
            </w:r>
            <w:proofErr w:type="spellStart"/>
            <w:r w:rsidRPr="005E0DC9">
              <w:rPr>
                <w:szCs w:val="20"/>
              </w:rPr>
              <w:t>chl</w:t>
            </w:r>
            <w:proofErr w:type="spellEnd"/>
          </w:p>
        </w:tc>
        <w:tc>
          <w:tcPr>
            <w:tcW w:w="1843" w:type="dxa"/>
            <w:shd w:val="clear" w:color="auto" w:fill="auto"/>
            <w:vAlign w:val="center"/>
          </w:tcPr>
          <w:p w:rsidR="00656000" w:rsidRPr="005E0DC9" w:rsidRDefault="00656000" w:rsidP="00656000">
            <w:pPr>
              <w:pStyle w:val="TableText1"/>
              <w:spacing w:before="0" w:after="0"/>
              <w:rPr>
                <w:szCs w:val="20"/>
              </w:rPr>
            </w:pPr>
            <w:r w:rsidRPr="005E0DC9">
              <w:rPr>
                <w:szCs w:val="20"/>
              </w:rPr>
              <w:t>Progressed</w:t>
            </w:r>
          </w:p>
        </w:tc>
        <w:tc>
          <w:tcPr>
            <w:tcW w:w="1387" w:type="dxa"/>
            <w:shd w:val="clear" w:color="auto" w:fill="auto"/>
            <w:vAlign w:val="center"/>
          </w:tcPr>
          <w:p w:rsidR="00656000" w:rsidRPr="005E0DC9" w:rsidRDefault="00656000" w:rsidP="00656000">
            <w:pPr>
              <w:pStyle w:val="TableText1"/>
              <w:spacing w:before="0" w:after="0"/>
              <w:jc w:val="center"/>
              <w:rPr>
                <w:iCs/>
                <w:szCs w:val="20"/>
              </w:rPr>
            </w:pPr>
            <w:r w:rsidRPr="005E0DC9">
              <w:rPr>
                <w:iCs/>
                <w:szCs w:val="20"/>
              </w:rPr>
              <w:t>12/136 (8.8%)</w:t>
            </w:r>
          </w:p>
        </w:tc>
        <w:tc>
          <w:tcPr>
            <w:tcW w:w="1589" w:type="dxa"/>
            <w:shd w:val="clear" w:color="auto" w:fill="auto"/>
            <w:vAlign w:val="center"/>
          </w:tcPr>
          <w:p w:rsidR="00656000" w:rsidRPr="005E0DC9" w:rsidRDefault="00656000" w:rsidP="00656000">
            <w:pPr>
              <w:pStyle w:val="TableText1"/>
              <w:spacing w:before="0" w:after="0"/>
              <w:jc w:val="center"/>
              <w:rPr>
                <w:iCs/>
                <w:szCs w:val="20"/>
              </w:rPr>
            </w:pPr>
            <w:r w:rsidRPr="005E0DC9">
              <w:rPr>
                <w:iCs/>
                <w:szCs w:val="20"/>
              </w:rPr>
              <w:t>57/133</w:t>
            </w:r>
            <w:r w:rsidRPr="005E0DC9">
              <w:rPr>
                <w:szCs w:val="20"/>
              </w:rPr>
              <w:t xml:space="preserve"> (42.9%)</w:t>
            </w:r>
          </w:p>
        </w:tc>
        <w:tc>
          <w:tcPr>
            <w:tcW w:w="1134" w:type="dxa"/>
            <w:shd w:val="clear" w:color="auto" w:fill="auto"/>
            <w:vAlign w:val="center"/>
          </w:tcPr>
          <w:p w:rsidR="00656000" w:rsidRPr="005E0DC9" w:rsidRDefault="00656000" w:rsidP="00656000">
            <w:pPr>
              <w:pStyle w:val="TableText1"/>
              <w:spacing w:before="0" w:after="0"/>
              <w:jc w:val="center"/>
              <w:rPr>
                <w:szCs w:val="20"/>
              </w:rPr>
            </w:pPr>
            <w:r w:rsidRPr="005E0DC9">
              <w:rPr>
                <w:szCs w:val="20"/>
              </w:rPr>
              <w:t>-</w:t>
            </w:r>
          </w:p>
        </w:tc>
        <w:tc>
          <w:tcPr>
            <w:tcW w:w="1545" w:type="dxa"/>
            <w:shd w:val="clear" w:color="auto" w:fill="auto"/>
            <w:vAlign w:val="center"/>
          </w:tcPr>
          <w:p w:rsidR="00656000" w:rsidRPr="005E0DC9" w:rsidRDefault="00656000" w:rsidP="00656000">
            <w:pPr>
              <w:pStyle w:val="TableText1"/>
              <w:spacing w:before="0" w:after="0"/>
              <w:jc w:val="center"/>
              <w:rPr>
                <w:szCs w:val="20"/>
              </w:rPr>
            </w:pPr>
            <w:r w:rsidRPr="005E0DC9">
              <w:rPr>
                <w:szCs w:val="20"/>
              </w:rPr>
              <w:t>-</w:t>
            </w:r>
          </w:p>
        </w:tc>
      </w:tr>
      <w:tr w:rsidR="00656000" w:rsidRPr="005E0DC9" w:rsidTr="00656000">
        <w:tc>
          <w:tcPr>
            <w:tcW w:w="1526" w:type="dxa"/>
            <w:vMerge/>
            <w:tcBorders>
              <w:bottom w:val="double" w:sz="4" w:space="0" w:color="auto"/>
            </w:tcBorders>
            <w:vAlign w:val="center"/>
          </w:tcPr>
          <w:p w:rsidR="00656000" w:rsidRPr="005E0DC9" w:rsidRDefault="00656000" w:rsidP="00656000">
            <w:pPr>
              <w:pStyle w:val="TableText1"/>
              <w:spacing w:before="0" w:after="0"/>
              <w:rPr>
                <w:szCs w:val="20"/>
              </w:rPr>
            </w:pPr>
          </w:p>
        </w:tc>
        <w:tc>
          <w:tcPr>
            <w:tcW w:w="1843" w:type="dxa"/>
            <w:tcBorders>
              <w:bottom w:val="double" w:sz="4" w:space="0" w:color="auto"/>
            </w:tcBorders>
            <w:shd w:val="clear" w:color="auto" w:fill="auto"/>
            <w:vAlign w:val="center"/>
          </w:tcPr>
          <w:p w:rsidR="00656000" w:rsidRPr="005E0DC9" w:rsidRDefault="00656000" w:rsidP="00656000">
            <w:pPr>
              <w:pStyle w:val="TableText1"/>
              <w:spacing w:before="0" w:after="0"/>
              <w:rPr>
                <w:szCs w:val="20"/>
              </w:rPr>
            </w:pPr>
            <w:r w:rsidRPr="005E0DC9">
              <w:rPr>
                <w:szCs w:val="20"/>
              </w:rPr>
              <w:t>Median months PFS</w:t>
            </w:r>
          </w:p>
        </w:tc>
        <w:tc>
          <w:tcPr>
            <w:tcW w:w="1387" w:type="dxa"/>
            <w:tcBorders>
              <w:bottom w:val="double" w:sz="4" w:space="0" w:color="auto"/>
            </w:tcBorders>
            <w:shd w:val="clear" w:color="auto" w:fill="auto"/>
            <w:vAlign w:val="center"/>
          </w:tcPr>
          <w:p w:rsidR="00656000" w:rsidRPr="005E0DC9" w:rsidRDefault="00656000" w:rsidP="00656000">
            <w:pPr>
              <w:pStyle w:val="TableText1"/>
              <w:spacing w:before="0" w:after="0"/>
              <w:jc w:val="center"/>
              <w:rPr>
                <w:iCs/>
                <w:szCs w:val="20"/>
              </w:rPr>
            </w:pPr>
            <w:r w:rsidRPr="005E0DC9">
              <w:rPr>
                <w:iCs/>
                <w:szCs w:val="20"/>
              </w:rPr>
              <w:t>NR</w:t>
            </w:r>
          </w:p>
        </w:tc>
        <w:tc>
          <w:tcPr>
            <w:tcW w:w="1589" w:type="dxa"/>
            <w:tcBorders>
              <w:bottom w:val="double" w:sz="4" w:space="0" w:color="auto"/>
            </w:tcBorders>
            <w:shd w:val="clear" w:color="auto" w:fill="auto"/>
            <w:vAlign w:val="center"/>
          </w:tcPr>
          <w:p w:rsidR="00656000" w:rsidRPr="005E0DC9" w:rsidRDefault="00656000" w:rsidP="00656000">
            <w:pPr>
              <w:pStyle w:val="TableText1"/>
              <w:spacing w:before="0" w:after="0"/>
              <w:jc w:val="center"/>
              <w:rPr>
                <w:iCs/>
                <w:szCs w:val="20"/>
              </w:rPr>
            </w:pPr>
            <w:r w:rsidRPr="005E0DC9">
              <w:rPr>
                <w:iCs/>
                <w:szCs w:val="20"/>
              </w:rPr>
              <w:t>18.9 (14.1, 22.0)</w:t>
            </w:r>
          </w:p>
        </w:tc>
        <w:tc>
          <w:tcPr>
            <w:tcW w:w="1134" w:type="dxa"/>
            <w:tcBorders>
              <w:bottom w:val="double" w:sz="4" w:space="0" w:color="auto"/>
            </w:tcBorders>
            <w:shd w:val="clear" w:color="auto" w:fill="auto"/>
            <w:vAlign w:val="center"/>
          </w:tcPr>
          <w:p w:rsidR="00656000" w:rsidRPr="005E0DC9" w:rsidRDefault="00656000" w:rsidP="00656000">
            <w:pPr>
              <w:pStyle w:val="TableText1"/>
              <w:spacing w:before="0" w:after="0"/>
              <w:jc w:val="center"/>
              <w:rPr>
                <w:szCs w:val="20"/>
              </w:rPr>
            </w:pPr>
            <w:r w:rsidRPr="005E0DC9">
              <w:rPr>
                <w:szCs w:val="20"/>
              </w:rPr>
              <w:t>-</w:t>
            </w:r>
          </w:p>
        </w:tc>
        <w:tc>
          <w:tcPr>
            <w:tcW w:w="1545" w:type="dxa"/>
            <w:tcBorders>
              <w:bottom w:val="double" w:sz="4" w:space="0" w:color="auto"/>
            </w:tcBorders>
            <w:shd w:val="clear" w:color="auto" w:fill="auto"/>
            <w:vAlign w:val="center"/>
          </w:tcPr>
          <w:p w:rsidR="00656000" w:rsidRPr="005E0DC9" w:rsidRDefault="00656000" w:rsidP="00656000">
            <w:pPr>
              <w:pStyle w:val="TableText1"/>
              <w:spacing w:before="0" w:after="0"/>
              <w:jc w:val="center"/>
              <w:rPr>
                <w:b/>
                <w:szCs w:val="20"/>
              </w:rPr>
            </w:pPr>
            <w:r w:rsidRPr="005E0DC9">
              <w:rPr>
                <w:b/>
                <w:szCs w:val="20"/>
              </w:rPr>
              <w:t>0.16 (0.09, 0.28)</w:t>
            </w:r>
          </w:p>
        </w:tc>
      </w:tr>
      <w:tr w:rsidR="00656000" w:rsidRPr="005E0DC9" w:rsidTr="00656000">
        <w:tc>
          <w:tcPr>
            <w:tcW w:w="1526" w:type="dxa"/>
            <w:tcBorders>
              <w:top w:val="double" w:sz="4" w:space="0" w:color="auto"/>
              <w:bottom w:val="single" w:sz="4" w:space="0" w:color="auto"/>
            </w:tcBorders>
            <w:vAlign w:val="center"/>
          </w:tcPr>
          <w:p w:rsidR="00656000" w:rsidRPr="005E0DC9" w:rsidRDefault="00656000" w:rsidP="00656000">
            <w:pPr>
              <w:pStyle w:val="TableText1"/>
              <w:spacing w:before="0" w:after="0"/>
              <w:rPr>
                <w:b/>
                <w:szCs w:val="20"/>
              </w:rPr>
            </w:pPr>
            <w:r w:rsidRPr="005E0DC9">
              <w:rPr>
                <w:b/>
                <w:szCs w:val="20"/>
              </w:rPr>
              <w:t>Comparators</w:t>
            </w:r>
          </w:p>
        </w:tc>
        <w:tc>
          <w:tcPr>
            <w:tcW w:w="1843" w:type="dxa"/>
            <w:tcBorders>
              <w:top w:val="double" w:sz="4" w:space="0" w:color="auto"/>
              <w:bottom w:val="single" w:sz="4" w:space="0" w:color="auto"/>
            </w:tcBorders>
            <w:shd w:val="clear" w:color="auto" w:fill="auto"/>
            <w:vAlign w:val="center"/>
          </w:tcPr>
          <w:p w:rsidR="00656000" w:rsidRPr="005E0DC9" w:rsidRDefault="00656000" w:rsidP="00656000">
            <w:pPr>
              <w:pStyle w:val="TableText1"/>
              <w:spacing w:before="0" w:after="0"/>
              <w:rPr>
                <w:szCs w:val="20"/>
              </w:rPr>
            </w:pPr>
          </w:p>
        </w:tc>
        <w:tc>
          <w:tcPr>
            <w:tcW w:w="1387" w:type="dxa"/>
            <w:tcBorders>
              <w:top w:val="double" w:sz="4" w:space="0" w:color="auto"/>
              <w:bottom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b/>
                <w:szCs w:val="20"/>
              </w:rPr>
            </w:pPr>
            <w:r w:rsidRPr="005E0DC9">
              <w:rPr>
                <w:rFonts w:eastAsia="Times New Roman" w:cs="Times New Roman"/>
                <w:b/>
                <w:szCs w:val="20"/>
              </w:rPr>
              <w:t xml:space="preserve">Intervention </w:t>
            </w:r>
          </w:p>
          <w:p w:rsidR="00656000" w:rsidRPr="005E0DC9" w:rsidRDefault="00656000" w:rsidP="00656000">
            <w:pPr>
              <w:pStyle w:val="TableText1"/>
              <w:spacing w:before="0" w:after="0"/>
              <w:jc w:val="center"/>
              <w:rPr>
                <w:rFonts w:eastAsia="Times New Roman" w:cs="Times New Roman"/>
                <w:szCs w:val="20"/>
              </w:rPr>
            </w:pPr>
            <w:proofErr w:type="gramStart"/>
            <w:r w:rsidRPr="005E0DC9">
              <w:rPr>
                <w:rFonts w:eastAsia="Times New Roman" w:cs="Times New Roman"/>
                <w:b/>
                <w:szCs w:val="20"/>
              </w:rPr>
              <w:t>n/N</w:t>
            </w:r>
            <w:proofErr w:type="gramEnd"/>
            <w:r w:rsidRPr="005E0DC9">
              <w:rPr>
                <w:rFonts w:eastAsia="Times New Roman" w:cs="Times New Roman"/>
                <w:b/>
                <w:szCs w:val="20"/>
              </w:rPr>
              <w:t xml:space="preserve"> (%)</w:t>
            </w:r>
          </w:p>
        </w:tc>
        <w:tc>
          <w:tcPr>
            <w:tcW w:w="1589" w:type="dxa"/>
            <w:tcBorders>
              <w:top w:val="double" w:sz="4" w:space="0" w:color="auto"/>
              <w:bottom w:val="single" w:sz="4" w:space="0" w:color="auto"/>
            </w:tcBorders>
            <w:shd w:val="clear" w:color="auto" w:fill="auto"/>
            <w:vAlign w:val="center"/>
          </w:tcPr>
          <w:p w:rsidR="00656000" w:rsidRPr="005E0DC9" w:rsidRDefault="00656000" w:rsidP="00656000">
            <w:pPr>
              <w:pStyle w:val="TableText1"/>
              <w:spacing w:before="0" w:after="0"/>
              <w:jc w:val="center"/>
              <w:rPr>
                <w:b/>
                <w:szCs w:val="20"/>
              </w:rPr>
            </w:pPr>
            <w:proofErr w:type="spellStart"/>
            <w:r w:rsidRPr="005E0DC9">
              <w:rPr>
                <w:b/>
                <w:szCs w:val="20"/>
              </w:rPr>
              <w:t>Chl</w:t>
            </w:r>
            <w:proofErr w:type="spellEnd"/>
            <w:r w:rsidRPr="005E0DC9">
              <w:rPr>
                <w:b/>
                <w:szCs w:val="20"/>
              </w:rPr>
              <w:t xml:space="preserve"> </w:t>
            </w:r>
          </w:p>
          <w:p w:rsidR="00656000" w:rsidRPr="005E0DC9" w:rsidRDefault="00656000" w:rsidP="00656000">
            <w:pPr>
              <w:pStyle w:val="TableText1"/>
              <w:spacing w:before="0" w:after="0"/>
              <w:jc w:val="center"/>
              <w:rPr>
                <w:rFonts w:eastAsia="Times New Roman" w:cs="Times New Roman"/>
                <w:szCs w:val="20"/>
              </w:rPr>
            </w:pPr>
            <w:proofErr w:type="gramStart"/>
            <w:r w:rsidRPr="005E0DC9">
              <w:rPr>
                <w:b/>
                <w:szCs w:val="20"/>
              </w:rPr>
              <w:t>n/N</w:t>
            </w:r>
            <w:proofErr w:type="gramEnd"/>
            <w:r w:rsidRPr="005E0DC9">
              <w:rPr>
                <w:b/>
                <w:szCs w:val="20"/>
              </w:rPr>
              <w:t xml:space="preserve"> (%)</w:t>
            </w:r>
          </w:p>
        </w:tc>
        <w:tc>
          <w:tcPr>
            <w:tcW w:w="1134" w:type="dxa"/>
            <w:tcBorders>
              <w:top w:val="double" w:sz="4" w:space="0" w:color="auto"/>
              <w:bottom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b/>
                <w:szCs w:val="20"/>
              </w:rPr>
              <w:t>Absolute difference</w:t>
            </w:r>
          </w:p>
        </w:tc>
        <w:tc>
          <w:tcPr>
            <w:tcW w:w="1545" w:type="dxa"/>
            <w:tcBorders>
              <w:top w:val="double" w:sz="4" w:space="0" w:color="auto"/>
              <w:bottom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b/>
                <w:szCs w:val="20"/>
              </w:rPr>
              <w:t>HR (95% CI)</w:t>
            </w:r>
          </w:p>
        </w:tc>
      </w:tr>
      <w:tr w:rsidR="00656000" w:rsidRPr="005E0DC9" w:rsidTr="00656000">
        <w:tc>
          <w:tcPr>
            <w:tcW w:w="1526" w:type="dxa"/>
            <w:vMerge w:val="restart"/>
            <w:tcBorders>
              <w:top w:val="single" w:sz="4" w:space="0" w:color="auto"/>
            </w:tcBorders>
            <w:vAlign w:val="center"/>
          </w:tcPr>
          <w:p w:rsidR="00656000" w:rsidRPr="005E0DC9" w:rsidRDefault="00656000" w:rsidP="00656000">
            <w:pPr>
              <w:pStyle w:val="TableText1"/>
              <w:spacing w:before="0" w:after="0"/>
              <w:rPr>
                <w:szCs w:val="20"/>
              </w:rPr>
            </w:pPr>
            <w:r w:rsidRPr="005E0DC9">
              <w:rPr>
                <w:szCs w:val="20"/>
              </w:rPr>
              <w:t xml:space="preserve">CLL11 </w:t>
            </w:r>
          </w:p>
          <w:p w:rsidR="00656000" w:rsidRPr="005E0DC9" w:rsidRDefault="00656000" w:rsidP="00656000">
            <w:pPr>
              <w:pStyle w:val="TableText1"/>
              <w:spacing w:before="0" w:after="0"/>
              <w:rPr>
                <w:szCs w:val="20"/>
              </w:rPr>
            </w:pPr>
            <w:proofErr w:type="spellStart"/>
            <w:r w:rsidRPr="005E0DC9">
              <w:rPr>
                <w:szCs w:val="20"/>
              </w:rPr>
              <w:t>ritux+chl</w:t>
            </w:r>
            <w:proofErr w:type="spellEnd"/>
            <w:r w:rsidRPr="005E0DC9">
              <w:rPr>
                <w:szCs w:val="20"/>
              </w:rPr>
              <w:t xml:space="preserve"> vs </w:t>
            </w:r>
            <w:proofErr w:type="spellStart"/>
            <w:r w:rsidRPr="005E0DC9">
              <w:rPr>
                <w:szCs w:val="20"/>
              </w:rPr>
              <w:t>chl</w:t>
            </w:r>
            <w:proofErr w:type="spellEnd"/>
          </w:p>
        </w:tc>
        <w:tc>
          <w:tcPr>
            <w:tcW w:w="1843" w:type="dxa"/>
            <w:tcBorders>
              <w:top w:val="single" w:sz="4" w:space="0" w:color="auto"/>
            </w:tcBorders>
            <w:shd w:val="clear" w:color="auto" w:fill="auto"/>
            <w:vAlign w:val="center"/>
          </w:tcPr>
          <w:p w:rsidR="00656000" w:rsidRPr="005E0DC9" w:rsidRDefault="00656000" w:rsidP="00656000">
            <w:pPr>
              <w:pStyle w:val="TableText1"/>
              <w:spacing w:before="0" w:after="0"/>
              <w:rPr>
                <w:rFonts w:eastAsia="Times New Roman" w:cs="Times New Roman"/>
                <w:szCs w:val="20"/>
              </w:rPr>
            </w:pPr>
            <w:r w:rsidRPr="005E0DC9">
              <w:rPr>
                <w:szCs w:val="20"/>
              </w:rPr>
              <w:t>Progressed</w:t>
            </w:r>
          </w:p>
        </w:tc>
        <w:tc>
          <w:tcPr>
            <w:tcW w:w="1387" w:type="dxa"/>
            <w:tcBorders>
              <w:top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tcBorders>
              <w:top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tcBorders>
              <w:top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tcBorders>
              <w:top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p>
        </w:tc>
      </w:tr>
      <w:tr w:rsidR="00656000" w:rsidRPr="005E0DC9" w:rsidTr="00656000">
        <w:tc>
          <w:tcPr>
            <w:tcW w:w="1526" w:type="dxa"/>
            <w:vMerge/>
            <w:vAlign w:val="center"/>
          </w:tcPr>
          <w:p w:rsidR="00656000" w:rsidRPr="005E0DC9" w:rsidRDefault="00656000" w:rsidP="00656000">
            <w:pPr>
              <w:pStyle w:val="TableText1"/>
              <w:spacing w:before="0" w:after="0"/>
              <w:rPr>
                <w:szCs w:val="20"/>
              </w:rPr>
            </w:pPr>
          </w:p>
        </w:tc>
        <w:tc>
          <w:tcPr>
            <w:tcW w:w="1843" w:type="dxa"/>
            <w:shd w:val="clear" w:color="auto" w:fill="auto"/>
            <w:vAlign w:val="center"/>
          </w:tcPr>
          <w:p w:rsidR="00656000" w:rsidRPr="005E0DC9" w:rsidRDefault="00656000" w:rsidP="00656000">
            <w:pPr>
              <w:pStyle w:val="TableText1"/>
              <w:spacing w:before="0" w:after="0"/>
              <w:rPr>
                <w:rFonts w:eastAsia="Times New Roman" w:cs="Times New Roman"/>
                <w:szCs w:val="20"/>
              </w:rPr>
            </w:pPr>
            <w:r w:rsidRPr="005E0DC9">
              <w:rPr>
                <w:szCs w:val="20"/>
              </w:rPr>
              <w:t>Median months PFS</w:t>
            </w:r>
          </w:p>
        </w:tc>
        <w:tc>
          <w:tcPr>
            <w:tcW w:w="1387"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16.1</w:t>
            </w:r>
          </w:p>
        </w:tc>
        <w:tc>
          <w:tcPr>
            <w:tcW w:w="1589"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11.2</w:t>
            </w:r>
          </w:p>
        </w:tc>
        <w:tc>
          <w:tcPr>
            <w:tcW w:w="1134"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 xml:space="preserve">4.9 </w:t>
            </w:r>
            <w:proofErr w:type="spellStart"/>
            <w:r w:rsidRPr="005E0DC9">
              <w:rPr>
                <w:rFonts w:eastAsia="Times New Roman" w:cs="Times New Roman"/>
                <w:szCs w:val="20"/>
              </w:rPr>
              <w:t>mths</w:t>
            </w:r>
            <w:proofErr w:type="spellEnd"/>
          </w:p>
        </w:tc>
        <w:tc>
          <w:tcPr>
            <w:tcW w:w="1545" w:type="dxa"/>
            <w:shd w:val="clear" w:color="auto" w:fill="auto"/>
            <w:vAlign w:val="center"/>
          </w:tcPr>
          <w:p w:rsidR="00656000" w:rsidRPr="005E0DC9" w:rsidRDefault="00656000" w:rsidP="00656000">
            <w:pPr>
              <w:pStyle w:val="TableText1"/>
              <w:spacing w:before="0" w:after="0"/>
              <w:jc w:val="center"/>
              <w:rPr>
                <w:rFonts w:eastAsia="Times New Roman" w:cs="Times New Roman"/>
                <w:b/>
                <w:szCs w:val="20"/>
              </w:rPr>
            </w:pPr>
            <w:r w:rsidRPr="005E0DC9">
              <w:rPr>
                <w:rFonts w:eastAsia="Times New Roman" w:cs="Times New Roman"/>
                <w:b/>
                <w:szCs w:val="20"/>
              </w:rPr>
              <w:t>0.46 (0.35, 0.61)</w:t>
            </w:r>
          </w:p>
        </w:tc>
      </w:tr>
      <w:tr w:rsidR="00656000" w:rsidRPr="005E0DC9" w:rsidTr="00656000">
        <w:tc>
          <w:tcPr>
            <w:tcW w:w="7479" w:type="dxa"/>
            <w:gridSpan w:val="5"/>
            <w:vAlign w:val="center"/>
          </w:tcPr>
          <w:p w:rsidR="00656000" w:rsidRPr="005E0DC9" w:rsidRDefault="00656000" w:rsidP="00656000">
            <w:pPr>
              <w:pStyle w:val="TableText1"/>
              <w:spacing w:before="0" w:after="0"/>
              <w:jc w:val="right"/>
              <w:rPr>
                <w:rFonts w:eastAsia="Times New Roman" w:cs="Times New Roman"/>
                <w:b/>
                <w:szCs w:val="20"/>
              </w:rPr>
            </w:pPr>
            <w:r w:rsidRPr="005E0DC9">
              <w:rPr>
                <w:b/>
                <w:szCs w:val="20"/>
              </w:rPr>
              <w:t xml:space="preserve">Indirect comparison </w:t>
            </w:r>
            <w:proofErr w:type="spellStart"/>
            <w:r w:rsidRPr="005E0DC9">
              <w:rPr>
                <w:b/>
                <w:szCs w:val="20"/>
              </w:rPr>
              <w:t>ibr</w:t>
            </w:r>
            <w:proofErr w:type="spellEnd"/>
            <w:r w:rsidRPr="005E0DC9">
              <w:rPr>
                <w:b/>
                <w:szCs w:val="20"/>
              </w:rPr>
              <w:t xml:space="preserve"> vs. </w:t>
            </w:r>
            <w:proofErr w:type="spellStart"/>
            <w:r w:rsidRPr="005E0DC9">
              <w:rPr>
                <w:b/>
                <w:szCs w:val="20"/>
              </w:rPr>
              <w:t>ritux+chl</w:t>
            </w:r>
            <w:proofErr w:type="spellEnd"/>
          </w:p>
        </w:tc>
        <w:tc>
          <w:tcPr>
            <w:tcW w:w="1545" w:type="dxa"/>
            <w:shd w:val="clear" w:color="auto" w:fill="auto"/>
            <w:vAlign w:val="center"/>
          </w:tcPr>
          <w:p w:rsidR="00656000" w:rsidRPr="00773C23" w:rsidRDefault="00773C23" w:rsidP="00656000">
            <w:pPr>
              <w:pStyle w:val="TableText1"/>
              <w:spacing w:before="0" w:after="0"/>
              <w:jc w:val="center"/>
              <w:rPr>
                <w:rFonts w:eastAsia="Times New Roman" w:cs="Times New Roman"/>
                <w:b/>
                <w:szCs w:val="20"/>
                <w:highlight w:val="black"/>
              </w:rPr>
            </w:pPr>
            <w:r>
              <w:rPr>
                <w:rFonts w:eastAsia="Times New Roman" w:cs="Times New Roman"/>
                <w:b/>
                <w:noProof/>
                <w:color w:val="000000"/>
                <w:szCs w:val="20"/>
                <w:highlight w:val="black"/>
              </w:rPr>
              <w:t>''''''''' ''''''''''''' ''''''''''</w:t>
            </w:r>
          </w:p>
        </w:tc>
      </w:tr>
      <w:tr w:rsidR="00656000" w:rsidRPr="005E0DC9" w:rsidTr="00656000">
        <w:tc>
          <w:tcPr>
            <w:tcW w:w="1526" w:type="dxa"/>
            <w:vMerge w:val="restart"/>
            <w:vAlign w:val="center"/>
          </w:tcPr>
          <w:p w:rsidR="00656000" w:rsidRPr="005E0DC9" w:rsidRDefault="00656000" w:rsidP="00656000">
            <w:pPr>
              <w:pStyle w:val="TableText1"/>
              <w:spacing w:before="0" w:after="0"/>
              <w:rPr>
                <w:szCs w:val="20"/>
              </w:rPr>
            </w:pPr>
            <w:r w:rsidRPr="005E0DC9">
              <w:rPr>
                <w:szCs w:val="20"/>
              </w:rPr>
              <w:t xml:space="preserve">CLL11 </w:t>
            </w:r>
          </w:p>
          <w:p w:rsidR="00656000" w:rsidRPr="005E0DC9" w:rsidRDefault="00656000" w:rsidP="00656000">
            <w:pPr>
              <w:pStyle w:val="TableText1"/>
              <w:spacing w:before="0" w:after="0"/>
              <w:rPr>
                <w:szCs w:val="20"/>
              </w:rPr>
            </w:pPr>
            <w:proofErr w:type="spellStart"/>
            <w:r w:rsidRPr="005E0DC9">
              <w:rPr>
                <w:szCs w:val="20"/>
              </w:rPr>
              <w:t>obi+chl</w:t>
            </w:r>
            <w:proofErr w:type="spellEnd"/>
            <w:r w:rsidRPr="005E0DC9">
              <w:rPr>
                <w:szCs w:val="20"/>
              </w:rPr>
              <w:t xml:space="preserve"> vs. </w:t>
            </w:r>
            <w:proofErr w:type="spellStart"/>
            <w:r w:rsidRPr="005E0DC9">
              <w:rPr>
                <w:szCs w:val="20"/>
              </w:rPr>
              <w:t>chl</w:t>
            </w:r>
            <w:proofErr w:type="spellEnd"/>
          </w:p>
        </w:tc>
        <w:tc>
          <w:tcPr>
            <w:tcW w:w="1843" w:type="dxa"/>
            <w:shd w:val="clear" w:color="auto" w:fill="auto"/>
            <w:vAlign w:val="center"/>
          </w:tcPr>
          <w:p w:rsidR="00656000" w:rsidRPr="005E0DC9" w:rsidRDefault="00656000" w:rsidP="00656000">
            <w:pPr>
              <w:pStyle w:val="TableText1"/>
              <w:spacing w:before="0" w:after="0"/>
              <w:rPr>
                <w:rFonts w:eastAsia="Times New Roman" w:cs="Times New Roman"/>
                <w:szCs w:val="20"/>
              </w:rPr>
            </w:pPr>
            <w:r w:rsidRPr="005E0DC9">
              <w:rPr>
                <w:szCs w:val="20"/>
              </w:rPr>
              <w:t>Progressed</w:t>
            </w:r>
          </w:p>
        </w:tc>
        <w:tc>
          <w:tcPr>
            <w:tcW w:w="1387"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w:t>
            </w:r>
          </w:p>
        </w:tc>
      </w:tr>
      <w:tr w:rsidR="00656000" w:rsidRPr="005E0DC9" w:rsidTr="00656000">
        <w:tc>
          <w:tcPr>
            <w:tcW w:w="1526" w:type="dxa"/>
            <w:vMerge/>
            <w:vAlign w:val="center"/>
          </w:tcPr>
          <w:p w:rsidR="00656000" w:rsidRPr="005E0DC9" w:rsidRDefault="00656000" w:rsidP="00656000">
            <w:pPr>
              <w:pStyle w:val="TableText1"/>
              <w:spacing w:before="0" w:after="0"/>
              <w:rPr>
                <w:szCs w:val="20"/>
              </w:rPr>
            </w:pPr>
          </w:p>
        </w:tc>
        <w:tc>
          <w:tcPr>
            <w:tcW w:w="1843" w:type="dxa"/>
            <w:shd w:val="clear" w:color="auto" w:fill="auto"/>
            <w:vAlign w:val="center"/>
          </w:tcPr>
          <w:p w:rsidR="00656000" w:rsidRPr="005E0DC9" w:rsidRDefault="00656000" w:rsidP="00656000">
            <w:pPr>
              <w:pStyle w:val="TableText1"/>
              <w:spacing w:before="0" w:after="0"/>
              <w:rPr>
                <w:rFonts w:eastAsia="Times New Roman" w:cs="Times New Roman"/>
                <w:szCs w:val="20"/>
              </w:rPr>
            </w:pPr>
            <w:r w:rsidRPr="005E0DC9">
              <w:rPr>
                <w:szCs w:val="20"/>
              </w:rPr>
              <w:t>Median months PFS</w:t>
            </w:r>
          </w:p>
        </w:tc>
        <w:tc>
          <w:tcPr>
            <w:tcW w:w="1387"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27.2</w:t>
            </w:r>
          </w:p>
        </w:tc>
        <w:tc>
          <w:tcPr>
            <w:tcW w:w="1589"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11.2</w:t>
            </w:r>
          </w:p>
        </w:tc>
        <w:tc>
          <w:tcPr>
            <w:tcW w:w="1134"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 xml:space="preserve">16.0 </w:t>
            </w:r>
            <w:proofErr w:type="spellStart"/>
            <w:r w:rsidRPr="005E0DC9">
              <w:rPr>
                <w:rFonts w:eastAsia="Times New Roman" w:cs="Times New Roman"/>
                <w:szCs w:val="20"/>
              </w:rPr>
              <w:t>mths</w:t>
            </w:r>
            <w:proofErr w:type="spellEnd"/>
          </w:p>
        </w:tc>
        <w:tc>
          <w:tcPr>
            <w:tcW w:w="1545" w:type="dxa"/>
            <w:shd w:val="clear" w:color="auto" w:fill="auto"/>
            <w:vAlign w:val="center"/>
          </w:tcPr>
          <w:p w:rsidR="00656000" w:rsidRPr="005E0DC9" w:rsidRDefault="00656000" w:rsidP="00656000">
            <w:pPr>
              <w:pStyle w:val="TableText1"/>
              <w:spacing w:before="0" w:after="0"/>
              <w:jc w:val="center"/>
              <w:rPr>
                <w:rFonts w:eastAsia="Times New Roman" w:cs="Times New Roman"/>
                <w:b/>
                <w:szCs w:val="20"/>
              </w:rPr>
            </w:pPr>
            <w:r w:rsidRPr="005E0DC9">
              <w:rPr>
                <w:rFonts w:eastAsia="Times New Roman" w:cs="Times New Roman"/>
                <w:b/>
                <w:szCs w:val="20"/>
              </w:rPr>
              <w:t>0.19 (0.14, 0.27)</w:t>
            </w:r>
          </w:p>
        </w:tc>
      </w:tr>
      <w:tr w:rsidR="00656000" w:rsidRPr="005E0DC9" w:rsidTr="00656000">
        <w:tc>
          <w:tcPr>
            <w:tcW w:w="7479" w:type="dxa"/>
            <w:gridSpan w:val="5"/>
            <w:vAlign w:val="center"/>
          </w:tcPr>
          <w:p w:rsidR="00656000" w:rsidRPr="005E0DC9" w:rsidRDefault="00656000" w:rsidP="00656000">
            <w:pPr>
              <w:pStyle w:val="TableText1"/>
              <w:spacing w:before="0" w:after="0"/>
              <w:jc w:val="right"/>
              <w:rPr>
                <w:rFonts w:eastAsia="Times New Roman" w:cs="Times New Roman"/>
                <w:b/>
                <w:szCs w:val="20"/>
              </w:rPr>
            </w:pPr>
            <w:r w:rsidRPr="005E0DC9">
              <w:rPr>
                <w:b/>
                <w:szCs w:val="20"/>
              </w:rPr>
              <w:t xml:space="preserve">Indirect comparison </w:t>
            </w:r>
            <w:proofErr w:type="spellStart"/>
            <w:r w:rsidRPr="005E0DC9">
              <w:rPr>
                <w:b/>
                <w:szCs w:val="20"/>
              </w:rPr>
              <w:t>ibr</w:t>
            </w:r>
            <w:proofErr w:type="spellEnd"/>
            <w:r w:rsidRPr="005E0DC9">
              <w:rPr>
                <w:b/>
                <w:szCs w:val="20"/>
              </w:rPr>
              <w:t xml:space="preserve"> vs. </w:t>
            </w:r>
            <w:proofErr w:type="spellStart"/>
            <w:r w:rsidRPr="005E0DC9">
              <w:rPr>
                <w:b/>
                <w:szCs w:val="20"/>
              </w:rPr>
              <w:t>obi+chl</w:t>
            </w:r>
            <w:proofErr w:type="spellEnd"/>
          </w:p>
        </w:tc>
        <w:tc>
          <w:tcPr>
            <w:tcW w:w="1545" w:type="dxa"/>
            <w:shd w:val="clear" w:color="auto" w:fill="auto"/>
            <w:vAlign w:val="center"/>
          </w:tcPr>
          <w:p w:rsidR="00656000" w:rsidRPr="00773C23" w:rsidRDefault="00773C23" w:rsidP="00656000">
            <w:pPr>
              <w:pStyle w:val="TableText1"/>
              <w:spacing w:before="0" w:after="0"/>
              <w:jc w:val="center"/>
              <w:rPr>
                <w:rFonts w:eastAsia="Times New Roman" w:cs="Times New Roman"/>
                <w:szCs w:val="20"/>
                <w:highlight w:val="black"/>
              </w:rPr>
            </w:pPr>
            <w:r>
              <w:rPr>
                <w:rFonts w:eastAsia="Times New Roman" w:cs="Times New Roman"/>
                <w:noProof/>
                <w:color w:val="000000"/>
                <w:szCs w:val="20"/>
                <w:highlight w:val="black"/>
              </w:rPr>
              <w:t>'''''''''''' '''''''''''''' '''''''''''</w:t>
            </w:r>
          </w:p>
        </w:tc>
      </w:tr>
      <w:tr w:rsidR="00656000" w:rsidRPr="005E0DC9" w:rsidTr="00656000">
        <w:tc>
          <w:tcPr>
            <w:tcW w:w="1526" w:type="dxa"/>
            <w:vMerge w:val="restart"/>
            <w:vAlign w:val="center"/>
          </w:tcPr>
          <w:p w:rsidR="00656000" w:rsidRPr="005E0DC9" w:rsidRDefault="00656000" w:rsidP="00656000">
            <w:pPr>
              <w:pStyle w:val="TableText1"/>
              <w:spacing w:before="0" w:after="0"/>
              <w:rPr>
                <w:szCs w:val="20"/>
              </w:rPr>
            </w:pPr>
            <w:r w:rsidRPr="005E0DC9">
              <w:rPr>
                <w:szCs w:val="20"/>
              </w:rPr>
              <w:t xml:space="preserve">COMPLEMENT-1 </w:t>
            </w:r>
            <w:proofErr w:type="spellStart"/>
            <w:r w:rsidRPr="005E0DC9">
              <w:rPr>
                <w:szCs w:val="20"/>
              </w:rPr>
              <w:t>ofa+chl</w:t>
            </w:r>
            <w:proofErr w:type="spellEnd"/>
            <w:r w:rsidRPr="005E0DC9">
              <w:rPr>
                <w:szCs w:val="20"/>
              </w:rPr>
              <w:t xml:space="preserve"> vs. </w:t>
            </w:r>
            <w:proofErr w:type="spellStart"/>
            <w:r w:rsidRPr="005E0DC9">
              <w:rPr>
                <w:szCs w:val="20"/>
              </w:rPr>
              <w:t>chl</w:t>
            </w:r>
            <w:proofErr w:type="spellEnd"/>
          </w:p>
        </w:tc>
        <w:tc>
          <w:tcPr>
            <w:tcW w:w="1843" w:type="dxa"/>
            <w:shd w:val="clear" w:color="auto" w:fill="auto"/>
            <w:vAlign w:val="center"/>
          </w:tcPr>
          <w:p w:rsidR="00656000" w:rsidRPr="005E0DC9" w:rsidRDefault="00656000" w:rsidP="00656000">
            <w:pPr>
              <w:pStyle w:val="TableText1"/>
              <w:spacing w:before="0" w:after="0"/>
              <w:rPr>
                <w:rFonts w:eastAsia="Times New Roman" w:cs="Times New Roman"/>
                <w:szCs w:val="20"/>
              </w:rPr>
            </w:pPr>
            <w:r w:rsidRPr="005E0DC9">
              <w:rPr>
                <w:szCs w:val="20"/>
              </w:rPr>
              <w:t>Progressed</w:t>
            </w:r>
          </w:p>
        </w:tc>
        <w:tc>
          <w:tcPr>
            <w:tcW w:w="1387"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w:t>
            </w:r>
          </w:p>
        </w:tc>
      </w:tr>
      <w:tr w:rsidR="00656000" w:rsidRPr="005E0DC9" w:rsidTr="00656000">
        <w:tc>
          <w:tcPr>
            <w:tcW w:w="1526" w:type="dxa"/>
            <w:vMerge/>
            <w:vAlign w:val="center"/>
          </w:tcPr>
          <w:p w:rsidR="00656000" w:rsidRPr="005E0DC9" w:rsidRDefault="00656000" w:rsidP="00656000">
            <w:pPr>
              <w:pStyle w:val="TableText1"/>
              <w:spacing w:before="0" w:after="0"/>
              <w:rPr>
                <w:szCs w:val="20"/>
              </w:rPr>
            </w:pPr>
          </w:p>
        </w:tc>
        <w:tc>
          <w:tcPr>
            <w:tcW w:w="1843" w:type="dxa"/>
            <w:shd w:val="clear" w:color="auto" w:fill="auto"/>
            <w:vAlign w:val="center"/>
          </w:tcPr>
          <w:p w:rsidR="00656000" w:rsidRPr="005E0DC9" w:rsidRDefault="00656000" w:rsidP="00656000">
            <w:pPr>
              <w:pStyle w:val="TableText1"/>
              <w:spacing w:before="0" w:after="0"/>
              <w:rPr>
                <w:rFonts w:eastAsia="Times New Roman" w:cs="Times New Roman"/>
                <w:szCs w:val="20"/>
              </w:rPr>
            </w:pPr>
            <w:r w:rsidRPr="005E0DC9">
              <w:rPr>
                <w:szCs w:val="20"/>
              </w:rPr>
              <w:t>Median months PFS</w:t>
            </w:r>
          </w:p>
        </w:tc>
        <w:tc>
          <w:tcPr>
            <w:tcW w:w="1387"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22.4</w:t>
            </w:r>
          </w:p>
        </w:tc>
        <w:tc>
          <w:tcPr>
            <w:tcW w:w="1589"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13.1</w:t>
            </w:r>
          </w:p>
        </w:tc>
        <w:tc>
          <w:tcPr>
            <w:tcW w:w="1134"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 xml:space="preserve">9.3 </w:t>
            </w:r>
            <w:proofErr w:type="spellStart"/>
            <w:r w:rsidRPr="005E0DC9">
              <w:rPr>
                <w:rFonts w:eastAsia="Times New Roman" w:cs="Times New Roman"/>
                <w:szCs w:val="20"/>
              </w:rPr>
              <w:t>mths</w:t>
            </w:r>
            <w:proofErr w:type="spellEnd"/>
          </w:p>
        </w:tc>
        <w:tc>
          <w:tcPr>
            <w:tcW w:w="1545"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0.57 (0.45, 0.72)</w:t>
            </w:r>
          </w:p>
        </w:tc>
      </w:tr>
      <w:tr w:rsidR="00656000" w:rsidRPr="005E0DC9" w:rsidTr="00656000">
        <w:tc>
          <w:tcPr>
            <w:tcW w:w="7479" w:type="dxa"/>
            <w:gridSpan w:val="5"/>
            <w:vAlign w:val="center"/>
          </w:tcPr>
          <w:p w:rsidR="00656000" w:rsidRPr="005E0DC9" w:rsidRDefault="00656000" w:rsidP="00656000">
            <w:pPr>
              <w:pStyle w:val="TableText1"/>
              <w:spacing w:before="0" w:after="0"/>
              <w:jc w:val="right"/>
              <w:rPr>
                <w:rFonts w:eastAsia="Times New Roman" w:cs="Times New Roman"/>
                <w:b/>
                <w:szCs w:val="20"/>
              </w:rPr>
            </w:pPr>
            <w:r w:rsidRPr="005E0DC9">
              <w:rPr>
                <w:b/>
                <w:szCs w:val="20"/>
              </w:rPr>
              <w:t xml:space="preserve">Indirect comparison </w:t>
            </w:r>
            <w:proofErr w:type="spellStart"/>
            <w:r w:rsidRPr="005E0DC9">
              <w:rPr>
                <w:b/>
                <w:szCs w:val="20"/>
              </w:rPr>
              <w:t>ibr</w:t>
            </w:r>
            <w:proofErr w:type="spellEnd"/>
            <w:r w:rsidRPr="005E0DC9">
              <w:rPr>
                <w:b/>
                <w:szCs w:val="20"/>
              </w:rPr>
              <w:t xml:space="preserve"> vs. </w:t>
            </w:r>
            <w:proofErr w:type="spellStart"/>
            <w:r w:rsidRPr="005E0DC9">
              <w:rPr>
                <w:b/>
                <w:szCs w:val="20"/>
              </w:rPr>
              <w:t>ofa+chl</w:t>
            </w:r>
            <w:proofErr w:type="spellEnd"/>
          </w:p>
        </w:tc>
        <w:tc>
          <w:tcPr>
            <w:tcW w:w="1545" w:type="dxa"/>
            <w:shd w:val="clear" w:color="auto" w:fill="auto"/>
            <w:vAlign w:val="center"/>
          </w:tcPr>
          <w:p w:rsidR="00656000" w:rsidRPr="00773C23" w:rsidRDefault="00773C23" w:rsidP="00656000">
            <w:pPr>
              <w:pStyle w:val="TableText1"/>
              <w:spacing w:before="0" w:after="0"/>
              <w:jc w:val="center"/>
              <w:rPr>
                <w:rFonts w:eastAsia="Times New Roman" w:cs="Times New Roman"/>
                <w:b/>
                <w:szCs w:val="20"/>
                <w:highlight w:val="black"/>
              </w:rPr>
            </w:pPr>
            <w:r>
              <w:rPr>
                <w:rFonts w:eastAsia="Times New Roman" w:cs="Times New Roman"/>
                <w:b/>
                <w:noProof/>
                <w:color w:val="000000"/>
                <w:szCs w:val="20"/>
                <w:highlight w:val="black"/>
              </w:rPr>
              <w:t>''''''''' ''''''''''' ''''''''''</w:t>
            </w:r>
          </w:p>
        </w:tc>
      </w:tr>
    </w:tbl>
    <w:p w:rsidR="00656000" w:rsidRPr="005E0DC9" w:rsidRDefault="00656000" w:rsidP="00656000">
      <w:pPr>
        <w:tabs>
          <w:tab w:val="left" w:pos="142"/>
        </w:tabs>
        <w:spacing w:after="120"/>
        <w:contextualSpacing/>
        <w:rPr>
          <w:rFonts w:ascii="Arial Narrow" w:hAnsi="Arial Narrow"/>
          <w:sz w:val="18"/>
          <w:szCs w:val="18"/>
        </w:rPr>
      </w:pPr>
      <w:r w:rsidRPr="005E0DC9">
        <w:rPr>
          <w:rFonts w:ascii="Arial Narrow" w:hAnsi="Arial Narrow"/>
          <w:sz w:val="18"/>
          <w:szCs w:val="18"/>
        </w:rPr>
        <w:t xml:space="preserve">Source: Table Bi.28, p88 of Section Bi of the submission; Table Bii.29, p58; Table Bii.30, p58 of Section </w:t>
      </w:r>
      <w:proofErr w:type="spellStart"/>
      <w:r w:rsidRPr="005E0DC9">
        <w:rPr>
          <w:rFonts w:ascii="Arial Narrow" w:hAnsi="Arial Narrow"/>
          <w:sz w:val="18"/>
          <w:szCs w:val="18"/>
        </w:rPr>
        <w:t>Bii</w:t>
      </w:r>
      <w:proofErr w:type="spellEnd"/>
      <w:r w:rsidRPr="005E0DC9">
        <w:rPr>
          <w:rFonts w:ascii="Arial Narrow" w:hAnsi="Arial Narrow"/>
          <w:sz w:val="18"/>
          <w:szCs w:val="18"/>
        </w:rPr>
        <w:t xml:space="preserve"> of the submission.</w:t>
      </w:r>
    </w:p>
    <w:p w:rsidR="00656000" w:rsidRPr="005E0DC9" w:rsidRDefault="00656000" w:rsidP="00656000">
      <w:pPr>
        <w:tabs>
          <w:tab w:val="left" w:pos="142"/>
        </w:tabs>
        <w:spacing w:after="120"/>
        <w:contextualSpacing/>
        <w:rPr>
          <w:rFonts w:ascii="Arial Narrow" w:hAnsi="Arial Narrow"/>
          <w:sz w:val="18"/>
          <w:szCs w:val="18"/>
        </w:rPr>
      </w:pPr>
      <w:proofErr w:type="spellStart"/>
      <w:proofErr w:type="gramStart"/>
      <w:r w:rsidRPr="005E0DC9">
        <w:rPr>
          <w:rFonts w:ascii="Arial Narrow" w:hAnsi="Arial Narrow"/>
          <w:sz w:val="18"/>
          <w:szCs w:val="18"/>
        </w:rPr>
        <w:t>chl</w:t>
      </w:r>
      <w:proofErr w:type="spellEnd"/>
      <w:r w:rsidRPr="005E0DC9">
        <w:rPr>
          <w:rFonts w:ascii="Arial Narrow" w:hAnsi="Arial Narrow"/>
          <w:sz w:val="18"/>
          <w:szCs w:val="18"/>
        </w:rPr>
        <w:t>=</w:t>
      </w:r>
      <w:proofErr w:type="spellStart"/>
      <w:proofErr w:type="gramEnd"/>
      <w:r w:rsidRPr="005E0DC9">
        <w:rPr>
          <w:rFonts w:ascii="Arial Narrow" w:hAnsi="Arial Narrow"/>
          <w:sz w:val="18"/>
          <w:szCs w:val="18"/>
        </w:rPr>
        <w:t>chlorambucil</w:t>
      </w:r>
      <w:proofErr w:type="spellEnd"/>
      <w:r w:rsidRPr="005E0DC9">
        <w:rPr>
          <w:rFonts w:ascii="Arial Narrow" w:hAnsi="Arial Narrow"/>
          <w:sz w:val="18"/>
          <w:szCs w:val="18"/>
        </w:rPr>
        <w:t xml:space="preserve">; HR=hazard ratio; </w:t>
      </w:r>
      <w:proofErr w:type="spellStart"/>
      <w:r w:rsidRPr="005E0DC9">
        <w:rPr>
          <w:rFonts w:ascii="Arial Narrow" w:hAnsi="Arial Narrow"/>
          <w:sz w:val="18"/>
          <w:szCs w:val="18"/>
        </w:rPr>
        <w:t>ibr</w:t>
      </w:r>
      <w:proofErr w:type="spellEnd"/>
      <w:r w:rsidRPr="005E0DC9">
        <w:rPr>
          <w:rFonts w:ascii="Arial Narrow" w:hAnsi="Arial Narrow"/>
          <w:sz w:val="18"/>
          <w:szCs w:val="18"/>
        </w:rPr>
        <w:t>=</w:t>
      </w:r>
      <w:proofErr w:type="spellStart"/>
      <w:r w:rsidRPr="005E0DC9">
        <w:rPr>
          <w:rFonts w:ascii="Arial Narrow" w:hAnsi="Arial Narrow"/>
          <w:sz w:val="18"/>
          <w:szCs w:val="18"/>
        </w:rPr>
        <w:t>ibrutinib</w:t>
      </w:r>
      <w:proofErr w:type="spellEnd"/>
      <w:r w:rsidRPr="005E0DC9">
        <w:rPr>
          <w:rFonts w:ascii="Arial Narrow" w:hAnsi="Arial Narrow"/>
          <w:sz w:val="18"/>
          <w:szCs w:val="18"/>
        </w:rPr>
        <w:t xml:space="preserve">; IRC=Independent Review Committee; NA=not available; NR=not reported; </w:t>
      </w:r>
      <w:proofErr w:type="spellStart"/>
      <w:r w:rsidRPr="005E0DC9">
        <w:rPr>
          <w:rFonts w:ascii="Arial Narrow" w:hAnsi="Arial Narrow"/>
          <w:sz w:val="18"/>
          <w:szCs w:val="18"/>
        </w:rPr>
        <w:t>obi+chl</w:t>
      </w:r>
      <w:proofErr w:type="spellEnd"/>
      <w:r w:rsidRPr="005E0DC9">
        <w:rPr>
          <w:rFonts w:ascii="Arial Narrow" w:hAnsi="Arial Narrow"/>
          <w:sz w:val="18"/>
          <w:szCs w:val="18"/>
        </w:rPr>
        <w:t>=</w:t>
      </w:r>
      <w:proofErr w:type="spellStart"/>
      <w:r w:rsidRPr="005E0DC9">
        <w:rPr>
          <w:rFonts w:ascii="Arial Narrow" w:hAnsi="Arial Narrow"/>
          <w:sz w:val="18"/>
          <w:szCs w:val="18"/>
        </w:rPr>
        <w:t>obinutuzumab+chlorambucil</w:t>
      </w:r>
      <w:proofErr w:type="spellEnd"/>
      <w:r w:rsidRPr="005E0DC9">
        <w:rPr>
          <w:rFonts w:ascii="Arial Narrow" w:hAnsi="Arial Narrow"/>
          <w:sz w:val="18"/>
          <w:szCs w:val="18"/>
        </w:rPr>
        <w:t xml:space="preserve">; </w:t>
      </w:r>
      <w:proofErr w:type="spellStart"/>
      <w:r w:rsidRPr="005E0DC9">
        <w:rPr>
          <w:rFonts w:ascii="Arial Narrow" w:hAnsi="Arial Narrow"/>
          <w:sz w:val="18"/>
          <w:szCs w:val="18"/>
        </w:rPr>
        <w:t>ofa+chl</w:t>
      </w:r>
      <w:proofErr w:type="spellEnd"/>
      <w:r w:rsidRPr="005E0DC9">
        <w:rPr>
          <w:rFonts w:ascii="Arial Narrow" w:hAnsi="Arial Narrow"/>
          <w:sz w:val="18"/>
          <w:szCs w:val="18"/>
        </w:rPr>
        <w:t>=</w:t>
      </w:r>
      <w:proofErr w:type="spellStart"/>
      <w:r w:rsidRPr="005E0DC9">
        <w:rPr>
          <w:rFonts w:ascii="Arial Narrow" w:hAnsi="Arial Narrow"/>
          <w:sz w:val="18"/>
          <w:szCs w:val="18"/>
        </w:rPr>
        <w:t>ofatumumab+chlorambucil</w:t>
      </w:r>
      <w:proofErr w:type="spellEnd"/>
      <w:r w:rsidRPr="005E0DC9">
        <w:rPr>
          <w:rFonts w:ascii="Arial Narrow" w:hAnsi="Arial Narrow"/>
          <w:sz w:val="18"/>
          <w:szCs w:val="18"/>
        </w:rPr>
        <w:t xml:space="preserve">; PFS=progression-free survival; </w:t>
      </w:r>
      <w:proofErr w:type="spellStart"/>
      <w:r w:rsidRPr="005E0DC9">
        <w:rPr>
          <w:rFonts w:ascii="Arial Narrow" w:hAnsi="Arial Narrow"/>
          <w:sz w:val="18"/>
          <w:szCs w:val="18"/>
        </w:rPr>
        <w:t>ritux+chl</w:t>
      </w:r>
      <w:proofErr w:type="spellEnd"/>
      <w:r w:rsidRPr="005E0DC9">
        <w:rPr>
          <w:rFonts w:ascii="Arial Narrow" w:hAnsi="Arial Narrow"/>
          <w:sz w:val="18"/>
          <w:szCs w:val="18"/>
        </w:rPr>
        <w:t xml:space="preserve">=rituximab+ </w:t>
      </w:r>
      <w:proofErr w:type="spellStart"/>
      <w:r w:rsidRPr="005E0DC9">
        <w:rPr>
          <w:rFonts w:ascii="Arial Narrow" w:hAnsi="Arial Narrow"/>
          <w:sz w:val="18"/>
          <w:szCs w:val="18"/>
        </w:rPr>
        <w:t>chlorambucil</w:t>
      </w:r>
      <w:proofErr w:type="spellEnd"/>
      <w:r w:rsidRPr="005E0DC9">
        <w:rPr>
          <w:rFonts w:ascii="Arial Narrow" w:hAnsi="Arial Narrow"/>
          <w:sz w:val="18"/>
          <w:szCs w:val="18"/>
        </w:rPr>
        <w:t>; bold=statistically significant.</w:t>
      </w:r>
    </w:p>
    <w:p w:rsidR="00BC1B6A" w:rsidRPr="005E0DC9" w:rsidRDefault="00BC1B6A" w:rsidP="00656000">
      <w:pPr>
        <w:tabs>
          <w:tab w:val="left" w:pos="142"/>
        </w:tabs>
        <w:spacing w:after="120"/>
        <w:contextualSpacing/>
        <w:rPr>
          <w:rFonts w:ascii="Arial Narrow" w:hAnsi="Arial Narrow"/>
          <w:sz w:val="18"/>
          <w:szCs w:val="18"/>
        </w:rPr>
      </w:pPr>
    </w:p>
    <w:p w:rsidR="00656000" w:rsidRPr="005E0DC9" w:rsidRDefault="00656000" w:rsidP="00FA1A53">
      <w:pPr>
        <w:widowControl/>
        <w:numPr>
          <w:ilvl w:val="1"/>
          <w:numId w:val="11"/>
        </w:numPr>
        <w:spacing w:before="120" w:after="160"/>
        <w:ind w:left="709" w:hanging="709"/>
        <w:rPr>
          <w:rFonts w:ascii="Calibri" w:eastAsia="Calibri" w:hAnsi="Calibri"/>
          <w:snapToGrid/>
          <w:color w:val="000000"/>
          <w:sz w:val="24"/>
          <w:szCs w:val="22"/>
          <w:lang w:eastAsia="en-AU"/>
        </w:rPr>
      </w:pPr>
      <w:r w:rsidRPr="005E0DC9">
        <w:rPr>
          <w:rFonts w:ascii="Calibri" w:eastAsia="Calibri" w:hAnsi="Calibri"/>
          <w:snapToGrid/>
          <w:color w:val="000000"/>
          <w:sz w:val="24"/>
          <w:szCs w:val="22"/>
          <w:lang w:eastAsia="en-AU"/>
        </w:rPr>
        <w:t xml:space="preserve">The results of IRC-assessed PFS followed the same pattern as those for investigator assessed, with statistically significant advantage for </w:t>
      </w:r>
      <w:proofErr w:type="spellStart"/>
      <w:r w:rsidRPr="005E0DC9">
        <w:rPr>
          <w:rFonts w:ascii="Calibri" w:eastAsia="Calibri" w:hAnsi="Calibri"/>
          <w:snapToGrid/>
          <w:color w:val="000000"/>
          <w:sz w:val="24"/>
          <w:szCs w:val="22"/>
          <w:lang w:eastAsia="en-AU"/>
        </w:rPr>
        <w:t>ibrutinib</w:t>
      </w:r>
      <w:proofErr w:type="spellEnd"/>
      <w:r w:rsidRPr="005E0DC9">
        <w:rPr>
          <w:rFonts w:ascii="Calibri" w:eastAsia="Calibri" w:hAnsi="Calibri"/>
          <w:snapToGrid/>
          <w:color w:val="000000"/>
          <w:sz w:val="24"/>
          <w:szCs w:val="22"/>
          <w:lang w:eastAsia="en-AU"/>
        </w:rPr>
        <w:t xml:space="preserve"> compared to </w:t>
      </w:r>
      <w:proofErr w:type="spellStart"/>
      <w:r w:rsidRPr="005E0DC9">
        <w:rPr>
          <w:rFonts w:ascii="Calibri" w:eastAsia="Calibri" w:hAnsi="Calibri"/>
          <w:snapToGrid/>
          <w:color w:val="000000"/>
          <w:sz w:val="24"/>
          <w:szCs w:val="22"/>
          <w:lang w:eastAsia="en-AU"/>
        </w:rPr>
        <w:t>ritux+chl</w:t>
      </w:r>
      <w:proofErr w:type="spellEnd"/>
      <w:r w:rsidRPr="005E0DC9">
        <w:rPr>
          <w:rFonts w:ascii="Calibri" w:eastAsia="Calibri" w:hAnsi="Calibri"/>
          <w:snapToGrid/>
          <w:color w:val="000000"/>
          <w:sz w:val="24"/>
          <w:szCs w:val="22"/>
          <w:lang w:eastAsia="en-AU"/>
        </w:rPr>
        <w:t xml:space="preserve"> and </w:t>
      </w:r>
      <w:proofErr w:type="spellStart"/>
      <w:r w:rsidRPr="005E0DC9">
        <w:rPr>
          <w:rFonts w:ascii="Calibri" w:eastAsia="Calibri" w:hAnsi="Calibri"/>
          <w:snapToGrid/>
          <w:color w:val="000000"/>
          <w:sz w:val="24"/>
          <w:szCs w:val="22"/>
          <w:lang w:eastAsia="en-AU"/>
        </w:rPr>
        <w:t>ofa+chl</w:t>
      </w:r>
      <w:proofErr w:type="spellEnd"/>
      <w:r w:rsidRPr="005E0DC9">
        <w:rPr>
          <w:rFonts w:ascii="Calibri" w:eastAsia="Calibri" w:hAnsi="Calibri"/>
          <w:snapToGrid/>
          <w:color w:val="000000"/>
          <w:sz w:val="24"/>
          <w:szCs w:val="22"/>
          <w:lang w:eastAsia="en-AU"/>
        </w:rPr>
        <w:t xml:space="preserve">, but no statistically significant difference between </w:t>
      </w:r>
      <w:proofErr w:type="spellStart"/>
      <w:r w:rsidRPr="005E0DC9">
        <w:rPr>
          <w:rFonts w:ascii="Calibri" w:eastAsia="Calibri" w:hAnsi="Calibri"/>
          <w:snapToGrid/>
          <w:color w:val="000000"/>
          <w:sz w:val="24"/>
          <w:szCs w:val="22"/>
          <w:lang w:eastAsia="en-AU"/>
        </w:rPr>
        <w:t>ibrutinib</w:t>
      </w:r>
      <w:proofErr w:type="spellEnd"/>
      <w:r w:rsidRPr="005E0DC9">
        <w:rPr>
          <w:rFonts w:ascii="Calibri" w:eastAsia="Calibri" w:hAnsi="Calibri"/>
          <w:snapToGrid/>
          <w:color w:val="000000"/>
          <w:sz w:val="24"/>
          <w:szCs w:val="22"/>
          <w:lang w:eastAsia="en-AU"/>
        </w:rPr>
        <w:t xml:space="preserve"> and </w:t>
      </w:r>
      <w:proofErr w:type="spellStart"/>
      <w:r w:rsidRPr="005E0DC9">
        <w:rPr>
          <w:rFonts w:ascii="Calibri" w:eastAsia="Calibri" w:hAnsi="Calibri"/>
          <w:snapToGrid/>
          <w:color w:val="000000"/>
          <w:sz w:val="24"/>
          <w:szCs w:val="22"/>
          <w:lang w:eastAsia="en-AU"/>
        </w:rPr>
        <w:t>obi+chl</w:t>
      </w:r>
      <w:proofErr w:type="spellEnd"/>
      <w:r w:rsidRPr="005E0DC9">
        <w:rPr>
          <w:rFonts w:ascii="Calibri" w:eastAsia="Calibri" w:hAnsi="Calibri"/>
          <w:snapToGrid/>
          <w:color w:val="000000"/>
          <w:sz w:val="24"/>
          <w:szCs w:val="22"/>
          <w:lang w:eastAsia="en-AU"/>
        </w:rPr>
        <w:t xml:space="preserve">.  The hazard ratios for the indirect comparisons based on investigator assessed PFS </w:t>
      </w:r>
      <w:r w:rsidR="007B5805">
        <w:rPr>
          <w:rFonts w:ascii="Calibri" w:eastAsia="Calibri" w:hAnsi="Calibri"/>
          <w:snapToGrid/>
          <w:color w:val="000000"/>
          <w:sz w:val="24"/>
          <w:szCs w:val="22"/>
          <w:lang w:eastAsia="en-AU"/>
        </w:rPr>
        <w:t xml:space="preserve">rather than IRC-assessed PFS </w:t>
      </w:r>
      <w:r w:rsidRPr="005E0DC9">
        <w:rPr>
          <w:rFonts w:ascii="Calibri" w:eastAsia="Calibri" w:hAnsi="Calibri"/>
          <w:snapToGrid/>
          <w:color w:val="000000"/>
          <w:sz w:val="24"/>
          <w:szCs w:val="22"/>
          <w:lang w:eastAsia="en-AU"/>
        </w:rPr>
        <w:t xml:space="preserve">are more favourable for </w:t>
      </w:r>
      <w:proofErr w:type="spellStart"/>
      <w:r w:rsidRPr="005E0DC9">
        <w:rPr>
          <w:rFonts w:ascii="Calibri" w:eastAsia="Calibri" w:hAnsi="Calibri"/>
          <w:snapToGrid/>
          <w:color w:val="000000"/>
          <w:sz w:val="24"/>
          <w:szCs w:val="22"/>
          <w:lang w:eastAsia="en-AU"/>
        </w:rPr>
        <w:t>ibrutinib</w:t>
      </w:r>
      <w:proofErr w:type="spellEnd"/>
      <w:r w:rsidR="007B5805">
        <w:rPr>
          <w:rFonts w:ascii="Calibri" w:eastAsia="Calibri" w:hAnsi="Calibri"/>
          <w:snapToGrid/>
          <w:color w:val="000000"/>
          <w:sz w:val="24"/>
          <w:szCs w:val="22"/>
          <w:lang w:eastAsia="en-AU"/>
        </w:rPr>
        <w:t>,</w:t>
      </w:r>
      <w:r w:rsidRPr="005E0DC9">
        <w:rPr>
          <w:rFonts w:ascii="Calibri" w:eastAsia="Calibri" w:hAnsi="Calibri"/>
          <w:snapToGrid/>
          <w:color w:val="000000"/>
          <w:sz w:val="24"/>
          <w:szCs w:val="22"/>
          <w:lang w:eastAsia="en-AU"/>
        </w:rPr>
        <w:t xml:space="preserve"> and the use of investigator assessed PFS in the economic model is likely to have resulted in lower ICERs than if IRC-assessed PFS was used.</w:t>
      </w:r>
    </w:p>
    <w:p w:rsidR="00426F0A" w:rsidRPr="005E0DC9" w:rsidRDefault="00656000" w:rsidP="00FA1A53">
      <w:pPr>
        <w:widowControl/>
        <w:numPr>
          <w:ilvl w:val="1"/>
          <w:numId w:val="11"/>
        </w:numPr>
        <w:spacing w:before="120" w:after="120"/>
        <w:ind w:left="709" w:hanging="709"/>
        <w:rPr>
          <w:rFonts w:ascii="Calibri" w:eastAsia="Calibri" w:hAnsi="Calibri"/>
          <w:snapToGrid/>
          <w:color w:val="000000"/>
          <w:sz w:val="24"/>
          <w:szCs w:val="22"/>
          <w:lang w:eastAsia="en-AU"/>
        </w:rPr>
      </w:pPr>
      <w:r w:rsidRPr="005E0DC9">
        <w:rPr>
          <w:rFonts w:ascii="Calibri" w:eastAsia="Calibri" w:hAnsi="Calibri"/>
          <w:snapToGrid/>
          <w:color w:val="000000"/>
          <w:sz w:val="24"/>
          <w:szCs w:val="22"/>
          <w:lang w:eastAsia="en-AU"/>
        </w:rPr>
        <w:t>The submission provided a</w:t>
      </w:r>
      <w:r w:rsidR="001E614D">
        <w:rPr>
          <w:rFonts w:ascii="Calibri" w:eastAsia="Calibri" w:hAnsi="Calibri"/>
          <w:snapToGrid/>
          <w:color w:val="000000"/>
          <w:sz w:val="24"/>
          <w:szCs w:val="22"/>
          <w:lang w:eastAsia="en-AU"/>
        </w:rPr>
        <w:t>n additional</w:t>
      </w:r>
      <w:r w:rsidRPr="005E0DC9">
        <w:rPr>
          <w:rFonts w:ascii="Calibri" w:eastAsia="Calibri" w:hAnsi="Calibri"/>
          <w:snapToGrid/>
          <w:color w:val="000000"/>
          <w:sz w:val="24"/>
          <w:szCs w:val="22"/>
          <w:lang w:eastAsia="en-AU"/>
        </w:rPr>
        <w:t xml:space="preserve"> single arm comparison of </w:t>
      </w:r>
      <w:proofErr w:type="spellStart"/>
      <w:r w:rsidRPr="005E0DC9">
        <w:rPr>
          <w:rFonts w:ascii="Calibri" w:eastAsia="Calibri" w:hAnsi="Calibri"/>
          <w:snapToGrid/>
          <w:color w:val="000000"/>
          <w:sz w:val="24"/>
          <w:szCs w:val="22"/>
          <w:lang w:eastAsia="en-AU"/>
        </w:rPr>
        <w:t>ibrutinib</w:t>
      </w:r>
      <w:proofErr w:type="spellEnd"/>
      <w:r w:rsidRPr="005E0DC9">
        <w:rPr>
          <w:rFonts w:ascii="Calibri" w:eastAsia="Calibri" w:hAnsi="Calibri"/>
          <w:snapToGrid/>
          <w:color w:val="000000"/>
          <w:sz w:val="24"/>
          <w:szCs w:val="22"/>
          <w:lang w:eastAsia="en-AU"/>
        </w:rPr>
        <w:t xml:space="preserve"> and </w:t>
      </w:r>
      <w:proofErr w:type="spellStart"/>
      <w:r w:rsidRPr="005E0DC9">
        <w:rPr>
          <w:rFonts w:ascii="Calibri" w:eastAsia="Calibri" w:hAnsi="Calibri"/>
          <w:snapToGrid/>
          <w:color w:val="000000"/>
          <w:sz w:val="24"/>
          <w:szCs w:val="22"/>
          <w:lang w:eastAsia="en-AU"/>
        </w:rPr>
        <w:t>obi+chl</w:t>
      </w:r>
      <w:proofErr w:type="spellEnd"/>
      <w:r w:rsidRPr="005E0DC9">
        <w:rPr>
          <w:rFonts w:ascii="Calibri" w:eastAsia="Calibri" w:hAnsi="Calibri"/>
          <w:snapToGrid/>
          <w:color w:val="000000"/>
          <w:sz w:val="24"/>
          <w:szCs w:val="22"/>
          <w:lang w:eastAsia="en-AU"/>
        </w:rPr>
        <w:t xml:space="preserve"> using investigator-assessed PFS</w:t>
      </w:r>
      <w:r w:rsidR="00F67E3F">
        <w:rPr>
          <w:rFonts w:ascii="Calibri" w:eastAsia="Calibri" w:hAnsi="Calibri"/>
          <w:snapToGrid/>
          <w:color w:val="000000"/>
          <w:sz w:val="24"/>
          <w:szCs w:val="22"/>
          <w:lang w:eastAsia="en-AU"/>
        </w:rPr>
        <w:t>,</w:t>
      </w:r>
      <w:r w:rsidRPr="005E0DC9">
        <w:rPr>
          <w:rFonts w:ascii="Calibri" w:eastAsia="Calibri" w:hAnsi="Calibri"/>
          <w:snapToGrid/>
          <w:color w:val="000000"/>
          <w:sz w:val="24"/>
          <w:szCs w:val="22"/>
          <w:lang w:eastAsia="en-AU"/>
        </w:rPr>
        <w:t xml:space="preserve"> because of the differences in </w:t>
      </w:r>
      <w:proofErr w:type="spellStart"/>
      <w:r w:rsidRPr="005E0DC9">
        <w:rPr>
          <w:rFonts w:ascii="Calibri" w:eastAsia="Calibri" w:hAnsi="Calibri"/>
          <w:snapToGrid/>
          <w:color w:val="000000"/>
          <w:sz w:val="24"/>
          <w:szCs w:val="22"/>
          <w:lang w:eastAsia="en-AU"/>
        </w:rPr>
        <w:t>chlorambucil</w:t>
      </w:r>
      <w:proofErr w:type="spellEnd"/>
      <w:r w:rsidRPr="005E0DC9">
        <w:rPr>
          <w:rFonts w:ascii="Calibri" w:eastAsia="Calibri" w:hAnsi="Calibri"/>
          <w:snapToGrid/>
          <w:color w:val="000000"/>
          <w:sz w:val="24"/>
          <w:szCs w:val="22"/>
          <w:lang w:eastAsia="en-AU"/>
        </w:rPr>
        <w:t xml:space="preserve"> dosing across the trials used in the indirect comparison.  This comparison showed a significant advantage for </w:t>
      </w:r>
      <w:proofErr w:type="spellStart"/>
      <w:r w:rsidRPr="005E0DC9">
        <w:rPr>
          <w:rFonts w:ascii="Calibri" w:eastAsia="Calibri" w:hAnsi="Calibri"/>
          <w:snapToGrid/>
          <w:color w:val="000000"/>
          <w:sz w:val="24"/>
          <w:szCs w:val="22"/>
          <w:lang w:eastAsia="en-AU"/>
        </w:rPr>
        <w:t>ibrutinib</w:t>
      </w:r>
      <w:proofErr w:type="spellEnd"/>
      <w:r w:rsidRPr="005E0DC9">
        <w:rPr>
          <w:rFonts w:ascii="Calibri" w:eastAsia="Calibri" w:hAnsi="Calibri"/>
          <w:snapToGrid/>
          <w:color w:val="000000"/>
          <w:sz w:val="24"/>
          <w:szCs w:val="22"/>
          <w:lang w:eastAsia="en-AU"/>
        </w:rPr>
        <w:t xml:space="preserve"> (</w:t>
      </w:r>
      <w:r w:rsidR="00773C23">
        <w:rPr>
          <w:rFonts w:ascii="Calibri" w:eastAsia="Calibri" w:hAnsi="Calibri"/>
          <w:noProof/>
          <w:snapToGrid/>
          <w:color w:val="000000"/>
          <w:sz w:val="24"/>
          <w:szCs w:val="22"/>
          <w:highlight w:val="black"/>
          <w:lang w:eastAsia="en-AU"/>
        </w:rPr>
        <w:t>''''''''''''''''</w:t>
      </w:r>
      <w:r w:rsidRPr="005E0DC9">
        <w:rPr>
          <w:rFonts w:ascii="Calibri" w:eastAsia="Calibri" w:hAnsi="Calibri"/>
          <w:snapToGrid/>
          <w:color w:val="000000"/>
          <w:sz w:val="24"/>
          <w:szCs w:val="22"/>
          <w:lang w:eastAsia="en-AU"/>
        </w:rPr>
        <w:t xml:space="preserve">; 95% CI: </w:t>
      </w:r>
      <w:r w:rsidR="00773C23">
        <w:rPr>
          <w:rFonts w:ascii="Calibri" w:eastAsia="Calibri" w:hAnsi="Calibri"/>
          <w:noProof/>
          <w:snapToGrid/>
          <w:color w:val="000000"/>
          <w:sz w:val="24"/>
          <w:szCs w:val="22"/>
          <w:highlight w:val="black"/>
          <w:lang w:eastAsia="en-AU"/>
        </w:rPr>
        <w:t>''''''''' '''''''''</w:t>
      </w:r>
      <w:r w:rsidRPr="005E0DC9">
        <w:rPr>
          <w:rFonts w:ascii="Calibri" w:eastAsia="Calibri" w:hAnsi="Calibri"/>
          <w:snapToGrid/>
          <w:color w:val="000000"/>
          <w:sz w:val="24"/>
          <w:szCs w:val="22"/>
          <w:lang w:eastAsia="en-AU"/>
        </w:rPr>
        <w:t xml:space="preserve">).  </w:t>
      </w:r>
      <w:r w:rsidR="00DB29C8" w:rsidRPr="005E0DC9">
        <w:rPr>
          <w:rFonts w:ascii="Calibri" w:eastAsia="Calibri" w:hAnsi="Calibri"/>
          <w:snapToGrid/>
          <w:color w:val="000000"/>
          <w:sz w:val="24"/>
          <w:szCs w:val="22"/>
          <w:lang w:eastAsia="en-AU"/>
        </w:rPr>
        <w:t>T</w:t>
      </w:r>
      <w:r w:rsidR="00426F0A" w:rsidRPr="005E0DC9">
        <w:rPr>
          <w:rFonts w:ascii="Calibri" w:eastAsia="Calibri" w:hAnsi="Calibri"/>
          <w:snapToGrid/>
          <w:color w:val="000000"/>
          <w:sz w:val="24"/>
          <w:szCs w:val="22"/>
          <w:lang w:eastAsia="en-AU"/>
        </w:rPr>
        <w:t xml:space="preserve">he ESC agreed with the PBAC’s previous consideration that variations in </w:t>
      </w:r>
      <w:proofErr w:type="spellStart"/>
      <w:r w:rsidR="00426F0A" w:rsidRPr="005E0DC9">
        <w:rPr>
          <w:rFonts w:ascii="Calibri" w:eastAsia="Calibri" w:hAnsi="Calibri"/>
          <w:snapToGrid/>
          <w:color w:val="000000"/>
          <w:sz w:val="24"/>
          <w:szCs w:val="22"/>
          <w:lang w:eastAsia="en-AU"/>
        </w:rPr>
        <w:t>chlorambucil</w:t>
      </w:r>
      <w:proofErr w:type="spellEnd"/>
      <w:r w:rsidR="00426F0A" w:rsidRPr="005E0DC9">
        <w:rPr>
          <w:rFonts w:ascii="Calibri" w:eastAsia="Calibri" w:hAnsi="Calibri"/>
          <w:snapToGrid/>
          <w:color w:val="000000"/>
          <w:sz w:val="24"/>
          <w:szCs w:val="22"/>
          <w:lang w:eastAsia="en-AU"/>
        </w:rPr>
        <w:t xml:space="preserve"> dosing when used as a common comparator is not a significant issue (November 2014 </w:t>
      </w:r>
      <w:proofErr w:type="spellStart"/>
      <w:r w:rsidR="00426F0A" w:rsidRPr="005E0DC9">
        <w:rPr>
          <w:rFonts w:ascii="Calibri" w:eastAsia="Calibri" w:hAnsi="Calibri"/>
          <w:snapToGrid/>
          <w:color w:val="000000"/>
          <w:sz w:val="24"/>
          <w:szCs w:val="22"/>
          <w:lang w:eastAsia="en-AU"/>
        </w:rPr>
        <w:t>ofatumumab</w:t>
      </w:r>
      <w:proofErr w:type="spellEnd"/>
      <w:r w:rsidR="00426F0A" w:rsidRPr="005E0DC9">
        <w:rPr>
          <w:rFonts w:ascii="Calibri" w:eastAsia="Calibri" w:hAnsi="Calibri"/>
          <w:snapToGrid/>
          <w:color w:val="000000"/>
          <w:sz w:val="24"/>
          <w:szCs w:val="22"/>
          <w:lang w:eastAsia="en-AU"/>
        </w:rPr>
        <w:t xml:space="preserve"> PSD, paragraph 7.4</w:t>
      </w:r>
      <w:r w:rsidR="00ED4312" w:rsidRPr="005E0DC9">
        <w:rPr>
          <w:rFonts w:ascii="Calibri" w:eastAsia="Calibri" w:hAnsi="Calibri"/>
          <w:snapToGrid/>
          <w:color w:val="000000"/>
          <w:sz w:val="24"/>
          <w:szCs w:val="22"/>
          <w:lang w:eastAsia="en-AU"/>
        </w:rPr>
        <w:t>); therefore this is not sufficient justification for relying on a single arm comparison in preference to an indirect comparison based on randomised trials.</w:t>
      </w:r>
    </w:p>
    <w:p w:rsidR="00656000" w:rsidRPr="005E0DC9" w:rsidRDefault="00656000" w:rsidP="00FA1A53">
      <w:pPr>
        <w:widowControl/>
        <w:numPr>
          <w:ilvl w:val="1"/>
          <w:numId w:val="11"/>
        </w:numPr>
        <w:spacing w:before="120" w:after="120"/>
        <w:ind w:left="709" w:hanging="709"/>
        <w:rPr>
          <w:rFonts w:ascii="Calibri" w:eastAsia="Calibri" w:hAnsi="Calibri"/>
          <w:snapToGrid/>
          <w:color w:val="000000"/>
          <w:sz w:val="24"/>
          <w:szCs w:val="22"/>
          <w:lang w:eastAsia="en-AU"/>
        </w:rPr>
      </w:pPr>
      <w:r w:rsidRPr="005E0DC9">
        <w:rPr>
          <w:rFonts w:ascii="Calibri" w:eastAsia="Calibri" w:hAnsi="Calibri"/>
          <w:snapToGrid/>
          <w:color w:val="000000"/>
          <w:sz w:val="24"/>
          <w:szCs w:val="22"/>
          <w:lang w:eastAsia="en-AU"/>
        </w:rPr>
        <w:t xml:space="preserve">A publication identified during the evaluation (authored by employees of the sponsor) reported the results of a matching-adjusted indirect comparison (MAIC) of </w:t>
      </w:r>
      <w:proofErr w:type="spellStart"/>
      <w:r w:rsidRPr="005E0DC9">
        <w:rPr>
          <w:rFonts w:ascii="Calibri" w:eastAsia="Calibri" w:hAnsi="Calibri"/>
          <w:snapToGrid/>
          <w:color w:val="000000"/>
          <w:sz w:val="24"/>
          <w:szCs w:val="22"/>
          <w:lang w:eastAsia="en-AU"/>
        </w:rPr>
        <w:t>ibrutinib</w:t>
      </w:r>
      <w:proofErr w:type="spellEnd"/>
      <w:r w:rsidRPr="005E0DC9">
        <w:rPr>
          <w:rFonts w:ascii="Calibri" w:eastAsia="Calibri" w:hAnsi="Calibri"/>
          <w:snapToGrid/>
          <w:color w:val="000000"/>
          <w:sz w:val="24"/>
          <w:szCs w:val="22"/>
          <w:lang w:eastAsia="en-AU"/>
        </w:rPr>
        <w:t xml:space="preserve"> and </w:t>
      </w:r>
      <w:proofErr w:type="spellStart"/>
      <w:r w:rsidRPr="005E0DC9">
        <w:rPr>
          <w:rFonts w:ascii="Calibri" w:eastAsia="Calibri" w:hAnsi="Calibri"/>
          <w:snapToGrid/>
          <w:color w:val="000000"/>
          <w:sz w:val="24"/>
          <w:szCs w:val="22"/>
          <w:lang w:eastAsia="en-AU"/>
        </w:rPr>
        <w:t>obi+chl</w:t>
      </w:r>
      <w:proofErr w:type="spellEnd"/>
      <w:r w:rsidRPr="005E0DC9">
        <w:rPr>
          <w:rFonts w:ascii="Calibri" w:eastAsia="Calibri" w:hAnsi="Calibri"/>
          <w:snapToGrid/>
          <w:color w:val="000000"/>
          <w:sz w:val="24"/>
          <w:szCs w:val="22"/>
          <w:lang w:eastAsia="en-AU"/>
        </w:rPr>
        <w:t xml:space="preserve"> (van Sanden 2017).  In this comparison patients were excluded from RESONATE-2 who did not match the CLL11 inclusion criteria (based on Cumulative Illness Rating Scale (CIRS) score and creatinine clearance) and for the remaining patients, weights were assigned so that the re-weighted population more closely resembled the CLL11 population (the process is similar to propensity score weighting).  Then the updated hazard ratio from RESONATE-2 was compared to the hazard ratio from CLL11 using a Bayesian indirect comparison. </w:t>
      </w:r>
    </w:p>
    <w:p w:rsidR="00656000" w:rsidRPr="005E0DC9" w:rsidRDefault="00656000" w:rsidP="00FA1A53">
      <w:pPr>
        <w:widowControl/>
        <w:numPr>
          <w:ilvl w:val="1"/>
          <w:numId w:val="11"/>
        </w:numPr>
        <w:spacing w:before="120" w:after="120"/>
        <w:ind w:left="709" w:hanging="709"/>
        <w:rPr>
          <w:rFonts w:ascii="Calibri" w:eastAsia="Calibri" w:hAnsi="Calibri"/>
          <w:snapToGrid/>
          <w:sz w:val="24"/>
          <w:szCs w:val="22"/>
          <w:lang w:eastAsia="en-AU"/>
        </w:rPr>
      </w:pPr>
      <w:r w:rsidRPr="005E0DC9">
        <w:rPr>
          <w:rFonts w:ascii="Calibri" w:eastAsia="Calibri" w:hAnsi="Calibri"/>
          <w:snapToGrid/>
          <w:sz w:val="24"/>
          <w:szCs w:val="22"/>
          <w:lang w:eastAsia="en-AU"/>
        </w:rPr>
        <w:t xml:space="preserve">The MAIC-based comparison indicated an advantage for </w:t>
      </w:r>
      <w:proofErr w:type="spellStart"/>
      <w:r w:rsidRPr="005E0DC9">
        <w:rPr>
          <w:rFonts w:ascii="Calibri" w:eastAsia="Calibri" w:hAnsi="Calibri"/>
          <w:snapToGrid/>
          <w:sz w:val="24"/>
          <w:szCs w:val="22"/>
          <w:lang w:eastAsia="en-AU"/>
        </w:rPr>
        <w:t>ibrutinib</w:t>
      </w:r>
      <w:proofErr w:type="spellEnd"/>
      <w:r w:rsidRPr="005E0DC9">
        <w:rPr>
          <w:rFonts w:ascii="Calibri" w:eastAsia="Calibri" w:hAnsi="Calibri"/>
          <w:snapToGrid/>
          <w:sz w:val="24"/>
          <w:szCs w:val="22"/>
          <w:lang w:eastAsia="en-AU"/>
        </w:rPr>
        <w:t xml:space="preserve"> compared to </w:t>
      </w:r>
      <w:proofErr w:type="spellStart"/>
      <w:r w:rsidRPr="005E0DC9">
        <w:rPr>
          <w:rFonts w:ascii="Calibri" w:eastAsia="Calibri" w:hAnsi="Calibri"/>
          <w:snapToGrid/>
          <w:sz w:val="24"/>
          <w:szCs w:val="22"/>
          <w:lang w:eastAsia="en-AU"/>
        </w:rPr>
        <w:t>obi+chl</w:t>
      </w:r>
      <w:proofErr w:type="spellEnd"/>
      <w:r w:rsidRPr="005E0DC9">
        <w:rPr>
          <w:rFonts w:ascii="Calibri" w:eastAsia="Calibri" w:hAnsi="Calibri"/>
          <w:snapToGrid/>
          <w:sz w:val="24"/>
          <w:szCs w:val="22"/>
          <w:lang w:eastAsia="en-AU"/>
        </w:rPr>
        <w:t xml:space="preserve"> (HR=0.12 95% </w:t>
      </w:r>
      <w:r w:rsidR="0031593C" w:rsidRPr="005E0DC9">
        <w:rPr>
          <w:rFonts w:ascii="Calibri" w:eastAsia="Calibri" w:hAnsi="Calibri"/>
          <w:snapToGrid/>
          <w:sz w:val="24"/>
          <w:szCs w:val="22"/>
          <w:lang w:eastAsia="en-AU"/>
        </w:rPr>
        <w:t>CI</w:t>
      </w:r>
      <w:r w:rsidRPr="005E0DC9">
        <w:rPr>
          <w:rFonts w:ascii="Calibri" w:eastAsia="Calibri" w:hAnsi="Calibri"/>
          <w:snapToGrid/>
          <w:sz w:val="24"/>
          <w:szCs w:val="22"/>
          <w:lang w:eastAsia="en-AU"/>
        </w:rPr>
        <w:t xml:space="preserve">: 0.02, 0.97).  The matching done in this analysis was based on CIRS score, age, </w:t>
      </w:r>
      <w:proofErr w:type="spellStart"/>
      <w:r w:rsidRPr="005E0DC9">
        <w:rPr>
          <w:rFonts w:ascii="Calibri" w:eastAsia="Calibri" w:hAnsi="Calibri"/>
          <w:snapToGrid/>
          <w:sz w:val="24"/>
          <w:szCs w:val="22"/>
          <w:lang w:eastAsia="en-AU"/>
        </w:rPr>
        <w:t>Binet</w:t>
      </w:r>
      <w:proofErr w:type="spellEnd"/>
      <w:r w:rsidRPr="005E0DC9">
        <w:rPr>
          <w:rFonts w:ascii="Calibri" w:eastAsia="Calibri" w:hAnsi="Calibri"/>
          <w:snapToGrid/>
          <w:sz w:val="24"/>
          <w:szCs w:val="22"/>
          <w:lang w:eastAsia="en-AU"/>
        </w:rPr>
        <w:t xml:space="preserve"> stage, creatinine clearance and other variables that were </w:t>
      </w:r>
      <w:r w:rsidRPr="005E0DC9">
        <w:rPr>
          <w:rFonts w:ascii="Calibri" w:eastAsia="Calibri" w:hAnsi="Calibri"/>
          <w:snapToGrid/>
          <w:sz w:val="24"/>
          <w:szCs w:val="22"/>
          <w:lang w:eastAsia="en-AU"/>
        </w:rPr>
        <w:lastRenderedPageBreak/>
        <w:t xml:space="preserve">not highlighted as differences between the trials by the submission.  Also, the effective sample size following matching was 35.  While the treatment effect became larger using MAIC, the sample size upon which it was based is considerably smaller.  </w:t>
      </w:r>
      <w:proofErr w:type="gramStart"/>
      <w:r w:rsidRPr="005E0DC9">
        <w:rPr>
          <w:rFonts w:ascii="Calibri" w:eastAsia="Calibri" w:hAnsi="Calibri"/>
          <w:snapToGrid/>
          <w:sz w:val="24"/>
          <w:szCs w:val="22"/>
          <w:lang w:eastAsia="en-AU"/>
        </w:rPr>
        <w:t>van</w:t>
      </w:r>
      <w:proofErr w:type="gramEnd"/>
      <w:r w:rsidRPr="005E0DC9">
        <w:rPr>
          <w:rFonts w:ascii="Calibri" w:eastAsia="Calibri" w:hAnsi="Calibri"/>
          <w:snapToGrid/>
          <w:sz w:val="24"/>
          <w:szCs w:val="22"/>
          <w:lang w:eastAsia="en-AU"/>
        </w:rPr>
        <w:t xml:space="preserve"> Sanden (2017) acknowledges that MAIC is a relatively new technique, and the small effective sample size suggests caution should be used when interpreting the results.  </w:t>
      </w:r>
    </w:p>
    <w:p w:rsidR="00ED4312" w:rsidRPr="005E0DC9" w:rsidRDefault="00ED4312" w:rsidP="001934E3">
      <w:pPr>
        <w:widowControl/>
        <w:numPr>
          <w:ilvl w:val="1"/>
          <w:numId w:val="11"/>
        </w:numPr>
        <w:spacing w:before="120" w:after="120"/>
        <w:ind w:left="709" w:hanging="709"/>
        <w:rPr>
          <w:rFonts w:ascii="Calibri" w:eastAsia="Calibri" w:hAnsi="Calibri"/>
          <w:snapToGrid/>
          <w:sz w:val="24"/>
          <w:szCs w:val="22"/>
          <w:lang w:eastAsia="en-AU"/>
        </w:rPr>
      </w:pPr>
      <w:r w:rsidRPr="005E0DC9">
        <w:rPr>
          <w:rFonts w:ascii="Calibri" w:eastAsia="Calibri" w:hAnsi="Calibri"/>
          <w:snapToGrid/>
          <w:sz w:val="24"/>
          <w:szCs w:val="22"/>
          <w:lang w:eastAsia="en-AU"/>
        </w:rPr>
        <w:t xml:space="preserve">The ESC noted the Xu et al (2017) Bayesian network </w:t>
      </w:r>
      <w:r w:rsidR="0031593C" w:rsidRPr="005E0DC9">
        <w:rPr>
          <w:rFonts w:ascii="Calibri" w:eastAsia="Calibri" w:hAnsi="Calibri"/>
          <w:snapToGrid/>
          <w:sz w:val="24"/>
          <w:szCs w:val="22"/>
          <w:lang w:eastAsia="en-AU"/>
        </w:rPr>
        <w:t>meta-analysis</w:t>
      </w:r>
      <w:r w:rsidRPr="005E0DC9">
        <w:rPr>
          <w:rFonts w:ascii="Calibri" w:eastAsia="Calibri" w:hAnsi="Calibri"/>
          <w:snapToGrid/>
          <w:sz w:val="24"/>
          <w:szCs w:val="22"/>
          <w:lang w:eastAsia="en-AU"/>
        </w:rPr>
        <w:t xml:space="preserve"> (NMA) and van Sanden (2017) MAIC</w:t>
      </w:r>
      <w:r w:rsidR="001934E3" w:rsidRPr="005E0DC9">
        <w:rPr>
          <w:rFonts w:ascii="Calibri" w:eastAsia="Calibri" w:hAnsi="Calibri"/>
          <w:snapToGrid/>
          <w:sz w:val="24"/>
          <w:szCs w:val="22"/>
          <w:lang w:eastAsia="en-AU"/>
        </w:rPr>
        <w:t xml:space="preserve"> </w:t>
      </w:r>
      <w:r w:rsidRPr="005E0DC9">
        <w:rPr>
          <w:rFonts w:ascii="Calibri" w:eastAsia="Calibri" w:hAnsi="Calibri"/>
          <w:snapToGrid/>
          <w:sz w:val="24"/>
          <w:szCs w:val="22"/>
          <w:lang w:eastAsia="en-AU"/>
        </w:rPr>
        <w:t>analysis referenced in the PSCR (p3). Of these two additional analyses</w:t>
      </w:r>
      <w:r w:rsidR="0037247E">
        <w:rPr>
          <w:rFonts w:ascii="Calibri" w:eastAsia="Calibri" w:hAnsi="Calibri"/>
          <w:snapToGrid/>
          <w:sz w:val="24"/>
          <w:szCs w:val="22"/>
          <w:lang w:eastAsia="en-AU"/>
        </w:rPr>
        <w:t>,</w:t>
      </w:r>
      <w:r w:rsidRPr="005E0DC9">
        <w:rPr>
          <w:rFonts w:ascii="Calibri" w:eastAsia="Calibri" w:hAnsi="Calibri"/>
          <w:snapToGrid/>
          <w:sz w:val="24"/>
          <w:szCs w:val="22"/>
          <w:lang w:eastAsia="en-AU"/>
        </w:rPr>
        <w:t xml:space="preserve"> the </w:t>
      </w:r>
      <w:r w:rsidR="00232CB0" w:rsidRPr="005E0DC9">
        <w:rPr>
          <w:rFonts w:ascii="Calibri" w:eastAsia="Calibri" w:hAnsi="Calibri"/>
          <w:snapToGrid/>
          <w:sz w:val="24"/>
          <w:szCs w:val="22"/>
          <w:lang w:eastAsia="en-AU"/>
        </w:rPr>
        <w:t xml:space="preserve">ESC considered the </w:t>
      </w:r>
      <w:r w:rsidRPr="005E0DC9">
        <w:rPr>
          <w:rFonts w:ascii="Calibri" w:eastAsia="Calibri" w:hAnsi="Calibri"/>
          <w:snapToGrid/>
          <w:sz w:val="24"/>
          <w:szCs w:val="22"/>
          <w:lang w:eastAsia="en-AU"/>
        </w:rPr>
        <w:t xml:space="preserve">MAIC was the more robust analysis given its superior control of confounder imbalance between included trials. However, the penalty with this approach is the characteristically wider credible intervals that result from matching. The post-matching intervals for the </w:t>
      </w:r>
      <w:proofErr w:type="spellStart"/>
      <w:r w:rsidRPr="005E0DC9">
        <w:rPr>
          <w:rFonts w:ascii="Calibri" w:eastAsia="Calibri" w:hAnsi="Calibri"/>
          <w:snapToGrid/>
          <w:sz w:val="24"/>
          <w:szCs w:val="22"/>
          <w:lang w:eastAsia="en-AU"/>
        </w:rPr>
        <w:t>ibrutinib</w:t>
      </w:r>
      <w:proofErr w:type="spellEnd"/>
      <w:r w:rsidRPr="005E0DC9">
        <w:rPr>
          <w:rFonts w:ascii="Calibri" w:eastAsia="Calibri" w:hAnsi="Calibri"/>
          <w:snapToGrid/>
          <w:sz w:val="24"/>
          <w:szCs w:val="22"/>
          <w:lang w:eastAsia="en-AU"/>
        </w:rPr>
        <w:t xml:space="preserve"> vs </w:t>
      </w:r>
      <w:proofErr w:type="spellStart"/>
      <w:r w:rsidRPr="005E0DC9">
        <w:rPr>
          <w:rFonts w:ascii="Calibri" w:eastAsia="Calibri" w:hAnsi="Calibri"/>
          <w:snapToGrid/>
          <w:sz w:val="24"/>
          <w:szCs w:val="22"/>
          <w:lang w:eastAsia="en-AU"/>
        </w:rPr>
        <w:t>obi+chl</w:t>
      </w:r>
      <w:proofErr w:type="spellEnd"/>
      <w:r w:rsidRPr="005E0DC9">
        <w:rPr>
          <w:rFonts w:ascii="Calibri" w:eastAsia="Calibri" w:hAnsi="Calibri"/>
          <w:snapToGrid/>
          <w:sz w:val="24"/>
          <w:szCs w:val="22"/>
          <w:lang w:eastAsia="en-AU"/>
        </w:rPr>
        <w:t xml:space="preserve"> comparison were very wide (PFS: 0.02, 0.97; OS: 0.00 to 8.89). Thus, whilst the </w:t>
      </w:r>
      <w:r w:rsidRPr="005E0DC9">
        <w:rPr>
          <w:rFonts w:ascii="Calibri" w:eastAsia="Calibri" w:hAnsi="Calibri"/>
          <w:iCs/>
          <w:snapToGrid/>
          <w:sz w:val="24"/>
          <w:szCs w:val="22"/>
          <w:lang w:eastAsia="en-AU"/>
        </w:rPr>
        <w:t xml:space="preserve">crude </w:t>
      </w:r>
      <w:r w:rsidRPr="005E0DC9">
        <w:rPr>
          <w:rFonts w:ascii="Calibri" w:eastAsia="Calibri" w:hAnsi="Calibri"/>
          <w:snapToGrid/>
          <w:sz w:val="24"/>
          <w:szCs w:val="22"/>
          <w:lang w:eastAsia="en-AU"/>
        </w:rPr>
        <w:t xml:space="preserve">probability comparisons appear to support a treatment advantage favouring </w:t>
      </w:r>
      <w:proofErr w:type="spellStart"/>
      <w:r w:rsidRPr="005E0DC9">
        <w:rPr>
          <w:rFonts w:ascii="Calibri" w:eastAsia="Calibri" w:hAnsi="Calibri"/>
          <w:snapToGrid/>
          <w:sz w:val="24"/>
          <w:szCs w:val="22"/>
          <w:lang w:eastAsia="en-AU"/>
        </w:rPr>
        <w:t>ibrutinib</w:t>
      </w:r>
      <w:proofErr w:type="spellEnd"/>
      <w:r w:rsidRPr="005E0DC9">
        <w:rPr>
          <w:rFonts w:ascii="Calibri" w:eastAsia="Calibri" w:hAnsi="Calibri"/>
          <w:snapToGrid/>
          <w:sz w:val="24"/>
          <w:szCs w:val="22"/>
          <w:lang w:eastAsia="en-AU"/>
        </w:rPr>
        <w:t>, consideration of the credible intervals do not support such a benefit.</w:t>
      </w:r>
    </w:p>
    <w:p w:rsidR="00ED4312" w:rsidRPr="005E0DC9" w:rsidRDefault="00ED4312"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lang w:eastAsia="en-AU"/>
        </w:rPr>
        <w:t xml:space="preserve">With respect to the Xu (2017) NMA, the ESC noted that, as with the MAIC, whilst the point estimate Hazard Ratios from the NMA suggest both a PFS and OS benefit favouring </w:t>
      </w:r>
      <w:proofErr w:type="spellStart"/>
      <w:r w:rsidRPr="005E0DC9">
        <w:rPr>
          <w:rFonts w:ascii="Calibri" w:eastAsia="Calibri" w:hAnsi="Calibri"/>
          <w:snapToGrid/>
          <w:sz w:val="24"/>
          <w:szCs w:val="22"/>
          <w:lang w:eastAsia="en-AU"/>
        </w:rPr>
        <w:t>ibrutinib</w:t>
      </w:r>
      <w:proofErr w:type="spellEnd"/>
      <w:r w:rsidRPr="005E0DC9">
        <w:rPr>
          <w:rFonts w:ascii="Calibri" w:eastAsia="Calibri" w:hAnsi="Calibri"/>
          <w:snapToGrid/>
          <w:sz w:val="24"/>
          <w:szCs w:val="22"/>
          <w:lang w:eastAsia="en-AU"/>
        </w:rPr>
        <w:t xml:space="preserve"> relative to comparator therapies, the specific comparison to </w:t>
      </w:r>
      <w:proofErr w:type="spellStart"/>
      <w:r w:rsidRPr="005E0DC9">
        <w:rPr>
          <w:rFonts w:ascii="Calibri" w:eastAsia="Calibri" w:hAnsi="Calibri"/>
          <w:snapToGrid/>
          <w:sz w:val="24"/>
          <w:szCs w:val="22"/>
          <w:lang w:eastAsia="en-AU"/>
        </w:rPr>
        <w:t>obi+chl</w:t>
      </w:r>
      <w:proofErr w:type="spellEnd"/>
      <w:r w:rsidRPr="005E0DC9">
        <w:rPr>
          <w:rFonts w:ascii="Calibri" w:eastAsia="Calibri" w:hAnsi="Calibri"/>
          <w:snapToGrid/>
          <w:sz w:val="24"/>
          <w:szCs w:val="22"/>
          <w:lang w:eastAsia="en-AU"/>
        </w:rPr>
        <w:t xml:space="preserve"> remains non-significant and associated with relatively high upper limits of the credible interval (1.61 for PFS; 1.51 for OS).</w:t>
      </w:r>
    </w:p>
    <w:p w:rsidR="00656000" w:rsidRPr="005E0DC9" w:rsidRDefault="00656000" w:rsidP="00FA1A53">
      <w:pPr>
        <w:widowControl/>
        <w:numPr>
          <w:ilvl w:val="1"/>
          <w:numId w:val="11"/>
        </w:numPr>
        <w:spacing w:before="120" w:after="120"/>
        <w:ind w:left="709" w:hanging="709"/>
        <w:rPr>
          <w:rFonts w:ascii="Calibri" w:eastAsia="Calibri" w:hAnsi="Calibri"/>
          <w:i/>
          <w:snapToGrid/>
          <w:sz w:val="24"/>
          <w:szCs w:val="22"/>
        </w:rPr>
      </w:pPr>
      <w:r w:rsidRPr="005E0DC9">
        <w:rPr>
          <w:rFonts w:ascii="Calibri" w:eastAsia="Calibri" w:hAnsi="Calibri"/>
          <w:snapToGrid/>
          <w:color w:val="000000"/>
          <w:sz w:val="24"/>
          <w:szCs w:val="22"/>
          <w:lang w:eastAsia="en-AU"/>
        </w:rPr>
        <w:t xml:space="preserve">Results for the indirect comparisons of overall survival are provided in the table below.  Median OS was not reached in any of the trials. In the RESONATE-2 trial only 3 (2.2%) patients in the </w:t>
      </w:r>
      <w:proofErr w:type="spellStart"/>
      <w:r w:rsidRPr="005E0DC9">
        <w:rPr>
          <w:rFonts w:ascii="Calibri" w:eastAsia="Calibri" w:hAnsi="Calibri"/>
          <w:snapToGrid/>
          <w:color w:val="000000"/>
          <w:sz w:val="24"/>
          <w:szCs w:val="22"/>
          <w:lang w:eastAsia="en-AU"/>
        </w:rPr>
        <w:t>ibrutinib</w:t>
      </w:r>
      <w:proofErr w:type="spellEnd"/>
      <w:r w:rsidRPr="005E0DC9">
        <w:rPr>
          <w:rFonts w:ascii="Calibri" w:eastAsia="Calibri" w:hAnsi="Calibri"/>
          <w:snapToGrid/>
          <w:color w:val="000000"/>
          <w:sz w:val="24"/>
          <w:szCs w:val="22"/>
          <w:lang w:eastAsia="en-AU"/>
        </w:rPr>
        <w:t xml:space="preserve"> arm had died.</w:t>
      </w:r>
    </w:p>
    <w:p w:rsidR="00656000" w:rsidRPr="005E0DC9" w:rsidRDefault="00656000" w:rsidP="00656000">
      <w:pPr>
        <w:keepNext/>
        <w:rPr>
          <w:rFonts w:ascii="Arial Narrow" w:hAnsi="Arial Narrow"/>
          <w:b/>
          <w:sz w:val="20"/>
        </w:rPr>
      </w:pPr>
      <w:r w:rsidRPr="005E0DC9">
        <w:rPr>
          <w:rFonts w:ascii="Arial Narrow" w:hAnsi="Arial Narrow"/>
          <w:b/>
          <w:sz w:val="20"/>
        </w:rPr>
        <w:t xml:space="preserve">Table 7: Summary of results of the indirect comparisons - overall survival </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843"/>
        <w:gridCol w:w="1387"/>
        <w:gridCol w:w="1589"/>
        <w:gridCol w:w="1134"/>
        <w:gridCol w:w="1545"/>
      </w:tblGrid>
      <w:tr w:rsidR="00656000" w:rsidRPr="005E0DC9" w:rsidTr="00656000">
        <w:trPr>
          <w:tblHeader/>
        </w:trPr>
        <w:tc>
          <w:tcPr>
            <w:tcW w:w="1526" w:type="dxa"/>
            <w:vAlign w:val="center"/>
          </w:tcPr>
          <w:p w:rsidR="00656000" w:rsidRPr="005E0DC9" w:rsidRDefault="00656000" w:rsidP="00656000">
            <w:pPr>
              <w:pStyle w:val="TableText1"/>
              <w:spacing w:before="0" w:after="0"/>
              <w:rPr>
                <w:b/>
                <w:szCs w:val="20"/>
              </w:rPr>
            </w:pPr>
            <w:r w:rsidRPr="005E0DC9">
              <w:rPr>
                <w:b/>
                <w:szCs w:val="20"/>
              </w:rPr>
              <w:t xml:space="preserve">Trial </w:t>
            </w:r>
          </w:p>
        </w:tc>
        <w:tc>
          <w:tcPr>
            <w:tcW w:w="1843" w:type="dxa"/>
            <w:shd w:val="clear" w:color="auto" w:fill="auto"/>
            <w:vAlign w:val="center"/>
          </w:tcPr>
          <w:p w:rsidR="00656000" w:rsidRPr="005E0DC9" w:rsidRDefault="00656000" w:rsidP="00656000">
            <w:pPr>
              <w:pStyle w:val="TableText1"/>
              <w:spacing w:before="0" w:after="0"/>
              <w:jc w:val="center"/>
              <w:rPr>
                <w:b/>
                <w:szCs w:val="20"/>
              </w:rPr>
            </w:pPr>
            <w:r w:rsidRPr="005E0DC9">
              <w:rPr>
                <w:b/>
                <w:szCs w:val="20"/>
              </w:rPr>
              <w:t>Outcome</w:t>
            </w:r>
          </w:p>
        </w:tc>
        <w:tc>
          <w:tcPr>
            <w:tcW w:w="1387" w:type="dxa"/>
            <w:shd w:val="clear" w:color="auto" w:fill="auto"/>
            <w:vAlign w:val="center"/>
          </w:tcPr>
          <w:p w:rsidR="00656000" w:rsidRPr="005E0DC9" w:rsidRDefault="00656000" w:rsidP="00656000">
            <w:pPr>
              <w:pStyle w:val="TableText1"/>
              <w:spacing w:before="0" w:after="0"/>
              <w:jc w:val="center"/>
              <w:rPr>
                <w:b/>
                <w:iCs/>
                <w:szCs w:val="20"/>
              </w:rPr>
            </w:pPr>
            <w:proofErr w:type="spellStart"/>
            <w:r w:rsidRPr="005E0DC9">
              <w:rPr>
                <w:b/>
                <w:iCs/>
                <w:szCs w:val="20"/>
              </w:rPr>
              <w:t>Ibr</w:t>
            </w:r>
            <w:proofErr w:type="spellEnd"/>
            <w:r w:rsidRPr="005E0DC9">
              <w:rPr>
                <w:b/>
                <w:iCs/>
                <w:szCs w:val="20"/>
              </w:rPr>
              <w:t xml:space="preserve"> </w:t>
            </w:r>
          </w:p>
          <w:p w:rsidR="00656000" w:rsidRPr="005E0DC9" w:rsidRDefault="00656000" w:rsidP="00656000">
            <w:pPr>
              <w:pStyle w:val="TableText1"/>
              <w:spacing w:before="0" w:after="0"/>
              <w:jc w:val="center"/>
              <w:rPr>
                <w:b/>
                <w:szCs w:val="20"/>
              </w:rPr>
            </w:pPr>
            <w:proofErr w:type="gramStart"/>
            <w:r w:rsidRPr="005E0DC9">
              <w:rPr>
                <w:b/>
                <w:iCs/>
                <w:szCs w:val="20"/>
              </w:rPr>
              <w:t>n/N</w:t>
            </w:r>
            <w:proofErr w:type="gramEnd"/>
            <w:r w:rsidRPr="005E0DC9">
              <w:rPr>
                <w:b/>
                <w:iCs/>
                <w:szCs w:val="20"/>
              </w:rPr>
              <w:t xml:space="preserve"> (%)</w:t>
            </w:r>
          </w:p>
        </w:tc>
        <w:tc>
          <w:tcPr>
            <w:tcW w:w="1589" w:type="dxa"/>
            <w:shd w:val="clear" w:color="auto" w:fill="auto"/>
            <w:vAlign w:val="center"/>
          </w:tcPr>
          <w:p w:rsidR="00656000" w:rsidRPr="005E0DC9" w:rsidRDefault="00656000" w:rsidP="00656000">
            <w:pPr>
              <w:pStyle w:val="TableText1"/>
              <w:spacing w:before="0" w:after="0"/>
              <w:jc w:val="center"/>
              <w:rPr>
                <w:b/>
                <w:szCs w:val="20"/>
              </w:rPr>
            </w:pPr>
            <w:proofErr w:type="spellStart"/>
            <w:r w:rsidRPr="005E0DC9">
              <w:rPr>
                <w:b/>
                <w:szCs w:val="20"/>
              </w:rPr>
              <w:t>Chl</w:t>
            </w:r>
            <w:proofErr w:type="spellEnd"/>
            <w:r w:rsidRPr="005E0DC9">
              <w:rPr>
                <w:b/>
                <w:szCs w:val="20"/>
              </w:rPr>
              <w:t xml:space="preserve"> </w:t>
            </w:r>
          </w:p>
          <w:p w:rsidR="00656000" w:rsidRPr="005E0DC9" w:rsidRDefault="00656000" w:rsidP="00656000">
            <w:pPr>
              <w:pStyle w:val="TableText1"/>
              <w:spacing w:before="0" w:after="0"/>
              <w:jc w:val="center"/>
              <w:rPr>
                <w:b/>
                <w:szCs w:val="20"/>
              </w:rPr>
            </w:pPr>
            <w:proofErr w:type="gramStart"/>
            <w:r w:rsidRPr="005E0DC9">
              <w:rPr>
                <w:b/>
                <w:szCs w:val="20"/>
              </w:rPr>
              <w:t>n/N</w:t>
            </w:r>
            <w:proofErr w:type="gramEnd"/>
            <w:r w:rsidRPr="005E0DC9">
              <w:rPr>
                <w:b/>
                <w:szCs w:val="20"/>
              </w:rPr>
              <w:t xml:space="preserve"> (%)</w:t>
            </w:r>
          </w:p>
        </w:tc>
        <w:tc>
          <w:tcPr>
            <w:tcW w:w="1134" w:type="dxa"/>
            <w:shd w:val="clear" w:color="auto" w:fill="auto"/>
            <w:vAlign w:val="center"/>
          </w:tcPr>
          <w:p w:rsidR="00656000" w:rsidRPr="005E0DC9" w:rsidRDefault="00656000" w:rsidP="00656000">
            <w:pPr>
              <w:pStyle w:val="TableText1"/>
              <w:spacing w:before="0" w:after="0"/>
              <w:jc w:val="center"/>
              <w:rPr>
                <w:b/>
                <w:szCs w:val="20"/>
              </w:rPr>
            </w:pPr>
            <w:r w:rsidRPr="005E0DC9">
              <w:rPr>
                <w:b/>
                <w:szCs w:val="20"/>
              </w:rPr>
              <w:t>Absolute difference</w:t>
            </w:r>
          </w:p>
        </w:tc>
        <w:tc>
          <w:tcPr>
            <w:tcW w:w="1545" w:type="dxa"/>
            <w:shd w:val="clear" w:color="auto" w:fill="auto"/>
            <w:vAlign w:val="center"/>
          </w:tcPr>
          <w:p w:rsidR="00656000" w:rsidRPr="005E0DC9" w:rsidRDefault="00656000" w:rsidP="00656000">
            <w:pPr>
              <w:pStyle w:val="TableText1"/>
              <w:spacing w:before="0" w:after="0"/>
              <w:jc w:val="center"/>
              <w:rPr>
                <w:b/>
                <w:szCs w:val="20"/>
              </w:rPr>
            </w:pPr>
            <w:r w:rsidRPr="005E0DC9">
              <w:rPr>
                <w:b/>
                <w:szCs w:val="20"/>
              </w:rPr>
              <w:t>HR (95% CI)</w:t>
            </w:r>
          </w:p>
        </w:tc>
      </w:tr>
      <w:tr w:rsidR="00656000" w:rsidRPr="005E0DC9" w:rsidTr="00656000">
        <w:tc>
          <w:tcPr>
            <w:tcW w:w="1526" w:type="dxa"/>
            <w:vMerge w:val="restart"/>
            <w:vAlign w:val="center"/>
          </w:tcPr>
          <w:p w:rsidR="00656000" w:rsidRPr="005E0DC9" w:rsidRDefault="00656000" w:rsidP="00656000">
            <w:pPr>
              <w:pStyle w:val="TableText1"/>
              <w:spacing w:before="0" w:after="0"/>
              <w:rPr>
                <w:szCs w:val="20"/>
              </w:rPr>
            </w:pPr>
            <w:r w:rsidRPr="005E0DC9">
              <w:rPr>
                <w:szCs w:val="20"/>
              </w:rPr>
              <w:t xml:space="preserve">RESONATE-2 </w:t>
            </w:r>
          </w:p>
          <w:p w:rsidR="00656000" w:rsidRPr="005E0DC9" w:rsidRDefault="00656000" w:rsidP="00656000">
            <w:pPr>
              <w:pStyle w:val="TableText1"/>
              <w:spacing w:before="0" w:after="0"/>
              <w:rPr>
                <w:szCs w:val="20"/>
              </w:rPr>
            </w:pPr>
            <w:proofErr w:type="spellStart"/>
            <w:r w:rsidRPr="005E0DC9">
              <w:rPr>
                <w:szCs w:val="20"/>
              </w:rPr>
              <w:t>ibr</w:t>
            </w:r>
            <w:proofErr w:type="spellEnd"/>
            <w:r w:rsidRPr="005E0DC9">
              <w:rPr>
                <w:szCs w:val="20"/>
              </w:rPr>
              <w:t xml:space="preserve"> vs. </w:t>
            </w:r>
            <w:proofErr w:type="spellStart"/>
            <w:r w:rsidRPr="005E0DC9">
              <w:rPr>
                <w:szCs w:val="20"/>
              </w:rPr>
              <w:t>chl</w:t>
            </w:r>
            <w:proofErr w:type="spellEnd"/>
          </w:p>
        </w:tc>
        <w:tc>
          <w:tcPr>
            <w:tcW w:w="1843" w:type="dxa"/>
            <w:shd w:val="clear" w:color="auto" w:fill="auto"/>
            <w:vAlign w:val="center"/>
          </w:tcPr>
          <w:p w:rsidR="00656000" w:rsidRPr="005E0DC9" w:rsidRDefault="00656000" w:rsidP="00656000">
            <w:pPr>
              <w:pStyle w:val="TableText1"/>
              <w:spacing w:before="0" w:after="0"/>
              <w:rPr>
                <w:szCs w:val="20"/>
              </w:rPr>
            </w:pPr>
            <w:r w:rsidRPr="005E0DC9">
              <w:rPr>
                <w:szCs w:val="20"/>
              </w:rPr>
              <w:t>Dead</w:t>
            </w:r>
          </w:p>
        </w:tc>
        <w:tc>
          <w:tcPr>
            <w:tcW w:w="1387" w:type="dxa"/>
            <w:shd w:val="clear" w:color="auto" w:fill="auto"/>
            <w:vAlign w:val="center"/>
          </w:tcPr>
          <w:p w:rsidR="00656000" w:rsidRPr="005E0DC9" w:rsidRDefault="00656000" w:rsidP="00656000">
            <w:pPr>
              <w:pStyle w:val="TableText1"/>
              <w:spacing w:before="0" w:after="0"/>
              <w:jc w:val="center"/>
              <w:rPr>
                <w:iCs/>
                <w:szCs w:val="20"/>
              </w:rPr>
            </w:pPr>
            <w:r w:rsidRPr="005E0DC9">
              <w:rPr>
                <w:iCs/>
                <w:szCs w:val="20"/>
              </w:rPr>
              <w:t>3/136 (2.2%)</w:t>
            </w:r>
          </w:p>
        </w:tc>
        <w:tc>
          <w:tcPr>
            <w:tcW w:w="1589" w:type="dxa"/>
            <w:shd w:val="clear" w:color="auto" w:fill="auto"/>
            <w:vAlign w:val="center"/>
          </w:tcPr>
          <w:p w:rsidR="00656000" w:rsidRPr="005E0DC9" w:rsidRDefault="00656000" w:rsidP="00656000">
            <w:pPr>
              <w:pStyle w:val="TableText1"/>
              <w:spacing w:before="0" w:after="0"/>
              <w:jc w:val="center"/>
              <w:rPr>
                <w:iCs/>
                <w:szCs w:val="20"/>
              </w:rPr>
            </w:pPr>
            <w:r w:rsidRPr="005E0DC9">
              <w:rPr>
                <w:iCs/>
                <w:szCs w:val="20"/>
              </w:rPr>
              <w:t>17/133 (12.8%)</w:t>
            </w:r>
          </w:p>
        </w:tc>
        <w:tc>
          <w:tcPr>
            <w:tcW w:w="1134" w:type="dxa"/>
            <w:shd w:val="clear" w:color="auto" w:fill="auto"/>
            <w:vAlign w:val="center"/>
          </w:tcPr>
          <w:p w:rsidR="00656000" w:rsidRPr="005E0DC9" w:rsidRDefault="00656000" w:rsidP="00656000">
            <w:pPr>
              <w:pStyle w:val="TableText1"/>
              <w:spacing w:before="0" w:after="0"/>
              <w:jc w:val="center"/>
              <w:rPr>
                <w:szCs w:val="20"/>
              </w:rPr>
            </w:pPr>
            <w:r w:rsidRPr="005E0DC9">
              <w:rPr>
                <w:szCs w:val="20"/>
              </w:rPr>
              <w:t>-</w:t>
            </w:r>
          </w:p>
        </w:tc>
        <w:tc>
          <w:tcPr>
            <w:tcW w:w="1545" w:type="dxa"/>
            <w:shd w:val="clear" w:color="auto" w:fill="auto"/>
            <w:vAlign w:val="center"/>
          </w:tcPr>
          <w:p w:rsidR="00656000" w:rsidRPr="005E0DC9" w:rsidRDefault="00656000" w:rsidP="00656000">
            <w:pPr>
              <w:pStyle w:val="TableText1"/>
              <w:spacing w:before="0" w:after="0"/>
              <w:jc w:val="center"/>
              <w:rPr>
                <w:szCs w:val="20"/>
              </w:rPr>
            </w:pPr>
            <w:r w:rsidRPr="005E0DC9">
              <w:rPr>
                <w:szCs w:val="20"/>
              </w:rPr>
              <w:t>-</w:t>
            </w:r>
          </w:p>
        </w:tc>
      </w:tr>
      <w:tr w:rsidR="00656000" w:rsidRPr="005E0DC9" w:rsidTr="00656000">
        <w:tc>
          <w:tcPr>
            <w:tcW w:w="1526" w:type="dxa"/>
            <w:vMerge/>
            <w:tcBorders>
              <w:bottom w:val="double" w:sz="4" w:space="0" w:color="auto"/>
            </w:tcBorders>
            <w:vAlign w:val="center"/>
          </w:tcPr>
          <w:p w:rsidR="00656000" w:rsidRPr="005E0DC9" w:rsidRDefault="00656000" w:rsidP="00656000">
            <w:pPr>
              <w:pStyle w:val="TableText1"/>
              <w:spacing w:before="0" w:after="0"/>
              <w:rPr>
                <w:szCs w:val="20"/>
              </w:rPr>
            </w:pPr>
          </w:p>
        </w:tc>
        <w:tc>
          <w:tcPr>
            <w:tcW w:w="1843" w:type="dxa"/>
            <w:tcBorders>
              <w:bottom w:val="double" w:sz="4" w:space="0" w:color="auto"/>
            </w:tcBorders>
            <w:shd w:val="clear" w:color="auto" w:fill="auto"/>
            <w:vAlign w:val="center"/>
          </w:tcPr>
          <w:p w:rsidR="00656000" w:rsidRPr="005E0DC9" w:rsidRDefault="00656000" w:rsidP="00656000">
            <w:pPr>
              <w:pStyle w:val="TableText1"/>
              <w:spacing w:before="0" w:after="0"/>
              <w:rPr>
                <w:szCs w:val="20"/>
              </w:rPr>
            </w:pPr>
            <w:r w:rsidRPr="005E0DC9">
              <w:rPr>
                <w:szCs w:val="20"/>
              </w:rPr>
              <w:t>Median months OS</w:t>
            </w:r>
          </w:p>
        </w:tc>
        <w:tc>
          <w:tcPr>
            <w:tcW w:w="1387" w:type="dxa"/>
            <w:tcBorders>
              <w:bottom w:val="double" w:sz="4" w:space="0" w:color="auto"/>
            </w:tcBorders>
            <w:shd w:val="clear" w:color="auto" w:fill="auto"/>
            <w:vAlign w:val="center"/>
          </w:tcPr>
          <w:p w:rsidR="00656000" w:rsidRPr="005E0DC9" w:rsidRDefault="00656000" w:rsidP="00656000">
            <w:pPr>
              <w:pStyle w:val="TableText1"/>
              <w:spacing w:before="0" w:after="0"/>
              <w:jc w:val="center"/>
              <w:rPr>
                <w:iCs/>
                <w:szCs w:val="20"/>
              </w:rPr>
            </w:pPr>
            <w:r w:rsidRPr="005E0DC9">
              <w:rPr>
                <w:iCs/>
                <w:szCs w:val="20"/>
              </w:rPr>
              <w:t>NR</w:t>
            </w:r>
          </w:p>
        </w:tc>
        <w:tc>
          <w:tcPr>
            <w:tcW w:w="1589" w:type="dxa"/>
            <w:tcBorders>
              <w:bottom w:val="double" w:sz="4" w:space="0" w:color="auto"/>
            </w:tcBorders>
            <w:shd w:val="clear" w:color="auto" w:fill="auto"/>
            <w:vAlign w:val="center"/>
          </w:tcPr>
          <w:p w:rsidR="00656000" w:rsidRPr="005E0DC9" w:rsidRDefault="00656000" w:rsidP="00656000">
            <w:pPr>
              <w:pStyle w:val="TableText1"/>
              <w:spacing w:before="0" w:after="0"/>
              <w:jc w:val="center"/>
              <w:rPr>
                <w:iCs/>
                <w:szCs w:val="20"/>
              </w:rPr>
            </w:pPr>
            <w:r w:rsidRPr="005E0DC9">
              <w:rPr>
                <w:iCs/>
                <w:szCs w:val="20"/>
              </w:rPr>
              <w:t>NR</w:t>
            </w:r>
          </w:p>
        </w:tc>
        <w:tc>
          <w:tcPr>
            <w:tcW w:w="1134" w:type="dxa"/>
            <w:tcBorders>
              <w:bottom w:val="double" w:sz="4" w:space="0" w:color="auto"/>
            </w:tcBorders>
            <w:shd w:val="clear" w:color="auto" w:fill="auto"/>
            <w:vAlign w:val="center"/>
          </w:tcPr>
          <w:p w:rsidR="00656000" w:rsidRPr="005E0DC9" w:rsidRDefault="00656000" w:rsidP="00656000">
            <w:pPr>
              <w:pStyle w:val="TableText1"/>
              <w:spacing w:before="0" w:after="0"/>
              <w:jc w:val="center"/>
              <w:rPr>
                <w:szCs w:val="20"/>
              </w:rPr>
            </w:pPr>
            <w:r w:rsidRPr="005E0DC9">
              <w:rPr>
                <w:szCs w:val="20"/>
              </w:rPr>
              <w:t>-</w:t>
            </w:r>
          </w:p>
        </w:tc>
        <w:tc>
          <w:tcPr>
            <w:tcW w:w="1545" w:type="dxa"/>
            <w:tcBorders>
              <w:bottom w:val="double" w:sz="4" w:space="0" w:color="auto"/>
            </w:tcBorders>
            <w:shd w:val="clear" w:color="auto" w:fill="auto"/>
            <w:vAlign w:val="center"/>
          </w:tcPr>
          <w:p w:rsidR="00656000" w:rsidRPr="005E0DC9" w:rsidRDefault="00656000" w:rsidP="00656000">
            <w:pPr>
              <w:pStyle w:val="TableText1"/>
              <w:spacing w:before="0" w:after="0"/>
              <w:jc w:val="center"/>
              <w:rPr>
                <w:b/>
                <w:szCs w:val="20"/>
              </w:rPr>
            </w:pPr>
            <w:r w:rsidRPr="005E0DC9">
              <w:rPr>
                <w:b/>
                <w:szCs w:val="20"/>
              </w:rPr>
              <w:t>0.16 (0.05, 0.56)</w:t>
            </w:r>
          </w:p>
        </w:tc>
      </w:tr>
      <w:tr w:rsidR="00656000" w:rsidRPr="005E0DC9" w:rsidTr="00656000">
        <w:tc>
          <w:tcPr>
            <w:tcW w:w="1526" w:type="dxa"/>
            <w:tcBorders>
              <w:top w:val="double" w:sz="4" w:space="0" w:color="auto"/>
              <w:bottom w:val="single" w:sz="4" w:space="0" w:color="auto"/>
            </w:tcBorders>
            <w:vAlign w:val="center"/>
          </w:tcPr>
          <w:p w:rsidR="00656000" w:rsidRPr="005E0DC9" w:rsidRDefault="00656000" w:rsidP="00656000">
            <w:pPr>
              <w:pStyle w:val="TableText1"/>
              <w:spacing w:before="0" w:after="0"/>
              <w:rPr>
                <w:b/>
                <w:szCs w:val="20"/>
              </w:rPr>
            </w:pPr>
            <w:r w:rsidRPr="005E0DC9">
              <w:rPr>
                <w:b/>
                <w:szCs w:val="20"/>
              </w:rPr>
              <w:t>Comparators</w:t>
            </w:r>
          </w:p>
        </w:tc>
        <w:tc>
          <w:tcPr>
            <w:tcW w:w="1843" w:type="dxa"/>
            <w:tcBorders>
              <w:top w:val="double" w:sz="4" w:space="0" w:color="auto"/>
              <w:bottom w:val="single" w:sz="4" w:space="0" w:color="auto"/>
            </w:tcBorders>
            <w:shd w:val="clear" w:color="auto" w:fill="auto"/>
            <w:vAlign w:val="center"/>
          </w:tcPr>
          <w:p w:rsidR="00656000" w:rsidRPr="005E0DC9" w:rsidRDefault="00656000" w:rsidP="00656000">
            <w:pPr>
              <w:pStyle w:val="TableText1"/>
              <w:spacing w:before="0" w:after="0"/>
              <w:rPr>
                <w:szCs w:val="20"/>
              </w:rPr>
            </w:pPr>
          </w:p>
        </w:tc>
        <w:tc>
          <w:tcPr>
            <w:tcW w:w="1387" w:type="dxa"/>
            <w:tcBorders>
              <w:top w:val="double" w:sz="4" w:space="0" w:color="auto"/>
              <w:bottom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b/>
                <w:szCs w:val="20"/>
              </w:rPr>
            </w:pPr>
            <w:r w:rsidRPr="005E0DC9">
              <w:rPr>
                <w:rFonts w:eastAsia="Times New Roman" w:cs="Times New Roman"/>
                <w:b/>
                <w:szCs w:val="20"/>
              </w:rPr>
              <w:t xml:space="preserve">Intervention </w:t>
            </w:r>
          </w:p>
          <w:p w:rsidR="00656000" w:rsidRPr="005E0DC9" w:rsidRDefault="00656000" w:rsidP="00656000">
            <w:pPr>
              <w:pStyle w:val="TableText1"/>
              <w:spacing w:before="0" w:after="0"/>
              <w:jc w:val="center"/>
              <w:rPr>
                <w:rFonts w:eastAsia="Times New Roman" w:cs="Times New Roman"/>
                <w:szCs w:val="20"/>
              </w:rPr>
            </w:pPr>
            <w:proofErr w:type="gramStart"/>
            <w:r w:rsidRPr="005E0DC9">
              <w:rPr>
                <w:rFonts w:eastAsia="Times New Roman" w:cs="Times New Roman"/>
                <w:b/>
                <w:szCs w:val="20"/>
              </w:rPr>
              <w:t>n/N</w:t>
            </w:r>
            <w:proofErr w:type="gramEnd"/>
            <w:r w:rsidRPr="005E0DC9">
              <w:rPr>
                <w:rFonts w:eastAsia="Times New Roman" w:cs="Times New Roman"/>
                <w:b/>
                <w:szCs w:val="20"/>
              </w:rPr>
              <w:t xml:space="preserve"> (%)</w:t>
            </w:r>
          </w:p>
        </w:tc>
        <w:tc>
          <w:tcPr>
            <w:tcW w:w="1589" w:type="dxa"/>
            <w:tcBorders>
              <w:top w:val="double" w:sz="4" w:space="0" w:color="auto"/>
              <w:bottom w:val="single" w:sz="4" w:space="0" w:color="auto"/>
            </w:tcBorders>
            <w:shd w:val="clear" w:color="auto" w:fill="auto"/>
            <w:vAlign w:val="center"/>
          </w:tcPr>
          <w:p w:rsidR="00656000" w:rsidRPr="005E0DC9" w:rsidRDefault="00656000" w:rsidP="00656000">
            <w:pPr>
              <w:pStyle w:val="TableText1"/>
              <w:spacing w:before="0" w:after="0"/>
              <w:jc w:val="center"/>
              <w:rPr>
                <w:b/>
                <w:szCs w:val="20"/>
              </w:rPr>
            </w:pPr>
            <w:proofErr w:type="spellStart"/>
            <w:r w:rsidRPr="005E0DC9">
              <w:rPr>
                <w:b/>
                <w:szCs w:val="20"/>
              </w:rPr>
              <w:t>Chl</w:t>
            </w:r>
            <w:proofErr w:type="spellEnd"/>
            <w:r w:rsidRPr="005E0DC9">
              <w:rPr>
                <w:b/>
                <w:szCs w:val="20"/>
              </w:rPr>
              <w:t xml:space="preserve"> </w:t>
            </w:r>
          </w:p>
          <w:p w:rsidR="00656000" w:rsidRPr="005E0DC9" w:rsidRDefault="00656000" w:rsidP="00656000">
            <w:pPr>
              <w:pStyle w:val="TableText1"/>
              <w:spacing w:before="0" w:after="0"/>
              <w:jc w:val="center"/>
              <w:rPr>
                <w:rFonts w:eastAsia="Times New Roman" w:cs="Times New Roman"/>
                <w:szCs w:val="20"/>
              </w:rPr>
            </w:pPr>
            <w:proofErr w:type="gramStart"/>
            <w:r w:rsidRPr="005E0DC9">
              <w:rPr>
                <w:b/>
                <w:szCs w:val="20"/>
              </w:rPr>
              <w:t>n/N</w:t>
            </w:r>
            <w:proofErr w:type="gramEnd"/>
            <w:r w:rsidRPr="005E0DC9">
              <w:rPr>
                <w:b/>
                <w:szCs w:val="20"/>
              </w:rPr>
              <w:t xml:space="preserve"> (%)</w:t>
            </w:r>
          </w:p>
        </w:tc>
        <w:tc>
          <w:tcPr>
            <w:tcW w:w="1134" w:type="dxa"/>
            <w:tcBorders>
              <w:top w:val="double" w:sz="4" w:space="0" w:color="auto"/>
              <w:bottom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b/>
                <w:szCs w:val="20"/>
              </w:rPr>
              <w:t>Absolute difference</w:t>
            </w:r>
          </w:p>
        </w:tc>
        <w:tc>
          <w:tcPr>
            <w:tcW w:w="1545" w:type="dxa"/>
            <w:tcBorders>
              <w:top w:val="double" w:sz="4" w:space="0" w:color="auto"/>
              <w:bottom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b/>
                <w:szCs w:val="20"/>
              </w:rPr>
              <w:t>HR (95% CI)</w:t>
            </w:r>
          </w:p>
        </w:tc>
      </w:tr>
      <w:tr w:rsidR="00656000" w:rsidRPr="005E0DC9" w:rsidTr="00656000">
        <w:tc>
          <w:tcPr>
            <w:tcW w:w="1526" w:type="dxa"/>
            <w:vMerge w:val="restart"/>
            <w:tcBorders>
              <w:top w:val="single" w:sz="4" w:space="0" w:color="auto"/>
            </w:tcBorders>
            <w:vAlign w:val="center"/>
          </w:tcPr>
          <w:p w:rsidR="00656000" w:rsidRPr="005E0DC9" w:rsidRDefault="00656000" w:rsidP="00656000">
            <w:pPr>
              <w:pStyle w:val="TableText1"/>
              <w:spacing w:before="0" w:after="0"/>
              <w:rPr>
                <w:szCs w:val="20"/>
              </w:rPr>
            </w:pPr>
            <w:r w:rsidRPr="005E0DC9">
              <w:rPr>
                <w:szCs w:val="20"/>
              </w:rPr>
              <w:t xml:space="preserve">CLL11 </w:t>
            </w:r>
          </w:p>
          <w:p w:rsidR="00656000" w:rsidRPr="005E0DC9" w:rsidRDefault="00656000" w:rsidP="00656000">
            <w:pPr>
              <w:pStyle w:val="TableText1"/>
              <w:spacing w:before="0" w:after="0"/>
              <w:rPr>
                <w:szCs w:val="20"/>
              </w:rPr>
            </w:pPr>
            <w:proofErr w:type="spellStart"/>
            <w:r w:rsidRPr="005E0DC9">
              <w:rPr>
                <w:szCs w:val="20"/>
              </w:rPr>
              <w:t>ritux+chl</w:t>
            </w:r>
            <w:proofErr w:type="spellEnd"/>
            <w:r w:rsidRPr="005E0DC9">
              <w:rPr>
                <w:szCs w:val="20"/>
              </w:rPr>
              <w:t xml:space="preserve"> vs </w:t>
            </w:r>
            <w:proofErr w:type="spellStart"/>
            <w:r w:rsidRPr="005E0DC9">
              <w:rPr>
                <w:szCs w:val="20"/>
              </w:rPr>
              <w:t>chl</w:t>
            </w:r>
            <w:proofErr w:type="spellEnd"/>
          </w:p>
        </w:tc>
        <w:tc>
          <w:tcPr>
            <w:tcW w:w="1843" w:type="dxa"/>
            <w:tcBorders>
              <w:top w:val="single" w:sz="4" w:space="0" w:color="auto"/>
            </w:tcBorders>
            <w:shd w:val="clear" w:color="auto" w:fill="auto"/>
            <w:vAlign w:val="center"/>
          </w:tcPr>
          <w:p w:rsidR="00656000" w:rsidRPr="005E0DC9" w:rsidRDefault="00656000" w:rsidP="00656000">
            <w:pPr>
              <w:pStyle w:val="TableText1"/>
              <w:spacing w:before="0" w:after="0"/>
              <w:rPr>
                <w:rFonts w:eastAsia="Times New Roman" w:cs="Times New Roman"/>
                <w:szCs w:val="20"/>
              </w:rPr>
            </w:pPr>
            <w:r w:rsidRPr="005E0DC9">
              <w:rPr>
                <w:szCs w:val="20"/>
              </w:rPr>
              <w:t>Dead</w:t>
            </w:r>
          </w:p>
        </w:tc>
        <w:tc>
          <w:tcPr>
            <w:tcW w:w="1387" w:type="dxa"/>
            <w:tcBorders>
              <w:top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tcBorders>
              <w:top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tcBorders>
              <w:top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tcBorders>
              <w:top w:val="single" w:sz="4" w:space="0" w:color="auto"/>
            </w:tcBorders>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w:t>
            </w:r>
          </w:p>
        </w:tc>
      </w:tr>
      <w:tr w:rsidR="00656000" w:rsidRPr="005E0DC9" w:rsidTr="00656000">
        <w:tc>
          <w:tcPr>
            <w:tcW w:w="1526" w:type="dxa"/>
            <w:vMerge/>
            <w:vAlign w:val="center"/>
          </w:tcPr>
          <w:p w:rsidR="00656000" w:rsidRPr="005E0DC9" w:rsidRDefault="00656000" w:rsidP="00656000">
            <w:pPr>
              <w:pStyle w:val="TableText1"/>
              <w:spacing w:before="0" w:after="0"/>
              <w:rPr>
                <w:szCs w:val="20"/>
              </w:rPr>
            </w:pPr>
          </w:p>
        </w:tc>
        <w:tc>
          <w:tcPr>
            <w:tcW w:w="1843" w:type="dxa"/>
            <w:shd w:val="clear" w:color="auto" w:fill="auto"/>
            <w:vAlign w:val="center"/>
          </w:tcPr>
          <w:p w:rsidR="00656000" w:rsidRPr="005E0DC9" w:rsidRDefault="00656000" w:rsidP="00656000">
            <w:pPr>
              <w:pStyle w:val="TableText1"/>
              <w:spacing w:before="0" w:after="0"/>
              <w:rPr>
                <w:rFonts w:eastAsia="Times New Roman" w:cs="Times New Roman"/>
                <w:szCs w:val="20"/>
              </w:rPr>
            </w:pPr>
            <w:r w:rsidRPr="005E0DC9">
              <w:rPr>
                <w:szCs w:val="20"/>
              </w:rPr>
              <w:t>Median months OS</w:t>
            </w:r>
          </w:p>
        </w:tc>
        <w:tc>
          <w:tcPr>
            <w:tcW w:w="1387"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iCs/>
                <w:szCs w:val="20"/>
              </w:rPr>
              <w:t>NR</w:t>
            </w:r>
          </w:p>
        </w:tc>
        <w:tc>
          <w:tcPr>
            <w:tcW w:w="1589"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iCs/>
                <w:szCs w:val="20"/>
              </w:rPr>
              <w:t>NR</w:t>
            </w:r>
          </w:p>
        </w:tc>
        <w:tc>
          <w:tcPr>
            <w:tcW w:w="1134"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0.66 (0.41, 1.06)</w:t>
            </w:r>
          </w:p>
        </w:tc>
      </w:tr>
      <w:tr w:rsidR="00656000" w:rsidRPr="005E0DC9" w:rsidTr="00656000">
        <w:tc>
          <w:tcPr>
            <w:tcW w:w="7479" w:type="dxa"/>
            <w:gridSpan w:val="5"/>
            <w:vAlign w:val="center"/>
          </w:tcPr>
          <w:p w:rsidR="00656000" w:rsidRPr="005E0DC9" w:rsidRDefault="00656000" w:rsidP="00656000">
            <w:pPr>
              <w:pStyle w:val="TableText1"/>
              <w:spacing w:before="0" w:after="0"/>
              <w:jc w:val="right"/>
              <w:rPr>
                <w:rFonts w:eastAsia="Times New Roman" w:cs="Times New Roman"/>
                <w:b/>
                <w:szCs w:val="20"/>
              </w:rPr>
            </w:pPr>
            <w:r w:rsidRPr="005E0DC9">
              <w:rPr>
                <w:b/>
                <w:szCs w:val="20"/>
              </w:rPr>
              <w:t xml:space="preserve">Indirect comparison </w:t>
            </w:r>
            <w:proofErr w:type="spellStart"/>
            <w:r w:rsidRPr="005E0DC9">
              <w:rPr>
                <w:b/>
                <w:szCs w:val="20"/>
              </w:rPr>
              <w:t>ibr</w:t>
            </w:r>
            <w:proofErr w:type="spellEnd"/>
            <w:r w:rsidRPr="005E0DC9">
              <w:rPr>
                <w:b/>
                <w:szCs w:val="20"/>
              </w:rPr>
              <w:t xml:space="preserve"> vs. </w:t>
            </w:r>
            <w:proofErr w:type="spellStart"/>
            <w:r w:rsidRPr="005E0DC9">
              <w:rPr>
                <w:b/>
                <w:szCs w:val="20"/>
              </w:rPr>
              <w:t>ritux+chl</w:t>
            </w:r>
            <w:proofErr w:type="spellEnd"/>
          </w:p>
        </w:tc>
        <w:tc>
          <w:tcPr>
            <w:tcW w:w="1545" w:type="dxa"/>
            <w:shd w:val="clear" w:color="auto" w:fill="auto"/>
            <w:vAlign w:val="center"/>
          </w:tcPr>
          <w:p w:rsidR="00656000" w:rsidRPr="00773C23" w:rsidRDefault="00773C23" w:rsidP="00656000">
            <w:pPr>
              <w:pStyle w:val="TableText1"/>
              <w:spacing w:before="0" w:after="0"/>
              <w:jc w:val="center"/>
              <w:rPr>
                <w:rFonts w:eastAsia="Times New Roman" w:cs="Times New Roman"/>
                <w:b/>
                <w:szCs w:val="20"/>
                <w:highlight w:val="black"/>
              </w:rPr>
            </w:pPr>
            <w:r>
              <w:rPr>
                <w:rFonts w:eastAsia="Times New Roman" w:cs="Times New Roman"/>
                <w:b/>
                <w:noProof/>
                <w:color w:val="000000"/>
                <w:szCs w:val="20"/>
                <w:highlight w:val="black"/>
              </w:rPr>
              <w:t>'''''''' '''''''''' ''''''''''</w:t>
            </w:r>
          </w:p>
        </w:tc>
      </w:tr>
      <w:tr w:rsidR="00656000" w:rsidRPr="005E0DC9" w:rsidTr="00656000">
        <w:tc>
          <w:tcPr>
            <w:tcW w:w="1526" w:type="dxa"/>
            <w:vMerge w:val="restart"/>
            <w:vAlign w:val="center"/>
          </w:tcPr>
          <w:p w:rsidR="00656000" w:rsidRPr="005E0DC9" w:rsidRDefault="00656000" w:rsidP="00656000">
            <w:pPr>
              <w:pStyle w:val="TableText1"/>
              <w:spacing w:before="0" w:after="0"/>
              <w:rPr>
                <w:szCs w:val="20"/>
              </w:rPr>
            </w:pPr>
            <w:r w:rsidRPr="005E0DC9">
              <w:rPr>
                <w:szCs w:val="20"/>
              </w:rPr>
              <w:t xml:space="preserve">CLL11 </w:t>
            </w:r>
          </w:p>
          <w:p w:rsidR="00656000" w:rsidRPr="005E0DC9" w:rsidRDefault="00656000" w:rsidP="00656000">
            <w:pPr>
              <w:pStyle w:val="TableText1"/>
              <w:spacing w:before="0" w:after="0"/>
              <w:rPr>
                <w:szCs w:val="20"/>
              </w:rPr>
            </w:pPr>
            <w:proofErr w:type="spellStart"/>
            <w:r w:rsidRPr="005E0DC9">
              <w:rPr>
                <w:szCs w:val="20"/>
              </w:rPr>
              <w:t>obi+chl</w:t>
            </w:r>
            <w:proofErr w:type="spellEnd"/>
            <w:r w:rsidRPr="005E0DC9">
              <w:rPr>
                <w:szCs w:val="20"/>
              </w:rPr>
              <w:t xml:space="preserve"> vs. </w:t>
            </w:r>
            <w:proofErr w:type="spellStart"/>
            <w:r w:rsidRPr="005E0DC9">
              <w:rPr>
                <w:szCs w:val="20"/>
              </w:rPr>
              <w:t>chl</w:t>
            </w:r>
            <w:proofErr w:type="spellEnd"/>
          </w:p>
        </w:tc>
        <w:tc>
          <w:tcPr>
            <w:tcW w:w="1843" w:type="dxa"/>
            <w:shd w:val="clear" w:color="auto" w:fill="auto"/>
            <w:vAlign w:val="center"/>
          </w:tcPr>
          <w:p w:rsidR="00656000" w:rsidRPr="005E0DC9" w:rsidRDefault="00656000" w:rsidP="00656000">
            <w:pPr>
              <w:pStyle w:val="TableText1"/>
              <w:spacing w:before="0" w:after="0"/>
              <w:rPr>
                <w:rFonts w:eastAsia="Times New Roman" w:cs="Times New Roman"/>
                <w:szCs w:val="20"/>
              </w:rPr>
            </w:pPr>
            <w:r w:rsidRPr="005E0DC9">
              <w:rPr>
                <w:szCs w:val="20"/>
              </w:rPr>
              <w:t>Dead</w:t>
            </w:r>
          </w:p>
        </w:tc>
        <w:tc>
          <w:tcPr>
            <w:tcW w:w="1387"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p>
        </w:tc>
      </w:tr>
      <w:tr w:rsidR="00656000" w:rsidRPr="005E0DC9" w:rsidTr="00656000">
        <w:tc>
          <w:tcPr>
            <w:tcW w:w="1526" w:type="dxa"/>
            <w:vMerge/>
            <w:vAlign w:val="center"/>
          </w:tcPr>
          <w:p w:rsidR="00656000" w:rsidRPr="005E0DC9" w:rsidRDefault="00656000" w:rsidP="00656000">
            <w:pPr>
              <w:pStyle w:val="TableText1"/>
              <w:spacing w:before="0" w:after="0"/>
              <w:rPr>
                <w:szCs w:val="20"/>
              </w:rPr>
            </w:pPr>
          </w:p>
        </w:tc>
        <w:tc>
          <w:tcPr>
            <w:tcW w:w="1843" w:type="dxa"/>
            <w:shd w:val="clear" w:color="auto" w:fill="auto"/>
            <w:vAlign w:val="center"/>
          </w:tcPr>
          <w:p w:rsidR="00656000" w:rsidRPr="005E0DC9" w:rsidRDefault="00656000" w:rsidP="00656000">
            <w:pPr>
              <w:pStyle w:val="TableText1"/>
              <w:spacing w:before="0" w:after="0"/>
              <w:rPr>
                <w:rFonts w:eastAsia="Times New Roman" w:cs="Times New Roman"/>
                <w:szCs w:val="20"/>
              </w:rPr>
            </w:pPr>
            <w:r w:rsidRPr="005E0DC9">
              <w:rPr>
                <w:szCs w:val="20"/>
              </w:rPr>
              <w:t>Median months OS</w:t>
            </w:r>
          </w:p>
        </w:tc>
        <w:tc>
          <w:tcPr>
            <w:tcW w:w="1387"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iCs/>
                <w:szCs w:val="20"/>
              </w:rPr>
              <w:t>NR</w:t>
            </w:r>
          </w:p>
        </w:tc>
        <w:tc>
          <w:tcPr>
            <w:tcW w:w="1589"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iCs/>
                <w:szCs w:val="20"/>
              </w:rPr>
              <w:t>NR</w:t>
            </w:r>
          </w:p>
        </w:tc>
        <w:tc>
          <w:tcPr>
            <w:tcW w:w="1134"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shd w:val="clear" w:color="auto" w:fill="auto"/>
            <w:vAlign w:val="center"/>
          </w:tcPr>
          <w:p w:rsidR="00656000" w:rsidRPr="005E0DC9" w:rsidRDefault="00656000" w:rsidP="00656000">
            <w:pPr>
              <w:pStyle w:val="TableText1"/>
              <w:spacing w:before="0" w:after="0"/>
              <w:jc w:val="center"/>
              <w:rPr>
                <w:rFonts w:eastAsia="Times New Roman" w:cs="Times New Roman"/>
                <w:b/>
                <w:szCs w:val="20"/>
              </w:rPr>
            </w:pPr>
            <w:r w:rsidRPr="005E0DC9">
              <w:rPr>
                <w:rFonts w:eastAsia="Times New Roman" w:cs="Times New Roman"/>
                <w:b/>
                <w:szCs w:val="20"/>
              </w:rPr>
              <w:t>0.41 (0.23, 0.74)</w:t>
            </w:r>
          </w:p>
        </w:tc>
      </w:tr>
      <w:tr w:rsidR="00656000" w:rsidRPr="005E0DC9" w:rsidTr="00656000">
        <w:tc>
          <w:tcPr>
            <w:tcW w:w="7479" w:type="dxa"/>
            <w:gridSpan w:val="5"/>
            <w:vAlign w:val="center"/>
          </w:tcPr>
          <w:p w:rsidR="00656000" w:rsidRPr="005E0DC9" w:rsidRDefault="00656000" w:rsidP="00656000">
            <w:pPr>
              <w:pStyle w:val="TableText1"/>
              <w:spacing w:before="0" w:after="0"/>
              <w:jc w:val="right"/>
              <w:rPr>
                <w:rFonts w:eastAsia="Times New Roman" w:cs="Times New Roman"/>
                <w:b/>
                <w:szCs w:val="20"/>
              </w:rPr>
            </w:pPr>
            <w:r w:rsidRPr="005E0DC9">
              <w:rPr>
                <w:b/>
                <w:szCs w:val="20"/>
              </w:rPr>
              <w:t xml:space="preserve">Indirect comparison </w:t>
            </w:r>
            <w:proofErr w:type="spellStart"/>
            <w:r w:rsidRPr="005E0DC9">
              <w:rPr>
                <w:b/>
                <w:szCs w:val="20"/>
              </w:rPr>
              <w:t>ibr</w:t>
            </w:r>
            <w:proofErr w:type="spellEnd"/>
            <w:r w:rsidRPr="005E0DC9">
              <w:rPr>
                <w:b/>
                <w:szCs w:val="20"/>
              </w:rPr>
              <w:t xml:space="preserve"> vs. </w:t>
            </w:r>
            <w:proofErr w:type="spellStart"/>
            <w:r w:rsidRPr="005E0DC9">
              <w:rPr>
                <w:b/>
                <w:szCs w:val="20"/>
              </w:rPr>
              <w:t>obi+chl</w:t>
            </w:r>
            <w:proofErr w:type="spellEnd"/>
          </w:p>
        </w:tc>
        <w:tc>
          <w:tcPr>
            <w:tcW w:w="1545" w:type="dxa"/>
            <w:shd w:val="clear" w:color="auto" w:fill="auto"/>
            <w:vAlign w:val="center"/>
          </w:tcPr>
          <w:p w:rsidR="00656000" w:rsidRPr="00773C23" w:rsidRDefault="00773C23" w:rsidP="00656000">
            <w:pPr>
              <w:pStyle w:val="TableText1"/>
              <w:spacing w:before="0" w:after="0"/>
              <w:jc w:val="center"/>
              <w:rPr>
                <w:rFonts w:eastAsia="Times New Roman" w:cs="Times New Roman"/>
                <w:szCs w:val="20"/>
                <w:highlight w:val="black"/>
              </w:rPr>
            </w:pPr>
            <w:r>
              <w:rPr>
                <w:rFonts w:eastAsia="Times New Roman" w:cs="Times New Roman"/>
                <w:noProof/>
                <w:color w:val="000000"/>
                <w:szCs w:val="20"/>
                <w:highlight w:val="black"/>
              </w:rPr>
              <w:t>'''''''''' ''''''''''''''' '''''''''''</w:t>
            </w:r>
          </w:p>
        </w:tc>
      </w:tr>
      <w:tr w:rsidR="00656000" w:rsidRPr="005E0DC9" w:rsidTr="00656000">
        <w:tc>
          <w:tcPr>
            <w:tcW w:w="1526" w:type="dxa"/>
            <w:vMerge w:val="restart"/>
            <w:vAlign w:val="center"/>
          </w:tcPr>
          <w:p w:rsidR="00656000" w:rsidRPr="005E0DC9" w:rsidRDefault="00656000" w:rsidP="00656000">
            <w:pPr>
              <w:pStyle w:val="TableText1"/>
              <w:spacing w:before="0" w:after="0"/>
              <w:rPr>
                <w:szCs w:val="20"/>
              </w:rPr>
            </w:pPr>
            <w:r w:rsidRPr="005E0DC9">
              <w:rPr>
                <w:szCs w:val="20"/>
              </w:rPr>
              <w:t xml:space="preserve">COMPLEMENT-1 </w:t>
            </w:r>
            <w:proofErr w:type="spellStart"/>
            <w:r w:rsidRPr="005E0DC9">
              <w:rPr>
                <w:szCs w:val="20"/>
              </w:rPr>
              <w:t>ofa+chl</w:t>
            </w:r>
            <w:proofErr w:type="spellEnd"/>
            <w:r w:rsidRPr="005E0DC9">
              <w:rPr>
                <w:szCs w:val="20"/>
              </w:rPr>
              <w:t xml:space="preserve"> vs. </w:t>
            </w:r>
            <w:proofErr w:type="spellStart"/>
            <w:r w:rsidRPr="005E0DC9">
              <w:rPr>
                <w:szCs w:val="20"/>
              </w:rPr>
              <w:t>chl</w:t>
            </w:r>
            <w:proofErr w:type="spellEnd"/>
          </w:p>
        </w:tc>
        <w:tc>
          <w:tcPr>
            <w:tcW w:w="1843" w:type="dxa"/>
            <w:shd w:val="clear" w:color="auto" w:fill="auto"/>
            <w:vAlign w:val="center"/>
          </w:tcPr>
          <w:p w:rsidR="00656000" w:rsidRPr="005E0DC9" w:rsidRDefault="00656000" w:rsidP="00656000">
            <w:pPr>
              <w:pStyle w:val="TableText1"/>
              <w:spacing w:before="0" w:after="0"/>
              <w:rPr>
                <w:rFonts w:eastAsia="Times New Roman" w:cs="Times New Roman"/>
                <w:szCs w:val="20"/>
              </w:rPr>
            </w:pPr>
            <w:r w:rsidRPr="005E0DC9">
              <w:rPr>
                <w:szCs w:val="20"/>
              </w:rPr>
              <w:t>Dead</w:t>
            </w:r>
          </w:p>
        </w:tc>
        <w:tc>
          <w:tcPr>
            <w:tcW w:w="1387"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589"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NA</w:t>
            </w:r>
          </w:p>
        </w:tc>
        <w:tc>
          <w:tcPr>
            <w:tcW w:w="1134"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w:t>
            </w:r>
          </w:p>
        </w:tc>
      </w:tr>
      <w:tr w:rsidR="00656000" w:rsidRPr="005E0DC9" w:rsidTr="00656000">
        <w:tc>
          <w:tcPr>
            <w:tcW w:w="1526" w:type="dxa"/>
            <w:vMerge/>
            <w:vAlign w:val="center"/>
          </w:tcPr>
          <w:p w:rsidR="00656000" w:rsidRPr="005E0DC9" w:rsidRDefault="00656000" w:rsidP="00656000">
            <w:pPr>
              <w:pStyle w:val="TableText1"/>
              <w:spacing w:before="0" w:after="0"/>
              <w:rPr>
                <w:szCs w:val="20"/>
              </w:rPr>
            </w:pPr>
          </w:p>
        </w:tc>
        <w:tc>
          <w:tcPr>
            <w:tcW w:w="1843" w:type="dxa"/>
            <w:shd w:val="clear" w:color="auto" w:fill="auto"/>
            <w:vAlign w:val="center"/>
          </w:tcPr>
          <w:p w:rsidR="00656000" w:rsidRPr="005E0DC9" w:rsidRDefault="00656000" w:rsidP="00656000">
            <w:pPr>
              <w:pStyle w:val="TableText1"/>
              <w:spacing w:before="0" w:after="0"/>
              <w:rPr>
                <w:rFonts w:eastAsia="Times New Roman" w:cs="Times New Roman"/>
                <w:szCs w:val="20"/>
              </w:rPr>
            </w:pPr>
            <w:r w:rsidRPr="005E0DC9">
              <w:rPr>
                <w:szCs w:val="20"/>
              </w:rPr>
              <w:t>Median months OS</w:t>
            </w:r>
          </w:p>
        </w:tc>
        <w:tc>
          <w:tcPr>
            <w:tcW w:w="1387"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iCs/>
                <w:szCs w:val="20"/>
              </w:rPr>
              <w:t>NR</w:t>
            </w:r>
          </w:p>
        </w:tc>
        <w:tc>
          <w:tcPr>
            <w:tcW w:w="1589"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iCs/>
                <w:szCs w:val="20"/>
              </w:rPr>
              <w:t>NR</w:t>
            </w:r>
          </w:p>
        </w:tc>
        <w:tc>
          <w:tcPr>
            <w:tcW w:w="1134"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w:t>
            </w:r>
          </w:p>
        </w:tc>
        <w:tc>
          <w:tcPr>
            <w:tcW w:w="1545" w:type="dxa"/>
            <w:shd w:val="clear" w:color="auto" w:fill="auto"/>
            <w:vAlign w:val="center"/>
          </w:tcPr>
          <w:p w:rsidR="00656000" w:rsidRPr="005E0DC9" w:rsidRDefault="00656000" w:rsidP="00656000">
            <w:pPr>
              <w:pStyle w:val="TableText1"/>
              <w:spacing w:before="0" w:after="0"/>
              <w:jc w:val="center"/>
              <w:rPr>
                <w:rFonts w:eastAsia="Times New Roman" w:cs="Times New Roman"/>
                <w:szCs w:val="20"/>
              </w:rPr>
            </w:pPr>
            <w:r w:rsidRPr="005E0DC9">
              <w:rPr>
                <w:rFonts w:eastAsia="Times New Roman" w:cs="Times New Roman"/>
                <w:szCs w:val="20"/>
              </w:rPr>
              <w:t>0.91 (0.57, 1.43)</w:t>
            </w:r>
          </w:p>
        </w:tc>
      </w:tr>
      <w:tr w:rsidR="00656000" w:rsidRPr="005E0DC9" w:rsidTr="00656000">
        <w:tc>
          <w:tcPr>
            <w:tcW w:w="7479" w:type="dxa"/>
            <w:gridSpan w:val="5"/>
            <w:vAlign w:val="center"/>
          </w:tcPr>
          <w:p w:rsidR="00656000" w:rsidRPr="005E0DC9" w:rsidRDefault="00656000" w:rsidP="00656000">
            <w:pPr>
              <w:pStyle w:val="TableText1"/>
              <w:spacing w:before="0" w:after="0"/>
              <w:jc w:val="right"/>
              <w:rPr>
                <w:rFonts w:eastAsia="Times New Roman" w:cs="Times New Roman"/>
                <w:b/>
                <w:szCs w:val="20"/>
              </w:rPr>
            </w:pPr>
            <w:r w:rsidRPr="005E0DC9">
              <w:rPr>
                <w:b/>
                <w:szCs w:val="20"/>
              </w:rPr>
              <w:t xml:space="preserve">Indirect comparison </w:t>
            </w:r>
            <w:proofErr w:type="spellStart"/>
            <w:r w:rsidRPr="005E0DC9">
              <w:rPr>
                <w:b/>
                <w:szCs w:val="20"/>
              </w:rPr>
              <w:t>ibr</w:t>
            </w:r>
            <w:proofErr w:type="spellEnd"/>
            <w:r w:rsidRPr="005E0DC9">
              <w:rPr>
                <w:b/>
                <w:szCs w:val="20"/>
              </w:rPr>
              <w:t xml:space="preserve"> vs. </w:t>
            </w:r>
            <w:proofErr w:type="spellStart"/>
            <w:r w:rsidRPr="005E0DC9">
              <w:rPr>
                <w:b/>
                <w:szCs w:val="20"/>
              </w:rPr>
              <w:t>ofa+chl</w:t>
            </w:r>
            <w:proofErr w:type="spellEnd"/>
          </w:p>
        </w:tc>
        <w:tc>
          <w:tcPr>
            <w:tcW w:w="1545" w:type="dxa"/>
            <w:shd w:val="clear" w:color="auto" w:fill="auto"/>
            <w:vAlign w:val="center"/>
          </w:tcPr>
          <w:p w:rsidR="00656000" w:rsidRPr="00773C23" w:rsidRDefault="00773C23" w:rsidP="00656000">
            <w:pPr>
              <w:pStyle w:val="TableText1"/>
              <w:spacing w:before="0" w:after="0"/>
              <w:jc w:val="center"/>
              <w:rPr>
                <w:rFonts w:eastAsia="Times New Roman" w:cs="Times New Roman"/>
                <w:b/>
                <w:szCs w:val="20"/>
                <w:highlight w:val="black"/>
              </w:rPr>
            </w:pPr>
            <w:r>
              <w:rPr>
                <w:rFonts w:eastAsia="Times New Roman" w:cs="Times New Roman"/>
                <w:b/>
                <w:noProof/>
                <w:color w:val="000000"/>
                <w:szCs w:val="20"/>
                <w:highlight w:val="black"/>
              </w:rPr>
              <w:t>'''''''' '''''''''''' ''''''''''</w:t>
            </w:r>
          </w:p>
        </w:tc>
      </w:tr>
    </w:tbl>
    <w:p w:rsidR="00656000" w:rsidRPr="005E0DC9" w:rsidRDefault="00656000" w:rsidP="00656000">
      <w:pPr>
        <w:pStyle w:val="TableFooter"/>
      </w:pPr>
      <w:r w:rsidRPr="005E0DC9">
        <w:t xml:space="preserve">Source: Table Bi.28, p88 of Section Bi of the submission; Table Bii.29, p58; Table Bii.30, p58 of Section </w:t>
      </w:r>
      <w:proofErr w:type="spellStart"/>
      <w:r w:rsidRPr="005E0DC9">
        <w:t>Bii</w:t>
      </w:r>
      <w:proofErr w:type="spellEnd"/>
      <w:r w:rsidRPr="005E0DC9">
        <w:t xml:space="preserve"> of the submission.</w:t>
      </w:r>
    </w:p>
    <w:p w:rsidR="00656000" w:rsidRPr="005E0DC9" w:rsidRDefault="00656000" w:rsidP="00656000">
      <w:pPr>
        <w:pStyle w:val="TableFooter"/>
      </w:pPr>
      <w:proofErr w:type="spellStart"/>
      <w:proofErr w:type="gramStart"/>
      <w:r w:rsidRPr="005E0DC9">
        <w:t>chl</w:t>
      </w:r>
      <w:proofErr w:type="spellEnd"/>
      <w:r w:rsidRPr="005E0DC9">
        <w:t>=</w:t>
      </w:r>
      <w:proofErr w:type="spellStart"/>
      <w:proofErr w:type="gramEnd"/>
      <w:r w:rsidRPr="005E0DC9">
        <w:t>chlorambucil</w:t>
      </w:r>
      <w:proofErr w:type="spellEnd"/>
      <w:r w:rsidRPr="005E0DC9">
        <w:t xml:space="preserve">; HR=hazard ratio; </w:t>
      </w:r>
      <w:proofErr w:type="spellStart"/>
      <w:r w:rsidRPr="005E0DC9">
        <w:t>ibr+chl</w:t>
      </w:r>
      <w:proofErr w:type="spellEnd"/>
      <w:r w:rsidRPr="005E0DC9">
        <w:t>=</w:t>
      </w:r>
      <w:proofErr w:type="spellStart"/>
      <w:r w:rsidRPr="005E0DC9">
        <w:t>ibrutinib</w:t>
      </w:r>
      <w:proofErr w:type="spellEnd"/>
      <w:r w:rsidRPr="005E0DC9">
        <w:t xml:space="preserve">+ </w:t>
      </w:r>
      <w:proofErr w:type="spellStart"/>
      <w:r w:rsidRPr="005E0DC9">
        <w:t>chlorambucil</w:t>
      </w:r>
      <w:proofErr w:type="spellEnd"/>
      <w:r w:rsidRPr="005E0DC9">
        <w:t xml:space="preserve">; IRC=Independent Review Committee; NR=not reached; </w:t>
      </w:r>
      <w:proofErr w:type="spellStart"/>
      <w:r w:rsidRPr="005E0DC9">
        <w:t>obi+chl</w:t>
      </w:r>
      <w:proofErr w:type="spellEnd"/>
      <w:r w:rsidRPr="005E0DC9">
        <w:t>=</w:t>
      </w:r>
      <w:proofErr w:type="spellStart"/>
      <w:r w:rsidRPr="005E0DC9">
        <w:t>obinutuzumab+chlorambucil</w:t>
      </w:r>
      <w:proofErr w:type="spellEnd"/>
      <w:r w:rsidRPr="005E0DC9">
        <w:t xml:space="preserve">; </w:t>
      </w:r>
      <w:proofErr w:type="spellStart"/>
      <w:r w:rsidRPr="005E0DC9">
        <w:t>ofa+chl</w:t>
      </w:r>
      <w:proofErr w:type="spellEnd"/>
      <w:r w:rsidRPr="005E0DC9">
        <w:t>=</w:t>
      </w:r>
      <w:proofErr w:type="spellStart"/>
      <w:r w:rsidRPr="005E0DC9">
        <w:t>ofatumumab+chlorambucil</w:t>
      </w:r>
      <w:proofErr w:type="spellEnd"/>
      <w:r w:rsidRPr="005E0DC9">
        <w:t xml:space="preserve">; OS=overall survival; </w:t>
      </w:r>
      <w:proofErr w:type="spellStart"/>
      <w:r w:rsidRPr="005E0DC9">
        <w:t>ritux+chl</w:t>
      </w:r>
      <w:proofErr w:type="spellEnd"/>
      <w:r w:rsidRPr="005E0DC9">
        <w:t>=</w:t>
      </w:r>
      <w:proofErr w:type="spellStart"/>
      <w:r w:rsidRPr="005E0DC9">
        <w:t>rituximab+chlorambucil</w:t>
      </w:r>
      <w:proofErr w:type="spellEnd"/>
      <w:r w:rsidRPr="005E0DC9">
        <w:t xml:space="preserve">; </w:t>
      </w:r>
      <w:r w:rsidRPr="005E0DC9">
        <w:rPr>
          <w:b/>
        </w:rPr>
        <w:t>bold</w:t>
      </w:r>
      <w:r w:rsidRPr="005E0DC9">
        <w:t>=statistically significant.</w:t>
      </w:r>
    </w:p>
    <w:p w:rsidR="00656000" w:rsidRPr="005E0DC9" w:rsidRDefault="00656000"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The results of the indirect comparisons for OS</w:t>
      </w:r>
      <w:r w:rsidRPr="005E0DC9">
        <w:rPr>
          <w:rFonts w:ascii="Calibri" w:eastAsia="Calibri" w:hAnsi="Calibri"/>
          <w:snapToGrid/>
          <w:color w:val="4472C4"/>
          <w:sz w:val="24"/>
          <w:szCs w:val="22"/>
        </w:rPr>
        <w:t xml:space="preserve"> </w:t>
      </w:r>
      <w:r w:rsidRPr="005E0DC9">
        <w:rPr>
          <w:rFonts w:ascii="Calibri" w:eastAsia="Calibri" w:hAnsi="Calibri"/>
          <w:snapToGrid/>
          <w:sz w:val="24"/>
          <w:szCs w:val="22"/>
        </w:rPr>
        <w:t xml:space="preserve">followed a similar pattern to the results for PFS, with statistically significant advantages for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compared to </w:t>
      </w:r>
      <w:proofErr w:type="spellStart"/>
      <w:r w:rsidRPr="005E0DC9">
        <w:rPr>
          <w:rFonts w:ascii="Calibri" w:eastAsia="Calibri" w:hAnsi="Calibri"/>
          <w:snapToGrid/>
          <w:sz w:val="24"/>
          <w:szCs w:val="22"/>
        </w:rPr>
        <w:t>ritux+chl</w:t>
      </w:r>
      <w:proofErr w:type="spellEnd"/>
      <w:r w:rsidRPr="005E0DC9">
        <w:rPr>
          <w:rFonts w:ascii="Calibri" w:eastAsia="Calibri" w:hAnsi="Calibri"/>
          <w:snapToGrid/>
          <w:sz w:val="24"/>
          <w:szCs w:val="22"/>
        </w:rPr>
        <w:t xml:space="preserve"> and compared to </w:t>
      </w:r>
      <w:proofErr w:type="spellStart"/>
      <w:r w:rsidRPr="005E0DC9">
        <w:rPr>
          <w:rFonts w:ascii="Calibri" w:eastAsia="Calibri" w:hAnsi="Calibri"/>
          <w:snapToGrid/>
          <w:sz w:val="24"/>
          <w:szCs w:val="22"/>
        </w:rPr>
        <w:t>ofa+chl</w:t>
      </w:r>
      <w:proofErr w:type="spellEnd"/>
      <w:r w:rsidRPr="005E0DC9">
        <w:rPr>
          <w:rFonts w:ascii="Calibri" w:eastAsia="Calibri" w:hAnsi="Calibri"/>
          <w:snapToGrid/>
          <w:sz w:val="24"/>
          <w:szCs w:val="22"/>
        </w:rPr>
        <w:t xml:space="preserve">, but no statistically significant advantage for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compared to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w:t>
      </w:r>
    </w:p>
    <w:p w:rsidR="00656000" w:rsidRPr="005E0DC9" w:rsidRDefault="00656000"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submission provided updated OS results for RESONATE-2, based on the February 2016 data cut </w:t>
      </w:r>
      <w:r w:rsidR="00773C23">
        <w:rPr>
          <w:rFonts w:ascii="Calibri" w:eastAsia="Calibri" w:hAnsi="Calibri"/>
          <w:noProof/>
          <w:snapToGrid/>
          <w:color w:val="000000"/>
          <w:sz w:val="24"/>
          <w:szCs w:val="22"/>
          <w:highlight w:val="black"/>
        </w:rPr>
        <w:t>''''' ''''''''''''</w:t>
      </w:r>
      <w:r w:rsidRPr="005E0DC9">
        <w:rPr>
          <w:rFonts w:ascii="Calibri" w:eastAsia="Calibri" w:hAnsi="Calibri"/>
          <w:snapToGrid/>
          <w:sz w:val="24"/>
          <w:szCs w:val="22"/>
        </w:rPr>
        <w:t xml:space="preserve"> dea</w:t>
      </w:r>
      <w:r w:rsidR="00232CB0" w:rsidRPr="005E0DC9">
        <w:rPr>
          <w:rFonts w:ascii="Calibri" w:eastAsia="Calibri" w:hAnsi="Calibri"/>
          <w:snapToGrid/>
          <w:sz w:val="24"/>
          <w:szCs w:val="22"/>
        </w:rPr>
        <w:t>ths</w:t>
      </w:r>
      <w:r w:rsidRPr="005E0DC9">
        <w:rPr>
          <w:rFonts w:ascii="Calibri" w:eastAsia="Calibri" w:hAnsi="Calibri"/>
          <w:snapToGrid/>
          <w:sz w:val="24"/>
          <w:szCs w:val="22"/>
        </w:rPr>
        <w:t xml:space="preserve"> for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compared to </w:t>
      </w:r>
      <w:r w:rsidR="00773C23">
        <w:rPr>
          <w:rFonts w:ascii="Calibri" w:eastAsia="Calibri" w:hAnsi="Calibri"/>
          <w:noProof/>
          <w:snapToGrid/>
          <w:color w:val="000000"/>
          <w:sz w:val="24"/>
          <w:szCs w:val="22"/>
          <w:highlight w:val="black"/>
        </w:rPr>
        <w:t>''''' ''''''''''''''''</w:t>
      </w:r>
      <w:r w:rsidRPr="005E0DC9">
        <w:rPr>
          <w:rFonts w:ascii="Calibri" w:eastAsia="Calibri" w:hAnsi="Calibri"/>
          <w:snapToGrid/>
          <w:sz w:val="24"/>
          <w:szCs w:val="22"/>
        </w:rPr>
        <w:t xml:space="preserve"> dea</w:t>
      </w:r>
      <w:r w:rsidR="00232CB0" w:rsidRPr="005E0DC9">
        <w:rPr>
          <w:rFonts w:ascii="Calibri" w:eastAsia="Calibri" w:hAnsi="Calibri"/>
          <w:snapToGrid/>
          <w:sz w:val="24"/>
          <w:szCs w:val="22"/>
        </w:rPr>
        <w:t>ths</w:t>
      </w:r>
      <w:r w:rsidRPr="005E0DC9">
        <w:rPr>
          <w:rFonts w:ascii="Calibri" w:eastAsia="Calibri" w:hAnsi="Calibri"/>
          <w:snapToGrid/>
          <w:sz w:val="24"/>
          <w:szCs w:val="22"/>
        </w:rPr>
        <w:t xml:space="preserve"> in the </w:t>
      </w:r>
      <w:proofErr w:type="spellStart"/>
      <w:r w:rsidRPr="005E0DC9">
        <w:rPr>
          <w:rFonts w:ascii="Calibri" w:eastAsia="Calibri" w:hAnsi="Calibri"/>
          <w:snapToGrid/>
          <w:sz w:val="24"/>
          <w:szCs w:val="22"/>
        </w:rPr>
        <w:lastRenderedPageBreak/>
        <w:t>chlorambucil</w:t>
      </w:r>
      <w:proofErr w:type="spellEnd"/>
      <w:r w:rsidRPr="005E0DC9">
        <w:rPr>
          <w:rFonts w:ascii="Calibri" w:eastAsia="Calibri" w:hAnsi="Calibri"/>
          <w:snapToGrid/>
          <w:sz w:val="24"/>
          <w:szCs w:val="22"/>
        </w:rPr>
        <w:t xml:space="preserve"> arm (HR=0.44; 95% CI: 0.21, 0.92)). At this data cut 41% of patients randomised to </w:t>
      </w:r>
      <w:proofErr w:type="spellStart"/>
      <w:r w:rsidRPr="005E0DC9">
        <w:rPr>
          <w:rFonts w:ascii="Calibri" w:eastAsia="Calibri" w:hAnsi="Calibri"/>
          <w:snapToGrid/>
          <w:sz w:val="24"/>
          <w:szCs w:val="22"/>
        </w:rPr>
        <w:t>chlorambucil</w:t>
      </w:r>
      <w:proofErr w:type="spellEnd"/>
      <w:r w:rsidRPr="005E0DC9">
        <w:rPr>
          <w:rFonts w:ascii="Calibri" w:eastAsia="Calibri" w:hAnsi="Calibri"/>
          <w:snapToGrid/>
          <w:sz w:val="24"/>
          <w:szCs w:val="22"/>
        </w:rPr>
        <w:t xml:space="preserve"> had crossed over to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(after progression). </w:t>
      </w:r>
      <w:r w:rsidR="00425040" w:rsidRPr="005E0DC9">
        <w:rPr>
          <w:rFonts w:ascii="Calibri" w:eastAsia="Calibri" w:hAnsi="Calibri"/>
          <w:snapToGrid/>
          <w:sz w:val="24"/>
          <w:szCs w:val="22"/>
        </w:rPr>
        <w:t>The PBAC noted that the updated OS results from February 2016 are less favourable than the May 2015</w:t>
      </w:r>
      <w:r w:rsidR="00C7385F" w:rsidRPr="005E0DC9">
        <w:rPr>
          <w:rFonts w:ascii="Calibri" w:eastAsia="Calibri" w:hAnsi="Calibri"/>
          <w:snapToGrid/>
          <w:sz w:val="24"/>
          <w:szCs w:val="22"/>
        </w:rPr>
        <w:t xml:space="preserve"> d</w:t>
      </w:r>
      <w:r w:rsidR="00425040" w:rsidRPr="005E0DC9">
        <w:rPr>
          <w:rFonts w:ascii="Calibri" w:eastAsia="Calibri" w:hAnsi="Calibri"/>
          <w:snapToGrid/>
          <w:sz w:val="24"/>
          <w:szCs w:val="22"/>
        </w:rPr>
        <w:t>ata cut (H</w:t>
      </w:r>
      <w:r w:rsidR="00C7385F" w:rsidRPr="005E0DC9">
        <w:rPr>
          <w:rFonts w:ascii="Calibri" w:eastAsia="Calibri" w:hAnsi="Calibri"/>
          <w:snapToGrid/>
          <w:sz w:val="24"/>
          <w:szCs w:val="22"/>
        </w:rPr>
        <w:t>R</w:t>
      </w:r>
      <w:r w:rsidR="00425040" w:rsidRPr="005E0DC9">
        <w:rPr>
          <w:rFonts w:ascii="Calibri" w:eastAsia="Calibri" w:hAnsi="Calibri"/>
          <w:snapToGrid/>
          <w:sz w:val="24"/>
          <w:szCs w:val="22"/>
        </w:rPr>
        <w:t xml:space="preserve"> of 0.44 vs 0.16) </w:t>
      </w:r>
      <w:r w:rsidR="00530BD4" w:rsidRPr="005E0DC9">
        <w:rPr>
          <w:rFonts w:ascii="Calibri" w:eastAsia="Calibri" w:hAnsi="Calibri"/>
          <w:snapToGrid/>
          <w:sz w:val="24"/>
          <w:szCs w:val="22"/>
        </w:rPr>
        <w:t xml:space="preserve">(see Figure 4). </w:t>
      </w:r>
      <w:r w:rsidRPr="005E0DC9" w:rsidDel="00827D95">
        <w:rPr>
          <w:rFonts w:ascii="Calibri" w:eastAsia="Calibri" w:hAnsi="Calibri"/>
          <w:snapToGrid/>
          <w:sz w:val="24"/>
          <w:szCs w:val="22"/>
        </w:rPr>
        <w:t xml:space="preserve">The submission also reported updated OS results for CLL11 although only hazard ratios for the comparisons between </w:t>
      </w:r>
      <w:proofErr w:type="spellStart"/>
      <w:r w:rsidRPr="005E0DC9" w:rsidDel="00827D95">
        <w:rPr>
          <w:rFonts w:ascii="Calibri" w:eastAsia="Calibri" w:hAnsi="Calibri"/>
          <w:snapToGrid/>
          <w:sz w:val="24"/>
          <w:szCs w:val="22"/>
        </w:rPr>
        <w:t>ritux+chl</w:t>
      </w:r>
      <w:proofErr w:type="spellEnd"/>
      <w:r w:rsidRPr="005E0DC9" w:rsidDel="00827D95">
        <w:rPr>
          <w:rFonts w:ascii="Calibri" w:eastAsia="Calibri" w:hAnsi="Calibri"/>
          <w:snapToGrid/>
          <w:sz w:val="24"/>
          <w:szCs w:val="22"/>
        </w:rPr>
        <w:t xml:space="preserve"> and </w:t>
      </w:r>
      <w:proofErr w:type="spellStart"/>
      <w:r w:rsidRPr="005E0DC9" w:rsidDel="00827D95">
        <w:rPr>
          <w:rFonts w:ascii="Calibri" w:eastAsia="Calibri" w:hAnsi="Calibri"/>
          <w:snapToGrid/>
          <w:sz w:val="24"/>
          <w:szCs w:val="22"/>
        </w:rPr>
        <w:t>obi+chl</w:t>
      </w:r>
      <w:proofErr w:type="spellEnd"/>
      <w:r w:rsidRPr="005E0DC9" w:rsidDel="00827D95">
        <w:rPr>
          <w:rFonts w:ascii="Calibri" w:eastAsia="Calibri" w:hAnsi="Calibri"/>
          <w:snapToGrid/>
          <w:sz w:val="24"/>
          <w:szCs w:val="22"/>
        </w:rPr>
        <w:t xml:space="preserve"> were </w:t>
      </w:r>
      <w:r w:rsidRPr="005E0DC9">
        <w:rPr>
          <w:rFonts w:ascii="Calibri" w:eastAsia="Calibri" w:hAnsi="Calibri"/>
          <w:snapToGrid/>
          <w:sz w:val="24"/>
          <w:szCs w:val="22"/>
        </w:rPr>
        <w:t>available</w:t>
      </w:r>
      <w:r w:rsidRPr="005E0DC9" w:rsidDel="00827D95">
        <w:rPr>
          <w:rFonts w:ascii="Calibri" w:eastAsia="Calibri" w:hAnsi="Calibri"/>
          <w:snapToGrid/>
          <w:sz w:val="24"/>
          <w:szCs w:val="22"/>
        </w:rPr>
        <w:t>.  The submission did not provide statistical comparisons of these updated OS results.</w:t>
      </w:r>
      <w:r w:rsidR="00B25B98" w:rsidRPr="005E0DC9">
        <w:rPr>
          <w:rFonts w:ascii="Calibri" w:eastAsia="Calibri" w:hAnsi="Calibri"/>
          <w:snapToGrid/>
          <w:sz w:val="24"/>
          <w:szCs w:val="22"/>
        </w:rPr>
        <w:t xml:space="preserve"> </w:t>
      </w:r>
    </w:p>
    <w:p w:rsidR="00530BD4" w:rsidRPr="005E0DC9" w:rsidRDefault="00530BD4" w:rsidP="00530BD4">
      <w:pPr>
        <w:keepNext/>
        <w:rPr>
          <w:rFonts w:ascii="Arial Narrow" w:hAnsi="Arial Narrow"/>
          <w:b/>
          <w:sz w:val="20"/>
        </w:rPr>
      </w:pPr>
      <w:r w:rsidRPr="005E0DC9">
        <w:rPr>
          <w:rFonts w:ascii="Arial Narrow" w:hAnsi="Arial Narrow"/>
          <w:b/>
          <w:sz w:val="20"/>
        </w:rPr>
        <w:t>Figure 4: Overall Survival (ITT population) February 2016 data cut</w:t>
      </w:r>
    </w:p>
    <w:p w:rsidR="00C7385F" w:rsidRPr="005E0DC9" w:rsidRDefault="00773C23" w:rsidP="00530BD4">
      <w:pPr>
        <w:widowControl/>
        <w:spacing w:before="120" w:after="120"/>
        <w:ind w:left="709"/>
        <w:rPr>
          <w:rFonts w:ascii="Calibri" w:eastAsia="Calibri" w:hAnsi="Calibri"/>
          <w:snapToGrid/>
          <w:sz w:val="24"/>
          <w:szCs w:val="22"/>
        </w:rPr>
      </w:pPr>
      <w:r>
        <w:rPr>
          <w:rFonts w:ascii="Calibri" w:eastAsia="Calibri" w:hAnsi="Calibri"/>
          <w:noProof/>
          <w:snapToGrid/>
          <w:sz w:val="24"/>
          <w:szCs w:val="22"/>
          <w:lang w:eastAsia="en-AU"/>
        </w:rPr>
        <w:drawing>
          <wp:inline distT="0" distB="0" distL="0" distR="0">
            <wp:extent cx="3587115" cy="226758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87115" cy="2267585"/>
                    </a:xfrm>
                    <a:prstGeom prst="rect">
                      <a:avLst/>
                    </a:prstGeom>
                  </pic:spPr>
                </pic:pic>
              </a:graphicData>
            </a:graphic>
          </wp:inline>
        </w:drawing>
      </w:r>
    </w:p>
    <w:p w:rsidR="00530BD4" w:rsidRPr="00773C23" w:rsidRDefault="00773C23" w:rsidP="00530BD4">
      <w:pPr>
        <w:pStyle w:val="TableFooter"/>
        <w:rPr>
          <w:highlight w:val="black"/>
        </w:rPr>
      </w:pPr>
      <w:r>
        <w:rPr>
          <w:noProof/>
          <w:color w:val="000000"/>
          <w:highlight w:val="black"/>
        </w:rPr>
        <w:t>'''''''''''''''''''' '''''''''''''''''''''''''''' '''''''''''''''''' '''''''''''''''''' '''''''''''''''''' ''''''''''''''''' ''''''''''''''' ''''' ''''''''''' ''''''''''''''''''''''''' '''</w:t>
      </w:r>
    </w:p>
    <w:p w:rsidR="00740A17" w:rsidRPr="005E0DC9" w:rsidRDefault="00740A17" w:rsidP="00740A17">
      <w:pPr>
        <w:widowControl/>
        <w:spacing w:before="120" w:after="120"/>
        <w:ind w:left="709"/>
        <w:rPr>
          <w:rFonts w:ascii="Calibri" w:eastAsia="Calibri" w:hAnsi="Calibri"/>
          <w:snapToGrid/>
          <w:sz w:val="24"/>
          <w:szCs w:val="24"/>
        </w:rPr>
      </w:pPr>
      <w:r w:rsidRPr="005E0DC9">
        <w:rPr>
          <w:rFonts w:asciiTheme="minorHAnsi" w:hAnsiTheme="minorHAnsi"/>
          <w:i/>
          <w:sz w:val="24"/>
          <w:szCs w:val="24"/>
        </w:rPr>
        <w:t>For more detail on PBAC’s view, see section 7 PBAC outcome.</w:t>
      </w:r>
    </w:p>
    <w:p w:rsidR="00656000" w:rsidRPr="005E0DC9" w:rsidRDefault="00656000" w:rsidP="00656000">
      <w:pPr>
        <w:keepNext/>
        <w:keepLines/>
        <w:widowControl/>
        <w:spacing w:before="240" w:after="120"/>
        <w:jc w:val="left"/>
        <w:outlineLvl w:val="1"/>
        <w:rPr>
          <w:rFonts w:ascii="Calibri" w:eastAsia="MS Gothic" w:hAnsi="Calibri" w:cs="Times New Roman"/>
          <w:b/>
          <w:i/>
          <w:snapToGrid/>
          <w:sz w:val="28"/>
          <w:szCs w:val="28"/>
        </w:rPr>
      </w:pPr>
      <w:bookmarkStart w:id="28" w:name="_Toc413139279"/>
      <w:bookmarkStart w:id="29" w:name="_Toc363984491"/>
      <w:r w:rsidRPr="005E0DC9">
        <w:rPr>
          <w:rFonts w:ascii="Calibri" w:eastAsia="MS Gothic" w:hAnsi="Calibri" w:cs="Times New Roman"/>
          <w:b/>
          <w:i/>
          <w:snapToGrid/>
          <w:sz w:val="28"/>
          <w:szCs w:val="28"/>
        </w:rPr>
        <w:t>Comparative harms</w:t>
      </w:r>
      <w:bookmarkEnd w:id="28"/>
      <w:bookmarkEnd w:id="29"/>
    </w:p>
    <w:p w:rsidR="00656000" w:rsidRPr="005E0DC9" w:rsidRDefault="00656000"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The table below provides a summary of adverse events in the trials, as well as results of the indirect comparisons presented by the submission.  The submission did not provide any statistical comparisons of individual adverse events (</w:t>
      </w:r>
      <w:proofErr w:type="spellStart"/>
      <w:r w:rsidRPr="005E0DC9">
        <w:rPr>
          <w:rFonts w:ascii="Calibri" w:eastAsia="Calibri" w:hAnsi="Calibri"/>
          <w:snapToGrid/>
          <w:sz w:val="24"/>
          <w:szCs w:val="22"/>
        </w:rPr>
        <w:t>eg</w:t>
      </w:r>
      <w:proofErr w:type="spellEnd"/>
      <w:r w:rsidRPr="005E0DC9">
        <w:rPr>
          <w:rFonts w:ascii="Calibri" w:eastAsia="Calibri" w:hAnsi="Calibri"/>
          <w:snapToGrid/>
          <w:sz w:val="24"/>
          <w:szCs w:val="22"/>
        </w:rPr>
        <w:t xml:space="preserve"> neutropenia)</w:t>
      </w:r>
      <w:r w:rsidR="00D0386F">
        <w:rPr>
          <w:rFonts w:ascii="Calibri" w:eastAsia="Calibri" w:hAnsi="Calibri"/>
          <w:snapToGrid/>
          <w:sz w:val="24"/>
          <w:szCs w:val="22"/>
        </w:rPr>
        <w:t>,</w:t>
      </w:r>
      <w:r w:rsidRPr="005E0DC9">
        <w:rPr>
          <w:rFonts w:ascii="Calibri" w:eastAsia="Calibri" w:hAnsi="Calibri"/>
          <w:snapToGrid/>
          <w:sz w:val="24"/>
          <w:szCs w:val="22"/>
        </w:rPr>
        <w:t xml:space="preserve"> but it did provide a listing of the most frequent (&gt;5%) AEs ≥Grade 3.  With the exception of infusion-related reactions associated with the intravenous administration of </w:t>
      </w:r>
      <w:proofErr w:type="spellStart"/>
      <w:r w:rsidRPr="005E0DC9">
        <w:rPr>
          <w:rFonts w:ascii="Calibri" w:eastAsia="Calibri" w:hAnsi="Calibri"/>
          <w:snapToGrid/>
          <w:sz w:val="24"/>
          <w:szCs w:val="22"/>
        </w:rPr>
        <w:t>obinutuzumab</w:t>
      </w:r>
      <w:proofErr w:type="spellEnd"/>
      <w:r w:rsidRPr="005E0DC9">
        <w:rPr>
          <w:rFonts w:ascii="Calibri" w:eastAsia="Calibri" w:hAnsi="Calibri"/>
          <w:snapToGrid/>
          <w:sz w:val="24"/>
          <w:szCs w:val="22"/>
        </w:rPr>
        <w:t xml:space="preserve">, rituximab and </w:t>
      </w:r>
      <w:proofErr w:type="spellStart"/>
      <w:r w:rsidRPr="005E0DC9">
        <w:rPr>
          <w:rFonts w:ascii="Calibri" w:eastAsia="Calibri" w:hAnsi="Calibri"/>
          <w:snapToGrid/>
          <w:sz w:val="24"/>
          <w:szCs w:val="22"/>
        </w:rPr>
        <w:t>ofatumumab</w:t>
      </w:r>
      <w:proofErr w:type="spellEnd"/>
      <w:r w:rsidRPr="005E0DC9">
        <w:rPr>
          <w:rFonts w:ascii="Calibri" w:eastAsia="Calibri" w:hAnsi="Calibri"/>
          <w:snapToGrid/>
          <w:sz w:val="24"/>
          <w:szCs w:val="22"/>
        </w:rPr>
        <w:t>, the most frequent AEs ≥ Grade 3 were largely similar across the drugs</w:t>
      </w:r>
      <w:r w:rsidR="00665A8A" w:rsidRPr="005E0DC9">
        <w:rPr>
          <w:rFonts w:ascii="Calibri" w:eastAsia="Calibri" w:hAnsi="Calibri"/>
          <w:snapToGrid/>
          <w:sz w:val="24"/>
          <w:szCs w:val="22"/>
        </w:rPr>
        <w:t>:</w:t>
      </w:r>
    </w:p>
    <w:p w:rsidR="00656000" w:rsidRPr="005E0DC9" w:rsidRDefault="00656000" w:rsidP="00FA1A53">
      <w:pPr>
        <w:widowControl/>
        <w:numPr>
          <w:ilvl w:val="1"/>
          <w:numId w:val="13"/>
        </w:numPr>
        <w:spacing w:before="120" w:after="160"/>
        <w:ind w:left="1434" w:hanging="357"/>
        <w:rPr>
          <w:rFonts w:ascii="Calibri" w:eastAsia="Calibri" w:hAnsi="Calibri"/>
          <w:snapToGrid/>
          <w:sz w:val="24"/>
          <w:szCs w:val="22"/>
        </w:rPr>
      </w:pP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(RESONATE-2): neutropenia, anaemia, infections and infestations</w:t>
      </w:r>
    </w:p>
    <w:p w:rsidR="00656000" w:rsidRPr="005E0DC9" w:rsidRDefault="00656000" w:rsidP="00FA1A53">
      <w:pPr>
        <w:widowControl/>
        <w:numPr>
          <w:ilvl w:val="1"/>
          <w:numId w:val="13"/>
        </w:numPr>
        <w:spacing w:before="120" w:after="160"/>
        <w:ind w:left="1434" w:hanging="357"/>
        <w:rPr>
          <w:rFonts w:ascii="Calibri" w:eastAsia="Calibri" w:hAnsi="Calibri"/>
          <w:snapToGrid/>
          <w:sz w:val="24"/>
          <w:szCs w:val="22"/>
        </w:rPr>
      </w:pP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(CLL11): neutropenia, infusion-related reactions, thrombocytopenia, infections, anaemia, leukopenia</w:t>
      </w:r>
    </w:p>
    <w:p w:rsidR="00656000" w:rsidRPr="005E0DC9" w:rsidRDefault="00656000" w:rsidP="00FA1A53">
      <w:pPr>
        <w:widowControl/>
        <w:numPr>
          <w:ilvl w:val="1"/>
          <w:numId w:val="13"/>
        </w:numPr>
        <w:spacing w:before="120" w:after="160"/>
        <w:ind w:left="1434" w:hanging="357"/>
        <w:rPr>
          <w:rFonts w:ascii="Calibri" w:eastAsia="Calibri" w:hAnsi="Calibri"/>
          <w:snapToGrid/>
          <w:sz w:val="24"/>
          <w:szCs w:val="22"/>
        </w:rPr>
      </w:pPr>
      <w:proofErr w:type="spellStart"/>
      <w:r w:rsidRPr="005E0DC9">
        <w:rPr>
          <w:rFonts w:ascii="Calibri" w:eastAsia="Calibri" w:hAnsi="Calibri"/>
          <w:snapToGrid/>
          <w:sz w:val="24"/>
          <w:szCs w:val="22"/>
        </w:rPr>
        <w:t>Ritux+chl</w:t>
      </w:r>
      <w:proofErr w:type="spellEnd"/>
      <w:r w:rsidRPr="005E0DC9">
        <w:rPr>
          <w:rFonts w:ascii="Calibri" w:eastAsia="Calibri" w:hAnsi="Calibri"/>
          <w:snapToGrid/>
          <w:sz w:val="24"/>
          <w:szCs w:val="22"/>
        </w:rPr>
        <w:t xml:space="preserve"> (CLL11): neutropenia, infections, pneumonia</w:t>
      </w:r>
    </w:p>
    <w:p w:rsidR="00656000" w:rsidRPr="005E0DC9" w:rsidRDefault="00656000" w:rsidP="00FA1A53">
      <w:pPr>
        <w:widowControl/>
        <w:numPr>
          <w:ilvl w:val="1"/>
          <w:numId w:val="13"/>
        </w:numPr>
        <w:spacing w:before="120" w:after="120"/>
        <w:ind w:left="1434" w:hanging="357"/>
        <w:rPr>
          <w:rFonts w:ascii="Calibri" w:eastAsia="Calibri" w:hAnsi="Calibri"/>
          <w:snapToGrid/>
          <w:sz w:val="24"/>
          <w:szCs w:val="22"/>
        </w:rPr>
      </w:pPr>
      <w:proofErr w:type="spellStart"/>
      <w:r w:rsidRPr="005E0DC9">
        <w:rPr>
          <w:rFonts w:ascii="Calibri" w:eastAsia="Calibri" w:hAnsi="Calibri"/>
          <w:snapToGrid/>
          <w:sz w:val="24"/>
          <w:szCs w:val="22"/>
        </w:rPr>
        <w:t>Ofa+chl</w:t>
      </w:r>
      <w:proofErr w:type="spellEnd"/>
      <w:r w:rsidRPr="005E0DC9">
        <w:rPr>
          <w:rFonts w:ascii="Calibri" w:eastAsia="Calibri" w:hAnsi="Calibri"/>
          <w:snapToGrid/>
          <w:sz w:val="24"/>
          <w:szCs w:val="22"/>
        </w:rPr>
        <w:t xml:space="preserve"> (COMPLEMENT-1): neutropenia, infusion-related reactions, infections, thrombocytopenia, anaemia</w:t>
      </w:r>
    </w:p>
    <w:p w:rsidR="00156AFB" w:rsidRPr="005E0DC9" w:rsidRDefault="00156AFB">
      <w:pPr>
        <w:widowControl/>
        <w:jc w:val="left"/>
        <w:rPr>
          <w:rFonts w:ascii="Arial Narrow" w:hAnsi="Arial Narrow"/>
          <w:b/>
          <w:sz w:val="20"/>
        </w:rPr>
      </w:pPr>
      <w:r w:rsidRPr="005E0DC9">
        <w:rPr>
          <w:rFonts w:ascii="Arial Narrow" w:hAnsi="Arial Narrow"/>
          <w:b/>
          <w:sz w:val="20"/>
        </w:rPr>
        <w:br w:type="page"/>
      </w:r>
    </w:p>
    <w:p w:rsidR="00656000" w:rsidRPr="005E0DC9" w:rsidRDefault="001662D9" w:rsidP="00656000">
      <w:pPr>
        <w:keepNext/>
        <w:rPr>
          <w:rFonts w:ascii="Arial Narrow" w:hAnsi="Arial Narrow"/>
          <w:b/>
          <w:sz w:val="20"/>
        </w:rPr>
      </w:pPr>
      <w:r w:rsidRPr="005E0DC9">
        <w:rPr>
          <w:rFonts w:ascii="Arial Narrow" w:hAnsi="Arial Narrow"/>
          <w:b/>
          <w:sz w:val="20"/>
        </w:rPr>
        <w:lastRenderedPageBreak/>
        <w:t xml:space="preserve">Table 8: </w:t>
      </w:r>
      <w:r w:rsidR="00656000" w:rsidRPr="005E0DC9">
        <w:rPr>
          <w:rFonts w:ascii="Arial Narrow" w:hAnsi="Arial Narrow"/>
          <w:b/>
          <w:sz w:val="20"/>
        </w:rPr>
        <w:t>Summary of adverse event comparisons</w:t>
      </w:r>
    </w:p>
    <w:tbl>
      <w:tblPr>
        <w:tblStyle w:val="TableGrid"/>
        <w:tblW w:w="5000" w:type="pct"/>
        <w:tblCellMar>
          <w:left w:w="28" w:type="dxa"/>
          <w:right w:w="28" w:type="dxa"/>
        </w:tblCellMar>
        <w:tblLook w:val="04A0" w:firstRow="1" w:lastRow="0" w:firstColumn="1" w:lastColumn="0" w:noHBand="0" w:noVBand="1"/>
        <w:tblCaption w:val="Table 8: Summary of adverse event comparisons"/>
      </w:tblPr>
      <w:tblGrid>
        <w:gridCol w:w="1421"/>
        <w:gridCol w:w="976"/>
        <w:gridCol w:w="1097"/>
        <w:gridCol w:w="1115"/>
        <w:gridCol w:w="1077"/>
        <w:gridCol w:w="976"/>
        <w:gridCol w:w="1253"/>
        <w:gridCol w:w="1168"/>
      </w:tblGrid>
      <w:tr w:rsidR="00656000" w:rsidRPr="005E0DC9" w:rsidTr="00F61067">
        <w:trPr>
          <w:tblHeader/>
        </w:trPr>
        <w:tc>
          <w:tcPr>
            <w:tcW w:w="782" w:type="pct"/>
            <w:vMerge w:val="restart"/>
            <w:shd w:val="clear" w:color="auto" w:fill="auto"/>
            <w:vAlign w:val="center"/>
          </w:tcPr>
          <w:p w:rsidR="00656000" w:rsidRPr="005E0DC9" w:rsidRDefault="00656000" w:rsidP="00656000">
            <w:pPr>
              <w:rPr>
                <w:rFonts w:ascii="Arial Narrow" w:hAnsi="Arial Narrow"/>
                <w:sz w:val="20"/>
              </w:rPr>
            </w:pPr>
            <w:r w:rsidRPr="005E0DC9">
              <w:rPr>
                <w:rFonts w:ascii="Arial Narrow" w:hAnsi="Arial Narrow"/>
                <w:sz w:val="20"/>
              </w:rPr>
              <w:t>Trial</w:t>
            </w:r>
          </w:p>
        </w:tc>
        <w:tc>
          <w:tcPr>
            <w:tcW w:w="537" w:type="pct"/>
            <w:vMerge w:val="restar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Treatment</w:t>
            </w:r>
          </w:p>
        </w:tc>
        <w:tc>
          <w:tcPr>
            <w:tcW w:w="1218" w:type="pct"/>
            <w:gridSpan w:val="2"/>
            <w:shd w:val="clear" w:color="auto" w:fill="auto"/>
            <w:vAlign w:val="center"/>
          </w:tcPr>
          <w:p w:rsidR="00656000" w:rsidRPr="005E0DC9" w:rsidRDefault="00656000" w:rsidP="00656000">
            <w:pPr>
              <w:jc w:val="center"/>
              <w:rPr>
                <w:rFonts w:ascii="Arial Narrow" w:hAnsi="Arial Narrow"/>
                <w:sz w:val="20"/>
              </w:rPr>
            </w:pPr>
            <w:proofErr w:type="gramStart"/>
            <w:r w:rsidRPr="005E0DC9">
              <w:rPr>
                <w:rFonts w:ascii="Arial Narrow" w:hAnsi="Arial Narrow"/>
                <w:sz w:val="20"/>
              </w:rPr>
              <w:t>n/N</w:t>
            </w:r>
            <w:proofErr w:type="gramEnd"/>
            <w:r w:rsidRPr="005E0DC9">
              <w:rPr>
                <w:rFonts w:ascii="Arial Narrow" w:hAnsi="Arial Narrow"/>
                <w:sz w:val="20"/>
              </w:rPr>
              <w:t xml:space="preserve"> (%)</w:t>
            </w:r>
          </w:p>
        </w:tc>
        <w:tc>
          <w:tcPr>
            <w:tcW w:w="1130" w:type="pct"/>
            <w:gridSpan w:val="2"/>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Direct comparisons</w:t>
            </w:r>
          </w:p>
        </w:tc>
        <w:tc>
          <w:tcPr>
            <w:tcW w:w="1333" w:type="pct"/>
            <w:gridSpan w:val="2"/>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Indirect comparisons</w:t>
            </w:r>
          </w:p>
        </w:tc>
      </w:tr>
      <w:tr w:rsidR="00656000" w:rsidRPr="005E0DC9" w:rsidTr="00F61067">
        <w:trPr>
          <w:tblHeader/>
        </w:trPr>
        <w:tc>
          <w:tcPr>
            <w:tcW w:w="782" w:type="pct"/>
            <w:vMerge/>
            <w:shd w:val="clear" w:color="auto" w:fill="auto"/>
            <w:vAlign w:val="center"/>
          </w:tcPr>
          <w:p w:rsidR="00656000" w:rsidRPr="005E0DC9" w:rsidRDefault="00656000" w:rsidP="00656000">
            <w:pPr>
              <w:rPr>
                <w:rFonts w:ascii="Arial Narrow" w:hAnsi="Arial Narrow"/>
                <w:sz w:val="20"/>
              </w:rPr>
            </w:pPr>
          </w:p>
        </w:tc>
        <w:tc>
          <w:tcPr>
            <w:tcW w:w="537" w:type="pct"/>
            <w:vMerge/>
            <w:shd w:val="clear" w:color="auto" w:fill="auto"/>
            <w:vAlign w:val="center"/>
          </w:tcPr>
          <w:p w:rsidR="00656000" w:rsidRPr="005E0DC9" w:rsidRDefault="00656000" w:rsidP="00656000">
            <w:pPr>
              <w:jc w:val="center"/>
              <w:rPr>
                <w:rFonts w:ascii="Arial Narrow" w:hAnsi="Arial Narrow"/>
                <w:sz w:val="20"/>
              </w:rPr>
            </w:pPr>
          </w:p>
        </w:tc>
        <w:tc>
          <w:tcPr>
            <w:tcW w:w="604"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Intervention</w:t>
            </w:r>
          </w:p>
        </w:tc>
        <w:tc>
          <w:tcPr>
            <w:tcW w:w="614" w:type="pct"/>
            <w:shd w:val="clear" w:color="auto" w:fill="auto"/>
            <w:vAlign w:val="center"/>
          </w:tcPr>
          <w:p w:rsidR="00656000" w:rsidRPr="005E0DC9" w:rsidRDefault="00656000" w:rsidP="00656000">
            <w:pPr>
              <w:jc w:val="center"/>
              <w:rPr>
                <w:rFonts w:ascii="Arial Narrow" w:hAnsi="Arial Narrow"/>
                <w:sz w:val="20"/>
              </w:rPr>
            </w:pPr>
            <w:proofErr w:type="spellStart"/>
            <w:r w:rsidRPr="005E0DC9">
              <w:rPr>
                <w:rFonts w:ascii="Arial Narrow" w:hAnsi="Arial Narrow"/>
                <w:sz w:val="20"/>
              </w:rPr>
              <w:t>Chl</w:t>
            </w:r>
            <w:proofErr w:type="spellEnd"/>
          </w:p>
        </w:tc>
        <w:tc>
          <w:tcPr>
            <w:tcW w:w="593"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RR (95% CI)</w:t>
            </w:r>
          </w:p>
        </w:tc>
        <w:tc>
          <w:tcPr>
            <w:tcW w:w="537"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RD (95% CI)</w:t>
            </w:r>
          </w:p>
        </w:tc>
        <w:tc>
          <w:tcPr>
            <w:tcW w:w="690"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RR (95% CI)</w:t>
            </w:r>
          </w:p>
        </w:tc>
        <w:tc>
          <w:tcPr>
            <w:tcW w:w="643"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RD (95% CI)</w:t>
            </w:r>
          </w:p>
        </w:tc>
      </w:tr>
      <w:tr w:rsidR="00656000" w:rsidRPr="005E0DC9" w:rsidTr="00B723FA">
        <w:tc>
          <w:tcPr>
            <w:tcW w:w="5000" w:type="pct"/>
            <w:gridSpan w:val="8"/>
            <w:shd w:val="clear" w:color="auto" w:fill="auto"/>
            <w:vAlign w:val="center"/>
          </w:tcPr>
          <w:p w:rsidR="00656000" w:rsidRPr="005E0DC9" w:rsidRDefault="00656000" w:rsidP="00656000">
            <w:pPr>
              <w:rPr>
                <w:rFonts w:ascii="Arial Narrow" w:hAnsi="Arial Narrow"/>
                <w:b/>
                <w:sz w:val="20"/>
              </w:rPr>
            </w:pPr>
            <w:r w:rsidRPr="005E0DC9">
              <w:rPr>
                <w:rFonts w:ascii="Arial Narrow" w:hAnsi="Arial Narrow"/>
                <w:b/>
                <w:sz w:val="20"/>
              </w:rPr>
              <w:t>Severe AE (≥ Grade 3)</w:t>
            </w:r>
          </w:p>
        </w:tc>
      </w:tr>
      <w:tr w:rsidR="00656000" w:rsidRPr="005E0DC9" w:rsidTr="00F61067">
        <w:tc>
          <w:tcPr>
            <w:tcW w:w="782" w:type="pct"/>
            <w:shd w:val="clear" w:color="auto" w:fill="auto"/>
            <w:vAlign w:val="center"/>
          </w:tcPr>
          <w:p w:rsidR="00656000" w:rsidRPr="005E0DC9" w:rsidRDefault="00656000" w:rsidP="00656000">
            <w:pPr>
              <w:rPr>
                <w:rFonts w:ascii="Arial Narrow" w:hAnsi="Arial Narrow"/>
                <w:sz w:val="20"/>
              </w:rPr>
            </w:pPr>
            <w:r w:rsidRPr="005E0DC9">
              <w:rPr>
                <w:rFonts w:ascii="Arial Narrow" w:hAnsi="Arial Narrow"/>
                <w:sz w:val="20"/>
              </w:rPr>
              <w:t>RESONATE-2</w:t>
            </w:r>
          </w:p>
        </w:tc>
        <w:tc>
          <w:tcPr>
            <w:tcW w:w="537" w:type="pct"/>
            <w:shd w:val="clear" w:color="auto" w:fill="auto"/>
            <w:vAlign w:val="center"/>
          </w:tcPr>
          <w:p w:rsidR="00656000" w:rsidRPr="005E0DC9" w:rsidRDefault="00656000" w:rsidP="00656000">
            <w:pPr>
              <w:jc w:val="center"/>
              <w:rPr>
                <w:rFonts w:ascii="Arial Narrow" w:hAnsi="Arial Narrow"/>
                <w:sz w:val="20"/>
              </w:rPr>
            </w:pPr>
            <w:proofErr w:type="spellStart"/>
            <w:r w:rsidRPr="005E0DC9">
              <w:rPr>
                <w:rFonts w:ascii="Arial Narrow" w:hAnsi="Arial Narrow"/>
                <w:sz w:val="20"/>
              </w:rPr>
              <w:t>Ibr</w:t>
            </w:r>
            <w:proofErr w:type="spellEnd"/>
          </w:p>
        </w:tc>
        <w:tc>
          <w:tcPr>
            <w:tcW w:w="604" w:type="pct"/>
            <w:shd w:val="clear" w:color="auto" w:fill="auto"/>
            <w:vAlign w:val="bottom"/>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614" w:type="pct"/>
            <w:shd w:val="clear" w:color="auto" w:fill="auto"/>
            <w:vAlign w:val="bottom"/>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593" w:type="pct"/>
            <w:vAlign w:val="bottom"/>
          </w:tcPr>
          <w:p w:rsidR="00656000" w:rsidRPr="00773C23" w:rsidRDefault="00773C23" w:rsidP="00665A8A">
            <w:pPr>
              <w:jc w:val="center"/>
              <w:rPr>
                <w:rFonts w:ascii="Arial Narrow" w:hAnsi="Arial Narrow"/>
                <w:b/>
                <w:sz w:val="20"/>
                <w:highlight w:val="black"/>
              </w:rPr>
            </w:pPr>
            <w:r>
              <w:rPr>
                <w:rFonts w:ascii="Arial Narrow" w:hAnsi="Arial Narrow"/>
                <w:b/>
                <w:noProof/>
                <w:color w:val="000000"/>
                <w:sz w:val="20"/>
                <w:highlight w:val="black"/>
              </w:rPr>
              <w:t xml:space="preserve">'''''''' </w:t>
            </w:r>
          </w:p>
          <w:p w:rsidR="00656000" w:rsidRPr="00773C23" w:rsidRDefault="00773C23" w:rsidP="00665A8A">
            <w:pPr>
              <w:jc w:val="center"/>
              <w:rPr>
                <w:rFonts w:ascii="Arial Narrow" w:hAnsi="Arial Narrow"/>
                <w:b/>
                <w:sz w:val="20"/>
                <w:highlight w:val="black"/>
              </w:rPr>
            </w:pPr>
            <w:r>
              <w:rPr>
                <w:rFonts w:ascii="Arial Narrow" w:hAnsi="Arial Narrow"/>
                <w:b/>
                <w:noProof/>
                <w:color w:val="000000"/>
                <w:sz w:val="20"/>
                <w:highlight w:val="black"/>
              </w:rPr>
              <w:t>'''''''''''' ''''''''''</w:t>
            </w:r>
          </w:p>
        </w:tc>
        <w:tc>
          <w:tcPr>
            <w:tcW w:w="537" w:type="pct"/>
            <w:vAlign w:val="bottom"/>
          </w:tcPr>
          <w:p w:rsidR="00656000" w:rsidRPr="00773C23" w:rsidRDefault="00773C23" w:rsidP="00665A8A">
            <w:pPr>
              <w:jc w:val="center"/>
              <w:rPr>
                <w:rFonts w:ascii="Arial Narrow" w:hAnsi="Arial Narrow"/>
                <w:b/>
                <w:sz w:val="20"/>
                <w:highlight w:val="black"/>
              </w:rPr>
            </w:pPr>
            <w:r>
              <w:rPr>
                <w:rFonts w:ascii="Arial Narrow" w:hAnsi="Arial Narrow"/>
                <w:b/>
                <w:noProof/>
                <w:color w:val="000000"/>
                <w:sz w:val="20"/>
                <w:highlight w:val="black"/>
              </w:rPr>
              <w:t xml:space="preserve">''''''''' </w:t>
            </w:r>
          </w:p>
          <w:p w:rsidR="00656000" w:rsidRPr="00773C23" w:rsidRDefault="00773C23" w:rsidP="00665A8A">
            <w:pPr>
              <w:jc w:val="center"/>
              <w:rPr>
                <w:rFonts w:ascii="Arial Narrow" w:hAnsi="Arial Narrow"/>
                <w:b/>
                <w:sz w:val="20"/>
                <w:highlight w:val="black"/>
              </w:rPr>
            </w:pPr>
            <w:r>
              <w:rPr>
                <w:rFonts w:ascii="Arial Narrow" w:hAnsi="Arial Narrow"/>
                <w:b/>
                <w:noProof/>
                <w:color w:val="000000"/>
                <w:sz w:val="20"/>
                <w:highlight w:val="black"/>
              </w:rPr>
              <w:t>'''''''''' ''''''''''</w:t>
            </w:r>
          </w:p>
        </w:tc>
        <w:tc>
          <w:tcPr>
            <w:tcW w:w="690"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w:t>
            </w:r>
          </w:p>
        </w:tc>
        <w:tc>
          <w:tcPr>
            <w:tcW w:w="643"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b/>
                <w:sz w:val="20"/>
              </w:rPr>
              <w:t>-</w:t>
            </w:r>
          </w:p>
        </w:tc>
      </w:tr>
      <w:tr w:rsidR="00656000" w:rsidRPr="005E0DC9" w:rsidTr="00F61067">
        <w:tc>
          <w:tcPr>
            <w:tcW w:w="782" w:type="pct"/>
            <w:vMerge w:val="restart"/>
            <w:shd w:val="clear" w:color="auto" w:fill="auto"/>
            <w:vAlign w:val="center"/>
          </w:tcPr>
          <w:p w:rsidR="00656000" w:rsidRPr="005E0DC9" w:rsidRDefault="00656000" w:rsidP="00656000">
            <w:pPr>
              <w:rPr>
                <w:rFonts w:ascii="Arial Narrow" w:hAnsi="Arial Narrow"/>
                <w:sz w:val="20"/>
              </w:rPr>
            </w:pPr>
            <w:r w:rsidRPr="005E0DC9">
              <w:rPr>
                <w:rFonts w:ascii="Arial Narrow" w:hAnsi="Arial Narrow"/>
                <w:sz w:val="20"/>
              </w:rPr>
              <w:t>CLL11</w:t>
            </w:r>
          </w:p>
        </w:tc>
        <w:tc>
          <w:tcPr>
            <w:tcW w:w="537" w:type="pct"/>
            <w:shd w:val="clear" w:color="auto" w:fill="auto"/>
            <w:vAlign w:val="center"/>
          </w:tcPr>
          <w:p w:rsidR="00656000" w:rsidRPr="005E0DC9" w:rsidRDefault="00656000" w:rsidP="00656000">
            <w:pPr>
              <w:jc w:val="center"/>
              <w:rPr>
                <w:rFonts w:ascii="Arial Narrow" w:hAnsi="Arial Narrow"/>
                <w:sz w:val="20"/>
              </w:rPr>
            </w:pPr>
            <w:proofErr w:type="spellStart"/>
            <w:r w:rsidRPr="005E0DC9">
              <w:rPr>
                <w:rFonts w:ascii="Arial Narrow" w:hAnsi="Arial Narrow"/>
                <w:sz w:val="20"/>
              </w:rPr>
              <w:t>Ritux+chl</w:t>
            </w:r>
            <w:proofErr w:type="spellEnd"/>
          </w:p>
        </w:tc>
        <w:tc>
          <w:tcPr>
            <w:tcW w:w="604"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iCs/>
                <w:sz w:val="20"/>
                <w:lang w:eastAsia="en-AU"/>
              </w:rPr>
              <w:t>125/225 (55.6</w:t>
            </w:r>
            <w:r w:rsidRPr="005E0DC9">
              <w:rPr>
                <w:rFonts w:ascii="Arial Narrow" w:hAnsi="Arial Narrow"/>
                <w:sz w:val="20"/>
              </w:rPr>
              <w:t>%</w:t>
            </w:r>
            <w:r w:rsidRPr="005E0DC9">
              <w:rPr>
                <w:rFonts w:ascii="Arial Narrow" w:hAnsi="Arial Narrow"/>
                <w:iCs/>
                <w:sz w:val="20"/>
                <w:lang w:eastAsia="en-AU"/>
              </w:rPr>
              <w:t>)</w:t>
            </w:r>
          </w:p>
        </w:tc>
        <w:tc>
          <w:tcPr>
            <w:tcW w:w="614"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iCs/>
                <w:sz w:val="20"/>
                <w:lang w:eastAsia="en-AU"/>
              </w:rPr>
              <w:t>58/116 (50.0</w:t>
            </w:r>
            <w:r w:rsidRPr="005E0DC9">
              <w:rPr>
                <w:rFonts w:ascii="Arial Narrow" w:hAnsi="Arial Narrow"/>
                <w:sz w:val="20"/>
              </w:rPr>
              <w:t>%</w:t>
            </w:r>
            <w:r w:rsidRPr="005E0DC9">
              <w:rPr>
                <w:rFonts w:ascii="Arial Narrow" w:hAnsi="Arial Narrow"/>
                <w:iCs/>
                <w:sz w:val="20"/>
                <w:lang w:eastAsia="en-AU"/>
              </w:rPr>
              <w:t>)</w:t>
            </w:r>
          </w:p>
        </w:tc>
        <w:tc>
          <w:tcPr>
            <w:tcW w:w="593" w:type="pct"/>
          </w:tcPr>
          <w:p w:rsidR="00656000" w:rsidRPr="005E0DC9" w:rsidRDefault="00656000" w:rsidP="00665A8A">
            <w:pPr>
              <w:jc w:val="center"/>
              <w:rPr>
                <w:rFonts w:ascii="Arial Narrow" w:hAnsi="Arial Narrow"/>
                <w:b/>
                <w:sz w:val="20"/>
              </w:rPr>
            </w:pPr>
            <w:r w:rsidRPr="005E0DC9">
              <w:rPr>
                <w:rFonts w:ascii="Arial Narrow" w:hAnsi="Arial Narrow"/>
                <w:b/>
                <w:sz w:val="20"/>
              </w:rPr>
              <w:t xml:space="preserve">1.11 </w:t>
            </w:r>
          </w:p>
          <w:p w:rsidR="00656000" w:rsidRPr="005E0DC9" w:rsidRDefault="00656000" w:rsidP="00665A8A">
            <w:pPr>
              <w:jc w:val="center"/>
              <w:rPr>
                <w:rFonts w:ascii="Arial Narrow" w:hAnsi="Arial Narrow"/>
                <w:b/>
                <w:sz w:val="20"/>
              </w:rPr>
            </w:pPr>
            <w:r w:rsidRPr="005E0DC9">
              <w:rPr>
                <w:rFonts w:ascii="Arial Narrow" w:hAnsi="Arial Narrow"/>
                <w:b/>
                <w:sz w:val="20"/>
              </w:rPr>
              <w:t>(0.90,1.38)</w:t>
            </w:r>
          </w:p>
        </w:tc>
        <w:tc>
          <w:tcPr>
            <w:tcW w:w="537" w:type="pct"/>
          </w:tcPr>
          <w:p w:rsidR="00656000" w:rsidRPr="005E0DC9" w:rsidRDefault="00656000" w:rsidP="00665A8A">
            <w:pPr>
              <w:jc w:val="center"/>
              <w:rPr>
                <w:rFonts w:ascii="Arial Narrow" w:hAnsi="Arial Narrow"/>
                <w:b/>
                <w:sz w:val="20"/>
              </w:rPr>
            </w:pPr>
            <w:r w:rsidRPr="005E0DC9">
              <w:rPr>
                <w:rFonts w:ascii="Arial Narrow" w:hAnsi="Arial Narrow"/>
                <w:b/>
                <w:sz w:val="20"/>
              </w:rPr>
              <w:t>5.6</w:t>
            </w:r>
          </w:p>
          <w:p w:rsidR="00656000" w:rsidRPr="005E0DC9" w:rsidRDefault="00656000" w:rsidP="00665A8A">
            <w:pPr>
              <w:jc w:val="center"/>
              <w:rPr>
                <w:rFonts w:ascii="Arial Narrow" w:hAnsi="Arial Narrow"/>
                <w:b/>
                <w:sz w:val="20"/>
              </w:rPr>
            </w:pPr>
            <w:r w:rsidRPr="005E0DC9">
              <w:rPr>
                <w:rFonts w:ascii="Arial Narrow" w:hAnsi="Arial Narrow"/>
                <w:b/>
                <w:sz w:val="20"/>
              </w:rPr>
              <w:t xml:space="preserve"> (- 5.6, 16.7)</w:t>
            </w:r>
          </w:p>
        </w:tc>
        <w:tc>
          <w:tcPr>
            <w:tcW w:w="690" w:type="pct"/>
            <w:shd w:val="clear" w:color="auto" w:fill="auto"/>
            <w:vAlign w:val="center"/>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643" w:type="pct"/>
            <w:shd w:val="clear" w:color="auto" w:fill="auto"/>
            <w:vAlign w:val="center"/>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r>
      <w:tr w:rsidR="00656000" w:rsidRPr="005E0DC9" w:rsidTr="00F61067">
        <w:tc>
          <w:tcPr>
            <w:tcW w:w="782" w:type="pct"/>
            <w:vMerge/>
            <w:shd w:val="clear" w:color="auto" w:fill="auto"/>
            <w:vAlign w:val="center"/>
          </w:tcPr>
          <w:p w:rsidR="00656000" w:rsidRPr="005E0DC9" w:rsidRDefault="00656000" w:rsidP="00656000">
            <w:pPr>
              <w:rPr>
                <w:rFonts w:ascii="Arial Narrow" w:hAnsi="Arial Narrow"/>
                <w:sz w:val="20"/>
              </w:rPr>
            </w:pPr>
          </w:p>
        </w:tc>
        <w:tc>
          <w:tcPr>
            <w:tcW w:w="537" w:type="pct"/>
            <w:shd w:val="clear" w:color="auto" w:fill="auto"/>
            <w:vAlign w:val="center"/>
          </w:tcPr>
          <w:p w:rsidR="00656000" w:rsidRPr="005E0DC9" w:rsidRDefault="00656000" w:rsidP="00656000">
            <w:pPr>
              <w:jc w:val="center"/>
              <w:rPr>
                <w:rFonts w:ascii="Arial Narrow" w:hAnsi="Arial Narrow"/>
                <w:sz w:val="20"/>
              </w:rPr>
            </w:pPr>
            <w:proofErr w:type="spellStart"/>
            <w:r w:rsidRPr="005E0DC9">
              <w:rPr>
                <w:rFonts w:ascii="Arial Narrow" w:hAnsi="Arial Narrow"/>
                <w:sz w:val="20"/>
              </w:rPr>
              <w:t>Obi+chl</w:t>
            </w:r>
            <w:proofErr w:type="spellEnd"/>
          </w:p>
        </w:tc>
        <w:tc>
          <w:tcPr>
            <w:tcW w:w="60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175/241 (72.6%)</w:t>
            </w:r>
          </w:p>
        </w:tc>
        <w:tc>
          <w:tcPr>
            <w:tcW w:w="61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58/116 (50.0%)</w:t>
            </w:r>
          </w:p>
        </w:tc>
        <w:tc>
          <w:tcPr>
            <w:tcW w:w="593" w:type="pct"/>
            <w:vAlign w:val="bottom"/>
          </w:tcPr>
          <w:p w:rsidR="00656000" w:rsidRPr="005E0DC9" w:rsidRDefault="00656000" w:rsidP="00665A8A">
            <w:pPr>
              <w:jc w:val="center"/>
              <w:rPr>
                <w:rFonts w:ascii="Arial Narrow" w:hAnsi="Arial Narrow"/>
                <w:b/>
                <w:sz w:val="20"/>
              </w:rPr>
            </w:pPr>
            <w:r w:rsidRPr="005E0DC9">
              <w:rPr>
                <w:rFonts w:ascii="Arial Narrow" w:hAnsi="Arial Narrow"/>
                <w:b/>
                <w:sz w:val="20"/>
              </w:rPr>
              <w:t xml:space="preserve">1.45 </w:t>
            </w:r>
          </w:p>
          <w:p w:rsidR="00656000" w:rsidRPr="005E0DC9" w:rsidRDefault="00656000" w:rsidP="00665A8A">
            <w:pPr>
              <w:jc w:val="center"/>
              <w:rPr>
                <w:rFonts w:ascii="Arial Narrow" w:hAnsi="Arial Narrow"/>
                <w:b/>
                <w:sz w:val="20"/>
              </w:rPr>
            </w:pPr>
            <w:r w:rsidRPr="005E0DC9">
              <w:rPr>
                <w:rFonts w:ascii="Arial Narrow" w:hAnsi="Arial Narrow"/>
                <w:b/>
                <w:sz w:val="20"/>
              </w:rPr>
              <w:t>(1.19, 1.77)</w:t>
            </w:r>
          </w:p>
        </w:tc>
        <w:tc>
          <w:tcPr>
            <w:tcW w:w="537" w:type="pct"/>
            <w:vAlign w:val="bottom"/>
          </w:tcPr>
          <w:p w:rsidR="00656000" w:rsidRPr="005E0DC9" w:rsidRDefault="00656000" w:rsidP="00665A8A">
            <w:pPr>
              <w:jc w:val="center"/>
              <w:rPr>
                <w:rFonts w:ascii="Arial Narrow" w:hAnsi="Arial Narrow"/>
                <w:b/>
                <w:sz w:val="20"/>
              </w:rPr>
            </w:pPr>
            <w:r w:rsidRPr="005E0DC9">
              <w:rPr>
                <w:rFonts w:ascii="Arial Narrow" w:hAnsi="Arial Narrow"/>
                <w:b/>
                <w:sz w:val="20"/>
              </w:rPr>
              <w:t xml:space="preserve">22.6 </w:t>
            </w:r>
          </w:p>
          <w:p w:rsidR="00656000" w:rsidRPr="005E0DC9" w:rsidRDefault="00656000" w:rsidP="00665A8A">
            <w:pPr>
              <w:jc w:val="center"/>
              <w:rPr>
                <w:rFonts w:ascii="Arial Narrow" w:hAnsi="Arial Narrow"/>
                <w:b/>
                <w:sz w:val="20"/>
              </w:rPr>
            </w:pPr>
            <w:r w:rsidRPr="005E0DC9">
              <w:rPr>
                <w:rFonts w:ascii="Arial Narrow" w:hAnsi="Arial Narrow"/>
                <w:b/>
                <w:sz w:val="20"/>
              </w:rPr>
              <w:t>(11.9, 33.3)</w:t>
            </w:r>
          </w:p>
        </w:tc>
        <w:tc>
          <w:tcPr>
            <w:tcW w:w="690" w:type="pct"/>
            <w:shd w:val="clear" w:color="auto" w:fill="auto"/>
            <w:vAlign w:val="center"/>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643" w:type="pct"/>
            <w:shd w:val="clear" w:color="auto" w:fill="auto"/>
            <w:vAlign w:val="center"/>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r>
      <w:tr w:rsidR="00656000" w:rsidRPr="005E0DC9" w:rsidTr="00F61067">
        <w:tc>
          <w:tcPr>
            <w:tcW w:w="782" w:type="pct"/>
            <w:shd w:val="clear" w:color="auto" w:fill="auto"/>
            <w:vAlign w:val="center"/>
          </w:tcPr>
          <w:p w:rsidR="00656000" w:rsidRPr="005E0DC9" w:rsidRDefault="00656000" w:rsidP="00656000">
            <w:pPr>
              <w:rPr>
                <w:rFonts w:ascii="Arial Narrow" w:hAnsi="Arial Narrow"/>
                <w:sz w:val="20"/>
              </w:rPr>
            </w:pPr>
            <w:r w:rsidRPr="005E0DC9">
              <w:rPr>
                <w:rFonts w:ascii="Arial Narrow" w:hAnsi="Arial Narrow"/>
                <w:sz w:val="20"/>
              </w:rPr>
              <w:t>COMPLEMENT-1</w:t>
            </w:r>
          </w:p>
        </w:tc>
        <w:tc>
          <w:tcPr>
            <w:tcW w:w="537" w:type="pct"/>
            <w:shd w:val="clear" w:color="auto" w:fill="auto"/>
            <w:vAlign w:val="center"/>
          </w:tcPr>
          <w:p w:rsidR="00656000" w:rsidRPr="005E0DC9" w:rsidRDefault="00656000" w:rsidP="00656000">
            <w:pPr>
              <w:jc w:val="center"/>
              <w:rPr>
                <w:rFonts w:ascii="Arial Narrow" w:hAnsi="Arial Narrow"/>
                <w:sz w:val="20"/>
              </w:rPr>
            </w:pPr>
            <w:proofErr w:type="spellStart"/>
            <w:r w:rsidRPr="005E0DC9">
              <w:rPr>
                <w:rFonts w:ascii="Arial Narrow" w:hAnsi="Arial Narrow"/>
                <w:sz w:val="20"/>
              </w:rPr>
              <w:t>Ofa+chl</w:t>
            </w:r>
            <w:proofErr w:type="spellEnd"/>
          </w:p>
        </w:tc>
        <w:tc>
          <w:tcPr>
            <w:tcW w:w="60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109/217 (50.2%)</w:t>
            </w:r>
          </w:p>
        </w:tc>
        <w:tc>
          <w:tcPr>
            <w:tcW w:w="61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98/227 (43.2%)</w:t>
            </w:r>
          </w:p>
        </w:tc>
        <w:tc>
          <w:tcPr>
            <w:tcW w:w="593" w:type="pct"/>
            <w:vAlign w:val="bottom"/>
          </w:tcPr>
          <w:p w:rsidR="00656000" w:rsidRPr="005E0DC9" w:rsidRDefault="00656000" w:rsidP="00665A8A">
            <w:pPr>
              <w:jc w:val="center"/>
              <w:rPr>
                <w:rFonts w:ascii="Arial Narrow" w:hAnsi="Arial Narrow"/>
                <w:b/>
                <w:sz w:val="20"/>
              </w:rPr>
            </w:pPr>
            <w:r w:rsidRPr="005E0DC9">
              <w:rPr>
                <w:rFonts w:ascii="Arial Narrow" w:hAnsi="Arial Narrow"/>
                <w:b/>
                <w:sz w:val="20"/>
              </w:rPr>
              <w:t xml:space="preserve">1.16 </w:t>
            </w:r>
          </w:p>
          <w:p w:rsidR="00656000" w:rsidRPr="005E0DC9" w:rsidRDefault="00656000" w:rsidP="00665A8A">
            <w:pPr>
              <w:jc w:val="center"/>
              <w:rPr>
                <w:rFonts w:ascii="Arial Narrow" w:hAnsi="Arial Narrow"/>
                <w:b/>
                <w:sz w:val="20"/>
              </w:rPr>
            </w:pPr>
            <w:r w:rsidRPr="005E0DC9">
              <w:rPr>
                <w:rFonts w:ascii="Arial Narrow" w:hAnsi="Arial Narrow"/>
                <w:b/>
                <w:sz w:val="20"/>
              </w:rPr>
              <w:t>(0.95, 1.42)</w:t>
            </w:r>
          </w:p>
        </w:tc>
        <w:tc>
          <w:tcPr>
            <w:tcW w:w="537" w:type="pct"/>
            <w:vAlign w:val="bottom"/>
          </w:tcPr>
          <w:p w:rsidR="00656000" w:rsidRPr="005E0DC9" w:rsidRDefault="00656000" w:rsidP="00665A8A">
            <w:pPr>
              <w:jc w:val="center"/>
              <w:rPr>
                <w:rFonts w:ascii="Arial Narrow" w:hAnsi="Arial Narrow"/>
                <w:b/>
                <w:sz w:val="20"/>
              </w:rPr>
            </w:pPr>
            <w:r w:rsidRPr="005E0DC9">
              <w:rPr>
                <w:rFonts w:ascii="Arial Narrow" w:hAnsi="Arial Narrow"/>
                <w:b/>
                <w:sz w:val="20"/>
              </w:rPr>
              <w:t xml:space="preserve">7.1 </w:t>
            </w:r>
          </w:p>
          <w:p w:rsidR="00656000" w:rsidRPr="005E0DC9" w:rsidRDefault="00656000" w:rsidP="00665A8A">
            <w:pPr>
              <w:jc w:val="center"/>
              <w:rPr>
                <w:rFonts w:ascii="Arial Narrow" w:hAnsi="Arial Narrow"/>
                <w:b/>
                <w:sz w:val="20"/>
              </w:rPr>
            </w:pPr>
            <w:r w:rsidRPr="005E0DC9">
              <w:rPr>
                <w:rFonts w:ascii="Arial Narrow" w:hAnsi="Arial Narrow"/>
                <w:b/>
                <w:sz w:val="20"/>
              </w:rPr>
              <w:t>(-2.2, 16.3)</w:t>
            </w:r>
          </w:p>
        </w:tc>
        <w:tc>
          <w:tcPr>
            <w:tcW w:w="690" w:type="pct"/>
            <w:shd w:val="clear" w:color="auto" w:fill="auto"/>
            <w:vAlign w:val="center"/>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643" w:type="pct"/>
            <w:shd w:val="clear" w:color="auto" w:fill="auto"/>
            <w:vAlign w:val="center"/>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r>
      <w:tr w:rsidR="00656000" w:rsidRPr="005E0DC9" w:rsidTr="00B723FA">
        <w:tc>
          <w:tcPr>
            <w:tcW w:w="5000" w:type="pct"/>
            <w:gridSpan w:val="8"/>
            <w:shd w:val="clear" w:color="auto" w:fill="auto"/>
            <w:vAlign w:val="center"/>
          </w:tcPr>
          <w:p w:rsidR="00656000" w:rsidRPr="005E0DC9" w:rsidRDefault="00656000" w:rsidP="00656000">
            <w:pPr>
              <w:rPr>
                <w:rFonts w:ascii="Arial Narrow" w:hAnsi="Arial Narrow"/>
                <w:b/>
                <w:sz w:val="20"/>
              </w:rPr>
            </w:pPr>
            <w:r w:rsidRPr="005E0DC9">
              <w:rPr>
                <w:rFonts w:ascii="Arial Narrow" w:hAnsi="Arial Narrow"/>
                <w:b/>
                <w:sz w:val="20"/>
              </w:rPr>
              <w:t>Treatment-related AE</w:t>
            </w:r>
          </w:p>
        </w:tc>
      </w:tr>
      <w:tr w:rsidR="00656000" w:rsidRPr="005E0DC9" w:rsidTr="00F61067">
        <w:tc>
          <w:tcPr>
            <w:tcW w:w="782" w:type="pct"/>
            <w:shd w:val="clear" w:color="auto" w:fill="auto"/>
            <w:vAlign w:val="center"/>
          </w:tcPr>
          <w:p w:rsidR="00656000" w:rsidRPr="005E0DC9" w:rsidRDefault="00656000" w:rsidP="00656000">
            <w:pPr>
              <w:rPr>
                <w:rFonts w:ascii="Arial Narrow" w:hAnsi="Arial Narrow"/>
                <w:sz w:val="20"/>
              </w:rPr>
            </w:pPr>
            <w:r w:rsidRPr="005E0DC9">
              <w:rPr>
                <w:rFonts w:ascii="Arial Narrow" w:hAnsi="Arial Narrow"/>
                <w:sz w:val="20"/>
              </w:rPr>
              <w:t>RESONATE-2</w:t>
            </w:r>
          </w:p>
        </w:tc>
        <w:tc>
          <w:tcPr>
            <w:tcW w:w="537" w:type="pct"/>
            <w:shd w:val="clear" w:color="auto" w:fill="auto"/>
            <w:vAlign w:val="center"/>
          </w:tcPr>
          <w:p w:rsidR="00656000" w:rsidRPr="005E0DC9" w:rsidRDefault="00656000" w:rsidP="00656000">
            <w:pPr>
              <w:jc w:val="center"/>
              <w:rPr>
                <w:rFonts w:ascii="Arial Narrow" w:hAnsi="Arial Narrow"/>
                <w:sz w:val="20"/>
              </w:rPr>
            </w:pPr>
            <w:proofErr w:type="spellStart"/>
            <w:r w:rsidRPr="005E0DC9">
              <w:rPr>
                <w:rFonts w:ascii="Arial Narrow" w:hAnsi="Arial Narrow"/>
                <w:sz w:val="20"/>
              </w:rPr>
              <w:t>Ibr</w:t>
            </w:r>
            <w:proofErr w:type="spellEnd"/>
          </w:p>
        </w:tc>
        <w:tc>
          <w:tcPr>
            <w:tcW w:w="604" w:type="pct"/>
            <w:shd w:val="clear" w:color="auto" w:fill="auto"/>
            <w:vAlign w:val="bottom"/>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614" w:type="pct"/>
            <w:shd w:val="clear" w:color="auto" w:fill="auto"/>
            <w:vAlign w:val="bottom"/>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593" w:type="pct"/>
            <w:vAlign w:val="bottom"/>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537" w:type="pct"/>
            <w:vAlign w:val="bottom"/>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690"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w:t>
            </w:r>
          </w:p>
        </w:tc>
        <w:tc>
          <w:tcPr>
            <w:tcW w:w="643"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w:t>
            </w:r>
          </w:p>
        </w:tc>
      </w:tr>
      <w:tr w:rsidR="00656000" w:rsidRPr="005E0DC9" w:rsidTr="00F61067">
        <w:tc>
          <w:tcPr>
            <w:tcW w:w="782" w:type="pct"/>
            <w:vMerge w:val="restart"/>
            <w:shd w:val="clear" w:color="auto" w:fill="auto"/>
            <w:vAlign w:val="center"/>
          </w:tcPr>
          <w:p w:rsidR="00656000" w:rsidRPr="005E0DC9" w:rsidRDefault="00656000" w:rsidP="00656000">
            <w:pPr>
              <w:rPr>
                <w:rFonts w:ascii="Arial Narrow" w:hAnsi="Arial Narrow"/>
                <w:sz w:val="20"/>
              </w:rPr>
            </w:pPr>
            <w:r w:rsidRPr="005E0DC9">
              <w:rPr>
                <w:rFonts w:ascii="Arial Narrow" w:hAnsi="Arial Narrow"/>
                <w:sz w:val="20"/>
              </w:rPr>
              <w:t>CLL11</w:t>
            </w:r>
          </w:p>
        </w:tc>
        <w:tc>
          <w:tcPr>
            <w:tcW w:w="537" w:type="pct"/>
            <w:shd w:val="clear" w:color="auto" w:fill="auto"/>
            <w:vAlign w:val="center"/>
          </w:tcPr>
          <w:p w:rsidR="00656000" w:rsidRPr="005E0DC9" w:rsidRDefault="00656000" w:rsidP="00656000">
            <w:pPr>
              <w:jc w:val="center"/>
              <w:rPr>
                <w:rFonts w:ascii="Arial Narrow" w:hAnsi="Arial Narrow"/>
                <w:sz w:val="20"/>
              </w:rPr>
            </w:pPr>
            <w:proofErr w:type="spellStart"/>
            <w:r w:rsidRPr="005E0DC9">
              <w:rPr>
                <w:rFonts w:ascii="Arial Narrow" w:hAnsi="Arial Narrow"/>
                <w:sz w:val="20"/>
              </w:rPr>
              <w:t>Ritux+chl</w:t>
            </w:r>
            <w:proofErr w:type="spellEnd"/>
          </w:p>
        </w:tc>
        <w:tc>
          <w:tcPr>
            <w:tcW w:w="60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NR</w:t>
            </w:r>
          </w:p>
        </w:tc>
        <w:tc>
          <w:tcPr>
            <w:tcW w:w="61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NR</w:t>
            </w:r>
          </w:p>
        </w:tc>
        <w:tc>
          <w:tcPr>
            <w:tcW w:w="593" w:type="pct"/>
            <w:vAlign w:val="bottom"/>
          </w:tcPr>
          <w:p w:rsidR="00656000" w:rsidRPr="005E0DC9" w:rsidRDefault="00656000" w:rsidP="00656000">
            <w:pPr>
              <w:jc w:val="center"/>
              <w:rPr>
                <w:rFonts w:ascii="Arial Narrow" w:hAnsi="Arial Narrow"/>
                <w:sz w:val="20"/>
              </w:rPr>
            </w:pPr>
            <w:r w:rsidRPr="005E0DC9">
              <w:rPr>
                <w:rFonts w:ascii="Arial Narrow" w:hAnsi="Arial Narrow"/>
                <w:sz w:val="20"/>
              </w:rPr>
              <w:t>NR</w:t>
            </w:r>
          </w:p>
        </w:tc>
        <w:tc>
          <w:tcPr>
            <w:tcW w:w="537" w:type="pct"/>
            <w:vAlign w:val="bottom"/>
          </w:tcPr>
          <w:p w:rsidR="00656000" w:rsidRPr="005E0DC9" w:rsidRDefault="00656000" w:rsidP="00656000">
            <w:pPr>
              <w:jc w:val="center"/>
              <w:rPr>
                <w:rFonts w:ascii="Arial Narrow" w:hAnsi="Arial Narrow"/>
                <w:sz w:val="20"/>
              </w:rPr>
            </w:pPr>
            <w:r w:rsidRPr="005E0DC9">
              <w:rPr>
                <w:rFonts w:ascii="Arial Narrow" w:hAnsi="Arial Narrow"/>
                <w:sz w:val="20"/>
              </w:rPr>
              <w:t>NR</w:t>
            </w:r>
          </w:p>
        </w:tc>
        <w:tc>
          <w:tcPr>
            <w:tcW w:w="690"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NC</w:t>
            </w:r>
          </w:p>
        </w:tc>
        <w:tc>
          <w:tcPr>
            <w:tcW w:w="643"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NC</w:t>
            </w:r>
          </w:p>
        </w:tc>
      </w:tr>
      <w:tr w:rsidR="00656000" w:rsidRPr="005E0DC9" w:rsidTr="00F61067">
        <w:tc>
          <w:tcPr>
            <w:tcW w:w="782" w:type="pct"/>
            <w:vMerge/>
            <w:shd w:val="clear" w:color="auto" w:fill="auto"/>
            <w:vAlign w:val="center"/>
          </w:tcPr>
          <w:p w:rsidR="00656000" w:rsidRPr="005E0DC9" w:rsidRDefault="00656000" w:rsidP="00656000">
            <w:pPr>
              <w:rPr>
                <w:rFonts w:ascii="Arial Narrow" w:hAnsi="Arial Narrow"/>
                <w:sz w:val="20"/>
              </w:rPr>
            </w:pPr>
          </w:p>
        </w:tc>
        <w:tc>
          <w:tcPr>
            <w:tcW w:w="537" w:type="pct"/>
            <w:shd w:val="clear" w:color="auto" w:fill="auto"/>
            <w:vAlign w:val="center"/>
          </w:tcPr>
          <w:p w:rsidR="00656000" w:rsidRPr="005E0DC9" w:rsidRDefault="00656000" w:rsidP="00656000">
            <w:pPr>
              <w:jc w:val="center"/>
              <w:rPr>
                <w:rFonts w:ascii="Arial Narrow" w:hAnsi="Arial Narrow"/>
                <w:sz w:val="20"/>
              </w:rPr>
            </w:pPr>
            <w:proofErr w:type="spellStart"/>
            <w:r w:rsidRPr="005E0DC9">
              <w:rPr>
                <w:rFonts w:ascii="Arial Narrow" w:hAnsi="Arial Narrow"/>
                <w:sz w:val="20"/>
              </w:rPr>
              <w:t>Obi+chl</w:t>
            </w:r>
            <w:proofErr w:type="spellEnd"/>
          </w:p>
        </w:tc>
        <w:tc>
          <w:tcPr>
            <w:tcW w:w="60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NR</w:t>
            </w:r>
          </w:p>
        </w:tc>
        <w:tc>
          <w:tcPr>
            <w:tcW w:w="61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NR</w:t>
            </w:r>
          </w:p>
        </w:tc>
        <w:tc>
          <w:tcPr>
            <w:tcW w:w="593" w:type="pct"/>
            <w:vAlign w:val="bottom"/>
          </w:tcPr>
          <w:p w:rsidR="00656000" w:rsidRPr="005E0DC9" w:rsidRDefault="00656000" w:rsidP="00656000">
            <w:pPr>
              <w:jc w:val="center"/>
              <w:rPr>
                <w:rFonts w:ascii="Arial Narrow" w:hAnsi="Arial Narrow"/>
                <w:sz w:val="20"/>
              </w:rPr>
            </w:pPr>
            <w:r w:rsidRPr="005E0DC9">
              <w:rPr>
                <w:rFonts w:ascii="Arial Narrow" w:hAnsi="Arial Narrow"/>
                <w:sz w:val="20"/>
              </w:rPr>
              <w:t>NR</w:t>
            </w:r>
          </w:p>
        </w:tc>
        <w:tc>
          <w:tcPr>
            <w:tcW w:w="537" w:type="pct"/>
            <w:vAlign w:val="bottom"/>
          </w:tcPr>
          <w:p w:rsidR="00656000" w:rsidRPr="005E0DC9" w:rsidRDefault="00656000" w:rsidP="00656000">
            <w:pPr>
              <w:jc w:val="center"/>
              <w:rPr>
                <w:rFonts w:ascii="Arial Narrow" w:hAnsi="Arial Narrow"/>
                <w:sz w:val="20"/>
              </w:rPr>
            </w:pPr>
            <w:r w:rsidRPr="005E0DC9">
              <w:rPr>
                <w:rFonts w:ascii="Arial Narrow" w:hAnsi="Arial Narrow"/>
                <w:sz w:val="20"/>
              </w:rPr>
              <w:t>NR</w:t>
            </w:r>
          </w:p>
        </w:tc>
        <w:tc>
          <w:tcPr>
            <w:tcW w:w="690"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NC</w:t>
            </w:r>
          </w:p>
        </w:tc>
        <w:tc>
          <w:tcPr>
            <w:tcW w:w="643"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NC</w:t>
            </w:r>
          </w:p>
        </w:tc>
      </w:tr>
      <w:tr w:rsidR="00656000" w:rsidRPr="005E0DC9" w:rsidTr="00F61067">
        <w:tc>
          <w:tcPr>
            <w:tcW w:w="782" w:type="pct"/>
            <w:shd w:val="clear" w:color="auto" w:fill="auto"/>
            <w:vAlign w:val="center"/>
          </w:tcPr>
          <w:p w:rsidR="00656000" w:rsidRPr="005E0DC9" w:rsidRDefault="00656000" w:rsidP="00656000">
            <w:pPr>
              <w:rPr>
                <w:rFonts w:ascii="Arial Narrow" w:hAnsi="Arial Narrow"/>
                <w:sz w:val="20"/>
              </w:rPr>
            </w:pPr>
            <w:r w:rsidRPr="005E0DC9">
              <w:rPr>
                <w:rFonts w:ascii="Arial Narrow" w:hAnsi="Arial Narrow"/>
                <w:sz w:val="20"/>
              </w:rPr>
              <w:t>COMPLEMENT-1</w:t>
            </w:r>
          </w:p>
        </w:tc>
        <w:tc>
          <w:tcPr>
            <w:tcW w:w="537" w:type="pct"/>
            <w:shd w:val="clear" w:color="auto" w:fill="auto"/>
            <w:vAlign w:val="center"/>
          </w:tcPr>
          <w:p w:rsidR="00656000" w:rsidRPr="005E0DC9" w:rsidRDefault="00656000" w:rsidP="00656000">
            <w:pPr>
              <w:jc w:val="center"/>
              <w:rPr>
                <w:rFonts w:ascii="Arial Narrow" w:hAnsi="Arial Narrow"/>
                <w:sz w:val="20"/>
              </w:rPr>
            </w:pPr>
            <w:proofErr w:type="spellStart"/>
            <w:r w:rsidRPr="005E0DC9">
              <w:rPr>
                <w:rFonts w:ascii="Arial Narrow" w:hAnsi="Arial Narrow"/>
                <w:sz w:val="20"/>
              </w:rPr>
              <w:t>Ofa+chl</w:t>
            </w:r>
            <w:proofErr w:type="spellEnd"/>
          </w:p>
        </w:tc>
        <w:tc>
          <w:tcPr>
            <w:tcW w:w="60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182/217 (83.9%)</w:t>
            </w:r>
          </w:p>
        </w:tc>
        <w:tc>
          <w:tcPr>
            <w:tcW w:w="61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148/227 (65.2%)</w:t>
            </w:r>
          </w:p>
        </w:tc>
        <w:tc>
          <w:tcPr>
            <w:tcW w:w="593" w:type="pct"/>
            <w:vAlign w:val="bottom"/>
          </w:tcPr>
          <w:p w:rsidR="00656000" w:rsidRPr="005E0DC9" w:rsidRDefault="00656000" w:rsidP="005C0211">
            <w:pPr>
              <w:jc w:val="center"/>
              <w:rPr>
                <w:rFonts w:ascii="Arial Narrow" w:hAnsi="Arial Narrow"/>
                <w:b/>
                <w:sz w:val="20"/>
              </w:rPr>
            </w:pPr>
            <w:r w:rsidRPr="005E0DC9">
              <w:rPr>
                <w:rFonts w:ascii="Arial Narrow" w:hAnsi="Arial Narrow"/>
                <w:b/>
                <w:sz w:val="20"/>
              </w:rPr>
              <w:t xml:space="preserve">1.29 </w:t>
            </w:r>
          </w:p>
          <w:p w:rsidR="00656000" w:rsidRPr="005E0DC9" w:rsidRDefault="00656000" w:rsidP="005C0211">
            <w:pPr>
              <w:jc w:val="center"/>
              <w:rPr>
                <w:rFonts w:ascii="Arial Narrow" w:hAnsi="Arial Narrow"/>
                <w:b/>
                <w:sz w:val="20"/>
              </w:rPr>
            </w:pPr>
            <w:r w:rsidRPr="005E0DC9">
              <w:rPr>
                <w:rFonts w:ascii="Arial Narrow" w:hAnsi="Arial Narrow"/>
                <w:b/>
                <w:sz w:val="20"/>
              </w:rPr>
              <w:t>(1.15, 1.44)</w:t>
            </w:r>
          </w:p>
        </w:tc>
        <w:tc>
          <w:tcPr>
            <w:tcW w:w="537" w:type="pct"/>
            <w:vAlign w:val="bottom"/>
          </w:tcPr>
          <w:p w:rsidR="00656000" w:rsidRPr="005E0DC9" w:rsidRDefault="00656000" w:rsidP="005C0211">
            <w:pPr>
              <w:jc w:val="center"/>
              <w:rPr>
                <w:rFonts w:ascii="Arial Narrow" w:hAnsi="Arial Narrow"/>
                <w:b/>
                <w:sz w:val="20"/>
              </w:rPr>
            </w:pPr>
            <w:r w:rsidRPr="005E0DC9">
              <w:rPr>
                <w:rFonts w:ascii="Arial Narrow" w:hAnsi="Arial Narrow"/>
                <w:b/>
                <w:sz w:val="20"/>
              </w:rPr>
              <w:t xml:space="preserve">18.7 </w:t>
            </w:r>
          </w:p>
          <w:p w:rsidR="00656000" w:rsidRPr="005E0DC9" w:rsidRDefault="00656000" w:rsidP="005C0211">
            <w:pPr>
              <w:jc w:val="center"/>
              <w:rPr>
                <w:rFonts w:ascii="Arial Narrow" w:hAnsi="Arial Narrow"/>
                <w:b/>
                <w:sz w:val="20"/>
              </w:rPr>
            </w:pPr>
            <w:r w:rsidRPr="005E0DC9">
              <w:rPr>
                <w:rFonts w:ascii="Arial Narrow" w:hAnsi="Arial Narrow"/>
                <w:b/>
                <w:sz w:val="20"/>
              </w:rPr>
              <w:t>(10.8, 26.6)</w:t>
            </w:r>
          </w:p>
        </w:tc>
        <w:tc>
          <w:tcPr>
            <w:tcW w:w="690" w:type="pct"/>
            <w:shd w:val="clear" w:color="auto" w:fill="auto"/>
            <w:vAlign w:val="center"/>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643" w:type="pct"/>
            <w:shd w:val="clear" w:color="auto" w:fill="auto"/>
            <w:vAlign w:val="center"/>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r>
      <w:tr w:rsidR="00656000" w:rsidRPr="005E0DC9" w:rsidTr="00B723FA">
        <w:tc>
          <w:tcPr>
            <w:tcW w:w="5000" w:type="pct"/>
            <w:gridSpan w:val="8"/>
            <w:shd w:val="clear" w:color="auto" w:fill="auto"/>
            <w:vAlign w:val="center"/>
          </w:tcPr>
          <w:p w:rsidR="00656000" w:rsidRPr="005E0DC9" w:rsidRDefault="00656000" w:rsidP="00656000">
            <w:pPr>
              <w:rPr>
                <w:rFonts w:ascii="Arial Narrow" w:hAnsi="Arial Narrow"/>
                <w:b/>
                <w:sz w:val="20"/>
              </w:rPr>
            </w:pPr>
            <w:r w:rsidRPr="005E0DC9">
              <w:rPr>
                <w:rFonts w:ascii="Arial Narrow" w:hAnsi="Arial Narrow"/>
                <w:b/>
                <w:sz w:val="20"/>
              </w:rPr>
              <w:t>Withdrawal due to AE</w:t>
            </w:r>
          </w:p>
        </w:tc>
      </w:tr>
      <w:tr w:rsidR="00656000" w:rsidRPr="005E0DC9" w:rsidTr="00F61067">
        <w:tc>
          <w:tcPr>
            <w:tcW w:w="782" w:type="pct"/>
            <w:shd w:val="clear" w:color="auto" w:fill="auto"/>
            <w:vAlign w:val="center"/>
          </w:tcPr>
          <w:p w:rsidR="00656000" w:rsidRPr="005E0DC9" w:rsidRDefault="00656000" w:rsidP="00656000">
            <w:pPr>
              <w:rPr>
                <w:rFonts w:ascii="Arial Narrow" w:hAnsi="Arial Narrow"/>
                <w:sz w:val="20"/>
              </w:rPr>
            </w:pPr>
            <w:r w:rsidRPr="005E0DC9">
              <w:rPr>
                <w:rFonts w:ascii="Arial Narrow" w:hAnsi="Arial Narrow"/>
                <w:sz w:val="20"/>
              </w:rPr>
              <w:t>RESONATE-2</w:t>
            </w:r>
          </w:p>
        </w:tc>
        <w:tc>
          <w:tcPr>
            <w:tcW w:w="537" w:type="pct"/>
            <w:shd w:val="clear" w:color="auto" w:fill="auto"/>
            <w:vAlign w:val="center"/>
          </w:tcPr>
          <w:p w:rsidR="00656000" w:rsidRPr="005E0DC9" w:rsidRDefault="00656000" w:rsidP="00656000">
            <w:pPr>
              <w:jc w:val="center"/>
              <w:rPr>
                <w:rFonts w:ascii="Arial Narrow" w:hAnsi="Arial Narrow"/>
                <w:sz w:val="20"/>
              </w:rPr>
            </w:pPr>
            <w:proofErr w:type="spellStart"/>
            <w:r w:rsidRPr="005E0DC9">
              <w:rPr>
                <w:rFonts w:ascii="Arial Narrow" w:hAnsi="Arial Narrow"/>
                <w:sz w:val="20"/>
              </w:rPr>
              <w:t>Ibr</w:t>
            </w:r>
            <w:proofErr w:type="spellEnd"/>
          </w:p>
        </w:tc>
        <w:tc>
          <w:tcPr>
            <w:tcW w:w="604" w:type="pct"/>
            <w:shd w:val="clear" w:color="auto" w:fill="auto"/>
            <w:vAlign w:val="bottom"/>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614" w:type="pct"/>
            <w:shd w:val="clear" w:color="auto" w:fill="auto"/>
            <w:vAlign w:val="bottom"/>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593" w:type="pct"/>
            <w:vAlign w:val="bottom"/>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537" w:type="pct"/>
            <w:vAlign w:val="bottom"/>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690"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w:t>
            </w:r>
          </w:p>
        </w:tc>
        <w:tc>
          <w:tcPr>
            <w:tcW w:w="643" w:type="pct"/>
            <w:shd w:val="clear" w:color="auto" w:fill="auto"/>
            <w:vAlign w:val="center"/>
          </w:tcPr>
          <w:p w:rsidR="00656000" w:rsidRPr="005E0DC9" w:rsidRDefault="00656000" w:rsidP="00656000">
            <w:pPr>
              <w:jc w:val="center"/>
              <w:rPr>
                <w:rFonts w:ascii="Arial Narrow" w:hAnsi="Arial Narrow"/>
                <w:sz w:val="20"/>
              </w:rPr>
            </w:pPr>
            <w:r w:rsidRPr="005E0DC9">
              <w:rPr>
                <w:rFonts w:ascii="Arial Narrow" w:hAnsi="Arial Narrow"/>
                <w:sz w:val="20"/>
              </w:rPr>
              <w:t>-</w:t>
            </w:r>
          </w:p>
        </w:tc>
      </w:tr>
      <w:tr w:rsidR="00656000" w:rsidRPr="005E0DC9" w:rsidTr="00F61067">
        <w:tc>
          <w:tcPr>
            <w:tcW w:w="782" w:type="pct"/>
            <w:vMerge w:val="restart"/>
            <w:shd w:val="clear" w:color="auto" w:fill="auto"/>
            <w:vAlign w:val="center"/>
          </w:tcPr>
          <w:p w:rsidR="00656000" w:rsidRPr="005E0DC9" w:rsidRDefault="00656000" w:rsidP="00656000">
            <w:pPr>
              <w:rPr>
                <w:rFonts w:ascii="Arial Narrow" w:hAnsi="Arial Narrow"/>
                <w:sz w:val="20"/>
              </w:rPr>
            </w:pPr>
            <w:r w:rsidRPr="005E0DC9">
              <w:rPr>
                <w:rFonts w:ascii="Arial Narrow" w:hAnsi="Arial Narrow"/>
                <w:sz w:val="20"/>
              </w:rPr>
              <w:t>CLL11</w:t>
            </w:r>
          </w:p>
        </w:tc>
        <w:tc>
          <w:tcPr>
            <w:tcW w:w="537" w:type="pct"/>
            <w:shd w:val="clear" w:color="auto" w:fill="auto"/>
            <w:vAlign w:val="center"/>
          </w:tcPr>
          <w:p w:rsidR="00656000" w:rsidRPr="005E0DC9" w:rsidRDefault="00656000" w:rsidP="00656000">
            <w:pPr>
              <w:jc w:val="center"/>
              <w:rPr>
                <w:rFonts w:ascii="Arial Narrow" w:hAnsi="Arial Narrow"/>
                <w:sz w:val="20"/>
              </w:rPr>
            </w:pPr>
            <w:proofErr w:type="spellStart"/>
            <w:r w:rsidRPr="005E0DC9">
              <w:rPr>
                <w:rFonts w:ascii="Arial Narrow" w:hAnsi="Arial Narrow"/>
                <w:sz w:val="20"/>
              </w:rPr>
              <w:t>Ritux+chl</w:t>
            </w:r>
            <w:proofErr w:type="spellEnd"/>
          </w:p>
        </w:tc>
        <w:tc>
          <w:tcPr>
            <w:tcW w:w="60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 xml:space="preserve">16/225 </w:t>
            </w:r>
          </w:p>
          <w:p w:rsidR="00656000" w:rsidRPr="005E0DC9" w:rsidRDefault="00656000" w:rsidP="00656000">
            <w:pPr>
              <w:jc w:val="center"/>
              <w:rPr>
                <w:rFonts w:ascii="Arial Narrow" w:hAnsi="Arial Narrow"/>
                <w:sz w:val="20"/>
              </w:rPr>
            </w:pPr>
            <w:r w:rsidRPr="005E0DC9">
              <w:rPr>
                <w:rFonts w:ascii="Arial Narrow" w:hAnsi="Arial Narrow"/>
                <w:sz w:val="20"/>
              </w:rPr>
              <w:t>(7.1%)</w:t>
            </w:r>
          </w:p>
        </w:tc>
        <w:tc>
          <w:tcPr>
            <w:tcW w:w="61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16/116 (13.8%)</w:t>
            </w:r>
          </w:p>
        </w:tc>
        <w:tc>
          <w:tcPr>
            <w:tcW w:w="593" w:type="pct"/>
            <w:vAlign w:val="bottom"/>
          </w:tcPr>
          <w:p w:rsidR="00656000" w:rsidRPr="005E0DC9" w:rsidRDefault="00656000" w:rsidP="005C0211">
            <w:pPr>
              <w:jc w:val="center"/>
              <w:rPr>
                <w:rFonts w:ascii="Arial Narrow" w:hAnsi="Arial Narrow"/>
                <w:b/>
                <w:sz w:val="20"/>
              </w:rPr>
            </w:pPr>
            <w:r w:rsidRPr="005E0DC9">
              <w:rPr>
                <w:rFonts w:ascii="Arial Narrow" w:hAnsi="Arial Narrow"/>
                <w:b/>
                <w:sz w:val="20"/>
              </w:rPr>
              <w:t xml:space="preserve">0.52 </w:t>
            </w:r>
          </w:p>
          <w:p w:rsidR="00656000" w:rsidRPr="005E0DC9" w:rsidRDefault="00656000" w:rsidP="00656000">
            <w:pPr>
              <w:jc w:val="center"/>
              <w:rPr>
                <w:rFonts w:ascii="Arial Narrow" w:hAnsi="Arial Narrow"/>
                <w:sz w:val="20"/>
              </w:rPr>
            </w:pPr>
            <w:r w:rsidRPr="005E0DC9">
              <w:rPr>
                <w:rFonts w:ascii="Arial Narrow" w:hAnsi="Arial Narrow"/>
                <w:b/>
                <w:sz w:val="20"/>
              </w:rPr>
              <w:t>(0.27, 0.99)</w:t>
            </w:r>
          </w:p>
        </w:tc>
        <w:tc>
          <w:tcPr>
            <w:tcW w:w="537" w:type="pct"/>
            <w:vAlign w:val="bottom"/>
          </w:tcPr>
          <w:p w:rsidR="00656000" w:rsidRPr="005E0DC9" w:rsidRDefault="00656000" w:rsidP="00656000">
            <w:pPr>
              <w:jc w:val="center"/>
              <w:rPr>
                <w:rFonts w:ascii="Arial Narrow" w:hAnsi="Arial Narrow"/>
                <w:sz w:val="20"/>
              </w:rPr>
            </w:pPr>
            <w:r w:rsidRPr="005E0DC9">
              <w:rPr>
                <w:rFonts w:ascii="Arial Narrow" w:hAnsi="Arial Narrow"/>
                <w:sz w:val="20"/>
              </w:rPr>
              <w:t xml:space="preserve">-6.7 </w:t>
            </w:r>
          </w:p>
          <w:p w:rsidR="00656000" w:rsidRPr="005E0DC9" w:rsidRDefault="00656000" w:rsidP="00656000">
            <w:pPr>
              <w:jc w:val="center"/>
              <w:rPr>
                <w:rFonts w:ascii="Arial Narrow" w:hAnsi="Arial Narrow"/>
                <w:sz w:val="20"/>
              </w:rPr>
            </w:pPr>
            <w:r w:rsidRPr="005E0DC9">
              <w:rPr>
                <w:rFonts w:ascii="Arial Narrow" w:hAnsi="Arial Narrow"/>
                <w:sz w:val="20"/>
              </w:rPr>
              <w:t>(-13.8, 0.4)</w:t>
            </w:r>
          </w:p>
        </w:tc>
        <w:tc>
          <w:tcPr>
            <w:tcW w:w="690" w:type="pct"/>
            <w:shd w:val="clear" w:color="auto" w:fill="auto"/>
            <w:vAlign w:val="center"/>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643" w:type="pct"/>
            <w:shd w:val="clear" w:color="auto" w:fill="auto"/>
            <w:vAlign w:val="center"/>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r>
      <w:tr w:rsidR="00656000" w:rsidRPr="005E0DC9" w:rsidTr="00F61067">
        <w:tc>
          <w:tcPr>
            <w:tcW w:w="782" w:type="pct"/>
            <w:vMerge/>
            <w:shd w:val="clear" w:color="auto" w:fill="auto"/>
            <w:vAlign w:val="center"/>
          </w:tcPr>
          <w:p w:rsidR="00656000" w:rsidRPr="005E0DC9" w:rsidRDefault="00656000" w:rsidP="00656000">
            <w:pPr>
              <w:rPr>
                <w:rFonts w:ascii="Arial Narrow" w:hAnsi="Arial Narrow"/>
                <w:sz w:val="20"/>
              </w:rPr>
            </w:pPr>
          </w:p>
        </w:tc>
        <w:tc>
          <w:tcPr>
            <w:tcW w:w="537" w:type="pct"/>
            <w:shd w:val="clear" w:color="auto" w:fill="auto"/>
            <w:vAlign w:val="center"/>
          </w:tcPr>
          <w:p w:rsidR="00656000" w:rsidRPr="005E0DC9" w:rsidRDefault="00656000" w:rsidP="00656000">
            <w:pPr>
              <w:jc w:val="center"/>
              <w:rPr>
                <w:rFonts w:ascii="Arial Narrow" w:hAnsi="Arial Narrow"/>
                <w:sz w:val="20"/>
              </w:rPr>
            </w:pPr>
            <w:proofErr w:type="spellStart"/>
            <w:r w:rsidRPr="005E0DC9">
              <w:rPr>
                <w:rFonts w:ascii="Arial Narrow" w:hAnsi="Arial Narrow"/>
                <w:sz w:val="20"/>
              </w:rPr>
              <w:t>Obi+chl</w:t>
            </w:r>
            <w:proofErr w:type="spellEnd"/>
          </w:p>
        </w:tc>
        <w:tc>
          <w:tcPr>
            <w:tcW w:w="60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33/241 (13.7%)</w:t>
            </w:r>
          </w:p>
        </w:tc>
        <w:tc>
          <w:tcPr>
            <w:tcW w:w="61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16/116 (13.8%)</w:t>
            </w:r>
          </w:p>
        </w:tc>
        <w:tc>
          <w:tcPr>
            <w:tcW w:w="593" w:type="pct"/>
            <w:vAlign w:val="bottom"/>
          </w:tcPr>
          <w:p w:rsidR="00656000" w:rsidRPr="005E0DC9" w:rsidRDefault="00656000" w:rsidP="00656000">
            <w:pPr>
              <w:jc w:val="center"/>
              <w:rPr>
                <w:rFonts w:ascii="Arial Narrow" w:hAnsi="Arial Narrow"/>
                <w:sz w:val="20"/>
              </w:rPr>
            </w:pPr>
            <w:r w:rsidRPr="005E0DC9">
              <w:rPr>
                <w:rFonts w:ascii="Arial Narrow" w:hAnsi="Arial Narrow"/>
                <w:sz w:val="20"/>
              </w:rPr>
              <w:t xml:space="preserve">0.99 </w:t>
            </w:r>
          </w:p>
          <w:p w:rsidR="00656000" w:rsidRPr="005E0DC9" w:rsidRDefault="00656000" w:rsidP="00656000">
            <w:pPr>
              <w:jc w:val="center"/>
              <w:rPr>
                <w:rFonts w:ascii="Arial Narrow" w:hAnsi="Arial Narrow"/>
                <w:sz w:val="20"/>
              </w:rPr>
            </w:pPr>
            <w:r w:rsidRPr="005E0DC9">
              <w:rPr>
                <w:rFonts w:ascii="Arial Narrow" w:hAnsi="Arial Narrow"/>
                <w:sz w:val="20"/>
              </w:rPr>
              <w:t>(0.57, 1.73)</w:t>
            </w:r>
          </w:p>
        </w:tc>
        <w:tc>
          <w:tcPr>
            <w:tcW w:w="537" w:type="pct"/>
            <w:vAlign w:val="bottom"/>
          </w:tcPr>
          <w:p w:rsidR="00656000" w:rsidRPr="005E0DC9" w:rsidRDefault="00656000" w:rsidP="00656000">
            <w:pPr>
              <w:jc w:val="center"/>
              <w:rPr>
                <w:rFonts w:ascii="Arial Narrow" w:hAnsi="Arial Narrow"/>
                <w:sz w:val="20"/>
              </w:rPr>
            </w:pPr>
            <w:r w:rsidRPr="005E0DC9">
              <w:rPr>
                <w:rFonts w:ascii="Arial Narrow" w:hAnsi="Arial Narrow"/>
                <w:sz w:val="20"/>
              </w:rPr>
              <w:t xml:space="preserve">-0.1 </w:t>
            </w:r>
          </w:p>
          <w:p w:rsidR="00656000" w:rsidRPr="005E0DC9" w:rsidRDefault="00656000" w:rsidP="00656000">
            <w:pPr>
              <w:jc w:val="center"/>
              <w:rPr>
                <w:rFonts w:ascii="Arial Narrow" w:hAnsi="Arial Narrow"/>
                <w:sz w:val="20"/>
              </w:rPr>
            </w:pPr>
            <w:r w:rsidRPr="005E0DC9">
              <w:rPr>
                <w:rFonts w:ascii="Arial Narrow" w:hAnsi="Arial Narrow"/>
                <w:sz w:val="20"/>
              </w:rPr>
              <w:t>(-7.7, 7.5)</w:t>
            </w:r>
          </w:p>
        </w:tc>
        <w:tc>
          <w:tcPr>
            <w:tcW w:w="690" w:type="pct"/>
            <w:shd w:val="clear" w:color="auto" w:fill="auto"/>
            <w:vAlign w:val="center"/>
          </w:tcPr>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noProof/>
                <w:color w:val="000000"/>
                <w:sz w:val="20"/>
                <w:highlight w:val="black"/>
              </w:rPr>
              <w:t>''''''''''''''' '''''''''''''</w:t>
            </w:r>
          </w:p>
        </w:tc>
        <w:tc>
          <w:tcPr>
            <w:tcW w:w="643" w:type="pct"/>
            <w:shd w:val="clear" w:color="auto" w:fill="auto"/>
            <w:vAlign w:val="center"/>
          </w:tcPr>
          <w:p w:rsidR="00656000" w:rsidRPr="00773C23" w:rsidRDefault="00773C23" w:rsidP="00656000">
            <w:pPr>
              <w:jc w:val="center"/>
              <w:rPr>
                <w:rFonts w:ascii="Arial Narrow" w:hAnsi="Arial Narrow"/>
                <w:b/>
                <w:sz w:val="20"/>
                <w:highlight w:val="black"/>
              </w:rPr>
            </w:pPr>
            <w:r>
              <w:rPr>
                <w:rFonts w:ascii="Arial Narrow" w:hAnsi="Arial Narrow"/>
                <w:b/>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b/>
                <w:noProof/>
                <w:color w:val="000000"/>
                <w:sz w:val="20"/>
                <w:highlight w:val="black"/>
              </w:rPr>
              <w:t>'''''''''''''' ''''''''''''</w:t>
            </w:r>
          </w:p>
        </w:tc>
      </w:tr>
      <w:tr w:rsidR="00656000" w:rsidRPr="005E0DC9" w:rsidTr="00F61067">
        <w:tc>
          <w:tcPr>
            <w:tcW w:w="782" w:type="pct"/>
            <w:shd w:val="clear" w:color="auto" w:fill="auto"/>
            <w:vAlign w:val="center"/>
          </w:tcPr>
          <w:p w:rsidR="00656000" w:rsidRPr="005E0DC9" w:rsidRDefault="00656000" w:rsidP="00656000">
            <w:pPr>
              <w:rPr>
                <w:rFonts w:ascii="Arial Narrow" w:hAnsi="Arial Narrow"/>
                <w:sz w:val="20"/>
              </w:rPr>
            </w:pPr>
            <w:r w:rsidRPr="005E0DC9">
              <w:rPr>
                <w:rFonts w:ascii="Arial Narrow" w:hAnsi="Arial Narrow"/>
                <w:sz w:val="20"/>
              </w:rPr>
              <w:t>COMPLEMENT-1</w:t>
            </w:r>
          </w:p>
        </w:tc>
        <w:tc>
          <w:tcPr>
            <w:tcW w:w="537" w:type="pct"/>
            <w:shd w:val="clear" w:color="auto" w:fill="auto"/>
            <w:vAlign w:val="center"/>
          </w:tcPr>
          <w:p w:rsidR="00656000" w:rsidRPr="005E0DC9" w:rsidRDefault="00656000" w:rsidP="00656000">
            <w:pPr>
              <w:jc w:val="center"/>
              <w:rPr>
                <w:rFonts w:ascii="Arial Narrow" w:hAnsi="Arial Narrow"/>
                <w:sz w:val="20"/>
              </w:rPr>
            </w:pPr>
            <w:proofErr w:type="spellStart"/>
            <w:r w:rsidRPr="005E0DC9">
              <w:rPr>
                <w:rFonts w:ascii="Arial Narrow" w:hAnsi="Arial Narrow"/>
                <w:sz w:val="20"/>
              </w:rPr>
              <w:t>Ofa+chl</w:t>
            </w:r>
            <w:proofErr w:type="spellEnd"/>
          </w:p>
        </w:tc>
        <w:tc>
          <w:tcPr>
            <w:tcW w:w="60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28/217 (12.9%)</w:t>
            </w:r>
          </w:p>
        </w:tc>
        <w:tc>
          <w:tcPr>
            <w:tcW w:w="614" w:type="pct"/>
            <w:shd w:val="clear" w:color="auto" w:fill="auto"/>
            <w:vAlign w:val="bottom"/>
          </w:tcPr>
          <w:p w:rsidR="00656000" w:rsidRPr="005E0DC9" w:rsidRDefault="00656000" w:rsidP="00656000">
            <w:pPr>
              <w:jc w:val="center"/>
              <w:rPr>
                <w:rFonts w:ascii="Arial Narrow" w:hAnsi="Arial Narrow"/>
                <w:sz w:val="20"/>
              </w:rPr>
            </w:pPr>
            <w:r w:rsidRPr="005E0DC9">
              <w:rPr>
                <w:rFonts w:ascii="Arial Narrow" w:hAnsi="Arial Narrow"/>
                <w:sz w:val="20"/>
              </w:rPr>
              <w:t>29/227 (12.8%)</w:t>
            </w:r>
          </w:p>
        </w:tc>
        <w:tc>
          <w:tcPr>
            <w:tcW w:w="593" w:type="pct"/>
            <w:vAlign w:val="bottom"/>
          </w:tcPr>
          <w:p w:rsidR="00656000" w:rsidRPr="005E0DC9" w:rsidRDefault="00656000" w:rsidP="00656000">
            <w:pPr>
              <w:jc w:val="center"/>
              <w:rPr>
                <w:rFonts w:ascii="Arial Narrow" w:hAnsi="Arial Narrow"/>
                <w:sz w:val="20"/>
              </w:rPr>
            </w:pPr>
            <w:r w:rsidRPr="005E0DC9">
              <w:rPr>
                <w:rFonts w:ascii="Arial Narrow" w:hAnsi="Arial Narrow"/>
                <w:sz w:val="20"/>
              </w:rPr>
              <w:t xml:space="preserve">1.01 </w:t>
            </w:r>
          </w:p>
          <w:p w:rsidR="00656000" w:rsidRPr="005E0DC9" w:rsidRDefault="00656000" w:rsidP="00656000">
            <w:pPr>
              <w:jc w:val="center"/>
              <w:rPr>
                <w:rFonts w:ascii="Arial Narrow" w:hAnsi="Arial Narrow"/>
                <w:sz w:val="20"/>
              </w:rPr>
            </w:pPr>
            <w:r w:rsidRPr="005E0DC9">
              <w:rPr>
                <w:rFonts w:ascii="Arial Narrow" w:hAnsi="Arial Narrow"/>
                <w:sz w:val="20"/>
              </w:rPr>
              <w:t>(0.62, 1.64)</w:t>
            </w:r>
          </w:p>
        </w:tc>
        <w:tc>
          <w:tcPr>
            <w:tcW w:w="537" w:type="pct"/>
            <w:vAlign w:val="bottom"/>
          </w:tcPr>
          <w:p w:rsidR="00656000" w:rsidRPr="005E0DC9" w:rsidRDefault="00656000" w:rsidP="00656000">
            <w:pPr>
              <w:jc w:val="center"/>
              <w:rPr>
                <w:rFonts w:ascii="Arial Narrow" w:hAnsi="Arial Narrow"/>
                <w:sz w:val="20"/>
              </w:rPr>
            </w:pPr>
            <w:r w:rsidRPr="005E0DC9">
              <w:rPr>
                <w:rFonts w:ascii="Arial Narrow" w:hAnsi="Arial Narrow"/>
                <w:sz w:val="20"/>
              </w:rPr>
              <w:t xml:space="preserve">0.1 </w:t>
            </w:r>
          </w:p>
          <w:p w:rsidR="00656000" w:rsidRPr="005E0DC9" w:rsidRDefault="00656000" w:rsidP="00656000">
            <w:pPr>
              <w:jc w:val="center"/>
              <w:rPr>
                <w:rFonts w:ascii="Arial Narrow" w:hAnsi="Arial Narrow"/>
                <w:sz w:val="20"/>
              </w:rPr>
            </w:pPr>
            <w:r w:rsidRPr="005E0DC9">
              <w:rPr>
                <w:rFonts w:ascii="Arial Narrow" w:hAnsi="Arial Narrow"/>
                <w:sz w:val="20"/>
              </w:rPr>
              <w:t>(-6.1, 6.4)</w:t>
            </w:r>
          </w:p>
        </w:tc>
        <w:tc>
          <w:tcPr>
            <w:tcW w:w="690" w:type="pct"/>
            <w:shd w:val="clear" w:color="auto" w:fill="auto"/>
            <w:vAlign w:val="center"/>
          </w:tcPr>
          <w:p w:rsidR="00656000" w:rsidRPr="00773C23" w:rsidRDefault="00773C23" w:rsidP="00656000">
            <w:pPr>
              <w:jc w:val="center"/>
              <w:rPr>
                <w:rFonts w:ascii="Arial Narrow" w:hAnsi="Arial Narrow"/>
                <w:b/>
                <w:sz w:val="20"/>
                <w:highlight w:val="black"/>
              </w:rPr>
            </w:pPr>
            <w:r>
              <w:rPr>
                <w:rFonts w:ascii="Arial Narrow" w:hAnsi="Arial Narrow"/>
                <w:b/>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b/>
                <w:noProof/>
                <w:color w:val="000000"/>
                <w:sz w:val="20"/>
                <w:highlight w:val="black"/>
              </w:rPr>
              <w:t>''''''''''' '''''''''</w:t>
            </w:r>
          </w:p>
        </w:tc>
        <w:tc>
          <w:tcPr>
            <w:tcW w:w="643" w:type="pct"/>
            <w:shd w:val="clear" w:color="auto" w:fill="auto"/>
            <w:vAlign w:val="center"/>
          </w:tcPr>
          <w:p w:rsidR="00656000" w:rsidRPr="00773C23" w:rsidRDefault="00773C23" w:rsidP="00656000">
            <w:pPr>
              <w:jc w:val="center"/>
              <w:rPr>
                <w:rFonts w:ascii="Arial Narrow" w:hAnsi="Arial Narrow"/>
                <w:b/>
                <w:sz w:val="20"/>
                <w:highlight w:val="black"/>
              </w:rPr>
            </w:pPr>
            <w:r>
              <w:rPr>
                <w:rFonts w:ascii="Arial Narrow" w:hAnsi="Arial Narrow"/>
                <w:b/>
                <w:noProof/>
                <w:color w:val="000000"/>
                <w:sz w:val="20"/>
                <w:highlight w:val="black"/>
              </w:rPr>
              <w:t xml:space="preserve">''''''''''' </w:t>
            </w:r>
          </w:p>
          <w:p w:rsidR="00656000" w:rsidRPr="00773C23" w:rsidRDefault="00773C23" w:rsidP="00656000">
            <w:pPr>
              <w:jc w:val="center"/>
              <w:rPr>
                <w:rFonts w:ascii="Arial Narrow" w:hAnsi="Arial Narrow"/>
                <w:sz w:val="20"/>
                <w:highlight w:val="black"/>
              </w:rPr>
            </w:pPr>
            <w:r>
              <w:rPr>
                <w:rFonts w:ascii="Arial Narrow" w:hAnsi="Arial Narrow"/>
                <w:b/>
                <w:noProof/>
                <w:color w:val="000000"/>
                <w:sz w:val="20"/>
                <w:highlight w:val="black"/>
              </w:rPr>
              <w:t>'''''''''''''' ''''''''''''</w:t>
            </w:r>
          </w:p>
        </w:tc>
      </w:tr>
    </w:tbl>
    <w:p w:rsidR="00656000" w:rsidRPr="005E0DC9" w:rsidRDefault="00656000" w:rsidP="00656000">
      <w:pPr>
        <w:pStyle w:val="TableFooter"/>
      </w:pPr>
      <w:proofErr w:type="spellStart"/>
      <w:r w:rsidRPr="005E0DC9">
        <w:t>Chl</w:t>
      </w:r>
      <w:proofErr w:type="spellEnd"/>
      <w:r w:rsidRPr="005E0DC9">
        <w:t>=</w:t>
      </w:r>
      <w:proofErr w:type="spellStart"/>
      <w:r w:rsidRPr="005E0DC9">
        <w:t>chlorambucil</w:t>
      </w:r>
      <w:proofErr w:type="spellEnd"/>
      <w:r w:rsidRPr="005E0DC9">
        <w:t xml:space="preserve">; </w:t>
      </w:r>
      <w:proofErr w:type="spellStart"/>
      <w:r w:rsidRPr="005E0DC9">
        <w:t>Ibr</w:t>
      </w:r>
      <w:proofErr w:type="spellEnd"/>
      <w:r w:rsidRPr="005E0DC9">
        <w:t>=</w:t>
      </w:r>
      <w:proofErr w:type="spellStart"/>
      <w:r w:rsidRPr="005E0DC9">
        <w:t>ibrutinib</w:t>
      </w:r>
      <w:proofErr w:type="spellEnd"/>
      <w:r w:rsidRPr="005E0DC9">
        <w:t>; NC=</w:t>
      </w:r>
      <w:proofErr w:type="spellStart"/>
      <w:r w:rsidRPr="005E0DC9">
        <w:t>not</w:t>
      </w:r>
      <w:proofErr w:type="spellEnd"/>
      <w:r w:rsidRPr="005E0DC9">
        <w:t xml:space="preserve"> calculable; NR=not reported; Obi=</w:t>
      </w:r>
      <w:proofErr w:type="spellStart"/>
      <w:r w:rsidRPr="005E0DC9">
        <w:t>obinutuzumab</w:t>
      </w:r>
      <w:proofErr w:type="spellEnd"/>
      <w:r w:rsidRPr="005E0DC9">
        <w:t xml:space="preserve">; </w:t>
      </w:r>
      <w:proofErr w:type="spellStart"/>
      <w:r w:rsidRPr="005E0DC9">
        <w:t>Ofa</w:t>
      </w:r>
      <w:proofErr w:type="spellEnd"/>
      <w:r w:rsidRPr="005E0DC9">
        <w:t>=</w:t>
      </w:r>
      <w:proofErr w:type="spellStart"/>
      <w:r w:rsidRPr="005E0DC9">
        <w:t>ofatumumab</w:t>
      </w:r>
      <w:proofErr w:type="spellEnd"/>
      <w:r w:rsidRPr="005E0DC9">
        <w:t xml:space="preserve">; RD=risk difference; RR=relative risk; </w:t>
      </w:r>
      <w:r w:rsidRPr="005E0DC9">
        <w:rPr>
          <w:b/>
        </w:rPr>
        <w:t>bold</w:t>
      </w:r>
      <w:r w:rsidRPr="005E0DC9">
        <w:t>=statistically significant</w:t>
      </w:r>
    </w:p>
    <w:p w:rsidR="00656000" w:rsidRPr="005E0DC9" w:rsidRDefault="00656000" w:rsidP="00656000">
      <w:pPr>
        <w:pStyle w:val="TableFooter"/>
      </w:pPr>
      <w:r w:rsidRPr="005E0DC9">
        <w:t xml:space="preserve">Source: Table Bii.49, p91 and Table Bii.50, p92 of Section </w:t>
      </w:r>
      <w:proofErr w:type="spellStart"/>
      <w:r w:rsidRPr="005E0DC9">
        <w:t>Bii</w:t>
      </w:r>
      <w:proofErr w:type="spellEnd"/>
      <w:r w:rsidRPr="005E0DC9">
        <w:t xml:space="preserve"> of the submission.</w:t>
      </w:r>
    </w:p>
    <w:p w:rsidR="00656000" w:rsidRPr="005E0DC9" w:rsidRDefault="00656000"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indirect comparisons indicated no statistically significant differences between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and the comparators for severe AEs or treatment-related AEs, although there were significantly more withdrawals due to AEs for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and </w:t>
      </w:r>
      <w:proofErr w:type="spellStart"/>
      <w:r w:rsidRPr="005E0DC9">
        <w:rPr>
          <w:rFonts w:ascii="Calibri" w:eastAsia="Calibri" w:hAnsi="Calibri"/>
          <w:snapToGrid/>
          <w:sz w:val="24"/>
          <w:szCs w:val="22"/>
        </w:rPr>
        <w:t>ofa+chl</w:t>
      </w:r>
      <w:proofErr w:type="spellEnd"/>
      <w:r w:rsidRPr="005E0DC9">
        <w:rPr>
          <w:rFonts w:ascii="Calibri" w:eastAsia="Calibri" w:hAnsi="Calibri"/>
          <w:snapToGrid/>
          <w:sz w:val="24"/>
          <w:szCs w:val="22"/>
        </w:rPr>
        <w:t xml:space="preserve"> compared to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The difference in the withdrawal rates for the common arm (</w:t>
      </w:r>
      <w:r w:rsidR="00773C23">
        <w:rPr>
          <w:rFonts w:ascii="Calibri" w:eastAsia="Calibri" w:hAnsi="Calibri"/>
          <w:noProof/>
          <w:snapToGrid/>
          <w:color w:val="000000"/>
          <w:sz w:val="24"/>
          <w:szCs w:val="22"/>
          <w:highlight w:val="black"/>
        </w:rPr>
        <w:t>'''''''''</w:t>
      </w:r>
      <w:r w:rsidRPr="005E0DC9">
        <w:rPr>
          <w:rFonts w:ascii="Calibri" w:eastAsia="Calibri" w:hAnsi="Calibri"/>
          <w:snapToGrid/>
          <w:sz w:val="24"/>
          <w:szCs w:val="22"/>
        </w:rPr>
        <w:t xml:space="preserve">% for RESONATE-2 vs 12.8% for COMPLEMENT-1 and 13.8% for CLL11) limit the conclusions that can be drawn from this comparison. For the comparison of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and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the statistically significant difference was observed based on risk difference only, while the relative risk analysis did not return a significant result. </w:t>
      </w:r>
    </w:p>
    <w:p w:rsidR="00656000" w:rsidRPr="005E0DC9" w:rsidRDefault="00656000"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submission concluded that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has a numerically similar overall incidence of adverse events but a different AE profile than the comparators, which would be expected when comparing a non-cyto</w:t>
      </w:r>
      <w:r w:rsidR="004415FB" w:rsidRPr="005E0DC9">
        <w:rPr>
          <w:rFonts w:ascii="Calibri" w:eastAsia="Calibri" w:hAnsi="Calibri"/>
          <w:snapToGrid/>
          <w:sz w:val="24"/>
          <w:szCs w:val="22"/>
        </w:rPr>
        <w:t>to</w:t>
      </w:r>
      <w:r w:rsidRPr="005E0DC9">
        <w:rPr>
          <w:rFonts w:ascii="Calibri" w:eastAsia="Calibri" w:hAnsi="Calibri"/>
          <w:snapToGrid/>
          <w:sz w:val="24"/>
          <w:szCs w:val="22"/>
        </w:rPr>
        <w:t>xic treatment with a cyto</w:t>
      </w:r>
      <w:r w:rsidR="004415FB" w:rsidRPr="005E0DC9">
        <w:rPr>
          <w:rFonts w:ascii="Calibri" w:eastAsia="Calibri" w:hAnsi="Calibri"/>
          <w:snapToGrid/>
          <w:sz w:val="24"/>
          <w:szCs w:val="22"/>
        </w:rPr>
        <w:t>to</w:t>
      </w:r>
      <w:r w:rsidRPr="005E0DC9">
        <w:rPr>
          <w:rFonts w:ascii="Calibri" w:eastAsia="Calibri" w:hAnsi="Calibri"/>
          <w:snapToGrid/>
          <w:sz w:val="24"/>
          <w:szCs w:val="22"/>
        </w:rPr>
        <w:t>xic chemotherapy treatment.</w:t>
      </w:r>
    </w:p>
    <w:p w:rsidR="00656000" w:rsidRPr="005E0DC9" w:rsidRDefault="00656000"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PBAC identified the occurrence of atrial fibrillation (AF) with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in relation to the November 2016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submission for relapsed/refractory mantle cell lymphoma.  The PBAC noted emerging data suggesting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may be associated with an increased risk of </w:t>
      </w:r>
      <w:r w:rsidR="004415FB" w:rsidRPr="005E0DC9">
        <w:rPr>
          <w:rFonts w:ascii="Calibri" w:eastAsia="Calibri" w:hAnsi="Calibri"/>
          <w:snapToGrid/>
          <w:sz w:val="24"/>
          <w:szCs w:val="22"/>
        </w:rPr>
        <w:t>AF</w:t>
      </w:r>
      <w:r w:rsidRPr="005E0DC9">
        <w:rPr>
          <w:rFonts w:ascii="Calibri" w:eastAsia="Calibri" w:hAnsi="Calibri"/>
          <w:snapToGrid/>
          <w:sz w:val="24"/>
          <w:szCs w:val="22"/>
        </w:rPr>
        <w:t xml:space="preserve"> (paragraph 7.7, November 2016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PSD). The PBAC also considered that the costs associated with monitoring for </w:t>
      </w:r>
      <w:r w:rsidR="004415FB" w:rsidRPr="005E0DC9">
        <w:rPr>
          <w:rFonts w:ascii="Calibri" w:eastAsia="Calibri" w:hAnsi="Calibri"/>
          <w:snapToGrid/>
          <w:sz w:val="24"/>
          <w:szCs w:val="22"/>
        </w:rPr>
        <w:t>AF</w:t>
      </w:r>
      <w:r w:rsidRPr="005E0DC9">
        <w:rPr>
          <w:rFonts w:ascii="Calibri" w:eastAsia="Calibri" w:hAnsi="Calibri"/>
          <w:snapToGrid/>
          <w:sz w:val="24"/>
          <w:szCs w:val="22"/>
        </w:rPr>
        <w:t xml:space="preserve"> should be included in the economic model and financial forecasts for any re-submission for mantle cell lymphoma (paragraph 7.8, November 2016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PSD).</w:t>
      </w:r>
    </w:p>
    <w:p w:rsidR="00656000" w:rsidRPr="005E0DC9" w:rsidRDefault="005C0211" w:rsidP="00FA1A53">
      <w:pPr>
        <w:widowControl/>
        <w:numPr>
          <w:ilvl w:val="1"/>
          <w:numId w:val="11"/>
        </w:numPr>
        <w:spacing w:before="120" w:after="120"/>
        <w:ind w:left="709" w:hanging="709"/>
        <w:rPr>
          <w:rFonts w:ascii="Calibri" w:eastAsia="Calibri" w:hAnsi="Calibri"/>
          <w:i/>
          <w:snapToGrid/>
          <w:sz w:val="24"/>
          <w:szCs w:val="22"/>
        </w:rPr>
      </w:pPr>
      <w:r w:rsidRPr="005E0DC9">
        <w:rPr>
          <w:rFonts w:ascii="Calibri" w:eastAsia="Calibri" w:hAnsi="Calibri"/>
          <w:snapToGrid/>
          <w:sz w:val="24"/>
          <w:szCs w:val="22"/>
        </w:rPr>
        <w:lastRenderedPageBreak/>
        <w:t>The</w:t>
      </w:r>
      <w:r w:rsidR="00656000" w:rsidRPr="005E0DC9">
        <w:rPr>
          <w:rFonts w:ascii="Calibri" w:eastAsia="Calibri" w:hAnsi="Calibri"/>
          <w:snapToGrid/>
          <w:sz w:val="24"/>
          <w:szCs w:val="22"/>
        </w:rPr>
        <w:t xml:space="preserve"> submission reported AF data from RESONATE-2.  The submission reported that AF was reported in 8 patients (5.9%) and atrial flutter in </w:t>
      </w:r>
      <w:r w:rsidR="00773C23">
        <w:rPr>
          <w:rFonts w:ascii="Calibri" w:eastAsia="Calibri" w:hAnsi="Calibri"/>
          <w:noProof/>
          <w:snapToGrid/>
          <w:color w:val="000000"/>
          <w:sz w:val="24"/>
          <w:szCs w:val="22"/>
          <w:highlight w:val="black"/>
        </w:rPr>
        <w:t>''' ''''''''''''''''' ''''''''''''</w:t>
      </w:r>
      <w:r w:rsidR="00656000" w:rsidRPr="005E0DC9">
        <w:rPr>
          <w:rFonts w:ascii="Calibri" w:eastAsia="Calibri" w:hAnsi="Calibri"/>
          <w:snapToGrid/>
          <w:sz w:val="24"/>
          <w:szCs w:val="22"/>
        </w:rPr>
        <w:t xml:space="preserve">; and </w:t>
      </w:r>
      <w:r w:rsidR="00773C23">
        <w:rPr>
          <w:rFonts w:ascii="Calibri" w:eastAsia="Calibri" w:hAnsi="Calibri"/>
          <w:noProof/>
          <w:snapToGrid/>
          <w:color w:val="000000"/>
          <w:sz w:val="24"/>
          <w:szCs w:val="22"/>
          <w:highlight w:val="black"/>
        </w:rPr>
        <w:t>''' ''''''''''''''''' '''''''''''</w:t>
      </w:r>
      <w:r w:rsidR="00656000" w:rsidRPr="005E0DC9">
        <w:rPr>
          <w:rFonts w:ascii="Calibri" w:eastAsia="Calibri" w:hAnsi="Calibri"/>
          <w:snapToGrid/>
          <w:sz w:val="24"/>
          <w:szCs w:val="22"/>
        </w:rPr>
        <w:t xml:space="preserve"> discontinued due to </w:t>
      </w:r>
      <w:r w:rsidR="004415FB" w:rsidRPr="005E0DC9">
        <w:rPr>
          <w:rFonts w:ascii="Calibri" w:eastAsia="Calibri" w:hAnsi="Calibri"/>
          <w:snapToGrid/>
          <w:sz w:val="24"/>
          <w:szCs w:val="22"/>
        </w:rPr>
        <w:t>AF</w:t>
      </w:r>
      <w:r w:rsidR="00656000" w:rsidRPr="005E0DC9">
        <w:rPr>
          <w:rFonts w:ascii="Calibri" w:eastAsia="Calibri" w:hAnsi="Calibri"/>
          <w:snapToGrid/>
          <w:sz w:val="24"/>
          <w:szCs w:val="22"/>
        </w:rPr>
        <w:t xml:space="preserve">.  </w:t>
      </w:r>
      <w:r w:rsidR="004415FB" w:rsidRPr="005E0DC9">
        <w:rPr>
          <w:rFonts w:ascii="Calibri" w:eastAsia="Calibri" w:hAnsi="Calibri"/>
          <w:snapToGrid/>
          <w:sz w:val="24"/>
          <w:szCs w:val="22"/>
        </w:rPr>
        <w:t>AF</w:t>
      </w:r>
      <w:r w:rsidR="00656000" w:rsidRPr="005E0DC9">
        <w:rPr>
          <w:rFonts w:ascii="Calibri" w:eastAsia="Calibri" w:hAnsi="Calibri"/>
          <w:snapToGrid/>
          <w:sz w:val="24"/>
          <w:szCs w:val="22"/>
        </w:rPr>
        <w:t xml:space="preserve"> was reported for 1 patient (0.8%) in the </w:t>
      </w:r>
      <w:proofErr w:type="spellStart"/>
      <w:r w:rsidR="00656000" w:rsidRPr="005E0DC9">
        <w:rPr>
          <w:rFonts w:ascii="Calibri" w:eastAsia="Calibri" w:hAnsi="Calibri"/>
          <w:snapToGrid/>
          <w:sz w:val="24"/>
          <w:szCs w:val="22"/>
        </w:rPr>
        <w:t>chlorambucil</w:t>
      </w:r>
      <w:proofErr w:type="spellEnd"/>
      <w:r w:rsidR="00656000" w:rsidRPr="005E0DC9">
        <w:rPr>
          <w:rFonts w:ascii="Calibri" w:eastAsia="Calibri" w:hAnsi="Calibri"/>
          <w:snapToGrid/>
          <w:sz w:val="24"/>
          <w:szCs w:val="22"/>
        </w:rPr>
        <w:t xml:space="preserve"> arm of the trial.  The submission claimed that in general AF was a transient event resulting in infrequent discontinuation of </w:t>
      </w:r>
      <w:proofErr w:type="spellStart"/>
      <w:r w:rsidR="00656000" w:rsidRPr="005E0DC9">
        <w:rPr>
          <w:rFonts w:ascii="Calibri" w:eastAsia="Calibri" w:hAnsi="Calibri"/>
          <w:snapToGrid/>
          <w:sz w:val="24"/>
          <w:szCs w:val="22"/>
        </w:rPr>
        <w:t>ibrutinib</w:t>
      </w:r>
      <w:proofErr w:type="spellEnd"/>
      <w:r w:rsidR="00656000" w:rsidRPr="005E0DC9">
        <w:rPr>
          <w:rFonts w:ascii="Calibri" w:eastAsia="Calibri" w:hAnsi="Calibri"/>
          <w:snapToGrid/>
          <w:sz w:val="24"/>
          <w:szCs w:val="22"/>
        </w:rPr>
        <w:t xml:space="preserve">, and that based on post-marketing data, the reporting rate of AF was comparable to the expected background rates of AF in the general population (p126 of Section Bi of the submission).  </w:t>
      </w:r>
    </w:p>
    <w:p w:rsidR="00656000" w:rsidRPr="005E0DC9" w:rsidRDefault="00656000"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During the evaluation the following articles discussing AF with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were identified:  </w:t>
      </w:r>
    </w:p>
    <w:p w:rsidR="00656000" w:rsidRPr="005E0DC9" w:rsidRDefault="00656000" w:rsidP="00FA1A53">
      <w:pPr>
        <w:widowControl/>
        <w:numPr>
          <w:ilvl w:val="0"/>
          <w:numId w:val="5"/>
        </w:numPr>
        <w:spacing w:before="120" w:after="160"/>
        <w:ind w:left="993" w:hanging="284"/>
        <w:rPr>
          <w:rFonts w:ascii="Calibri" w:eastAsia="Calibri" w:hAnsi="Calibri"/>
          <w:snapToGrid/>
          <w:sz w:val="24"/>
          <w:szCs w:val="22"/>
        </w:rPr>
      </w:pPr>
      <w:proofErr w:type="spellStart"/>
      <w:r w:rsidRPr="005E0DC9">
        <w:rPr>
          <w:rFonts w:ascii="Calibri" w:eastAsia="Calibri" w:hAnsi="Calibri"/>
          <w:snapToGrid/>
          <w:sz w:val="24"/>
          <w:szCs w:val="22"/>
        </w:rPr>
        <w:t>Asnani</w:t>
      </w:r>
      <w:proofErr w:type="spellEnd"/>
      <w:r w:rsidRPr="005E0DC9">
        <w:rPr>
          <w:rFonts w:ascii="Calibri" w:eastAsia="Calibri" w:hAnsi="Calibri"/>
          <w:snapToGrid/>
          <w:sz w:val="24"/>
          <w:szCs w:val="22"/>
        </w:rPr>
        <w:t xml:space="preserve"> 2016: The paper stated that specific targeted therapies such as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may contribute directly to the development of AF.  The </w:t>
      </w:r>
      <w:proofErr w:type="spellStart"/>
      <w:r w:rsidRPr="005E0DC9">
        <w:rPr>
          <w:rFonts w:ascii="Calibri" w:eastAsia="Calibri" w:hAnsi="Calibri"/>
          <w:snapToGrid/>
          <w:sz w:val="24"/>
          <w:szCs w:val="22"/>
        </w:rPr>
        <w:t>Asnani</w:t>
      </w:r>
      <w:proofErr w:type="spellEnd"/>
      <w:r w:rsidRPr="005E0DC9">
        <w:rPr>
          <w:rFonts w:ascii="Calibri" w:eastAsia="Calibri" w:hAnsi="Calibri"/>
          <w:snapToGrid/>
          <w:sz w:val="24"/>
          <w:szCs w:val="22"/>
        </w:rPr>
        <w:t xml:space="preserve"> paper went on to describe occurrence of AF in clinical trials of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w:t>
      </w:r>
      <w:proofErr w:type="spellStart"/>
      <w:r w:rsidRPr="005E0DC9">
        <w:rPr>
          <w:rFonts w:ascii="Calibri" w:eastAsia="Calibri" w:hAnsi="Calibri"/>
          <w:snapToGrid/>
          <w:sz w:val="24"/>
          <w:szCs w:val="22"/>
        </w:rPr>
        <w:t>eg</w:t>
      </w:r>
      <w:proofErr w:type="spellEnd"/>
      <w:r w:rsidRPr="005E0DC9">
        <w:rPr>
          <w:rFonts w:ascii="Calibri" w:eastAsia="Calibri" w:hAnsi="Calibri"/>
          <w:snapToGrid/>
          <w:sz w:val="24"/>
          <w:szCs w:val="22"/>
        </w:rPr>
        <w:t xml:space="preserve"> RESONATE, mantle cell lymphoma) and stated that elucidation of the molecular mechanisms underlying the development of AF will become increasingly important as indications for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and other BTK inhibitors expand over time.</w:t>
      </w:r>
    </w:p>
    <w:p w:rsidR="00656000" w:rsidRPr="005E0DC9" w:rsidRDefault="00656000" w:rsidP="00FA1A53">
      <w:pPr>
        <w:widowControl/>
        <w:numPr>
          <w:ilvl w:val="0"/>
          <w:numId w:val="5"/>
        </w:numPr>
        <w:spacing w:before="120" w:after="160"/>
        <w:ind w:left="993" w:hanging="284"/>
        <w:rPr>
          <w:rFonts w:ascii="Calibri" w:eastAsia="Calibri" w:hAnsi="Calibri"/>
          <w:snapToGrid/>
          <w:sz w:val="24"/>
          <w:szCs w:val="22"/>
        </w:rPr>
      </w:pPr>
      <w:r w:rsidRPr="005E0DC9">
        <w:rPr>
          <w:rFonts w:ascii="Calibri" w:eastAsia="Calibri" w:hAnsi="Calibri"/>
          <w:snapToGrid/>
          <w:sz w:val="24"/>
          <w:szCs w:val="22"/>
        </w:rPr>
        <w:t xml:space="preserve">Thompson 2016: This paper described a retrospective study of patients being treated for CLL who developed AF on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(n=56).  This study found that AF onset generally occurred between 3 and 8 months after initiation of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and 76% of patients developed AF during the first year of therapy.</w:t>
      </w:r>
    </w:p>
    <w:p w:rsidR="00656000" w:rsidRPr="005E0DC9" w:rsidRDefault="00656000" w:rsidP="00FA1A53">
      <w:pPr>
        <w:widowControl/>
        <w:numPr>
          <w:ilvl w:val="0"/>
          <w:numId w:val="5"/>
        </w:numPr>
        <w:spacing w:before="120" w:after="160"/>
        <w:ind w:left="993" w:hanging="284"/>
        <w:rPr>
          <w:rFonts w:ascii="Calibri" w:eastAsia="Calibri" w:hAnsi="Calibri"/>
          <w:snapToGrid/>
          <w:sz w:val="24"/>
          <w:szCs w:val="22"/>
        </w:rPr>
      </w:pPr>
      <w:proofErr w:type="spellStart"/>
      <w:r w:rsidRPr="005E0DC9">
        <w:rPr>
          <w:rFonts w:ascii="Calibri" w:eastAsia="Calibri" w:hAnsi="Calibri"/>
          <w:snapToGrid/>
          <w:sz w:val="24"/>
          <w:szCs w:val="22"/>
        </w:rPr>
        <w:t>Vrontikis</w:t>
      </w:r>
      <w:proofErr w:type="spellEnd"/>
      <w:r w:rsidRPr="005E0DC9">
        <w:rPr>
          <w:rFonts w:ascii="Calibri" w:eastAsia="Calibri" w:hAnsi="Calibri"/>
          <w:snapToGrid/>
          <w:sz w:val="24"/>
          <w:szCs w:val="22"/>
        </w:rPr>
        <w:t xml:space="preserve"> 2016: On the basis that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-related </w:t>
      </w:r>
      <w:r w:rsidR="004415FB" w:rsidRPr="005E0DC9">
        <w:rPr>
          <w:rFonts w:ascii="Calibri" w:eastAsia="Calibri" w:hAnsi="Calibri"/>
          <w:snapToGrid/>
          <w:sz w:val="24"/>
          <w:szCs w:val="22"/>
        </w:rPr>
        <w:t>AF</w:t>
      </w:r>
      <w:r w:rsidRPr="005E0DC9">
        <w:rPr>
          <w:rFonts w:ascii="Calibri" w:eastAsia="Calibri" w:hAnsi="Calibri"/>
          <w:snapToGrid/>
          <w:sz w:val="24"/>
          <w:szCs w:val="22"/>
        </w:rPr>
        <w:t xml:space="preserve"> occurs in up to 11% of patients in clinical trials, the </w:t>
      </w:r>
      <w:proofErr w:type="spellStart"/>
      <w:r w:rsidRPr="005E0DC9">
        <w:rPr>
          <w:rFonts w:ascii="Calibri" w:eastAsia="Calibri" w:hAnsi="Calibri"/>
          <w:snapToGrid/>
          <w:sz w:val="24"/>
          <w:szCs w:val="22"/>
        </w:rPr>
        <w:t>Vrontikis</w:t>
      </w:r>
      <w:proofErr w:type="spellEnd"/>
      <w:r w:rsidRPr="005E0DC9">
        <w:rPr>
          <w:rFonts w:ascii="Calibri" w:eastAsia="Calibri" w:hAnsi="Calibri"/>
          <w:snapToGrid/>
          <w:sz w:val="24"/>
          <w:szCs w:val="22"/>
        </w:rPr>
        <w:t xml:space="preserve"> paper presented a proposed algorithm for managing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-related </w:t>
      </w:r>
      <w:r w:rsidR="004415FB" w:rsidRPr="005E0DC9">
        <w:rPr>
          <w:rFonts w:ascii="Calibri" w:eastAsia="Calibri" w:hAnsi="Calibri"/>
          <w:snapToGrid/>
          <w:sz w:val="24"/>
          <w:szCs w:val="22"/>
        </w:rPr>
        <w:t>AF</w:t>
      </w:r>
      <w:r w:rsidRPr="005E0DC9">
        <w:rPr>
          <w:rFonts w:ascii="Calibri" w:eastAsia="Calibri" w:hAnsi="Calibri"/>
          <w:snapToGrid/>
          <w:sz w:val="24"/>
          <w:szCs w:val="22"/>
        </w:rPr>
        <w:t>.</w:t>
      </w:r>
    </w:p>
    <w:p w:rsidR="00656000" w:rsidRPr="005E0DC9" w:rsidRDefault="00656000" w:rsidP="00FA1A53">
      <w:pPr>
        <w:widowControl/>
        <w:numPr>
          <w:ilvl w:val="0"/>
          <w:numId w:val="5"/>
        </w:numPr>
        <w:spacing w:before="120" w:after="120"/>
        <w:ind w:left="993" w:hanging="284"/>
        <w:rPr>
          <w:rFonts w:ascii="Calibri" w:eastAsia="Calibri" w:hAnsi="Calibri"/>
          <w:snapToGrid/>
          <w:sz w:val="24"/>
          <w:szCs w:val="22"/>
        </w:rPr>
      </w:pPr>
      <w:r w:rsidRPr="005E0DC9">
        <w:rPr>
          <w:rFonts w:ascii="Calibri" w:eastAsia="Calibri" w:hAnsi="Calibri"/>
          <w:snapToGrid/>
          <w:sz w:val="24"/>
          <w:szCs w:val="22"/>
        </w:rPr>
        <w:t xml:space="preserve">Leong 2016:  The authors conducted a systematic review and meta-analysis to estimate the magnitude of the increase in AF risk among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recipients as compared to alternative therapies and to quantify the frequency of AF reported among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recipients.  A total of 20 trials were included in the overall meta-analysis.  The pooled rate of AF among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recipients across all 20 trials was 3.3 (95% CI: 2.5, 4.1) per 100 person-years while the pooled rate of AF among participants receiving non-</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therapy in the trials was 0.84 (95% CI: 0.32, 1.6) per 100 person-years.  Based on analysis of 4 randomised trials of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the pooled relative risk of AF associated with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versus the comparator was 3.5 (95% CI: 1.8, 6.9).</w:t>
      </w:r>
    </w:p>
    <w:p w:rsidR="00C36146" w:rsidRPr="005E0DC9" w:rsidRDefault="00C36146"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 xml:space="preserve">The ESC noted there is </w:t>
      </w:r>
      <w:r w:rsidR="00DB29C8" w:rsidRPr="005E0DC9">
        <w:rPr>
          <w:rFonts w:asciiTheme="minorHAnsi" w:hAnsiTheme="minorHAnsi"/>
          <w:sz w:val="24"/>
          <w:szCs w:val="24"/>
        </w:rPr>
        <w:t xml:space="preserve">also </w:t>
      </w:r>
      <w:r w:rsidRPr="005E0DC9">
        <w:rPr>
          <w:rFonts w:asciiTheme="minorHAnsi" w:hAnsiTheme="minorHAnsi"/>
          <w:sz w:val="24"/>
          <w:szCs w:val="24"/>
        </w:rPr>
        <w:t xml:space="preserve">an increased risk </w:t>
      </w:r>
      <w:r w:rsidR="00506C5D" w:rsidRPr="005E0DC9">
        <w:rPr>
          <w:rFonts w:asciiTheme="minorHAnsi" w:hAnsiTheme="minorHAnsi"/>
          <w:sz w:val="24"/>
          <w:szCs w:val="24"/>
        </w:rPr>
        <w:t xml:space="preserve">of bleeding in patients taking </w:t>
      </w:r>
      <w:proofErr w:type="spellStart"/>
      <w:r w:rsidR="00506C5D" w:rsidRPr="005E0DC9">
        <w:rPr>
          <w:rFonts w:asciiTheme="minorHAnsi" w:hAnsiTheme="minorHAnsi"/>
          <w:sz w:val="24"/>
          <w:szCs w:val="24"/>
        </w:rPr>
        <w:t>i</w:t>
      </w:r>
      <w:r w:rsidRPr="005E0DC9">
        <w:rPr>
          <w:rFonts w:asciiTheme="minorHAnsi" w:hAnsiTheme="minorHAnsi"/>
          <w:sz w:val="24"/>
          <w:szCs w:val="24"/>
        </w:rPr>
        <w:t>brutinib</w:t>
      </w:r>
      <w:proofErr w:type="spellEnd"/>
      <w:r w:rsidRPr="005E0DC9">
        <w:rPr>
          <w:rFonts w:asciiTheme="minorHAnsi" w:hAnsiTheme="minorHAnsi"/>
          <w:sz w:val="24"/>
          <w:szCs w:val="24"/>
        </w:rPr>
        <w:t xml:space="preserve"> and it is contraindicated in patients with high bleeding risk including those who are on anticoagulant medications.</w:t>
      </w:r>
      <w:r w:rsidR="00BC634F" w:rsidRPr="005E0DC9">
        <w:rPr>
          <w:rFonts w:asciiTheme="minorHAnsi" w:hAnsiTheme="minorHAnsi"/>
          <w:sz w:val="24"/>
          <w:szCs w:val="24"/>
        </w:rPr>
        <w:t xml:space="preserve"> </w:t>
      </w:r>
      <w:r w:rsidRPr="005E0DC9">
        <w:rPr>
          <w:rFonts w:asciiTheme="minorHAnsi" w:hAnsiTheme="minorHAnsi"/>
          <w:sz w:val="24"/>
          <w:szCs w:val="24"/>
        </w:rPr>
        <w:t>Haemorrh</w:t>
      </w:r>
      <w:r w:rsidR="00BC634F" w:rsidRPr="005E0DC9">
        <w:rPr>
          <w:rFonts w:asciiTheme="minorHAnsi" w:hAnsiTheme="minorHAnsi"/>
          <w:sz w:val="24"/>
          <w:szCs w:val="24"/>
        </w:rPr>
        <w:t>age and bruising are listed as v</w:t>
      </w:r>
      <w:r w:rsidRPr="005E0DC9">
        <w:rPr>
          <w:rFonts w:asciiTheme="minorHAnsi" w:hAnsiTheme="minorHAnsi"/>
          <w:sz w:val="24"/>
          <w:szCs w:val="24"/>
        </w:rPr>
        <w:t>ery common</w:t>
      </w:r>
      <w:r w:rsidR="002F581A" w:rsidRPr="005E0DC9">
        <w:rPr>
          <w:rFonts w:asciiTheme="minorHAnsi" w:hAnsiTheme="minorHAnsi"/>
          <w:sz w:val="24"/>
          <w:szCs w:val="24"/>
        </w:rPr>
        <w:t xml:space="preserve"> treatment-emergent adverse drug reactions</w:t>
      </w:r>
      <w:r w:rsidR="00BC634F" w:rsidRPr="005E0DC9">
        <w:rPr>
          <w:rFonts w:asciiTheme="minorHAnsi" w:hAnsiTheme="minorHAnsi"/>
          <w:sz w:val="24"/>
          <w:szCs w:val="24"/>
        </w:rPr>
        <w:t xml:space="preserve"> in the </w:t>
      </w:r>
      <w:proofErr w:type="spellStart"/>
      <w:r w:rsidR="00BC634F" w:rsidRPr="005E0DC9">
        <w:rPr>
          <w:rFonts w:asciiTheme="minorHAnsi" w:hAnsiTheme="minorHAnsi"/>
          <w:sz w:val="24"/>
          <w:szCs w:val="24"/>
        </w:rPr>
        <w:t>ibrutinib</w:t>
      </w:r>
      <w:proofErr w:type="spellEnd"/>
      <w:r w:rsidR="00BC634F" w:rsidRPr="005E0DC9">
        <w:rPr>
          <w:rFonts w:asciiTheme="minorHAnsi" w:hAnsiTheme="minorHAnsi"/>
          <w:sz w:val="24"/>
          <w:szCs w:val="24"/>
        </w:rPr>
        <w:t xml:space="preserve"> Product Information</w:t>
      </w:r>
      <w:r w:rsidRPr="005E0DC9">
        <w:rPr>
          <w:rFonts w:asciiTheme="minorHAnsi" w:hAnsiTheme="minorHAnsi"/>
          <w:sz w:val="24"/>
          <w:szCs w:val="24"/>
        </w:rPr>
        <w:t xml:space="preserve">, with </w:t>
      </w:r>
      <w:r w:rsidR="002F581A" w:rsidRPr="005E0DC9">
        <w:rPr>
          <w:rFonts w:asciiTheme="minorHAnsi" w:hAnsiTheme="minorHAnsi"/>
          <w:sz w:val="24"/>
          <w:szCs w:val="24"/>
        </w:rPr>
        <w:t xml:space="preserve">other </w:t>
      </w:r>
      <w:r w:rsidRPr="005E0DC9">
        <w:rPr>
          <w:rFonts w:asciiTheme="minorHAnsi" w:hAnsiTheme="minorHAnsi"/>
          <w:sz w:val="24"/>
          <w:szCs w:val="24"/>
        </w:rPr>
        <w:t xml:space="preserve">common events being subdural haematoma, </w:t>
      </w:r>
      <w:proofErr w:type="spellStart"/>
      <w:r w:rsidRPr="005E0DC9">
        <w:rPr>
          <w:rFonts w:asciiTheme="minorHAnsi" w:hAnsiTheme="minorHAnsi"/>
          <w:sz w:val="24"/>
          <w:szCs w:val="24"/>
        </w:rPr>
        <w:t>petechiae</w:t>
      </w:r>
      <w:proofErr w:type="spellEnd"/>
      <w:r w:rsidRPr="005E0DC9">
        <w:rPr>
          <w:rFonts w:asciiTheme="minorHAnsi" w:hAnsiTheme="minorHAnsi"/>
          <w:sz w:val="24"/>
          <w:szCs w:val="24"/>
        </w:rPr>
        <w:t xml:space="preserve">, </w:t>
      </w:r>
      <w:r w:rsidR="0031593C" w:rsidRPr="005E0DC9">
        <w:rPr>
          <w:rFonts w:asciiTheme="minorHAnsi" w:hAnsiTheme="minorHAnsi"/>
          <w:sz w:val="24"/>
          <w:szCs w:val="24"/>
        </w:rPr>
        <w:t>and epistaxis</w:t>
      </w:r>
      <w:r w:rsidRPr="005E0DC9">
        <w:rPr>
          <w:rFonts w:asciiTheme="minorHAnsi" w:hAnsiTheme="minorHAnsi"/>
          <w:sz w:val="24"/>
          <w:szCs w:val="24"/>
        </w:rPr>
        <w:t xml:space="preserve">. The incidence is decreased in subsequent clinical trials including RESONATE-2 </w:t>
      </w:r>
      <w:r w:rsidR="00867110" w:rsidRPr="005E0DC9">
        <w:rPr>
          <w:rFonts w:asciiTheme="minorHAnsi" w:hAnsiTheme="minorHAnsi"/>
          <w:sz w:val="24"/>
          <w:szCs w:val="24"/>
        </w:rPr>
        <w:t xml:space="preserve">likely </w:t>
      </w:r>
      <w:r w:rsidRPr="005E0DC9">
        <w:rPr>
          <w:rFonts w:asciiTheme="minorHAnsi" w:hAnsiTheme="minorHAnsi"/>
          <w:sz w:val="24"/>
          <w:szCs w:val="24"/>
        </w:rPr>
        <w:t>due to stringent exclusion criteria of patients at high bleeding risk</w:t>
      </w:r>
      <w:r w:rsidR="00BC634F" w:rsidRPr="005E0DC9">
        <w:rPr>
          <w:rFonts w:asciiTheme="minorHAnsi" w:hAnsiTheme="minorHAnsi"/>
          <w:sz w:val="24"/>
          <w:szCs w:val="24"/>
        </w:rPr>
        <w:t>.</w:t>
      </w:r>
    </w:p>
    <w:p w:rsidR="00740A17" w:rsidRPr="005E0DC9" w:rsidRDefault="00740A17" w:rsidP="00740A17">
      <w:pPr>
        <w:pStyle w:val="ListParagraph"/>
        <w:widowControl/>
        <w:spacing w:after="120"/>
        <w:ind w:left="709"/>
        <w:contextualSpacing w:val="0"/>
        <w:rPr>
          <w:rFonts w:asciiTheme="minorHAnsi" w:hAnsiTheme="minorHAnsi"/>
          <w:sz w:val="24"/>
          <w:szCs w:val="24"/>
        </w:rPr>
      </w:pPr>
      <w:r w:rsidRPr="005E0DC9">
        <w:rPr>
          <w:rFonts w:asciiTheme="minorHAnsi" w:hAnsiTheme="minorHAnsi"/>
          <w:i/>
          <w:sz w:val="24"/>
          <w:szCs w:val="24"/>
        </w:rPr>
        <w:t>For more detail on PBAC’s view, see section 7 PBAC outcome.</w:t>
      </w:r>
    </w:p>
    <w:p w:rsidR="00656000" w:rsidRPr="005E0DC9" w:rsidRDefault="00656000" w:rsidP="00747F75">
      <w:pPr>
        <w:keepNext/>
        <w:keepLines/>
        <w:widowControl/>
        <w:spacing w:before="240" w:after="120"/>
        <w:outlineLvl w:val="1"/>
        <w:rPr>
          <w:rFonts w:ascii="Calibri" w:eastAsia="MS Gothic" w:hAnsi="Calibri" w:cs="Times New Roman"/>
          <w:b/>
          <w:i/>
          <w:snapToGrid/>
          <w:sz w:val="28"/>
          <w:szCs w:val="28"/>
        </w:rPr>
      </w:pPr>
      <w:bookmarkStart w:id="30" w:name="_Toc363984492"/>
      <w:bookmarkStart w:id="31" w:name="_Toc413139281"/>
      <w:r w:rsidRPr="005E0DC9">
        <w:rPr>
          <w:rFonts w:ascii="Calibri" w:eastAsia="MS Gothic" w:hAnsi="Calibri" w:cs="Times New Roman"/>
          <w:b/>
          <w:i/>
          <w:snapToGrid/>
          <w:sz w:val="28"/>
          <w:szCs w:val="28"/>
        </w:rPr>
        <w:lastRenderedPageBreak/>
        <w:t>Benefits and harms</w:t>
      </w:r>
      <w:bookmarkEnd w:id="30"/>
    </w:p>
    <w:p w:rsidR="00656000" w:rsidRPr="005E0DC9" w:rsidRDefault="00656000"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 xml:space="preserve">The indirect comparisons demonstrated a statistically significant reduction in the risk of progression and death with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compared with </w:t>
      </w:r>
      <w:proofErr w:type="spellStart"/>
      <w:r w:rsidRPr="005E0DC9">
        <w:rPr>
          <w:rFonts w:asciiTheme="minorHAnsi" w:hAnsiTheme="minorHAnsi"/>
          <w:sz w:val="24"/>
          <w:szCs w:val="24"/>
        </w:rPr>
        <w:t>ritux+chl</w:t>
      </w:r>
      <w:proofErr w:type="spellEnd"/>
      <w:r w:rsidRPr="005E0DC9">
        <w:rPr>
          <w:rFonts w:asciiTheme="minorHAnsi" w:hAnsiTheme="minorHAnsi"/>
          <w:sz w:val="24"/>
          <w:szCs w:val="24"/>
        </w:rPr>
        <w:t xml:space="preserve"> and </w:t>
      </w:r>
      <w:proofErr w:type="spellStart"/>
      <w:r w:rsidRPr="005E0DC9">
        <w:rPr>
          <w:rFonts w:asciiTheme="minorHAnsi" w:hAnsiTheme="minorHAnsi"/>
          <w:sz w:val="24"/>
          <w:szCs w:val="24"/>
        </w:rPr>
        <w:t>ofa+chl</w:t>
      </w:r>
      <w:proofErr w:type="spellEnd"/>
      <w:r w:rsidRPr="005E0DC9">
        <w:rPr>
          <w:rFonts w:asciiTheme="minorHAnsi" w:hAnsiTheme="minorHAnsi"/>
          <w:sz w:val="24"/>
          <w:szCs w:val="24"/>
        </w:rPr>
        <w:t>. The magnitude of the benefit</w:t>
      </w:r>
      <w:r w:rsidR="00747F75" w:rsidRPr="005E0DC9">
        <w:rPr>
          <w:rFonts w:asciiTheme="minorHAnsi" w:hAnsiTheme="minorHAnsi"/>
          <w:sz w:val="24"/>
          <w:szCs w:val="24"/>
        </w:rPr>
        <w:t>s</w:t>
      </w:r>
      <w:r w:rsidRPr="005E0DC9">
        <w:rPr>
          <w:rFonts w:asciiTheme="minorHAnsi" w:hAnsiTheme="minorHAnsi"/>
          <w:sz w:val="24"/>
          <w:szCs w:val="24"/>
        </w:rPr>
        <w:t xml:space="preserve"> cannot be reliably quantified because of the low number of events in the trials, and in particular in the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trial.</w:t>
      </w:r>
    </w:p>
    <w:p w:rsidR="00656000" w:rsidRPr="005E0DC9" w:rsidRDefault="00656000"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 xml:space="preserve">The indirect comparisons did not demonstrate a statistically significant reduction in the risk of progression and death with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compared with </w:t>
      </w:r>
      <w:proofErr w:type="spellStart"/>
      <w:r w:rsidRPr="005E0DC9">
        <w:rPr>
          <w:rFonts w:asciiTheme="minorHAnsi" w:hAnsiTheme="minorHAnsi"/>
          <w:sz w:val="24"/>
          <w:szCs w:val="24"/>
        </w:rPr>
        <w:t>obi+chl</w:t>
      </w:r>
      <w:proofErr w:type="spellEnd"/>
      <w:r w:rsidRPr="005E0DC9">
        <w:rPr>
          <w:rFonts w:asciiTheme="minorHAnsi" w:hAnsiTheme="minorHAnsi"/>
          <w:sz w:val="24"/>
          <w:szCs w:val="24"/>
        </w:rPr>
        <w:t>.</w:t>
      </w:r>
    </w:p>
    <w:p w:rsidR="00656000" w:rsidRPr="005E0DC9" w:rsidRDefault="00656000"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 xml:space="preserve">On the basis of the indirect comparisons there were no statistically significant differences in severe adverse events (≥Grade 3) or treatment-related adverse events. An increased risk of atrial fibrillation has been observed with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treatment for CLL as well as other indications.</w:t>
      </w:r>
    </w:p>
    <w:p w:rsidR="00656000" w:rsidRPr="005E0DC9" w:rsidRDefault="00656000" w:rsidP="00656000">
      <w:pPr>
        <w:keepNext/>
        <w:keepLines/>
        <w:widowControl/>
        <w:spacing w:before="240" w:after="120"/>
        <w:jc w:val="left"/>
        <w:outlineLvl w:val="1"/>
        <w:rPr>
          <w:rFonts w:ascii="Calibri" w:eastAsia="MS Gothic" w:hAnsi="Calibri" w:cs="Times New Roman"/>
          <w:b/>
          <w:i/>
          <w:snapToGrid/>
          <w:sz w:val="28"/>
          <w:szCs w:val="28"/>
        </w:rPr>
      </w:pPr>
      <w:bookmarkStart w:id="32" w:name="_Toc363984493"/>
      <w:bookmarkEnd w:id="31"/>
      <w:r w:rsidRPr="005E0DC9">
        <w:rPr>
          <w:rFonts w:ascii="Calibri" w:eastAsia="MS Gothic" w:hAnsi="Calibri" w:cs="Times New Roman"/>
          <w:b/>
          <w:i/>
          <w:snapToGrid/>
          <w:sz w:val="28"/>
          <w:szCs w:val="28"/>
        </w:rPr>
        <w:t>Interpretation of clinical evidence</w:t>
      </w:r>
      <w:bookmarkEnd w:id="32"/>
    </w:p>
    <w:p w:rsidR="00656000" w:rsidRPr="005E0DC9" w:rsidRDefault="00656000"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 xml:space="preserve">The submission claimed that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has superior comparative effectiveness when compared to </w:t>
      </w:r>
      <w:proofErr w:type="spellStart"/>
      <w:r w:rsidRPr="005E0DC9">
        <w:rPr>
          <w:rFonts w:asciiTheme="minorHAnsi" w:hAnsiTheme="minorHAnsi"/>
          <w:sz w:val="24"/>
          <w:szCs w:val="24"/>
        </w:rPr>
        <w:t>obi+chl</w:t>
      </w:r>
      <w:proofErr w:type="spellEnd"/>
      <w:r w:rsidRPr="005E0DC9">
        <w:rPr>
          <w:rFonts w:asciiTheme="minorHAnsi" w:hAnsiTheme="minorHAnsi"/>
          <w:sz w:val="24"/>
          <w:szCs w:val="24"/>
        </w:rPr>
        <w:t xml:space="preserve">, </w:t>
      </w:r>
      <w:proofErr w:type="spellStart"/>
      <w:r w:rsidRPr="005E0DC9">
        <w:rPr>
          <w:rFonts w:asciiTheme="minorHAnsi" w:hAnsiTheme="minorHAnsi"/>
          <w:sz w:val="24"/>
          <w:szCs w:val="24"/>
        </w:rPr>
        <w:t>ritux+chl</w:t>
      </w:r>
      <w:proofErr w:type="spellEnd"/>
      <w:r w:rsidRPr="005E0DC9">
        <w:rPr>
          <w:rFonts w:asciiTheme="minorHAnsi" w:hAnsiTheme="minorHAnsi"/>
          <w:sz w:val="24"/>
          <w:szCs w:val="24"/>
        </w:rPr>
        <w:t xml:space="preserve"> and </w:t>
      </w:r>
      <w:proofErr w:type="spellStart"/>
      <w:r w:rsidRPr="005E0DC9">
        <w:rPr>
          <w:rFonts w:asciiTheme="minorHAnsi" w:hAnsiTheme="minorHAnsi"/>
          <w:sz w:val="24"/>
          <w:szCs w:val="24"/>
        </w:rPr>
        <w:t>ofa+chl</w:t>
      </w:r>
      <w:proofErr w:type="spellEnd"/>
      <w:r w:rsidRPr="005E0DC9">
        <w:rPr>
          <w:rFonts w:asciiTheme="minorHAnsi" w:hAnsiTheme="minorHAnsi"/>
          <w:sz w:val="24"/>
          <w:szCs w:val="24"/>
        </w:rPr>
        <w:t xml:space="preserve">.  In regard to safety, the submission claimed that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was non-inferior to the comparators, with a numerically similar incidence of adverse events but with a different safety profile, as would be expected when comparing a non-cyto</w:t>
      </w:r>
      <w:r w:rsidR="00AA1B1D" w:rsidRPr="005E0DC9">
        <w:rPr>
          <w:rFonts w:asciiTheme="minorHAnsi" w:hAnsiTheme="minorHAnsi"/>
          <w:sz w:val="24"/>
          <w:szCs w:val="24"/>
        </w:rPr>
        <w:t>to</w:t>
      </w:r>
      <w:r w:rsidRPr="005E0DC9">
        <w:rPr>
          <w:rFonts w:asciiTheme="minorHAnsi" w:hAnsiTheme="minorHAnsi"/>
          <w:sz w:val="24"/>
          <w:szCs w:val="24"/>
        </w:rPr>
        <w:t>xic treatment with a cyto</w:t>
      </w:r>
      <w:r w:rsidR="00AA1B1D" w:rsidRPr="005E0DC9">
        <w:rPr>
          <w:rFonts w:asciiTheme="minorHAnsi" w:hAnsiTheme="minorHAnsi"/>
          <w:sz w:val="24"/>
          <w:szCs w:val="24"/>
        </w:rPr>
        <w:t>to</w:t>
      </w:r>
      <w:r w:rsidRPr="005E0DC9">
        <w:rPr>
          <w:rFonts w:asciiTheme="minorHAnsi" w:hAnsiTheme="minorHAnsi"/>
          <w:sz w:val="24"/>
          <w:szCs w:val="24"/>
        </w:rPr>
        <w:t>xic chemotherapy regimen.</w:t>
      </w:r>
    </w:p>
    <w:p w:rsidR="00656000" w:rsidRPr="005E0DC9" w:rsidRDefault="00656000"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 xml:space="preserve">In regard to the claim of superior comparative effectiveness, while the evidence presented by the submission indicated statistically significant advantages for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compared to </w:t>
      </w:r>
      <w:proofErr w:type="spellStart"/>
      <w:r w:rsidRPr="005E0DC9">
        <w:rPr>
          <w:rFonts w:asciiTheme="minorHAnsi" w:hAnsiTheme="minorHAnsi"/>
          <w:sz w:val="24"/>
          <w:szCs w:val="24"/>
        </w:rPr>
        <w:t>ritux+chl</w:t>
      </w:r>
      <w:proofErr w:type="spellEnd"/>
      <w:r w:rsidRPr="005E0DC9">
        <w:rPr>
          <w:rFonts w:asciiTheme="minorHAnsi" w:hAnsiTheme="minorHAnsi"/>
          <w:sz w:val="24"/>
          <w:szCs w:val="24"/>
        </w:rPr>
        <w:t xml:space="preserve"> and </w:t>
      </w:r>
      <w:proofErr w:type="spellStart"/>
      <w:r w:rsidRPr="005E0DC9">
        <w:rPr>
          <w:rFonts w:asciiTheme="minorHAnsi" w:hAnsiTheme="minorHAnsi"/>
          <w:sz w:val="24"/>
          <w:szCs w:val="24"/>
        </w:rPr>
        <w:t>ofa+chl</w:t>
      </w:r>
      <w:proofErr w:type="spellEnd"/>
      <w:r w:rsidRPr="005E0DC9">
        <w:rPr>
          <w:rFonts w:asciiTheme="minorHAnsi" w:hAnsiTheme="minorHAnsi"/>
          <w:sz w:val="24"/>
          <w:szCs w:val="24"/>
        </w:rPr>
        <w:t xml:space="preserve">, there was no statistically significant advantage for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in terms of PFS or OS compared to </w:t>
      </w:r>
      <w:proofErr w:type="spellStart"/>
      <w:r w:rsidRPr="005E0DC9">
        <w:rPr>
          <w:rFonts w:asciiTheme="minorHAnsi" w:hAnsiTheme="minorHAnsi"/>
          <w:sz w:val="24"/>
          <w:szCs w:val="24"/>
        </w:rPr>
        <w:t>obi+chl</w:t>
      </w:r>
      <w:proofErr w:type="spellEnd"/>
      <w:r w:rsidRPr="005E0DC9">
        <w:rPr>
          <w:rFonts w:asciiTheme="minorHAnsi" w:hAnsiTheme="minorHAnsi"/>
          <w:sz w:val="24"/>
          <w:szCs w:val="24"/>
        </w:rPr>
        <w:t xml:space="preserve">.  </w:t>
      </w:r>
    </w:p>
    <w:p w:rsidR="00656000" w:rsidRPr="005E0DC9" w:rsidRDefault="00656000"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 xml:space="preserve">The submission considered that due to differences in </w:t>
      </w:r>
      <w:proofErr w:type="spellStart"/>
      <w:r w:rsidRPr="005E0DC9">
        <w:rPr>
          <w:rFonts w:asciiTheme="minorHAnsi" w:hAnsiTheme="minorHAnsi"/>
          <w:sz w:val="24"/>
          <w:szCs w:val="24"/>
        </w:rPr>
        <w:t>chlorambucil</w:t>
      </w:r>
      <w:proofErr w:type="spellEnd"/>
      <w:r w:rsidRPr="005E0DC9">
        <w:rPr>
          <w:rFonts w:asciiTheme="minorHAnsi" w:hAnsiTheme="minorHAnsi"/>
          <w:sz w:val="24"/>
          <w:szCs w:val="24"/>
        </w:rPr>
        <w:t xml:space="preserve"> dosing in RESONATE-2 and CLL11, the indirect comparisons were biased against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On the basis of a single arm comparison using data from RESONATE-2 and CLL11, the submission claimed a statistically significant advantage in PFS for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compared to </w:t>
      </w:r>
      <w:proofErr w:type="spellStart"/>
      <w:r w:rsidRPr="005E0DC9">
        <w:rPr>
          <w:rFonts w:asciiTheme="minorHAnsi" w:hAnsiTheme="minorHAnsi"/>
          <w:sz w:val="24"/>
          <w:szCs w:val="24"/>
        </w:rPr>
        <w:t>obi+chl</w:t>
      </w:r>
      <w:proofErr w:type="spellEnd"/>
      <w:r w:rsidRPr="005E0DC9">
        <w:rPr>
          <w:rFonts w:asciiTheme="minorHAnsi" w:hAnsiTheme="minorHAnsi"/>
          <w:sz w:val="24"/>
          <w:szCs w:val="24"/>
        </w:rPr>
        <w:t>.</w:t>
      </w:r>
      <w:r w:rsidRPr="005E0DC9">
        <w:rPr>
          <w:rFonts w:asciiTheme="minorHAnsi" w:hAnsiTheme="minorHAnsi"/>
          <w:i/>
          <w:sz w:val="24"/>
          <w:szCs w:val="24"/>
        </w:rPr>
        <w:t xml:space="preserve">  </w:t>
      </w:r>
      <w:r w:rsidR="00A7545A" w:rsidRPr="005E0DC9">
        <w:rPr>
          <w:rFonts w:asciiTheme="minorHAnsi" w:hAnsiTheme="minorHAnsi"/>
          <w:sz w:val="24"/>
          <w:szCs w:val="24"/>
        </w:rPr>
        <w:t>T</w:t>
      </w:r>
      <w:r w:rsidRPr="005E0DC9">
        <w:rPr>
          <w:rFonts w:asciiTheme="minorHAnsi" w:hAnsiTheme="minorHAnsi"/>
          <w:sz w:val="24"/>
          <w:szCs w:val="24"/>
        </w:rPr>
        <w:t xml:space="preserve">he PBAC </w:t>
      </w:r>
      <w:r w:rsidR="00A7545A" w:rsidRPr="005E0DC9">
        <w:rPr>
          <w:rFonts w:asciiTheme="minorHAnsi" w:hAnsiTheme="minorHAnsi"/>
          <w:sz w:val="24"/>
          <w:szCs w:val="24"/>
        </w:rPr>
        <w:t>reiterated that the</w:t>
      </w:r>
      <w:r w:rsidRPr="005E0DC9">
        <w:rPr>
          <w:rFonts w:asciiTheme="minorHAnsi" w:hAnsiTheme="minorHAnsi"/>
          <w:sz w:val="24"/>
          <w:szCs w:val="24"/>
        </w:rPr>
        <w:t xml:space="preserve"> variations in </w:t>
      </w:r>
      <w:proofErr w:type="spellStart"/>
      <w:r w:rsidRPr="005E0DC9">
        <w:rPr>
          <w:rFonts w:asciiTheme="minorHAnsi" w:hAnsiTheme="minorHAnsi"/>
          <w:sz w:val="24"/>
          <w:szCs w:val="24"/>
        </w:rPr>
        <w:t>chlorambucil</w:t>
      </w:r>
      <w:proofErr w:type="spellEnd"/>
      <w:r w:rsidRPr="005E0DC9">
        <w:rPr>
          <w:rFonts w:asciiTheme="minorHAnsi" w:hAnsiTheme="minorHAnsi"/>
          <w:sz w:val="24"/>
          <w:szCs w:val="24"/>
        </w:rPr>
        <w:t xml:space="preserve"> dosing </w:t>
      </w:r>
      <w:r w:rsidR="00A7545A" w:rsidRPr="005E0DC9">
        <w:rPr>
          <w:rFonts w:asciiTheme="minorHAnsi" w:hAnsiTheme="minorHAnsi"/>
          <w:sz w:val="24"/>
          <w:szCs w:val="24"/>
        </w:rPr>
        <w:t>were not a</w:t>
      </w:r>
      <w:r w:rsidRPr="005E0DC9">
        <w:rPr>
          <w:rFonts w:asciiTheme="minorHAnsi" w:hAnsiTheme="minorHAnsi"/>
          <w:sz w:val="24"/>
          <w:szCs w:val="24"/>
        </w:rPr>
        <w:t xml:space="preserve"> significant issue </w:t>
      </w:r>
      <w:r w:rsidR="00A7545A" w:rsidRPr="005E0DC9">
        <w:rPr>
          <w:rFonts w:asciiTheme="minorHAnsi" w:hAnsiTheme="minorHAnsi"/>
          <w:sz w:val="24"/>
          <w:szCs w:val="24"/>
        </w:rPr>
        <w:t>and</w:t>
      </w:r>
      <w:r w:rsidRPr="005E0DC9">
        <w:rPr>
          <w:rFonts w:asciiTheme="minorHAnsi" w:hAnsiTheme="minorHAnsi"/>
          <w:sz w:val="24"/>
          <w:szCs w:val="24"/>
        </w:rPr>
        <w:t xml:space="preserve"> it </w:t>
      </w:r>
      <w:r w:rsidR="00A7545A" w:rsidRPr="005E0DC9">
        <w:rPr>
          <w:rFonts w:asciiTheme="minorHAnsi" w:hAnsiTheme="minorHAnsi"/>
          <w:sz w:val="24"/>
          <w:szCs w:val="24"/>
        </w:rPr>
        <w:t>wa</w:t>
      </w:r>
      <w:r w:rsidR="002F581A" w:rsidRPr="005E0DC9">
        <w:rPr>
          <w:rFonts w:asciiTheme="minorHAnsi" w:hAnsiTheme="minorHAnsi"/>
          <w:sz w:val="24"/>
          <w:szCs w:val="24"/>
        </w:rPr>
        <w:t xml:space="preserve">s </w:t>
      </w:r>
      <w:r w:rsidRPr="005E0DC9">
        <w:rPr>
          <w:rFonts w:asciiTheme="minorHAnsi" w:hAnsiTheme="minorHAnsi"/>
          <w:sz w:val="24"/>
          <w:szCs w:val="24"/>
        </w:rPr>
        <w:t xml:space="preserve">not appropriate to replace an indirect comparison with a single arm comparison on the basis of differences in </w:t>
      </w:r>
      <w:proofErr w:type="spellStart"/>
      <w:r w:rsidRPr="005E0DC9">
        <w:rPr>
          <w:rFonts w:asciiTheme="minorHAnsi" w:hAnsiTheme="minorHAnsi"/>
          <w:sz w:val="24"/>
          <w:szCs w:val="24"/>
        </w:rPr>
        <w:t>chlorambucil</w:t>
      </w:r>
      <w:proofErr w:type="spellEnd"/>
      <w:r w:rsidRPr="005E0DC9">
        <w:rPr>
          <w:rFonts w:asciiTheme="minorHAnsi" w:hAnsiTheme="minorHAnsi"/>
          <w:sz w:val="24"/>
          <w:szCs w:val="24"/>
        </w:rPr>
        <w:t xml:space="preserve"> dosing.</w:t>
      </w:r>
    </w:p>
    <w:p w:rsidR="00F076A9" w:rsidRPr="005E0DC9" w:rsidRDefault="003263EF"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In</w:t>
      </w:r>
      <w:r w:rsidRPr="005E0DC9">
        <w:rPr>
          <w:rFonts w:asciiTheme="minorHAnsi" w:hAnsiTheme="minorHAnsi"/>
          <w:iCs/>
          <w:sz w:val="24"/>
          <w:szCs w:val="24"/>
        </w:rPr>
        <w:t xml:space="preserve"> regard to the claim of superior comparative effectiveness, </w:t>
      </w:r>
      <w:r w:rsidR="007F5933" w:rsidRPr="005E0DC9">
        <w:rPr>
          <w:rFonts w:asciiTheme="minorHAnsi" w:hAnsiTheme="minorHAnsi"/>
          <w:iCs/>
          <w:sz w:val="24"/>
          <w:szCs w:val="24"/>
        </w:rPr>
        <w:t xml:space="preserve">the ESC considered </w:t>
      </w:r>
      <w:r w:rsidRPr="005E0DC9">
        <w:rPr>
          <w:rFonts w:asciiTheme="minorHAnsi" w:hAnsiTheme="minorHAnsi"/>
          <w:iCs/>
          <w:sz w:val="24"/>
          <w:szCs w:val="24"/>
        </w:rPr>
        <w:t xml:space="preserve">while the evidence presented by the submission indicated statistically significant advantages for </w:t>
      </w:r>
      <w:proofErr w:type="spellStart"/>
      <w:r w:rsidRPr="005E0DC9">
        <w:rPr>
          <w:rFonts w:asciiTheme="minorHAnsi" w:hAnsiTheme="minorHAnsi"/>
          <w:iCs/>
          <w:sz w:val="24"/>
          <w:szCs w:val="24"/>
        </w:rPr>
        <w:t>ibrutinib</w:t>
      </w:r>
      <w:proofErr w:type="spellEnd"/>
      <w:r w:rsidRPr="005E0DC9">
        <w:rPr>
          <w:rFonts w:asciiTheme="minorHAnsi" w:hAnsiTheme="minorHAnsi"/>
          <w:iCs/>
          <w:sz w:val="24"/>
          <w:szCs w:val="24"/>
        </w:rPr>
        <w:t xml:space="preserve"> compared to </w:t>
      </w:r>
      <w:proofErr w:type="spellStart"/>
      <w:r w:rsidRPr="005E0DC9">
        <w:rPr>
          <w:rFonts w:asciiTheme="minorHAnsi" w:hAnsiTheme="minorHAnsi"/>
          <w:iCs/>
          <w:sz w:val="24"/>
          <w:szCs w:val="24"/>
        </w:rPr>
        <w:t>ritux+chl</w:t>
      </w:r>
      <w:proofErr w:type="spellEnd"/>
      <w:r w:rsidRPr="005E0DC9">
        <w:rPr>
          <w:rFonts w:asciiTheme="minorHAnsi" w:hAnsiTheme="minorHAnsi"/>
          <w:iCs/>
          <w:sz w:val="24"/>
          <w:szCs w:val="24"/>
        </w:rPr>
        <w:t xml:space="preserve"> and </w:t>
      </w:r>
      <w:proofErr w:type="spellStart"/>
      <w:r w:rsidRPr="005E0DC9">
        <w:rPr>
          <w:rFonts w:asciiTheme="minorHAnsi" w:hAnsiTheme="minorHAnsi"/>
          <w:iCs/>
          <w:sz w:val="24"/>
          <w:szCs w:val="24"/>
        </w:rPr>
        <w:t>ofa+chl</w:t>
      </w:r>
      <w:proofErr w:type="spellEnd"/>
      <w:r w:rsidRPr="005E0DC9">
        <w:rPr>
          <w:rFonts w:asciiTheme="minorHAnsi" w:hAnsiTheme="minorHAnsi"/>
          <w:iCs/>
          <w:sz w:val="24"/>
          <w:szCs w:val="24"/>
        </w:rPr>
        <w:t xml:space="preserve">, there was no statistically significant advantage for </w:t>
      </w:r>
      <w:proofErr w:type="spellStart"/>
      <w:r w:rsidRPr="005E0DC9">
        <w:rPr>
          <w:rFonts w:asciiTheme="minorHAnsi" w:hAnsiTheme="minorHAnsi"/>
          <w:iCs/>
          <w:sz w:val="24"/>
          <w:szCs w:val="24"/>
        </w:rPr>
        <w:t>ibrutinib</w:t>
      </w:r>
      <w:proofErr w:type="spellEnd"/>
      <w:r w:rsidRPr="005E0DC9">
        <w:rPr>
          <w:rFonts w:asciiTheme="minorHAnsi" w:hAnsiTheme="minorHAnsi"/>
          <w:iCs/>
          <w:sz w:val="24"/>
          <w:szCs w:val="24"/>
        </w:rPr>
        <w:t xml:space="preserve"> in terms of PFS or OS compared to </w:t>
      </w:r>
      <w:proofErr w:type="spellStart"/>
      <w:r w:rsidRPr="005E0DC9">
        <w:rPr>
          <w:rFonts w:asciiTheme="minorHAnsi" w:hAnsiTheme="minorHAnsi"/>
          <w:iCs/>
          <w:sz w:val="24"/>
          <w:szCs w:val="24"/>
        </w:rPr>
        <w:t>obi+chl</w:t>
      </w:r>
      <w:proofErr w:type="spellEnd"/>
      <w:r w:rsidRPr="005E0DC9">
        <w:rPr>
          <w:rFonts w:asciiTheme="minorHAnsi" w:hAnsiTheme="minorHAnsi"/>
          <w:iCs/>
          <w:sz w:val="24"/>
          <w:szCs w:val="24"/>
        </w:rPr>
        <w:t xml:space="preserve">.  </w:t>
      </w:r>
      <w:r w:rsidR="004415FB" w:rsidRPr="005E0DC9">
        <w:rPr>
          <w:rFonts w:asciiTheme="minorHAnsi" w:hAnsiTheme="minorHAnsi"/>
          <w:iCs/>
          <w:sz w:val="24"/>
          <w:szCs w:val="24"/>
        </w:rPr>
        <w:t>The PBAC agreed with the ESC conclusion.</w:t>
      </w:r>
    </w:p>
    <w:p w:rsidR="00656000" w:rsidRPr="005E0DC9" w:rsidRDefault="00656000"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 xml:space="preserve">While the claim of non-inferior safety between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and the comparators was supported by the indirect comparisons presented in the submission, emerging data suggest that there is an increased risk of </w:t>
      </w:r>
      <w:r w:rsidR="004415FB" w:rsidRPr="005E0DC9">
        <w:rPr>
          <w:rFonts w:asciiTheme="minorHAnsi" w:hAnsiTheme="minorHAnsi"/>
          <w:sz w:val="24"/>
          <w:szCs w:val="24"/>
        </w:rPr>
        <w:t>AF</w:t>
      </w:r>
      <w:r w:rsidRPr="005E0DC9">
        <w:rPr>
          <w:rFonts w:asciiTheme="minorHAnsi" w:hAnsiTheme="minorHAnsi"/>
          <w:sz w:val="24"/>
          <w:szCs w:val="24"/>
        </w:rPr>
        <w:t xml:space="preserve"> associated with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w:t>
      </w:r>
      <w:r w:rsidR="00F076A9" w:rsidRPr="005E0DC9">
        <w:rPr>
          <w:rFonts w:asciiTheme="minorHAnsi" w:hAnsiTheme="minorHAnsi"/>
          <w:sz w:val="24"/>
          <w:szCs w:val="24"/>
        </w:rPr>
        <w:t xml:space="preserve"> The </w:t>
      </w:r>
      <w:r w:rsidR="004415FB" w:rsidRPr="005E0DC9">
        <w:rPr>
          <w:rFonts w:asciiTheme="minorHAnsi" w:hAnsiTheme="minorHAnsi"/>
          <w:sz w:val="24"/>
          <w:szCs w:val="24"/>
        </w:rPr>
        <w:t>PBAC</w:t>
      </w:r>
      <w:r w:rsidR="00F076A9" w:rsidRPr="005E0DC9">
        <w:rPr>
          <w:rFonts w:asciiTheme="minorHAnsi" w:hAnsiTheme="minorHAnsi"/>
          <w:sz w:val="24"/>
          <w:szCs w:val="24"/>
        </w:rPr>
        <w:t xml:space="preserve"> agreed with this claim.</w:t>
      </w:r>
    </w:p>
    <w:p w:rsidR="004415FB" w:rsidRPr="005E0DC9" w:rsidRDefault="004415FB" w:rsidP="004415FB">
      <w:pPr>
        <w:pStyle w:val="ListParagraph"/>
        <w:widowControl/>
        <w:spacing w:after="120"/>
        <w:ind w:left="709"/>
        <w:contextualSpacing w:val="0"/>
        <w:rPr>
          <w:rFonts w:asciiTheme="minorHAnsi" w:hAnsiTheme="minorHAnsi"/>
          <w:sz w:val="24"/>
          <w:szCs w:val="24"/>
        </w:rPr>
      </w:pPr>
      <w:r w:rsidRPr="005E0DC9">
        <w:rPr>
          <w:rFonts w:asciiTheme="minorHAnsi" w:hAnsiTheme="minorHAnsi"/>
          <w:i/>
          <w:sz w:val="24"/>
          <w:szCs w:val="24"/>
        </w:rPr>
        <w:t>For more detail on PBAC’s view, see section 7 PBAC outcome.</w:t>
      </w:r>
    </w:p>
    <w:p w:rsidR="00113D1E" w:rsidRPr="005E0DC9" w:rsidRDefault="00113D1E" w:rsidP="00113D1E">
      <w:pPr>
        <w:keepNext/>
        <w:keepLines/>
        <w:widowControl/>
        <w:spacing w:before="240" w:after="120"/>
        <w:jc w:val="left"/>
        <w:outlineLvl w:val="1"/>
        <w:rPr>
          <w:rFonts w:ascii="Calibri" w:eastAsia="MS Gothic" w:hAnsi="Calibri" w:cs="Times New Roman"/>
          <w:b/>
          <w:i/>
          <w:snapToGrid/>
          <w:sz w:val="28"/>
          <w:szCs w:val="28"/>
        </w:rPr>
      </w:pPr>
      <w:bookmarkStart w:id="33" w:name="_Toc413139282"/>
      <w:bookmarkStart w:id="34" w:name="_Toc363984494"/>
      <w:r w:rsidRPr="005E0DC9">
        <w:rPr>
          <w:rFonts w:ascii="Calibri" w:eastAsia="MS Gothic" w:hAnsi="Calibri" w:cs="Times New Roman"/>
          <w:b/>
          <w:i/>
          <w:snapToGrid/>
          <w:sz w:val="28"/>
          <w:szCs w:val="28"/>
        </w:rPr>
        <w:lastRenderedPageBreak/>
        <w:t>Economic analysis</w:t>
      </w:r>
      <w:bookmarkEnd w:id="33"/>
      <w:bookmarkEnd w:id="34"/>
    </w:p>
    <w:p w:rsidR="00113D1E" w:rsidRPr="005E0DC9" w:rsidRDefault="00113D1E"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The submission presented a cost</w:t>
      </w:r>
      <w:r w:rsidR="005F2098" w:rsidRPr="005E0DC9">
        <w:rPr>
          <w:rFonts w:asciiTheme="minorHAnsi" w:hAnsiTheme="minorHAnsi"/>
          <w:sz w:val="24"/>
          <w:szCs w:val="24"/>
        </w:rPr>
        <w:t>-</w:t>
      </w:r>
      <w:r w:rsidRPr="005E0DC9">
        <w:rPr>
          <w:rFonts w:asciiTheme="minorHAnsi" w:hAnsiTheme="minorHAnsi"/>
          <w:sz w:val="24"/>
          <w:szCs w:val="24"/>
        </w:rPr>
        <w:t>utility analysis</w:t>
      </w:r>
      <w:r w:rsidR="005325B9" w:rsidRPr="005E0DC9">
        <w:rPr>
          <w:rFonts w:asciiTheme="minorHAnsi" w:hAnsiTheme="minorHAnsi"/>
          <w:sz w:val="24"/>
          <w:szCs w:val="24"/>
        </w:rPr>
        <w:t xml:space="preserve"> (CUA)</w:t>
      </w:r>
      <w:r w:rsidRPr="005E0DC9">
        <w:rPr>
          <w:rFonts w:asciiTheme="minorHAnsi" w:hAnsiTheme="minorHAnsi"/>
          <w:sz w:val="24"/>
          <w:szCs w:val="24"/>
        </w:rPr>
        <w:t xml:space="preserve"> against a blended comparator of </w:t>
      </w:r>
      <w:proofErr w:type="spellStart"/>
      <w:r w:rsidRPr="005E0DC9">
        <w:rPr>
          <w:rFonts w:asciiTheme="minorHAnsi" w:hAnsiTheme="minorHAnsi"/>
          <w:sz w:val="24"/>
          <w:szCs w:val="24"/>
        </w:rPr>
        <w:t>obi+chl</w:t>
      </w:r>
      <w:proofErr w:type="spellEnd"/>
      <w:r w:rsidRPr="005E0DC9">
        <w:rPr>
          <w:rFonts w:asciiTheme="minorHAnsi" w:hAnsiTheme="minorHAnsi"/>
          <w:sz w:val="24"/>
          <w:szCs w:val="24"/>
        </w:rPr>
        <w:t xml:space="preserve">, </w:t>
      </w:r>
      <w:proofErr w:type="spellStart"/>
      <w:r w:rsidRPr="005E0DC9">
        <w:rPr>
          <w:rFonts w:asciiTheme="minorHAnsi" w:hAnsiTheme="minorHAnsi"/>
          <w:sz w:val="24"/>
          <w:szCs w:val="24"/>
        </w:rPr>
        <w:t>ritux+chl</w:t>
      </w:r>
      <w:proofErr w:type="spellEnd"/>
      <w:r w:rsidRPr="005E0DC9">
        <w:rPr>
          <w:rFonts w:asciiTheme="minorHAnsi" w:hAnsiTheme="minorHAnsi"/>
          <w:sz w:val="24"/>
          <w:szCs w:val="24"/>
        </w:rPr>
        <w:t xml:space="preserve"> and </w:t>
      </w:r>
      <w:proofErr w:type="spellStart"/>
      <w:r w:rsidRPr="005E0DC9">
        <w:rPr>
          <w:rFonts w:asciiTheme="minorHAnsi" w:hAnsiTheme="minorHAnsi"/>
          <w:sz w:val="24"/>
          <w:szCs w:val="24"/>
        </w:rPr>
        <w:t>ofa+chl</w:t>
      </w:r>
      <w:proofErr w:type="spellEnd"/>
      <w:r w:rsidRPr="005E0DC9">
        <w:rPr>
          <w:rFonts w:asciiTheme="minorHAnsi" w:hAnsiTheme="minorHAnsi"/>
          <w:sz w:val="24"/>
          <w:szCs w:val="24"/>
        </w:rPr>
        <w:t xml:space="preserve">.  The comparator weighting was based on PBS usage data from May 2016 to April 2017 (rituximab 61.3%; </w:t>
      </w:r>
      <w:proofErr w:type="spellStart"/>
      <w:r w:rsidRPr="005E0DC9">
        <w:rPr>
          <w:rFonts w:asciiTheme="minorHAnsi" w:hAnsiTheme="minorHAnsi"/>
          <w:sz w:val="24"/>
          <w:szCs w:val="24"/>
        </w:rPr>
        <w:t>obinutuzumab</w:t>
      </w:r>
      <w:proofErr w:type="spellEnd"/>
      <w:r w:rsidRPr="005E0DC9">
        <w:rPr>
          <w:rFonts w:asciiTheme="minorHAnsi" w:hAnsiTheme="minorHAnsi"/>
          <w:sz w:val="24"/>
          <w:szCs w:val="24"/>
        </w:rPr>
        <w:t xml:space="preserve"> 29.4%; </w:t>
      </w:r>
      <w:proofErr w:type="spellStart"/>
      <w:r w:rsidRPr="005E0DC9">
        <w:rPr>
          <w:rFonts w:asciiTheme="minorHAnsi" w:hAnsiTheme="minorHAnsi"/>
          <w:sz w:val="24"/>
          <w:szCs w:val="24"/>
        </w:rPr>
        <w:t>ofatumumab</w:t>
      </w:r>
      <w:proofErr w:type="spellEnd"/>
      <w:r w:rsidRPr="005E0DC9">
        <w:rPr>
          <w:rFonts w:asciiTheme="minorHAnsi" w:hAnsiTheme="minorHAnsi"/>
          <w:sz w:val="24"/>
          <w:szCs w:val="24"/>
        </w:rPr>
        <w:t xml:space="preserve"> 9.3%).  Given that the indirect comparisons presented by the submission demonstrated no statistically significant advantage for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compared to </w:t>
      </w:r>
      <w:proofErr w:type="spellStart"/>
      <w:r w:rsidRPr="005E0DC9">
        <w:rPr>
          <w:rFonts w:asciiTheme="minorHAnsi" w:hAnsiTheme="minorHAnsi"/>
          <w:sz w:val="24"/>
          <w:szCs w:val="24"/>
        </w:rPr>
        <w:t>obi+chl</w:t>
      </w:r>
      <w:proofErr w:type="spellEnd"/>
      <w:r w:rsidRPr="005E0DC9">
        <w:rPr>
          <w:rFonts w:asciiTheme="minorHAnsi" w:hAnsiTheme="minorHAnsi"/>
          <w:sz w:val="24"/>
          <w:szCs w:val="24"/>
        </w:rPr>
        <w:t xml:space="preserve">, the use of a weighted comparator was not supported. </w:t>
      </w:r>
      <w:r w:rsidR="005325B9" w:rsidRPr="005E0DC9">
        <w:rPr>
          <w:rFonts w:asciiTheme="minorHAnsi" w:hAnsiTheme="minorHAnsi"/>
          <w:sz w:val="24"/>
          <w:szCs w:val="24"/>
        </w:rPr>
        <w:t>The ESC considered o</w:t>
      </w:r>
      <w:r w:rsidRPr="005E0DC9">
        <w:rPr>
          <w:rFonts w:asciiTheme="minorHAnsi" w:hAnsiTheme="minorHAnsi"/>
          <w:sz w:val="24"/>
          <w:szCs w:val="24"/>
        </w:rPr>
        <w:t xml:space="preserve">n the basis of the available evidence, </w:t>
      </w:r>
      <w:r w:rsidR="00EA0A83" w:rsidRPr="005E0DC9">
        <w:rPr>
          <w:rFonts w:asciiTheme="minorHAnsi" w:hAnsiTheme="minorHAnsi"/>
          <w:sz w:val="24"/>
          <w:szCs w:val="24"/>
        </w:rPr>
        <w:t xml:space="preserve">rather than assuming </w:t>
      </w:r>
      <w:proofErr w:type="spellStart"/>
      <w:r w:rsidR="00EA0A83" w:rsidRPr="005E0DC9">
        <w:rPr>
          <w:rFonts w:asciiTheme="minorHAnsi" w:hAnsiTheme="minorHAnsi"/>
          <w:sz w:val="24"/>
          <w:szCs w:val="24"/>
        </w:rPr>
        <w:t>ibrutinib</w:t>
      </w:r>
      <w:proofErr w:type="spellEnd"/>
      <w:r w:rsidR="00EA0A83" w:rsidRPr="005E0DC9">
        <w:rPr>
          <w:rFonts w:asciiTheme="minorHAnsi" w:hAnsiTheme="minorHAnsi"/>
          <w:sz w:val="24"/>
          <w:szCs w:val="24"/>
        </w:rPr>
        <w:t xml:space="preserve"> is better than all PBS-subsidised first-line therapies, </w:t>
      </w:r>
      <w:r w:rsidR="005325B9" w:rsidRPr="005E0DC9">
        <w:rPr>
          <w:rFonts w:asciiTheme="minorHAnsi" w:hAnsiTheme="minorHAnsi"/>
          <w:sz w:val="24"/>
          <w:szCs w:val="24"/>
        </w:rPr>
        <w:t xml:space="preserve">a </w:t>
      </w:r>
      <w:r w:rsidR="00ED4312" w:rsidRPr="005E0DC9">
        <w:rPr>
          <w:rFonts w:asciiTheme="minorHAnsi" w:hAnsiTheme="minorHAnsi"/>
          <w:sz w:val="24"/>
          <w:szCs w:val="24"/>
        </w:rPr>
        <w:t>more appro</w:t>
      </w:r>
      <w:r w:rsidR="000C2E13" w:rsidRPr="005E0DC9">
        <w:rPr>
          <w:rFonts w:asciiTheme="minorHAnsi" w:hAnsiTheme="minorHAnsi"/>
          <w:sz w:val="24"/>
          <w:szCs w:val="24"/>
        </w:rPr>
        <w:t>p</w:t>
      </w:r>
      <w:r w:rsidR="00ED4312" w:rsidRPr="005E0DC9">
        <w:rPr>
          <w:rFonts w:asciiTheme="minorHAnsi" w:hAnsiTheme="minorHAnsi"/>
          <w:sz w:val="24"/>
          <w:szCs w:val="24"/>
        </w:rPr>
        <w:t>riate</w:t>
      </w:r>
      <w:r w:rsidR="005325B9" w:rsidRPr="005E0DC9">
        <w:rPr>
          <w:rFonts w:asciiTheme="minorHAnsi" w:hAnsiTheme="minorHAnsi"/>
          <w:sz w:val="24"/>
          <w:szCs w:val="24"/>
        </w:rPr>
        <w:t xml:space="preserve"> approach to the economics </w:t>
      </w:r>
      <w:r w:rsidR="00987EB6" w:rsidRPr="005E0DC9">
        <w:rPr>
          <w:rFonts w:asciiTheme="minorHAnsi" w:hAnsiTheme="minorHAnsi"/>
          <w:sz w:val="24"/>
          <w:szCs w:val="24"/>
        </w:rPr>
        <w:t>may be</w:t>
      </w:r>
      <w:r w:rsidR="005325B9" w:rsidRPr="005E0DC9">
        <w:rPr>
          <w:rFonts w:asciiTheme="minorHAnsi" w:hAnsiTheme="minorHAnsi"/>
          <w:sz w:val="24"/>
          <w:szCs w:val="24"/>
        </w:rPr>
        <w:t xml:space="preserve"> CUA vs </w:t>
      </w:r>
      <w:proofErr w:type="spellStart"/>
      <w:r w:rsidR="005325B9" w:rsidRPr="005E0DC9">
        <w:rPr>
          <w:rFonts w:asciiTheme="minorHAnsi" w:hAnsiTheme="minorHAnsi"/>
          <w:sz w:val="24"/>
          <w:szCs w:val="24"/>
        </w:rPr>
        <w:t>ritux+chl</w:t>
      </w:r>
      <w:proofErr w:type="spellEnd"/>
      <w:r w:rsidR="005325B9" w:rsidRPr="005E0DC9">
        <w:rPr>
          <w:rFonts w:asciiTheme="minorHAnsi" w:hAnsiTheme="minorHAnsi"/>
          <w:sz w:val="24"/>
          <w:szCs w:val="24"/>
        </w:rPr>
        <w:t xml:space="preserve"> with a comparable ICER to </w:t>
      </w:r>
      <w:proofErr w:type="spellStart"/>
      <w:r w:rsidR="005325B9" w:rsidRPr="005E0DC9">
        <w:rPr>
          <w:rFonts w:asciiTheme="minorHAnsi" w:hAnsiTheme="minorHAnsi"/>
          <w:sz w:val="24"/>
          <w:szCs w:val="24"/>
        </w:rPr>
        <w:t>obi+chl</w:t>
      </w:r>
      <w:proofErr w:type="spellEnd"/>
      <w:r w:rsidR="005325B9" w:rsidRPr="005E0DC9">
        <w:rPr>
          <w:rFonts w:asciiTheme="minorHAnsi" w:hAnsiTheme="minorHAnsi"/>
          <w:sz w:val="24"/>
          <w:szCs w:val="24"/>
        </w:rPr>
        <w:t xml:space="preserve"> vs </w:t>
      </w:r>
      <w:proofErr w:type="spellStart"/>
      <w:r w:rsidR="005325B9" w:rsidRPr="005E0DC9">
        <w:rPr>
          <w:rFonts w:asciiTheme="minorHAnsi" w:hAnsiTheme="minorHAnsi"/>
          <w:sz w:val="24"/>
          <w:szCs w:val="24"/>
        </w:rPr>
        <w:t>ritux+chl</w:t>
      </w:r>
      <w:proofErr w:type="spellEnd"/>
      <w:r w:rsidR="005325B9" w:rsidRPr="005E0DC9">
        <w:rPr>
          <w:rFonts w:asciiTheme="minorHAnsi" w:hAnsiTheme="minorHAnsi"/>
          <w:sz w:val="24"/>
          <w:szCs w:val="24"/>
        </w:rPr>
        <w:t xml:space="preserve"> from March 2015 ($15,000/QALY - $45,000/QALY) or </w:t>
      </w:r>
      <w:r w:rsidRPr="005E0DC9">
        <w:rPr>
          <w:rFonts w:asciiTheme="minorHAnsi" w:hAnsiTheme="minorHAnsi"/>
          <w:sz w:val="24"/>
          <w:szCs w:val="24"/>
        </w:rPr>
        <w:t>a cost-minimisation analysis</w:t>
      </w:r>
      <w:r w:rsidR="00C04C81" w:rsidRPr="005E0DC9">
        <w:rPr>
          <w:rFonts w:asciiTheme="minorHAnsi" w:hAnsiTheme="minorHAnsi"/>
          <w:sz w:val="24"/>
          <w:szCs w:val="24"/>
        </w:rPr>
        <w:t xml:space="preserve"> (CMA)</w:t>
      </w:r>
      <w:r w:rsidRPr="005E0DC9">
        <w:rPr>
          <w:rFonts w:asciiTheme="minorHAnsi" w:hAnsiTheme="minorHAnsi"/>
          <w:sz w:val="24"/>
          <w:szCs w:val="24"/>
        </w:rPr>
        <w:t xml:space="preserve"> vs </w:t>
      </w:r>
      <w:proofErr w:type="spellStart"/>
      <w:r w:rsidRPr="005E0DC9">
        <w:rPr>
          <w:rFonts w:asciiTheme="minorHAnsi" w:hAnsiTheme="minorHAnsi"/>
          <w:sz w:val="24"/>
          <w:szCs w:val="24"/>
        </w:rPr>
        <w:t>obi+chl</w:t>
      </w:r>
      <w:proofErr w:type="spellEnd"/>
      <w:r w:rsidR="00ED4312" w:rsidRPr="005E0DC9">
        <w:rPr>
          <w:rFonts w:asciiTheme="minorHAnsi" w:hAnsiTheme="minorHAnsi"/>
          <w:sz w:val="24"/>
          <w:szCs w:val="24"/>
        </w:rPr>
        <w:t>.</w:t>
      </w:r>
      <w:r w:rsidR="00C04C81" w:rsidRPr="005E0DC9">
        <w:rPr>
          <w:rFonts w:asciiTheme="minorHAnsi" w:hAnsiTheme="minorHAnsi"/>
          <w:sz w:val="24"/>
          <w:szCs w:val="24"/>
        </w:rPr>
        <w:t xml:space="preserve"> </w:t>
      </w:r>
      <w:r w:rsidR="00ED4312" w:rsidRPr="005E0DC9">
        <w:rPr>
          <w:rFonts w:asciiTheme="minorHAnsi" w:hAnsiTheme="minorHAnsi"/>
          <w:sz w:val="24"/>
          <w:szCs w:val="24"/>
        </w:rPr>
        <w:t>The ESC noted that accounting</w:t>
      </w:r>
      <w:r w:rsidR="00C04C81" w:rsidRPr="005E0DC9">
        <w:rPr>
          <w:rFonts w:asciiTheme="minorHAnsi" w:hAnsiTheme="minorHAnsi"/>
          <w:sz w:val="24"/>
          <w:szCs w:val="24"/>
        </w:rPr>
        <w:t xml:space="preserve"> for differences in dosing regimens and immature PFS data complicates CMA with respect to estimating treatment duration</w:t>
      </w:r>
      <w:r w:rsidRPr="005E0DC9">
        <w:rPr>
          <w:rFonts w:asciiTheme="minorHAnsi" w:hAnsiTheme="minorHAnsi"/>
          <w:sz w:val="24"/>
          <w:szCs w:val="24"/>
        </w:rPr>
        <w:t>.</w:t>
      </w:r>
    </w:p>
    <w:p w:rsidR="00DF54BB" w:rsidRPr="005E0DC9" w:rsidRDefault="00113D1E" w:rsidP="00FA1A53">
      <w:pPr>
        <w:pStyle w:val="ListParagraph"/>
        <w:widowControl/>
        <w:numPr>
          <w:ilvl w:val="1"/>
          <w:numId w:val="11"/>
        </w:numPr>
        <w:spacing w:after="120"/>
        <w:ind w:left="709" w:hanging="709"/>
        <w:contextualSpacing w:val="0"/>
        <w:rPr>
          <w:rFonts w:ascii="Calibri" w:eastAsia="Calibri" w:hAnsi="Calibri"/>
          <w:sz w:val="24"/>
          <w:szCs w:val="22"/>
        </w:rPr>
      </w:pPr>
      <w:r w:rsidRPr="005E0DC9">
        <w:rPr>
          <w:rFonts w:asciiTheme="minorHAnsi" w:hAnsiTheme="minorHAnsi"/>
          <w:sz w:val="24"/>
          <w:szCs w:val="24"/>
        </w:rPr>
        <w:t>The submission’s model used 3 health states (</w:t>
      </w:r>
      <w:proofErr w:type="spellStart"/>
      <w:r w:rsidRPr="005E0DC9">
        <w:rPr>
          <w:rFonts w:asciiTheme="minorHAnsi" w:hAnsiTheme="minorHAnsi"/>
          <w:sz w:val="24"/>
          <w:szCs w:val="24"/>
        </w:rPr>
        <w:t>unprogressed</w:t>
      </w:r>
      <w:proofErr w:type="spellEnd"/>
      <w:r w:rsidRPr="005E0DC9">
        <w:rPr>
          <w:rFonts w:asciiTheme="minorHAnsi" w:hAnsiTheme="minorHAnsi"/>
          <w:sz w:val="24"/>
          <w:szCs w:val="24"/>
        </w:rPr>
        <w:t xml:space="preserve">, progressed, dead) and 3 lines of treatment </w:t>
      </w:r>
      <w:r w:rsidR="002F581A" w:rsidRPr="005E0DC9">
        <w:rPr>
          <w:rFonts w:asciiTheme="minorHAnsi" w:hAnsiTheme="minorHAnsi"/>
          <w:sz w:val="24"/>
          <w:szCs w:val="24"/>
        </w:rPr>
        <w:t xml:space="preserve">— </w:t>
      </w:r>
      <w:r w:rsidRPr="005E0DC9">
        <w:rPr>
          <w:rFonts w:asciiTheme="minorHAnsi" w:hAnsiTheme="minorHAnsi"/>
          <w:sz w:val="24"/>
          <w:szCs w:val="24"/>
        </w:rPr>
        <w:t xml:space="preserve">so once progressed a patient would move to </w:t>
      </w:r>
      <w:proofErr w:type="spellStart"/>
      <w:r w:rsidRPr="005E0DC9">
        <w:rPr>
          <w:rFonts w:asciiTheme="minorHAnsi" w:hAnsiTheme="minorHAnsi"/>
          <w:sz w:val="24"/>
          <w:szCs w:val="24"/>
        </w:rPr>
        <w:t>unprogressed</w:t>
      </w:r>
      <w:proofErr w:type="spellEnd"/>
      <w:r w:rsidRPr="005E0DC9">
        <w:rPr>
          <w:rFonts w:asciiTheme="minorHAnsi" w:hAnsiTheme="minorHAnsi"/>
          <w:sz w:val="24"/>
          <w:szCs w:val="24"/>
        </w:rPr>
        <w:t xml:space="preserve"> in the next line of treatment. For the comparator arm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is included as one of the subsequent treatments for progressed patients (specifically as second</w:t>
      </w:r>
      <w:r w:rsidR="00B9334F" w:rsidRPr="005E0DC9">
        <w:rPr>
          <w:rFonts w:asciiTheme="minorHAnsi" w:hAnsiTheme="minorHAnsi"/>
          <w:sz w:val="24"/>
          <w:szCs w:val="24"/>
        </w:rPr>
        <w:t>-</w:t>
      </w:r>
      <w:r w:rsidRPr="005E0DC9">
        <w:rPr>
          <w:rFonts w:asciiTheme="minorHAnsi" w:hAnsiTheme="minorHAnsi"/>
          <w:sz w:val="24"/>
          <w:szCs w:val="24"/>
        </w:rPr>
        <w:t xml:space="preserve">line treatment) and hence the reduced use of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as a later-line treatment contributes to the establishment of cost-effectiveness of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as first-line treatment. The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price used for progressed patients (</w:t>
      </w:r>
      <w:proofErr w:type="spellStart"/>
      <w:r w:rsidRPr="005E0DC9">
        <w:rPr>
          <w:rFonts w:asciiTheme="minorHAnsi" w:hAnsiTheme="minorHAnsi"/>
          <w:sz w:val="24"/>
          <w:szCs w:val="24"/>
        </w:rPr>
        <w:t>ie</w:t>
      </w:r>
      <w:proofErr w:type="spellEnd"/>
      <w:r w:rsidRPr="005E0DC9">
        <w:rPr>
          <w:rFonts w:asciiTheme="minorHAnsi" w:hAnsiTheme="minorHAnsi"/>
          <w:sz w:val="24"/>
          <w:szCs w:val="24"/>
        </w:rPr>
        <w:t xml:space="preserve"> in the relapsed/refractory</w:t>
      </w:r>
      <w:r w:rsidR="006004E1" w:rsidRPr="005E0DC9">
        <w:rPr>
          <w:rFonts w:asciiTheme="minorHAnsi" w:hAnsiTheme="minorHAnsi"/>
          <w:sz w:val="24"/>
          <w:szCs w:val="24"/>
        </w:rPr>
        <w:t xml:space="preserve"> (R/R)</w:t>
      </w:r>
      <w:r w:rsidRPr="005E0DC9">
        <w:rPr>
          <w:rFonts w:asciiTheme="minorHAnsi" w:hAnsiTheme="minorHAnsi"/>
          <w:sz w:val="24"/>
          <w:szCs w:val="24"/>
        </w:rPr>
        <w:t xml:space="preserve"> setting) in the economic model is the same as proposed for first line. As noted in Section 2 above this is higher than the price considered cost-effective by the PBAC and this results in the ICER being underestimated.</w:t>
      </w:r>
      <w:r w:rsidR="002F581A" w:rsidRPr="005E0DC9">
        <w:rPr>
          <w:rFonts w:asciiTheme="minorHAnsi" w:hAnsiTheme="minorHAnsi"/>
          <w:sz w:val="24"/>
          <w:szCs w:val="24"/>
        </w:rPr>
        <w:t xml:space="preserve"> The PSCR (p1) updated the price of </w:t>
      </w:r>
      <w:proofErr w:type="spellStart"/>
      <w:r w:rsidR="002F581A" w:rsidRPr="005E0DC9">
        <w:rPr>
          <w:rFonts w:asciiTheme="minorHAnsi" w:hAnsiTheme="minorHAnsi"/>
          <w:sz w:val="24"/>
          <w:szCs w:val="24"/>
        </w:rPr>
        <w:t>ibrutinib</w:t>
      </w:r>
      <w:proofErr w:type="spellEnd"/>
      <w:r w:rsidR="002F581A" w:rsidRPr="005E0DC9">
        <w:rPr>
          <w:rFonts w:asciiTheme="minorHAnsi" w:hAnsiTheme="minorHAnsi"/>
          <w:sz w:val="24"/>
          <w:szCs w:val="24"/>
        </w:rPr>
        <w:t xml:space="preserve"> in second-line, which increased</w:t>
      </w:r>
      <w:r w:rsidR="00987EB6" w:rsidRPr="005E0DC9">
        <w:rPr>
          <w:rFonts w:asciiTheme="minorHAnsi" w:hAnsiTheme="minorHAnsi"/>
          <w:sz w:val="24"/>
          <w:szCs w:val="24"/>
        </w:rPr>
        <w:t xml:space="preserve"> </w:t>
      </w:r>
      <w:r w:rsidR="002F581A" w:rsidRPr="005E0DC9">
        <w:rPr>
          <w:rFonts w:asciiTheme="minorHAnsi" w:hAnsiTheme="minorHAnsi"/>
          <w:sz w:val="24"/>
          <w:szCs w:val="24"/>
        </w:rPr>
        <w:t>the ICER by approximately $</w:t>
      </w:r>
      <w:r w:rsidR="00773C23">
        <w:rPr>
          <w:rFonts w:asciiTheme="minorHAnsi" w:hAnsiTheme="minorHAnsi"/>
          <w:noProof/>
          <w:color w:val="000000"/>
          <w:sz w:val="24"/>
          <w:szCs w:val="24"/>
          <w:highlight w:val="black"/>
        </w:rPr>
        <w:t>'''''''''''</w:t>
      </w:r>
      <w:r w:rsidR="002F581A" w:rsidRPr="005E0DC9">
        <w:rPr>
          <w:rFonts w:asciiTheme="minorHAnsi" w:hAnsiTheme="minorHAnsi"/>
          <w:sz w:val="24"/>
          <w:szCs w:val="24"/>
        </w:rPr>
        <w:t xml:space="preserve">/QALY. </w:t>
      </w:r>
      <w:r w:rsidR="00DF54BB" w:rsidRPr="005E0DC9">
        <w:rPr>
          <w:rFonts w:ascii="Calibri" w:hAnsi="Calibri"/>
          <w:sz w:val="24"/>
        </w:rPr>
        <w:t>T</w:t>
      </w:r>
      <w:r w:rsidR="00DF54BB" w:rsidRPr="005E0DC9">
        <w:rPr>
          <w:rFonts w:ascii="Calibri" w:eastAsia="Calibri" w:hAnsi="Calibri"/>
          <w:sz w:val="24"/>
          <w:szCs w:val="22"/>
        </w:rPr>
        <w:t>he</w:t>
      </w:r>
      <w:r w:rsidR="00DF54BB" w:rsidRPr="005E0DC9">
        <w:rPr>
          <w:rFonts w:ascii="Calibri" w:hAnsi="Calibri"/>
          <w:sz w:val="24"/>
        </w:rPr>
        <w:t xml:space="preserve"> PSCR </w:t>
      </w:r>
      <w:r w:rsidR="00DF54BB" w:rsidRPr="005E0DC9">
        <w:rPr>
          <w:rFonts w:ascii="Calibri" w:eastAsia="Calibri" w:hAnsi="Calibri"/>
          <w:sz w:val="24"/>
          <w:szCs w:val="22"/>
        </w:rPr>
        <w:t xml:space="preserve">still underestimated the </w:t>
      </w:r>
      <w:proofErr w:type="spellStart"/>
      <w:r w:rsidR="00DF54BB" w:rsidRPr="005E0DC9">
        <w:rPr>
          <w:rFonts w:ascii="Calibri" w:eastAsia="Calibri" w:hAnsi="Calibri"/>
          <w:sz w:val="24"/>
          <w:szCs w:val="22"/>
        </w:rPr>
        <w:t>ibrutinib</w:t>
      </w:r>
      <w:proofErr w:type="spellEnd"/>
      <w:r w:rsidR="00DF54BB" w:rsidRPr="005E0DC9">
        <w:rPr>
          <w:rFonts w:ascii="Calibri" w:eastAsia="Calibri" w:hAnsi="Calibri"/>
          <w:sz w:val="24"/>
          <w:szCs w:val="22"/>
        </w:rPr>
        <w:t xml:space="preserve"> price and ICER as </w:t>
      </w:r>
      <w:r w:rsidR="00DF54BB" w:rsidRPr="005E0DC9">
        <w:rPr>
          <w:rFonts w:ascii="Calibri" w:hAnsi="Calibri"/>
          <w:sz w:val="24"/>
        </w:rPr>
        <w:t xml:space="preserve">not </w:t>
      </w:r>
      <w:r w:rsidR="00DF54BB" w:rsidRPr="005E0DC9">
        <w:rPr>
          <w:rFonts w:ascii="Calibri" w:eastAsia="Calibri" w:hAnsi="Calibri"/>
          <w:sz w:val="24"/>
          <w:szCs w:val="22"/>
        </w:rPr>
        <w:t>all aspects of the RSA were</w:t>
      </w:r>
      <w:r w:rsidR="00DF54BB" w:rsidRPr="005E0DC9">
        <w:rPr>
          <w:rFonts w:ascii="Calibri" w:hAnsi="Calibri"/>
          <w:sz w:val="24"/>
        </w:rPr>
        <w:t xml:space="preserve"> </w:t>
      </w:r>
      <w:r w:rsidR="00DF54BB" w:rsidRPr="005E0DC9">
        <w:rPr>
          <w:rFonts w:ascii="Calibri" w:eastAsia="Calibri" w:hAnsi="Calibri"/>
          <w:sz w:val="24"/>
          <w:szCs w:val="22"/>
        </w:rPr>
        <w:t xml:space="preserve">included. </w:t>
      </w:r>
    </w:p>
    <w:p w:rsidR="00113D1E" w:rsidRPr="005E0DC9" w:rsidRDefault="00113D1E"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 xml:space="preserve">In its original evaluation of </w:t>
      </w:r>
      <w:proofErr w:type="spellStart"/>
      <w:r w:rsidRPr="005E0DC9">
        <w:rPr>
          <w:rFonts w:asciiTheme="minorHAnsi" w:hAnsiTheme="minorHAnsi"/>
          <w:sz w:val="24"/>
          <w:szCs w:val="24"/>
        </w:rPr>
        <w:t>obinutuzumab</w:t>
      </w:r>
      <w:proofErr w:type="spellEnd"/>
      <w:r w:rsidRPr="005E0DC9">
        <w:rPr>
          <w:rFonts w:asciiTheme="minorHAnsi" w:hAnsiTheme="minorHAnsi"/>
          <w:sz w:val="24"/>
          <w:szCs w:val="24"/>
        </w:rPr>
        <w:t xml:space="preserve"> for treatment of CLL the PBAC had requested an additional health state to account for patients who are progressed but well</w:t>
      </w:r>
      <w:r w:rsidR="00DF54BB" w:rsidRPr="005E0DC9">
        <w:rPr>
          <w:rFonts w:asciiTheme="minorHAnsi" w:hAnsiTheme="minorHAnsi"/>
          <w:sz w:val="24"/>
          <w:szCs w:val="24"/>
        </w:rPr>
        <w:t xml:space="preserve">, </w:t>
      </w:r>
      <w:r w:rsidR="009766BB" w:rsidRPr="005E0DC9">
        <w:rPr>
          <w:rFonts w:asciiTheme="minorHAnsi" w:hAnsiTheme="minorHAnsi"/>
          <w:sz w:val="24"/>
          <w:szCs w:val="24"/>
        </w:rPr>
        <w:t>and given</w:t>
      </w:r>
      <w:r w:rsidR="001F6F90" w:rsidRPr="005E0DC9">
        <w:rPr>
          <w:rFonts w:asciiTheme="minorHAnsi" w:hAnsiTheme="minorHAnsi"/>
          <w:sz w:val="24"/>
          <w:szCs w:val="24"/>
        </w:rPr>
        <w:t xml:space="preserve"> the considerable difference in utility weights between the “progression-free without treatment” and “progressive disease” health states, which had utility weights of 0.82 and 0.66, respectively</w:t>
      </w:r>
      <w:r w:rsidRPr="005E0DC9">
        <w:rPr>
          <w:rFonts w:asciiTheme="minorHAnsi" w:hAnsiTheme="minorHAnsi"/>
          <w:sz w:val="24"/>
          <w:szCs w:val="24"/>
        </w:rPr>
        <w:t xml:space="preserve"> (paragraph 7.13, July 2014 </w:t>
      </w:r>
      <w:proofErr w:type="spellStart"/>
      <w:r w:rsidRPr="005E0DC9">
        <w:rPr>
          <w:rFonts w:asciiTheme="minorHAnsi" w:hAnsiTheme="minorHAnsi"/>
          <w:sz w:val="24"/>
          <w:szCs w:val="24"/>
        </w:rPr>
        <w:t>obinutuzumab</w:t>
      </w:r>
      <w:proofErr w:type="spellEnd"/>
      <w:r w:rsidRPr="005E0DC9">
        <w:rPr>
          <w:rFonts w:asciiTheme="minorHAnsi" w:hAnsiTheme="minorHAnsi"/>
          <w:sz w:val="24"/>
          <w:szCs w:val="24"/>
        </w:rPr>
        <w:t xml:space="preserve"> PSD).  The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model includes </w:t>
      </w:r>
      <w:r w:rsidR="001F6F90" w:rsidRPr="005E0DC9">
        <w:rPr>
          <w:rFonts w:asciiTheme="minorHAnsi" w:hAnsiTheme="minorHAnsi"/>
          <w:sz w:val="24"/>
          <w:szCs w:val="24"/>
        </w:rPr>
        <w:t xml:space="preserve">the </w:t>
      </w:r>
      <w:r w:rsidR="00DF54BB" w:rsidRPr="005E0DC9">
        <w:rPr>
          <w:rFonts w:asciiTheme="minorHAnsi" w:hAnsiTheme="minorHAnsi"/>
          <w:sz w:val="24"/>
          <w:szCs w:val="24"/>
        </w:rPr>
        <w:t xml:space="preserve">lower </w:t>
      </w:r>
      <w:r w:rsidR="001F6F90" w:rsidRPr="005E0DC9">
        <w:rPr>
          <w:rFonts w:asciiTheme="minorHAnsi" w:hAnsiTheme="minorHAnsi"/>
          <w:sz w:val="24"/>
          <w:szCs w:val="24"/>
        </w:rPr>
        <w:t>utility (</w:t>
      </w:r>
      <w:r w:rsidR="00773C23">
        <w:rPr>
          <w:rFonts w:asciiTheme="minorHAnsi" w:hAnsiTheme="minorHAnsi"/>
          <w:noProof/>
          <w:color w:val="000000"/>
          <w:sz w:val="24"/>
          <w:szCs w:val="24"/>
          <w:highlight w:val="black"/>
        </w:rPr>
        <w:t>'''''''''</w:t>
      </w:r>
      <w:r w:rsidR="001F6F90" w:rsidRPr="005E0DC9">
        <w:rPr>
          <w:rFonts w:asciiTheme="minorHAnsi" w:hAnsiTheme="minorHAnsi"/>
          <w:sz w:val="24"/>
          <w:szCs w:val="24"/>
        </w:rPr>
        <w:t>)</w:t>
      </w:r>
      <w:r w:rsidRPr="005E0DC9">
        <w:rPr>
          <w:rFonts w:asciiTheme="minorHAnsi" w:hAnsiTheme="minorHAnsi"/>
          <w:sz w:val="24"/>
          <w:szCs w:val="24"/>
        </w:rPr>
        <w:t xml:space="preserve"> for asymptomatic progression in the first-line of treatment, with a</w:t>
      </w:r>
      <w:r w:rsidR="00DF54BB" w:rsidRPr="005E0DC9">
        <w:rPr>
          <w:rFonts w:asciiTheme="minorHAnsi" w:hAnsiTheme="minorHAnsi"/>
          <w:sz w:val="24"/>
          <w:szCs w:val="24"/>
        </w:rPr>
        <w:t>n extra</w:t>
      </w:r>
      <w:r w:rsidRPr="005E0DC9">
        <w:rPr>
          <w:rFonts w:asciiTheme="minorHAnsi" w:hAnsiTheme="minorHAnsi"/>
          <w:sz w:val="24"/>
          <w:szCs w:val="24"/>
        </w:rPr>
        <w:t xml:space="preserve"> decrement of </w:t>
      </w:r>
      <w:r w:rsidR="00773C23">
        <w:rPr>
          <w:rFonts w:asciiTheme="minorHAnsi" w:hAnsiTheme="minorHAnsi"/>
          <w:noProof/>
          <w:color w:val="000000"/>
          <w:sz w:val="24"/>
          <w:szCs w:val="24"/>
          <w:highlight w:val="black"/>
        </w:rPr>
        <w:t>'''''''''</w:t>
      </w:r>
      <w:r w:rsidRPr="005E0DC9">
        <w:rPr>
          <w:rFonts w:asciiTheme="minorHAnsi" w:hAnsiTheme="minorHAnsi"/>
          <w:sz w:val="24"/>
          <w:szCs w:val="24"/>
        </w:rPr>
        <w:t xml:space="preserve"> for the last cycle of progression before death or second-line treatment</w:t>
      </w:r>
      <w:r w:rsidR="001F6F90" w:rsidRPr="005E0DC9">
        <w:rPr>
          <w:rFonts w:asciiTheme="minorHAnsi" w:hAnsiTheme="minorHAnsi"/>
          <w:sz w:val="24"/>
          <w:szCs w:val="24"/>
        </w:rPr>
        <w:t xml:space="preserve"> to account for symptomatic progression</w:t>
      </w:r>
      <w:r w:rsidRPr="005E0DC9">
        <w:rPr>
          <w:rFonts w:asciiTheme="minorHAnsi" w:hAnsiTheme="minorHAnsi"/>
          <w:sz w:val="24"/>
          <w:szCs w:val="24"/>
        </w:rPr>
        <w:t xml:space="preserve">.  </w:t>
      </w:r>
    </w:p>
    <w:p w:rsidR="00113D1E" w:rsidRPr="005E0DC9" w:rsidRDefault="00113D1E"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 xml:space="preserve">The table below provides a summary of the model structure. </w:t>
      </w:r>
    </w:p>
    <w:p w:rsidR="00113D1E" w:rsidRPr="005E0DC9" w:rsidRDefault="00113D1E" w:rsidP="00113D1E">
      <w:pPr>
        <w:pStyle w:val="TableHeading0"/>
        <w:spacing w:after="0"/>
      </w:pPr>
      <w:r w:rsidRPr="005E0DC9">
        <w:lastRenderedPageBreak/>
        <w:t xml:space="preserve">Table </w:t>
      </w:r>
      <w:r w:rsidR="00925CA4" w:rsidRPr="005E0DC9">
        <w:t>9</w:t>
      </w:r>
      <w:r w:rsidRPr="005E0DC9">
        <w:t>: Summary of model structure and rationale</w:t>
      </w:r>
      <w:r w:rsidRPr="005E0DC9">
        <w:rPr>
          <w:b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96"/>
        <w:gridCol w:w="6787"/>
      </w:tblGrid>
      <w:tr w:rsidR="00113D1E" w:rsidRPr="005E0DC9" w:rsidTr="001B64AD">
        <w:trPr>
          <w:tblHeader/>
        </w:trPr>
        <w:tc>
          <w:tcPr>
            <w:tcW w:w="1264" w:type="pct"/>
            <w:shd w:val="clear" w:color="auto" w:fill="auto"/>
            <w:vAlign w:val="center"/>
          </w:tcPr>
          <w:p w:rsidR="00113D1E" w:rsidRPr="005E0DC9" w:rsidRDefault="00113D1E" w:rsidP="003B09A4">
            <w:pPr>
              <w:pStyle w:val="TableText1"/>
              <w:spacing w:before="0" w:after="0"/>
              <w:rPr>
                <w:b/>
              </w:rPr>
            </w:pPr>
            <w:r w:rsidRPr="005E0DC9">
              <w:rPr>
                <w:b/>
              </w:rPr>
              <w:t>Component</w:t>
            </w:r>
          </w:p>
        </w:tc>
        <w:tc>
          <w:tcPr>
            <w:tcW w:w="3736" w:type="pct"/>
            <w:shd w:val="clear" w:color="auto" w:fill="auto"/>
            <w:vAlign w:val="center"/>
          </w:tcPr>
          <w:p w:rsidR="00113D1E" w:rsidRPr="005E0DC9" w:rsidRDefault="00113D1E" w:rsidP="003B09A4">
            <w:pPr>
              <w:pStyle w:val="TableText1"/>
              <w:spacing w:before="0" w:after="0"/>
              <w:rPr>
                <w:b/>
              </w:rPr>
            </w:pPr>
            <w:r w:rsidRPr="005E0DC9">
              <w:rPr>
                <w:b/>
              </w:rPr>
              <w:t>Summary</w:t>
            </w:r>
          </w:p>
        </w:tc>
      </w:tr>
      <w:tr w:rsidR="00113D1E" w:rsidRPr="005E0DC9" w:rsidTr="001B64AD">
        <w:tc>
          <w:tcPr>
            <w:tcW w:w="1264" w:type="pct"/>
            <w:shd w:val="clear" w:color="auto" w:fill="auto"/>
            <w:vAlign w:val="center"/>
          </w:tcPr>
          <w:p w:rsidR="00113D1E" w:rsidRPr="005E0DC9" w:rsidRDefault="00113D1E" w:rsidP="003B09A4">
            <w:pPr>
              <w:pStyle w:val="TableText1"/>
              <w:spacing w:before="0" w:after="0"/>
            </w:pPr>
            <w:r w:rsidRPr="005E0DC9">
              <w:t>Time horizon</w:t>
            </w:r>
          </w:p>
        </w:tc>
        <w:tc>
          <w:tcPr>
            <w:tcW w:w="3736" w:type="pct"/>
            <w:shd w:val="clear" w:color="auto" w:fill="auto"/>
            <w:vAlign w:val="center"/>
          </w:tcPr>
          <w:p w:rsidR="00113D1E" w:rsidRPr="005E0DC9" w:rsidRDefault="00113D1E" w:rsidP="003B09A4">
            <w:pPr>
              <w:pStyle w:val="TableText1"/>
              <w:spacing w:before="0" w:after="0"/>
              <w:rPr>
                <w:rFonts w:ascii="Times" w:eastAsia="Times New Roman" w:hAnsi="Times" w:cs="Times New Roman"/>
              </w:rPr>
            </w:pPr>
            <w:r w:rsidRPr="005E0DC9">
              <w:t>20 years in the model base case versus 14.5-28.9 months of median follow up in the trials.</w:t>
            </w:r>
          </w:p>
        </w:tc>
      </w:tr>
      <w:tr w:rsidR="00113D1E" w:rsidRPr="005E0DC9" w:rsidTr="001B64AD">
        <w:tc>
          <w:tcPr>
            <w:tcW w:w="1264" w:type="pct"/>
            <w:shd w:val="clear" w:color="auto" w:fill="auto"/>
            <w:vAlign w:val="center"/>
          </w:tcPr>
          <w:p w:rsidR="00113D1E" w:rsidRPr="005E0DC9" w:rsidRDefault="00113D1E" w:rsidP="003B09A4">
            <w:pPr>
              <w:pStyle w:val="TableText1"/>
              <w:spacing w:before="0" w:after="0"/>
              <w:rPr>
                <w:rFonts w:ascii="Times" w:eastAsia="Times New Roman" w:hAnsi="Times" w:cs="Times New Roman"/>
              </w:rPr>
            </w:pPr>
            <w:r w:rsidRPr="005E0DC9">
              <w:t>Outcomes</w:t>
            </w:r>
          </w:p>
        </w:tc>
        <w:tc>
          <w:tcPr>
            <w:tcW w:w="3736" w:type="pct"/>
            <w:shd w:val="clear" w:color="auto" w:fill="auto"/>
            <w:vAlign w:val="center"/>
          </w:tcPr>
          <w:p w:rsidR="00113D1E" w:rsidRPr="005E0DC9" w:rsidRDefault="00113D1E" w:rsidP="003B09A4">
            <w:pPr>
              <w:pStyle w:val="TableText1"/>
              <w:spacing w:before="0" w:after="0"/>
              <w:rPr>
                <w:rFonts w:ascii="Times" w:eastAsia="Times New Roman" w:hAnsi="Times" w:cs="Times New Roman"/>
              </w:rPr>
            </w:pPr>
            <w:r w:rsidRPr="005E0DC9">
              <w:t>LYG; QALYs</w:t>
            </w:r>
          </w:p>
        </w:tc>
      </w:tr>
      <w:tr w:rsidR="00113D1E" w:rsidRPr="005E0DC9" w:rsidTr="001B64AD">
        <w:tc>
          <w:tcPr>
            <w:tcW w:w="1264" w:type="pct"/>
            <w:shd w:val="clear" w:color="auto" w:fill="auto"/>
            <w:vAlign w:val="center"/>
          </w:tcPr>
          <w:p w:rsidR="00113D1E" w:rsidRPr="005E0DC9" w:rsidRDefault="00113D1E" w:rsidP="003B09A4">
            <w:pPr>
              <w:pStyle w:val="TableText1"/>
              <w:spacing w:before="0" w:after="0"/>
              <w:rPr>
                <w:rFonts w:ascii="Times" w:eastAsia="Times New Roman" w:hAnsi="Times" w:cs="Times New Roman"/>
              </w:rPr>
            </w:pPr>
            <w:r w:rsidRPr="005E0DC9">
              <w:t>Methods used to generate results</w:t>
            </w:r>
          </w:p>
        </w:tc>
        <w:tc>
          <w:tcPr>
            <w:tcW w:w="3736" w:type="pct"/>
            <w:shd w:val="clear" w:color="auto" w:fill="auto"/>
            <w:vAlign w:val="center"/>
          </w:tcPr>
          <w:p w:rsidR="00113D1E" w:rsidRPr="005E0DC9" w:rsidRDefault="00113D1E" w:rsidP="003B09A4">
            <w:pPr>
              <w:pStyle w:val="TableText1"/>
              <w:spacing w:before="0" w:after="0"/>
              <w:rPr>
                <w:rFonts w:ascii="Times" w:eastAsia="Times New Roman" w:hAnsi="Times" w:cs="Times New Roman"/>
              </w:rPr>
            </w:pPr>
            <w:r w:rsidRPr="005E0DC9">
              <w:t xml:space="preserve">Markov cohort model based on piecewise exponential regression from RESONATE-2 data with hazard ratio data calculated from indirect comparisons of </w:t>
            </w:r>
            <w:proofErr w:type="spellStart"/>
            <w:r w:rsidRPr="005E0DC9">
              <w:t>ibrutinib</w:t>
            </w:r>
            <w:proofErr w:type="spellEnd"/>
            <w:r w:rsidRPr="005E0DC9">
              <w:t xml:space="preserve"> and </w:t>
            </w:r>
            <w:proofErr w:type="spellStart"/>
            <w:r w:rsidRPr="005E0DC9">
              <w:t>obinutuzumab</w:t>
            </w:r>
            <w:proofErr w:type="spellEnd"/>
            <w:r w:rsidRPr="005E0DC9">
              <w:t xml:space="preserve">, rituximab and </w:t>
            </w:r>
            <w:proofErr w:type="spellStart"/>
            <w:r w:rsidRPr="005E0DC9">
              <w:t>ofatumumab</w:t>
            </w:r>
            <w:proofErr w:type="spellEnd"/>
            <w:r w:rsidRPr="005E0DC9">
              <w:t>.</w:t>
            </w:r>
          </w:p>
        </w:tc>
      </w:tr>
      <w:tr w:rsidR="00113D1E" w:rsidRPr="005E0DC9" w:rsidTr="001B64AD">
        <w:tc>
          <w:tcPr>
            <w:tcW w:w="1264" w:type="pct"/>
            <w:shd w:val="clear" w:color="auto" w:fill="auto"/>
            <w:vAlign w:val="center"/>
          </w:tcPr>
          <w:p w:rsidR="00113D1E" w:rsidRPr="005E0DC9" w:rsidRDefault="00113D1E" w:rsidP="003B09A4">
            <w:pPr>
              <w:pStyle w:val="TableText1"/>
              <w:spacing w:before="0" w:after="0"/>
            </w:pPr>
            <w:r w:rsidRPr="005E0DC9">
              <w:t>Comparison</w:t>
            </w:r>
          </w:p>
        </w:tc>
        <w:tc>
          <w:tcPr>
            <w:tcW w:w="3736" w:type="pct"/>
            <w:shd w:val="clear" w:color="auto" w:fill="auto"/>
            <w:vAlign w:val="center"/>
          </w:tcPr>
          <w:p w:rsidR="00113D1E" w:rsidRPr="005E0DC9" w:rsidRDefault="00113D1E" w:rsidP="003B09A4">
            <w:pPr>
              <w:pStyle w:val="TableText1"/>
              <w:spacing w:before="0" w:after="0"/>
            </w:pPr>
            <w:proofErr w:type="spellStart"/>
            <w:r w:rsidRPr="005E0DC9">
              <w:t>Ibrutinib</w:t>
            </w:r>
            <w:proofErr w:type="spellEnd"/>
            <w:r w:rsidRPr="005E0DC9">
              <w:t xml:space="preserve"> → </w:t>
            </w:r>
            <w:proofErr w:type="spellStart"/>
            <w:r w:rsidRPr="005E0DC9">
              <w:t>Ritux+Chl</w:t>
            </w:r>
            <w:proofErr w:type="spellEnd"/>
            <w:r w:rsidRPr="005E0DC9">
              <w:t xml:space="preserve"> → 3</w:t>
            </w:r>
            <w:r w:rsidRPr="005E0DC9">
              <w:rPr>
                <w:vertAlign w:val="superscript"/>
              </w:rPr>
              <w:t>rd</w:t>
            </w:r>
            <w:r w:rsidRPr="005E0DC9">
              <w:t xml:space="preserve"> line treatment</w:t>
            </w:r>
          </w:p>
          <w:p w:rsidR="00113D1E" w:rsidRPr="005E0DC9" w:rsidRDefault="00113D1E" w:rsidP="003B09A4">
            <w:pPr>
              <w:pStyle w:val="TableText1"/>
              <w:spacing w:before="0" w:after="0"/>
            </w:pPr>
            <w:r w:rsidRPr="005E0DC9">
              <w:t>Versus</w:t>
            </w:r>
          </w:p>
          <w:p w:rsidR="00113D1E" w:rsidRPr="005E0DC9" w:rsidRDefault="00113D1E" w:rsidP="003B09A4">
            <w:pPr>
              <w:pStyle w:val="TableText1"/>
              <w:spacing w:before="0" w:after="0"/>
            </w:pPr>
            <w:proofErr w:type="spellStart"/>
            <w:r w:rsidRPr="005E0DC9">
              <w:t>Ritux+Chl</w:t>
            </w:r>
            <w:proofErr w:type="spellEnd"/>
            <w:r w:rsidRPr="005E0DC9">
              <w:t xml:space="preserve"> →</w:t>
            </w:r>
            <w:proofErr w:type="spellStart"/>
            <w:r w:rsidRPr="005E0DC9">
              <w:t>Ibrutinib</w:t>
            </w:r>
            <w:proofErr w:type="spellEnd"/>
            <w:r w:rsidRPr="005E0DC9">
              <w:t xml:space="preserve"> → 3</w:t>
            </w:r>
            <w:r w:rsidRPr="005E0DC9">
              <w:rPr>
                <w:vertAlign w:val="superscript"/>
              </w:rPr>
              <w:t>rd</w:t>
            </w:r>
            <w:r w:rsidRPr="005E0DC9">
              <w:t xml:space="preserve"> line treatment (61.3%)</w:t>
            </w:r>
          </w:p>
          <w:p w:rsidR="00113D1E" w:rsidRPr="005E0DC9" w:rsidRDefault="00113D1E" w:rsidP="003B09A4">
            <w:pPr>
              <w:pStyle w:val="TableText1"/>
              <w:spacing w:before="0" w:after="0"/>
            </w:pPr>
            <w:proofErr w:type="spellStart"/>
            <w:r w:rsidRPr="005E0DC9">
              <w:t>Obi+Chl</w:t>
            </w:r>
            <w:proofErr w:type="spellEnd"/>
            <w:r w:rsidRPr="005E0DC9">
              <w:t xml:space="preserve"> → </w:t>
            </w:r>
            <w:proofErr w:type="spellStart"/>
            <w:r w:rsidRPr="005E0DC9">
              <w:t>Ibrutinib</w:t>
            </w:r>
            <w:proofErr w:type="spellEnd"/>
            <w:r w:rsidRPr="005E0DC9">
              <w:t xml:space="preserve"> → 3</w:t>
            </w:r>
            <w:r w:rsidRPr="005E0DC9">
              <w:rPr>
                <w:vertAlign w:val="superscript"/>
              </w:rPr>
              <w:t>rd</w:t>
            </w:r>
            <w:r w:rsidRPr="005E0DC9">
              <w:t xml:space="preserve"> line treatment (29.4%)</w:t>
            </w:r>
          </w:p>
          <w:p w:rsidR="00113D1E" w:rsidRPr="005E0DC9" w:rsidRDefault="00113D1E" w:rsidP="003B09A4">
            <w:pPr>
              <w:pStyle w:val="TableText1"/>
              <w:spacing w:before="0" w:after="0"/>
            </w:pPr>
            <w:proofErr w:type="spellStart"/>
            <w:r w:rsidRPr="005E0DC9">
              <w:t>Ofa+Chl</w:t>
            </w:r>
            <w:proofErr w:type="spellEnd"/>
            <w:r w:rsidRPr="005E0DC9">
              <w:t xml:space="preserve"> → </w:t>
            </w:r>
            <w:proofErr w:type="spellStart"/>
            <w:r w:rsidRPr="005E0DC9">
              <w:t>Ibrutinib</w:t>
            </w:r>
            <w:proofErr w:type="spellEnd"/>
            <w:r w:rsidRPr="005E0DC9">
              <w:t xml:space="preserve"> → 3</w:t>
            </w:r>
            <w:r w:rsidRPr="005E0DC9">
              <w:rPr>
                <w:vertAlign w:val="superscript"/>
              </w:rPr>
              <w:t>rd</w:t>
            </w:r>
            <w:r w:rsidRPr="005E0DC9">
              <w:t xml:space="preserve"> line treatment (9.3%)</w:t>
            </w:r>
          </w:p>
        </w:tc>
      </w:tr>
      <w:tr w:rsidR="00113D1E" w:rsidRPr="005E0DC9" w:rsidTr="001B64AD">
        <w:tc>
          <w:tcPr>
            <w:tcW w:w="1264" w:type="pct"/>
            <w:shd w:val="clear" w:color="auto" w:fill="auto"/>
            <w:vAlign w:val="center"/>
          </w:tcPr>
          <w:p w:rsidR="00113D1E" w:rsidRPr="005E0DC9" w:rsidRDefault="00113D1E" w:rsidP="003B09A4">
            <w:pPr>
              <w:pStyle w:val="TableText1"/>
              <w:spacing w:before="0" w:after="0"/>
              <w:rPr>
                <w:rFonts w:ascii="Times" w:eastAsia="Times New Roman" w:hAnsi="Times" w:cs="Times New Roman"/>
              </w:rPr>
            </w:pPr>
            <w:r w:rsidRPr="005E0DC9">
              <w:t>Health states</w:t>
            </w:r>
          </w:p>
        </w:tc>
        <w:tc>
          <w:tcPr>
            <w:tcW w:w="3736" w:type="pct"/>
            <w:shd w:val="clear" w:color="auto" w:fill="auto"/>
            <w:vAlign w:val="center"/>
          </w:tcPr>
          <w:p w:rsidR="00113D1E" w:rsidRPr="005E0DC9" w:rsidRDefault="00113D1E" w:rsidP="003B09A4">
            <w:pPr>
              <w:pStyle w:val="TableText1"/>
              <w:spacing w:before="0" w:after="0"/>
              <w:rPr>
                <w:rFonts w:ascii="Times" w:eastAsia="Times New Roman" w:hAnsi="Times" w:cs="Times New Roman"/>
              </w:rPr>
            </w:pPr>
            <w:proofErr w:type="spellStart"/>
            <w:r w:rsidRPr="005E0DC9">
              <w:t>Unprogressed</w:t>
            </w:r>
            <w:proofErr w:type="spellEnd"/>
            <w:r w:rsidRPr="005E0DC9">
              <w:t xml:space="preserve">, progressed, death; plus patients can start a new treatment (second or third-line therapy) where they move to </w:t>
            </w:r>
            <w:proofErr w:type="spellStart"/>
            <w:r w:rsidRPr="005E0DC9">
              <w:t>unprogressed</w:t>
            </w:r>
            <w:proofErr w:type="spellEnd"/>
            <w:r w:rsidRPr="005E0DC9">
              <w:t xml:space="preserve"> for the new treatment.</w:t>
            </w:r>
          </w:p>
        </w:tc>
      </w:tr>
      <w:tr w:rsidR="00113D1E" w:rsidRPr="005E0DC9" w:rsidTr="001B64AD">
        <w:tc>
          <w:tcPr>
            <w:tcW w:w="1264" w:type="pct"/>
            <w:shd w:val="clear" w:color="auto" w:fill="auto"/>
            <w:vAlign w:val="center"/>
          </w:tcPr>
          <w:p w:rsidR="00113D1E" w:rsidRPr="005E0DC9" w:rsidRDefault="00113D1E" w:rsidP="003B09A4">
            <w:pPr>
              <w:pStyle w:val="TableText1"/>
              <w:spacing w:before="0" w:after="0"/>
              <w:rPr>
                <w:rFonts w:ascii="Times" w:eastAsia="Times New Roman" w:hAnsi="Times" w:cs="Times New Roman"/>
              </w:rPr>
            </w:pPr>
            <w:r w:rsidRPr="005E0DC9">
              <w:t>Utilities</w:t>
            </w:r>
          </w:p>
        </w:tc>
        <w:tc>
          <w:tcPr>
            <w:tcW w:w="3736" w:type="pct"/>
            <w:shd w:val="clear" w:color="auto" w:fill="auto"/>
            <w:vAlign w:val="center"/>
          </w:tcPr>
          <w:p w:rsidR="00113D1E" w:rsidRPr="005E0DC9" w:rsidRDefault="00113D1E" w:rsidP="003B09A4">
            <w:pPr>
              <w:pStyle w:val="TableText1"/>
              <w:spacing w:before="0" w:after="0"/>
              <w:rPr>
                <w:rFonts w:ascii="Times" w:eastAsia="Times New Roman" w:hAnsi="Times" w:cs="Times New Roman"/>
              </w:rPr>
            </w:pPr>
            <w:r w:rsidRPr="005E0DC9">
              <w:t xml:space="preserve">Trial-based EQ-5D values from RESONATE-2 for first-line treatment; literature based for second and third-line treatment. </w:t>
            </w:r>
          </w:p>
        </w:tc>
      </w:tr>
      <w:tr w:rsidR="00113D1E" w:rsidRPr="005E0DC9" w:rsidTr="001B64AD">
        <w:tc>
          <w:tcPr>
            <w:tcW w:w="1264" w:type="pct"/>
            <w:shd w:val="clear" w:color="auto" w:fill="auto"/>
            <w:vAlign w:val="center"/>
          </w:tcPr>
          <w:p w:rsidR="00113D1E" w:rsidRPr="005E0DC9" w:rsidRDefault="00113D1E" w:rsidP="003B09A4">
            <w:pPr>
              <w:pStyle w:val="TableText1"/>
              <w:spacing w:before="0" w:after="0"/>
              <w:rPr>
                <w:rFonts w:ascii="Times" w:eastAsia="Times New Roman" w:hAnsi="Times" w:cs="Times New Roman"/>
              </w:rPr>
            </w:pPr>
            <w:r w:rsidRPr="005E0DC9">
              <w:t>Cycle length</w:t>
            </w:r>
          </w:p>
        </w:tc>
        <w:tc>
          <w:tcPr>
            <w:tcW w:w="3736" w:type="pct"/>
            <w:shd w:val="clear" w:color="auto" w:fill="auto"/>
            <w:vAlign w:val="center"/>
          </w:tcPr>
          <w:p w:rsidR="00113D1E" w:rsidRPr="005E0DC9" w:rsidRDefault="00113D1E" w:rsidP="003B09A4">
            <w:pPr>
              <w:pStyle w:val="TableText1"/>
              <w:spacing w:before="0" w:after="0"/>
              <w:rPr>
                <w:rFonts w:ascii="Times" w:eastAsia="Times New Roman" w:hAnsi="Times" w:cs="Times New Roman"/>
              </w:rPr>
            </w:pPr>
            <w:r w:rsidRPr="005E0DC9">
              <w:t>30 days with no half cycle correction</w:t>
            </w:r>
          </w:p>
        </w:tc>
      </w:tr>
      <w:tr w:rsidR="00113D1E" w:rsidRPr="005E0DC9" w:rsidTr="001B64AD">
        <w:tc>
          <w:tcPr>
            <w:tcW w:w="1264" w:type="pct"/>
            <w:shd w:val="clear" w:color="auto" w:fill="auto"/>
            <w:vAlign w:val="center"/>
          </w:tcPr>
          <w:p w:rsidR="00113D1E" w:rsidRPr="005E0DC9" w:rsidRDefault="00113D1E" w:rsidP="003B09A4">
            <w:pPr>
              <w:pStyle w:val="TableText1"/>
              <w:spacing w:before="0" w:after="0"/>
              <w:rPr>
                <w:rFonts w:ascii="Times" w:eastAsia="Times New Roman" w:hAnsi="Times" w:cs="Times New Roman"/>
              </w:rPr>
            </w:pPr>
            <w:r w:rsidRPr="005E0DC9">
              <w:t>Transition probabilities</w:t>
            </w:r>
          </w:p>
        </w:tc>
        <w:tc>
          <w:tcPr>
            <w:tcW w:w="3736" w:type="pct"/>
            <w:shd w:val="clear" w:color="auto" w:fill="auto"/>
            <w:vAlign w:val="center"/>
          </w:tcPr>
          <w:p w:rsidR="00113D1E" w:rsidRPr="005E0DC9" w:rsidRDefault="00113D1E" w:rsidP="003B09A4">
            <w:pPr>
              <w:pStyle w:val="TableText1"/>
              <w:spacing w:before="0" w:after="0"/>
            </w:pPr>
            <w:r w:rsidRPr="005E0DC9">
              <w:t>PFS transition probabilities were based on RESONATE-2 data as well as CLL11 and COMPLEMENT-1 for the comparators.   Time to progression for further lines of therapy were adjusted by multipliers based on the CLL8 and REACH trials used in first and second-line treatment of CLL with rituximab-</w:t>
            </w:r>
            <w:proofErr w:type="spellStart"/>
            <w:r w:rsidRPr="005E0DC9">
              <w:t>fludarabine</w:t>
            </w:r>
            <w:proofErr w:type="spellEnd"/>
            <w:r w:rsidRPr="005E0DC9">
              <w:t xml:space="preserve">-cyclophosphamide. </w:t>
            </w:r>
          </w:p>
        </w:tc>
      </w:tr>
    </w:tbl>
    <w:p w:rsidR="00113D1E" w:rsidRPr="005E0DC9" w:rsidRDefault="00113D1E" w:rsidP="00113D1E">
      <w:pPr>
        <w:pStyle w:val="TableFooter"/>
        <w:tabs>
          <w:tab w:val="left" w:pos="142"/>
        </w:tabs>
        <w:ind w:left="142" w:hanging="142"/>
      </w:pPr>
      <w:r w:rsidRPr="005E0DC9">
        <w:t>LYG=life years gained; QALYs=quality-adjusted life years</w:t>
      </w:r>
    </w:p>
    <w:p w:rsidR="00113D1E" w:rsidRPr="005E0DC9" w:rsidRDefault="00113D1E" w:rsidP="00113D1E">
      <w:pPr>
        <w:pStyle w:val="TableFooter"/>
      </w:pPr>
      <w:r w:rsidRPr="005E0DC9">
        <w:t>Source: Section D.3.3.2, p10-11; Section D.3.3.3, p11-12 and Table D.2, p14 of Section D of the submission; Section C.2.12, p42-49 of Section C of the submission.</w:t>
      </w:r>
    </w:p>
    <w:p w:rsidR="00113D1E" w:rsidRPr="005E0DC9" w:rsidRDefault="00113D1E" w:rsidP="00FA1A53">
      <w:pPr>
        <w:widowControl/>
        <w:numPr>
          <w:ilvl w:val="1"/>
          <w:numId w:val="11"/>
        </w:numPr>
        <w:spacing w:before="120" w:after="120"/>
        <w:jc w:val="left"/>
        <w:rPr>
          <w:rFonts w:ascii="Calibri" w:eastAsia="Calibri" w:hAnsi="Calibri"/>
          <w:snapToGrid/>
          <w:sz w:val="24"/>
          <w:szCs w:val="22"/>
        </w:rPr>
      </w:pPr>
      <w:r w:rsidRPr="005E0DC9">
        <w:rPr>
          <w:rFonts w:ascii="Calibri" w:eastAsia="Calibri" w:hAnsi="Calibri"/>
          <w:snapToGrid/>
          <w:sz w:val="24"/>
          <w:szCs w:val="22"/>
        </w:rPr>
        <w:t xml:space="preserve">The following table provides a summary of the key drivers of the model. </w:t>
      </w:r>
    </w:p>
    <w:p w:rsidR="00113D1E" w:rsidRPr="005E0DC9" w:rsidRDefault="00113D1E" w:rsidP="00113D1E">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Table 1</w:t>
      </w:r>
      <w:r w:rsidR="00C206CA" w:rsidRPr="005E0DC9">
        <w:rPr>
          <w:rFonts w:ascii="Arial Narrow" w:eastAsia="Calibri" w:hAnsi="Arial Narrow"/>
          <w:b/>
          <w:snapToGrid/>
          <w:sz w:val="20"/>
          <w:szCs w:val="22"/>
        </w:rPr>
        <w:t>0</w:t>
      </w:r>
      <w:r w:rsidRPr="005E0DC9">
        <w:rPr>
          <w:rFonts w:ascii="Arial Narrow" w:eastAsia="Calibri" w:hAnsi="Arial Narrow"/>
          <w:b/>
          <w:snapToGrid/>
          <w:sz w:val="20"/>
          <w:szCs w:val="22"/>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3"/>
        <w:gridCol w:w="5023"/>
        <w:gridCol w:w="1897"/>
      </w:tblGrid>
      <w:tr w:rsidR="00113D1E" w:rsidRPr="005E0DC9" w:rsidTr="003B09A4">
        <w:trPr>
          <w:tblHeader/>
        </w:trPr>
        <w:tc>
          <w:tcPr>
            <w:tcW w:w="1191" w:type="pct"/>
            <w:shd w:val="clear" w:color="auto" w:fill="auto"/>
            <w:vAlign w:val="center"/>
          </w:tcPr>
          <w:p w:rsidR="00113D1E" w:rsidRPr="005E0DC9" w:rsidRDefault="00113D1E" w:rsidP="00113D1E">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Description</w:t>
            </w:r>
          </w:p>
        </w:tc>
        <w:tc>
          <w:tcPr>
            <w:tcW w:w="2765" w:type="pct"/>
            <w:shd w:val="clear" w:color="auto" w:fill="auto"/>
            <w:vAlign w:val="center"/>
          </w:tcPr>
          <w:p w:rsidR="00113D1E" w:rsidRPr="005E0DC9" w:rsidRDefault="00113D1E" w:rsidP="00113D1E">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Method/Value</w:t>
            </w:r>
          </w:p>
        </w:tc>
        <w:tc>
          <w:tcPr>
            <w:tcW w:w="1044" w:type="pct"/>
            <w:shd w:val="clear" w:color="auto" w:fill="auto"/>
            <w:vAlign w:val="center"/>
          </w:tcPr>
          <w:p w:rsidR="00113D1E" w:rsidRPr="005E0DC9" w:rsidRDefault="00113D1E" w:rsidP="00113D1E">
            <w:pPr>
              <w:keepNext/>
              <w:widowControl/>
              <w:jc w:val="left"/>
              <w:rPr>
                <w:rFonts w:ascii="Arial Narrow" w:eastAsia="Calibri" w:hAnsi="Arial Narrow"/>
                <w:b/>
                <w:snapToGrid/>
                <w:sz w:val="20"/>
                <w:szCs w:val="22"/>
              </w:rPr>
            </w:pPr>
            <w:r w:rsidRPr="005E0DC9">
              <w:rPr>
                <w:rFonts w:ascii="Arial Narrow" w:eastAsia="Calibri" w:hAnsi="Arial Narrow"/>
                <w:b/>
                <w:snapToGrid/>
                <w:sz w:val="20"/>
                <w:szCs w:val="22"/>
              </w:rPr>
              <w:t>Impact</w:t>
            </w:r>
          </w:p>
        </w:tc>
      </w:tr>
      <w:tr w:rsidR="00113D1E" w:rsidRPr="005E0DC9" w:rsidTr="003B09A4">
        <w:tc>
          <w:tcPr>
            <w:tcW w:w="1191" w:type="pct"/>
            <w:shd w:val="clear" w:color="auto" w:fill="auto"/>
            <w:vAlign w:val="center"/>
          </w:tcPr>
          <w:p w:rsidR="00113D1E" w:rsidRPr="005E0DC9" w:rsidRDefault="00113D1E" w:rsidP="00113D1E">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Time horizon</w:t>
            </w:r>
          </w:p>
        </w:tc>
        <w:tc>
          <w:tcPr>
            <w:tcW w:w="2765" w:type="pct"/>
            <w:shd w:val="clear" w:color="auto" w:fill="auto"/>
            <w:vAlign w:val="center"/>
          </w:tcPr>
          <w:p w:rsidR="00113D1E" w:rsidRPr="005E0DC9" w:rsidRDefault="00113D1E" w:rsidP="00113D1E">
            <w:pPr>
              <w:keepNext/>
              <w:widowControl/>
              <w:jc w:val="left"/>
              <w:rPr>
                <w:rFonts w:ascii="Arial Narrow" w:eastAsia="Calibri" w:hAnsi="Arial Narrow"/>
                <w:i/>
                <w:snapToGrid/>
                <w:sz w:val="20"/>
                <w:szCs w:val="22"/>
              </w:rPr>
            </w:pPr>
            <w:r w:rsidRPr="005E0DC9">
              <w:rPr>
                <w:rFonts w:ascii="Arial Narrow" w:eastAsia="Calibri" w:hAnsi="Arial Narrow"/>
                <w:snapToGrid/>
                <w:sz w:val="20"/>
                <w:szCs w:val="22"/>
              </w:rPr>
              <w:t xml:space="preserve">20 years based on a median of 18 months follow-up in RESONATE-2. The low number of clinical events observed in the trials results in substantial uncertainty when the results are extrapolated over a long time period. With an analysis restricted to a time horizon based on the trials, the incremental LYs gained </w:t>
            </w:r>
            <w:r w:rsidR="0031593C" w:rsidRPr="005E0DC9">
              <w:rPr>
                <w:rFonts w:ascii="Arial Narrow" w:eastAsia="Calibri" w:hAnsi="Arial Narrow"/>
                <w:snapToGrid/>
                <w:sz w:val="20"/>
                <w:szCs w:val="22"/>
              </w:rPr>
              <w:t>is</w:t>
            </w:r>
            <w:r w:rsidRPr="005E0DC9">
              <w:rPr>
                <w:rFonts w:ascii="Arial Narrow" w:eastAsia="Calibri" w:hAnsi="Arial Narrow"/>
                <w:snapToGrid/>
                <w:sz w:val="20"/>
                <w:szCs w:val="22"/>
              </w:rPr>
              <w:t xml:space="preserve"> </w:t>
            </w:r>
            <w:r w:rsidR="00773C23">
              <w:rPr>
                <w:rFonts w:ascii="Arial Narrow" w:eastAsia="Calibri" w:hAnsi="Arial Narrow"/>
                <w:noProof/>
                <w:snapToGrid/>
                <w:color w:val="000000"/>
                <w:sz w:val="20"/>
                <w:szCs w:val="22"/>
                <w:highlight w:val="black"/>
              </w:rPr>
              <w:t>''''''''''''</w:t>
            </w:r>
            <w:r w:rsidRPr="005E0DC9">
              <w:rPr>
                <w:rFonts w:ascii="Arial Narrow" w:eastAsia="Calibri" w:hAnsi="Arial Narrow"/>
                <w:snapToGrid/>
                <w:sz w:val="20"/>
                <w:szCs w:val="22"/>
              </w:rPr>
              <w:t xml:space="preserve"> years. Extending the time horizon to 20 years increases the incremental LYs gained to </w:t>
            </w:r>
            <w:r w:rsidR="00773C23">
              <w:rPr>
                <w:rFonts w:ascii="Arial Narrow" w:eastAsia="Calibri" w:hAnsi="Arial Narrow"/>
                <w:noProof/>
                <w:snapToGrid/>
                <w:color w:val="000000"/>
                <w:sz w:val="20"/>
                <w:szCs w:val="22"/>
                <w:highlight w:val="black"/>
              </w:rPr>
              <w:t>''''''''''</w:t>
            </w:r>
            <w:r w:rsidRPr="005E0DC9">
              <w:rPr>
                <w:rFonts w:ascii="Arial Narrow" w:eastAsia="Calibri" w:hAnsi="Arial Narrow"/>
                <w:snapToGrid/>
                <w:sz w:val="20"/>
                <w:szCs w:val="22"/>
              </w:rPr>
              <w:t xml:space="preserve"> years. Thus </w:t>
            </w:r>
            <w:r w:rsidR="00773C23">
              <w:rPr>
                <w:rFonts w:ascii="Arial Narrow" w:eastAsia="Calibri" w:hAnsi="Arial Narrow"/>
                <w:noProof/>
                <w:snapToGrid/>
                <w:color w:val="000000"/>
                <w:sz w:val="20"/>
                <w:szCs w:val="22"/>
                <w:highlight w:val="black"/>
              </w:rPr>
              <w:t>'''''''</w:t>
            </w:r>
            <w:r w:rsidRPr="005E0DC9">
              <w:rPr>
                <w:rFonts w:ascii="Arial Narrow" w:eastAsia="Calibri" w:hAnsi="Arial Narrow"/>
                <w:snapToGrid/>
                <w:sz w:val="20"/>
                <w:szCs w:val="22"/>
              </w:rPr>
              <w:t>% of the incremental gain in LYs is based on extrapolated rather than trial data.</w:t>
            </w:r>
          </w:p>
          <w:p w:rsidR="00113D1E" w:rsidRPr="005E0DC9" w:rsidRDefault="00113D1E" w:rsidP="00113D1E">
            <w:pPr>
              <w:keepNext/>
              <w:widowControl/>
              <w:jc w:val="left"/>
              <w:rPr>
                <w:rFonts w:ascii="Arial Narrow" w:eastAsia="Calibri" w:hAnsi="Arial Narrow"/>
                <w:snapToGrid/>
                <w:sz w:val="20"/>
                <w:szCs w:val="22"/>
              </w:rPr>
            </w:pPr>
          </w:p>
          <w:p w:rsidR="00113D1E" w:rsidRPr="005E0DC9" w:rsidRDefault="00113D1E" w:rsidP="002D241F">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 xml:space="preserve">The patient population enter the model at 73 years of age and will likely have comorbidities, which further suggests a time horizon of less than 20 years may be more appropriate. The PBAC previously considered a 10 year time horizon to be appropriate for </w:t>
            </w:r>
            <w:proofErr w:type="spellStart"/>
            <w:r w:rsidRPr="005E0DC9">
              <w:rPr>
                <w:rFonts w:ascii="Arial Narrow" w:eastAsia="Calibri" w:hAnsi="Arial Narrow"/>
                <w:snapToGrid/>
                <w:sz w:val="20"/>
                <w:szCs w:val="22"/>
              </w:rPr>
              <w:t>obinutuzumab</w:t>
            </w:r>
            <w:proofErr w:type="spellEnd"/>
            <w:r w:rsidRPr="005E0DC9">
              <w:rPr>
                <w:rFonts w:ascii="Arial Narrow" w:eastAsia="Calibri" w:hAnsi="Arial Narrow"/>
                <w:snapToGrid/>
                <w:sz w:val="20"/>
                <w:szCs w:val="22"/>
              </w:rPr>
              <w:t xml:space="preserve"> in first-line and also for </w:t>
            </w:r>
            <w:proofErr w:type="spellStart"/>
            <w:r w:rsidRPr="005E0DC9">
              <w:rPr>
                <w:rFonts w:ascii="Arial Narrow" w:eastAsia="Calibri" w:hAnsi="Arial Narrow"/>
                <w:snapToGrid/>
                <w:sz w:val="20"/>
                <w:szCs w:val="22"/>
              </w:rPr>
              <w:t>ibrutinib</w:t>
            </w:r>
            <w:proofErr w:type="spellEnd"/>
            <w:r w:rsidRPr="005E0DC9">
              <w:rPr>
                <w:rFonts w:ascii="Arial Narrow" w:eastAsia="Calibri" w:hAnsi="Arial Narrow"/>
                <w:snapToGrid/>
                <w:sz w:val="20"/>
                <w:szCs w:val="22"/>
              </w:rPr>
              <w:t xml:space="preserve"> in relapsed/refractory patients.  </w:t>
            </w:r>
            <w:r w:rsidR="00E65582" w:rsidRPr="005E0DC9">
              <w:rPr>
                <w:rFonts w:ascii="Arial Narrow" w:eastAsia="Calibri" w:hAnsi="Arial Narrow"/>
                <w:snapToGrid/>
                <w:sz w:val="20"/>
                <w:szCs w:val="22"/>
              </w:rPr>
              <w:t xml:space="preserve">The ESC agreed that 20 years was optimistic given the </w:t>
            </w:r>
            <w:r w:rsidR="002D241F" w:rsidRPr="005E0DC9">
              <w:rPr>
                <w:rFonts w:ascii="Arial Narrow" w:hAnsi="Arial Narrow"/>
                <w:snapToGrid/>
                <w:sz w:val="20"/>
              </w:rPr>
              <w:t>average age of patients commencing first line treatment is &gt;70 years.</w:t>
            </w:r>
          </w:p>
        </w:tc>
        <w:tc>
          <w:tcPr>
            <w:tcW w:w="1044" w:type="pct"/>
            <w:shd w:val="clear" w:color="auto" w:fill="auto"/>
            <w:vAlign w:val="center"/>
          </w:tcPr>
          <w:p w:rsidR="00113D1E" w:rsidRPr="005E0DC9" w:rsidRDefault="00113D1E" w:rsidP="00113D1E">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 xml:space="preserve">High, favours </w:t>
            </w:r>
            <w:proofErr w:type="spellStart"/>
            <w:r w:rsidRPr="005E0DC9">
              <w:rPr>
                <w:rFonts w:ascii="Arial Narrow" w:eastAsia="Calibri" w:hAnsi="Arial Narrow"/>
                <w:snapToGrid/>
                <w:sz w:val="20"/>
                <w:szCs w:val="22"/>
              </w:rPr>
              <w:t>ibrutinib</w:t>
            </w:r>
            <w:proofErr w:type="spellEnd"/>
          </w:p>
        </w:tc>
      </w:tr>
      <w:tr w:rsidR="00113D1E" w:rsidRPr="005E0DC9" w:rsidTr="003B09A4">
        <w:tc>
          <w:tcPr>
            <w:tcW w:w="1191" w:type="pct"/>
            <w:shd w:val="clear" w:color="auto" w:fill="auto"/>
            <w:vAlign w:val="center"/>
          </w:tcPr>
          <w:p w:rsidR="00113D1E" w:rsidRPr="005E0DC9" w:rsidRDefault="00113D1E" w:rsidP="00113D1E">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Utilities</w:t>
            </w:r>
          </w:p>
        </w:tc>
        <w:tc>
          <w:tcPr>
            <w:tcW w:w="2765" w:type="pct"/>
            <w:shd w:val="clear" w:color="auto" w:fill="auto"/>
            <w:vAlign w:val="center"/>
          </w:tcPr>
          <w:p w:rsidR="00113D1E" w:rsidRPr="005E0DC9" w:rsidRDefault="00113D1E" w:rsidP="00113D1E">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While utility values are trial-based for first-line treatment the model was sensitive to alternate literature-based values.</w:t>
            </w:r>
          </w:p>
        </w:tc>
        <w:tc>
          <w:tcPr>
            <w:tcW w:w="1044" w:type="pct"/>
            <w:shd w:val="clear" w:color="auto" w:fill="auto"/>
            <w:vAlign w:val="center"/>
          </w:tcPr>
          <w:p w:rsidR="00113D1E" w:rsidRPr="005E0DC9" w:rsidRDefault="00113D1E" w:rsidP="00113D1E">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High</w:t>
            </w:r>
          </w:p>
        </w:tc>
      </w:tr>
      <w:tr w:rsidR="00113D1E" w:rsidRPr="005E0DC9" w:rsidTr="003B09A4">
        <w:tc>
          <w:tcPr>
            <w:tcW w:w="1191" w:type="pct"/>
            <w:shd w:val="clear" w:color="auto" w:fill="auto"/>
            <w:vAlign w:val="center"/>
          </w:tcPr>
          <w:p w:rsidR="00113D1E" w:rsidRPr="005E0DC9" w:rsidRDefault="00113D1E" w:rsidP="00113D1E">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Comparator</w:t>
            </w:r>
          </w:p>
        </w:tc>
        <w:tc>
          <w:tcPr>
            <w:tcW w:w="2765" w:type="pct"/>
            <w:shd w:val="clear" w:color="auto" w:fill="auto"/>
            <w:vAlign w:val="center"/>
          </w:tcPr>
          <w:p w:rsidR="00113D1E" w:rsidRPr="005E0DC9" w:rsidRDefault="00113D1E" w:rsidP="00B9334F">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 xml:space="preserve">The model used a </w:t>
            </w:r>
            <w:r w:rsidR="0031593C" w:rsidRPr="005E0DC9">
              <w:rPr>
                <w:rFonts w:ascii="Arial Narrow" w:eastAsia="Calibri" w:hAnsi="Arial Narrow"/>
                <w:snapToGrid/>
                <w:sz w:val="20"/>
                <w:szCs w:val="22"/>
              </w:rPr>
              <w:t>blended</w:t>
            </w:r>
            <w:r w:rsidRPr="005E0DC9">
              <w:rPr>
                <w:rFonts w:ascii="Arial Narrow" w:eastAsia="Calibri" w:hAnsi="Arial Narrow"/>
                <w:snapToGrid/>
                <w:sz w:val="20"/>
                <w:szCs w:val="22"/>
              </w:rPr>
              <w:t xml:space="preserve"> or weighted comparator. </w:t>
            </w:r>
          </w:p>
        </w:tc>
        <w:tc>
          <w:tcPr>
            <w:tcW w:w="1044" w:type="pct"/>
            <w:shd w:val="clear" w:color="auto" w:fill="auto"/>
            <w:vAlign w:val="center"/>
          </w:tcPr>
          <w:p w:rsidR="00113D1E" w:rsidRPr="005E0DC9" w:rsidRDefault="00113D1E" w:rsidP="00113D1E">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 xml:space="preserve">High, favours </w:t>
            </w:r>
            <w:proofErr w:type="spellStart"/>
            <w:r w:rsidRPr="005E0DC9">
              <w:rPr>
                <w:rFonts w:ascii="Arial Narrow" w:eastAsia="Calibri" w:hAnsi="Arial Narrow"/>
                <w:snapToGrid/>
                <w:sz w:val="20"/>
                <w:szCs w:val="22"/>
              </w:rPr>
              <w:t>ibrutinib</w:t>
            </w:r>
            <w:proofErr w:type="spellEnd"/>
          </w:p>
        </w:tc>
      </w:tr>
      <w:tr w:rsidR="00113D1E" w:rsidRPr="005E0DC9" w:rsidTr="003B09A4">
        <w:tc>
          <w:tcPr>
            <w:tcW w:w="1191" w:type="pct"/>
            <w:shd w:val="clear" w:color="auto" w:fill="auto"/>
            <w:vAlign w:val="center"/>
          </w:tcPr>
          <w:p w:rsidR="00113D1E" w:rsidRPr="005E0DC9" w:rsidRDefault="00113D1E" w:rsidP="00113D1E">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 xml:space="preserve">Efficacy of </w:t>
            </w:r>
            <w:proofErr w:type="spellStart"/>
            <w:r w:rsidRPr="005E0DC9">
              <w:rPr>
                <w:rFonts w:ascii="Arial Narrow" w:eastAsia="Calibri" w:hAnsi="Arial Narrow"/>
                <w:snapToGrid/>
                <w:sz w:val="20"/>
                <w:szCs w:val="22"/>
              </w:rPr>
              <w:t>ibrutinib</w:t>
            </w:r>
            <w:proofErr w:type="spellEnd"/>
            <w:r w:rsidRPr="005E0DC9">
              <w:rPr>
                <w:rFonts w:ascii="Arial Narrow" w:eastAsia="Calibri" w:hAnsi="Arial Narrow"/>
                <w:snapToGrid/>
                <w:sz w:val="20"/>
                <w:szCs w:val="22"/>
              </w:rPr>
              <w:t xml:space="preserve"> versus comparators</w:t>
            </w:r>
          </w:p>
        </w:tc>
        <w:tc>
          <w:tcPr>
            <w:tcW w:w="2765" w:type="pct"/>
            <w:shd w:val="clear" w:color="auto" w:fill="auto"/>
            <w:vAlign w:val="center"/>
          </w:tcPr>
          <w:p w:rsidR="00113D1E" w:rsidRPr="005E0DC9" w:rsidRDefault="00113D1E" w:rsidP="00113D1E">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 xml:space="preserve">The efficacy estimates for </w:t>
            </w:r>
            <w:proofErr w:type="spellStart"/>
            <w:r w:rsidRPr="005E0DC9">
              <w:rPr>
                <w:rFonts w:ascii="Arial Narrow" w:eastAsia="Calibri" w:hAnsi="Arial Narrow"/>
                <w:snapToGrid/>
                <w:sz w:val="20"/>
                <w:szCs w:val="22"/>
              </w:rPr>
              <w:t>ibrutinib</w:t>
            </w:r>
            <w:proofErr w:type="spellEnd"/>
            <w:r w:rsidRPr="005E0DC9">
              <w:rPr>
                <w:rFonts w:ascii="Arial Narrow" w:eastAsia="Calibri" w:hAnsi="Arial Narrow"/>
                <w:snapToGrid/>
                <w:sz w:val="20"/>
                <w:szCs w:val="22"/>
              </w:rPr>
              <w:t xml:space="preserve"> versus the comparator treatments were based on indirect comparisons. The efficacy analyses indicated no statistically significant advantage for </w:t>
            </w:r>
            <w:proofErr w:type="spellStart"/>
            <w:r w:rsidRPr="005E0DC9">
              <w:rPr>
                <w:rFonts w:ascii="Arial Narrow" w:eastAsia="Calibri" w:hAnsi="Arial Narrow"/>
                <w:snapToGrid/>
                <w:sz w:val="20"/>
                <w:szCs w:val="22"/>
              </w:rPr>
              <w:t>ibrutinib</w:t>
            </w:r>
            <w:proofErr w:type="spellEnd"/>
            <w:r w:rsidRPr="005E0DC9">
              <w:rPr>
                <w:rFonts w:ascii="Arial Narrow" w:eastAsia="Calibri" w:hAnsi="Arial Narrow"/>
                <w:snapToGrid/>
                <w:sz w:val="20"/>
                <w:szCs w:val="22"/>
              </w:rPr>
              <w:t xml:space="preserve"> over </w:t>
            </w:r>
            <w:proofErr w:type="spellStart"/>
            <w:r w:rsidRPr="005E0DC9">
              <w:rPr>
                <w:rFonts w:ascii="Arial Narrow" w:eastAsia="Calibri" w:hAnsi="Arial Narrow"/>
                <w:snapToGrid/>
                <w:sz w:val="20"/>
                <w:szCs w:val="22"/>
              </w:rPr>
              <w:t>obi+</w:t>
            </w:r>
            <w:proofErr w:type="gramStart"/>
            <w:r w:rsidRPr="005E0DC9">
              <w:rPr>
                <w:rFonts w:ascii="Arial Narrow" w:eastAsia="Calibri" w:hAnsi="Arial Narrow"/>
                <w:snapToGrid/>
                <w:sz w:val="20"/>
                <w:szCs w:val="22"/>
              </w:rPr>
              <w:t>chl</w:t>
            </w:r>
            <w:proofErr w:type="spellEnd"/>
            <w:r w:rsidRPr="005E0DC9">
              <w:rPr>
                <w:rFonts w:ascii="Arial Narrow" w:eastAsia="Calibri" w:hAnsi="Arial Narrow"/>
                <w:snapToGrid/>
                <w:sz w:val="20"/>
                <w:szCs w:val="22"/>
              </w:rPr>
              <w:t>,</w:t>
            </w:r>
            <w:proofErr w:type="gramEnd"/>
            <w:r w:rsidRPr="005E0DC9">
              <w:rPr>
                <w:rFonts w:ascii="Arial Narrow" w:eastAsia="Calibri" w:hAnsi="Arial Narrow"/>
                <w:snapToGrid/>
                <w:sz w:val="20"/>
                <w:szCs w:val="22"/>
              </w:rPr>
              <w:t xml:space="preserve"> however an efficacy difference is incorporated into the model.</w:t>
            </w:r>
          </w:p>
        </w:tc>
        <w:tc>
          <w:tcPr>
            <w:tcW w:w="1044" w:type="pct"/>
            <w:shd w:val="clear" w:color="auto" w:fill="auto"/>
            <w:vAlign w:val="center"/>
          </w:tcPr>
          <w:p w:rsidR="00113D1E" w:rsidRPr="005E0DC9" w:rsidRDefault="00113D1E" w:rsidP="00113D1E">
            <w:pPr>
              <w:keepNext/>
              <w:widowControl/>
              <w:jc w:val="left"/>
              <w:rPr>
                <w:rFonts w:ascii="Arial Narrow" w:eastAsia="Calibri" w:hAnsi="Arial Narrow"/>
                <w:snapToGrid/>
                <w:sz w:val="20"/>
                <w:szCs w:val="22"/>
              </w:rPr>
            </w:pPr>
            <w:r w:rsidRPr="005E0DC9">
              <w:rPr>
                <w:rFonts w:ascii="Arial Narrow" w:eastAsia="Calibri" w:hAnsi="Arial Narrow"/>
                <w:snapToGrid/>
                <w:sz w:val="20"/>
                <w:szCs w:val="22"/>
              </w:rPr>
              <w:t xml:space="preserve">High, favours </w:t>
            </w:r>
            <w:proofErr w:type="spellStart"/>
            <w:r w:rsidRPr="005E0DC9">
              <w:rPr>
                <w:rFonts w:ascii="Arial Narrow" w:eastAsia="Calibri" w:hAnsi="Arial Narrow"/>
                <w:snapToGrid/>
                <w:sz w:val="20"/>
                <w:szCs w:val="22"/>
              </w:rPr>
              <w:t>ibrutinib</w:t>
            </w:r>
            <w:proofErr w:type="spellEnd"/>
          </w:p>
        </w:tc>
      </w:tr>
    </w:tbl>
    <w:p w:rsidR="00113D1E" w:rsidRPr="005E0DC9" w:rsidRDefault="00113D1E" w:rsidP="00113D1E">
      <w:pPr>
        <w:spacing w:after="120"/>
        <w:contextualSpacing/>
        <w:rPr>
          <w:rFonts w:ascii="Arial Narrow" w:hAnsi="Arial Narrow"/>
          <w:sz w:val="18"/>
        </w:rPr>
      </w:pPr>
      <w:r w:rsidRPr="005E0DC9">
        <w:rPr>
          <w:rFonts w:ascii="Arial Narrow" w:hAnsi="Arial Narrow"/>
          <w:sz w:val="18"/>
        </w:rPr>
        <w:t>Source: Table D.2, p14 of Section D of the submission</w:t>
      </w:r>
    </w:p>
    <w:p w:rsidR="00606CF7" w:rsidRPr="005E0DC9" w:rsidRDefault="00606CF7" w:rsidP="00113D1E">
      <w:pPr>
        <w:spacing w:after="120"/>
        <w:contextualSpacing/>
        <w:rPr>
          <w:rFonts w:ascii="Arial Narrow" w:hAnsi="Arial Narrow"/>
          <w:sz w:val="18"/>
        </w:rPr>
      </w:pPr>
    </w:p>
    <w:p w:rsidR="00113D1E" w:rsidRPr="005E0DC9" w:rsidRDefault="00113D1E"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figure below presents the difference in progression modelled for the first treatment. The modelled reduction in time to progression with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compared with the comparator treatments is large, and the difference between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and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is </w:t>
      </w:r>
      <w:r w:rsidR="00173B2C" w:rsidRPr="005E0DC9">
        <w:rPr>
          <w:rFonts w:ascii="Calibri" w:eastAsia="Calibri" w:hAnsi="Calibri"/>
          <w:snapToGrid/>
          <w:sz w:val="24"/>
          <w:szCs w:val="22"/>
        </w:rPr>
        <w:t xml:space="preserve">not supported by the non-significant outcomes for the indirect comparison </w:t>
      </w:r>
      <w:r w:rsidR="00173B2C" w:rsidRPr="005E0DC9">
        <w:rPr>
          <w:rFonts w:ascii="Calibri" w:eastAsia="Calibri" w:hAnsi="Calibri"/>
          <w:snapToGrid/>
          <w:sz w:val="24"/>
          <w:szCs w:val="22"/>
        </w:rPr>
        <w:lastRenderedPageBreak/>
        <w:t xml:space="preserve">and is </w:t>
      </w:r>
      <w:r w:rsidRPr="005E0DC9">
        <w:rPr>
          <w:rFonts w:ascii="Calibri" w:eastAsia="Calibri" w:hAnsi="Calibri"/>
          <w:snapToGrid/>
          <w:sz w:val="24"/>
          <w:szCs w:val="22"/>
        </w:rPr>
        <w:t xml:space="preserve">substantially larger than the difference between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and </w:t>
      </w:r>
      <w:proofErr w:type="spellStart"/>
      <w:r w:rsidRPr="005E0DC9">
        <w:rPr>
          <w:rFonts w:ascii="Calibri" w:eastAsia="Calibri" w:hAnsi="Calibri"/>
          <w:snapToGrid/>
          <w:sz w:val="24"/>
          <w:szCs w:val="22"/>
        </w:rPr>
        <w:t>rit+chl</w:t>
      </w:r>
      <w:proofErr w:type="spellEnd"/>
      <w:r w:rsidRPr="005E0DC9">
        <w:rPr>
          <w:rFonts w:ascii="Calibri" w:eastAsia="Calibri" w:hAnsi="Calibri"/>
          <w:snapToGrid/>
          <w:sz w:val="24"/>
          <w:szCs w:val="22"/>
        </w:rPr>
        <w:t xml:space="preserve"> which appears inconsistent with the efficacy results previously considered by the PBAC. </w:t>
      </w:r>
    </w:p>
    <w:p w:rsidR="00113D1E" w:rsidRPr="005E0DC9" w:rsidRDefault="00113D1E" w:rsidP="00113D1E">
      <w:pPr>
        <w:pStyle w:val="TableHeading0"/>
      </w:pPr>
      <w:r w:rsidRPr="005E0DC9">
        <w:t xml:space="preserve">Figure </w:t>
      </w:r>
      <w:r w:rsidR="00530BD4" w:rsidRPr="005E0DC9">
        <w:t>5</w:t>
      </w:r>
      <w:r w:rsidRPr="005E0DC9">
        <w:t>: Modelled proportion of patients who have yet to progress at first-line, by first-line treatment</w:t>
      </w:r>
    </w:p>
    <w:p w:rsidR="00113D1E" w:rsidRPr="005E0DC9" w:rsidRDefault="00773C23" w:rsidP="00113D1E">
      <w:pPr>
        <w:pStyle w:val="TableFooter"/>
      </w:pPr>
      <w:r>
        <w:rPr>
          <w:noProof/>
          <w:snapToGrid/>
          <w:lang w:eastAsia="en-AU"/>
        </w:rPr>
        <w:drawing>
          <wp:inline distT="0" distB="0" distL="0" distR="0">
            <wp:extent cx="4718050" cy="2673350"/>
            <wp:effectExtent l="0" t="0" r="635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18050" cy="2673350"/>
                    </a:xfrm>
                    <a:prstGeom prst="rect">
                      <a:avLst/>
                    </a:prstGeom>
                  </pic:spPr>
                </pic:pic>
              </a:graphicData>
            </a:graphic>
          </wp:inline>
        </w:drawing>
      </w:r>
    </w:p>
    <w:p w:rsidR="00113D1E" w:rsidRPr="005E0DC9" w:rsidRDefault="00113D1E" w:rsidP="00113D1E">
      <w:pPr>
        <w:pStyle w:val="TableFooter"/>
      </w:pPr>
      <w:r w:rsidRPr="005E0DC9">
        <w:t>Source: Major submission, Section D, Figure D.4 page 32</w:t>
      </w:r>
    </w:p>
    <w:p w:rsidR="004E55B1" w:rsidRPr="005E0DC9" w:rsidRDefault="004E55B1" w:rsidP="00113D1E">
      <w:pPr>
        <w:pStyle w:val="TableFooter"/>
      </w:pPr>
    </w:p>
    <w:p w:rsidR="00113D1E" w:rsidRPr="005E0DC9" w:rsidRDefault="00113D1E"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Calibri" w:eastAsia="Calibri" w:hAnsi="Calibri"/>
          <w:snapToGrid/>
          <w:sz w:val="24"/>
          <w:szCs w:val="22"/>
        </w:rPr>
        <w:t>The table below provides the results of the stepped economic evaluation.  As the model uses 3 lines of treatment, and the base case ICER is based on a blended, or weighted combination</w:t>
      </w:r>
      <w:r w:rsidRPr="005E0DC9">
        <w:rPr>
          <w:rFonts w:asciiTheme="minorHAnsi" w:hAnsiTheme="minorHAnsi"/>
          <w:sz w:val="24"/>
          <w:szCs w:val="24"/>
        </w:rPr>
        <w:t xml:space="preserve"> of these comparators, results using the agent considered superior by the PBAC (</w:t>
      </w:r>
      <w:proofErr w:type="spellStart"/>
      <w:r w:rsidRPr="005E0DC9">
        <w:rPr>
          <w:rFonts w:asciiTheme="minorHAnsi" w:hAnsiTheme="minorHAnsi"/>
          <w:sz w:val="24"/>
          <w:szCs w:val="24"/>
        </w:rPr>
        <w:t>obinutuzumab</w:t>
      </w:r>
      <w:proofErr w:type="spellEnd"/>
      <w:r w:rsidRPr="005E0DC9">
        <w:rPr>
          <w:rFonts w:asciiTheme="minorHAnsi" w:hAnsiTheme="minorHAnsi"/>
          <w:sz w:val="24"/>
          <w:szCs w:val="24"/>
        </w:rPr>
        <w:t xml:space="preserve">) are also included.  All costs and ICERs are slightly different than those presented in the submission as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and rituximab prices were updated to 1 July 2017 dispensing and AHI fees</w:t>
      </w:r>
      <w:r w:rsidR="00F6126A">
        <w:rPr>
          <w:rFonts w:asciiTheme="minorHAnsi" w:hAnsiTheme="minorHAnsi"/>
          <w:sz w:val="24"/>
          <w:szCs w:val="24"/>
        </w:rPr>
        <w:t>.</w:t>
      </w:r>
    </w:p>
    <w:p w:rsidR="00113D1E" w:rsidRPr="005E0DC9" w:rsidRDefault="00113D1E" w:rsidP="00113D1E">
      <w:pPr>
        <w:pStyle w:val="TableHeading0"/>
        <w:spacing w:after="0"/>
      </w:pPr>
      <w:r w:rsidRPr="005E0DC9">
        <w:lastRenderedPageBreak/>
        <w:t>Table 1</w:t>
      </w:r>
      <w:r w:rsidR="00C206CA" w:rsidRPr="005E0DC9">
        <w:t>1</w:t>
      </w:r>
      <w:r w:rsidRPr="005E0DC9">
        <w:t xml:space="preserve">: Results of the stepped economic </w:t>
      </w:r>
      <w:proofErr w:type="spellStart"/>
      <w:r w:rsidRPr="005E0DC9">
        <w:t>evaluation</w:t>
      </w:r>
      <w:r w:rsidRPr="005E0DC9">
        <w:rPr>
          <w:vertAlign w:val="superscript"/>
        </w:rPr>
        <w:t>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9"/>
        <w:gridCol w:w="2314"/>
        <w:gridCol w:w="1522"/>
      </w:tblGrid>
      <w:tr w:rsidR="00113D1E" w:rsidRPr="005E0DC9" w:rsidTr="003B09A4">
        <w:trPr>
          <w:tblHeader/>
        </w:trPr>
        <w:tc>
          <w:tcPr>
            <w:tcW w:w="1529" w:type="pct"/>
            <w:vAlign w:val="center"/>
          </w:tcPr>
          <w:p w:rsidR="00113D1E" w:rsidRPr="005E0DC9" w:rsidRDefault="00113D1E" w:rsidP="003B09A4">
            <w:pPr>
              <w:pStyle w:val="TableText1"/>
              <w:spacing w:before="0" w:after="0"/>
              <w:rPr>
                <w:b/>
              </w:rPr>
            </w:pPr>
            <w:r w:rsidRPr="005E0DC9">
              <w:rPr>
                <w:b/>
              </w:rPr>
              <w:t>Step and component</w:t>
            </w:r>
          </w:p>
        </w:tc>
        <w:tc>
          <w:tcPr>
            <w:tcW w:w="1359" w:type="pct"/>
            <w:vAlign w:val="center"/>
          </w:tcPr>
          <w:p w:rsidR="00113D1E" w:rsidRPr="005E0DC9" w:rsidRDefault="00113D1E" w:rsidP="003B09A4">
            <w:pPr>
              <w:pStyle w:val="TableText1"/>
              <w:spacing w:before="0" w:after="0"/>
              <w:jc w:val="center"/>
              <w:rPr>
                <w:b/>
              </w:rPr>
            </w:pPr>
            <w:proofErr w:type="spellStart"/>
            <w:r w:rsidRPr="005E0DC9">
              <w:rPr>
                <w:b/>
              </w:rPr>
              <w:t>Ibrutinib</w:t>
            </w:r>
            <w:proofErr w:type="spellEnd"/>
          </w:p>
        </w:tc>
        <w:tc>
          <w:tcPr>
            <w:tcW w:w="1274" w:type="pct"/>
            <w:vAlign w:val="center"/>
          </w:tcPr>
          <w:p w:rsidR="00113D1E" w:rsidRPr="005E0DC9" w:rsidRDefault="00113D1E" w:rsidP="003B09A4">
            <w:pPr>
              <w:pStyle w:val="TableText1"/>
              <w:spacing w:before="0" w:after="0"/>
              <w:jc w:val="center"/>
              <w:rPr>
                <w:b/>
              </w:rPr>
            </w:pPr>
            <w:r w:rsidRPr="005E0DC9">
              <w:rPr>
                <w:b/>
              </w:rPr>
              <w:t xml:space="preserve">Blended </w:t>
            </w:r>
            <w:proofErr w:type="spellStart"/>
            <w:r w:rsidRPr="005E0DC9">
              <w:rPr>
                <w:b/>
              </w:rPr>
              <w:t>comparator</w:t>
            </w:r>
            <w:r w:rsidR="002D241F" w:rsidRPr="005E0DC9">
              <w:rPr>
                <w:b/>
                <w:vertAlign w:val="superscript"/>
              </w:rPr>
              <w:t>b</w:t>
            </w:r>
            <w:proofErr w:type="spellEnd"/>
          </w:p>
          <w:p w:rsidR="00113D1E" w:rsidRPr="005E0DC9" w:rsidRDefault="00113D1E" w:rsidP="003B09A4">
            <w:pPr>
              <w:pStyle w:val="TableText1"/>
              <w:spacing w:before="0" w:after="0"/>
              <w:jc w:val="center"/>
              <w:rPr>
                <w:b/>
              </w:rPr>
            </w:pPr>
            <w:proofErr w:type="spellStart"/>
            <w:r w:rsidRPr="005E0DC9">
              <w:rPr>
                <w:b/>
              </w:rPr>
              <w:t>Ritux+chl</w:t>
            </w:r>
            <w:proofErr w:type="spellEnd"/>
            <w:r w:rsidRPr="005E0DC9">
              <w:rPr>
                <w:b/>
              </w:rPr>
              <w:t xml:space="preserve">; </w:t>
            </w:r>
            <w:proofErr w:type="spellStart"/>
            <w:r w:rsidRPr="005E0DC9">
              <w:rPr>
                <w:b/>
              </w:rPr>
              <w:t>obi+chl</w:t>
            </w:r>
            <w:proofErr w:type="spellEnd"/>
            <w:r w:rsidRPr="005E0DC9">
              <w:rPr>
                <w:b/>
              </w:rPr>
              <w:t xml:space="preserve">; </w:t>
            </w:r>
            <w:proofErr w:type="spellStart"/>
            <w:r w:rsidRPr="005E0DC9">
              <w:rPr>
                <w:b/>
              </w:rPr>
              <w:t>ofa+chl</w:t>
            </w:r>
            <w:proofErr w:type="spellEnd"/>
          </w:p>
        </w:tc>
        <w:tc>
          <w:tcPr>
            <w:tcW w:w="838" w:type="pct"/>
            <w:vAlign w:val="center"/>
          </w:tcPr>
          <w:p w:rsidR="00113D1E" w:rsidRPr="005E0DC9" w:rsidRDefault="00113D1E" w:rsidP="003B09A4">
            <w:pPr>
              <w:pStyle w:val="TableText1"/>
              <w:spacing w:before="0" w:after="0"/>
              <w:jc w:val="center"/>
              <w:rPr>
                <w:b/>
              </w:rPr>
            </w:pPr>
            <w:r w:rsidRPr="005E0DC9">
              <w:rPr>
                <w:b/>
              </w:rPr>
              <w:t>Increment</w:t>
            </w:r>
          </w:p>
        </w:tc>
      </w:tr>
      <w:tr w:rsidR="00113D1E" w:rsidRPr="005E0DC9" w:rsidTr="003B09A4">
        <w:tc>
          <w:tcPr>
            <w:tcW w:w="5000" w:type="pct"/>
            <w:gridSpan w:val="4"/>
            <w:vAlign w:val="center"/>
          </w:tcPr>
          <w:p w:rsidR="00113D1E" w:rsidRPr="005E0DC9" w:rsidRDefault="00113D1E" w:rsidP="003B09A4">
            <w:pPr>
              <w:pStyle w:val="TableText1"/>
              <w:spacing w:before="0" w:after="0"/>
              <w:rPr>
                <w:b/>
                <w:snapToGrid w:val="0"/>
              </w:rPr>
            </w:pPr>
            <w:r w:rsidRPr="005E0DC9">
              <w:rPr>
                <w:b/>
                <w:snapToGrid w:val="0"/>
              </w:rPr>
              <w:t>Step 1: trial-based costs and outcomes</w:t>
            </w:r>
            <w:r w:rsidR="007834A4" w:rsidRPr="005E0DC9">
              <w:rPr>
                <w:b/>
                <w:snapToGrid w:val="0"/>
              </w:rPr>
              <w:t xml:space="preserve"> </w:t>
            </w:r>
            <w:r w:rsidR="007834A4" w:rsidRPr="005E0DC9">
              <w:rPr>
                <w:b/>
                <w:i/>
                <w:snapToGrid w:val="0"/>
              </w:rPr>
              <w:t>(treatment algorithm included for outcomes but not costs)</w:t>
            </w:r>
          </w:p>
        </w:tc>
      </w:tr>
      <w:tr w:rsidR="00113D1E" w:rsidRPr="005E0DC9" w:rsidTr="003B09A4">
        <w:tc>
          <w:tcPr>
            <w:tcW w:w="1529" w:type="pct"/>
            <w:vAlign w:val="center"/>
          </w:tcPr>
          <w:p w:rsidR="00113D1E" w:rsidRPr="005E0DC9" w:rsidRDefault="00113D1E" w:rsidP="003B09A4">
            <w:pPr>
              <w:pStyle w:val="TableText1"/>
              <w:spacing w:before="0" w:after="0"/>
              <w:rPr>
                <w:rFonts w:ascii="Times" w:eastAsia="Times New Roman" w:hAnsi="Times" w:cs="Times New Roman"/>
              </w:rPr>
            </w:pPr>
            <w:r w:rsidRPr="005E0DC9">
              <w:t>Costs</w:t>
            </w:r>
          </w:p>
        </w:tc>
        <w:tc>
          <w:tcPr>
            <w:tcW w:w="1359"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1274"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838"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r>
      <w:tr w:rsidR="00113D1E" w:rsidRPr="005E0DC9" w:rsidTr="003B09A4">
        <w:tc>
          <w:tcPr>
            <w:tcW w:w="1529" w:type="pct"/>
            <w:vAlign w:val="center"/>
          </w:tcPr>
          <w:p w:rsidR="00113D1E" w:rsidRPr="005E0DC9" w:rsidRDefault="00113D1E" w:rsidP="003B09A4">
            <w:pPr>
              <w:pStyle w:val="TableText1"/>
              <w:spacing w:before="0" w:after="0"/>
              <w:rPr>
                <w:rFonts w:ascii="Times" w:eastAsia="Times New Roman" w:hAnsi="Times" w:cs="Times New Roman"/>
              </w:rPr>
            </w:pPr>
            <w:r w:rsidRPr="005E0DC9">
              <w:t>LYG</w:t>
            </w:r>
          </w:p>
        </w:tc>
        <w:tc>
          <w:tcPr>
            <w:tcW w:w="1359"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1274"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838" w:type="pct"/>
            <w:vAlign w:val="center"/>
          </w:tcPr>
          <w:p w:rsidR="00113D1E" w:rsidRPr="00773C23" w:rsidRDefault="00773C23" w:rsidP="003B09A4">
            <w:pPr>
              <w:pStyle w:val="TableText1"/>
              <w:spacing w:before="0" w:after="0"/>
              <w:jc w:val="center"/>
              <w:rPr>
                <w:highlight w:val="black"/>
              </w:rPr>
            </w:pPr>
            <w:r>
              <w:rPr>
                <w:noProof/>
                <w:color w:val="000000"/>
                <w:highlight w:val="black"/>
              </w:rPr>
              <w:t>''''''''''''</w:t>
            </w:r>
          </w:p>
        </w:tc>
      </w:tr>
      <w:tr w:rsidR="00113D1E" w:rsidRPr="005E0DC9" w:rsidTr="003B09A4">
        <w:tc>
          <w:tcPr>
            <w:tcW w:w="4162" w:type="pct"/>
            <w:gridSpan w:val="3"/>
            <w:vAlign w:val="center"/>
          </w:tcPr>
          <w:p w:rsidR="00113D1E" w:rsidRPr="005E0DC9" w:rsidRDefault="00113D1E" w:rsidP="003B09A4">
            <w:pPr>
              <w:pStyle w:val="TableText1"/>
              <w:spacing w:before="0" w:after="0"/>
              <w:rPr>
                <w:rFonts w:ascii="Times" w:eastAsia="Times New Roman" w:hAnsi="Times" w:cs="Times New Roman"/>
                <w:snapToGrid w:val="0"/>
              </w:rPr>
            </w:pPr>
            <w:r w:rsidRPr="005E0DC9">
              <w:t>Incremental cost/extra LYG gained</w:t>
            </w:r>
          </w:p>
        </w:tc>
        <w:tc>
          <w:tcPr>
            <w:tcW w:w="838"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r>
      <w:tr w:rsidR="00113D1E" w:rsidRPr="005E0DC9" w:rsidTr="003B09A4">
        <w:tc>
          <w:tcPr>
            <w:tcW w:w="5000" w:type="pct"/>
            <w:gridSpan w:val="4"/>
            <w:vAlign w:val="center"/>
          </w:tcPr>
          <w:p w:rsidR="00113D1E" w:rsidRPr="005E0DC9" w:rsidRDefault="00113D1E" w:rsidP="003B09A4">
            <w:pPr>
              <w:pStyle w:val="TableText1"/>
              <w:spacing w:before="0" w:after="0"/>
              <w:rPr>
                <w:b/>
                <w:snapToGrid w:val="0"/>
              </w:rPr>
            </w:pPr>
            <w:r w:rsidRPr="005E0DC9">
              <w:rPr>
                <w:b/>
                <w:snapToGrid w:val="0"/>
              </w:rPr>
              <w:t xml:space="preserve">Step 2: </w:t>
            </w:r>
            <w:r w:rsidRPr="005E0DC9">
              <w:rPr>
                <w:b/>
              </w:rPr>
              <w:t>time horizon extended to 20 years</w:t>
            </w:r>
          </w:p>
        </w:tc>
      </w:tr>
      <w:tr w:rsidR="00113D1E" w:rsidRPr="005E0DC9" w:rsidTr="003B09A4">
        <w:tc>
          <w:tcPr>
            <w:tcW w:w="1529" w:type="pct"/>
            <w:vAlign w:val="center"/>
          </w:tcPr>
          <w:p w:rsidR="00113D1E" w:rsidRPr="005E0DC9" w:rsidRDefault="00113D1E" w:rsidP="003B09A4">
            <w:pPr>
              <w:pStyle w:val="TableText1"/>
              <w:spacing w:before="0" w:after="0"/>
              <w:rPr>
                <w:rFonts w:ascii="Times" w:eastAsia="Times New Roman" w:hAnsi="Times" w:cs="Times New Roman"/>
              </w:rPr>
            </w:pPr>
            <w:r w:rsidRPr="005E0DC9">
              <w:t>Costs</w:t>
            </w:r>
          </w:p>
        </w:tc>
        <w:tc>
          <w:tcPr>
            <w:tcW w:w="1359"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1274"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838"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r>
      <w:tr w:rsidR="00113D1E" w:rsidRPr="005E0DC9" w:rsidTr="003B09A4">
        <w:tc>
          <w:tcPr>
            <w:tcW w:w="1529" w:type="pct"/>
            <w:vAlign w:val="center"/>
          </w:tcPr>
          <w:p w:rsidR="00113D1E" w:rsidRPr="005E0DC9" w:rsidRDefault="00113D1E" w:rsidP="003B09A4">
            <w:pPr>
              <w:pStyle w:val="TableText1"/>
              <w:spacing w:before="0" w:after="0"/>
              <w:rPr>
                <w:rFonts w:ascii="Times" w:eastAsia="Times New Roman" w:hAnsi="Times" w:cs="Times New Roman"/>
              </w:rPr>
            </w:pPr>
            <w:r w:rsidRPr="005E0DC9">
              <w:t>LYG</w:t>
            </w:r>
          </w:p>
        </w:tc>
        <w:tc>
          <w:tcPr>
            <w:tcW w:w="1359"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1274"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838" w:type="pct"/>
            <w:vAlign w:val="center"/>
          </w:tcPr>
          <w:p w:rsidR="00113D1E" w:rsidRPr="00773C23" w:rsidRDefault="00773C23" w:rsidP="003B09A4">
            <w:pPr>
              <w:pStyle w:val="TableText1"/>
              <w:spacing w:before="0" w:after="0"/>
              <w:jc w:val="center"/>
              <w:rPr>
                <w:highlight w:val="black"/>
              </w:rPr>
            </w:pPr>
            <w:r>
              <w:rPr>
                <w:noProof/>
                <w:color w:val="000000"/>
                <w:highlight w:val="black"/>
              </w:rPr>
              <w:t>''''''''''</w:t>
            </w:r>
          </w:p>
        </w:tc>
      </w:tr>
      <w:tr w:rsidR="00113D1E" w:rsidRPr="005E0DC9" w:rsidTr="003B09A4">
        <w:tc>
          <w:tcPr>
            <w:tcW w:w="4162" w:type="pct"/>
            <w:gridSpan w:val="3"/>
            <w:vAlign w:val="center"/>
          </w:tcPr>
          <w:p w:rsidR="00113D1E" w:rsidRPr="005E0DC9" w:rsidRDefault="00113D1E" w:rsidP="003B09A4">
            <w:pPr>
              <w:pStyle w:val="TableText1"/>
              <w:spacing w:before="0" w:after="0"/>
              <w:rPr>
                <w:rFonts w:ascii="Times" w:eastAsia="Times New Roman" w:hAnsi="Times" w:cs="Times New Roman"/>
                <w:snapToGrid w:val="0"/>
              </w:rPr>
            </w:pPr>
            <w:r w:rsidRPr="005E0DC9">
              <w:t>Incremental cost/extra LYG gained</w:t>
            </w:r>
          </w:p>
        </w:tc>
        <w:tc>
          <w:tcPr>
            <w:tcW w:w="838"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r>
      <w:tr w:rsidR="00113D1E" w:rsidRPr="005E0DC9" w:rsidTr="003B09A4">
        <w:tc>
          <w:tcPr>
            <w:tcW w:w="5000" w:type="pct"/>
            <w:gridSpan w:val="4"/>
            <w:vAlign w:val="center"/>
          </w:tcPr>
          <w:p w:rsidR="00113D1E" w:rsidRPr="005E0DC9" w:rsidRDefault="00113D1E" w:rsidP="003B09A4">
            <w:pPr>
              <w:pStyle w:val="TableText1"/>
              <w:spacing w:before="0" w:after="0"/>
              <w:rPr>
                <w:b/>
                <w:snapToGrid w:val="0"/>
              </w:rPr>
            </w:pPr>
            <w:r w:rsidRPr="005E0DC9">
              <w:rPr>
                <w:b/>
                <w:snapToGrid w:val="0"/>
              </w:rPr>
              <w:t>Step 3: discounting (5%) included</w:t>
            </w:r>
          </w:p>
        </w:tc>
      </w:tr>
      <w:tr w:rsidR="00113D1E" w:rsidRPr="005E0DC9" w:rsidTr="003B09A4">
        <w:tc>
          <w:tcPr>
            <w:tcW w:w="1529" w:type="pct"/>
            <w:vAlign w:val="center"/>
          </w:tcPr>
          <w:p w:rsidR="00113D1E" w:rsidRPr="005E0DC9" w:rsidRDefault="00113D1E" w:rsidP="003B09A4">
            <w:pPr>
              <w:pStyle w:val="TableText1"/>
              <w:spacing w:before="0" w:after="0"/>
              <w:rPr>
                <w:rFonts w:ascii="Times" w:eastAsia="Times New Roman" w:hAnsi="Times" w:cs="Times New Roman"/>
              </w:rPr>
            </w:pPr>
            <w:r w:rsidRPr="005E0DC9">
              <w:t>Costs</w:t>
            </w:r>
          </w:p>
        </w:tc>
        <w:tc>
          <w:tcPr>
            <w:tcW w:w="1359"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1274"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838"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r>
      <w:tr w:rsidR="00113D1E" w:rsidRPr="005E0DC9" w:rsidTr="003B09A4">
        <w:tc>
          <w:tcPr>
            <w:tcW w:w="1529" w:type="pct"/>
            <w:vAlign w:val="center"/>
          </w:tcPr>
          <w:p w:rsidR="00113D1E" w:rsidRPr="005E0DC9" w:rsidRDefault="00113D1E" w:rsidP="003B09A4">
            <w:pPr>
              <w:pStyle w:val="TableText1"/>
              <w:spacing w:before="0" w:after="0"/>
              <w:rPr>
                <w:rFonts w:ascii="Times" w:eastAsia="Times New Roman" w:hAnsi="Times" w:cs="Times New Roman"/>
              </w:rPr>
            </w:pPr>
            <w:r w:rsidRPr="005E0DC9">
              <w:t>LYG</w:t>
            </w:r>
          </w:p>
        </w:tc>
        <w:tc>
          <w:tcPr>
            <w:tcW w:w="1359"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1274"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838" w:type="pct"/>
            <w:vAlign w:val="center"/>
          </w:tcPr>
          <w:p w:rsidR="00113D1E" w:rsidRPr="00773C23" w:rsidRDefault="00773C23" w:rsidP="003B09A4">
            <w:pPr>
              <w:pStyle w:val="TableText1"/>
              <w:spacing w:before="0" w:after="0"/>
              <w:jc w:val="center"/>
              <w:rPr>
                <w:highlight w:val="black"/>
              </w:rPr>
            </w:pPr>
            <w:r>
              <w:rPr>
                <w:noProof/>
                <w:color w:val="000000"/>
                <w:highlight w:val="black"/>
              </w:rPr>
              <w:t>''''''''''</w:t>
            </w:r>
          </w:p>
        </w:tc>
      </w:tr>
      <w:tr w:rsidR="00113D1E" w:rsidRPr="005E0DC9" w:rsidTr="003B09A4">
        <w:tc>
          <w:tcPr>
            <w:tcW w:w="4162" w:type="pct"/>
            <w:gridSpan w:val="3"/>
            <w:vAlign w:val="center"/>
          </w:tcPr>
          <w:p w:rsidR="00113D1E" w:rsidRPr="005E0DC9" w:rsidRDefault="00113D1E" w:rsidP="003B09A4">
            <w:pPr>
              <w:pStyle w:val="TableText1"/>
              <w:spacing w:before="0" w:after="0"/>
              <w:rPr>
                <w:rFonts w:ascii="Times" w:eastAsia="Times New Roman" w:hAnsi="Times" w:cs="Times New Roman"/>
              </w:rPr>
            </w:pPr>
            <w:r w:rsidRPr="005E0DC9">
              <w:t>Incremental cost/extra LYG gained</w:t>
            </w:r>
          </w:p>
        </w:tc>
        <w:tc>
          <w:tcPr>
            <w:tcW w:w="838"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r>
      <w:tr w:rsidR="00113D1E" w:rsidRPr="005E0DC9" w:rsidTr="003B09A4">
        <w:tc>
          <w:tcPr>
            <w:tcW w:w="5000" w:type="pct"/>
            <w:gridSpan w:val="4"/>
            <w:vAlign w:val="center"/>
          </w:tcPr>
          <w:p w:rsidR="00113D1E" w:rsidRPr="005E0DC9" w:rsidRDefault="00113D1E" w:rsidP="003B09A4">
            <w:pPr>
              <w:pStyle w:val="TableText1"/>
              <w:spacing w:before="0" w:after="0"/>
              <w:rPr>
                <w:b/>
                <w:snapToGrid w:val="0"/>
              </w:rPr>
            </w:pPr>
            <w:r w:rsidRPr="005E0DC9">
              <w:rPr>
                <w:b/>
                <w:snapToGrid w:val="0"/>
              </w:rPr>
              <w:t>Step 4: all costs (adverse events, drug administration) included</w:t>
            </w:r>
            <w:r w:rsidR="007834A4" w:rsidRPr="005E0DC9">
              <w:rPr>
                <w:b/>
                <w:snapToGrid w:val="0"/>
              </w:rPr>
              <w:t xml:space="preserve"> </w:t>
            </w:r>
            <w:r w:rsidR="007834A4" w:rsidRPr="005E0DC9">
              <w:rPr>
                <w:b/>
                <w:i/>
                <w:snapToGrid w:val="0"/>
              </w:rPr>
              <w:t>(treatment algorithm added for costs)</w:t>
            </w:r>
          </w:p>
        </w:tc>
      </w:tr>
      <w:tr w:rsidR="00113D1E" w:rsidRPr="005E0DC9" w:rsidTr="003B09A4">
        <w:tc>
          <w:tcPr>
            <w:tcW w:w="1529" w:type="pct"/>
            <w:vAlign w:val="center"/>
          </w:tcPr>
          <w:p w:rsidR="00113D1E" w:rsidRPr="005E0DC9" w:rsidRDefault="00113D1E" w:rsidP="003B09A4">
            <w:pPr>
              <w:pStyle w:val="TableText1"/>
              <w:spacing w:before="0" w:after="0"/>
              <w:rPr>
                <w:rFonts w:ascii="Times" w:eastAsia="Times New Roman" w:hAnsi="Times" w:cs="Times New Roman"/>
              </w:rPr>
            </w:pPr>
            <w:r w:rsidRPr="005E0DC9">
              <w:t>Costs</w:t>
            </w:r>
          </w:p>
        </w:tc>
        <w:tc>
          <w:tcPr>
            <w:tcW w:w="1359"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1274"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838"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r>
      <w:tr w:rsidR="00113D1E" w:rsidRPr="005E0DC9" w:rsidTr="003B09A4">
        <w:tc>
          <w:tcPr>
            <w:tcW w:w="1529" w:type="pct"/>
            <w:vAlign w:val="center"/>
          </w:tcPr>
          <w:p w:rsidR="00113D1E" w:rsidRPr="005E0DC9" w:rsidRDefault="00113D1E" w:rsidP="003B09A4">
            <w:pPr>
              <w:pStyle w:val="TableText1"/>
              <w:spacing w:before="0" w:after="0"/>
              <w:rPr>
                <w:rFonts w:ascii="Times" w:eastAsia="Times New Roman" w:hAnsi="Times" w:cs="Times New Roman"/>
              </w:rPr>
            </w:pPr>
            <w:r w:rsidRPr="005E0DC9">
              <w:t>LYG</w:t>
            </w:r>
          </w:p>
        </w:tc>
        <w:tc>
          <w:tcPr>
            <w:tcW w:w="1359"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1274"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838" w:type="pct"/>
            <w:vAlign w:val="center"/>
          </w:tcPr>
          <w:p w:rsidR="00113D1E" w:rsidRPr="00773C23" w:rsidRDefault="00773C23" w:rsidP="003B09A4">
            <w:pPr>
              <w:pStyle w:val="TableText1"/>
              <w:spacing w:before="0" w:after="0"/>
              <w:jc w:val="center"/>
              <w:rPr>
                <w:highlight w:val="black"/>
              </w:rPr>
            </w:pPr>
            <w:r>
              <w:rPr>
                <w:noProof/>
                <w:color w:val="000000"/>
                <w:highlight w:val="black"/>
              </w:rPr>
              <w:t>''''''''''</w:t>
            </w:r>
          </w:p>
        </w:tc>
      </w:tr>
      <w:tr w:rsidR="00113D1E" w:rsidRPr="005E0DC9" w:rsidTr="003B09A4">
        <w:tc>
          <w:tcPr>
            <w:tcW w:w="4162" w:type="pct"/>
            <w:gridSpan w:val="3"/>
            <w:vAlign w:val="center"/>
          </w:tcPr>
          <w:p w:rsidR="00113D1E" w:rsidRPr="005E0DC9" w:rsidRDefault="00113D1E" w:rsidP="003B09A4">
            <w:pPr>
              <w:pStyle w:val="TableText1"/>
              <w:spacing w:before="0" w:after="0"/>
              <w:rPr>
                <w:rFonts w:ascii="Times" w:eastAsia="Times New Roman" w:hAnsi="Times" w:cs="Times New Roman"/>
              </w:rPr>
            </w:pPr>
            <w:r w:rsidRPr="005E0DC9">
              <w:t>Incremental cost/extra LYG gained</w:t>
            </w:r>
          </w:p>
        </w:tc>
        <w:tc>
          <w:tcPr>
            <w:tcW w:w="838"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r>
      <w:tr w:rsidR="00113D1E" w:rsidRPr="005E0DC9" w:rsidTr="003B09A4">
        <w:tc>
          <w:tcPr>
            <w:tcW w:w="5000" w:type="pct"/>
            <w:gridSpan w:val="4"/>
            <w:vAlign w:val="center"/>
          </w:tcPr>
          <w:p w:rsidR="00113D1E" w:rsidRPr="005E0DC9" w:rsidRDefault="00113D1E" w:rsidP="003B09A4">
            <w:pPr>
              <w:pStyle w:val="TableText1"/>
              <w:spacing w:before="0" w:after="0"/>
              <w:rPr>
                <w:b/>
                <w:snapToGrid w:val="0"/>
              </w:rPr>
            </w:pPr>
            <w:r w:rsidRPr="005E0DC9">
              <w:rPr>
                <w:b/>
                <w:snapToGrid w:val="0"/>
              </w:rPr>
              <w:t>Step 5: utility weights applied</w:t>
            </w:r>
          </w:p>
        </w:tc>
      </w:tr>
      <w:tr w:rsidR="00113D1E" w:rsidRPr="005E0DC9" w:rsidTr="003B09A4">
        <w:tc>
          <w:tcPr>
            <w:tcW w:w="1529" w:type="pct"/>
            <w:vAlign w:val="center"/>
          </w:tcPr>
          <w:p w:rsidR="00113D1E" w:rsidRPr="005E0DC9" w:rsidRDefault="00113D1E" w:rsidP="003B09A4">
            <w:pPr>
              <w:pStyle w:val="TableText1"/>
              <w:spacing w:before="0" w:after="0"/>
              <w:rPr>
                <w:rFonts w:ascii="Times" w:eastAsia="Times New Roman" w:hAnsi="Times" w:cs="Times New Roman"/>
              </w:rPr>
            </w:pPr>
            <w:r w:rsidRPr="005E0DC9">
              <w:t>Costs</w:t>
            </w:r>
          </w:p>
        </w:tc>
        <w:tc>
          <w:tcPr>
            <w:tcW w:w="1359"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1274"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838"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r>
      <w:tr w:rsidR="00113D1E" w:rsidRPr="005E0DC9" w:rsidTr="003B09A4">
        <w:tc>
          <w:tcPr>
            <w:tcW w:w="1529" w:type="pct"/>
            <w:vAlign w:val="center"/>
          </w:tcPr>
          <w:p w:rsidR="00113D1E" w:rsidRPr="005E0DC9" w:rsidRDefault="00113D1E" w:rsidP="003B09A4">
            <w:pPr>
              <w:pStyle w:val="TableText1"/>
              <w:spacing w:before="0" w:after="0"/>
              <w:rPr>
                <w:rFonts w:ascii="Times" w:eastAsia="Times New Roman" w:hAnsi="Times" w:cs="Times New Roman"/>
              </w:rPr>
            </w:pPr>
            <w:r w:rsidRPr="005E0DC9">
              <w:t>QALYs</w:t>
            </w:r>
          </w:p>
        </w:tc>
        <w:tc>
          <w:tcPr>
            <w:tcW w:w="1359"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1274"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838" w:type="pct"/>
            <w:vAlign w:val="center"/>
          </w:tcPr>
          <w:p w:rsidR="00113D1E" w:rsidRPr="00773C23" w:rsidRDefault="00773C23" w:rsidP="003B09A4">
            <w:pPr>
              <w:pStyle w:val="TableText1"/>
              <w:spacing w:before="0" w:after="0"/>
              <w:jc w:val="center"/>
              <w:rPr>
                <w:highlight w:val="black"/>
              </w:rPr>
            </w:pPr>
            <w:r>
              <w:rPr>
                <w:noProof/>
                <w:color w:val="000000"/>
                <w:highlight w:val="black"/>
              </w:rPr>
              <w:t>''''''''''</w:t>
            </w:r>
          </w:p>
        </w:tc>
      </w:tr>
      <w:tr w:rsidR="00113D1E" w:rsidRPr="005E0DC9" w:rsidTr="003B09A4">
        <w:tc>
          <w:tcPr>
            <w:tcW w:w="4162" w:type="pct"/>
            <w:gridSpan w:val="3"/>
            <w:vAlign w:val="center"/>
          </w:tcPr>
          <w:p w:rsidR="00113D1E" w:rsidRPr="005E0DC9" w:rsidRDefault="00113D1E" w:rsidP="003B09A4">
            <w:pPr>
              <w:pStyle w:val="TableText1"/>
              <w:spacing w:before="0" w:after="0"/>
              <w:rPr>
                <w:rFonts w:ascii="Times" w:eastAsia="Times New Roman" w:hAnsi="Times" w:cs="Times New Roman"/>
                <w:b/>
              </w:rPr>
            </w:pPr>
            <w:r w:rsidRPr="005E0DC9">
              <w:rPr>
                <w:b/>
              </w:rPr>
              <w:t>Incremental cost/extra QALY gained (base case)</w:t>
            </w:r>
          </w:p>
        </w:tc>
        <w:tc>
          <w:tcPr>
            <w:tcW w:w="838" w:type="pct"/>
            <w:vAlign w:val="center"/>
          </w:tcPr>
          <w:p w:rsidR="00113D1E" w:rsidRPr="00773C23" w:rsidRDefault="00773C23" w:rsidP="003B09A4">
            <w:pPr>
              <w:pStyle w:val="TableText1"/>
              <w:spacing w:before="0" w:after="0"/>
              <w:jc w:val="center"/>
              <w:rPr>
                <w:rFonts w:ascii="Times" w:eastAsia="Times New Roman" w:hAnsi="Times" w:cs="Times New Roman"/>
                <w:b/>
                <w:highlight w:val="black"/>
              </w:rPr>
            </w:pPr>
            <w:r>
              <w:rPr>
                <w:b/>
                <w:noProof/>
                <w:color w:val="000000"/>
                <w:highlight w:val="black"/>
              </w:rPr>
              <w:t>'''''''''''''''</w:t>
            </w:r>
          </w:p>
        </w:tc>
      </w:tr>
      <w:tr w:rsidR="00113D1E" w:rsidRPr="005E0DC9" w:rsidTr="003B09A4">
        <w:tc>
          <w:tcPr>
            <w:tcW w:w="5000" w:type="pct"/>
            <w:gridSpan w:val="4"/>
            <w:vAlign w:val="center"/>
          </w:tcPr>
          <w:p w:rsidR="00113D1E" w:rsidRPr="005E0DC9" w:rsidRDefault="00113D1E" w:rsidP="003B09A4">
            <w:pPr>
              <w:pStyle w:val="TableText1"/>
              <w:spacing w:before="0" w:after="0"/>
              <w:rPr>
                <w:b/>
                <w:snapToGrid w:val="0"/>
              </w:rPr>
            </w:pPr>
            <w:r w:rsidRPr="005E0DC9">
              <w:rPr>
                <w:b/>
                <w:snapToGrid w:val="0"/>
              </w:rPr>
              <w:t xml:space="preserve">Compared to </w:t>
            </w:r>
            <w:proofErr w:type="spellStart"/>
            <w:r w:rsidRPr="005E0DC9">
              <w:rPr>
                <w:b/>
                <w:snapToGrid w:val="0"/>
              </w:rPr>
              <w:t>obinutuzumab+chlorambucil</w:t>
            </w:r>
            <w:proofErr w:type="spellEnd"/>
            <w:r w:rsidRPr="005E0DC9">
              <w:rPr>
                <w:b/>
                <w:snapToGrid w:val="0"/>
              </w:rPr>
              <w:t xml:space="preserve"> first line</w:t>
            </w:r>
          </w:p>
        </w:tc>
      </w:tr>
      <w:tr w:rsidR="00113D1E" w:rsidRPr="005E0DC9" w:rsidTr="003B09A4">
        <w:tc>
          <w:tcPr>
            <w:tcW w:w="1529" w:type="pct"/>
            <w:vAlign w:val="center"/>
          </w:tcPr>
          <w:p w:rsidR="00113D1E" w:rsidRPr="005E0DC9" w:rsidRDefault="00113D1E" w:rsidP="003B09A4">
            <w:pPr>
              <w:pStyle w:val="TableText1"/>
              <w:spacing w:before="0" w:after="0"/>
            </w:pPr>
          </w:p>
        </w:tc>
        <w:tc>
          <w:tcPr>
            <w:tcW w:w="1359" w:type="pct"/>
            <w:vAlign w:val="center"/>
          </w:tcPr>
          <w:p w:rsidR="00113D1E" w:rsidRPr="005E0DC9" w:rsidRDefault="00113D1E" w:rsidP="003B09A4">
            <w:pPr>
              <w:pStyle w:val="TableText1"/>
              <w:spacing w:before="0" w:after="0"/>
              <w:jc w:val="center"/>
              <w:rPr>
                <w:b/>
              </w:rPr>
            </w:pPr>
            <w:proofErr w:type="spellStart"/>
            <w:r w:rsidRPr="005E0DC9">
              <w:rPr>
                <w:b/>
              </w:rPr>
              <w:t>Ibrutinib</w:t>
            </w:r>
            <w:proofErr w:type="spellEnd"/>
          </w:p>
        </w:tc>
        <w:tc>
          <w:tcPr>
            <w:tcW w:w="1274" w:type="pct"/>
            <w:vAlign w:val="center"/>
          </w:tcPr>
          <w:p w:rsidR="00113D1E" w:rsidRPr="005E0DC9" w:rsidRDefault="00113D1E" w:rsidP="003B09A4">
            <w:pPr>
              <w:pStyle w:val="TableText1"/>
              <w:spacing w:before="0" w:after="0"/>
              <w:jc w:val="center"/>
              <w:rPr>
                <w:b/>
              </w:rPr>
            </w:pPr>
            <w:proofErr w:type="spellStart"/>
            <w:r w:rsidRPr="005E0DC9">
              <w:rPr>
                <w:b/>
              </w:rPr>
              <w:t>Obi+chl</w:t>
            </w:r>
            <w:proofErr w:type="spellEnd"/>
            <w:r w:rsidRPr="005E0DC9">
              <w:rPr>
                <w:b/>
              </w:rPr>
              <w:t xml:space="preserve"> first-line</w:t>
            </w:r>
          </w:p>
        </w:tc>
        <w:tc>
          <w:tcPr>
            <w:tcW w:w="838" w:type="pct"/>
            <w:vAlign w:val="center"/>
          </w:tcPr>
          <w:p w:rsidR="00113D1E" w:rsidRPr="005E0DC9" w:rsidRDefault="00113D1E" w:rsidP="003B09A4">
            <w:pPr>
              <w:pStyle w:val="TableText1"/>
              <w:spacing w:before="0" w:after="0"/>
              <w:jc w:val="center"/>
              <w:rPr>
                <w:b/>
              </w:rPr>
            </w:pPr>
            <w:r w:rsidRPr="005E0DC9">
              <w:rPr>
                <w:b/>
              </w:rPr>
              <w:t>Increment</w:t>
            </w:r>
          </w:p>
        </w:tc>
      </w:tr>
      <w:tr w:rsidR="00113D1E" w:rsidRPr="005E0DC9" w:rsidTr="003B09A4">
        <w:tc>
          <w:tcPr>
            <w:tcW w:w="1529" w:type="pct"/>
            <w:vAlign w:val="center"/>
          </w:tcPr>
          <w:p w:rsidR="00113D1E" w:rsidRPr="005E0DC9" w:rsidRDefault="00113D1E" w:rsidP="003B09A4">
            <w:pPr>
              <w:pStyle w:val="TableText1"/>
              <w:spacing w:before="0" w:after="0"/>
              <w:rPr>
                <w:rFonts w:ascii="Times" w:eastAsia="Times New Roman" w:hAnsi="Times" w:cs="Times New Roman"/>
              </w:rPr>
            </w:pPr>
            <w:r w:rsidRPr="005E0DC9">
              <w:t>Costs</w:t>
            </w:r>
          </w:p>
        </w:tc>
        <w:tc>
          <w:tcPr>
            <w:tcW w:w="1359"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1274"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838"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r>
      <w:tr w:rsidR="00113D1E" w:rsidRPr="005E0DC9" w:rsidTr="003B09A4">
        <w:tc>
          <w:tcPr>
            <w:tcW w:w="1529" w:type="pct"/>
            <w:vAlign w:val="center"/>
          </w:tcPr>
          <w:p w:rsidR="00113D1E" w:rsidRPr="005E0DC9" w:rsidRDefault="00113D1E" w:rsidP="003B09A4">
            <w:pPr>
              <w:pStyle w:val="TableText1"/>
              <w:spacing w:before="0" w:after="0"/>
              <w:rPr>
                <w:rFonts w:ascii="Times" w:eastAsia="Times New Roman" w:hAnsi="Times" w:cs="Times New Roman"/>
              </w:rPr>
            </w:pPr>
            <w:r w:rsidRPr="005E0DC9">
              <w:t>QALYs</w:t>
            </w:r>
          </w:p>
        </w:tc>
        <w:tc>
          <w:tcPr>
            <w:tcW w:w="1359"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1274" w:type="pct"/>
            <w:vAlign w:val="center"/>
          </w:tcPr>
          <w:p w:rsidR="00113D1E" w:rsidRPr="00773C23" w:rsidRDefault="00773C23" w:rsidP="003B09A4">
            <w:pPr>
              <w:pStyle w:val="TableText1"/>
              <w:spacing w:before="0" w:after="0"/>
              <w:jc w:val="center"/>
              <w:rPr>
                <w:rFonts w:ascii="Times" w:eastAsia="Times New Roman" w:hAnsi="Times" w:cs="Times New Roman"/>
                <w:highlight w:val="black"/>
              </w:rPr>
            </w:pPr>
            <w:r>
              <w:rPr>
                <w:noProof/>
                <w:color w:val="000000"/>
                <w:highlight w:val="black"/>
              </w:rPr>
              <w:t>''''''''''</w:t>
            </w:r>
          </w:p>
        </w:tc>
        <w:tc>
          <w:tcPr>
            <w:tcW w:w="838" w:type="pct"/>
            <w:vAlign w:val="center"/>
          </w:tcPr>
          <w:p w:rsidR="00113D1E" w:rsidRPr="00773C23" w:rsidRDefault="00773C23" w:rsidP="003B09A4">
            <w:pPr>
              <w:pStyle w:val="TableText1"/>
              <w:spacing w:before="0" w:after="0"/>
              <w:jc w:val="center"/>
              <w:rPr>
                <w:highlight w:val="black"/>
              </w:rPr>
            </w:pPr>
            <w:r>
              <w:rPr>
                <w:noProof/>
                <w:color w:val="000000"/>
                <w:highlight w:val="black"/>
              </w:rPr>
              <w:t>'''''''''''</w:t>
            </w:r>
          </w:p>
        </w:tc>
      </w:tr>
      <w:tr w:rsidR="00113D1E" w:rsidRPr="005E0DC9" w:rsidTr="003B09A4">
        <w:tc>
          <w:tcPr>
            <w:tcW w:w="4162" w:type="pct"/>
            <w:gridSpan w:val="3"/>
            <w:vAlign w:val="center"/>
          </w:tcPr>
          <w:p w:rsidR="00113D1E" w:rsidRPr="005E0DC9" w:rsidRDefault="00113D1E" w:rsidP="003B09A4">
            <w:pPr>
              <w:pStyle w:val="TableText1"/>
              <w:spacing w:before="0" w:after="0"/>
              <w:rPr>
                <w:rFonts w:ascii="Times" w:eastAsia="Times New Roman" w:hAnsi="Times" w:cs="Times New Roman"/>
                <w:b/>
              </w:rPr>
            </w:pPr>
            <w:r w:rsidRPr="005E0DC9">
              <w:rPr>
                <w:b/>
              </w:rPr>
              <w:t>Incremental cost/extra QALY gained</w:t>
            </w:r>
          </w:p>
        </w:tc>
        <w:tc>
          <w:tcPr>
            <w:tcW w:w="838" w:type="pct"/>
            <w:vAlign w:val="center"/>
          </w:tcPr>
          <w:p w:rsidR="00113D1E" w:rsidRPr="00773C23" w:rsidRDefault="00773C23" w:rsidP="003B09A4">
            <w:pPr>
              <w:pStyle w:val="TableText1"/>
              <w:spacing w:before="0" w:after="0"/>
              <w:jc w:val="center"/>
              <w:rPr>
                <w:rFonts w:ascii="Times" w:eastAsia="Times New Roman" w:hAnsi="Times" w:cs="Times New Roman"/>
                <w:b/>
                <w:highlight w:val="black"/>
              </w:rPr>
            </w:pPr>
            <w:r>
              <w:rPr>
                <w:b/>
                <w:noProof/>
                <w:color w:val="000000"/>
                <w:highlight w:val="black"/>
              </w:rPr>
              <w:t>'''''''''''''''''''</w:t>
            </w:r>
          </w:p>
        </w:tc>
      </w:tr>
    </w:tbl>
    <w:p w:rsidR="00113D1E" w:rsidRPr="005E0DC9" w:rsidRDefault="00113D1E" w:rsidP="00113D1E">
      <w:pPr>
        <w:pStyle w:val="TableFooter"/>
        <w:tabs>
          <w:tab w:val="left" w:pos="142"/>
        </w:tabs>
        <w:ind w:left="142" w:hanging="142"/>
      </w:pPr>
      <w:r w:rsidRPr="005E0DC9">
        <w:rPr>
          <w:vertAlign w:val="superscript"/>
        </w:rPr>
        <w:t>a</w:t>
      </w:r>
      <w:r w:rsidRPr="005E0DC9">
        <w:rPr>
          <w:vertAlign w:val="superscript"/>
        </w:rPr>
        <w:tab/>
      </w:r>
      <w:r w:rsidRPr="005E0DC9">
        <w:t xml:space="preserve">During the evaluation, for </w:t>
      </w:r>
      <w:proofErr w:type="spellStart"/>
      <w:r w:rsidRPr="005E0DC9">
        <w:t>ibrutinib</w:t>
      </w:r>
      <w:proofErr w:type="spellEnd"/>
      <w:r w:rsidRPr="005E0DC9">
        <w:t xml:space="preserve"> the dispensing fee and Administration, Handling and Infrastructure (AHI) fee were updated to 1 July 2017 values.  For rituximab, the wholesale, diluent, preparation and dispensing fees were updated to 1 July 2017 values.  </w:t>
      </w:r>
    </w:p>
    <w:p w:rsidR="002D241F" w:rsidRPr="005E0DC9" w:rsidRDefault="002D241F" w:rsidP="00113D1E">
      <w:pPr>
        <w:pStyle w:val="TableFooter"/>
        <w:tabs>
          <w:tab w:val="left" w:pos="142"/>
        </w:tabs>
        <w:ind w:left="142" w:hanging="142"/>
      </w:pPr>
      <w:r w:rsidRPr="005E0DC9">
        <w:rPr>
          <w:vertAlign w:val="superscript"/>
        </w:rPr>
        <w:t xml:space="preserve">b </w:t>
      </w:r>
      <w:r w:rsidRPr="005E0DC9">
        <w:t xml:space="preserve">Costs for comparator treatments in the first 3 steps are for first-line treatment only </w:t>
      </w:r>
      <w:proofErr w:type="spellStart"/>
      <w:r w:rsidRPr="005E0DC9">
        <w:t>ie</w:t>
      </w:r>
      <w:proofErr w:type="spellEnd"/>
      <w:r w:rsidRPr="005E0DC9">
        <w:t xml:space="preserve"> up to 6 cycles of </w:t>
      </w:r>
      <w:proofErr w:type="spellStart"/>
      <w:r w:rsidRPr="005E0DC9">
        <w:t>obi+chl</w:t>
      </w:r>
      <w:proofErr w:type="spellEnd"/>
      <w:r w:rsidRPr="005E0DC9">
        <w:t xml:space="preserve">, 6 cycles of </w:t>
      </w:r>
      <w:proofErr w:type="spellStart"/>
      <w:r w:rsidRPr="005E0DC9">
        <w:t>ritux+chl</w:t>
      </w:r>
      <w:proofErr w:type="spellEnd"/>
      <w:r w:rsidRPr="005E0DC9">
        <w:t xml:space="preserve">, </w:t>
      </w:r>
      <w:r w:rsidR="00037D52" w:rsidRPr="005E0DC9">
        <w:t xml:space="preserve">and </w:t>
      </w:r>
      <w:r w:rsidRPr="005E0DC9">
        <w:t xml:space="preserve">12 cycles of </w:t>
      </w:r>
      <w:proofErr w:type="spellStart"/>
      <w:r w:rsidRPr="005E0DC9">
        <w:t>ofa+chl</w:t>
      </w:r>
      <w:proofErr w:type="spellEnd"/>
      <w:r w:rsidR="00037D52" w:rsidRPr="005E0DC9">
        <w:t>, weighted as per section paragraph 6.40 above.</w:t>
      </w:r>
    </w:p>
    <w:p w:rsidR="00113D1E" w:rsidRPr="005E0DC9" w:rsidRDefault="00113D1E" w:rsidP="00113D1E">
      <w:pPr>
        <w:pStyle w:val="TableFooter"/>
        <w:tabs>
          <w:tab w:val="left" w:pos="142"/>
        </w:tabs>
        <w:ind w:left="142" w:hanging="142"/>
      </w:pPr>
      <w:r w:rsidRPr="005E0DC9">
        <w:t>Source: Table D.5, p30 and Excel workbook ‘Section D.xlsm’ of the submission.</w:t>
      </w:r>
    </w:p>
    <w:p w:rsidR="00113D1E" w:rsidRPr="005E0DC9" w:rsidRDefault="00113D1E"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base case ICER is </w:t>
      </w:r>
      <w:r w:rsidR="00D2176E">
        <w:rPr>
          <w:rFonts w:ascii="Calibri" w:eastAsia="Calibri" w:hAnsi="Calibri"/>
          <w:snapToGrid/>
          <w:sz w:val="24"/>
          <w:szCs w:val="22"/>
        </w:rPr>
        <w:t>$75,000/QALY - $105,000/QALY</w:t>
      </w:r>
      <w:r w:rsidRPr="005E0DC9">
        <w:rPr>
          <w:rFonts w:ascii="Calibri" w:eastAsia="Calibri" w:hAnsi="Calibri"/>
          <w:snapToGrid/>
          <w:sz w:val="24"/>
          <w:szCs w:val="22"/>
        </w:rPr>
        <w:t xml:space="preserve">.  The ICER increases to </w:t>
      </w:r>
      <w:r w:rsidR="00D2176E">
        <w:rPr>
          <w:rFonts w:ascii="Calibri" w:eastAsia="Calibri" w:hAnsi="Calibri"/>
          <w:snapToGrid/>
          <w:sz w:val="24"/>
          <w:szCs w:val="22"/>
        </w:rPr>
        <w:t>$75,000/QALY - $105,000/QALY</w:t>
      </w:r>
      <w:r w:rsidR="00D2176E" w:rsidRPr="005E0DC9" w:rsidDel="00D2176E">
        <w:rPr>
          <w:rFonts w:ascii="Calibri" w:eastAsia="Calibri" w:hAnsi="Calibri"/>
          <w:snapToGrid/>
          <w:sz w:val="24"/>
          <w:szCs w:val="22"/>
        </w:rPr>
        <w:t xml:space="preserve"> </w:t>
      </w:r>
      <w:r w:rsidRPr="005E0DC9">
        <w:rPr>
          <w:rFonts w:ascii="Calibri" w:eastAsia="Calibri" w:hAnsi="Calibri"/>
          <w:snapToGrid/>
          <w:sz w:val="24"/>
          <w:szCs w:val="22"/>
        </w:rPr>
        <w:t xml:space="preserve">if first-line comparator treatment is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instead of the blended comparator, although it should be noted that this </w:t>
      </w:r>
      <w:r w:rsidR="006B1097" w:rsidRPr="005E0DC9">
        <w:rPr>
          <w:rFonts w:ascii="Calibri" w:eastAsia="Calibri" w:hAnsi="Calibri"/>
          <w:snapToGrid/>
          <w:sz w:val="24"/>
          <w:szCs w:val="22"/>
        </w:rPr>
        <w:t>is based</w:t>
      </w:r>
      <w:r w:rsidRPr="005E0DC9">
        <w:rPr>
          <w:rFonts w:ascii="Calibri" w:eastAsia="Calibri" w:hAnsi="Calibri"/>
          <w:snapToGrid/>
          <w:sz w:val="24"/>
          <w:szCs w:val="22"/>
        </w:rPr>
        <w:t xml:space="preserve"> on </w:t>
      </w:r>
      <w:r w:rsidR="00CA21E8" w:rsidRPr="005E0DC9">
        <w:rPr>
          <w:rFonts w:ascii="Calibri" w:eastAsia="Calibri" w:hAnsi="Calibri"/>
          <w:snapToGrid/>
          <w:sz w:val="24"/>
          <w:szCs w:val="22"/>
        </w:rPr>
        <w:t xml:space="preserve">the assumption of superior </w:t>
      </w:r>
      <w:r w:rsidRPr="005E0DC9">
        <w:rPr>
          <w:rFonts w:ascii="Calibri" w:eastAsia="Calibri" w:hAnsi="Calibri"/>
          <w:snapToGrid/>
          <w:sz w:val="24"/>
          <w:szCs w:val="22"/>
        </w:rPr>
        <w:t>PFS and OS</w:t>
      </w:r>
      <w:r w:rsidR="00CA21E8" w:rsidRPr="005E0DC9">
        <w:rPr>
          <w:rFonts w:ascii="Calibri" w:eastAsia="Calibri" w:hAnsi="Calibri"/>
          <w:snapToGrid/>
          <w:sz w:val="24"/>
          <w:szCs w:val="22"/>
        </w:rPr>
        <w:t xml:space="preserve"> with </w:t>
      </w:r>
      <w:proofErr w:type="spellStart"/>
      <w:r w:rsidR="00CA21E8"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w:t>
      </w:r>
    </w:p>
    <w:p w:rsidR="00CA21E8" w:rsidRPr="005E0DC9" w:rsidRDefault="00113D1E"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 xml:space="preserve">The modelled time horizon was 20 years based on a median of 18 months follow-up in RESONATE-2. The submission justified the model time horizon of 20 years on the basis that the PBAC Guidelines (v4.4) recommend a full life expectancy time horizon for the management of cancer. The low number of clinical events observed in the trials results in substantial uncertainty when the results are extrapolated over a long time period. With an analysis restricted to a time horizon based on the trials, the incremental LYs gained </w:t>
      </w:r>
      <w:r w:rsidR="006B1097" w:rsidRPr="005E0DC9">
        <w:rPr>
          <w:rFonts w:ascii="Calibri" w:eastAsia="Calibri" w:hAnsi="Calibri"/>
          <w:snapToGrid/>
          <w:sz w:val="24"/>
          <w:szCs w:val="22"/>
        </w:rPr>
        <w:t xml:space="preserve">were </w:t>
      </w:r>
      <w:r w:rsidR="00773C23">
        <w:rPr>
          <w:rFonts w:ascii="Calibri" w:eastAsia="Calibri" w:hAnsi="Calibri"/>
          <w:noProof/>
          <w:snapToGrid/>
          <w:color w:val="000000"/>
          <w:sz w:val="24"/>
          <w:szCs w:val="22"/>
          <w:highlight w:val="black"/>
        </w:rPr>
        <w:t>'''''''''</w:t>
      </w:r>
      <w:r w:rsidRPr="005E0DC9">
        <w:rPr>
          <w:rFonts w:ascii="Calibri" w:eastAsia="Calibri" w:hAnsi="Calibri"/>
          <w:snapToGrid/>
          <w:sz w:val="24"/>
          <w:szCs w:val="22"/>
        </w:rPr>
        <w:t xml:space="preserve"> years (Step 1, Table 12). Extending the time horizon to 20 years increase</w:t>
      </w:r>
      <w:r w:rsidR="006B1097" w:rsidRPr="005E0DC9">
        <w:rPr>
          <w:rFonts w:ascii="Calibri" w:eastAsia="Calibri" w:hAnsi="Calibri"/>
          <w:snapToGrid/>
          <w:sz w:val="24"/>
          <w:szCs w:val="22"/>
        </w:rPr>
        <w:t>d</w:t>
      </w:r>
      <w:r w:rsidRPr="005E0DC9">
        <w:rPr>
          <w:rFonts w:ascii="Calibri" w:eastAsia="Calibri" w:hAnsi="Calibri"/>
          <w:snapToGrid/>
          <w:sz w:val="24"/>
          <w:szCs w:val="22"/>
        </w:rPr>
        <w:t xml:space="preserve"> the incremental LYs gained to </w:t>
      </w:r>
      <w:r w:rsidR="00773C23">
        <w:rPr>
          <w:rFonts w:ascii="Calibri" w:eastAsia="Calibri" w:hAnsi="Calibri"/>
          <w:noProof/>
          <w:snapToGrid/>
          <w:color w:val="000000"/>
          <w:sz w:val="24"/>
          <w:szCs w:val="22"/>
          <w:highlight w:val="black"/>
        </w:rPr>
        <w:t>'''''''''</w:t>
      </w:r>
      <w:r w:rsidRPr="005E0DC9">
        <w:rPr>
          <w:rFonts w:ascii="Calibri" w:eastAsia="Calibri" w:hAnsi="Calibri"/>
          <w:snapToGrid/>
          <w:sz w:val="24"/>
          <w:szCs w:val="22"/>
        </w:rPr>
        <w:t xml:space="preserve"> years (Step 2, Table 12). Thus </w:t>
      </w:r>
      <w:r w:rsidR="00773C23">
        <w:rPr>
          <w:rFonts w:ascii="Calibri" w:eastAsia="Calibri" w:hAnsi="Calibri"/>
          <w:noProof/>
          <w:snapToGrid/>
          <w:color w:val="000000"/>
          <w:sz w:val="24"/>
          <w:szCs w:val="22"/>
          <w:highlight w:val="black"/>
        </w:rPr>
        <w:t>'''''</w:t>
      </w:r>
      <w:r w:rsidRPr="005E0DC9">
        <w:rPr>
          <w:rFonts w:ascii="Calibri" w:eastAsia="Calibri" w:hAnsi="Calibri"/>
          <w:snapToGrid/>
          <w:sz w:val="24"/>
          <w:szCs w:val="22"/>
        </w:rPr>
        <w:t xml:space="preserve">% of the incremental gain in LYs </w:t>
      </w:r>
      <w:r w:rsidR="006B1097" w:rsidRPr="005E0DC9">
        <w:rPr>
          <w:rFonts w:ascii="Calibri" w:eastAsia="Calibri" w:hAnsi="Calibri"/>
          <w:snapToGrid/>
          <w:sz w:val="24"/>
          <w:szCs w:val="22"/>
        </w:rPr>
        <w:t>was</w:t>
      </w:r>
      <w:r w:rsidRPr="005E0DC9">
        <w:rPr>
          <w:rFonts w:ascii="Calibri" w:eastAsia="Calibri" w:hAnsi="Calibri"/>
          <w:snapToGrid/>
          <w:sz w:val="24"/>
          <w:szCs w:val="22"/>
        </w:rPr>
        <w:t xml:space="preserve"> based on extrapolated rather than trial data. The PBAC previously considered a 10 year time horizon to be appropriate for </w:t>
      </w:r>
      <w:proofErr w:type="spellStart"/>
      <w:r w:rsidRPr="005E0DC9">
        <w:rPr>
          <w:rFonts w:ascii="Calibri" w:eastAsia="Calibri" w:hAnsi="Calibri"/>
          <w:snapToGrid/>
          <w:sz w:val="24"/>
          <w:szCs w:val="22"/>
        </w:rPr>
        <w:t>obinutuzumab</w:t>
      </w:r>
      <w:proofErr w:type="spellEnd"/>
      <w:r w:rsidRPr="005E0DC9">
        <w:rPr>
          <w:rFonts w:ascii="Calibri" w:eastAsia="Calibri" w:hAnsi="Calibri"/>
          <w:snapToGrid/>
          <w:sz w:val="24"/>
          <w:szCs w:val="22"/>
        </w:rPr>
        <w:t xml:space="preserve"> in first-line CLL and for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in relapsed/refractory CLL. Application of a 10 year time horizon to the current model result</w:t>
      </w:r>
      <w:r w:rsidR="006B1097" w:rsidRPr="005E0DC9">
        <w:rPr>
          <w:rFonts w:ascii="Calibri" w:eastAsia="Calibri" w:hAnsi="Calibri"/>
          <w:snapToGrid/>
          <w:sz w:val="24"/>
          <w:szCs w:val="22"/>
        </w:rPr>
        <w:t>ed</w:t>
      </w:r>
      <w:r w:rsidRPr="005E0DC9">
        <w:rPr>
          <w:rFonts w:ascii="Calibri" w:eastAsia="Calibri" w:hAnsi="Calibri"/>
          <w:snapToGrid/>
          <w:sz w:val="24"/>
          <w:szCs w:val="22"/>
        </w:rPr>
        <w:t xml:space="preserve"> in an ICER of </w:t>
      </w:r>
      <w:r w:rsidR="00D2176E">
        <w:rPr>
          <w:rFonts w:ascii="Calibri" w:eastAsia="Calibri" w:hAnsi="Calibri"/>
          <w:snapToGrid/>
          <w:sz w:val="24"/>
          <w:szCs w:val="22"/>
        </w:rPr>
        <w:t>$75,000/QALY - $105,000/QALY</w:t>
      </w:r>
      <w:r w:rsidRPr="005E0DC9">
        <w:rPr>
          <w:rFonts w:ascii="Calibri" w:eastAsia="Calibri" w:hAnsi="Calibri"/>
          <w:snapToGrid/>
          <w:sz w:val="24"/>
          <w:szCs w:val="22"/>
        </w:rPr>
        <w:t xml:space="preserve">.  </w:t>
      </w:r>
      <w:r w:rsidR="002F581A" w:rsidRPr="005E0DC9">
        <w:rPr>
          <w:rFonts w:ascii="Calibri" w:hAnsi="Calibri"/>
          <w:sz w:val="24"/>
        </w:rPr>
        <w:t xml:space="preserve">The PSCR (p4) argued 20 years is more appropriate, based on the fact the 10 year time horizon was used in the </w:t>
      </w:r>
      <w:proofErr w:type="spellStart"/>
      <w:r w:rsidR="002F581A" w:rsidRPr="005E0DC9">
        <w:rPr>
          <w:rFonts w:ascii="Calibri" w:hAnsi="Calibri"/>
          <w:sz w:val="24"/>
        </w:rPr>
        <w:t>ibrutinib</w:t>
      </w:r>
      <w:proofErr w:type="spellEnd"/>
      <w:r w:rsidR="002F581A" w:rsidRPr="005E0DC9">
        <w:rPr>
          <w:rFonts w:ascii="Calibri" w:hAnsi="Calibri"/>
          <w:sz w:val="24"/>
        </w:rPr>
        <w:t xml:space="preserve"> relapsed/refractory submission, and first line would expect longer survival, and the model estimates that </w:t>
      </w:r>
      <w:r w:rsidR="00773C23">
        <w:rPr>
          <w:rFonts w:ascii="Calibri" w:hAnsi="Calibri"/>
          <w:noProof/>
          <w:color w:val="000000"/>
          <w:sz w:val="24"/>
          <w:highlight w:val="black"/>
        </w:rPr>
        <w:t>''''''</w:t>
      </w:r>
      <w:r w:rsidR="002F581A" w:rsidRPr="005E0DC9">
        <w:rPr>
          <w:rFonts w:ascii="Calibri" w:hAnsi="Calibri"/>
          <w:sz w:val="24"/>
        </w:rPr>
        <w:t xml:space="preserve">% of </w:t>
      </w:r>
      <w:proofErr w:type="spellStart"/>
      <w:r w:rsidR="002F581A" w:rsidRPr="005E0DC9">
        <w:rPr>
          <w:rFonts w:ascii="Calibri" w:hAnsi="Calibri"/>
          <w:sz w:val="24"/>
        </w:rPr>
        <w:t>ibrutinib</w:t>
      </w:r>
      <w:proofErr w:type="spellEnd"/>
      <w:r w:rsidR="002F581A" w:rsidRPr="005E0DC9">
        <w:rPr>
          <w:rFonts w:ascii="Calibri" w:hAnsi="Calibri"/>
          <w:sz w:val="24"/>
        </w:rPr>
        <w:t xml:space="preserve"> patients remain progression free at the end </w:t>
      </w:r>
      <w:r w:rsidR="002F581A" w:rsidRPr="005E0DC9">
        <w:rPr>
          <w:rFonts w:ascii="Calibri" w:hAnsi="Calibri"/>
          <w:sz w:val="24"/>
        </w:rPr>
        <w:lastRenderedPageBreak/>
        <w:t xml:space="preserve">of 10 years. </w:t>
      </w:r>
      <w:r w:rsidR="00CA21E8" w:rsidRPr="005E0DC9">
        <w:rPr>
          <w:rFonts w:ascii="Calibri" w:hAnsi="Calibri"/>
          <w:sz w:val="24"/>
        </w:rPr>
        <w:t xml:space="preserve">The ESC noted that the modelled </w:t>
      </w:r>
      <w:r w:rsidR="00773C23">
        <w:rPr>
          <w:rFonts w:ascii="Calibri" w:hAnsi="Calibri"/>
          <w:noProof/>
          <w:color w:val="000000"/>
          <w:sz w:val="24"/>
          <w:highlight w:val="black"/>
        </w:rPr>
        <w:t>'''''</w:t>
      </w:r>
      <w:r w:rsidR="00CA21E8" w:rsidRPr="005E0DC9">
        <w:rPr>
          <w:rFonts w:ascii="Calibri" w:hAnsi="Calibri"/>
          <w:sz w:val="24"/>
        </w:rPr>
        <w:t xml:space="preserve">% of patients remaining progression free at 10 years was based on favourable assumptions of </w:t>
      </w:r>
      <w:proofErr w:type="spellStart"/>
      <w:r w:rsidR="00CA21E8" w:rsidRPr="005E0DC9">
        <w:rPr>
          <w:rFonts w:ascii="Calibri" w:hAnsi="Calibri"/>
          <w:sz w:val="24"/>
        </w:rPr>
        <w:t>ibrutinib</w:t>
      </w:r>
      <w:proofErr w:type="spellEnd"/>
      <w:r w:rsidR="00CA21E8" w:rsidRPr="005E0DC9">
        <w:rPr>
          <w:rFonts w:ascii="Calibri" w:hAnsi="Calibri"/>
          <w:sz w:val="24"/>
        </w:rPr>
        <w:t xml:space="preserve"> efficacy; further, the ESC noted that the 20 years was optimistic given the average age of patients commencing first line treatment is &gt;70 years.</w:t>
      </w:r>
    </w:p>
    <w:p w:rsidR="00113D1E" w:rsidRPr="005E0DC9" w:rsidRDefault="00113D1E"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As well as time horizon and nominated first-line treatment, the model is also sensitive to utility values.  If literature-based utility values are used for first-line treatment instead of trial-based values the ICER increased, becoming $</w:t>
      </w:r>
      <w:r w:rsidR="00584D09">
        <w:rPr>
          <w:rFonts w:ascii="Calibri" w:eastAsia="Calibri" w:hAnsi="Calibri"/>
          <w:snapToGrid/>
          <w:sz w:val="24"/>
          <w:szCs w:val="22"/>
        </w:rPr>
        <w:t>75,000 – $105,000</w:t>
      </w:r>
      <w:r w:rsidRPr="005E0DC9">
        <w:rPr>
          <w:rFonts w:ascii="Calibri" w:eastAsia="Calibri" w:hAnsi="Calibri"/>
          <w:snapToGrid/>
          <w:sz w:val="24"/>
          <w:szCs w:val="22"/>
        </w:rPr>
        <w:t xml:space="preserve">using values from Ferguson (2009) and </w:t>
      </w:r>
      <w:r w:rsidR="008C09A9" w:rsidRPr="005E0DC9">
        <w:rPr>
          <w:rFonts w:ascii="Calibri" w:eastAsia="Calibri" w:hAnsi="Calibri"/>
          <w:snapToGrid/>
          <w:sz w:val="24"/>
          <w:szCs w:val="22"/>
        </w:rPr>
        <w:t>$</w:t>
      </w:r>
      <w:r w:rsidR="008C09A9">
        <w:rPr>
          <w:rFonts w:ascii="Calibri" w:eastAsia="Calibri" w:hAnsi="Calibri"/>
          <w:snapToGrid/>
          <w:sz w:val="24"/>
          <w:szCs w:val="22"/>
        </w:rPr>
        <w:t xml:space="preserve">75,000 – $105,000 </w:t>
      </w:r>
      <w:r w:rsidRPr="005E0DC9">
        <w:rPr>
          <w:rFonts w:ascii="Calibri" w:eastAsia="Calibri" w:hAnsi="Calibri"/>
          <w:snapToGrid/>
          <w:sz w:val="24"/>
          <w:szCs w:val="22"/>
        </w:rPr>
        <w:t xml:space="preserve">when values from Kosmas (2015) were applied. </w:t>
      </w:r>
    </w:p>
    <w:p w:rsidR="000A678B" w:rsidRPr="005E0DC9" w:rsidRDefault="000A678B" w:rsidP="000A678B">
      <w:pPr>
        <w:pStyle w:val="TableHeading0"/>
        <w:spacing w:after="0"/>
      </w:pPr>
      <w:r w:rsidRPr="005E0DC9">
        <w:t xml:space="preserve">Table 12: Results of sensitivity </w:t>
      </w:r>
      <w:proofErr w:type="spellStart"/>
      <w:r w:rsidRPr="005E0DC9">
        <w:t>analyses</w:t>
      </w:r>
      <w:r w:rsidRPr="005E0DC9">
        <w:rPr>
          <w:vertAlign w:val="superscript"/>
        </w:rPr>
        <w:t>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90"/>
        <w:gridCol w:w="1419"/>
        <w:gridCol w:w="1560"/>
        <w:gridCol w:w="1114"/>
      </w:tblGrid>
      <w:tr w:rsidR="000A678B" w:rsidRPr="005E0DC9" w:rsidTr="00734B5F">
        <w:trPr>
          <w:tblHeader/>
        </w:trPr>
        <w:tc>
          <w:tcPr>
            <w:tcW w:w="2747" w:type="pct"/>
            <w:tcBorders>
              <w:top w:val="single" w:sz="4" w:space="0" w:color="auto"/>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tabs>
                <w:tab w:val="left" w:pos="142"/>
              </w:tabs>
              <w:spacing w:before="0" w:after="0"/>
              <w:rPr>
                <w:b/>
              </w:rPr>
            </w:pPr>
            <w:r w:rsidRPr="005E0DC9">
              <w:rPr>
                <w:b/>
              </w:rPr>
              <w:t>Analyses</w:t>
            </w:r>
          </w:p>
        </w:tc>
        <w:tc>
          <w:tcPr>
            <w:tcW w:w="781" w:type="pct"/>
            <w:tcBorders>
              <w:top w:val="single" w:sz="4" w:space="0" w:color="auto"/>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spacing w:before="0" w:after="0"/>
              <w:jc w:val="center"/>
              <w:rPr>
                <w:b/>
              </w:rPr>
            </w:pPr>
            <w:r w:rsidRPr="005E0DC9">
              <w:rPr>
                <w:b/>
              </w:rPr>
              <w:t>Incremental cost</w:t>
            </w:r>
          </w:p>
        </w:tc>
        <w:tc>
          <w:tcPr>
            <w:tcW w:w="859" w:type="pct"/>
            <w:tcBorders>
              <w:top w:val="single" w:sz="4" w:space="0" w:color="auto"/>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spacing w:before="0" w:after="0"/>
              <w:jc w:val="center"/>
              <w:rPr>
                <w:b/>
              </w:rPr>
            </w:pPr>
            <w:r w:rsidRPr="005E0DC9">
              <w:rPr>
                <w:b/>
              </w:rPr>
              <w:t>Incremental QALY</w:t>
            </w:r>
          </w:p>
        </w:tc>
        <w:tc>
          <w:tcPr>
            <w:tcW w:w="613" w:type="pct"/>
            <w:tcBorders>
              <w:top w:val="single" w:sz="4" w:space="0" w:color="auto"/>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spacing w:before="0" w:after="0"/>
              <w:jc w:val="center"/>
              <w:rPr>
                <w:b/>
              </w:rPr>
            </w:pPr>
            <w:r w:rsidRPr="005E0DC9">
              <w:rPr>
                <w:b/>
              </w:rPr>
              <w:t>ICER</w:t>
            </w:r>
          </w:p>
        </w:tc>
      </w:tr>
      <w:tr w:rsidR="000A678B" w:rsidRPr="005E0DC9" w:rsidTr="00734B5F">
        <w:tc>
          <w:tcPr>
            <w:tcW w:w="2747" w:type="pct"/>
            <w:tcBorders>
              <w:top w:val="single" w:sz="4" w:space="0" w:color="auto"/>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tabs>
                <w:tab w:val="left" w:pos="142"/>
              </w:tabs>
              <w:spacing w:before="0" w:after="0"/>
              <w:rPr>
                <w:b/>
              </w:rPr>
            </w:pPr>
            <w:r w:rsidRPr="005E0DC9">
              <w:rPr>
                <w:b/>
              </w:rPr>
              <w:t>Base case</w:t>
            </w:r>
          </w:p>
        </w:tc>
        <w:tc>
          <w:tcPr>
            <w:tcW w:w="781" w:type="pct"/>
            <w:tcBorders>
              <w:top w:val="single" w:sz="4" w:space="0" w:color="auto"/>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b/>
                <w:highlight w:val="black"/>
              </w:rPr>
            </w:pPr>
            <w:r>
              <w:rPr>
                <w:b/>
                <w:noProof/>
                <w:color w:val="000000"/>
                <w:highlight w:val="black"/>
              </w:rPr>
              <w:t>''''''''''''''''''''</w:t>
            </w:r>
          </w:p>
        </w:tc>
        <w:tc>
          <w:tcPr>
            <w:tcW w:w="859" w:type="pct"/>
            <w:tcBorders>
              <w:top w:val="single" w:sz="4" w:space="0" w:color="auto"/>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b/>
                <w:highlight w:val="black"/>
              </w:rPr>
            </w:pPr>
            <w:r>
              <w:rPr>
                <w:b/>
                <w:noProof/>
                <w:color w:val="000000"/>
                <w:highlight w:val="black"/>
              </w:rPr>
              <w:t>'''''''''</w:t>
            </w:r>
          </w:p>
        </w:tc>
        <w:tc>
          <w:tcPr>
            <w:tcW w:w="613" w:type="pct"/>
            <w:tcBorders>
              <w:top w:val="single" w:sz="4" w:space="0" w:color="auto"/>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b/>
                <w:highlight w:val="black"/>
              </w:rPr>
            </w:pPr>
            <w:r>
              <w:rPr>
                <w:b/>
                <w:noProof/>
                <w:color w:val="000000"/>
                <w:highlight w:val="black"/>
              </w:rPr>
              <w:t>''''''''''''''''</w:t>
            </w:r>
          </w:p>
        </w:tc>
      </w:tr>
      <w:tr w:rsidR="000A678B" w:rsidRPr="005E0DC9" w:rsidTr="00734B5F">
        <w:tc>
          <w:tcPr>
            <w:tcW w:w="2747" w:type="pct"/>
            <w:tcBorders>
              <w:top w:val="single" w:sz="4" w:space="0" w:color="auto"/>
              <w:left w:val="single" w:sz="4" w:space="0" w:color="auto"/>
              <w:bottom w:val="nil"/>
              <w:right w:val="single" w:sz="4" w:space="0" w:color="auto"/>
            </w:tcBorders>
            <w:vAlign w:val="center"/>
          </w:tcPr>
          <w:p w:rsidR="000A678B" w:rsidRPr="005E0DC9" w:rsidRDefault="000A678B" w:rsidP="00734B5F">
            <w:pPr>
              <w:pStyle w:val="TableText1"/>
              <w:keepNext w:val="0"/>
              <w:widowControl w:val="0"/>
              <w:tabs>
                <w:tab w:val="left" w:pos="142"/>
              </w:tabs>
              <w:spacing w:before="0" w:after="0"/>
            </w:pPr>
            <w:r w:rsidRPr="005E0DC9">
              <w:t>Time horizon (base case: 20 years)</w:t>
            </w:r>
          </w:p>
        </w:tc>
        <w:tc>
          <w:tcPr>
            <w:tcW w:w="781" w:type="pct"/>
            <w:tcBorders>
              <w:top w:val="single" w:sz="4" w:space="0" w:color="auto"/>
              <w:left w:val="single" w:sz="4" w:space="0" w:color="auto"/>
              <w:bottom w:val="nil"/>
              <w:right w:val="single" w:sz="4" w:space="0" w:color="auto"/>
            </w:tcBorders>
            <w:vAlign w:val="center"/>
          </w:tcPr>
          <w:p w:rsidR="000A678B" w:rsidRPr="00773C23" w:rsidRDefault="000A678B" w:rsidP="00734B5F">
            <w:pPr>
              <w:pStyle w:val="TableText1"/>
              <w:keepNext w:val="0"/>
              <w:widowControl w:val="0"/>
              <w:spacing w:before="0" w:after="0"/>
              <w:jc w:val="center"/>
            </w:pPr>
          </w:p>
        </w:tc>
        <w:tc>
          <w:tcPr>
            <w:tcW w:w="859" w:type="pct"/>
            <w:tcBorders>
              <w:top w:val="single" w:sz="4" w:space="0" w:color="auto"/>
              <w:left w:val="single" w:sz="4" w:space="0" w:color="auto"/>
              <w:bottom w:val="nil"/>
              <w:right w:val="single" w:sz="4" w:space="0" w:color="auto"/>
            </w:tcBorders>
            <w:vAlign w:val="center"/>
          </w:tcPr>
          <w:p w:rsidR="000A678B" w:rsidRPr="00773C23" w:rsidRDefault="000A678B" w:rsidP="00734B5F">
            <w:pPr>
              <w:pStyle w:val="TableText1"/>
              <w:keepNext w:val="0"/>
              <w:widowControl w:val="0"/>
              <w:spacing w:before="0" w:after="0"/>
              <w:jc w:val="center"/>
            </w:pPr>
          </w:p>
        </w:tc>
        <w:tc>
          <w:tcPr>
            <w:tcW w:w="613" w:type="pct"/>
            <w:tcBorders>
              <w:top w:val="single" w:sz="4" w:space="0" w:color="auto"/>
              <w:left w:val="single" w:sz="4" w:space="0" w:color="auto"/>
              <w:bottom w:val="nil"/>
              <w:right w:val="single" w:sz="4" w:space="0" w:color="auto"/>
            </w:tcBorders>
            <w:vAlign w:val="center"/>
          </w:tcPr>
          <w:p w:rsidR="000A678B" w:rsidRPr="00773C23" w:rsidRDefault="000A678B" w:rsidP="00734B5F">
            <w:pPr>
              <w:pStyle w:val="TableText1"/>
              <w:keepNext w:val="0"/>
              <w:widowControl w:val="0"/>
              <w:spacing w:before="0" w:after="0"/>
              <w:jc w:val="center"/>
            </w:pPr>
          </w:p>
        </w:tc>
      </w:tr>
      <w:tr w:rsidR="000A678B" w:rsidRPr="005E0DC9" w:rsidTr="00734B5F">
        <w:tc>
          <w:tcPr>
            <w:tcW w:w="2747" w:type="pct"/>
            <w:tcBorders>
              <w:top w:val="nil"/>
              <w:left w:val="single" w:sz="4" w:space="0" w:color="auto"/>
              <w:bottom w:val="nil"/>
              <w:right w:val="single" w:sz="4" w:space="0" w:color="auto"/>
            </w:tcBorders>
            <w:vAlign w:val="center"/>
          </w:tcPr>
          <w:p w:rsidR="000A678B" w:rsidRPr="005E0DC9" w:rsidRDefault="000A678B" w:rsidP="00734B5F">
            <w:pPr>
              <w:pStyle w:val="TableText1"/>
              <w:keepNext w:val="0"/>
              <w:widowControl w:val="0"/>
              <w:tabs>
                <w:tab w:val="left" w:pos="142"/>
              </w:tabs>
              <w:spacing w:before="0" w:after="0"/>
            </w:pPr>
            <w:r w:rsidRPr="005E0DC9">
              <w:tab/>
              <w:t>15 years</w:t>
            </w:r>
          </w:p>
        </w:tc>
        <w:tc>
          <w:tcPr>
            <w:tcW w:w="781" w:type="pct"/>
            <w:tcBorders>
              <w:top w:val="nil"/>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859" w:type="pct"/>
            <w:tcBorders>
              <w:top w:val="nil"/>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613" w:type="pct"/>
            <w:tcBorders>
              <w:top w:val="nil"/>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r>
      <w:tr w:rsidR="000A678B" w:rsidRPr="005E0DC9" w:rsidTr="00734B5F">
        <w:tc>
          <w:tcPr>
            <w:tcW w:w="2747" w:type="pct"/>
            <w:tcBorders>
              <w:top w:val="nil"/>
              <w:left w:val="single" w:sz="4" w:space="0" w:color="auto"/>
              <w:bottom w:val="nil"/>
              <w:right w:val="single" w:sz="4" w:space="0" w:color="auto"/>
            </w:tcBorders>
            <w:vAlign w:val="center"/>
          </w:tcPr>
          <w:p w:rsidR="000A678B" w:rsidRPr="005E0DC9" w:rsidRDefault="000A678B" w:rsidP="00734B5F">
            <w:pPr>
              <w:pStyle w:val="TableText1"/>
              <w:keepNext w:val="0"/>
              <w:widowControl w:val="0"/>
              <w:tabs>
                <w:tab w:val="left" w:pos="142"/>
              </w:tabs>
              <w:spacing w:before="0" w:after="0"/>
            </w:pPr>
            <w:r w:rsidRPr="005E0DC9">
              <w:tab/>
              <w:t>10 years</w:t>
            </w:r>
          </w:p>
        </w:tc>
        <w:tc>
          <w:tcPr>
            <w:tcW w:w="781" w:type="pct"/>
            <w:tcBorders>
              <w:top w:val="nil"/>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859" w:type="pct"/>
            <w:tcBorders>
              <w:top w:val="nil"/>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613" w:type="pct"/>
            <w:tcBorders>
              <w:top w:val="nil"/>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r>
      <w:tr w:rsidR="000A678B" w:rsidRPr="005E0DC9" w:rsidTr="00734B5F">
        <w:tc>
          <w:tcPr>
            <w:tcW w:w="2747" w:type="pct"/>
            <w:tcBorders>
              <w:top w:val="single" w:sz="4" w:space="0" w:color="auto"/>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tabs>
                <w:tab w:val="left" w:pos="142"/>
              </w:tabs>
              <w:spacing w:before="0" w:after="0"/>
            </w:pPr>
            <w:r w:rsidRPr="005E0DC9">
              <w:t>Mean age (base case 73 years)</w:t>
            </w:r>
          </w:p>
        </w:tc>
        <w:tc>
          <w:tcPr>
            <w:tcW w:w="781" w:type="pct"/>
            <w:tcBorders>
              <w:top w:val="single" w:sz="4" w:space="0" w:color="auto"/>
              <w:left w:val="single" w:sz="4" w:space="0" w:color="auto"/>
              <w:bottom w:val="single" w:sz="4" w:space="0" w:color="auto"/>
              <w:right w:val="single" w:sz="4" w:space="0" w:color="auto"/>
            </w:tcBorders>
            <w:vAlign w:val="center"/>
          </w:tcPr>
          <w:p w:rsidR="000A678B" w:rsidRPr="00773C23" w:rsidRDefault="000A678B" w:rsidP="00734B5F">
            <w:pPr>
              <w:pStyle w:val="TableText1"/>
              <w:keepNext w:val="0"/>
              <w:widowControl w:val="0"/>
              <w:spacing w:before="0" w:after="0"/>
              <w:jc w:val="center"/>
            </w:pPr>
          </w:p>
        </w:tc>
        <w:tc>
          <w:tcPr>
            <w:tcW w:w="859" w:type="pct"/>
            <w:tcBorders>
              <w:top w:val="single" w:sz="4" w:space="0" w:color="auto"/>
              <w:left w:val="single" w:sz="4" w:space="0" w:color="auto"/>
              <w:bottom w:val="single" w:sz="4" w:space="0" w:color="auto"/>
              <w:right w:val="single" w:sz="4" w:space="0" w:color="auto"/>
            </w:tcBorders>
            <w:vAlign w:val="center"/>
          </w:tcPr>
          <w:p w:rsidR="000A678B" w:rsidRPr="00773C23" w:rsidRDefault="000A678B" w:rsidP="00734B5F">
            <w:pPr>
              <w:pStyle w:val="TableText1"/>
              <w:keepNext w:val="0"/>
              <w:widowControl w:val="0"/>
              <w:spacing w:before="0" w:after="0"/>
              <w:jc w:val="center"/>
            </w:pPr>
          </w:p>
        </w:tc>
        <w:tc>
          <w:tcPr>
            <w:tcW w:w="613" w:type="pct"/>
            <w:tcBorders>
              <w:top w:val="single" w:sz="4" w:space="0" w:color="auto"/>
              <w:left w:val="single" w:sz="4" w:space="0" w:color="auto"/>
              <w:bottom w:val="single" w:sz="4" w:space="0" w:color="auto"/>
              <w:right w:val="single" w:sz="4" w:space="0" w:color="auto"/>
            </w:tcBorders>
            <w:vAlign w:val="center"/>
          </w:tcPr>
          <w:p w:rsidR="000A678B" w:rsidRPr="00773C23" w:rsidRDefault="000A678B" w:rsidP="00734B5F">
            <w:pPr>
              <w:pStyle w:val="TableText1"/>
              <w:keepNext w:val="0"/>
              <w:widowControl w:val="0"/>
              <w:spacing w:before="0" w:after="0"/>
              <w:jc w:val="center"/>
            </w:pPr>
          </w:p>
        </w:tc>
      </w:tr>
      <w:tr w:rsidR="000A678B" w:rsidRPr="005E0DC9" w:rsidTr="00734B5F">
        <w:tc>
          <w:tcPr>
            <w:tcW w:w="2747" w:type="pct"/>
            <w:tcBorders>
              <w:top w:val="single" w:sz="4" w:space="0" w:color="auto"/>
              <w:left w:val="single" w:sz="4" w:space="0" w:color="auto"/>
              <w:bottom w:val="nil"/>
              <w:right w:val="single" w:sz="4" w:space="0" w:color="auto"/>
            </w:tcBorders>
            <w:vAlign w:val="center"/>
          </w:tcPr>
          <w:p w:rsidR="000A678B" w:rsidRPr="005E0DC9" w:rsidRDefault="000A678B" w:rsidP="00734B5F">
            <w:pPr>
              <w:pStyle w:val="TableText1"/>
              <w:keepNext w:val="0"/>
              <w:widowControl w:val="0"/>
              <w:tabs>
                <w:tab w:val="left" w:pos="142"/>
              </w:tabs>
              <w:spacing w:before="0" w:after="0"/>
            </w:pPr>
            <w:r w:rsidRPr="005E0DC9">
              <w:t>60 years</w:t>
            </w:r>
          </w:p>
        </w:tc>
        <w:tc>
          <w:tcPr>
            <w:tcW w:w="781" w:type="pct"/>
            <w:tcBorders>
              <w:top w:val="single" w:sz="4" w:space="0" w:color="auto"/>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859" w:type="pct"/>
            <w:tcBorders>
              <w:top w:val="single" w:sz="4" w:space="0" w:color="auto"/>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613" w:type="pct"/>
            <w:tcBorders>
              <w:top w:val="single" w:sz="4" w:space="0" w:color="auto"/>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r>
      <w:tr w:rsidR="000A678B" w:rsidRPr="005E0DC9" w:rsidTr="00734B5F">
        <w:tc>
          <w:tcPr>
            <w:tcW w:w="2747" w:type="pct"/>
            <w:tcBorders>
              <w:top w:val="nil"/>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tabs>
                <w:tab w:val="left" w:pos="142"/>
              </w:tabs>
              <w:spacing w:before="0" w:after="0"/>
            </w:pPr>
            <w:r w:rsidRPr="005E0DC9">
              <w:t>85 years</w:t>
            </w:r>
          </w:p>
        </w:tc>
        <w:tc>
          <w:tcPr>
            <w:tcW w:w="781" w:type="pct"/>
            <w:tcBorders>
              <w:top w:val="nil"/>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859" w:type="pct"/>
            <w:tcBorders>
              <w:top w:val="nil"/>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613" w:type="pct"/>
            <w:tcBorders>
              <w:top w:val="nil"/>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r>
      <w:tr w:rsidR="000A678B" w:rsidRPr="005E0DC9" w:rsidTr="00734B5F">
        <w:tc>
          <w:tcPr>
            <w:tcW w:w="2747" w:type="pct"/>
            <w:tcBorders>
              <w:top w:val="single" w:sz="4" w:space="0" w:color="auto"/>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tabs>
                <w:tab w:val="left" w:pos="142"/>
              </w:tabs>
              <w:spacing w:before="0" w:after="0"/>
            </w:pPr>
            <w:r w:rsidRPr="005E0DC9">
              <w:t>Utility values (base case RESONATE-2)</w:t>
            </w:r>
          </w:p>
        </w:tc>
        <w:tc>
          <w:tcPr>
            <w:tcW w:w="781" w:type="pct"/>
            <w:tcBorders>
              <w:top w:val="single" w:sz="4" w:space="0" w:color="auto"/>
              <w:left w:val="single" w:sz="4" w:space="0" w:color="auto"/>
              <w:bottom w:val="single" w:sz="4" w:space="0" w:color="auto"/>
              <w:right w:val="single" w:sz="4" w:space="0" w:color="auto"/>
            </w:tcBorders>
            <w:vAlign w:val="center"/>
          </w:tcPr>
          <w:p w:rsidR="000A678B" w:rsidRPr="00773C23" w:rsidRDefault="000A678B" w:rsidP="00734B5F">
            <w:pPr>
              <w:pStyle w:val="TableText1"/>
              <w:keepNext w:val="0"/>
              <w:widowControl w:val="0"/>
              <w:spacing w:before="0" w:after="0"/>
              <w:jc w:val="center"/>
            </w:pPr>
          </w:p>
        </w:tc>
        <w:tc>
          <w:tcPr>
            <w:tcW w:w="859" w:type="pct"/>
            <w:tcBorders>
              <w:top w:val="single" w:sz="4" w:space="0" w:color="auto"/>
              <w:left w:val="single" w:sz="4" w:space="0" w:color="auto"/>
              <w:bottom w:val="single" w:sz="4" w:space="0" w:color="auto"/>
              <w:right w:val="single" w:sz="4" w:space="0" w:color="auto"/>
            </w:tcBorders>
            <w:vAlign w:val="center"/>
          </w:tcPr>
          <w:p w:rsidR="000A678B" w:rsidRPr="00773C23" w:rsidRDefault="000A678B" w:rsidP="00734B5F">
            <w:pPr>
              <w:pStyle w:val="TableText1"/>
              <w:keepNext w:val="0"/>
              <w:widowControl w:val="0"/>
              <w:spacing w:before="0" w:after="0"/>
              <w:jc w:val="center"/>
            </w:pPr>
          </w:p>
        </w:tc>
        <w:tc>
          <w:tcPr>
            <w:tcW w:w="613" w:type="pct"/>
            <w:tcBorders>
              <w:top w:val="single" w:sz="4" w:space="0" w:color="auto"/>
              <w:left w:val="single" w:sz="4" w:space="0" w:color="auto"/>
              <w:bottom w:val="single" w:sz="4" w:space="0" w:color="auto"/>
              <w:right w:val="single" w:sz="4" w:space="0" w:color="auto"/>
            </w:tcBorders>
            <w:vAlign w:val="center"/>
          </w:tcPr>
          <w:p w:rsidR="000A678B" w:rsidRPr="00773C23" w:rsidRDefault="000A678B" w:rsidP="00734B5F">
            <w:pPr>
              <w:pStyle w:val="TableText1"/>
              <w:keepNext w:val="0"/>
              <w:widowControl w:val="0"/>
              <w:spacing w:before="0" w:after="0"/>
              <w:jc w:val="center"/>
            </w:pPr>
          </w:p>
        </w:tc>
      </w:tr>
      <w:tr w:rsidR="000A678B" w:rsidRPr="005E0DC9" w:rsidTr="00734B5F">
        <w:tc>
          <w:tcPr>
            <w:tcW w:w="2747" w:type="pct"/>
            <w:tcBorders>
              <w:top w:val="single" w:sz="4" w:space="0" w:color="auto"/>
              <w:left w:val="single" w:sz="4" w:space="0" w:color="auto"/>
              <w:bottom w:val="nil"/>
              <w:right w:val="single" w:sz="4" w:space="0" w:color="auto"/>
            </w:tcBorders>
            <w:vAlign w:val="center"/>
          </w:tcPr>
          <w:p w:rsidR="000A678B" w:rsidRPr="005E0DC9" w:rsidRDefault="000A678B" w:rsidP="00734B5F">
            <w:pPr>
              <w:pStyle w:val="TableText1"/>
              <w:keepNext w:val="0"/>
              <w:widowControl w:val="0"/>
              <w:tabs>
                <w:tab w:val="left" w:pos="142"/>
              </w:tabs>
              <w:spacing w:before="0" w:after="0"/>
            </w:pPr>
            <w:r w:rsidRPr="005E0DC9">
              <w:t>Kosmas</w:t>
            </w:r>
          </w:p>
        </w:tc>
        <w:tc>
          <w:tcPr>
            <w:tcW w:w="781" w:type="pct"/>
            <w:tcBorders>
              <w:top w:val="single" w:sz="4" w:space="0" w:color="auto"/>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859" w:type="pct"/>
            <w:tcBorders>
              <w:top w:val="single" w:sz="4" w:space="0" w:color="auto"/>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613" w:type="pct"/>
            <w:tcBorders>
              <w:top w:val="single" w:sz="4" w:space="0" w:color="auto"/>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r>
      <w:tr w:rsidR="000A678B" w:rsidRPr="005E0DC9" w:rsidTr="00734B5F">
        <w:tc>
          <w:tcPr>
            <w:tcW w:w="2747" w:type="pct"/>
            <w:tcBorders>
              <w:top w:val="nil"/>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tabs>
                <w:tab w:val="left" w:pos="142"/>
              </w:tabs>
              <w:spacing w:before="0" w:after="0"/>
            </w:pPr>
            <w:r w:rsidRPr="005E0DC9">
              <w:t>Ferguson</w:t>
            </w:r>
          </w:p>
        </w:tc>
        <w:tc>
          <w:tcPr>
            <w:tcW w:w="781" w:type="pct"/>
            <w:tcBorders>
              <w:top w:val="nil"/>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859" w:type="pct"/>
            <w:tcBorders>
              <w:top w:val="nil"/>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613" w:type="pct"/>
            <w:tcBorders>
              <w:top w:val="nil"/>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r>
      <w:tr w:rsidR="000A678B" w:rsidRPr="005E0DC9" w:rsidTr="00734B5F">
        <w:tc>
          <w:tcPr>
            <w:tcW w:w="2747" w:type="pct"/>
            <w:tcBorders>
              <w:top w:val="single" w:sz="4" w:space="0" w:color="auto"/>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tabs>
                <w:tab w:val="left" w:pos="142"/>
              </w:tabs>
              <w:spacing w:before="0" w:after="0"/>
            </w:pPr>
            <w:r w:rsidRPr="005E0DC9">
              <w:t>Alternate first line therapy (base case: blended comparator)</w:t>
            </w:r>
          </w:p>
        </w:tc>
        <w:tc>
          <w:tcPr>
            <w:tcW w:w="781" w:type="pct"/>
            <w:tcBorders>
              <w:top w:val="single" w:sz="4" w:space="0" w:color="auto"/>
              <w:left w:val="single" w:sz="4" w:space="0" w:color="auto"/>
              <w:bottom w:val="single" w:sz="4" w:space="0" w:color="auto"/>
              <w:right w:val="single" w:sz="4" w:space="0" w:color="auto"/>
            </w:tcBorders>
            <w:vAlign w:val="center"/>
          </w:tcPr>
          <w:p w:rsidR="000A678B" w:rsidRPr="00773C23" w:rsidRDefault="000A678B" w:rsidP="00734B5F">
            <w:pPr>
              <w:pStyle w:val="TableText1"/>
              <w:keepNext w:val="0"/>
              <w:widowControl w:val="0"/>
              <w:spacing w:before="0" w:after="0"/>
              <w:jc w:val="center"/>
            </w:pPr>
          </w:p>
        </w:tc>
        <w:tc>
          <w:tcPr>
            <w:tcW w:w="859" w:type="pct"/>
            <w:tcBorders>
              <w:top w:val="single" w:sz="4" w:space="0" w:color="auto"/>
              <w:left w:val="single" w:sz="4" w:space="0" w:color="auto"/>
              <w:bottom w:val="single" w:sz="4" w:space="0" w:color="auto"/>
              <w:right w:val="single" w:sz="4" w:space="0" w:color="auto"/>
            </w:tcBorders>
            <w:vAlign w:val="center"/>
          </w:tcPr>
          <w:p w:rsidR="000A678B" w:rsidRPr="00773C23" w:rsidRDefault="000A678B" w:rsidP="00734B5F">
            <w:pPr>
              <w:pStyle w:val="TableText1"/>
              <w:keepNext w:val="0"/>
              <w:widowControl w:val="0"/>
              <w:spacing w:before="0" w:after="0"/>
              <w:jc w:val="center"/>
            </w:pPr>
          </w:p>
        </w:tc>
        <w:tc>
          <w:tcPr>
            <w:tcW w:w="613" w:type="pct"/>
            <w:tcBorders>
              <w:top w:val="single" w:sz="4" w:space="0" w:color="auto"/>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spacing w:before="0" w:after="0"/>
              <w:jc w:val="center"/>
            </w:pPr>
          </w:p>
        </w:tc>
      </w:tr>
      <w:tr w:rsidR="000A678B" w:rsidRPr="005E0DC9" w:rsidTr="00734B5F">
        <w:tc>
          <w:tcPr>
            <w:tcW w:w="2747" w:type="pct"/>
            <w:tcBorders>
              <w:top w:val="single" w:sz="4" w:space="0" w:color="auto"/>
              <w:left w:val="single" w:sz="4" w:space="0" w:color="auto"/>
              <w:bottom w:val="nil"/>
              <w:right w:val="single" w:sz="4" w:space="0" w:color="auto"/>
            </w:tcBorders>
            <w:vAlign w:val="center"/>
          </w:tcPr>
          <w:p w:rsidR="000A678B" w:rsidRPr="005E0DC9" w:rsidRDefault="000A678B" w:rsidP="00734B5F">
            <w:pPr>
              <w:pStyle w:val="TableText1"/>
              <w:keepNext w:val="0"/>
              <w:widowControl w:val="0"/>
              <w:tabs>
                <w:tab w:val="left" w:pos="142"/>
              </w:tabs>
              <w:spacing w:before="0" w:after="0"/>
            </w:pPr>
            <w:proofErr w:type="spellStart"/>
            <w:r w:rsidRPr="005E0DC9">
              <w:t>Obi+chl</w:t>
            </w:r>
            <w:proofErr w:type="spellEnd"/>
            <w:r w:rsidRPr="005E0DC9">
              <w:t xml:space="preserve"> first line therapy</w:t>
            </w:r>
          </w:p>
        </w:tc>
        <w:tc>
          <w:tcPr>
            <w:tcW w:w="781" w:type="pct"/>
            <w:tcBorders>
              <w:top w:val="single" w:sz="4" w:space="0" w:color="auto"/>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859" w:type="pct"/>
            <w:tcBorders>
              <w:top w:val="single" w:sz="4" w:space="0" w:color="auto"/>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613" w:type="pct"/>
            <w:tcBorders>
              <w:top w:val="single" w:sz="4" w:space="0" w:color="auto"/>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r>
      <w:tr w:rsidR="000A678B" w:rsidRPr="005E0DC9" w:rsidTr="00734B5F">
        <w:tc>
          <w:tcPr>
            <w:tcW w:w="2747" w:type="pct"/>
            <w:tcBorders>
              <w:top w:val="nil"/>
              <w:left w:val="single" w:sz="4" w:space="0" w:color="auto"/>
              <w:bottom w:val="nil"/>
              <w:right w:val="single" w:sz="4" w:space="0" w:color="auto"/>
            </w:tcBorders>
            <w:vAlign w:val="center"/>
          </w:tcPr>
          <w:p w:rsidR="000A678B" w:rsidRPr="005E0DC9" w:rsidRDefault="000A678B" w:rsidP="00734B5F">
            <w:pPr>
              <w:pStyle w:val="TableText1"/>
              <w:keepNext w:val="0"/>
              <w:widowControl w:val="0"/>
              <w:tabs>
                <w:tab w:val="left" w:pos="142"/>
              </w:tabs>
              <w:spacing w:before="0" w:after="0"/>
            </w:pPr>
            <w:proofErr w:type="spellStart"/>
            <w:r w:rsidRPr="005E0DC9">
              <w:t>Ritux+chl</w:t>
            </w:r>
            <w:proofErr w:type="spellEnd"/>
            <w:r w:rsidRPr="005E0DC9">
              <w:t xml:space="preserve"> first line therapy</w:t>
            </w:r>
          </w:p>
        </w:tc>
        <w:tc>
          <w:tcPr>
            <w:tcW w:w="781" w:type="pct"/>
            <w:tcBorders>
              <w:top w:val="nil"/>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859" w:type="pct"/>
            <w:tcBorders>
              <w:top w:val="nil"/>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613" w:type="pct"/>
            <w:tcBorders>
              <w:top w:val="nil"/>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r>
      <w:tr w:rsidR="000A678B" w:rsidRPr="005E0DC9" w:rsidTr="00734B5F">
        <w:tc>
          <w:tcPr>
            <w:tcW w:w="2747" w:type="pct"/>
            <w:tcBorders>
              <w:top w:val="nil"/>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tabs>
                <w:tab w:val="left" w:pos="142"/>
              </w:tabs>
              <w:spacing w:before="0" w:after="0"/>
            </w:pPr>
            <w:proofErr w:type="spellStart"/>
            <w:r w:rsidRPr="005E0DC9">
              <w:t>Ofa+chl</w:t>
            </w:r>
            <w:proofErr w:type="spellEnd"/>
            <w:r w:rsidRPr="005E0DC9">
              <w:t xml:space="preserve"> first line therapy</w:t>
            </w:r>
          </w:p>
        </w:tc>
        <w:tc>
          <w:tcPr>
            <w:tcW w:w="781" w:type="pct"/>
            <w:tcBorders>
              <w:top w:val="nil"/>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859" w:type="pct"/>
            <w:tcBorders>
              <w:top w:val="nil"/>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c>
          <w:tcPr>
            <w:tcW w:w="613" w:type="pct"/>
            <w:tcBorders>
              <w:top w:val="nil"/>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highlight w:val="black"/>
              </w:rPr>
            </w:pPr>
            <w:r>
              <w:rPr>
                <w:noProof/>
                <w:color w:val="000000"/>
                <w:highlight w:val="black"/>
              </w:rPr>
              <w:t>'''''''''''''''''''''</w:t>
            </w:r>
          </w:p>
        </w:tc>
      </w:tr>
      <w:tr w:rsidR="000A678B" w:rsidRPr="005E0DC9" w:rsidTr="00734B5F">
        <w:tc>
          <w:tcPr>
            <w:tcW w:w="5000" w:type="pct"/>
            <w:gridSpan w:val="4"/>
            <w:tcBorders>
              <w:top w:val="single" w:sz="4" w:space="0" w:color="auto"/>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spacing w:before="0" w:after="0"/>
              <w:rPr>
                <w:b/>
                <w:szCs w:val="20"/>
              </w:rPr>
            </w:pPr>
            <w:r w:rsidRPr="005E0DC9">
              <w:rPr>
                <w:rFonts w:eastAsia="Times New Roman" w:cs="Times New Roman"/>
                <w:b/>
                <w:szCs w:val="20"/>
              </w:rPr>
              <w:t>Multivariate analyses</w:t>
            </w:r>
          </w:p>
        </w:tc>
      </w:tr>
      <w:tr w:rsidR="000A678B" w:rsidRPr="005E0DC9" w:rsidTr="00734B5F">
        <w:tc>
          <w:tcPr>
            <w:tcW w:w="2747" w:type="pct"/>
            <w:tcBorders>
              <w:top w:val="single" w:sz="4" w:space="0" w:color="auto"/>
              <w:left w:val="single" w:sz="4" w:space="0" w:color="auto"/>
              <w:bottom w:val="nil"/>
              <w:right w:val="single" w:sz="4" w:space="0" w:color="auto"/>
            </w:tcBorders>
            <w:vAlign w:val="center"/>
          </w:tcPr>
          <w:p w:rsidR="000A678B" w:rsidRPr="005E0DC9" w:rsidRDefault="003D2EB5" w:rsidP="00734B5F">
            <w:pPr>
              <w:pStyle w:val="TableText1"/>
              <w:keepNext w:val="0"/>
              <w:widowControl w:val="0"/>
              <w:tabs>
                <w:tab w:val="left" w:pos="142"/>
              </w:tabs>
              <w:spacing w:before="0" w:after="0"/>
              <w:rPr>
                <w:rFonts w:eastAsia="Times New Roman" w:cs="Times New Roman"/>
                <w:szCs w:val="20"/>
              </w:rPr>
            </w:pPr>
            <w:r w:rsidRPr="005E0DC9">
              <w:rPr>
                <w:rFonts w:eastAsia="Times New Roman" w:cs="Times New Roman"/>
                <w:szCs w:val="20"/>
              </w:rPr>
              <w:t>10</w:t>
            </w:r>
            <w:r w:rsidR="000A678B" w:rsidRPr="005E0DC9">
              <w:rPr>
                <w:rFonts w:eastAsia="Times New Roman" w:cs="Times New Roman"/>
                <w:szCs w:val="20"/>
              </w:rPr>
              <w:t xml:space="preserve"> year time horizon </w:t>
            </w:r>
            <w:r w:rsidR="002D66B9" w:rsidRPr="005E0DC9">
              <w:rPr>
                <w:rFonts w:eastAsia="Times New Roman" w:cs="Times New Roman"/>
                <w:szCs w:val="20"/>
              </w:rPr>
              <w:t xml:space="preserve">and </w:t>
            </w:r>
            <w:proofErr w:type="spellStart"/>
            <w:r w:rsidR="000A678B" w:rsidRPr="005E0DC9">
              <w:rPr>
                <w:rFonts w:eastAsia="Times New Roman" w:cs="Times New Roman"/>
                <w:szCs w:val="20"/>
              </w:rPr>
              <w:t>obi+chl</w:t>
            </w:r>
            <w:proofErr w:type="spellEnd"/>
            <w:r w:rsidR="000A678B" w:rsidRPr="005E0DC9">
              <w:rPr>
                <w:rFonts w:eastAsia="Times New Roman" w:cs="Times New Roman"/>
                <w:szCs w:val="20"/>
              </w:rPr>
              <w:t xml:space="preserve"> first-line</w:t>
            </w:r>
          </w:p>
        </w:tc>
        <w:tc>
          <w:tcPr>
            <w:tcW w:w="781" w:type="pct"/>
            <w:tcBorders>
              <w:top w:val="single" w:sz="4" w:space="0" w:color="auto"/>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szCs w:val="20"/>
                <w:highlight w:val="black"/>
              </w:rPr>
            </w:pPr>
            <w:r>
              <w:rPr>
                <w:noProof/>
                <w:color w:val="000000"/>
                <w:szCs w:val="20"/>
                <w:highlight w:val="black"/>
              </w:rPr>
              <w:t>'''''''''''''''''''''''</w:t>
            </w:r>
          </w:p>
        </w:tc>
        <w:tc>
          <w:tcPr>
            <w:tcW w:w="859" w:type="pct"/>
            <w:tcBorders>
              <w:top w:val="single" w:sz="4" w:space="0" w:color="auto"/>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szCs w:val="20"/>
                <w:highlight w:val="black"/>
              </w:rPr>
            </w:pPr>
            <w:r>
              <w:rPr>
                <w:noProof/>
                <w:color w:val="000000"/>
                <w:szCs w:val="20"/>
                <w:highlight w:val="black"/>
              </w:rPr>
              <w:t>'''''''''''''</w:t>
            </w:r>
          </w:p>
        </w:tc>
        <w:tc>
          <w:tcPr>
            <w:tcW w:w="613" w:type="pct"/>
            <w:tcBorders>
              <w:top w:val="single" w:sz="4" w:space="0" w:color="auto"/>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szCs w:val="20"/>
                <w:highlight w:val="black"/>
              </w:rPr>
            </w:pPr>
            <w:r>
              <w:rPr>
                <w:noProof/>
                <w:color w:val="000000"/>
                <w:szCs w:val="20"/>
                <w:highlight w:val="black"/>
              </w:rPr>
              <w:t>''''''''''''''''''''</w:t>
            </w:r>
          </w:p>
        </w:tc>
      </w:tr>
      <w:tr w:rsidR="000A678B" w:rsidRPr="005E0DC9" w:rsidTr="00734B5F">
        <w:tc>
          <w:tcPr>
            <w:tcW w:w="2747" w:type="pct"/>
            <w:tcBorders>
              <w:top w:val="nil"/>
              <w:left w:val="single" w:sz="4" w:space="0" w:color="auto"/>
              <w:bottom w:val="nil"/>
              <w:right w:val="single" w:sz="4" w:space="0" w:color="auto"/>
            </w:tcBorders>
            <w:vAlign w:val="center"/>
          </w:tcPr>
          <w:p w:rsidR="000A678B" w:rsidRPr="005E0DC9" w:rsidRDefault="003D2EB5" w:rsidP="00734B5F">
            <w:pPr>
              <w:pStyle w:val="TableText1"/>
              <w:keepNext w:val="0"/>
              <w:widowControl w:val="0"/>
              <w:tabs>
                <w:tab w:val="left" w:pos="142"/>
              </w:tabs>
              <w:spacing w:before="0" w:after="0"/>
              <w:rPr>
                <w:rFonts w:eastAsia="Times New Roman" w:cs="Times New Roman"/>
                <w:szCs w:val="20"/>
              </w:rPr>
            </w:pPr>
            <w:r w:rsidRPr="005E0DC9">
              <w:rPr>
                <w:rFonts w:eastAsia="Times New Roman" w:cs="Times New Roman"/>
                <w:szCs w:val="20"/>
              </w:rPr>
              <w:t>10</w:t>
            </w:r>
            <w:r w:rsidR="000A678B" w:rsidRPr="005E0DC9">
              <w:rPr>
                <w:rFonts w:eastAsia="Times New Roman" w:cs="Times New Roman"/>
                <w:szCs w:val="20"/>
              </w:rPr>
              <w:t xml:space="preserve"> year time horizon and Kosmas utility values</w:t>
            </w:r>
          </w:p>
        </w:tc>
        <w:tc>
          <w:tcPr>
            <w:tcW w:w="781" w:type="pct"/>
            <w:tcBorders>
              <w:top w:val="nil"/>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szCs w:val="20"/>
                <w:highlight w:val="black"/>
              </w:rPr>
            </w:pPr>
            <w:r>
              <w:rPr>
                <w:noProof/>
                <w:color w:val="000000"/>
                <w:szCs w:val="20"/>
                <w:highlight w:val="black"/>
              </w:rPr>
              <w:t>'''''''''''''''''''''''</w:t>
            </w:r>
          </w:p>
        </w:tc>
        <w:tc>
          <w:tcPr>
            <w:tcW w:w="859" w:type="pct"/>
            <w:tcBorders>
              <w:top w:val="nil"/>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szCs w:val="20"/>
                <w:highlight w:val="black"/>
              </w:rPr>
            </w:pPr>
            <w:r>
              <w:rPr>
                <w:noProof/>
                <w:color w:val="000000"/>
                <w:szCs w:val="20"/>
                <w:highlight w:val="black"/>
              </w:rPr>
              <w:t>'''''''''''''</w:t>
            </w:r>
          </w:p>
        </w:tc>
        <w:tc>
          <w:tcPr>
            <w:tcW w:w="613" w:type="pct"/>
            <w:tcBorders>
              <w:top w:val="nil"/>
              <w:left w:val="single" w:sz="4" w:space="0" w:color="auto"/>
              <w:bottom w:val="nil"/>
              <w:right w:val="single" w:sz="4" w:space="0" w:color="auto"/>
            </w:tcBorders>
            <w:vAlign w:val="center"/>
          </w:tcPr>
          <w:p w:rsidR="000A678B" w:rsidRPr="00773C23" w:rsidRDefault="00773C23" w:rsidP="00734B5F">
            <w:pPr>
              <w:pStyle w:val="TableText1"/>
              <w:keepNext w:val="0"/>
              <w:widowControl w:val="0"/>
              <w:spacing w:before="0" w:after="0"/>
              <w:jc w:val="center"/>
              <w:rPr>
                <w:szCs w:val="20"/>
                <w:highlight w:val="black"/>
              </w:rPr>
            </w:pPr>
            <w:r>
              <w:rPr>
                <w:noProof/>
                <w:color w:val="000000"/>
                <w:szCs w:val="20"/>
                <w:highlight w:val="black"/>
              </w:rPr>
              <w:t>'''''''''''''''''''''''</w:t>
            </w:r>
          </w:p>
        </w:tc>
      </w:tr>
      <w:tr w:rsidR="000A678B" w:rsidRPr="005E0DC9" w:rsidTr="00734B5F">
        <w:tc>
          <w:tcPr>
            <w:tcW w:w="2747" w:type="pct"/>
            <w:tcBorders>
              <w:top w:val="nil"/>
              <w:left w:val="single" w:sz="4" w:space="0" w:color="auto"/>
              <w:bottom w:val="single" w:sz="4" w:space="0" w:color="auto"/>
              <w:right w:val="single" w:sz="4" w:space="0" w:color="auto"/>
            </w:tcBorders>
            <w:vAlign w:val="center"/>
          </w:tcPr>
          <w:p w:rsidR="000A678B" w:rsidRPr="005E0DC9" w:rsidRDefault="000A678B" w:rsidP="00734B5F">
            <w:pPr>
              <w:pStyle w:val="TableText1"/>
              <w:keepNext w:val="0"/>
              <w:widowControl w:val="0"/>
              <w:tabs>
                <w:tab w:val="left" w:pos="142"/>
              </w:tabs>
              <w:spacing w:before="0" w:after="0"/>
              <w:rPr>
                <w:rFonts w:eastAsia="Times New Roman" w:cs="Times New Roman"/>
                <w:szCs w:val="20"/>
              </w:rPr>
            </w:pPr>
            <w:r w:rsidRPr="005E0DC9">
              <w:rPr>
                <w:rFonts w:eastAsia="Times New Roman" w:cs="Times New Roman"/>
                <w:szCs w:val="20"/>
              </w:rPr>
              <w:t xml:space="preserve">Kosmas utility values and </w:t>
            </w:r>
            <w:proofErr w:type="spellStart"/>
            <w:r w:rsidRPr="005E0DC9">
              <w:rPr>
                <w:rFonts w:eastAsia="Times New Roman" w:cs="Times New Roman"/>
                <w:szCs w:val="20"/>
              </w:rPr>
              <w:t>obi+chl</w:t>
            </w:r>
            <w:proofErr w:type="spellEnd"/>
            <w:r w:rsidRPr="005E0DC9">
              <w:rPr>
                <w:rFonts w:eastAsia="Times New Roman" w:cs="Times New Roman"/>
                <w:szCs w:val="20"/>
              </w:rPr>
              <w:t xml:space="preserve"> first line</w:t>
            </w:r>
          </w:p>
        </w:tc>
        <w:tc>
          <w:tcPr>
            <w:tcW w:w="781" w:type="pct"/>
            <w:tcBorders>
              <w:top w:val="nil"/>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szCs w:val="20"/>
                <w:highlight w:val="black"/>
              </w:rPr>
            </w:pPr>
            <w:r>
              <w:rPr>
                <w:noProof/>
                <w:color w:val="000000"/>
                <w:szCs w:val="20"/>
                <w:highlight w:val="black"/>
              </w:rPr>
              <w:t>''''''''''''''''''''''''</w:t>
            </w:r>
          </w:p>
        </w:tc>
        <w:tc>
          <w:tcPr>
            <w:tcW w:w="859" w:type="pct"/>
            <w:tcBorders>
              <w:top w:val="nil"/>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szCs w:val="20"/>
                <w:highlight w:val="black"/>
              </w:rPr>
            </w:pPr>
            <w:r>
              <w:rPr>
                <w:noProof/>
                <w:color w:val="000000"/>
                <w:szCs w:val="20"/>
                <w:highlight w:val="black"/>
              </w:rPr>
              <w:t>''''''''''''</w:t>
            </w:r>
          </w:p>
        </w:tc>
        <w:tc>
          <w:tcPr>
            <w:tcW w:w="613" w:type="pct"/>
            <w:tcBorders>
              <w:top w:val="nil"/>
              <w:left w:val="single" w:sz="4" w:space="0" w:color="auto"/>
              <w:bottom w:val="single" w:sz="4" w:space="0" w:color="auto"/>
              <w:right w:val="single" w:sz="4" w:space="0" w:color="auto"/>
            </w:tcBorders>
            <w:vAlign w:val="center"/>
          </w:tcPr>
          <w:p w:rsidR="000A678B" w:rsidRPr="00773C23" w:rsidRDefault="00773C23" w:rsidP="00734B5F">
            <w:pPr>
              <w:pStyle w:val="TableText1"/>
              <w:keepNext w:val="0"/>
              <w:widowControl w:val="0"/>
              <w:spacing w:before="0" w:after="0"/>
              <w:jc w:val="center"/>
              <w:rPr>
                <w:szCs w:val="20"/>
                <w:highlight w:val="black"/>
              </w:rPr>
            </w:pPr>
            <w:r>
              <w:rPr>
                <w:noProof/>
                <w:color w:val="000000"/>
                <w:szCs w:val="20"/>
                <w:highlight w:val="black"/>
              </w:rPr>
              <w:t>'''''''''''''''''''''''</w:t>
            </w:r>
          </w:p>
        </w:tc>
      </w:tr>
    </w:tbl>
    <w:p w:rsidR="000A678B" w:rsidRPr="005E0DC9" w:rsidRDefault="000A678B" w:rsidP="000A678B">
      <w:pPr>
        <w:pStyle w:val="TableFooter"/>
        <w:tabs>
          <w:tab w:val="left" w:pos="142"/>
        </w:tabs>
        <w:ind w:left="142" w:hanging="142"/>
      </w:pPr>
      <w:r w:rsidRPr="005E0DC9">
        <w:rPr>
          <w:vertAlign w:val="superscript"/>
        </w:rPr>
        <w:t>a</w:t>
      </w:r>
      <w:r w:rsidRPr="005E0DC9">
        <w:rPr>
          <w:vertAlign w:val="superscript"/>
        </w:rPr>
        <w:tab/>
      </w:r>
      <w:r w:rsidRPr="005E0DC9">
        <w:t xml:space="preserve">During the evaluation, for </w:t>
      </w:r>
      <w:proofErr w:type="spellStart"/>
      <w:r w:rsidRPr="005E0DC9">
        <w:t>ibrutinib</w:t>
      </w:r>
      <w:proofErr w:type="spellEnd"/>
      <w:r w:rsidRPr="005E0DC9">
        <w:t xml:space="preserve"> the dispensing fee and Administration, Handling and Infrastructure (AHI) fee were updated to 1 July 2017 values.  For rituximab, the wholesale, diluent, preparation and dispensing fees were updated to 1 July 2017 values.</w:t>
      </w:r>
    </w:p>
    <w:p w:rsidR="00113D1E" w:rsidRPr="005E0DC9" w:rsidRDefault="000A678B" w:rsidP="00FA1A53">
      <w:pPr>
        <w:widowControl/>
        <w:numPr>
          <w:ilvl w:val="1"/>
          <w:numId w:val="11"/>
        </w:numPr>
        <w:spacing w:before="120" w:after="120"/>
        <w:ind w:left="709" w:hanging="709"/>
        <w:rPr>
          <w:rFonts w:ascii="Calibri" w:eastAsia="Calibri" w:hAnsi="Calibri"/>
          <w:snapToGrid/>
          <w:sz w:val="24"/>
          <w:szCs w:val="22"/>
        </w:rPr>
      </w:pPr>
      <w:r w:rsidRPr="005E0DC9">
        <w:t xml:space="preserve">Source: Table D.7, p39 of Section D of the submission and Excel workbook ‘Section D.xlsm’. </w:t>
      </w:r>
      <w:r w:rsidR="00113D1E" w:rsidRPr="005E0DC9">
        <w:rPr>
          <w:rFonts w:ascii="Calibri" w:eastAsia="Calibri" w:hAnsi="Calibri"/>
          <w:snapToGrid/>
          <w:sz w:val="24"/>
          <w:szCs w:val="22"/>
        </w:rPr>
        <w:t xml:space="preserve">Based on the sensitivity analyses presented in the submission the ICER ranged from </w:t>
      </w:r>
      <w:r w:rsidR="00D2176E">
        <w:rPr>
          <w:color w:val="000000" w:themeColor="text1"/>
        </w:rPr>
        <w:t>$75,000/QALY -</w:t>
      </w:r>
      <w:r w:rsidR="00584D09">
        <w:rPr>
          <w:color w:val="000000" w:themeColor="text1"/>
        </w:rPr>
        <w:t xml:space="preserve"> </w:t>
      </w:r>
      <w:r w:rsidR="00D2176E">
        <w:rPr>
          <w:color w:val="000000" w:themeColor="text1"/>
        </w:rPr>
        <w:t>$200,000/QALY</w:t>
      </w:r>
      <w:r w:rsidR="00D2176E" w:rsidRPr="005E0DC9" w:rsidDel="00D2176E">
        <w:rPr>
          <w:rFonts w:ascii="Calibri" w:eastAsia="Calibri" w:hAnsi="Calibri"/>
          <w:snapToGrid/>
          <w:sz w:val="24"/>
          <w:szCs w:val="22"/>
        </w:rPr>
        <w:t xml:space="preserve"> </w:t>
      </w:r>
      <w:r w:rsidR="00113D1E" w:rsidRPr="005E0DC9">
        <w:rPr>
          <w:rFonts w:ascii="Calibri" w:eastAsia="Calibri" w:hAnsi="Calibri"/>
          <w:snapToGrid/>
          <w:sz w:val="24"/>
          <w:szCs w:val="22"/>
        </w:rPr>
        <w:t xml:space="preserve">per QALY gained. This range does not reflect the uncertainty with the model inputs, and specifically the uncertainty associated with the efficacy estimates based on small number of clinical events and indirect comparisons. </w:t>
      </w:r>
    </w:p>
    <w:p w:rsidR="00740A17" w:rsidRPr="005E0DC9" w:rsidRDefault="00740A17" w:rsidP="00740A17">
      <w:pPr>
        <w:widowControl/>
        <w:spacing w:before="120" w:after="120"/>
        <w:ind w:left="709"/>
        <w:rPr>
          <w:rFonts w:ascii="Calibri" w:eastAsia="Calibri" w:hAnsi="Calibri"/>
          <w:snapToGrid/>
          <w:sz w:val="24"/>
          <w:szCs w:val="24"/>
        </w:rPr>
      </w:pPr>
      <w:r w:rsidRPr="005E0DC9">
        <w:rPr>
          <w:rFonts w:asciiTheme="minorHAnsi" w:hAnsiTheme="minorHAnsi"/>
          <w:i/>
          <w:sz w:val="24"/>
          <w:szCs w:val="24"/>
        </w:rPr>
        <w:t>For more detail on PBAC’s view, see section 7 PBAC outcome.</w:t>
      </w:r>
    </w:p>
    <w:p w:rsidR="00113D1E" w:rsidRPr="005E0DC9" w:rsidRDefault="00113D1E" w:rsidP="00113D1E">
      <w:pPr>
        <w:keepNext/>
        <w:keepLines/>
        <w:widowControl/>
        <w:spacing w:before="240" w:after="120"/>
        <w:jc w:val="left"/>
        <w:outlineLvl w:val="1"/>
        <w:rPr>
          <w:rFonts w:ascii="Calibri" w:eastAsia="MS Gothic" w:hAnsi="Calibri" w:cs="Times New Roman"/>
          <w:b/>
          <w:i/>
          <w:snapToGrid/>
          <w:sz w:val="28"/>
          <w:szCs w:val="28"/>
        </w:rPr>
      </w:pPr>
      <w:bookmarkStart w:id="35" w:name="_Toc413139283"/>
      <w:bookmarkStart w:id="36" w:name="_Toc363984495"/>
      <w:r w:rsidRPr="005E0DC9">
        <w:rPr>
          <w:rFonts w:ascii="Calibri" w:eastAsia="MS Gothic" w:hAnsi="Calibri" w:cs="Times New Roman"/>
          <w:b/>
          <w:i/>
          <w:snapToGrid/>
          <w:sz w:val="28"/>
          <w:szCs w:val="28"/>
        </w:rPr>
        <w:t>Drug cost/patient/</w:t>
      </w:r>
      <w:bookmarkEnd w:id="35"/>
      <w:bookmarkEnd w:id="36"/>
      <w:r w:rsidR="00300EF4" w:rsidRPr="005E0DC9">
        <w:rPr>
          <w:rFonts w:ascii="Calibri" w:eastAsia="MS Gothic" w:hAnsi="Calibri" w:cs="Times New Roman"/>
          <w:b/>
          <w:i/>
          <w:snapToGrid/>
          <w:sz w:val="28"/>
          <w:szCs w:val="28"/>
        </w:rPr>
        <w:t>year:</w:t>
      </w:r>
      <w:r w:rsidR="00300EF4" w:rsidRPr="005E0DC9">
        <w:t xml:space="preserve"> </w:t>
      </w:r>
      <w:r w:rsidR="00300EF4" w:rsidRPr="005E0DC9">
        <w:rPr>
          <w:rFonts w:ascii="Calibri" w:eastAsia="MS Gothic" w:hAnsi="Calibri" w:cs="Times New Roman"/>
          <w:b/>
          <w:i/>
          <w:snapToGrid/>
          <w:sz w:val="28"/>
          <w:szCs w:val="28"/>
        </w:rPr>
        <w:t>$</w:t>
      </w:r>
      <w:r w:rsidR="00773C23">
        <w:rPr>
          <w:rFonts w:ascii="Calibri" w:eastAsia="MS Gothic" w:hAnsi="Calibri" w:cs="Times New Roman"/>
          <w:b/>
          <w:i/>
          <w:noProof/>
          <w:snapToGrid/>
          <w:color w:val="000000"/>
          <w:sz w:val="28"/>
          <w:szCs w:val="28"/>
          <w:highlight w:val="black"/>
        </w:rPr>
        <w:t>''''''''''''</w:t>
      </w:r>
    </w:p>
    <w:p w:rsidR="00300EF4" w:rsidRPr="005E0DC9" w:rsidRDefault="00300EF4" w:rsidP="00FA1A53">
      <w:pPr>
        <w:widowControl/>
        <w:numPr>
          <w:ilvl w:val="1"/>
          <w:numId w:val="11"/>
        </w:numPr>
        <w:spacing w:before="120" w:after="120"/>
        <w:ind w:left="709" w:hanging="709"/>
        <w:rPr>
          <w:rFonts w:ascii="Calibri" w:eastAsia="Calibri" w:hAnsi="Calibri"/>
          <w:snapToGrid/>
          <w:sz w:val="24"/>
          <w:szCs w:val="22"/>
        </w:rPr>
      </w:pP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is a monthly treatment that continues until disease progression. The proposed effective cost per year is $</w:t>
      </w:r>
      <w:r w:rsidR="00773C23">
        <w:rPr>
          <w:rFonts w:ascii="Calibri" w:eastAsia="Calibri" w:hAnsi="Calibri"/>
          <w:noProof/>
          <w:snapToGrid/>
          <w:color w:val="000000"/>
          <w:sz w:val="24"/>
          <w:szCs w:val="22"/>
          <w:highlight w:val="black"/>
        </w:rPr>
        <w:t>''''''''''</w:t>
      </w:r>
      <w:r w:rsidRPr="005E0DC9">
        <w:rPr>
          <w:rFonts w:ascii="Calibri" w:eastAsia="Calibri" w:hAnsi="Calibri"/>
          <w:snapToGrid/>
          <w:sz w:val="24"/>
          <w:szCs w:val="22"/>
        </w:rPr>
        <w:t xml:space="preserve"> per month*</w:t>
      </w:r>
      <w:r w:rsidR="00773C23">
        <w:rPr>
          <w:rFonts w:ascii="Calibri" w:eastAsia="Calibri" w:hAnsi="Calibri"/>
          <w:noProof/>
          <w:snapToGrid/>
          <w:color w:val="000000"/>
          <w:sz w:val="24"/>
          <w:szCs w:val="22"/>
          <w:highlight w:val="black"/>
        </w:rPr>
        <w:t>''''''''''''</w:t>
      </w:r>
      <w:r w:rsidR="00094662" w:rsidRPr="005E0DC9">
        <w:rPr>
          <w:rFonts w:ascii="Calibri" w:eastAsia="Calibri" w:hAnsi="Calibri"/>
          <w:snapToGrid/>
          <w:sz w:val="24"/>
          <w:szCs w:val="22"/>
        </w:rPr>
        <w:t xml:space="preserve"> scripts per year</w:t>
      </w:r>
      <w:r w:rsidR="0089508A" w:rsidRPr="005E0DC9">
        <w:rPr>
          <w:rFonts w:ascii="Calibri" w:eastAsia="Calibri" w:hAnsi="Calibri"/>
          <w:snapToGrid/>
          <w:sz w:val="24"/>
          <w:szCs w:val="22"/>
        </w:rPr>
        <w:t>*</w:t>
      </w:r>
      <w:r w:rsidR="00773C23">
        <w:rPr>
          <w:rFonts w:ascii="Calibri" w:eastAsia="Calibri" w:hAnsi="Calibri"/>
          <w:noProof/>
          <w:snapToGrid/>
          <w:color w:val="000000"/>
          <w:sz w:val="24"/>
          <w:szCs w:val="22"/>
          <w:highlight w:val="black"/>
        </w:rPr>
        <w:t>''''''''</w:t>
      </w:r>
      <w:r w:rsidR="00094662" w:rsidRPr="005E0DC9">
        <w:rPr>
          <w:rFonts w:ascii="Calibri" w:eastAsia="Calibri" w:hAnsi="Calibri"/>
          <w:snapToGrid/>
          <w:sz w:val="24"/>
          <w:szCs w:val="22"/>
        </w:rPr>
        <w:t>% dose intensity</w:t>
      </w:r>
      <w:r w:rsidRPr="005E0DC9">
        <w:rPr>
          <w:rFonts w:ascii="Calibri" w:eastAsia="Calibri" w:hAnsi="Calibri"/>
          <w:snapToGrid/>
          <w:sz w:val="24"/>
          <w:szCs w:val="22"/>
        </w:rPr>
        <w:t xml:space="preserve"> = $</w:t>
      </w:r>
      <w:r w:rsidR="00773C23">
        <w:rPr>
          <w:rFonts w:ascii="Calibri" w:eastAsia="Calibri" w:hAnsi="Calibri"/>
          <w:noProof/>
          <w:snapToGrid/>
          <w:color w:val="000000"/>
          <w:sz w:val="24"/>
          <w:szCs w:val="22"/>
          <w:highlight w:val="black"/>
        </w:rPr>
        <w:t>''''''''''''''</w:t>
      </w:r>
      <w:r w:rsidR="00135C17" w:rsidRPr="005E0DC9">
        <w:rPr>
          <w:rFonts w:ascii="Calibri" w:eastAsia="Calibri" w:hAnsi="Calibri"/>
          <w:snapToGrid/>
          <w:sz w:val="24"/>
          <w:szCs w:val="22"/>
        </w:rPr>
        <w:t>.</w:t>
      </w:r>
      <w:r w:rsidRPr="005E0DC9">
        <w:rPr>
          <w:rFonts w:ascii="Calibri" w:eastAsia="Calibri" w:hAnsi="Calibri"/>
          <w:snapToGrid/>
          <w:sz w:val="24"/>
          <w:szCs w:val="22"/>
        </w:rPr>
        <w:t xml:space="preserve"> In the economic model </w:t>
      </w:r>
      <w:proofErr w:type="spellStart"/>
      <w:r w:rsidRPr="005E0DC9">
        <w:rPr>
          <w:rFonts w:ascii="Calibri" w:eastAsia="Calibri" w:hAnsi="Calibri"/>
          <w:snapToGrid/>
          <w:sz w:val="24"/>
          <w:szCs w:val="22"/>
        </w:rPr>
        <w:t>ibrutinib</w:t>
      </w:r>
      <w:proofErr w:type="spellEnd"/>
      <w:r w:rsidRPr="005E0DC9">
        <w:rPr>
          <w:rFonts w:ascii="Calibri" w:eastAsia="Calibri" w:hAnsi="Calibri"/>
          <w:snapToGrid/>
          <w:sz w:val="24"/>
          <w:szCs w:val="22"/>
        </w:rPr>
        <w:t xml:space="preserve"> therapy was assumed to continue for approximately 7.5 years at a modelled cost of $</w:t>
      </w:r>
      <w:r w:rsidR="00773C23">
        <w:rPr>
          <w:rFonts w:ascii="Calibri" w:eastAsia="Calibri" w:hAnsi="Calibri"/>
          <w:noProof/>
          <w:snapToGrid/>
          <w:color w:val="000000"/>
          <w:sz w:val="24"/>
          <w:szCs w:val="22"/>
          <w:highlight w:val="black"/>
        </w:rPr>
        <w:t>'''''''''''''''</w:t>
      </w:r>
      <w:r w:rsidRPr="005E0DC9">
        <w:rPr>
          <w:rFonts w:ascii="Calibri" w:eastAsia="Calibri" w:hAnsi="Calibri"/>
          <w:snapToGrid/>
          <w:sz w:val="24"/>
          <w:szCs w:val="22"/>
        </w:rPr>
        <w:t xml:space="preserve">. </w:t>
      </w:r>
    </w:p>
    <w:p w:rsidR="00300EF4" w:rsidRPr="005E0DC9" w:rsidRDefault="00300EF4" w:rsidP="00FA1A53">
      <w:pPr>
        <w:widowControl/>
        <w:numPr>
          <w:ilvl w:val="1"/>
          <w:numId w:val="11"/>
        </w:numPr>
        <w:spacing w:before="120" w:after="120"/>
        <w:ind w:left="709" w:hanging="709"/>
        <w:rPr>
          <w:rFonts w:ascii="Calibri" w:eastAsia="Calibri" w:hAnsi="Calibri"/>
          <w:snapToGrid/>
          <w:sz w:val="24"/>
          <w:szCs w:val="22"/>
        </w:rPr>
      </w:pPr>
      <w:r w:rsidRPr="005E0DC9">
        <w:rPr>
          <w:rFonts w:ascii="Calibri" w:eastAsia="Calibri" w:hAnsi="Calibri"/>
          <w:snapToGrid/>
          <w:sz w:val="24"/>
          <w:szCs w:val="22"/>
        </w:rPr>
        <w:t>The comparators have limited courses of therapy over 6-12 months (see table below).</w:t>
      </w:r>
    </w:p>
    <w:p w:rsidR="00156AFB" w:rsidRPr="005E0DC9" w:rsidRDefault="00156AFB">
      <w:pPr>
        <w:widowControl/>
        <w:jc w:val="left"/>
        <w:rPr>
          <w:rFonts w:ascii="Arial Narrow" w:eastAsiaTheme="minorHAnsi" w:hAnsi="Arial Narrow" w:cstheme="minorBidi"/>
          <w:b/>
          <w:i/>
          <w:snapToGrid/>
          <w:sz w:val="20"/>
          <w:szCs w:val="22"/>
        </w:rPr>
      </w:pPr>
      <w:r w:rsidRPr="005E0DC9">
        <w:rPr>
          <w:i/>
        </w:rPr>
        <w:br w:type="page"/>
      </w:r>
    </w:p>
    <w:p w:rsidR="00300EF4" w:rsidRPr="005E0DC9" w:rsidRDefault="00300EF4" w:rsidP="00300EF4">
      <w:pPr>
        <w:pStyle w:val="TableHeading0"/>
        <w:spacing w:after="0"/>
      </w:pPr>
      <w:r w:rsidRPr="005E0DC9">
        <w:lastRenderedPageBreak/>
        <w:t>Table 13: Estimated drug cost/patient/course of comparators (published prices)</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3"/>
        <w:gridCol w:w="1194"/>
        <w:gridCol w:w="1195"/>
        <w:gridCol w:w="851"/>
        <w:gridCol w:w="850"/>
        <w:gridCol w:w="1701"/>
        <w:gridCol w:w="2126"/>
      </w:tblGrid>
      <w:tr w:rsidR="00300EF4" w:rsidRPr="005E0DC9" w:rsidTr="00300EF4">
        <w:trPr>
          <w:trHeight w:val="804"/>
        </w:trPr>
        <w:tc>
          <w:tcPr>
            <w:tcW w:w="1183" w:type="dxa"/>
            <w:tcMar>
              <w:top w:w="0" w:type="dxa"/>
              <w:left w:w="28" w:type="dxa"/>
              <w:bottom w:w="0" w:type="dxa"/>
              <w:right w:w="28" w:type="dxa"/>
            </w:tcMar>
            <w:vAlign w:val="center"/>
            <w:hideMark/>
          </w:tcPr>
          <w:p w:rsidR="00300EF4" w:rsidRPr="005E0DC9" w:rsidRDefault="00300EF4" w:rsidP="00300EF4">
            <w:pPr>
              <w:snapToGrid w:val="0"/>
              <w:jc w:val="center"/>
              <w:rPr>
                <w:rFonts w:ascii="Arial Narrow" w:eastAsiaTheme="minorHAnsi" w:hAnsi="Arial Narrow"/>
                <w:b/>
                <w:bCs/>
                <w:color w:val="000000"/>
                <w:sz w:val="20"/>
              </w:rPr>
            </w:pPr>
            <w:r w:rsidRPr="005E0DC9">
              <w:rPr>
                <w:rFonts w:ascii="Arial Narrow" w:hAnsi="Arial Narrow"/>
                <w:b/>
                <w:bCs/>
                <w:sz w:val="20"/>
                <w:lang w:eastAsia="en-AU"/>
              </w:rPr>
              <w:t>Drug</w:t>
            </w:r>
          </w:p>
        </w:tc>
        <w:tc>
          <w:tcPr>
            <w:tcW w:w="2389" w:type="dxa"/>
            <w:gridSpan w:val="2"/>
            <w:tcMar>
              <w:top w:w="0" w:type="dxa"/>
              <w:left w:w="28" w:type="dxa"/>
              <w:bottom w:w="0" w:type="dxa"/>
              <w:right w:w="28" w:type="dxa"/>
            </w:tcMar>
            <w:vAlign w:val="center"/>
            <w:hideMark/>
          </w:tcPr>
          <w:p w:rsidR="00300EF4" w:rsidRPr="005E0DC9" w:rsidRDefault="00300EF4" w:rsidP="00300EF4">
            <w:pPr>
              <w:snapToGrid w:val="0"/>
              <w:jc w:val="center"/>
              <w:rPr>
                <w:rFonts w:ascii="Arial Narrow" w:eastAsiaTheme="minorHAnsi" w:hAnsi="Arial Narrow"/>
                <w:b/>
                <w:bCs/>
                <w:color w:val="000000"/>
                <w:sz w:val="20"/>
              </w:rPr>
            </w:pPr>
            <w:r w:rsidRPr="005E0DC9">
              <w:rPr>
                <w:rFonts w:ascii="Arial Narrow" w:hAnsi="Arial Narrow"/>
                <w:b/>
                <w:bCs/>
                <w:sz w:val="20"/>
                <w:lang w:eastAsia="en-AU"/>
              </w:rPr>
              <w:t>Drug cost per cycle</w:t>
            </w:r>
            <w:r w:rsidR="0089508A" w:rsidRPr="005E0DC9">
              <w:rPr>
                <w:rFonts w:ascii="Arial Narrow" w:hAnsi="Arial Narrow"/>
                <w:b/>
                <w:bCs/>
                <w:sz w:val="20"/>
                <w:lang w:eastAsia="en-AU"/>
              </w:rPr>
              <w:t>*</w:t>
            </w:r>
          </w:p>
        </w:tc>
        <w:tc>
          <w:tcPr>
            <w:tcW w:w="1701" w:type="dxa"/>
            <w:gridSpan w:val="2"/>
            <w:tcMar>
              <w:top w:w="0" w:type="dxa"/>
              <w:left w:w="28" w:type="dxa"/>
              <w:bottom w:w="0" w:type="dxa"/>
              <w:right w:w="28" w:type="dxa"/>
            </w:tcMar>
            <w:vAlign w:val="center"/>
            <w:hideMark/>
          </w:tcPr>
          <w:p w:rsidR="00300EF4" w:rsidRPr="005E0DC9" w:rsidRDefault="00300EF4" w:rsidP="00300EF4">
            <w:pPr>
              <w:snapToGrid w:val="0"/>
              <w:jc w:val="center"/>
              <w:rPr>
                <w:rFonts w:ascii="Arial Narrow" w:eastAsiaTheme="minorHAnsi" w:hAnsi="Arial Narrow"/>
                <w:b/>
                <w:bCs/>
                <w:color w:val="000000"/>
                <w:sz w:val="20"/>
              </w:rPr>
            </w:pPr>
            <w:r w:rsidRPr="005E0DC9">
              <w:rPr>
                <w:rFonts w:ascii="Arial Narrow" w:hAnsi="Arial Narrow"/>
                <w:b/>
                <w:bCs/>
                <w:sz w:val="20"/>
                <w:lang w:eastAsia="en-AU"/>
              </w:rPr>
              <w:t>No of cycles per course</w:t>
            </w:r>
          </w:p>
        </w:tc>
        <w:tc>
          <w:tcPr>
            <w:tcW w:w="1701" w:type="dxa"/>
          </w:tcPr>
          <w:p w:rsidR="00300EF4" w:rsidRPr="005E0DC9" w:rsidRDefault="00300EF4" w:rsidP="00300EF4">
            <w:pPr>
              <w:snapToGrid w:val="0"/>
              <w:jc w:val="center"/>
              <w:rPr>
                <w:rFonts w:ascii="Arial Narrow" w:eastAsiaTheme="minorHAnsi" w:hAnsi="Arial Narrow"/>
                <w:b/>
                <w:bCs/>
                <w:color w:val="000000"/>
                <w:sz w:val="20"/>
              </w:rPr>
            </w:pPr>
          </w:p>
          <w:p w:rsidR="00300EF4" w:rsidRPr="005E0DC9" w:rsidRDefault="00300EF4" w:rsidP="00300EF4">
            <w:pPr>
              <w:snapToGrid w:val="0"/>
              <w:jc w:val="center"/>
              <w:rPr>
                <w:rFonts w:ascii="Arial Narrow" w:eastAsiaTheme="minorHAnsi" w:hAnsi="Arial Narrow"/>
                <w:b/>
                <w:bCs/>
                <w:color w:val="000000"/>
                <w:sz w:val="20"/>
              </w:rPr>
            </w:pPr>
            <w:proofErr w:type="spellStart"/>
            <w:r w:rsidRPr="005E0DC9">
              <w:rPr>
                <w:rFonts w:ascii="Arial Narrow" w:hAnsi="Arial Narrow"/>
                <w:b/>
                <w:bCs/>
                <w:color w:val="000000"/>
                <w:sz w:val="20"/>
              </w:rPr>
              <w:t>Chl</w:t>
            </w:r>
            <w:proofErr w:type="spellEnd"/>
            <w:r w:rsidRPr="005E0DC9">
              <w:rPr>
                <w:rFonts w:ascii="Arial Narrow" w:hAnsi="Arial Narrow"/>
                <w:b/>
                <w:bCs/>
                <w:color w:val="000000"/>
                <w:sz w:val="20"/>
              </w:rPr>
              <w:t xml:space="preserve"> cost per cycle</w:t>
            </w:r>
          </w:p>
        </w:tc>
        <w:tc>
          <w:tcPr>
            <w:tcW w:w="2126" w:type="dxa"/>
            <w:tcMar>
              <w:top w:w="0" w:type="dxa"/>
              <w:left w:w="28" w:type="dxa"/>
              <w:bottom w:w="0" w:type="dxa"/>
              <w:right w:w="28" w:type="dxa"/>
            </w:tcMar>
          </w:tcPr>
          <w:p w:rsidR="00300EF4" w:rsidRPr="005E0DC9" w:rsidRDefault="00300EF4" w:rsidP="00300EF4">
            <w:pPr>
              <w:snapToGrid w:val="0"/>
              <w:jc w:val="center"/>
              <w:rPr>
                <w:rFonts w:ascii="Arial Narrow" w:eastAsiaTheme="minorHAnsi" w:hAnsi="Arial Narrow"/>
                <w:b/>
                <w:bCs/>
                <w:color w:val="000000"/>
                <w:sz w:val="20"/>
              </w:rPr>
            </w:pPr>
          </w:p>
          <w:p w:rsidR="00300EF4" w:rsidRPr="005E0DC9" w:rsidRDefault="00300EF4" w:rsidP="00300EF4">
            <w:pPr>
              <w:snapToGrid w:val="0"/>
              <w:jc w:val="center"/>
              <w:rPr>
                <w:rFonts w:ascii="Arial Narrow" w:eastAsiaTheme="minorHAnsi" w:hAnsi="Arial Narrow"/>
                <w:b/>
                <w:bCs/>
                <w:color w:val="000000"/>
                <w:sz w:val="20"/>
              </w:rPr>
            </w:pPr>
            <w:r w:rsidRPr="005E0DC9">
              <w:rPr>
                <w:rFonts w:ascii="Arial Narrow" w:hAnsi="Arial Narrow"/>
                <w:b/>
                <w:bCs/>
                <w:sz w:val="20"/>
                <w:lang w:eastAsia="en-AU"/>
              </w:rPr>
              <w:t>Cost per course</w:t>
            </w:r>
          </w:p>
        </w:tc>
      </w:tr>
      <w:tr w:rsidR="00300EF4" w:rsidRPr="005E0DC9" w:rsidTr="00300EF4">
        <w:tc>
          <w:tcPr>
            <w:tcW w:w="1183" w:type="dxa"/>
            <w:tcMar>
              <w:top w:w="0" w:type="dxa"/>
              <w:left w:w="28" w:type="dxa"/>
              <w:bottom w:w="0" w:type="dxa"/>
              <w:right w:w="28" w:type="dxa"/>
            </w:tcMar>
            <w:vAlign w:val="center"/>
            <w:hideMark/>
          </w:tcPr>
          <w:p w:rsidR="00300EF4" w:rsidRPr="005E0DC9" w:rsidRDefault="00300EF4">
            <w:pPr>
              <w:snapToGrid w:val="0"/>
              <w:rPr>
                <w:rFonts w:ascii="Arial Narrow" w:eastAsiaTheme="minorHAnsi" w:hAnsi="Arial Narrow"/>
                <w:sz w:val="20"/>
              </w:rPr>
            </w:pPr>
            <w:proofErr w:type="spellStart"/>
            <w:r w:rsidRPr="005E0DC9">
              <w:rPr>
                <w:rFonts w:ascii="Arial Narrow" w:hAnsi="Arial Narrow"/>
                <w:sz w:val="20"/>
                <w:lang w:eastAsia="en-AU"/>
              </w:rPr>
              <w:t>Ritux+chl</w:t>
            </w:r>
            <w:proofErr w:type="spellEnd"/>
          </w:p>
        </w:tc>
        <w:tc>
          <w:tcPr>
            <w:tcW w:w="1194" w:type="dxa"/>
            <w:tcMar>
              <w:top w:w="0" w:type="dxa"/>
              <w:left w:w="28" w:type="dxa"/>
              <w:bottom w:w="0" w:type="dxa"/>
              <w:right w:w="28" w:type="dxa"/>
            </w:tcMar>
            <w:vAlign w:val="center"/>
            <w:hideMark/>
          </w:tcPr>
          <w:p w:rsidR="00300EF4" w:rsidRPr="00584D09" w:rsidRDefault="00300EF4">
            <w:pPr>
              <w:snapToGrid w:val="0"/>
              <w:jc w:val="center"/>
              <w:rPr>
                <w:rFonts w:ascii="Arial Narrow" w:eastAsiaTheme="minorHAnsi" w:hAnsi="Arial Narrow"/>
                <w:sz w:val="20"/>
              </w:rPr>
            </w:pPr>
            <w:r w:rsidRPr="00584D09">
              <w:rPr>
                <w:rFonts w:ascii="Arial Narrow" w:hAnsi="Arial Narrow"/>
                <w:sz w:val="20"/>
                <w:lang w:eastAsia="en-AU"/>
              </w:rPr>
              <w:t>$2,591.32</w:t>
            </w:r>
          </w:p>
        </w:tc>
        <w:tc>
          <w:tcPr>
            <w:tcW w:w="1195" w:type="dxa"/>
            <w:vAlign w:val="center"/>
            <w:hideMark/>
          </w:tcPr>
          <w:p w:rsidR="00300EF4" w:rsidRPr="00584D09" w:rsidRDefault="00300EF4">
            <w:pPr>
              <w:snapToGrid w:val="0"/>
              <w:jc w:val="center"/>
              <w:rPr>
                <w:rFonts w:ascii="Arial Narrow" w:eastAsiaTheme="minorHAnsi" w:hAnsi="Arial Narrow"/>
                <w:sz w:val="20"/>
              </w:rPr>
            </w:pPr>
            <w:r w:rsidRPr="00584D09">
              <w:rPr>
                <w:rFonts w:ascii="Arial Narrow" w:hAnsi="Arial Narrow"/>
                <w:sz w:val="20"/>
              </w:rPr>
              <w:t>$3,302.48</w:t>
            </w:r>
          </w:p>
        </w:tc>
        <w:tc>
          <w:tcPr>
            <w:tcW w:w="851" w:type="dxa"/>
            <w:tcMar>
              <w:top w:w="0" w:type="dxa"/>
              <w:left w:w="28" w:type="dxa"/>
              <w:bottom w:w="0" w:type="dxa"/>
              <w:right w:w="28" w:type="dxa"/>
            </w:tcMar>
            <w:vAlign w:val="center"/>
            <w:hideMark/>
          </w:tcPr>
          <w:p w:rsidR="00300EF4" w:rsidRPr="005E0DC9" w:rsidRDefault="00300EF4">
            <w:pPr>
              <w:snapToGrid w:val="0"/>
              <w:jc w:val="center"/>
              <w:rPr>
                <w:rFonts w:ascii="Arial Narrow" w:eastAsiaTheme="minorHAnsi" w:hAnsi="Arial Narrow"/>
                <w:sz w:val="20"/>
              </w:rPr>
            </w:pPr>
            <w:r w:rsidRPr="005E0DC9">
              <w:rPr>
                <w:rFonts w:ascii="Arial Narrow" w:hAnsi="Arial Narrow"/>
                <w:sz w:val="20"/>
                <w:lang w:eastAsia="en-AU"/>
              </w:rPr>
              <w:t>1</w:t>
            </w:r>
          </w:p>
        </w:tc>
        <w:tc>
          <w:tcPr>
            <w:tcW w:w="850" w:type="dxa"/>
            <w:vAlign w:val="center"/>
            <w:hideMark/>
          </w:tcPr>
          <w:p w:rsidR="00300EF4" w:rsidRPr="005E0DC9" w:rsidRDefault="00300EF4">
            <w:pPr>
              <w:snapToGrid w:val="0"/>
              <w:jc w:val="center"/>
              <w:rPr>
                <w:rFonts w:ascii="Arial Narrow" w:eastAsiaTheme="minorHAnsi" w:hAnsi="Arial Narrow"/>
                <w:sz w:val="20"/>
              </w:rPr>
            </w:pPr>
            <w:r w:rsidRPr="005E0DC9">
              <w:rPr>
                <w:rFonts w:ascii="Arial Narrow" w:hAnsi="Arial Narrow"/>
                <w:sz w:val="20"/>
                <w:lang w:eastAsia="en-AU"/>
              </w:rPr>
              <w:t>5</w:t>
            </w:r>
          </w:p>
        </w:tc>
        <w:tc>
          <w:tcPr>
            <w:tcW w:w="1701" w:type="dxa"/>
            <w:hideMark/>
          </w:tcPr>
          <w:p w:rsidR="00300EF4" w:rsidRPr="00584D09" w:rsidRDefault="00300EF4">
            <w:pPr>
              <w:snapToGrid w:val="0"/>
              <w:jc w:val="center"/>
              <w:rPr>
                <w:rFonts w:ascii="Arial Narrow" w:eastAsiaTheme="minorHAnsi" w:hAnsi="Arial Narrow"/>
                <w:sz w:val="20"/>
              </w:rPr>
            </w:pPr>
            <w:r w:rsidRPr="00584D09">
              <w:rPr>
                <w:rFonts w:ascii="Arial Narrow" w:hAnsi="Arial Narrow"/>
                <w:sz w:val="20"/>
              </w:rPr>
              <w:t>$83.35</w:t>
            </w:r>
          </w:p>
        </w:tc>
        <w:tc>
          <w:tcPr>
            <w:tcW w:w="2126" w:type="dxa"/>
            <w:tcMar>
              <w:top w:w="0" w:type="dxa"/>
              <w:left w:w="28" w:type="dxa"/>
              <w:bottom w:w="0" w:type="dxa"/>
              <w:right w:w="28" w:type="dxa"/>
            </w:tcMar>
            <w:hideMark/>
          </w:tcPr>
          <w:p w:rsidR="00300EF4" w:rsidRPr="00584D09" w:rsidRDefault="00300EF4" w:rsidP="001310C6">
            <w:pPr>
              <w:snapToGrid w:val="0"/>
              <w:jc w:val="center"/>
              <w:rPr>
                <w:rFonts w:ascii="Arial Narrow" w:eastAsiaTheme="minorHAnsi" w:hAnsi="Arial Narrow"/>
                <w:sz w:val="20"/>
              </w:rPr>
            </w:pPr>
            <w:r w:rsidRPr="00584D09">
              <w:rPr>
                <w:rFonts w:ascii="Arial Narrow" w:hAnsi="Arial Narrow"/>
                <w:sz w:val="20"/>
              </w:rPr>
              <w:t>$19,</w:t>
            </w:r>
            <w:r w:rsidR="001310C6" w:rsidRPr="00584D09">
              <w:rPr>
                <w:rFonts w:ascii="Arial Narrow" w:hAnsi="Arial Narrow"/>
                <w:sz w:val="20"/>
              </w:rPr>
              <w:t>604</w:t>
            </w:r>
          </w:p>
        </w:tc>
      </w:tr>
      <w:tr w:rsidR="00300EF4" w:rsidRPr="005E0DC9" w:rsidTr="00300EF4">
        <w:tc>
          <w:tcPr>
            <w:tcW w:w="1183" w:type="dxa"/>
            <w:tcMar>
              <w:top w:w="0" w:type="dxa"/>
              <w:left w:w="28" w:type="dxa"/>
              <w:bottom w:w="0" w:type="dxa"/>
              <w:right w:w="28" w:type="dxa"/>
            </w:tcMar>
            <w:vAlign w:val="center"/>
            <w:hideMark/>
          </w:tcPr>
          <w:p w:rsidR="00300EF4" w:rsidRPr="005E0DC9" w:rsidRDefault="00300EF4">
            <w:pPr>
              <w:snapToGrid w:val="0"/>
              <w:rPr>
                <w:rFonts w:ascii="Arial Narrow" w:eastAsiaTheme="minorHAnsi" w:hAnsi="Arial Narrow"/>
                <w:sz w:val="20"/>
              </w:rPr>
            </w:pPr>
            <w:proofErr w:type="spellStart"/>
            <w:r w:rsidRPr="005E0DC9">
              <w:rPr>
                <w:rFonts w:ascii="Arial Narrow" w:hAnsi="Arial Narrow"/>
                <w:sz w:val="20"/>
                <w:lang w:eastAsia="en-AU"/>
              </w:rPr>
              <w:t>Obi+chl</w:t>
            </w:r>
            <w:proofErr w:type="spellEnd"/>
          </w:p>
        </w:tc>
        <w:tc>
          <w:tcPr>
            <w:tcW w:w="1194" w:type="dxa"/>
            <w:tcMar>
              <w:top w:w="0" w:type="dxa"/>
              <w:left w:w="28" w:type="dxa"/>
              <w:bottom w:w="0" w:type="dxa"/>
              <w:right w:w="28" w:type="dxa"/>
            </w:tcMar>
            <w:vAlign w:val="center"/>
            <w:hideMark/>
          </w:tcPr>
          <w:p w:rsidR="00300EF4" w:rsidRPr="00584D09" w:rsidRDefault="00300EF4">
            <w:pPr>
              <w:snapToGrid w:val="0"/>
              <w:jc w:val="center"/>
              <w:rPr>
                <w:rFonts w:ascii="Arial Narrow" w:eastAsiaTheme="minorHAnsi" w:hAnsi="Arial Narrow"/>
                <w:sz w:val="20"/>
              </w:rPr>
            </w:pPr>
            <w:r w:rsidRPr="00584D09">
              <w:rPr>
                <w:rFonts w:ascii="Arial Narrow" w:hAnsi="Arial Narrow"/>
                <w:sz w:val="20"/>
                <w:lang w:eastAsia="en-AU"/>
              </w:rPr>
              <w:t>$15,484.08</w:t>
            </w:r>
          </w:p>
        </w:tc>
        <w:tc>
          <w:tcPr>
            <w:tcW w:w="1195" w:type="dxa"/>
            <w:tcMar>
              <w:top w:w="0" w:type="dxa"/>
              <w:left w:w="28" w:type="dxa"/>
              <w:bottom w:w="0" w:type="dxa"/>
              <w:right w:w="28" w:type="dxa"/>
            </w:tcMar>
            <w:vAlign w:val="center"/>
            <w:hideMark/>
          </w:tcPr>
          <w:p w:rsidR="00300EF4" w:rsidRPr="00584D09" w:rsidRDefault="00300EF4">
            <w:pPr>
              <w:snapToGrid w:val="0"/>
              <w:jc w:val="center"/>
              <w:rPr>
                <w:rFonts w:ascii="Arial Narrow" w:eastAsiaTheme="minorHAnsi" w:hAnsi="Arial Narrow"/>
                <w:sz w:val="20"/>
              </w:rPr>
            </w:pPr>
            <w:r w:rsidRPr="00584D09">
              <w:rPr>
                <w:rFonts w:ascii="Arial Narrow" w:hAnsi="Arial Narrow"/>
                <w:sz w:val="20"/>
                <w:lang w:eastAsia="en-AU"/>
              </w:rPr>
              <w:t>$5,161.36</w:t>
            </w:r>
          </w:p>
        </w:tc>
        <w:tc>
          <w:tcPr>
            <w:tcW w:w="851" w:type="dxa"/>
            <w:tcMar>
              <w:top w:w="0" w:type="dxa"/>
              <w:left w:w="28" w:type="dxa"/>
              <w:bottom w:w="0" w:type="dxa"/>
              <w:right w:w="28" w:type="dxa"/>
            </w:tcMar>
            <w:vAlign w:val="center"/>
            <w:hideMark/>
          </w:tcPr>
          <w:p w:rsidR="00300EF4" w:rsidRPr="005E0DC9" w:rsidRDefault="00300EF4">
            <w:pPr>
              <w:snapToGrid w:val="0"/>
              <w:jc w:val="center"/>
              <w:rPr>
                <w:rFonts w:ascii="Arial Narrow" w:eastAsiaTheme="minorHAnsi" w:hAnsi="Arial Narrow"/>
                <w:sz w:val="20"/>
              </w:rPr>
            </w:pPr>
            <w:r w:rsidRPr="005E0DC9">
              <w:rPr>
                <w:rFonts w:ascii="Arial Narrow" w:hAnsi="Arial Narrow"/>
                <w:sz w:val="20"/>
                <w:lang w:eastAsia="en-AU"/>
              </w:rPr>
              <w:t>1</w:t>
            </w:r>
          </w:p>
        </w:tc>
        <w:tc>
          <w:tcPr>
            <w:tcW w:w="850" w:type="dxa"/>
            <w:tcMar>
              <w:top w:w="0" w:type="dxa"/>
              <w:left w:w="28" w:type="dxa"/>
              <w:bottom w:w="0" w:type="dxa"/>
              <w:right w:w="28" w:type="dxa"/>
            </w:tcMar>
            <w:vAlign w:val="center"/>
            <w:hideMark/>
          </w:tcPr>
          <w:p w:rsidR="00300EF4" w:rsidRPr="005E0DC9" w:rsidRDefault="00300EF4">
            <w:pPr>
              <w:snapToGrid w:val="0"/>
              <w:jc w:val="center"/>
              <w:rPr>
                <w:rFonts w:ascii="Arial Narrow" w:eastAsiaTheme="minorHAnsi" w:hAnsi="Arial Narrow"/>
                <w:sz w:val="20"/>
              </w:rPr>
            </w:pPr>
            <w:r w:rsidRPr="005E0DC9">
              <w:rPr>
                <w:rFonts w:ascii="Arial Narrow" w:hAnsi="Arial Narrow"/>
                <w:sz w:val="20"/>
                <w:lang w:eastAsia="en-AU"/>
              </w:rPr>
              <w:t>5</w:t>
            </w:r>
          </w:p>
        </w:tc>
        <w:tc>
          <w:tcPr>
            <w:tcW w:w="1701" w:type="dxa"/>
            <w:hideMark/>
          </w:tcPr>
          <w:p w:rsidR="00300EF4" w:rsidRPr="00584D09" w:rsidRDefault="00300EF4">
            <w:pPr>
              <w:snapToGrid w:val="0"/>
              <w:jc w:val="center"/>
              <w:rPr>
                <w:rFonts w:ascii="Arial Narrow" w:eastAsiaTheme="minorHAnsi" w:hAnsi="Arial Narrow"/>
                <w:sz w:val="20"/>
                <w:lang w:eastAsia="en-AU"/>
              </w:rPr>
            </w:pPr>
            <w:r w:rsidRPr="00584D09">
              <w:rPr>
                <w:rFonts w:ascii="Arial Narrow" w:hAnsi="Arial Narrow"/>
                <w:sz w:val="20"/>
              </w:rPr>
              <w:t>$83.35</w:t>
            </w:r>
          </w:p>
        </w:tc>
        <w:tc>
          <w:tcPr>
            <w:tcW w:w="2126" w:type="dxa"/>
            <w:tcMar>
              <w:top w:w="0" w:type="dxa"/>
              <w:left w:w="28" w:type="dxa"/>
              <w:bottom w:w="0" w:type="dxa"/>
              <w:right w:w="28" w:type="dxa"/>
            </w:tcMar>
            <w:hideMark/>
          </w:tcPr>
          <w:p w:rsidR="00300EF4" w:rsidRPr="00584D09" w:rsidRDefault="00300EF4" w:rsidP="001310C6">
            <w:pPr>
              <w:snapToGrid w:val="0"/>
              <w:jc w:val="center"/>
              <w:rPr>
                <w:rFonts w:ascii="Arial Narrow" w:eastAsiaTheme="minorHAnsi" w:hAnsi="Arial Narrow"/>
                <w:sz w:val="20"/>
              </w:rPr>
            </w:pPr>
            <w:r w:rsidRPr="00584D09">
              <w:rPr>
                <w:rFonts w:ascii="Arial Narrow" w:hAnsi="Arial Narrow"/>
                <w:sz w:val="20"/>
                <w:lang w:eastAsia="en-AU"/>
              </w:rPr>
              <w:t>$41,</w:t>
            </w:r>
            <w:r w:rsidR="001310C6" w:rsidRPr="00584D09">
              <w:rPr>
                <w:rFonts w:ascii="Arial Narrow" w:hAnsi="Arial Narrow"/>
                <w:sz w:val="20"/>
                <w:lang w:eastAsia="en-AU"/>
              </w:rPr>
              <w:t>791</w:t>
            </w:r>
          </w:p>
        </w:tc>
      </w:tr>
      <w:tr w:rsidR="00300EF4" w:rsidRPr="005E0DC9" w:rsidTr="00300EF4">
        <w:tc>
          <w:tcPr>
            <w:tcW w:w="1183" w:type="dxa"/>
            <w:tcMar>
              <w:top w:w="0" w:type="dxa"/>
              <w:left w:w="28" w:type="dxa"/>
              <w:bottom w:w="0" w:type="dxa"/>
              <w:right w:w="28" w:type="dxa"/>
            </w:tcMar>
            <w:vAlign w:val="center"/>
            <w:hideMark/>
          </w:tcPr>
          <w:p w:rsidR="00300EF4" w:rsidRPr="005E0DC9" w:rsidRDefault="00300EF4">
            <w:pPr>
              <w:snapToGrid w:val="0"/>
              <w:rPr>
                <w:rFonts w:ascii="Arial Narrow" w:eastAsiaTheme="minorHAnsi" w:hAnsi="Arial Narrow"/>
                <w:sz w:val="20"/>
              </w:rPr>
            </w:pPr>
            <w:proofErr w:type="spellStart"/>
            <w:r w:rsidRPr="005E0DC9">
              <w:rPr>
                <w:rFonts w:ascii="Arial Narrow" w:hAnsi="Arial Narrow"/>
                <w:sz w:val="20"/>
                <w:lang w:eastAsia="en-AU"/>
              </w:rPr>
              <w:t>Ofa+chl</w:t>
            </w:r>
            <w:proofErr w:type="spellEnd"/>
          </w:p>
        </w:tc>
        <w:tc>
          <w:tcPr>
            <w:tcW w:w="1194" w:type="dxa"/>
            <w:tcMar>
              <w:top w:w="0" w:type="dxa"/>
              <w:left w:w="28" w:type="dxa"/>
              <w:bottom w:w="0" w:type="dxa"/>
              <w:right w:w="28" w:type="dxa"/>
            </w:tcMar>
            <w:vAlign w:val="center"/>
            <w:hideMark/>
          </w:tcPr>
          <w:p w:rsidR="00300EF4" w:rsidRPr="00584D09" w:rsidRDefault="00300EF4">
            <w:pPr>
              <w:snapToGrid w:val="0"/>
              <w:jc w:val="center"/>
              <w:rPr>
                <w:rFonts w:ascii="Arial Narrow" w:eastAsiaTheme="minorHAnsi" w:hAnsi="Arial Narrow"/>
                <w:sz w:val="20"/>
              </w:rPr>
            </w:pPr>
            <w:r w:rsidRPr="00584D09">
              <w:rPr>
                <w:rFonts w:ascii="Arial Narrow" w:hAnsi="Arial Narrow"/>
                <w:sz w:val="20"/>
                <w:lang w:eastAsia="en-AU"/>
              </w:rPr>
              <w:t>$4,411.96</w:t>
            </w:r>
          </w:p>
        </w:tc>
        <w:tc>
          <w:tcPr>
            <w:tcW w:w="1195" w:type="dxa"/>
            <w:vAlign w:val="center"/>
            <w:hideMark/>
          </w:tcPr>
          <w:p w:rsidR="00300EF4" w:rsidRPr="00584D09" w:rsidRDefault="00300EF4">
            <w:pPr>
              <w:snapToGrid w:val="0"/>
              <w:jc w:val="center"/>
              <w:rPr>
                <w:rFonts w:ascii="Arial Narrow" w:eastAsiaTheme="minorHAnsi" w:hAnsi="Arial Narrow"/>
                <w:sz w:val="20"/>
              </w:rPr>
            </w:pPr>
            <w:r w:rsidRPr="00584D09">
              <w:rPr>
                <w:rFonts w:ascii="Arial Narrow" w:hAnsi="Arial Narrow"/>
                <w:sz w:val="20"/>
              </w:rPr>
              <w:t>$3,337.03</w:t>
            </w:r>
          </w:p>
        </w:tc>
        <w:tc>
          <w:tcPr>
            <w:tcW w:w="851" w:type="dxa"/>
            <w:tcMar>
              <w:top w:w="0" w:type="dxa"/>
              <w:left w:w="28" w:type="dxa"/>
              <w:bottom w:w="0" w:type="dxa"/>
              <w:right w:w="28" w:type="dxa"/>
            </w:tcMar>
            <w:vAlign w:val="center"/>
            <w:hideMark/>
          </w:tcPr>
          <w:p w:rsidR="00300EF4" w:rsidRPr="005E0DC9" w:rsidRDefault="00300EF4">
            <w:pPr>
              <w:snapToGrid w:val="0"/>
              <w:jc w:val="center"/>
              <w:rPr>
                <w:rFonts w:ascii="Arial Narrow" w:eastAsiaTheme="minorHAnsi" w:hAnsi="Arial Narrow"/>
                <w:sz w:val="20"/>
              </w:rPr>
            </w:pPr>
            <w:r w:rsidRPr="005E0DC9">
              <w:rPr>
                <w:rFonts w:ascii="Arial Narrow" w:hAnsi="Arial Narrow"/>
                <w:sz w:val="20"/>
                <w:lang w:eastAsia="en-AU"/>
              </w:rPr>
              <w:t>1</w:t>
            </w:r>
          </w:p>
        </w:tc>
        <w:tc>
          <w:tcPr>
            <w:tcW w:w="850" w:type="dxa"/>
            <w:vAlign w:val="center"/>
            <w:hideMark/>
          </w:tcPr>
          <w:p w:rsidR="00300EF4" w:rsidRPr="005E0DC9" w:rsidRDefault="00300EF4">
            <w:pPr>
              <w:snapToGrid w:val="0"/>
              <w:jc w:val="center"/>
              <w:rPr>
                <w:rFonts w:ascii="Arial Narrow" w:eastAsiaTheme="minorHAnsi" w:hAnsi="Arial Narrow"/>
                <w:sz w:val="20"/>
              </w:rPr>
            </w:pPr>
            <w:r w:rsidRPr="005E0DC9">
              <w:rPr>
                <w:rFonts w:ascii="Arial Narrow" w:hAnsi="Arial Narrow"/>
                <w:sz w:val="20"/>
              </w:rPr>
              <w:t>11</w:t>
            </w:r>
          </w:p>
        </w:tc>
        <w:tc>
          <w:tcPr>
            <w:tcW w:w="1701" w:type="dxa"/>
            <w:hideMark/>
          </w:tcPr>
          <w:p w:rsidR="00300EF4" w:rsidRPr="00584D09" w:rsidRDefault="00300EF4">
            <w:pPr>
              <w:snapToGrid w:val="0"/>
              <w:jc w:val="center"/>
              <w:rPr>
                <w:rFonts w:ascii="Arial Narrow" w:eastAsiaTheme="minorHAnsi" w:hAnsi="Arial Narrow"/>
                <w:sz w:val="20"/>
              </w:rPr>
            </w:pPr>
            <w:r w:rsidRPr="00584D09">
              <w:rPr>
                <w:rFonts w:ascii="Arial Narrow" w:hAnsi="Arial Narrow"/>
                <w:sz w:val="20"/>
              </w:rPr>
              <w:t>$83.35</w:t>
            </w:r>
          </w:p>
        </w:tc>
        <w:tc>
          <w:tcPr>
            <w:tcW w:w="2126" w:type="dxa"/>
            <w:tcMar>
              <w:top w:w="0" w:type="dxa"/>
              <w:left w:w="28" w:type="dxa"/>
              <w:bottom w:w="0" w:type="dxa"/>
              <w:right w:w="28" w:type="dxa"/>
            </w:tcMar>
            <w:hideMark/>
          </w:tcPr>
          <w:p w:rsidR="00300EF4" w:rsidRPr="00584D09" w:rsidRDefault="00300EF4" w:rsidP="001310C6">
            <w:pPr>
              <w:snapToGrid w:val="0"/>
              <w:jc w:val="center"/>
              <w:rPr>
                <w:rFonts w:ascii="Arial Narrow" w:eastAsiaTheme="minorHAnsi" w:hAnsi="Arial Narrow"/>
                <w:sz w:val="20"/>
              </w:rPr>
            </w:pPr>
            <w:r w:rsidRPr="00584D09">
              <w:rPr>
                <w:rFonts w:ascii="Arial Narrow" w:hAnsi="Arial Narrow"/>
                <w:sz w:val="20"/>
              </w:rPr>
              <w:t>$42,</w:t>
            </w:r>
            <w:r w:rsidR="001310C6" w:rsidRPr="00584D09">
              <w:rPr>
                <w:rFonts w:ascii="Arial Narrow" w:hAnsi="Arial Narrow"/>
                <w:sz w:val="20"/>
              </w:rPr>
              <w:t>119</w:t>
            </w:r>
          </w:p>
        </w:tc>
      </w:tr>
    </w:tbl>
    <w:p w:rsidR="0089508A" w:rsidRPr="005E0DC9" w:rsidRDefault="0089508A" w:rsidP="00300EF4">
      <w:pPr>
        <w:pStyle w:val="TableFooter"/>
      </w:pPr>
      <w:r w:rsidRPr="005E0DC9">
        <w:t xml:space="preserve">*dispensed price weighted for use in public vs private and includes adjustment for assumed dose intensity </w:t>
      </w:r>
      <w:r w:rsidR="00094662" w:rsidRPr="005E0DC9">
        <w:t xml:space="preserve">of </w:t>
      </w:r>
      <w:r w:rsidRPr="005E0DC9">
        <w:t>94.5%.</w:t>
      </w:r>
    </w:p>
    <w:p w:rsidR="00094662" w:rsidRPr="005E0DC9" w:rsidRDefault="00094662" w:rsidP="00300EF4">
      <w:pPr>
        <w:pStyle w:val="TableFooter"/>
      </w:pPr>
      <w:r w:rsidRPr="005E0DC9">
        <w:t>^ 10mg/m</w:t>
      </w:r>
      <w:r w:rsidRPr="005E0DC9">
        <w:rPr>
          <w:vertAlign w:val="superscript"/>
        </w:rPr>
        <w:t>2</w:t>
      </w:r>
      <w:r w:rsidRPr="005E0DC9">
        <w:t xml:space="preserve">/day dose for 7 days of each 28 day cycle as per </w:t>
      </w:r>
      <w:proofErr w:type="spellStart"/>
      <w:r w:rsidRPr="005E0DC9">
        <w:t>eviQ</w:t>
      </w:r>
      <w:proofErr w:type="spellEnd"/>
      <w:r w:rsidRPr="005E0DC9">
        <w:t xml:space="preserve"> protocol and </w:t>
      </w:r>
      <w:proofErr w:type="gramStart"/>
      <w:r w:rsidRPr="005E0DC9">
        <w:t>includes</w:t>
      </w:r>
      <w:proofErr w:type="gramEnd"/>
      <w:r w:rsidRPr="005E0DC9">
        <w:t xml:space="preserve"> adjustment for assumed dose intensity of 95.6%.</w:t>
      </w:r>
    </w:p>
    <w:p w:rsidR="00300EF4" w:rsidRPr="005E0DC9" w:rsidRDefault="00300EF4" w:rsidP="00300EF4">
      <w:pPr>
        <w:pStyle w:val="TableFooter"/>
      </w:pPr>
      <w:proofErr w:type="spellStart"/>
      <w:proofErr w:type="gramStart"/>
      <w:r w:rsidRPr="005E0DC9">
        <w:t>chl</w:t>
      </w:r>
      <w:proofErr w:type="spellEnd"/>
      <w:r w:rsidRPr="005E0DC9">
        <w:t>=</w:t>
      </w:r>
      <w:proofErr w:type="spellStart"/>
      <w:proofErr w:type="gramEnd"/>
      <w:r w:rsidRPr="005E0DC9">
        <w:t>chlorambucil</w:t>
      </w:r>
      <w:proofErr w:type="spellEnd"/>
      <w:r w:rsidRPr="005E0DC9">
        <w:t xml:space="preserve">; </w:t>
      </w:r>
      <w:proofErr w:type="spellStart"/>
      <w:r w:rsidRPr="005E0DC9">
        <w:t>ibr</w:t>
      </w:r>
      <w:proofErr w:type="spellEnd"/>
      <w:r w:rsidRPr="005E0DC9">
        <w:t>=</w:t>
      </w:r>
      <w:proofErr w:type="spellStart"/>
      <w:r w:rsidRPr="005E0DC9">
        <w:t>ibrutinib</w:t>
      </w:r>
      <w:proofErr w:type="spellEnd"/>
      <w:r w:rsidRPr="005E0DC9">
        <w:t>; obi=</w:t>
      </w:r>
      <w:proofErr w:type="spellStart"/>
      <w:r w:rsidRPr="005E0DC9">
        <w:t>obinutuzumab</w:t>
      </w:r>
      <w:proofErr w:type="spellEnd"/>
      <w:r w:rsidRPr="005E0DC9">
        <w:t xml:space="preserve">; </w:t>
      </w:r>
      <w:proofErr w:type="spellStart"/>
      <w:r w:rsidRPr="005E0DC9">
        <w:t>ofa</w:t>
      </w:r>
      <w:proofErr w:type="spellEnd"/>
      <w:r w:rsidRPr="005E0DC9">
        <w:t>=</w:t>
      </w:r>
      <w:proofErr w:type="spellStart"/>
      <w:r w:rsidRPr="005E0DC9">
        <w:t>ofatumumab</w:t>
      </w:r>
      <w:proofErr w:type="spellEnd"/>
      <w:r w:rsidRPr="005E0DC9">
        <w:t xml:space="preserve">; </w:t>
      </w:r>
      <w:proofErr w:type="spellStart"/>
      <w:r w:rsidRPr="005E0DC9">
        <w:t>ritux</w:t>
      </w:r>
      <w:proofErr w:type="spellEnd"/>
      <w:r w:rsidRPr="005E0DC9">
        <w:t>=rituximab</w:t>
      </w:r>
    </w:p>
    <w:p w:rsidR="00300EF4" w:rsidRPr="005E0DC9" w:rsidRDefault="00300EF4" w:rsidP="00300EF4">
      <w:pPr>
        <w:pStyle w:val="TableFooter"/>
        <w:tabs>
          <w:tab w:val="left" w:pos="142"/>
        </w:tabs>
        <w:ind w:left="142" w:hanging="142"/>
      </w:pPr>
      <w:r w:rsidRPr="005E0DC9">
        <w:t>Source: Excel workbook ‘Section D.xlsm’ and Section E Table E.1.</w:t>
      </w:r>
    </w:p>
    <w:p w:rsidR="00B9334F" w:rsidRPr="005E0DC9" w:rsidRDefault="00B9334F" w:rsidP="00F128DB">
      <w:pPr>
        <w:pStyle w:val="TableHeading0"/>
        <w:spacing w:after="0"/>
      </w:pPr>
      <w:bookmarkStart w:id="37" w:name="_Toc413139284"/>
      <w:bookmarkStart w:id="38" w:name="_Toc363984496"/>
      <w:bookmarkStart w:id="39" w:name="_Toc493239415"/>
    </w:p>
    <w:p w:rsidR="00113D1E" w:rsidRPr="005E0DC9" w:rsidRDefault="00113D1E" w:rsidP="00113D1E">
      <w:pPr>
        <w:pStyle w:val="Heading2"/>
        <w:rPr>
          <w:rFonts w:ascii="Calibri" w:eastAsia="MS Gothic" w:hAnsi="Calibri" w:cs="Times New Roman"/>
          <w:i/>
          <w:snapToGrid/>
          <w:sz w:val="28"/>
          <w:szCs w:val="28"/>
        </w:rPr>
      </w:pPr>
      <w:r w:rsidRPr="005E0DC9">
        <w:rPr>
          <w:rFonts w:ascii="Calibri" w:eastAsia="MS Gothic" w:hAnsi="Calibri" w:cs="Times New Roman"/>
          <w:i/>
          <w:snapToGrid/>
          <w:sz w:val="28"/>
          <w:szCs w:val="28"/>
        </w:rPr>
        <w:t>Estimated PBS usage &amp; financial implications</w:t>
      </w:r>
      <w:bookmarkEnd w:id="37"/>
      <w:bookmarkEnd w:id="38"/>
      <w:bookmarkEnd w:id="39"/>
    </w:p>
    <w:p w:rsidR="008304BC" w:rsidRPr="005E0DC9" w:rsidRDefault="000D65E6" w:rsidP="00FA1A53">
      <w:pPr>
        <w:widowControl/>
        <w:numPr>
          <w:ilvl w:val="1"/>
          <w:numId w:val="11"/>
        </w:numPr>
        <w:spacing w:before="120" w:after="120"/>
        <w:ind w:left="709" w:hanging="709"/>
        <w:rPr>
          <w:rFonts w:ascii="Calibri" w:eastAsia="Calibri" w:hAnsi="Calibri"/>
          <w:snapToGrid/>
          <w:sz w:val="24"/>
          <w:szCs w:val="22"/>
        </w:rPr>
      </w:pPr>
      <w:bookmarkStart w:id="40" w:name="_Toc413139285"/>
      <w:bookmarkStart w:id="41" w:name="_Toc363984497"/>
      <w:bookmarkStart w:id="42" w:name="_Toc493239416"/>
      <w:r w:rsidRPr="005E0DC9">
        <w:rPr>
          <w:rFonts w:asciiTheme="minorHAnsi" w:hAnsiTheme="minorHAnsi"/>
          <w:sz w:val="24"/>
          <w:szCs w:val="24"/>
        </w:rPr>
        <w:t>This submission was considered by DUSC.</w:t>
      </w:r>
      <w:r w:rsidRPr="005E0DC9">
        <w:t xml:space="preserve"> </w:t>
      </w:r>
      <w:r w:rsidR="008304BC" w:rsidRPr="005E0DC9">
        <w:rPr>
          <w:rFonts w:ascii="Calibri" w:eastAsia="Calibri" w:hAnsi="Calibri"/>
          <w:snapToGrid/>
          <w:sz w:val="24"/>
          <w:szCs w:val="22"/>
        </w:rPr>
        <w:t xml:space="preserve">The submission applied an epidemiological approach to estimate expected use and cost of </w:t>
      </w:r>
      <w:proofErr w:type="spellStart"/>
      <w:r w:rsidR="008304BC" w:rsidRPr="005E0DC9">
        <w:rPr>
          <w:rFonts w:ascii="Calibri" w:eastAsia="Calibri" w:hAnsi="Calibri"/>
          <w:snapToGrid/>
          <w:sz w:val="24"/>
          <w:szCs w:val="22"/>
        </w:rPr>
        <w:t>ibrutinib</w:t>
      </w:r>
      <w:proofErr w:type="spellEnd"/>
      <w:r w:rsidR="008304BC" w:rsidRPr="005E0DC9">
        <w:rPr>
          <w:rFonts w:ascii="Calibri" w:eastAsia="Calibri" w:hAnsi="Calibri"/>
          <w:snapToGrid/>
          <w:sz w:val="24"/>
          <w:szCs w:val="22"/>
        </w:rPr>
        <w:t xml:space="preserve"> for first-line treatment of CLL/SLL over the first 5 years of listing.  Key components of the financial estimates are as follows:</w:t>
      </w:r>
    </w:p>
    <w:p w:rsidR="008304BC" w:rsidRPr="005E0DC9" w:rsidRDefault="008304BC" w:rsidP="00FA1A53">
      <w:pPr>
        <w:widowControl/>
        <w:numPr>
          <w:ilvl w:val="0"/>
          <w:numId w:val="1"/>
        </w:numPr>
        <w:spacing w:before="120" w:after="160"/>
        <w:ind w:left="993" w:hanging="284"/>
        <w:rPr>
          <w:rFonts w:ascii="Calibri" w:eastAsia="Calibri" w:hAnsi="Calibri"/>
          <w:snapToGrid/>
          <w:sz w:val="24"/>
          <w:szCs w:val="22"/>
        </w:rPr>
      </w:pPr>
      <w:r w:rsidRPr="005E0DC9">
        <w:rPr>
          <w:rFonts w:ascii="Calibri" w:eastAsia="Calibri" w:hAnsi="Calibri"/>
          <w:snapToGrid/>
          <w:sz w:val="24"/>
          <w:szCs w:val="22"/>
        </w:rPr>
        <w:t xml:space="preserve">The epidemiological approach used by the submission to estimate patient numbers is based on incident patients.  </w:t>
      </w:r>
    </w:p>
    <w:p w:rsidR="008304BC" w:rsidRPr="005E0DC9" w:rsidRDefault="008304BC" w:rsidP="00FA1A53">
      <w:pPr>
        <w:widowControl/>
        <w:numPr>
          <w:ilvl w:val="0"/>
          <w:numId w:val="1"/>
        </w:numPr>
        <w:spacing w:before="120" w:after="160"/>
        <w:ind w:left="993" w:hanging="284"/>
        <w:rPr>
          <w:rFonts w:ascii="Calibri" w:eastAsia="Calibri" w:hAnsi="Calibri"/>
          <w:snapToGrid/>
          <w:sz w:val="24"/>
          <w:szCs w:val="22"/>
        </w:rPr>
      </w:pPr>
      <w:r w:rsidRPr="005E0DC9">
        <w:rPr>
          <w:rFonts w:ascii="Calibri" w:eastAsia="Calibri" w:hAnsi="Calibri"/>
          <w:snapToGrid/>
          <w:sz w:val="24"/>
          <w:szCs w:val="22"/>
        </w:rPr>
        <w:t>Market research is used to determine the proportion of patients who are treated and uptake of treatment (</w:t>
      </w:r>
      <w:r w:rsidR="00773C23">
        <w:rPr>
          <w:rFonts w:ascii="Calibri" w:eastAsia="Calibri" w:hAnsi="Calibri"/>
          <w:noProof/>
          <w:snapToGrid/>
          <w:color w:val="000000"/>
          <w:sz w:val="24"/>
          <w:szCs w:val="22"/>
          <w:highlight w:val="black"/>
        </w:rPr>
        <w:t>'''''</w:t>
      </w:r>
      <w:r w:rsidRPr="005E0DC9">
        <w:rPr>
          <w:rFonts w:ascii="Calibri" w:eastAsia="Calibri" w:hAnsi="Calibri"/>
          <w:snapToGrid/>
          <w:sz w:val="24"/>
          <w:szCs w:val="22"/>
        </w:rPr>
        <w:t>%) was based on the DUSC assumption applied for the relapsed/refractory CLL/SLL PBS listing.</w:t>
      </w:r>
    </w:p>
    <w:p w:rsidR="008304BC" w:rsidRPr="005E0DC9" w:rsidRDefault="008304BC" w:rsidP="00FA1A53">
      <w:pPr>
        <w:widowControl/>
        <w:numPr>
          <w:ilvl w:val="0"/>
          <w:numId w:val="1"/>
        </w:numPr>
        <w:spacing w:before="120" w:after="160"/>
        <w:ind w:left="993" w:hanging="284"/>
        <w:rPr>
          <w:rFonts w:ascii="Calibri" w:eastAsia="Calibri" w:hAnsi="Calibri"/>
          <w:snapToGrid/>
          <w:sz w:val="24"/>
          <w:szCs w:val="22"/>
        </w:rPr>
      </w:pPr>
      <w:r w:rsidRPr="005E0DC9">
        <w:rPr>
          <w:rFonts w:ascii="Calibri" w:eastAsia="Calibri" w:hAnsi="Calibri"/>
          <w:snapToGrid/>
          <w:sz w:val="24"/>
          <w:szCs w:val="22"/>
        </w:rPr>
        <w:t>Treatment sequences and treatment duration were based on estimates from the economic model.</w:t>
      </w:r>
    </w:p>
    <w:p w:rsidR="008304BC" w:rsidRPr="005E0DC9" w:rsidRDefault="008304BC" w:rsidP="00FA1A53">
      <w:pPr>
        <w:widowControl/>
        <w:numPr>
          <w:ilvl w:val="0"/>
          <w:numId w:val="1"/>
        </w:numPr>
        <w:spacing w:before="120" w:after="120"/>
        <w:ind w:left="993" w:hanging="284"/>
        <w:rPr>
          <w:rFonts w:ascii="Calibri" w:eastAsia="Calibri" w:hAnsi="Calibri"/>
          <w:snapToGrid/>
          <w:sz w:val="24"/>
          <w:szCs w:val="22"/>
        </w:rPr>
      </w:pPr>
      <w:r w:rsidRPr="005E0DC9">
        <w:rPr>
          <w:rFonts w:ascii="Calibri" w:eastAsia="Calibri" w:hAnsi="Calibri"/>
          <w:snapToGrid/>
          <w:sz w:val="24"/>
          <w:szCs w:val="22"/>
        </w:rPr>
        <w:t>The weighting of substituted medicines was based on PBS usage data (</w:t>
      </w:r>
      <w:proofErr w:type="spellStart"/>
      <w:r w:rsidRPr="005E0DC9">
        <w:rPr>
          <w:rFonts w:ascii="Calibri" w:eastAsia="Calibri" w:hAnsi="Calibri"/>
          <w:snapToGrid/>
          <w:sz w:val="24"/>
          <w:szCs w:val="22"/>
        </w:rPr>
        <w:t>ritux+chl</w:t>
      </w:r>
      <w:proofErr w:type="spellEnd"/>
      <w:r w:rsidRPr="005E0DC9">
        <w:rPr>
          <w:rFonts w:ascii="Calibri" w:eastAsia="Calibri" w:hAnsi="Calibri"/>
          <w:snapToGrid/>
          <w:sz w:val="24"/>
          <w:szCs w:val="22"/>
        </w:rPr>
        <w:t xml:space="preserve"> 61.3%;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29.4%; </w:t>
      </w:r>
      <w:proofErr w:type="spellStart"/>
      <w:r w:rsidRPr="005E0DC9">
        <w:rPr>
          <w:rFonts w:ascii="Calibri" w:eastAsia="Calibri" w:hAnsi="Calibri"/>
          <w:snapToGrid/>
          <w:sz w:val="24"/>
          <w:szCs w:val="22"/>
        </w:rPr>
        <w:t>ofa+chl</w:t>
      </w:r>
      <w:proofErr w:type="spellEnd"/>
      <w:r w:rsidRPr="005E0DC9">
        <w:rPr>
          <w:rFonts w:ascii="Calibri" w:eastAsia="Calibri" w:hAnsi="Calibri"/>
          <w:snapToGrid/>
          <w:sz w:val="24"/>
          <w:szCs w:val="22"/>
        </w:rPr>
        <w:t xml:space="preserve"> 9.3%).</w:t>
      </w:r>
    </w:p>
    <w:p w:rsidR="008304BC" w:rsidRPr="005E0DC9" w:rsidRDefault="008304BC" w:rsidP="008304BC">
      <w:pPr>
        <w:widowControl/>
        <w:spacing w:after="120"/>
        <w:ind w:left="633"/>
        <w:rPr>
          <w:rFonts w:ascii="Calibri" w:eastAsia="Calibri" w:hAnsi="Calibri"/>
          <w:snapToGrid/>
          <w:sz w:val="24"/>
          <w:szCs w:val="22"/>
        </w:rPr>
      </w:pPr>
      <w:r w:rsidRPr="005E0DC9">
        <w:rPr>
          <w:rFonts w:ascii="Calibri" w:eastAsia="Calibri" w:hAnsi="Calibri"/>
          <w:snapToGrid/>
          <w:sz w:val="24"/>
          <w:szCs w:val="22"/>
        </w:rPr>
        <w:t xml:space="preserve">The table below provides a summary of estimated patient numbers, scripts and costs to PBS and the Government.  Estimated net costs over the first 5 years of listing are </w:t>
      </w:r>
      <w:r w:rsidR="002A4876">
        <w:rPr>
          <w:rFonts w:ascii="Calibri" w:eastAsia="Calibri" w:hAnsi="Calibri"/>
          <w:snapToGrid/>
          <w:sz w:val="24"/>
          <w:szCs w:val="22"/>
        </w:rPr>
        <w:t>more than $100 million</w:t>
      </w:r>
      <w:r w:rsidRPr="005E0DC9">
        <w:rPr>
          <w:rFonts w:ascii="Calibri" w:eastAsia="Calibri" w:hAnsi="Calibri"/>
          <w:snapToGrid/>
          <w:sz w:val="24"/>
          <w:szCs w:val="22"/>
        </w:rPr>
        <w:t>.</w:t>
      </w:r>
    </w:p>
    <w:p w:rsidR="00794D6A" w:rsidRDefault="00794D6A">
      <w:pPr>
        <w:widowControl/>
        <w:jc w:val="left"/>
        <w:rPr>
          <w:rFonts w:ascii="Arial Narrow" w:eastAsiaTheme="minorHAnsi" w:hAnsi="Arial Narrow" w:cstheme="minorBidi"/>
          <w:b/>
          <w:snapToGrid/>
          <w:sz w:val="20"/>
          <w:szCs w:val="22"/>
        </w:rPr>
      </w:pPr>
      <w:r>
        <w:br w:type="page"/>
      </w:r>
    </w:p>
    <w:p w:rsidR="002D7DD6" w:rsidRPr="005E0DC9" w:rsidRDefault="002D7DD6" w:rsidP="002D7DD6">
      <w:pPr>
        <w:pStyle w:val="TableHeading0"/>
        <w:spacing w:after="0"/>
      </w:pPr>
      <w:r w:rsidRPr="005E0DC9">
        <w:lastRenderedPageBreak/>
        <w:t>Table 15</w:t>
      </w:r>
      <w:r w:rsidR="008304BC" w:rsidRPr="005E0DC9">
        <w:t>:</w:t>
      </w:r>
      <w:r w:rsidR="008304BC" w:rsidRPr="005E0DC9">
        <w:rPr>
          <w:color w:val="4BACC6" w:themeColor="accent5"/>
        </w:rPr>
        <w:t xml:space="preserve"> </w:t>
      </w:r>
      <w:r w:rsidR="008304BC" w:rsidRPr="005E0DC9">
        <w:t>Estimated use and financial implications</w:t>
      </w:r>
      <w:r w:rsidR="008304BC" w:rsidRPr="005E0DC9">
        <w:rPr>
          <w:vertAlign w:val="superscript"/>
        </w:rPr>
        <w:tab/>
      </w:r>
    </w:p>
    <w:tbl>
      <w:tblPr>
        <w:tblStyle w:val="TableGrid"/>
        <w:tblW w:w="9180" w:type="dxa"/>
        <w:tblLook w:val="04A0" w:firstRow="1" w:lastRow="0" w:firstColumn="1" w:lastColumn="0" w:noHBand="0" w:noVBand="1"/>
        <w:tblCaption w:val="Table 15: Estimated use and financial implications "/>
      </w:tblPr>
      <w:tblGrid>
        <w:gridCol w:w="1980"/>
        <w:gridCol w:w="1440"/>
        <w:gridCol w:w="1440"/>
        <w:gridCol w:w="1440"/>
        <w:gridCol w:w="1440"/>
        <w:gridCol w:w="1440"/>
      </w:tblGrid>
      <w:tr w:rsidR="002D7DD6" w:rsidRPr="005E0DC9" w:rsidTr="0036376A">
        <w:trPr>
          <w:tblHeader/>
        </w:trPr>
        <w:tc>
          <w:tcPr>
            <w:tcW w:w="1980" w:type="dxa"/>
            <w:tcBorders>
              <w:top w:val="nil"/>
              <w:left w:val="nil"/>
            </w:tcBorders>
            <w:vAlign w:val="center"/>
          </w:tcPr>
          <w:p w:rsidR="002D7DD6" w:rsidRPr="005E0DC9" w:rsidRDefault="002D7DD6" w:rsidP="0036376A">
            <w:pPr>
              <w:jc w:val="left"/>
              <w:rPr>
                <w:rFonts w:ascii="Arial Narrow" w:hAnsi="Arial Narrow"/>
                <w:b/>
                <w:sz w:val="20"/>
              </w:rPr>
            </w:pPr>
          </w:p>
        </w:tc>
        <w:tc>
          <w:tcPr>
            <w:tcW w:w="1440" w:type="dxa"/>
            <w:vAlign w:val="center"/>
          </w:tcPr>
          <w:p w:rsidR="002D7DD6" w:rsidRPr="005E0DC9" w:rsidRDefault="002D7DD6" w:rsidP="0036376A">
            <w:pPr>
              <w:jc w:val="center"/>
              <w:rPr>
                <w:rFonts w:ascii="Arial Narrow" w:hAnsi="Arial Narrow"/>
                <w:b/>
                <w:sz w:val="20"/>
              </w:rPr>
            </w:pPr>
            <w:r w:rsidRPr="005E0DC9">
              <w:rPr>
                <w:rFonts w:ascii="Arial Narrow" w:hAnsi="Arial Narrow"/>
                <w:b/>
                <w:sz w:val="20"/>
              </w:rPr>
              <w:t>Year 1</w:t>
            </w:r>
          </w:p>
        </w:tc>
        <w:tc>
          <w:tcPr>
            <w:tcW w:w="1440" w:type="dxa"/>
            <w:vAlign w:val="center"/>
          </w:tcPr>
          <w:p w:rsidR="002D7DD6" w:rsidRPr="005E0DC9" w:rsidRDefault="002D7DD6" w:rsidP="0036376A">
            <w:pPr>
              <w:jc w:val="center"/>
              <w:rPr>
                <w:rFonts w:ascii="Arial Narrow" w:hAnsi="Arial Narrow"/>
                <w:b/>
                <w:sz w:val="20"/>
              </w:rPr>
            </w:pPr>
            <w:r w:rsidRPr="005E0DC9">
              <w:rPr>
                <w:rFonts w:ascii="Arial Narrow" w:hAnsi="Arial Narrow"/>
                <w:b/>
                <w:sz w:val="20"/>
              </w:rPr>
              <w:t>Year 2</w:t>
            </w:r>
          </w:p>
        </w:tc>
        <w:tc>
          <w:tcPr>
            <w:tcW w:w="1440" w:type="dxa"/>
            <w:vAlign w:val="center"/>
          </w:tcPr>
          <w:p w:rsidR="002D7DD6" w:rsidRPr="005E0DC9" w:rsidRDefault="002D7DD6" w:rsidP="0036376A">
            <w:pPr>
              <w:jc w:val="center"/>
              <w:rPr>
                <w:rFonts w:ascii="Arial Narrow" w:hAnsi="Arial Narrow"/>
                <w:b/>
                <w:sz w:val="20"/>
              </w:rPr>
            </w:pPr>
            <w:r w:rsidRPr="005E0DC9">
              <w:rPr>
                <w:rFonts w:ascii="Arial Narrow" w:hAnsi="Arial Narrow"/>
                <w:b/>
                <w:sz w:val="20"/>
              </w:rPr>
              <w:t>Year 3</w:t>
            </w:r>
          </w:p>
        </w:tc>
        <w:tc>
          <w:tcPr>
            <w:tcW w:w="1440" w:type="dxa"/>
            <w:vAlign w:val="center"/>
          </w:tcPr>
          <w:p w:rsidR="002D7DD6" w:rsidRPr="005E0DC9" w:rsidRDefault="002D7DD6" w:rsidP="0036376A">
            <w:pPr>
              <w:jc w:val="center"/>
              <w:rPr>
                <w:rFonts w:ascii="Arial Narrow" w:hAnsi="Arial Narrow"/>
                <w:b/>
                <w:sz w:val="20"/>
              </w:rPr>
            </w:pPr>
            <w:r w:rsidRPr="005E0DC9">
              <w:rPr>
                <w:rFonts w:ascii="Arial Narrow" w:hAnsi="Arial Narrow"/>
                <w:b/>
                <w:sz w:val="20"/>
              </w:rPr>
              <w:t>Year 4</w:t>
            </w:r>
          </w:p>
        </w:tc>
        <w:tc>
          <w:tcPr>
            <w:tcW w:w="1440" w:type="dxa"/>
            <w:vAlign w:val="center"/>
          </w:tcPr>
          <w:p w:rsidR="002D7DD6" w:rsidRPr="005E0DC9" w:rsidRDefault="002D7DD6" w:rsidP="0036376A">
            <w:pPr>
              <w:jc w:val="center"/>
              <w:rPr>
                <w:rFonts w:ascii="Arial Narrow" w:hAnsi="Arial Narrow"/>
                <w:b/>
                <w:sz w:val="20"/>
              </w:rPr>
            </w:pPr>
            <w:r w:rsidRPr="005E0DC9">
              <w:rPr>
                <w:rFonts w:ascii="Arial Narrow" w:hAnsi="Arial Narrow"/>
                <w:b/>
                <w:sz w:val="20"/>
              </w:rPr>
              <w:t>Year 5</w:t>
            </w:r>
          </w:p>
        </w:tc>
      </w:tr>
      <w:tr w:rsidR="002D7DD6" w:rsidRPr="005E0DC9" w:rsidTr="0036376A">
        <w:tc>
          <w:tcPr>
            <w:tcW w:w="9180" w:type="dxa"/>
            <w:gridSpan w:val="6"/>
            <w:vAlign w:val="center"/>
          </w:tcPr>
          <w:p w:rsidR="002D7DD6" w:rsidRPr="005E0DC9" w:rsidRDefault="002D7DD6" w:rsidP="0036376A">
            <w:pPr>
              <w:jc w:val="left"/>
              <w:rPr>
                <w:rFonts w:ascii="Arial Narrow" w:hAnsi="Arial Narrow"/>
                <w:b/>
                <w:sz w:val="20"/>
              </w:rPr>
            </w:pPr>
            <w:r w:rsidRPr="005E0DC9">
              <w:rPr>
                <w:rFonts w:ascii="Arial Narrow" w:hAnsi="Arial Narrow"/>
                <w:b/>
                <w:sz w:val="20"/>
              </w:rPr>
              <w:t>Estimated extent of use</w:t>
            </w:r>
          </w:p>
        </w:tc>
      </w:tr>
      <w:tr w:rsidR="002D7DD6" w:rsidRPr="005E0DC9" w:rsidTr="0036376A">
        <w:tc>
          <w:tcPr>
            <w:tcW w:w="1980" w:type="dxa"/>
            <w:vAlign w:val="center"/>
          </w:tcPr>
          <w:p w:rsidR="002D7DD6" w:rsidRPr="005E0DC9" w:rsidRDefault="002D7DD6" w:rsidP="0036376A">
            <w:pPr>
              <w:jc w:val="left"/>
              <w:rPr>
                <w:rFonts w:ascii="Arial Narrow" w:hAnsi="Arial Narrow"/>
                <w:sz w:val="20"/>
              </w:rPr>
            </w:pPr>
            <w:r w:rsidRPr="005E0DC9">
              <w:rPr>
                <w:rFonts w:ascii="Arial Narrow" w:hAnsi="Arial Narrow"/>
                <w:sz w:val="20"/>
              </w:rPr>
              <w:t xml:space="preserve">Number of </w:t>
            </w:r>
            <w:r w:rsidRPr="005E0DC9">
              <w:rPr>
                <w:rFonts w:ascii="Arial Narrow" w:hAnsi="Arial Narrow"/>
                <w:i/>
                <w:sz w:val="20"/>
              </w:rPr>
              <w:t xml:space="preserve">incident </w:t>
            </w:r>
            <w:r w:rsidRPr="005E0DC9">
              <w:rPr>
                <w:rFonts w:ascii="Arial Narrow" w:hAnsi="Arial Narrow"/>
                <w:sz w:val="20"/>
              </w:rPr>
              <w:t>patients</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1980" w:type="dxa"/>
            <w:vAlign w:val="center"/>
          </w:tcPr>
          <w:p w:rsidR="002D7DD6" w:rsidRPr="005E0DC9" w:rsidRDefault="002D7DD6" w:rsidP="0036376A">
            <w:pPr>
              <w:jc w:val="left"/>
              <w:rPr>
                <w:rFonts w:ascii="Arial Narrow" w:hAnsi="Arial Narrow"/>
                <w:sz w:val="20"/>
              </w:rPr>
            </w:pPr>
            <w:proofErr w:type="spellStart"/>
            <w:r w:rsidRPr="005E0DC9">
              <w:rPr>
                <w:rFonts w:ascii="Arial Narrow" w:hAnsi="Arial Narrow"/>
                <w:sz w:val="20"/>
              </w:rPr>
              <w:t>Ibrutinib</w:t>
            </w:r>
            <w:proofErr w:type="spellEnd"/>
            <w:r w:rsidRPr="005E0DC9">
              <w:rPr>
                <w:rFonts w:ascii="Arial Narrow" w:hAnsi="Arial Narrow"/>
                <w:sz w:val="20"/>
              </w:rPr>
              <w:t xml:space="preserve"> treatment months</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1980" w:type="dxa"/>
            <w:vAlign w:val="center"/>
          </w:tcPr>
          <w:p w:rsidR="002D7DD6" w:rsidRPr="005E0DC9" w:rsidRDefault="002D7DD6" w:rsidP="0036376A">
            <w:pPr>
              <w:jc w:val="left"/>
              <w:rPr>
                <w:rFonts w:ascii="Arial Narrow" w:hAnsi="Arial Narrow"/>
                <w:sz w:val="20"/>
                <w:vertAlign w:val="superscript"/>
              </w:rPr>
            </w:pPr>
            <w:proofErr w:type="spellStart"/>
            <w:r w:rsidRPr="005E0DC9">
              <w:rPr>
                <w:rFonts w:ascii="Arial Narrow" w:hAnsi="Arial Narrow"/>
                <w:sz w:val="20"/>
              </w:rPr>
              <w:t>Ibrutinib</w:t>
            </w:r>
            <w:proofErr w:type="spellEnd"/>
            <w:r w:rsidRPr="005E0DC9">
              <w:rPr>
                <w:rFonts w:ascii="Arial Narrow" w:hAnsi="Arial Narrow"/>
                <w:sz w:val="20"/>
              </w:rPr>
              <w:t xml:space="preserve"> </w:t>
            </w:r>
            <w:proofErr w:type="spellStart"/>
            <w:r w:rsidRPr="005E0DC9">
              <w:rPr>
                <w:rFonts w:ascii="Arial Narrow" w:hAnsi="Arial Narrow"/>
                <w:sz w:val="20"/>
              </w:rPr>
              <w:t>packs</w:t>
            </w:r>
            <w:r w:rsidRPr="005E0DC9">
              <w:rPr>
                <w:rFonts w:ascii="Arial Narrow" w:hAnsi="Arial Narrow"/>
                <w:sz w:val="20"/>
                <w:vertAlign w:val="superscript"/>
              </w:rPr>
              <w:t>a</w:t>
            </w:r>
            <w:proofErr w:type="spellEnd"/>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9180" w:type="dxa"/>
            <w:gridSpan w:val="6"/>
            <w:vAlign w:val="center"/>
          </w:tcPr>
          <w:p w:rsidR="002D7DD6" w:rsidRPr="005E0DC9" w:rsidRDefault="002D7DD6" w:rsidP="0036376A">
            <w:pPr>
              <w:jc w:val="left"/>
              <w:rPr>
                <w:rFonts w:ascii="Arial Narrow" w:hAnsi="Arial Narrow"/>
                <w:b/>
                <w:i/>
                <w:sz w:val="20"/>
              </w:rPr>
            </w:pPr>
            <w:r w:rsidRPr="005E0DC9">
              <w:rPr>
                <w:rFonts w:ascii="Arial Narrow" w:hAnsi="Arial Narrow"/>
                <w:b/>
                <w:sz w:val="20"/>
              </w:rPr>
              <w:t xml:space="preserve">Estimated financial implications of </w:t>
            </w:r>
            <w:proofErr w:type="spellStart"/>
            <w:r w:rsidRPr="005E0DC9">
              <w:rPr>
                <w:rFonts w:ascii="Arial Narrow" w:hAnsi="Arial Narrow"/>
                <w:b/>
                <w:sz w:val="20"/>
              </w:rPr>
              <w:t>ibrutinib</w:t>
            </w:r>
            <w:proofErr w:type="spellEnd"/>
          </w:p>
        </w:tc>
      </w:tr>
      <w:tr w:rsidR="002D7DD6" w:rsidRPr="005E0DC9" w:rsidTr="0036376A">
        <w:tc>
          <w:tcPr>
            <w:tcW w:w="1980" w:type="dxa"/>
            <w:vAlign w:val="center"/>
          </w:tcPr>
          <w:p w:rsidR="002D7DD6" w:rsidRPr="005E0DC9" w:rsidRDefault="002D7DD6" w:rsidP="0036376A">
            <w:pPr>
              <w:jc w:val="left"/>
              <w:rPr>
                <w:rFonts w:ascii="Arial Narrow" w:hAnsi="Arial Narrow"/>
                <w:sz w:val="20"/>
                <w:vertAlign w:val="superscript"/>
              </w:rPr>
            </w:pPr>
            <w:r w:rsidRPr="005E0DC9">
              <w:rPr>
                <w:rFonts w:ascii="Arial Narrow" w:hAnsi="Arial Narrow"/>
                <w:sz w:val="20"/>
              </w:rPr>
              <w:t>Cost to PBS/</w:t>
            </w:r>
            <w:proofErr w:type="spellStart"/>
            <w:r w:rsidRPr="005E0DC9">
              <w:rPr>
                <w:rFonts w:ascii="Arial Narrow" w:hAnsi="Arial Narrow"/>
                <w:sz w:val="20"/>
              </w:rPr>
              <w:t>RPBS</w:t>
            </w:r>
            <w:r w:rsidRPr="005E0DC9">
              <w:rPr>
                <w:rFonts w:ascii="Arial Narrow" w:hAnsi="Arial Narrow"/>
                <w:sz w:val="20"/>
                <w:vertAlign w:val="superscript"/>
              </w:rPr>
              <w:t>b</w:t>
            </w:r>
            <w:proofErr w:type="spellEnd"/>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1980" w:type="dxa"/>
            <w:vAlign w:val="center"/>
          </w:tcPr>
          <w:p w:rsidR="002D7DD6" w:rsidRPr="005E0DC9" w:rsidRDefault="002D7DD6" w:rsidP="0036376A">
            <w:pPr>
              <w:jc w:val="left"/>
              <w:rPr>
                <w:rFonts w:ascii="Arial Narrow" w:hAnsi="Arial Narrow"/>
                <w:sz w:val="20"/>
              </w:rPr>
            </w:pPr>
            <w:r w:rsidRPr="005E0DC9">
              <w:rPr>
                <w:rFonts w:ascii="Arial Narrow" w:hAnsi="Arial Narrow"/>
                <w:sz w:val="20"/>
              </w:rPr>
              <w:t>Patient co-payment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1980" w:type="dxa"/>
            <w:vAlign w:val="center"/>
          </w:tcPr>
          <w:p w:rsidR="002D7DD6" w:rsidRPr="005E0DC9" w:rsidRDefault="002D7DD6" w:rsidP="0036376A">
            <w:pPr>
              <w:jc w:val="left"/>
              <w:rPr>
                <w:rFonts w:ascii="Arial Narrow" w:hAnsi="Arial Narrow"/>
                <w:sz w:val="20"/>
              </w:rPr>
            </w:pPr>
            <w:r w:rsidRPr="005E0DC9">
              <w:rPr>
                <w:rFonts w:ascii="Arial Narrow" w:hAnsi="Arial Narrow"/>
                <w:sz w:val="20"/>
              </w:rPr>
              <w:t>Net cost to PBS/RPBS</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9180" w:type="dxa"/>
            <w:gridSpan w:val="6"/>
            <w:vAlign w:val="center"/>
          </w:tcPr>
          <w:p w:rsidR="002D7DD6" w:rsidRPr="005E0DC9" w:rsidRDefault="002D7DD6" w:rsidP="0036376A">
            <w:pPr>
              <w:jc w:val="left"/>
              <w:rPr>
                <w:rFonts w:ascii="Arial Narrow" w:hAnsi="Arial Narrow"/>
                <w:b/>
                <w:i/>
                <w:sz w:val="20"/>
              </w:rPr>
            </w:pPr>
            <w:r w:rsidRPr="005E0DC9">
              <w:rPr>
                <w:rFonts w:ascii="Arial Narrow" w:hAnsi="Arial Narrow"/>
                <w:b/>
                <w:sz w:val="20"/>
              </w:rPr>
              <w:t>Estimated financial implications for substituted therapies</w:t>
            </w:r>
          </w:p>
        </w:tc>
      </w:tr>
      <w:tr w:rsidR="002D7DD6" w:rsidRPr="005E0DC9" w:rsidTr="0036376A">
        <w:tc>
          <w:tcPr>
            <w:tcW w:w="9180" w:type="dxa"/>
            <w:gridSpan w:val="6"/>
            <w:vAlign w:val="center"/>
          </w:tcPr>
          <w:p w:rsidR="002D7DD6" w:rsidRPr="005E0DC9" w:rsidRDefault="002D7DD6" w:rsidP="0036376A">
            <w:pPr>
              <w:jc w:val="left"/>
              <w:rPr>
                <w:rFonts w:ascii="Arial Narrow" w:hAnsi="Arial Narrow"/>
                <w:sz w:val="20"/>
              </w:rPr>
            </w:pPr>
            <w:r w:rsidRPr="005E0DC9">
              <w:rPr>
                <w:rFonts w:ascii="Arial Narrow" w:hAnsi="Arial Narrow"/>
                <w:sz w:val="20"/>
              </w:rPr>
              <w:t>Cost to PBS/</w:t>
            </w:r>
            <w:proofErr w:type="spellStart"/>
            <w:r w:rsidRPr="005E0DC9">
              <w:rPr>
                <w:rFonts w:ascii="Arial Narrow" w:hAnsi="Arial Narrow"/>
                <w:sz w:val="20"/>
              </w:rPr>
              <w:t>RPBS</w:t>
            </w:r>
            <w:r w:rsidRPr="005E0DC9">
              <w:rPr>
                <w:rFonts w:ascii="Arial Narrow" w:hAnsi="Arial Narrow"/>
                <w:sz w:val="20"/>
                <w:vertAlign w:val="superscript"/>
              </w:rPr>
              <w:t>b</w:t>
            </w:r>
            <w:proofErr w:type="spellEnd"/>
            <w:r w:rsidRPr="005E0DC9">
              <w:rPr>
                <w:rFonts w:ascii="Arial Narrow" w:hAnsi="Arial Narrow"/>
                <w:sz w:val="20"/>
              </w:rPr>
              <w:t>:</w:t>
            </w:r>
          </w:p>
        </w:tc>
      </w:tr>
      <w:tr w:rsidR="002D7DD6" w:rsidRPr="005E0DC9" w:rsidTr="0036376A">
        <w:tc>
          <w:tcPr>
            <w:tcW w:w="1980" w:type="dxa"/>
            <w:vAlign w:val="center"/>
          </w:tcPr>
          <w:p w:rsidR="002D7DD6" w:rsidRPr="005E0DC9" w:rsidRDefault="002D7DD6" w:rsidP="0036376A">
            <w:pPr>
              <w:jc w:val="left"/>
              <w:rPr>
                <w:rFonts w:ascii="Arial Narrow" w:hAnsi="Arial Narrow"/>
                <w:sz w:val="20"/>
              </w:rPr>
            </w:pPr>
            <w:r w:rsidRPr="005E0DC9">
              <w:rPr>
                <w:rFonts w:ascii="Arial Narrow" w:hAnsi="Arial Narrow"/>
                <w:sz w:val="20"/>
              </w:rPr>
              <w:t>Rituximab</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1980" w:type="dxa"/>
            <w:vAlign w:val="center"/>
          </w:tcPr>
          <w:p w:rsidR="002D7DD6" w:rsidRPr="005E0DC9" w:rsidRDefault="002D7DD6" w:rsidP="0036376A">
            <w:pPr>
              <w:jc w:val="left"/>
              <w:rPr>
                <w:rFonts w:ascii="Arial Narrow" w:hAnsi="Arial Narrow"/>
                <w:sz w:val="20"/>
              </w:rPr>
            </w:pPr>
            <w:proofErr w:type="spellStart"/>
            <w:r w:rsidRPr="005E0DC9">
              <w:rPr>
                <w:rFonts w:ascii="Arial Narrow" w:hAnsi="Arial Narrow"/>
                <w:sz w:val="20"/>
              </w:rPr>
              <w:t>Obinutuzumab</w:t>
            </w:r>
            <w:proofErr w:type="spellEnd"/>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1980" w:type="dxa"/>
            <w:vAlign w:val="center"/>
          </w:tcPr>
          <w:p w:rsidR="002D7DD6" w:rsidRPr="005E0DC9" w:rsidRDefault="002D7DD6" w:rsidP="0036376A">
            <w:pPr>
              <w:jc w:val="left"/>
              <w:rPr>
                <w:rFonts w:ascii="Arial Narrow" w:hAnsi="Arial Narrow"/>
                <w:sz w:val="20"/>
              </w:rPr>
            </w:pPr>
            <w:proofErr w:type="spellStart"/>
            <w:r w:rsidRPr="005E0DC9">
              <w:rPr>
                <w:rFonts w:ascii="Arial Narrow" w:hAnsi="Arial Narrow"/>
                <w:sz w:val="20"/>
              </w:rPr>
              <w:t>Ofatumumab</w:t>
            </w:r>
            <w:proofErr w:type="spellEnd"/>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1980" w:type="dxa"/>
            <w:vAlign w:val="center"/>
          </w:tcPr>
          <w:p w:rsidR="002D7DD6" w:rsidRPr="005E0DC9" w:rsidRDefault="002D7DD6" w:rsidP="0036376A">
            <w:pPr>
              <w:jc w:val="left"/>
              <w:rPr>
                <w:rFonts w:ascii="Arial Narrow" w:hAnsi="Arial Narrow"/>
                <w:sz w:val="20"/>
              </w:rPr>
            </w:pPr>
            <w:proofErr w:type="spellStart"/>
            <w:r w:rsidRPr="005E0DC9">
              <w:rPr>
                <w:rFonts w:ascii="Arial Narrow" w:hAnsi="Arial Narrow"/>
                <w:sz w:val="20"/>
              </w:rPr>
              <w:t>Ibrutinib</w:t>
            </w:r>
            <w:proofErr w:type="spellEnd"/>
            <w:r w:rsidRPr="005E0DC9">
              <w:rPr>
                <w:rFonts w:ascii="Arial Narrow" w:hAnsi="Arial Narrow"/>
                <w:sz w:val="20"/>
              </w:rPr>
              <w:t xml:space="preserve"> second-line</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1980" w:type="dxa"/>
            <w:vAlign w:val="center"/>
          </w:tcPr>
          <w:p w:rsidR="002D7DD6" w:rsidRPr="005E0DC9" w:rsidRDefault="002D7DD6" w:rsidP="0036376A">
            <w:pPr>
              <w:jc w:val="left"/>
              <w:rPr>
                <w:rFonts w:ascii="Arial Narrow" w:hAnsi="Arial Narrow"/>
                <w:sz w:val="20"/>
              </w:rPr>
            </w:pPr>
            <w:proofErr w:type="spellStart"/>
            <w:r w:rsidRPr="005E0DC9">
              <w:rPr>
                <w:rFonts w:ascii="Arial Narrow" w:hAnsi="Arial Narrow"/>
                <w:sz w:val="20"/>
              </w:rPr>
              <w:t>Chlorambucil</w:t>
            </w:r>
            <w:proofErr w:type="spellEnd"/>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1980" w:type="dxa"/>
            <w:vAlign w:val="center"/>
          </w:tcPr>
          <w:p w:rsidR="002D7DD6" w:rsidRPr="005E0DC9" w:rsidRDefault="002D7DD6" w:rsidP="0036376A">
            <w:pPr>
              <w:jc w:val="left"/>
              <w:rPr>
                <w:rFonts w:ascii="Arial Narrow" w:hAnsi="Arial Narrow"/>
                <w:sz w:val="20"/>
              </w:rPr>
            </w:pPr>
            <w:proofErr w:type="spellStart"/>
            <w:r w:rsidRPr="005E0DC9">
              <w:rPr>
                <w:rFonts w:ascii="Arial Narrow" w:hAnsi="Arial Narrow"/>
                <w:sz w:val="20"/>
              </w:rPr>
              <w:t>Pegfilgastrim</w:t>
            </w:r>
            <w:proofErr w:type="spellEnd"/>
            <w:r w:rsidRPr="005E0DC9">
              <w:rPr>
                <w:rFonts w:ascii="Arial Narrow" w:hAnsi="Arial Narrow"/>
                <w:sz w:val="20"/>
              </w:rPr>
              <w:t>/G-CSF</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1980" w:type="dxa"/>
            <w:vAlign w:val="center"/>
          </w:tcPr>
          <w:p w:rsidR="002D7DD6" w:rsidRPr="005E0DC9" w:rsidRDefault="002D7DD6" w:rsidP="0036376A">
            <w:pPr>
              <w:jc w:val="left"/>
              <w:rPr>
                <w:rFonts w:ascii="Arial Narrow" w:hAnsi="Arial Narrow"/>
                <w:sz w:val="20"/>
              </w:rPr>
            </w:pPr>
            <w:r w:rsidRPr="005E0DC9">
              <w:rPr>
                <w:rFonts w:ascii="Arial Narrow" w:hAnsi="Arial Narrow"/>
                <w:sz w:val="20"/>
              </w:rPr>
              <w:t>Co-payments</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1980" w:type="dxa"/>
            <w:vAlign w:val="center"/>
          </w:tcPr>
          <w:p w:rsidR="002D7DD6" w:rsidRPr="005E0DC9" w:rsidRDefault="002D7DD6" w:rsidP="0036376A">
            <w:pPr>
              <w:jc w:val="left"/>
              <w:rPr>
                <w:rFonts w:ascii="Arial Narrow" w:hAnsi="Arial Narrow"/>
                <w:sz w:val="20"/>
              </w:rPr>
            </w:pPr>
            <w:r w:rsidRPr="005E0DC9">
              <w:rPr>
                <w:rFonts w:ascii="Arial Narrow" w:hAnsi="Arial Narrow"/>
                <w:sz w:val="20"/>
              </w:rPr>
              <w:t>Net cost substituted drugs</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9180" w:type="dxa"/>
            <w:gridSpan w:val="6"/>
            <w:vAlign w:val="center"/>
          </w:tcPr>
          <w:p w:rsidR="002D7DD6" w:rsidRPr="005E0DC9" w:rsidRDefault="002D7DD6" w:rsidP="0036376A">
            <w:pPr>
              <w:jc w:val="left"/>
              <w:rPr>
                <w:rFonts w:ascii="Arial Narrow" w:hAnsi="Arial Narrow"/>
                <w:b/>
                <w:i/>
                <w:sz w:val="20"/>
              </w:rPr>
            </w:pPr>
            <w:r w:rsidRPr="005E0DC9">
              <w:rPr>
                <w:rFonts w:ascii="Arial Narrow" w:hAnsi="Arial Narrow"/>
                <w:b/>
                <w:sz w:val="20"/>
              </w:rPr>
              <w:t>Net financial implications</w:t>
            </w:r>
          </w:p>
        </w:tc>
      </w:tr>
      <w:tr w:rsidR="002D7DD6" w:rsidRPr="005E0DC9" w:rsidTr="0036376A">
        <w:tc>
          <w:tcPr>
            <w:tcW w:w="1980" w:type="dxa"/>
            <w:vAlign w:val="center"/>
          </w:tcPr>
          <w:p w:rsidR="002D7DD6" w:rsidRPr="005E0DC9" w:rsidRDefault="002D7DD6" w:rsidP="0036376A">
            <w:pPr>
              <w:jc w:val="left"/>
              <w:rPr>
                <w:rFonts w:ascii="Arial Narrow" w:hAnsi="Arial Narrow"/>
                <w:b/>
                <w:sz w:val="20"/>
              </w:rPr>
            </w:pPr>
            <w:r w:rsidRPr="005E0DC9">
              <w:rPr>
                <w:rFonts w:ascii="Arial Narrow" w:hAnsi="Arial Narrow"/>
                <w:b/>
                <w:sz w:val="20"/>
              </w:rPr>
              <w:t>Net cost to PBS/RPBS</w:t>
            </w:r>
          </w:p>
        </w:tc>
        <w:tc>
          <w:tcPr>
            <w:tcW w:w="1440" w:type="dxa"/>
            <w:vAlign w:val="bottom"/>
          </w:tcPr>
          <w:p w:rsidR="002D7DD6" w:rsidRPr="00773C23" w:rsidRDefault="00773C23" w:rsidP="0036376A">
            <w:pPr>
              <w:jc w:val="center"/>
              <w:rPr>
                <w:rFonts w:ascii="Arial Narrow" w:hAnsi="Arial Narrow"/>
                <w:b/>
                <w:sz w:val="20"/>
                <w:highlight w:val="black"/>
              </w:rPr>
            </w:pPr>
            <w:r>
              <w:rPr>
                <w:rFonts w:ascii="Arial Narrow" w:hAnsi="Arial Narrow"/>
                <w:b/>
                <w:noProof/>
                <w:color w:val="000000"/>
                <w:sz w:val="20"/>
                <w:highlight w:val="black"/>
              </w:rPr>
              <w:t>''''''''''''''''''''''</w:t>
            </w:r>
          </w:p>
        </w:tc>
        <w:tc>
          <w:tcPr>
            <w:tcW w:w="1440" w:type="dxa"/>
            <w:vAlign w:val="bottom"/>
          </w:tcPr>
          <w:p w:rsidR="002D7DD6" w:rsidRPr="00773C23" w:rsidRDefault="00773C23" w:rsidP="0036376A">
            <w:pPr>
              <w:jc w:val="center"/>
              <w:rPr>
                <w:rFonts w:ascii="Arial Narrow" w:hAnsi="Arial Narrow"/>
                <w:b/>
                <w:sz w:val="20"/>
                <w:highlight w:val="black"/>
              </w:rPr>
            </w:pPr>
            <w:r>
              <w:rPr>
                <w:rFonts w:ascii="Arial Narrow" w:hAnsi="Arial Narrow"/>
                <w:b/>
                <w:noProof/>
                <w:color w:val="000000"/>
                <w:sz w:val="20"/>
                <w:highlight w:val="black"/>
              </w:rPr>
              <w:t>''''''''''''''''''''''''</w:t>
            </w:r>
          </w:p>
        </w:tc>
        <w:tc>
          <w:tcPr>
            <w:tcW w:w="1440" w:type="dxa"/>
            <w:vAlign w:val="bottom"/>
          </w:tcPr>
          <w:p w:rsidR="002D7DD6" w:rsidRPr="00773C23" w:rsidRDefault="00773C23" w:rsidP="0036376A">
            <w:pPr>
              <w:jc w:val="center"/>
              <w:rPr>
                <w:rFonts w:ascii="Arial Narrow" w:hAnsi="Arial Narrow"/>
                <w:b/>
                <w:sz w:val="20"/>
                <w:highlight w:val="black"/>
              </w:rPr>
            </w:pPr>
            <w:r>
              <w:rPr>
                <w:rFonts w:ascii="Arial Narrow" w:hAnsi="Arial Narrow"/>
                <w:b/>
                <w:noProof/>
                <w:color w:val="000000"/>
                <w:sz w:val="20"/>
                <w:highlight w:val="black"/>
              </w:rPr>
              <w:t>'''''''''''''''''''''''</w:t>
            </w:r>
          </w:p>
        </w:tc>
        <w:tc>
          <w:tcPr>
            <w:tcW w:w="1440" w:type="dxa"/>
            <w:vAlign w:val="bottom"/>
          </w:tcPr>
          <w:p w:rsidR="002D7DD6" w:rsidRPr="00773C23" w:rsidRDefault="00773C23" w:rsidP="0036376A">
            <w:pPr>
              <w:jc w:val="center"/>
              <w:rPr>
                <w:rFonts w:ascii="Arial Narrow" w:hAnsi="Arial Narrow"/>
                <w:b/>
                <w:sz w:val="20"/>
                <w:highlight w:val="black"/>
              </w:rPr>
            </w:pPr>
            <w:r>
              <w:rPr>
                <w:rFonts w:ascii="Arial Narrow" w:hAnsi="Arial Narrow"/>
                <w:b/>
                <w:noProof/>
                <w:color w:val="000000"/>
                <w:sz w:val="20"/>
                <w:highlight w:val="black"/>
              </w:rPr>
              <w:t>''''''''''''''''''''''</w:t>
            </w:r>
          </w:p>
        </w:tc>
        <w:tc>
          <w:tcPr>
            <w:tcW w:w="1440" w:type="dxa"/>
            <w:vAlign w:val="bottom"/>
          </w:tcPr>
          <w:p w:rsidR="002D7DD6" w:rsidRPr="00773C23" w:rsidRDefault="00773C23" w:rsidP="0036376A">
            <w:pPr>
              <w:jc w:val="center"/>
              <w:rPr>
                <w:rFonts w:ascii="Arial Narrow" w:hAnsi="Arial Narrow"/>
                <w:b/>
                <w:sz w:val="20"/>
                <w:highlight w:val="black"/>
              </w:rPr>
            </w:pPr>
            <w:r>
              <w:rPr>
                <w:rFonts w:ascii="Arial Narrow" w:hAnsi="Arial Narrow"/>
                <w:b/>
                <w:noProof/>
                <w:color w:val="000000"/>
                <w:sz w:val="20"/>
                <w:highlight w:val="black"/>
              </w:rPr>
              <w:t>''''''''''''''''''''''''''</w:t>
            </w:r>
          </w:p>
        </w:tc>
      </w:tr>
      <w:tr w:rsidR="002D7DD6" w:rsidRPr="005E0DC9" w:rsidTr="0036376A">
        <w:tc>
          <w:tcPr>
            <w:tcW w:w="1980" w:type="dxa"/>
            <w:vAlign w:val="center"/>
          </w:tcPr>
          <w:p w:rsidR="002D7DD6" w:rsidRPr="005E0DC9" w:rsidRDefault="002D7DD6" w:rsidP="0036376A">
            <w:pPr>
              <w:jc w:val="left"/>
              <w:rPr>
                <w:rFonts w:ascii="Arial Narrow" w:hAnsi="Arial Narrow"/>
                <w:sz w:val="20"/>
                <w:vertAlign w:val="superscript"/>
              </w:rPr>
            </w:pPr>
            <w:r w:rsidRPr="005E0DC9">
              <w:rPr>
                <w:rFonts w:ascii="Arial Narrow" w:hAnsi="Arial Narrow"/>
                <w:sz w:val="20"/>
              </w:rPr>
              <w:t xml:space="preserve">Cost of MBS </w:t>
            </w:r>
            <w:proofErr w:type="spellStart"/>
            <w:r w:rsidRPr="005E0DC9">
              <w:rPr>
                <w:rFonts w:ascii="Arial Narrow" w:hAnsi="Arial Narrow"/>
                <w:sz w:val="20"/>
              </w:rPr>
              <w:t>infusions</w:t>
            </w:r>
            <w:r w:rsidRPr="005E0DC9">
              <w:rPr>
                <w:rFonts w:ascii="Arial Narrow" w:hAnsi="Arial Narrow"/>
                <w:sz w:val="20"/>
                <w:vertAlign w:val="superscript"/>
              </w:rPr>
              <w:t>c</w:t>
            </w:r>
            <w:proofErr w:type="spellEnd"/>
          </w:p>
        </w:tc>
        <w:tc>
          <w:tcPr>
            <w:tcW w:w="1440" w:type="dxa"/>
            <w:vAlign w:val="bottom"/>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bottom"/>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bottom"/>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bottom"/>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c>
          <w:tcPr>
            <w:tcW w:w="1440" w:type="dxa"/>
            <w:vAlign w:val="bottom"/>
          </w:tcPr>
          <w:p w:rsidR="002D7DD6" w:rsidRPr="00773C23" w:rsidRDefault="00773C23" w:rsidP="0036376A">
            <w:pPr>
              <w:jc w:val="center"/>
              <w:rPr>
                <w:rFonts w:ascii="Arial Narrow" w:hAnsi="Arial Narrow"/>
                <w:sz w:val="20"/>
                <w:highlight w:val="black"/>
              </w:rPr>
            </w:pPr>
            <w:r>
              <w:rPr>
                <w:rFonts w:ascii="Arial Narrow" w:hAnsi="Arial Narrow"/>
                <w:noProof/>
                <w:color w:val="000000"/>
                <w:sz w:val="20"/>
                <w:highlight w:val="black"/>
              </w:rPr>
              <w:t>'''''''''''''''''''''''</w:t>
            </w:r>
          </w:p>
        </w:tc>
      </w:tr>
      <w:tr w:rsidR="002D7DD6" w:rsidRPr="005E0DC9" w:rsidTr="0036376A">
        <w:tc>
          <w:tcPr>
            <w:tcW w:w="1980" w:type="dxa"/>
            <w:vAlign w:val="center"/>
          </w:tcPr>
          <w:p w:rsidR="002D7DD6" w:rsidRPr="005E0DC9" w:rsidRDefault="002D7DD6" w:rsidP="0036376A">
            <w:pPr>
              <w:jc w:val="left"/>
              <w:rPr>
                <w:rFonts w:ascii="Arial Narrow" w:hAnsi="Arial Narrow"/>
                <w:b/>
                <w:sz w:val="20"/>
              </w:rPr>
            </w:pPr>
            <w:r w:rsidRPr="005E0DC9">
              <w:rPr>
                <w:rFonts w:ascii="Arial Narrow" w:hAnsi="Arial Narrow"/>
                <w:b/>
                <w:sz w:val="20"/>
              </w:rPr>
              <w:t>Overall net cost to Government</w:t>
            </w:r>
          </w:p>
        </w:tc>
        <w:tc>
          <w:tcPr>
            <w:tcW w:w="1440" w:type="dxa"/>
            <w:vAlign w:val="center"/>
          </w:tcPr>
          <w:p w:rsidR="002D7DD6" w:rsidRPr="00773C23" w:rsidRDefault="00773C23" w:rsidP="0036376A">
            <w:pPr>
              <w:jc w:val="center"/>
              <w:rPr>
                <w:rFonts w:ascii="Arial Narrow" w:hAnsi="Arial Narrow"/>
                <w:b/>
                <w:sz w:val="20"/>
                <w:highlight w:val="black"/>
              </w:rPr>
            </w:pPr>
            <w:r>
              <w:rPr>
                <w:rFonts w:ascii="Arial Narrow" w:hAnsi="Arial Narrow"/>
                <w:b/>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b/>
                <w:sz w:val="20"/>
                <w:highlight w:val="black"/>
              </w:rPr>
            </w:pPr>
            <w:r>
              <w:rPr>
                <w:rFonts w:ascii="Arial Narrow" w:hAnsi="Arial Narrow"/>
                <w:b/>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b/>
                <w:sz w:val="20"/>
                <w:highlight w:val="black"/>
              </w:rPr>
            </w:pPr>
            <w:r>
              <w:rPr>
                <w:rFonts w:ascii="Arial Narrow" w:hAnsi="Arial Narrow"/>
                <w:b/>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b/>
                <w:sz w:val="20"/>
                <w:highlight w:val="black"/>
              </w:rPr>
            </w:pPr>
            <w:r>
              <w:rPr>
                <w:rFonts w:ascii="Arial Narrow" w:hAnsi="Arial Narrow"/>
                <w:b/>
                <w:noProof/>
                <w:color w:val="000000"/>
                <w:sz w:val="20"/>
                <w:highlight w:val="black"/>
              </w:rPr>
              <w:t>''''''''''''''''''''''</w:t>
            </w:r>
          </w:p>
        </w:tc>
        <w:tc>
          <w:tcPr>
            <w:tcW w:w="1440" w:type="dxa"/>
            <w:vAlign w:val="center"/>
          </w:tcPr>
          <w:p w:rsidR="002D7DD6" w:rsidRPr="00773C23" w:rsidRDefault="00773C23" w:rsidP="0036376A">
            <w:pPr>
              <w:jc w:val="center"/>
              <w:rPr>
                <w:rFonts w:ascii="Arial Narrow" w:hAnsi="Arial Narrow"/>
                <w:b/>
                <w:sz w:val="20"/>
                <w:highlight w:val="black"/>
              </w:rPr>
            </w:pPr>
            <w:r>
              <w:rPr>
                <w:rFonts w:ascii="Arial Narrow" w:hAnsi="Arial Narrow"/>
                <w:b/>
                <w:noProof/>
                <w:color w:val="000000"/>
                <w:sz w:val="20"/>
                <w:highlight w:val="black"/>
              </w:rPr>
              <w:t>'''''''''''''''''''''''''</w:t>
            </w:r>
          </w:p>
        </w:tc>
      </w:tr>
    </w:tbl>
    <w:p w:rsidR="002D7DD6" w:rsidRPr="005E0DC9" w:rsidRDefault="002D7DD6" w:rsidP="002D7DD6">
      <w:pPr>
        <w:pStyle w:val="TableFooter"/>
      </w:pPr>
      <w:r w:rsidRPr="005E0DC9">
        <w:t>Note:</w:t>
      </w:r>
    </w:p>
    <w:p w:rsidR="002D7DD6" w:rsidRPr="005E0DC9" w:rsidRDefault="002D7DD6" w:rsidP="002D7DD6">
      <w:pPr>
        <w:pStyle w:val="TableFooter"/>
      </w:pPr>
      <w:r w:rsidRPr="005E0DC9">
        <w:rPr>
          <w:vertAlign w:val="superscript"/>
        </w:rPr>
        <w:t>a</w:t>
      </w:r>
      <w:r w:rsidRPr="005E0DC9">
        <w:t xml:space="preserve"> </w:t>
      </w:r>
      <w:r w:rsidR="00773C23">
        <w:rPr>
          <w:noProof/>
          <w:color w:val="000000"/>
          <w:highlight w:val="black"/>
        </w:rPr>
        <w:t>''''''''''''''''''''''' ''''''''''' '''''''''''''' '''''''' '''''''''''''' ''''''' ''''''''''' '''''' '''''''''''''''''''''' '''''' '''''''' ''''''''''''''''''''''''''' ''''''''''' ''''''''''' ''''''''''''''''' '''''''''''''''''''''' ''''''''' '''''''''' ''''''' '''''''''''''''' ''''' ''''''''''''''''''' '''''''' ''''''''''' '''''''''''''''''''''' ''''''''''''' ''''''' '''''''''''''' ''''''''''''' ''''''' '''''''' ''''''''''''''''''''''''''''''''' '''''''' ''''''''' ''''''' ''''''''''''''''' ''' '''''''''''''''' ''' ''''''''''' ''''''''''''''''' ''''''''' ''''''''''''''''' ''''' ''''''''''''' '''''''''''''''''''' '''''''''''''''''''''''''' ''''''''''''''''''''''' ''''''''''''''''''' ''''' '''''''''''''''' ''''''''''''''''''''' '''''''''' '''''''''''''''''''''''''''''' '''''''''''' '''''''''''''' ''''''''''' '''''''''' ''''''''''''''''''' ''''' ''''''''''''''''''</w:t>
      </w:r>
    </w:p>
    <w:p w:rsidR="002D7DD6" w:rsidRPr="005E0DC9" w:rsidRDefault="002D7DD6" w:rsidP="002D7DD6">
      <w:pPr>
        <w:pStyle w:val="TableFooter"/>
      </w:pPr>
      <w:proofErr w:type="gramStart"/>
      <w:r w:rsidRPr="005E0DC9">
        <w:rPr>
          <w:vertAlign w:val="superscript"/>
        </w:rPr>
        <w:t>b</w:t>
      </w:r>
      <w:proofErr w:type="gramEnd"/>
      <w:r w:rsidRPr="005E0DC9">
        <w:t xml:space="preserve"> Drug prices were updated during the evaluation to include dispensing fees and preparation fees as of 1 July 2017.</w:t>
      </w:r>
    </w:p>
    <w:p w:rsidR="002D7DD6" w:rsidRPr="005E0DC9" w:rsidRDefault="002D7DD6" w:rsidP="002D7DD6">
      <w:pPr>
        <w:pStyle w:val="TableFooter"/>
      </w:pPr>
      <w:proofErr w:type="gramStart"/>
      <w:r w:rsidRPr="005E0DC9">
        <w:rPr>
          <w:vertAlign w:val="superscript"/>
        </w:rPr>
        <w:t>c</w:t>
      </w:r>
      <w:proofErr w:type="gramEnd"/>
      <w:r w:rsidRPr="005E0DC9">
        <w:t xml:space="preserve"> The submission assumes that the substitution of rituximab, </w:t>
      </w:r>
      <w:proofErr w:type="spellStart"/>
      <w:r w:rsidRPr="005E0DC9">
        <w:t>obinutuzumab</w:t>
      </w:r>
      <w:proofErr w:type="spellEnd"/>
      <w:r w:rsidRPr="005E0DC9">
        <w:t xml:space="preserve"> and </w:t>
      </w:r>
      <w:proofErr w:type="spellStart"/>
      <w:r w:rsidRPr="005E0DC9">
        <w:t>ofatumumab</w:t>
      </w:r>
      <w:proofErr w:type="spellEnd"/>
      <w:r w:rsidRPr="005E0DC9">
        <w:t xml:space="preserve">, administered as intravenous infusions, with oral </w:t>
      </w:r>
      <w:proofErr w:type="spellStart"/>
      <w:r w:rsidRPr="005E0DC9">
        <w:t>ibrutinib</w:t>
      </w:r>
      <w:proofErr w:type="spellEnd"/>
      <w:r w:rsidRPr="005E0DC9">
        <w:t xml:space="preserve"> will result in less claims for the MBS infusion item 13918.</w:t>
      </w:r>
    </w:p>
    <w:p w:rsidR="00794D6A" w:rsidRPr="004E1E75" w:rsidRDefault="002D7DD6" w:rsidP="004E1E75">
      <w:pPr>
        <w:pStyle w:val="TableFooter"/>
        <w:spacing w:after="120"/>
        <w:rPr>
          <w:rFonts w:eastAsia="Calibri"/>
          <w:snapToGrid/>
        </w:rPr>
      </w:pPr>
      <w:r w:rsidRPr="005E0DC9">
        <w:t xml:space="preserve">Source: </w:t>
      </w:r>
      <w:r w:rsidR="008304BC" w:rsidRPr="005E0DC9">
        <w:t>Table E.7, p16 and Table E.13, p22 of Section E of the submission.</w:t>
      </w:r>
    </w:p>
    <w:p w:rsidR="00794D6A" w:rsidRDefault="00794D6A" w:rsidP="00794D6A">
      <w:pPr>
        <w:pStyle w:val="ListParagraph"/>
        <w:widowControl/>
        <w:spacing w:after="120"/>
        <w:ind w:left="709"/>
        <w:contextualSpacing w:val="0"/>
        <w:rPr>
          <w:rFonts w:ascii="Calibri" w:eastAsia="Calibri" w:hAnsi="Calibri"/>
          <w:snapToGrid/>
          <w:sz w:val="24"/>
          <w:szCs w:val="22"/>
        </w:rPr>
      </w:pPr>
      <w:r>
        <w:rPr>
          <w:rFonts w:ascii="Calibri" w:eastAsia="Calibri" w:hAnsi="Calibri"/>
          <w:snapToGrid/>
          <w:sz w:val="24"/>
          <w:szCs w:val="22"/>
        </w:rPr>
        <w:t xml:space="preserve">The redacted table shows that at year 5, the estimated number of patients was less than 10,000 per year and the net cost to the PBS would be </w:t>
      </w:r>
      <w:r w:rsidR="00F6126A">
        <w:rPr>
          <w:rFonts w:ascii="Calibri" w:eastAsia="Calibri" w:hAnsi="Calibri"/>
          <w:snapToGrid/>
          <w:sz w:val="24"/>
          <w:szCs w:val="22"/>
        </w:rPr>
        <w:t>$30 - $60 million per year.</w:t>
      </w:r>
    </w:p>
    <w:p w:rsidR="00794D6A" w:rsidRDefault="00794D6A" w:rsidP="00794D6A">
      <w:pPr>
        <w:pStyle w:val="ListParagraph"/>
        <w:widowControl/>
        <w:spacing w:after="120"/>
        <w:ind w:left="709"/>
        <w:contextualSpacing w:val="0"/>
        <w:rPr>
          <w:rFonts w:ascii="Calibri" w:eastAsia="Calibri" w:hAnsi="Calibri"/>
          <w:snapToGrid/>
          <w:sz w:val="24"/>
          <w:szCs w:val="22"/>
        </w:rPr>
      </w:pPr>
    </w:p>
    <w:p w:rsidR="000D65E6" w:rsidRPr="005E0DC9" w:rsidRDefault="000D65E6" w:rsidP="00FA1A53">
      <w:pPr>
        <w:pStyle w:val="ListParagraph"/>
        <w:widowControl/>
        <w:numPr>
          <w:ilvl w:val="1"/>
          <w:numId w:val="11"/>
        </w:numPr>
        <w:spacing w:after="120"/>
        <w:ind w:left="709" w:hanging="709"/>
        <w:contextualSpacing w:val="0"/>
        <w:rPr>
          <w:rFonts w:ascii="Calibri" w:eastAsia="Calibri" w:hAnsi="Calibri"/>
          <w:snapToGrid/>
          <w:sz w:val="24"/>
          <w:szCs w:val="22"/>
        </w:rPr>
      </w:pPr>
      <w:r w:rsidRPr="005E0DC9">
        <w:rPr>
          <w:rFonts w:ascii="Calibri" w:eastAsia="Calibri" w:hAnsi="Calibri"/>
          <w:snapToGrid/>
          <w:sz w:val="24"/>
          <w:szCs w:val="22"/>
        </w:rPr>
        <w:t>DUSC considered the estimates presented in the submission to be underestimated. The main issues were:</w:t>
      </w:r>
    </w:p>
    <w:p w:rsidR="000D65E6" w:rsidRPr="005E0DC9" w:rsidRDefault="000D65E6" w:rsidP="00FA1A53">
      <w:pPr>
        <w:widowControl/>
        <w:numPr>
          <w:ilvl w:val="0"/>
          <w:numId w:val="1"/>
        </w:numPr>
        <w:spacing w:before="120" w:after="160"/>
        <w:ind w:left="993" w:hanging="284"/>
        <w:rPr>
          <w:rFonts w:ascii="Calibri" w:eastAsia="Calibri" w:hAnsi="Calibri"/>
          <w:snapToGrid/>
          <w:sz w:val="24"/>
          <w:szCs w:val="22"/>
        </w:rPr>
      </w:pPr>
      <w:r w:rsidRPr="005E0DC9">
        <w:rPr>
          <w:rFonts w:ascii="Calibri" w:eastAsia="Calibri" w:hAnsi="Calibri"/>
          <w:snapToGrid/>
          <w:sz w:val="24"/>
          <w:szCs w:val="22"/>
        </w:rPr>
        <w:t>Failure to include prevalent patients in the eligible patient population underestimated patient numbers. This included the lack of an estimate of the prevalent pool of untreated patients with diagnosed CLL or SLL.</w:t>
      </w:r>
    </w:p>
    <w:p w:rsidR="000D65E6" w:rsidRPr="005E0DC9" w:rsidRDefault="000D65E6" w:rsidP="00FA1A53">
      <w:pPr>
        <w:widowControl/>
        <w:numPr>
          <w:ilvl w:val="0"/>
          <w:numId w:val="1"/>
        </w:numPr>
        <w:spacing w:before="120" w:after="160"/>
        <w:ind w:left="993" w:hanging="284"/>
        <w:rPr>
          <w:rFonts w:ascii="Calibri" w:eastAsia="Calibri" w:hAnsi="Calibri"/>
          <w:snapToGrid/>
          <w:sz w:val="24"/>
          <w:szCs w:val="22"/>
        </w:rPr>
      </w:pPr>
      <w:r w:rsidRPr="005E0DC9">
        <w:rPr>
          <w:rFonts w:ascii="Calibri" w:eastAsia="Calibri" w:hAnsi="Calibri"/>
          <w:snapToGrid/>
          <w:sz w:val="24"/>
          <w:szCs w:val="22"/>
        </w:rPr>
        <w:t>Use of treatment sequences and treatment durations were based on the economic model that is not likely to reflect usage and cost in practice.</w:t>
      </w:r>
    </w:p>
    <w:p w:rsidR="000D65E6" w:rsidRPr="005E0DC9" w:rsidRDefault="000D65E6" w:rsidP="00FA1A53">
      <w:pPr>
        <w:widowControl/>
        <w:numPr>
          <w:ilvl w:val="0"/>
          <w:numId w:val="1"/>
        </w:numPr>
        <w:spacing w:before="120" w:after="160"/>
        <w:ind w:left="993" w:hanging="284"/>
        <w:rPr>
          <w:rFonts w:ascii="Calibri" w:eastAsia="Calibri" w:hAnsi="Calibri"/>
          <w:snapToGrid/>
          <w:sz w:val="24"/>
          <w:szCs w:val="22"/>
        </w:rPr>
      </w:pPr>
      <w:r w:rsidRPr="005E0DC9">
        <w:rPr>
          <w:rFonts w:ascii="Calibri" w:eastAsia="Calibri" w:hAnsi="Calibri"/>
          <w:snapToGrid/>
          <w:sz w:val="24"/>
          <w:szCs w:val="22"/>
        </w:rPr>
        <w:t>Potential for use beyond expectations given a lack of criteria to define unfit patients.</w:t>
      </w:r>
    </w:p>
    <w:p w:rsidR="000D65E6" w:rsidRDefault="000D65E6" w:rsidP="000D65E6">
      <w:pPr>
        <w:pStyle w:val="ListParagraph"/>
        <w:spacing w:after="120"/>
        <w:rPr>
          <w:rFonts w:ascii="Calibri" w:eastAsia="Calibri" w:hAnsi="Calibri"/>
          <w:i/>
          <w:snapToGrid/>
          <w:sz w:val="24"/>
          <w:szCs w:val="22"/>
        </w:rPr>
      </w:pPr>
      <w:r w:rsidRPr="005E0DC9">
        <w:rPr>
          <w:rFonts w:ascii="Calibri" w:eastAsia="Calibri" w:hAnsi="Calibri"/>
          <w:i/>
          <w:snapToGrid/>
          <w:sz w:val="24"/>
          <w:szCs w:val="22"/>
        </w:rPr>
        <w:t>For more detail on PBAC’s view, see section 7 PBAC outcome</w:t>
      </w:r>
    </w:p>
    <w:p w:rsidR="004E1E75" w:rsidRPr="005E0DC9" w:rsidRDefault="004E1E75" w:rsidP="000D65E6">
      <w:pPr>
        <w:pStyle w:val="ListParagraph"/>
        <w:spacing w:after="120"/>
        <w:rPr>
          <w:rFonts w:ascii="Calibri" w:eastAsia="Calibri" w:hAnsi="Calibri"/>
          <w:i/>
          <w:snapToGrid/>
          <w:sz w:val="24"/>
          <w:szCs w:val="22"/>
        </w:rPr>
      </w:pPr>
    </w:p>
    <w:p w:rsidR="00CF26E1" w:rsidRPr="005E0DC9" w:rsidRDefault="00CF26E1" w:rsidP="00CF26E1">
      <w:pPr>
        <w:pStyle w:val="Heading2"/>
        <w:rPr>
          <w:rFonts w:ascii="Calibri" w:eastAsia="MS Gothic" w:hAnsi="Calibri" w:cs="Times New Roman"/>
          <w:i/>
          <w:snapToGrid/>
          <w:sz w:val="28"/>
          <w:szCs w:val="28"/>
        </w:rPr>
      </w:pPr>
      <w:r w:rsidRPr="005E0DC9">
        <w:rPr>
          <w:rFonts w:ascii="Calibri" w:eastAsia="MS Gothic" w:hAnsi="Calibri" w:cs="Times New Roman"/>
          <w:i/>
          <w:snapToGrid/>
          <w:sz w:val="28"/>
          <w:szCs w:val="28"/>
        </w:rPr>
        <w:t>Quality use of medicines</w:t>
      </w:r>
      <w:bookmarkEnd w:id="40"/>
      <w:bookmarkEnd w:id="41"/>
      <w:bookmarkEnd w:id="42"/>
    </w:p>
    <w:p w:rsidR="000D65E6" w:rsidRPr="005E0DC9" w:rsidRDefault="000D65E6"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lastRenderedPageBreak/>
        <w:t xml:space="preserve">A quality use of medicines program for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was outlined in the submission. In particular, the provision of a patient support program to encourage compliance to the prescribed dose and frequency of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w:t>
      </w:r>
    </w:p>
    <w:p w:rsidR="00CF26E1" w:rsidRPr="005E0DC9" w:rsidRDefault="000D65E6"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 xml:space="preserve">DUSC noted the potential for the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-related </w:t>
      </w:r>
      <w:r w:rsidR="002D7DD6" w:rsidRPr="005E0DC9">
        <w:rPr>
          <w:rFonts w:asciiTheme="minorHAnsi" w:hAnsiTheme="minorHAnsi"/>
          <w:sz w:val="24"/>
          <w:szCs w:val="24"/>
        </w:rPr>
        <w:t>AF</w:t>
      </w:r>
      <w:r w:rsidR="00D0386F">
        <w:rPr>
          <w:rFonts w:asciiTheme="minorHAnsi" w:hAnsiTheme="minorHAnsi"/>
          <w:sz w:val="24"/>
          <w:szCs w:val="24"/>
        </w:rPr>
        <w:t>,</w:t>
      </w:r>
      <w:r w:rsidRPr="005E0DC9">
        <w:rPr>
          <w:rFonts w:asciiTheme="minorHAnsi" w:hAnsiTheme="minorHAnsi"/>
          <w:sz w:val="24"/>
          <w:szCs w:val="24"/>
        </w:rPr>
        <w:t xml:space="preserve"> and that periodic monitoring of all patients for </w:t>
      </w:r>
      <w:r w:rsidR="002D7DD6" w:rsidRPr="005E0DC9">
        <w:rPr>
          <w:rFonts w:asciiTheme="minorHAnsi" w:hAnsiTheme="minorHAnsi"/>
          <w:sz w:val="24"/>
          <w:szCs w:val="24"/>
        </w:rPr>
        <w:t>AF</w:t>
      </w:r>
      <w:r w:rsidRPr="005E0DC9">
        <w:rPr>
          <w:rFonts w:asciiTheme="minorHAnsi" w:hAnsiTheme="minorHAnsi"/>
          <w:sz w:val="24"/>
          <w:szCs w:val="24"/>
        </w:rPr>
        <w:t xml:space="preserve"> is recommended in the Product Information. DUSC considered that the sponsor should have addressed the management of </w:t>
      </w:r>
      <w:r w:rsidR="002D7DD6" w:rsidRPr="005E0DC9">
        <w:rPr>
          <w:rFonts w:asciiTheme="minorHAnsi" w:hAnsiTheme="minorHAnsi"/>
          <w:sz w:val="24"/>
          <w:szCs w:val="24"/>
        </w:rPr>
        <w:t>AF</w:t>
      </w:r>
      <w:r w:rsidRPr="005E0DC9">
        <w:rPr>
          <w:rFonts w:asciiTheme="minorHAnsi" w:hAnsiTheme="minorHAnsi"/>
          <w:sz w:val="24"/>
          <w:szCs w:val="24"/>
        </w:rPr>
        <w:t xml:space="preserve"> in its submission.</w:t>
      </w:r>
    </w:p>
    <w:p w:rsidR="00CF26E1" w:rsidRPr="005E0DC9" w:rsidRDefault="00CF26E1" w:rsidP="005E0DC9">
      <w:pPr>
        <w:pStyle w:val="Heading2"/>
        <w:rPr>
          <w:rFonts w:ascii="Calibri" w:eastAsia="MS Gothic" w:hAnsi="Calibri" w:cs="Times New Roman"/>
          <w:i/>
          <w:snapToGrid/>
          <w:sz w:val="28"/>
          <w:szCs w:val="28"/>
        </w:rPr>
      </w:pPr>
      <w:bookmarkStart w:id="43" w:name="_Toc413139286"/>
      <w:bookmarkStart w:id="44" w:name="_Toc363984498"/>
      <w:bookmarkStart w:id="45" w:name="_Toc493239417"/>
      <w:r w:rsidRPr="005E0DC9">
        <w:rPr>
          <w:rFonts w:ascii="Calibri" w:eastAsia="MS Gothic" w:hAnsi="Calibri" w:cs="Times New Roman"/>
          <w:i/>
          <w:snapToGrid/>
          <w:sz w:val="28"/>
          <w:szCs w:val="28"/>
        </w:rPr>
        <w:t>Financial management – risk sharing arrangements</w:t>
      </w:r>
      <w:bookmarkEnd w:id="43"/>
      <w:bookmarkEnd w:id="44"/>
      <w:bookmarkEnd w:id="45"/>
    </w:p>
    <w:p w:rsidR="00CF26E1" w:rsidRPr="005E0DC9" w:rsidRDefault="00CF26E1" w:rsidP="00FA1A53">
      <w:pPr>
        <w:pStyle w:val="ListParagraph"/>
        <w:widowControl/>
        <w:numPr>
          <w:ilvl w:val="1"/>
          <w:numId w:val="11"/>
        </w:numPr>
        <w:spacing w:after="120"/>
        <w:ind w:left="709" w:hanging="709"/>
        <w:contextualSpacing w:val="0"/>
        <w:rPr>
          <w:rFonts w:asciiTheme="minorHAnsi" w:hAnsiTheme="minorHAnsi"/>
          <w:sz w:val="24"/>
          <w:szCs w:val="24"/>
        </w:rPr>
      </w:pPr>
      <w:r w:rsidRPr="005E0DC9">
        <w:rPr>
          <w:rFonts w:asciiTheme="minorHAnsi" w:hAnsiTheme="minorHAnsi"/>
          <w:sz w:val="24"/>
          <w:szCs w:val="24"/>
        </w:rPr>
        <w:t xml:space="preserve">The submission requested a special pricing arrangement and stated that details of the arrangement would be captured in a Deed of Agreement. The submission did not provide information on details that would be captured in a Deed of Agreement. </w:t>
      </w:r>
    </w:p>
    <w:bookmarkEnd w:id="0"/>
    <w:bookmarkEnd w:id="1"/>
    <w:bookmarkEnd w:id="2"/>
    <w:bookmarkEnd w:id="3"/>
    <w:bookmarkEnd w:id="4"/>
    <w:p w:rsidR="000D65E6" w:rsidRPr="005E0DC9" w:rsidRDefault="000D65E6" w:rsidP="000D65E6">
      <w:pPr>
        <w:pStyle w:val="ListParagraph"/>
        <w:spacing w:after="120"/>
      </w:pPr>
      <w:r w:rsidRPr="005E0DC9">
        <w:rPr>
          <w:rFonts w:cs="Times New Roman"/>
          <w:i/>
          <w:szCs w:val="24"/>
          <w:lang w:eastAsia="en-AU"/>
        </w:rPr>
        <w:t>For more detail on PBAC’s view, see section 7 PBAC outcome</w:t>
      </w:r>
    </w:p>
    <w:p w:rsidR="000D65E6" w:rsidRPr="005E0DC9" w:rsidRDefault="000D65E6" w:rsidP="00FA1A53">
      <w:pPr>
        <w:pStyle w:val="Heading1"/>
        <w:keepNext/>
        <w:keepLines/>
        <w:widowControl/>
        <w:numPr>
          <w:ilvl w:val="0"/>
          <w:numId w:val="11"/>
        </w:numPr>
        <w:spacing w:before="240" w:after="120"/>
        <w:jc w:val="left"/>
        <w:rPr>
          <w:rFonts w:asciiTheme="minorHAnsi" w:eastAsiaTheme="majorEastAsia" w:hAnsiTheme="minorHAnsi" w:cstheme="majorBidi"/>
          <w:caps w:val="0"/>
          <w:snapToGrid/>
          <w:sz w:val="32"/>
          <w:szCs w:val="28"/>
        </w:rPr>
      </w:pPr>
      <w:r w:rsidRPr="005E0DC9">
        <w:rPr>
          <w:rFonts w:asciiTheme="minorHAnsi" w:eastAsiaTheme="majorEastAsia" w:hAnsiTheme="minorHAnsi" w:cstheme="majorBidi"/>
          <w:caps w:val="0"/>
          <w:snapToGrid/>
          <w:sz w:val="32"/>
          <w:szCs w:val="28"/>
        </w:rPr>
        <w:t>PBAC Outcome</w:t>
      </w:r>
    </w:p>
    <w:p w:rsidR="0075085A" w:rsidRPr="00955FEF" w:rsidRDefault="00A36C22" w:rsidP="00955FEF">
      <w:pPr>
        <w:pStyle w:val="ListParagraph"/>
        <w:numPr>
          <w:ilvl w:val="1"/>
          <w:numId w:val="11"/>
        </w:numPr>
        <w:spacing w:after="120"/>
        <w:ind w:left="709" w:hanging="709"/>
        <w:rPr>
          <w:rFonts w:asciiTheme="minorHAnsi" w:hAnsiTheme="minorHAnsi"/>
          <w:bCs/>
          <w:sz w:val="24"/>
          <w:szCs w:val="24"/>
        </w:rPr>
      </w:pPr>
      <w:r w:rsidRPr="00955FEF">
        <w:rPr>
          <w:rFonts w:asciiTheme="minorHAnsi" w:hAnsiTheme="minorHAnsi"/>
          <w:bCs/>
          <w:sz w:val="24"/>
          <w:szCs w:val="24"/>
        </w:rPr>
        <w:t xml:space="preserve">The PBAC did not recommend the Authority </w:t>
      </w:r>
      <w:proofErr w:type="gramStart"/>
      <w:r w:rsidRPr="00955FEF">
        <w:rPr>
          <w:rFonts w:asciiTheme="minorHAnsi" w:hAnsiTheme="minorHAnsi"/>
          <w:bCs/>
          <w:sz w:val="24"/>
          <w:szCs w:val="24"/>
        </w:rPr>
        <w:t>Required</w:t>
      </w:r>
      <w:proofErr w:type="gramEnd"/>
      <w:r w:rsidRPr="00955FEF">
        <w:rPr>
          <w:rFonts w:asciiTheme="minorHAnsi" w:hAnsiTheme="minorHAnsi"/>
          <w:bCs/>
          <w:sz w:val="24"/>
          <w:szCs w:val="24"/>
        </w:rPr>
        <w:t xml:space="preserve"> listing for </w:t>
      </w:r>
      <w:proofErr w:type="spellStart"/>
      <w:r w:rsidRPr="00955FEF">
        <w:rPr>
          <w:rFonts w:asciiTheme="minorHAnsi" w:hAnsiTheme="minorHAnsi"/>
          <w:bCs/>
          <w:sz w:val="24"/>
          <w:szCs w:val="24"/>
        </w:rPr>
        <w:t>ibrutinib</w:t>
      </w:r>
      <w:proofErr w:type="spellEnd"/>
      <w:r w:rsidRPr="00955FEF">
        <w:rPr>
          <w:rFonts w:asciiTheme="minorHAnsi" w:hAnsiTheme="minorHAnsi"/>
          <w:bCs/>
          <w:sz w:val="24"/>
          <w:szCs w:val="24"/>
        </w:rPr>
        <w:t xml:space="preserve"> for patients with previously untreated chronic lymphocytic leukaemia (CLL) or small lymphocytic leukaemia (SLL) who are unsuitable for treatment with </w:t>
      </w:r>
      <w:proofErr w:type="spellStart"/>
      <w:r w:rsidRPr="00955FEF">
        <w:rPr>
          <w:rFonts w:asciiTheme="minorHAnsi" w:hAnsiTheme="minorHAnsi"/>
          <w:bCs/>
          <w:sz w:val="24"/>
          <w:szCs w:val="24"/>
        </w:rPr>
        <w:t>fludarabine</w:t>
      </w:r>
      <w:proofErr w:type="spellEnd"/>
      <w:r w:rsidRPr="00955FEF">
        <w:rPr>
          <w:rFonts w:asciiTheme="minorHAnsi" w:hAnsiTheme="minorHAnsi"/>
          <w:bCs/>
          <w:sz w:val="24"/>
          <w:szCs w:val="24"/>
        </w:rPr>
        <w:t xml:space="preserve">-based </w:t>
      </w:r>
      <w:proofErr w:type="spellStart"/>
      <w:r w:rsidRPr="00955FEF">
        <w:rPr>
          <w:rFonts w:asciiTheme="minorHAnsi" w:hAnsiTheme="minorHAnsi"/>
          <w:bCs/>
          <w:sz w:val="24"/>
          <w:szCs w:val="24"/>
        </w:rPr>
        <w:t>chemoimmunotherapy</w:t>
      </w:r>
      <w:proofErr w:type="spellEnd"/>
      <w:r w:rsidR="0075085A" w:rsidRPr="00955FEF">
        <w:rPr>
          <w:rFonts w:asciiTheme="minorHAnsi" w:hAnsiTheme="minorHAnsi"/>
          <w:bCs/>
          <w:sz w:val="24"/>
          <w:szCs w:val="24"/>
        </w:rPr>
        <w:t xml:space="preserve">. </w:t>
      </w:r>
      <w:r w:rsidRPr="00955FEF">
        <w:rPr>
          <w:rFonts w:asciiTheme="minorHAnsi" w:hAnsiTheme="minorHAnsi"/>
          <w:bCs/>
          <w:sz w:val="24"/>
          <w:szCs w:val="24"/>
        </w:rPr>
        <w:t xml:space="preserve"> </w:t>
      </w:r>
      <w:r w:rsidR="0075085A" w:rsidRPr="00955FEF">
        <w:rPr>
          <w:rFonts w:asciiTheme="minorHAnsi" w:hAnsiTheme="minorHAnsi"/>
          <w:bCs/>
          <w:sz w:val="24"/>
          <w:szCs w:val="24"/>
        </w:rPr>
        <w:t>Although the PBAC accepted there is a clinical benefit in progression-free survival</w:t>
      </w:r>
      <w:r w:rsidR="002E49C1" w:rsidRPr="00955FEF">
        <w:rPr>
          <w:rFonts w:asciiTheme="minorHAnsi" w:hAnsiTheme="minorHAnsi"/>
          <w:bCs/>
          <w:sz w:val="24"/>
          <w:szCs w:val="24"/>
        </w:rPr>
        <w:t xml:space="preserve"> (PFS)</w:t>
      </w:r>
      <w:r w:rsidR="0075085A" w:rsidRPr="00955FEF">
        <w:rPr>
          <w:rFonts w:asciiTheme="minorHAnsi" w:hAnsiTheme="minorHAnsi"/>
          <w:bCs/>
          <w:sz w:val="24"/>
          <w:szCs w:val="24"/>
        </w:rPr>
        <w:t xml:space="preserve"> and overall survival</w:t>
      </w:r>
      <w:r w:rsidR="002E49C1" w:rsidRPr="00955FEF">
        <w:rPr>
          <w:rFonts w:asciiTheme="minorHAnsi" w:hAnsiTheme="minorHAnsi"/>
          <w:bCs/>
          <w:sz w:val="24"/>
          <w:szCs w:val="24"/>
        </w:rPr>
        <w:t xml:space="preserve"> (OS)</w:t>
      </w:r>
      <w:r w:rsidR="0075085A" w:rsidRPr="00955FEF">
        <w:rPr>
          <w:rFonts w:asciiTheme="minorHAnsi" w:hAnsiTheme="minorHAnsi"/>
          <w:bCs/>
          <w:sz w:val="24"/>
          <w:szCs w:val="24"/>
        </w:rPr>
        <w:t xml:space="preserve"> for </w:t>
      </w:r>
      <w:proofErr w:type="spellStart"/>
      <w:r w:rsidR="0075085A" w:rsidRPr="00955FEF">
        <w:rPr>
          <w:rFonts w:asciiTheme="minorHAnsi" w:hAnsiTheme="minorHAnsi"/>
          <w:bCs/>
          <w:sz w:val="24"/>
          <w:szCs w:val="24"/>
        </w:rPr>
        <w:t>ibrutinib</w:t>
      </w:r>
      <w:proofErr w:type="spellEnd"/>
      <w:r w:rsidR="0075085A" w:rsidRPr="00955FEF">
        <w:rPr>
          <w:rFonts w:asciiTheme="minorHAnsi" w:hAnsiTheme="minorHAnsi"/>
          <w:bCs/>
          <w:sz w:val="24"/>
          <w:szCs w:val="24"/>
        </w:rPr>
        <w:t xml:space="preserve"> when compared to </w:t>
      </w:r>
      <w:proofErr w:type="spellStart"/>
      <w:r w:rsidR="0075085A" w:rsidRPr="00955FEF">
        <w:rPr>
          <w:rFonts w:asciiTheme="minorHAnsi" w:hAnsiTheme="minorHAnsi"/>
          <w:bCs/>
          <w:sz w:val="24"/>
          <w:szCs w:val="24"/>
        </w:rPr>
        <w:t>chlorambucil</w:t>
      </w:r>
      <w:proofErr w:type="spellEnd"/>
      <w:r w:rsidR="0075085A" w:rsidRPr="00955FEF">
        <w:rPr>
          <w:rFonts w:asciiTheme="minorHAnsi" w:hAnsiTheme="minorHAnsi"/>
          <w:bCs/>
          <w:sz w:val="24"/>
          <w:szCs w:val="24"/>
        </w:rPr>
        <w:t xml:space="preserve"> in combination with either rituximab or </w:t>
      </w:r>
      <w:proofErr w:type="spellStart"/>
      <w:r w:rsidR="0075085A" w:rsidRPr="00955FEF">
        <w:rPr>
          <w:rFonts w:asciiTheme="minorHAnsi" w:hAnsiTheme="minorHAnsi"/>
          <w:bCs/>
          <w:sz w:val="24"/>
          <w:szCs w:val="24"/>
        </w:rPr>
        <w:t>ofatumumab</w:t>
      </w:r>
      <w:proofErr w:type="spellEnd"/>
      <w:r w:rsidR="0075085A" w:rsidRPr="00955FEF">
        <w:rPr>
          <w:rFonts w:asciiTheme="minorHAnsi" w:hAnsiTheme="minorHAnsi"/>
          <w:bCs/>
          <w:sz w:val="24"/>
          <w:szCs w:val="24"/>
        </w:rPr>
        <w:t xml:space="preserve">, the benefit over </w:t>
      </w:r>
      <w:proofErr w:type="spellStart"/>
      <w:r w:rsidR="0075085A" w:rsidRPr="00955FEF">
        <w:rPr>
          <w:rFonts w:asciiTheme="minorHAnsi" w:hAnsiTheme="minorHAnsi"/>
          <w:bCs/>
          <w:sz w:val="24"/>
          <w:szCs w:val="24"/>
        </w:rPr>
        <w:t>chlorambucil</w:t>
      </w:r>
      <w:proofErr w:type="spellEnd"/>
      <w:r w:rsidR="0075085A" w:rsidRPr="00955FEF">
        <w:rPr>
          <w:rFonts w:asciiTheme="minorHAnsi" w:hAnsiTheme="minorHAnsi"/>
          <w:bCs/>
          <w:sz w:val="24"/>
          <w:szCs w:val="24"/>
        </w:rPr>
        <w:t xml:space="preserve"> in combination with </w:t>
      </w:r>
      <w:proofErr w:type="spellStart"/>
      <w:r w:rsidR="0075085A" w:rsidRPr="00955FEF">
        <w:rPr>
          <w:rFonts w:asciiTheme="minorHAnsi" w:hAnsiTheme="minorHAnsi"/>
          <w:bCs/>
          <w:sz w:val="24"/>
          <w:szCs w:val="24"/>
        </w:rPr>
        <w:t>obinutuzumab</w:t>
      </w:r>
      <w:proofErr w:type="spellEnd"/>
      <w:r w:rsidR="0075085A" w:rsidRPr="00955FEF">
        <w:rPr>
          <w:rFonts w:asciiTheme="minorHAnsi" w:hAnsiTheme="minorHAnsi"/>
          <w:bCs/>
          <w:sz w:val="24"/>
          <w:szCs w:val="24"/>
        </w:rPr>
        <w:t xml:space="preserve"> was not proven. The incremental cost-effectiveness ratio presented using the blended comparator of </w:t>
      </w:r>
      <w:proofErr w:type="spellStart"/>
      <w:r w:rsidR="0075085A" w:rsidRPr="00955FEF">
        <w:rPr>
          <w:rFonts w:asciiTheme="minorHAnsi" w:hAnsiTheme="minorHAnsi"/>
          <w:bCs/>
          <w:sz w:val="24"/>
          <w:szCs w:val="24"/>
        </w:rPr>
        <w:t>chlorambucil</w:t>
      </w:r>
      <w:proofErr w:type="spellEnd"/>
      <w:r w:rsidR="0075085A" w:rsidRPr="00955FEF">
        <w:rPr>
          <w:rFonts w:asciiTheme="minorHAnsi" w:hAnsiTheme="minorHAnsi"/>
          <w:bCs/>
          <w:sz w:val="24"/>
          <w:szCs w:val="24"/>
        </w:rPr>
        <w:t xml:space="preserve"> in combination with rituximab, </w:t>
      </w:r>
      <w:proofErr w:type="spellStart"/>
      <w:r w:rsidR="0075085A" w:rsidRPr="00955FEF">
        <w:rPr>
          <w:rFonts w:asciiTheme="minorHAnsi" w:hAnsiTheme="minorHAnsi"/>
          <w:bCs/>
          <w:sz w:val="24"/>
          <w:szCs w:val="24"/>
        </w:rPr>
        <w:t>ofatumumab</w:t>
      </w:r>
      <w:proofErr w:type="spellEnd"/>
      <w:r w:rsidR="0075085A" w:rsidRPr="00955FEF">
        <w:rPr>
          <w:rFonts w:asciiTheme="minorHAnsi" w:hAnsiTheme="minorHAnsi"/>
          <w:bCs/>
          <w:sz w:val="24"/>
          <w:szCs w:val="24"/>
        </w:rPr>
        <w:t xml:space="preserve"> or </w:t>
      </w:r>
      <w:proofErr w:type="spellStart"/>
      <w:r w:rsidR="0075085A" w:rsidRPr="00955FEF">
        <w:rPr>
          <w:rFonts w:asciiTheme="minorHAnsi" w:hAnsiTheme="minorHAnsi"/>
          <w:bCs/>
          <w:sz w:val="24"/>
          <w:szCs w:val="24"/>
        </w:rPr>
        <w:t>obinutuzumab</w:t>
      </w:r>
      <w:proofErr w:type="spellEnd"/>
      <w:r w:rsidR="0075085A" w:rsidRPr="00955FEF">
        <w:rPr>
          <w:rFonts w:asciiTheme="minorHAnsi" w:hAnsiTheme="minorHAnsi"/>
          <w:bCs/>
          <w:sz w:val="24"/>
          <w:szCs w:val="24"/>
        </w:rPr>
        <w:t xml:space="preserve"> was </w:t>
      </w:r>
      <w:r w:rsidR="00144BEC" w:rsidRPr="00955FEF">
        <w:rPr>
          <w:rFonts w:asciiTheme="minorHAnsi" w:hAnsiTheme="minorHAnsi"/>
          <w:bCs/>
          <w:sz w:val="24"/>
          <w:szCs w:val="24"/>
        </w:rPr>
        <w:t xml:space="preserve">considered </w:t>
      </w:r>
      <w:r w:rsidR="0075085A" w:rsidRPr="00955FEF">
        <w:rPr>
          <w:rFonts w:asciiTheme="minorHAnsi" w:hAnsiTheme="minorHAnsi"/>
          <w:bCs/>
          <w:sz w:val="24"/>
          <w:szCs w:val="24"/>
        </w:rPr>
        <w:t>high and optimistic.</w:t>
      </w:r>
    </w:p>
    <w:p w:rsidR="00A129D7" w:rsidRPr="005E0DC9" w:rsidRDefault="00A129D7" w:rsidP="00955FEF">
      <w:pPr>
        <w:numPr>
          <w:ilvl w:val="1"/>
          <w:numId w:val="11"/>
        </w:numPr>
        <w:spacing w:after="120"/>
        <w:ind w:left="709" w:hanging="709"/>
        <w:rPr>
          <w:rFonts w:asciiTheme="minorHAnsi" w:hAnsiTheme="minorHAnsi"/>
          <w:bCs/>
          <w:sz w:val="24"/>
          <w:szCs w:val="24"/>
        </w:rPr>
      </w:pPr>
      <w:r w:rsidRPr="005E0DC9">
        <w:rPr>
          <w:rFonts w:asciiTheme="minorHAnsi" w:hAnsiTheme="minorHAnsi"/>
          <w:bCs/>
          <w:sz w:val="24"/>
          <w:szCs w:val="24"/>
        </w:rPr>
        <w:t xml:space="preserve">The PBAC </w:t>
      </w:r>
      <w:r w:rsidR="00906373" w:rsidRPr="005E0DC9">
        <w:rPr>
          <w:rFonts w:asciiTheme="minorHAnsi" w:hAnsiTheme="minorHAnsi"/>
          <w:bCs/>
          <w:sz w:val="24"/>
          <w:szCs w:val="24"/>
        </w:rPr>
        <w:t xml:space="preserve">noted the consumer comments favouring earlier treatment with </w:t>
      </w:r>
      <w:proofErr w:type="spellStart"/>
      <w:r w:rsidR="00906373" w:rsidRPr="005E0DC9">
        <w:rPr>
          <w:rFonts w:asciiTheme="minorHAnsi" w:hAnsiTheme="minorHAnsi"/>
          <w:bCs/>
          <w:sz w:val="24"/>
          <w:szCs w:val="24"/>
        </w:rPr>
        <w:t>ibrutinib</w:t>
      </w:r>
      <w:proofErr w:type="spellEnd"/>
      <w:r w:rsidR="00E53495" w:rsidRPr="005E0DC9">
        <w:rPr>
          <w:rFonts w:asciiTheme="minorHAnsi" w:hAnsiTheme="minorHAnsi"/>
          <w:bCs/>
          <w:sz w:val="24"/>
          <w:szCs w:val="24"/>
        </w:rPr>
        <w:t>.</w:t>
      </w:r>
      <w:r w:rsidR="00906373" w:rsidRPr="005E0DC9">
        <w:rPr>
          <w:rFonts w:asciiTheme="minorHAnsi" w:hAnsiTheme="minorHAnsi"/>
          <w:bCs/>
          <w:sz w:val="24"/>
          <w:szCs w:val="24"/>
        </w:rPr>
        <w:t xml:space="preserve"> </w:t>
      </w:r>
      <w:r w:rsidR="00E53495" w:rsidRPr="005E0DC9">
        <w:rPr>
          <w:rFonts w:asciiTheme="minorHAnsi" w:hAnsiTheme="minorHAnsi"/>
          <w:bCs/>
          <w:sz w:val="24"/>
          <w:szCs w:val="24"/>
        </w:rPr>
        <w:t>H</w:t>
      </w:r>
      <w:r w:rsidR="00906373" w:rsidRPr="005E0DC9">
        <w:rPr>
          <w:rFonts w:asciiTheme="minorHAnsi" w:hAnsiTheme="minorHAnsi"/>
          <w:bCs/>
          <w:sz w:val="24"/>
          <w:szCs w:val="24"/>
        </w:rPr>
        <w:t>owever</w:t>
      </w:r>
      <w:r w:rsidR="00E53495" w:rsidRPr="005E0DC9">
        <w:rPr>
          <w:rFonts w:asciiTheme="minorHAnsi" w:hAnsiTheme="minorHAnsi"/>
          <w:bCs/>
          <w:sz w:val="24"/>
          <w:szCs w:val="24"/>
        </w:rPr>
        <w:t xml:space="preserve"> the Committee</w:t>
      </w:r>
      <w:r w:rsidR="00906373" w:rsidRPr="005E0DC9">
        <w:rPr>
          <w:rFonts w:asciiTheme="minorHAnsi" w:hAnsiTheme="minorHAnsi"/>
          <w:bCs/>
          <w:sz w:val="24"/>
          <w:szCs w:val="24"/>
        </w:rPr>
        <w:t xml:space="preserve"> </w:t>
      </w:r>
      <w:r w:rsidRPr="005E0DC9">
        <w:rPr>
          <w:rFonts w:asciiTheme="minorHAnsi" w:hAnsiTheme="minorHAnsi"/>
          <w:bCs/>
          <w:sz w:val="24"/>
          <w:szCs w:val="24"/>
        </w:rPr>
        <w:t>considered there was no urgent clinical need</w:t>
      </w:r>
      <w:r w:rsidR="00535514">
        <w:rPr>
          <w:rFonts w:asciiTheme="minorHAnsi" w:hAnsiTheme="minorHAnsi"/>
          <w:bCs/>
          <w:sz w:val="24"/>
          <w:szCs w:val="24"/>
        </w:rPr>
        <w:t xml:space="preserve"> for most patients</w:t>
      </w:r>
      <w:r w:rsidR="00DF5EAA">
        <w:rPr>
          <w:rFonts w:asciiTheme="minorHAnsi" w:hAnsiTheme="minorHAnsi"/>
          <w:bCs/>
          <w:sz w:val="24"/>
          <w:szCs w:val="24"/>
        </w:rPr>
        <w:t>,</w:t>
      </w:r>
      <w:r w:rsidRPr="005E0DC9">
        <w:rPr>
          <w:rFonts w:asciiTheme="minorHAnsi" w:hAnsiTheme="minorHAnsi"/>
          <w:bCs/>
          <w:sz w:val="24"/>
          <w:szCs w:val="24"/>
        </w:rPr>
        <w:t xml:space="preserve"> </w:t>
      </w:r>
      <w:r w:rsidR="00C07414" w:rsidRPr="005E0DC9">
        <w:rPr>
          <w:rFonts w:asciiTheme="minorHAnsi" w:hAnsiTheme="minorHAnsi"/>
          <w:bCs/>
          <w:sz w:val="24"/>
          <w:szCs w:val="24"/>
        </w:rPr>
        <w:t>noting</w:t>
      </w:r>
      <w:r w:rsidRPr="005E0DC9">
        <w:rPr>
          <w:rFonts w:asciiTheme="minorHAnsi" w:hAnsiTheme="minorHAnsi"/>
          <w:bCs/>
          <w:sz w:val="24"/>
          <w:szCs w:val="24"/>
        </w:rPr>
        <w:t xml:space="preserve"> the current availability of other effective first-line therapies </w:t>
      </w:r>
      <w:r w:rsidR="002E49C1" w:rsidRPr="005E0DC9">
        <w:rPr>
          <w:rFonts w:asciiTheme="minorHAnsi" w:hAnsiTheme="minorHAnsi"/>
          <w:bCs/>
          <w:sz w:val="24"/>
          <w:szCs w:val="24"/>
        </w:rPr>
        <w:t xml:space="preserve">(all with </w:t>
      </w:r>
      <w:r w:rsidR="00E2169A" w:rsidRPr="005E0DC9">
        <w:rPr>
          <w:rFonts w:asciiTheme="minorHAnsi" w:hAnsiTheme="minorHAnsi"/>
          <w:bCs/>
          <w:sz w:val="24"/>
          <w:szCs w:val="24"/>
        </w:rPr>
        <w:t xml:space="preserve">median </w:t>
      </w:r>
      <w:r w:rsidR="002E49C1" w:rsidRPr="005E0DC9">
        <w:rPr>
          <w:rFonts w:asciiTheme="minorHAnsi" w:hAnsiTheme="minorHAnsi"/>
          <w:bCs/>
          <w:sz w:val="24"/>
          <w:szCs w:val="24"/>
        </w:rPr>
        <w:t xml:space="preserve">PFS </w:t>
      </w:r>
      <w:r w:rsidR="00C07414" w:rsidRPr="005E0DC9">
        <w:rPr>
          <w:rFonts w:asciiTheme="minorHAnsi" w:hAnsiTheme="minorHAnsi"/>
          <w:bCs/>
          <w:sz w:val="24"/>
          <w:szCs w:val="24"/>
        </w:rPr>
        <w:t>of least</w:t>
      </w:r>
      <w:r w:rsidR="002E49C1" w:rsidRPr="005E0DC9">
        <w:rPr>
          <w:rFonts w:asciiTheme="minorHAnsi" w:hAnsiTheme="minorHAnsi"/>
          <w:bCs/>
          <w:sz w:val="24"/>
          <w:szCs w:val="24"/>
        </w:rPr>
        <w:t xml:space="preserve"> 16 months and non-inferior toxicity) </w:t>
      </w:r>
      <w:r w:rsidRPr="005E0DC9">
        <w:rPr>
          <w:rFonts w:asciiTheme="minorHAnsi" w:hAnsiTheme="minorHAnsi"/>
          <w:bCs/>
          <w:sz w:val="24"/>
          <w:szCs w:val="24"/>
        </w:rPr>
        <w:t xml:space="preserve">and the </w:t>
      </w:r>
      <w:r w:rsidR="00F73973">
        <w:rPr>
          <w:rFonts w:asciiTheme="minorHAnsi" w:hAnsiTheme="minorHAnsi"/>
          <w:bCs/>
          <w:sz w:val="24"/>
          <w:szCs w:val="24"/>
        </w:rPr>
        <w:t xml:space="preserve">forthcoming </w:t>
      </w:r>
      <w:r w:rsidRPr="005E0DC9">
        <w:rPr>
          <w:rFonts w:asciiTheme="minorHAnsi" w:hAnsiTheme="minorHAnsi"/>
          <w:bCs/>
          <w:sz w:val="24"/>
          <w:szCs w:val="24"/>
        </w:rPr>
        <w:t xml:space="preserve">PBS listing of </w:t>
      </w:r>
      <w:proofErr w:type="spellStart"/>
      <w:r w:rsidRPr="005E0DC9">
        <w:rPr>
          <w:rFonts w:asciiTheme="minorHAnsi" w:hAnsiTheme="minorHAnsi"/>
          <w:bCs/>
          <w:sz w:val="24"/>
          <w:szCs w:val="24"/>
        </w:rPr>
        <w:t>ibrutinib</w:t>
      </w:r>
      <w:proofErr w:type="spellEnd"/>
      <w:r w:rsidRPr="005E0DC9">
        <w:rPr>
          <w:rFonts w:asciiTheme="minorHAnsi" w:hAnsiTheme="minorHAnsi"/>
          <w:bCs/>
          <w:sz w:val="24"/>
          <w:szCs w:val="24"/>
        </w:rPr>
        <w:t xml:space="preserve"> in relapsed/refractory patients effective from 1 December 2017. </w:t>
      </w:r>
    </w:p>
    <w:p w:rsidR="00E4305A" w:rsidRPr="005E0DC9" w:rsidRDefault="00E4305A" w:rsidP="00955FEF">
      <w:pPr>
        <w:numPr>
          <w:ilvl w:val="1"/>
          <w:numId w:val="11"/>
        </w:numPr>
        <w:spacing w:after="120"/>
        <w:ind w:left="709" w:hanging="709"/>
        <w:rPr>
          <w:rFonts w:asciiTheme="minorHAnsi" w:hAnsiTheme="minorHAnsi"/>
          <w:bCs/>
          <w:sz w:val="24"/>
          <w:szCs w:val="24"/>
        </w:rPr>
      </w:pPr>
      <w:r w:rsidRPr="005E0DC9">
        <w:rPr>
          <w:rFonts w:asciiTheme="minorHAnsi" w:hAnsiTheme="minorHAnsi"/>
          <w:bCs/>
          <w:sz w:val="24"/>
          <w:szCs w:val="24"/>
        </w:rPr>
        <w:t xml:space="preserve">The PBAC advised the </w:t>
      </w:r>
      <w:r w:rsidR="00C07414" w:rsidRPr="005E0DC9">
        <w:rPr>
          <w:rFonts w:asciiTheme="minorHAnsi" w:hAnsiTheme="minorHAnsi"/>
          <w:bCs/>
          <w:sz w:val="24"/>
          <w:szCs w:val="24"/>
        </w:rPr>
        <w:t xml:space="preserve">proposed </w:t>
      </w:r>
      <w:r w:rsidRPr="005E0DC9">
        <w:rPr>
          <w:rFonts w:asciiTheme="minorHAnsi" w:hAnsiTheme="minorHAnsi"/>
          <w:bCs/>
          <w:sz w:val="24"/>
          <w:szCs w:val="24"/>
        </w:rPr>
        <w:t xml:space="preserve">PBS restriction </w:t>
      </w:r>
      <w:r w:rsidR="00C07414" w:rsidRPr="005E0DC9">
        <w:rPr>
          <w:rFonts w:asciiTheme="minorHAnsi" w:hAnsiTheme="minorHAnsi"/>
          <w:bCs/>
          <w:sz w:val="24"/>
          <w:szCs w:val="24"/>
        </w:rPr>
        <w:t xml:space="preserve">for first-line treatment </w:t>
      </w:r>
      <w:r w:rsidRPr="005E0DC9">
        <w:rPr>
          <w:rFonts w:asciiTheme="minorHAnsi" w:hAnsiTheme="minorHAnsi"/>
          <w:bCs/>
          <w:sz w:val="24"/>
          <w:szCs w:val="24"/>
        </w:rPr>
        <w:t xml:space="preserve">would require a prescriber instruction to define patients inappropriate for </w:t>
      </w:r>
      <w:proofErr w:type="spellStart"/>
      <w:r w:rsidRPr="005E0DC9">
        <w:rPr>
          <w:rFonts w:asciiTheme="minorHAnsi" w:hAnsiTheme="minorHAnsi"/>
          <w:bCs/>
          <w:sz w:val="24"/>
          <w:szCs w:val="24"/>
        </w:rPr>
        <w:t>fludarabine</w:t>
      </w:r>
      <w:proofErr w:type="spellEnd"/>
      <w:r w:rsidRPr="005E0DC9">
        <w:rPr>
          <w:rFonts w:asciiTheme="minorHAnsi" w:hAnsiTheme="minorHAnsi"/>
          <w:bCs/>
          <w:sz w:val="24"/>
          <w:szCs w:val="24"/>
        </w:rPr>
        <w:t xml:space="preserve">-based therapy, as </w:t>
      </w:r>
      <w:r w:rsidR="00C531CE" w:rsidRPr="005E0DC9">
        <w:rPr>
          <w:rFonts w:asciiTheme="minorHAnsi" w:hAnsiTheme="minorHAnsi"/>
          <w:bCs/>
          <w:sz w:val="24"/>
          <w:szCs w:val="24"/>
        </w:rPr>
        <w:t>describ</w:t>
      </w:r>
      <w:r w:rsidRPr="005E0DC9">
        <w:rPr>
          <w:rFonts w:asciiTheme="minorHAnsi" w:hAnsiTheme="minorHAnsi"/>
          <w:bCs/>
          <w:sz w:val="24"/>
          <w:szCs w:val="24"/>
        </w:rPr>
        <w:t xml:space="preserve">ed above in Section 2. </w:t>
      </w:r>
    </w:p>
    <w:p w:rsidR="00521ECA" w:rsidRPr="005E0DC9" w:rsidRDefault="005422C3" w:rsidP="00955FEF">
      <w:pPr>
        <w:numPr>
          <w:ilvl w:val="1"/>
          <w:numId w:val="11"/>
        </w:numPr>
        <w:spacing w:after="120"/>
        <w:ind w:left="709" w:hanging="709"/>
        <w:rPr>
          <w:rFonts w:asciiTheme="minorHAnsi" w:hAnsiTheme="minorHAnsi"/>
          <w:bCs/>
          <w:color w:val="FF0000"/>
          <w:sz w:val="24"/>
          <w:szCs w:val="24"/>
        </w:rPr>
      </w:pPr>
      <w:r w:rsidRPr="005E0DC9">
        <w:rPr>
          <w:rFonts w:asciiTheme="minorHAnsi" w:hAnsiTheme="minorHAnsi"/>
          <w:bCs/>
          <w:sz w:val="24"/>
          <w:szCs w:val="24"/>
        </w:rPr>
        <w:t xml:space="preserve">The PBAC </w:t>
      </w:r>
      <w:r w:rsidR="00532563" w:rsidRPr="005E0DC9">
        <w:rPr>
          <w:rFonts w:asciiTheme="minorHAnsi" w:hAnsiTheme="minorHAnsi"/>
          <w:bCs/>
          <w:sz w:val="24"/>
          <w:szCs w:val="24"/>
        </w:rPr>
        <w:t xml:space="preserve">did not accept the </w:t>
      </w:r>
      <w:r w:rsidR="007D3665" w:rsidRPr="005E0DC9">
        <w:rPr>
          <w:rFonts w:asciiTheme="minorHAnsi" w:hAnsiTheme="minorHAnsi"/>
          <w:bCs/>
          <w:sz w:val="24"/>
          <w:szCs w:val="24"/>
        </w:rPr>
        <w:t>nominated blended (or weighted)</w:t>
      </w:r>
      <w:r w:rsidR="00532563" w:rsidRPr="005E0DC9">
        <w:rPr>
          <w:rFonts w:asciiTheme="minorHAnsi" w:hAnsiTheme="minorHAnsi"/>
          <w:bCs/>
          <w:sz w:val="24"/>
          <w:szCs w:val="24"/>
        </w:rPr>
        <w:t xml:space="preserve"> comparator of </w:t>
      </w:r>
      <w:proofErr w:type="spellStart"/>
      <w:r w:rsidR="00532563" w:rsidRPr="005E0DC9">
        <w:rPr>
          <w:rFonts w:asciiTheme="minorHAnsi" w:hAnsiTheme="minorHAnsi"/>
          <w:bCs/>
          <w:sz w:val="24"/>
          <w:szCs w:val="24"/>
        </w:rPr>
        <w:t>ritux+chl</w:t>
      </w:r>
      <w:proofErr w:type="spellEnd"/>
      <w:r w:rsidR="00532563" w:rsidRPr="005E0DC9">
        <w:rPr>
          <w:rFonts w:asciiTheme="minorHAnsi" w:hAnsiTheme="minorHAnsi"/>
          <w:bCs/>
          <w:sz w:val="24"/>
          <w:szCs w:val="24"/>
        </w:rPr>
        <w:t xml:space="preserve">, </w:t>
      </w:r>
      <w:proofErr w:type="spellStart"/>
      <w:r w:rsidR="00532563" w:rsidRPr="005E0DC9">
        <w:rPr>
          <w:rFonts w:asciiTheme="minorHAnsi" w:hAnsiTheme="minorHAnsi"/>
          <w:bCs/>
          <w:sz w:val="24"/>
          <w:szCs w:val="24"/>
        </w:rPr>
        <w:t>obi+chl</w:t>
      </w:r>
      <w:proofErr w:type="spellEnd"/>
      <w:r w:rsidR="00532563" w:rsidRPr="005E0DC9">
        <w:rPr>
          <w:rFonts w:asciiTheme="minorHAnsi" w:hAnsiTheme="minorHAnsi"/>
          <w:bCs/>
          <w:sz w:val="24"/>
          <w:szCs w:val="24"/>
        </w:rPr>
        <w:t xml:space="preserve"> and </w:t>
      </w:r>
      <w:proofErr w:type="spellStart"/>
      <w:r w:rsidR="00532563" w:rsidRPr="005E0DC9">
        <w:rPr>
          <w:rFonts w:asciiTheme="minorHAnsi" w:hAnsiTheme="minorHAnsi"/>
          <w:bCs/>
          <w:sz w:val="24"/>
          <w:szCs w:val="24"/>
        </w:rPr>
        <w:t>ofa+chl</w:t>
      </w:r>
      <w:proofErr w:type="spellEnd"/>
      <w:r w:rsidR="007D3665" w:rsidRPr="005E0DC9">
        <w:rPr>
          <w:rFonts w:asciiTheme="minorHAnsi" w:hAnsiTheme="minorHAnsi"/>
          <w:bCs/>
          <w:sz w:val="24"/>
          <w:szCs w:val="24"/>
        </w:rPr>
        <w:t xml:space="preserve">. The Committee noted the </w:t>
      </w:r>
      <w:r w:rsidR="007D3665" w:rsidRPr="005E0DC9">
        <w:rPr>
          <w:rFonts w:ascii="Calibri" w:eastAsia="Calibri" w:hAnsi="Calibri"/>
          <w:snapToGrid/>
          <w:sz w:val="24"/>
          <w:szCs w:val="22"/>
        </w:rPr>
        <w:t>choice of a blended comparator</w:t>
      </w:r>
      <w:r w:rsidR="007D3665" w:rsidRPr="005E0DC9">
        <w:rPr>
          <w:rFonts w:asciiTheme="minorHAnsi" w:hAnsiTheme="minorHAnsi"/>
          <w:bCs/>
          <w:sz w:val="24"/>
          <w:szCs w:val="24"/>
        </w:rPr>
        <w:t xml:space="preserve"> does not reflect previous PBAC findings on the relative efficacy of these treatments</w:t>
      </w:r>
      <w:r w:rsidR="00532563" w:rsidRPr="005E0DC9">
        <w:rPr>
          <w:rFonts w:asciiTheme="minorHAnsi" w:hAnsiTheme="minorHAnsi"/>
          <w:bCs/>
          <w:sz w:val="24"/>
          <w:szCs w:val="24"/>
        </w:rPr>
        <w:t xml:space="preserve">. </w:t>
      </w:r>
      <w:r w:rsidR="007D3665" w:rsidRPr="005E0DC9">
        <w:rPr>
          <w:rFonts w:asciiTheme="minorHAnsi" w:hAnsiTheme="minorHAnsi"/>
          <w:bCs/>
          <w:sz w:val="24"/>
          <w:szCs w:val="24"/>
        </w:rPr>
        <w:t xml:space="preserve">The PBAC previously concluded that </w:t>
      </w:r>
      <w:proofErr w:type="spellStart"/>
      <w:r w:rsidR="007D3665" w:rsidRPr="005E0DC9">
        <w:rPr>
          <w:rFonts w:asciiTheme="minorHAnsi" w:hAnsiTheme="minorHAnsi"/>
          <w:bCs/>
          <w:sz w:val="24"/>
          <w:szCs w:val="24"/>
        </w:rPr>
        <w:t>obi+chl</w:t>
      </w:r>
      <w:proofErr w:type="spellEnd"/>
      <w:r w:rsidR="007D3665" w:rsidRPr="005E0DC9">
        <w:rPr>
          <w:rFonts w:asciiTheme="minorHAnsi" w:hAnsiTheme="minorHAnsi"/>
          <w:bCs/>
          <w:sz w:val="24"/>
          <w:szCs w:val="24"/>
        </w:rPr>
        <w:t xml:space="preserve"> provided a significant improvement in efficacy over </w:t>
      </w:r>
      <w:proofErr w:type="spellStart"/>
      <w:r w:rsidR="007D3665" w:rsidRPr="005E0DC9">
        <w:rPr>
          <w:rFonts w:asciiTheme="minorHAnsi" w:hAnsiTheme="minorHAnsi"/>
          <w:bCs/>
          <w:sz w:val="24"/>
          <w:szCs w:val="24"/>
        </w:rPr>
        <w:t>ritux+chl</w:t>
      </w:r>
      <w:proofErr w:type="spellEnd"/>
      <w:r w:rsidR="007D3665" w:rsidRPr="005E0DC9">
        <w:rPr>
          <w:rFonts w:asciiTheme="minorHAnsi" w:hAnsiTheme="minorHAnsi"/>
          <w:bCs/>
          <w:sz w:val="24"/>
          <w:szCs w:val="24"/>
        </w:rPr>
        <w:t xml:space="preserve"> (March 2015 </w:t>
      </w:r>
      <w:proofErr w:type="spellStart"/>
      <w:r w:rsidR="007D3665" w:rsidRPr="005E0DC9">
        <w:rPr>
          <w:rFonts w:asciiTheme="minorHAnsi" w:hAnsiTheme="minorHAnsi"/>
          <w:bCs/>
          <w:sz w:val="24"/>
          <w:szCs w:val="24"/>
        </w:rPr>
        <w:t>obinutuzumab</w:t>
      </w:r>
      <w:proofErr w:type="spellEnd"/>
      <w:r w:rsidR="007D3665" w:rsidRPr="005E0DC9">
        <w:rPr>
          <w:rFonts w:asciiTheme="minorHAnsi" w:hAnsiTheme="minorHAnsi"/>
          <w:bCs/>
          <w:sz w:val="24"/>
          <w:szCs w:val="24"/>
        </w:rPr>
        <w:t xml:space="preserve"> PSD, paragraph 7.2), and that </w:t>
      </w:r>
      <w:proofErr w:type="spellStart"/>
      <w:r w:rsidR="007D3665" w:rsidRPr="005E0DC9">
        <w:rPr>
          <w:rFonts w:asciiTheme="minorHAnsi" w:hAnsiTheme="minorHAnsi"/>
          <w:bCs/>
          <w:sz w:val="24"/>
          <w:szCs w:val="24"/>
        </w:rPr>
        <w:t>ritux+chl</w:t>
      </w:r>
      <w:proofErr w:type="spellEnd"/>
      <w:r w:rsidR="007D3665" w:rsidRPr="005E0DC9">
        <w:rPr>
          <w:rFonts w:asciiTheme="minorHAnsi" w:hAnsiTheme="minorHAnsi"/>
          <w:bCs/>
          <w:sz w:val="24"/>
          <w:szCs w:val="24"/>
        </w:rPr>
        <w:t xml:space="preserve"> and </w:t>
      </w:r>
      <w:proofErr w:type="spellStart"/>
      <w:r w:rsidR="007D3665" w:rsidRPr="005E0DC9">
        <w:rPr>
          <w:rFonts w:asciiTheme="minorHAnsi" w:hAnsiTheme="minorHAnsi"/>
          <w:bCs/>
          <w:sz w:val="24"/>
          <w:szCs w:val="24"/>
        </w:rPr>
        <w:t>ofa+chl</w:t>
      </w:r>
      <w:proofErr w:type="spellEnd"/>
      <w:r w:rsidR="007D3665" w:rsidRPr="005E0DC9">
        <w:rPr>
          <w:rFonts w:asciiTheme="minorHAnsi" w:hAnsiTheme="minorHAnsi"/>
          <w:bCs/>
          <w:sz w:val="24"/>
          <w:szCs w:val="24"/>
        </w:rPr>
        <w:t xml:space="preserve"> were non-inferior (November 2014 </w:t>
      </w:r>
      <w:proofErr w:type="spellStart"/>
      <w:r w:rsidR="007D3665" w:rsidRPr="005E0DC9">
        <w:rPr>
          <w:rFonts w:asciiTheme="minorHAnsi" w:hAnsiTheme="minorHAnsi"/>
          <w:bCs/>
          <w:sz w:val="24"/>
          <w:szCs w:val="24"/>
        </w:rPr>
        <w:t>ofatumumab</w:t>
      </w:r>
      <w:proofErr w:type="spellEnd"/>
      <w:r w:rsidR="007D3665" w:rsidRPr="005E0DC9">
        <w:rPr>
          <w:rFonts w:asciiTheme="minorHAnsi" w:hAnsiTheme="minorHAnsi"/>
          <w:bCs/>
          <w:sz w:val="24"/>
          <w:szCs w:val="24"/>
        </w:rPr>
        <w:t xml:space="preserve"> PSD, paragraph 7.5). </w:t>
      </w:r>
      <w:r w:rsidR="00532563" w:rsidRPr="005E0DC9">
        <w:rPr>
          <w:rFonts w:asciiTheme="minorHAnsi" w:hAnsiTheme="minorHAnsi"/>
          <w:bCs/>
          <w:sz w:val="24"/>
          <w:szCs w:val="24"/>
        </w:rPr>
        <w:t>The Committee noted</w:t>
      </w:r>
      <w:r w:rsidR="00521ECA" w:rsidRPr="005E0DC9">
        <w:rPr>
          <w:rFonts w:asciiTheme="minorHAnsi" w:hAnsiTheme="minorHAnsi"/>
          <w:bCs/>
          <w:sz w:val="24"/>
          <w:szCs w:val="24"/>
        </w:rPr>
        <w:t xml:space="preserve"> the</w:t>
      </w:r>
      <w:r w:rsidR="00532563" w:rsidRPr="005E0DC9">
        <w:rPr>
          <w:rFonts w:asciiTheme="minorHAnsi" w:hAnsiTheme="minorHAnsi"/>
          <w:bCs/>
          <w:sz w:val="24"/>
          <w:szCs w:val="24"/>
        </w:rPr>
        <w:t xml:space="preserve"> </w:t>
      </w:r>
      <w:r w:rsidR="00521ECA" w:rsidRPr="005E0DC9">
        <w:rPr>
          <w:rFonts w:asciiTheme="minorHAnsi" w:hAnsiTheme="minorHAnsi"/>
          <w:bCs/>
          <w:sz w:val="24"/>
          <w:szCs w:val="24"/>
        </w:rPr>
        <w:t xml:space="preserve">uptake of </w:t>
      </w:r>
      <w:proofErr w:type="spellStart"/>
      <w:r w:rsidR="00521ECA" w:rsidRPr="005E0DC9">
        <w:rPr>
          <w:rFonts w:asciiTheme="minorHAnsi" w:hAnsiTheme="minorHAnsi"/>
          <w:bCs/>
          <w:sz w:val="24"/>
          <w:szCs w:val="24"/>
        </w:rPr>
        <w:t>obi+chl</w:t>
      </w:r>
      <w:proofErr w:type="spellEnd"/>
      <w:r w:rsidR="00521ECA" w:rsidRPr="005E0DC9">
        <w:rPr>
          <w:rFonts w:asciiTheme="minorHAnsi" w:hAnsiTheme="minorHAnsi"/>
          <w:bCs/>
          <w:sz w:val="24"/>
          <w:szCs w:val="24"/>
        </w:rPr>
        <w:t xml:space="preserve"> was increasing (see Figures 1 and 2 above in Section 5)</w:t>
      </w:r>
      <w:r w:rsidR="00290AC2">
        <w:rPr>
          <w:rFonts w:asciiTheme="minorHAnsi" w:hAnsiTheme="minorHAnsi"/>
          <w:bCs/>
          <w:sz w:val="24"/>
          <w:szCs w:val="24"/>
        </w:rPr>
        <w:t>,</w:t>
      </w:r>
      <w:r w:rsidR="00521ECA" w:rsidRPr="005E0DC9">
        <w:rPr>
          <w:rFonts w:asciiTheme="minorHAnsi" w:hAnsiTheme="minorHAnsi"/>
          <w:bCs/>
          <w:sz w:val="24"/>
          <w:szCs w:val="24"/>
        </w:rPr>
        <w:t xml:space="preserve"> and </w:t>
      </w:r>
      <w:r w:rsidR="00532563" w:rsidRPr="005E0DC9">
        <w:rPr>
          <w:rFonts w:asciiTheme="minorHAnsi" w:hAnsiTheme="minorHAnsi"/>
          <w:bCs/>
          <w:sz w:val="24"/>
          <w:szCs w:val="24"/>
        </w:rPr>
        <w:t>the</w:t>
      </w:r>
      <w:r w:rsidR="0021346E" w:rsidRPr="005E0DC9">
        <w:rPr>
          <w:rFonts w:asciiTheme="minorHAnsi" w:hAnsiTheme="minorHAnsi"/>
          <w:bCs/>
          <w:sz w:val="24"/>
          <w:szCs w:val="24"/>
        </w:rPr>
        <w:t xml:space="preserve"> ESC advised </w:t>
      </w:r>
      <w:proofErr w:type="spellStart"/>
      <w:r w:rsidRPr="005E0DC9">
        <w:rPr>
          <w:rFonts w:ascii="Calibri" w:eastAsia="Calibri" w:hAnsi="Calibri"/>
          <w:snapToGrid/>
          <w:sz w:val="24"/>
          <w:szCs w:val="22"/>
        </w:rPr>
        <w:t>obi+chl</w:t>
      </w:r>
      <w:proofErr w:type="spellEnd"/>
      <w:r w:rsidRPr="005E0DC9">
        <w:rPr>
          <w:rFonts w:ascii="Calibri" w:eastAsia="Calibri" w:hAnsi="Calibri"/>
          <w:snapToGrid/>
          <w:sz w:val="24"/>
          <w:szCs w:val="22"/>
        </w:rPr>
        <w:t xml:space="preserve"> </w:t>
      </w:r>
      <w:r w:rsidR="0031593C" w:rsidRPr="005E0DC9">
        <w:rPr>
          <w:rFonts w:ascii="Calibri" w:eastAsia="Calibri" w:hAnsi="Calibri"/>
          <w:snapToGrid/>
          <w:sz w:val="24"/>
          <w:szCs w:val="22"/>
        </w:rPr>
        <w:t>were</w:t>
      </w:r>
      <w:r w:rsidRPr="005E0DC9">
        <w:rPr>
          <w:rFonts w:ascii="Calibri" w:eastAsia="Calibri" w:hAnsi="Calibri"/>
          <w:snapToGrid/>
          <w:sz w:val="24"/>
          <w:szCs w:val="22"/>
        </w:rPr>
        <w:t xml:space="preserve"> the preferred treatment option</w:t>
      </w:r>
      <w:r w:rsidR="0021346E" w:rsidRPr="005E0DC9">
        <w:rPr>
          <w:rFonts w:ascii="Calibri" w:eastAsia="Calibri" w:hAnsi="Calibri"/>
          <w:snapToGrid/>
          <w:sz w:val="24"/>
          <w:szCs w:val="22"/>
        </w:rPr>
        <w:t xml:space="preserve"> in academic centres</w:t>
      </w:r>
      <w:r w:rsidRPr="005E0DC9">
        <w:rPr>
          <w:rFonts w:ascii="Calibri" w:eastAsia="Calibri" w:hAnsi="Calibri"/>
          <w:snapToGrid/>
          <w:sz w:val="24"/>
          <w:szCs w:val="22"/>
        </w:rPr>
        <w:t xml:space="preserve"> as the most effective subsidised therapy</w:t>
      </w:r>
      <w:r w:rsidR="00521ECA" w:rsidRPr="005E0DC9">
        <w:rPr>
          <w:rFonts w:ascii="Calibri" w:eastAsia="Calibri" w:hAnsi="Calibri"/>
          <w:snapToGrid/>
          <w:sz w:val="24"/>
          <w:szCs w:val="22"/>
        </w:rPr>
        <w:t xml:space="preserve">. </w:t>
      </w:r>
      <w:r w:rsidR="0021346E" w:rsidRPr="005E0DC9">
        <w:rPr>
          <w:rFonts w:ascii="Calibri" w:eastAsia="Calibri" w:hAnsi="Calibri"/>
          <w:snapToGrid/>
          <w:sz w:val="24"/>
          <w:szCs w:val="22"/>
        </w:rPr>
        <w:t>The PBAC</w:t>
      </w:r>
      <w:r w:rsidRPr="005E0DC9">
        <w:rPr>
          <w:rFonts w:asciiTheme="minorHAnsi" w:hAnsiTheme="minorHAnsi"/>
          <w:bCs/>
          <w:sz w:val="24"/>
          <w:szCs w:val="24"/>
        </w:rPr>
        <w:t xml:space="preserve"> </w:t>
      </w:r>
      <w:r w:rsidR="00521ECA" w:rsidRPr="005E0DC9">
        <w:rPr>
          <w:rFonts w:asciiTheme="minorHAnsi" w:hAnsiTheme="minorHAnsi"/>
          <w:bCs/>
          <w:sz w:val="24"/>
          <w:szCs w:val="24"/>
        </w:rPr>
        <w:t xml:space="preserve">agreed with ESC that without </w:t>
      </w:r>
      <w:r w:rsidR="00EE3194" w:rsidRPr="005E0DC9">
        <w:rPr>
          <w:rFonts w:asciiTheme="minorHAnsi" w:hAnsiTheme="minorHAnsi"/>
          <w:bCs/>
          <w:sz w:val="24"/>
          <w:szCs w:val="24"/>
        </w:rPr>
        <w:t xml:space="preserve">robust </w:t>
      </w:r>
      <w:r w:rsidR="00521ECA" w:rsidRPr="005E0DC9">
        <w:rPr>
          <w:rFonts w:asciiTheme="minorHAnsi" w:hAnsiTheme="minorHAnsi"/>
          <w:bCs/>
          <w:sz w:val="24"/>
          <w:szCs w:val="24"/>
        </w:rPr>
        <w:t xml:space="preserve">evidence to justify superiority of </w:t>
      </w:r>
      <w:proofErr w:type="spellStart"/>
      <w:r w:rsidR="00521ECA" w:rsidRPr="005E0DC9">
        <w:rPr>
          <w:rFonts w:asciiTheme="minorHAnsi" w:hAnsiTheme="minorHAnsi"/>
          <w:bCs/>
          <w:sz w:val="24"/>
          <w:szCs w:val="24"/>
        </w:rPr>
        <w:t>ibrutinib</w:t>
      </w:r>
      <w:proofErr w:type="spellEnd"/>
      <w:r w:rsidR="00521ECA" w:rsidRPr="005E0DC9">
        <w:rPr>
          <w:rFonts w:asciiTheme="minorHAnsi" w:hAnsiTheme="minorHAnsi"/>
          <w:bCs/>
          <w:sz w:val="24"/>
          <w:szCs w:val="24"/>
        </w:rPr>
        <w:t xml:space="preserve"> vs </w:t>
      </w:r>
      <w:proofErr w:type="spellStart"/>
      <w:r w:rsidR="00521ECA" w:rsidRPr="005E0DC9">
        <w:rPr>
          <w:rFonts w:asciiTheme="minorHAnsi" w:hAnsiTheme="minorHAnsi"/>
          <w:bCs/>
          <w:sz w:val="24"/>
          <w:szCs w:val="24"/>
        </w:rPr>
        <w:t>obi+chl</w:t>
      </w:r>
      <w:proofErr w:type="spellEnd"/>
      <w:r w:rsidR="00521ECA" w:rsidRPr="005E0DC9">
        <w:rPr>
          <w:rFonts w:asciiTheme="minorHAnsi" w:hAnsiTheme="minorHAnsi"/>
          <w:bCs/>
          <w:sz w:val="24"/>
          <w:szCs w:val="24"/>
        </w:rPr>
        <w:t xml:space="preserve">, either non-inferiority to </w:t>
      </w:r>
      <w:proofErr w:type="spellStart"/>
      <w:r w:rsidR="00521ECA" w:rsidRPr="005E0DC9">
        <w:rPr>
          <w:rFonts w:asciiTheme="minorHAnsi" w:hAnsiTheme="minorHAnsi"/>
          <w:bCs/>
          <w:sz w:val="24"/>
          <w:szCs w:val="24"/>
        </w:rPr>
        <w:t>obi+chl</w:t>
      </w:r>
      <w:proofErr w:type="spellEnd"/>
      <w:r w:rsidR="00521ECA" w:rsidRPr="005E0DC9">
        <w:rPr>
          <w:rFonts w:asciiTheme="minorHAnsi" w:hAnsiTheme="minorHAnsi"/>
          <w:bCs/>
          <w:sz w:val="24"/>
          <w:szCs w:val="24"/>
        </w:rPr>
        <w:t xml:space="preserve"> </w:t>
      </w:r>
      <w:r w:rsidR="002118F7" w:rsidRPr="005E0DC9">
        <w:rPr>
          <w:rFonts w:asciiTheme="minorHAnsi" w:hAnsiTheme="minorHAnsi"/>
          <w:bCs/>
          <w:sz w:val="24"/>
          <w:szCs w:val="24"/>
        </w:rPr>
        <w:t>and/</w:t>
      </w:r>
      <w:r w:rsidR="00521ECA" w:rsidRPr="005E0DC9">
        <w:rPr>
          <w:rFonts w:asciiTheme="minorHAnsi" w:hAnsiTheme="minorHAnsi"/>
          <w:bCs/>
          <w:sz w:val="24"/>
          <w:szCs w:val="24"/>
        </w:rPr>
        <w:t xml:space="preserve">or superiority of </w:t>
      </w:r>
      <w:proofErr w:type="spellStart"/>
      <w:r w:rsidR="00521ECA" w:rsidRPr="005E0DC9">
        <w:rPr>
          <w:rFonts w:asciiTheme="minorHAnsi" w:hAnsiTheme="minorHAnsi"/>
          <w:bCs/>
          <w:sz w:val="24"/>
          <w:szCs w:val="24"/>
        </w:rPr>
        <w:t>ibrutinib</w:t>
      </w:r>
      <w:proofErr w:type="spellEnd"/>
      <w:r w:rsidR="00521ECA" w:rsidRPr="005E0DC9">
        <w:rPr>
          <w:rFonts w:asciiTheme="minorHAnsi" w:hAnsiTheme="minorHAnsi"/>
          <w:bCs/>
          <w:sz w:val="24"/>
          <w:szCs w:val="24"/>
        </w:rPr>
        <w:t xml:space="preserve"> vs </w:t>
      </w:r>
      <w:proofErr w:type="spellStart"/>
      <w:r w:rsidR="00521ECA" w:rsidRPr="005E0DC9">
        <w:rPr>
          <w:rFonts w:asciiTheme="minorHAnsi" w:hAnsiTheme="minorHAnsi"/>
          <w:bCs/>
          <w:sz w:val="24"/>
          <w:szCs w:val="24"/>
        </w:rPr>
        <w:t>ritux+chl</w:t>
      </w:r>
      <w:proofErr w:type="spellEnd"/>
      <w:r w:rsidR="00521ECA" w:rsidRPr="005E0DC9">
        <w:rPr>
          <w:rFonts w:asciiTheme="minorHAnsi" w:hAnsiTheme="minorHAnsi"/>
          <w:bCs/>
          <w:sz w:val="24"/>
          <w:szCs w:val="24"/>
        </w:rPr>
        <w:t xml:space="preserve"> would be the most relevant comparisons for assessing clinical and cost-effectiveness of </w:t>
      </w:r>
      <w:proofErr w:type="spellStart"/>
      <w:r w:rsidR="00521ECA" w:rsidRPr="005E0DC9">
        <w:rPr>
          <w:rFonts w:asciiTheme="minorHAnsi" w:hAnsiTheme="minorHAnsi"/>
          <w:bCs/>
          <w:sz w:val="24"/>
          <w:szCs w:val="24"/>
        </w:rPr>
        <w:t>ibrutinib</w:t>
      </w:r>
      <w:proofErr w:type="spellEnd"/>
      <w:r w:rsidR="00521ECA" w:rsidRPr="005E0DC9">
        <w:rPr>
          <w:rFonts w:asciiTheme="minorHAnsi" w:hAnsiTheme="minorHAnsi"/>
          <w:bCs/>
          <w:sz w:val="24"/>
          <w:szCs w:val="24"/>
        </w:rPr>
        <w:t xml:space="preserve"> in first-line CLL/SLL.</w:t>
      </w:r>
    </w:p>
    <w:p w:rsidR="00926562" w:rsidRPr="005E0DC9" w:rsidRDefault="00144BEC" w:rsidP="00955FEF">
      <w:pPr>
        <w:numPr>
          <w:ilvl w:val="1"/>
          <w:numId w:val="11"/>
        </w:numPr>
        <w:spacing w:after="120"/>
        <w:ind w:left="709" w:hanging="709"/>
        <w:rPr>
          <w:rFonts w:asciiTheme="minorHAnsi" w:hAnsiTheme="minorHAnsi"/>
          <w:bCs/>
          <w:sz w:val="24"/>
          <w:szCs w:val="24"/>
        </w:rPr>
      </w:pPr>
      <w:r w:rsidRPr="005E0DC9">
        <w:rPr>
          <w:rFonts w:asciiTheme="minorHAnsi" w:hAnsiTheme="minorHAnsi"/>
          <w:bCs/>
          <w:sz w:val="24"/>
          <w:szCs w:val="24"/>
        </w:rPr>
        <w:lastRenderedPageBreak/>
        <w:t xml:space="preserve">The PBAC noted the </w:t>
      </w:r>
      <w:r w:rsidR="00926562" w:rsidRPr="005E0DC9">
        <w:rPr>
          <w:rFonts w:asciiTheme="minorHAnsi" w:hAnsiTheme="minorHAnsi"/>
          <w:bCs/>
          <w:sz w:val="24"/>
          <w:szCs w:val="24"/>
        </w:rPr>
        <w:t>superior comparative effectiveness</w:t>
      </w:r>
      <w:r w:rsidR="00576ED9" w:rsidRPr="005E0DC9">
        <w:rPr>
          <w:rFonts w:asciiTheme="minorHAnsi" w:hAnsiTheme="minorHAnsi"/>
          <w:bCs/>
          <w:sz w:val="24"/>
          <w:szCs w:val="24"/>
        </w:rPr>
        <w:t xml:space="preserve"> of </w:t>
      </w:r>
      <w:proofErr w:type="spellStart"/>
      <w:r w:rsidR="00576ED9" w:rsidRPr="005E0DC9">
        <w:rPr>
          <w:rFonts w:asciiTheme="minorHAnsi" w:hAnsiTheme="minorHAnsi"/>
          <w:bCs/>
          <w:sz w:val="24"/>
          <w:szCs w:val="24"/>
        </w:rPr>
        <w:t>ibrutinib</w:t>
      </w:r>
      <w:proofErr w:type="spellEnd"/>
      <w:r w:rsidR="00576ED9" w:rsidRPr="005E0DC9">
        <w:rPr>
          <w:rFonts w:asciiTheme="minorHAnsi" w:hAnsiTheme="minorHAnsi"/>
          <w:bCs/>
          <w:sz w:val="24"/>
          <w:szCs w:val="24"/>
        </w:rPr>
        <w:t xml:space="preserve"> compared to </w:t>
      </w:r>
      <w:proofErr w:type="spellStart"/>
      <w:r w:rsidR="00576ED9" w:rsidRPr="005E0DC9">
        <w:rPr>
          <w:rFonts w:asciiTheme="minorHAnsi" w:hAnsiTheme="minorHAnsi"/>
          <w:bCs/>
          <w:sz w:val="24"/>
          <w:szCs w:val="24"/>
        </w:rPr>
        <w:t>chl</w:t>
      </w:r>
      <w:r w:rsidR="002731BA" w:rsidRPr="005E0DC9">
        <w:rPr>
          <w:rFonts w:asciiTheme="minorHAnsi" w:hAnsiTheme="minorHAnsi"/>
          <w:bCs/>
          <w:sz w:val="24"/>
          <w:szCs w:val="24"/>
        </w:rPr>
        <w:t>orambucil</w:t>
      </w:r>
      <w:proofErr w:type="spellEnd"/>
      <w:r w:rsidR="00576ED9" w:rsidRPr="005E0DC9">
        <w:rPr>
          <w:rFonts w:asciiTheme="minorHAnsi" w:hAnsiTheme="minorHAnsi"/>
          <w:bCs/>
          <w:sz w:val="24"/>
          <w:szCs w:val="24"/>
        </w:rPr>
        <w:t xml:space="preserve"> in the key trial RESONATE-2 (</w:t>
      </w:r>
      <w:r w:rsidR="00D23BC6" w:rsidRPr="005E0DC9">
        <w:rPr>
          <w:rFonts w:asciiTheme="minorHAnsi" w:hAnsiTheme="minorHAnsi"/>
          <w:bCs/>
          <w:sz w:val="24"/>
          <w:szCs w:val="24"/>
        </w:rPr>
        <w:t xml:space="preserve">at May 2015 cut-off, </w:t>
      </w:r>
      <w:r w:rsidR="00576ED9" w:rsidRPr="005E0DC9">
        <w:rPr>
          <w:rFonts w:asciiTheme="minorHAnsi" w:hAnsiTheme="minorHAnsi"/>
          <w:bCs/>
          <w:sz w:val="24"/>
          <w:szCs w:val="24"/>
        </w:rPr>
        <w:t>IRC-assessed PFS HR = 0.16 (0.09</w:t>
      </w:r>
      <w:r w:rsidR="00D23BC6" w:rsidRPr="005E0DC9">
        <w:rPr>
          <w:rFonts w:asciiTheme="minorHAnsi" w:hAnsiTheme="minorHAnsi"/>
          <w:bCs/>
          <w:sz w:val="24"/>
          <w:szCs w:val="24"/>
        </w:rPr>
        <w:t>,</w:t>
      </w:r>
      <w:r w:rsidR="00576ED9" w:rsidRPr="005E0DC9">
        <w:rPr>
          <w:rFonts w:asciiTheme="minorHAnsi" w:hAnsiTheme="minorHAnsi"/>
          <w:bCs/>
          <w:sz w:val="24"/>
          <w:szCs w:val="24"/>
        </w:rPr>
        <w:t xml:space="preserve"> 0.28</w:t>
      </w:r>
      <w:r w:rsidR="00D23BC6" w:rsidRPr="005E0DC9">
        <w:rPr>
          <w:rFonts w:asciiTheme="minorHAnsi" w:hAnsiTheme="minorHAnsi"/>
          <w:bCs/>
          <w:sz w:val="24"/>
          <w:szCs w:val="24"/>
        </w:rPr>
        <w:t>);</w:t>
      </w:r>
      <w:r w:rsidR="00576ED9" w:rsidRPr="005E0DC9">
        <w:rPr>
          <w:rFonts w:asciiTheme="minorHAnsi" w:hAnsiTheme="minorHAnsi"/>
          <w:bCs/>
          <w:sz w:val="24"/>
          <w:szCs w:val="24"/>
        </w:rPr>
        <w:t xml:space="preserve"> investigator-assessed PFS HR = </w:t>
      </w:r>
      <w:r w:rsidR="00773C23">
        <w:rPr>
          <w:rFonts w:asciiTheme="minorHAnsi" w:hAnsiTheme="minorHAnsi"/>
          <w:bCs/>
          <w:noProof/>
          <w:color w:val="000000"/>
          <w:sz w:val="24"/>
          <w:szCs w:val="24"/>
          <w:highlight w:val="black"/>
        </w:rPr>
        <w:t>'''''''' '''''''''' '''''''''</w:t>
      </w:r>
      <w:r w:rsidR="00D23BC6" w:rsidRPr="005E0DC9">
        <w:rPr>
          <w:rFonts w:asciiTheme="minorHAnsi" w:hAnsiTheme="minorHAnsi"/>
          <w:bCs/>
          <w:sz w:val="24"/>
          <w:szCs w:val="24"/>
        </w:rPr>
        <w:t>; and OS HR = 0.16 (0.05, 0.56))</w:t>
      </w:r>
      <w:r w:rsidR="00576ED9" w:rsidRPr="005E0DC9">
        <w:rPr>
          <w:rFonts w:asciiTheme="minorHAnsi" w:hAnsiTheme="minorHAnsi"/>
          <w:bCs/>
          <w:sz w:val="24"/>
          <w:szCs w:val="24"/>
        </w:rPr>
        <w:t>.</w:t>
      </w:r>
      <w:r w:rsidR="00530BD4" w:rsidRPr="005E0DC9">
        <w:rPr>
          <w:rFonts w:asciiTheme="minorHAnsi" w:hAnsiTheme="minorHAnsi"/>
          <w:bCs/>
          <w:sz w:val="24"/>
          <w:szCs w:val="24"/>
        </w:rPr>
        <w:t xml:space="preserve"> However, the PBAC noted the small number of events at this cut-off</w:t>
      </w:r>
      <w:r w:rsidR="00290AC2">
        <w:rPr>
          <w:rFonts w:asciiTheme="minorHAnsi" w:hAnsiTheme="minorHAnsi"/>
          <w:bCs/>
          <w:sz w:val="24"/>
          <w:szCs w:val="24"/>
        </w:rPr>
        <w:t>,</w:t>
      </w:r>
      <w:r w:rsidR="00530BD4" w:rsidRPr="005E0DC9">
        <w:rPr>
          <w:rFonts w:asciiTheme="minorHAnsi" w:hAnsiTheme="minorHAnsi"/>
          <w:bCs/>
          <w:sz w:val="24"/>
          <w:szCs w:val="24"/>
        </w:rPr>
        <w:t xml:space="preserve"> and that at the February 2016 data cut </w:t>
      </w:r>
      <w:r w:rsidR="00991A5D" w:rsidRPr="005E0DC9">
        <w:rPr>
          <w:rFonts w:asciiTheme="minorHAnsi" w:hAnsiTheme="minorHAnsi"/>
          <w:bCs/>
          <w:sz w:val="24"/>
          <w:szCs w:val="24"/>
        </w:rPr>
        <w:t xml:space="preserve">the </w:t>
      </w:r>
      <w:r w:rsidR="00E958F4" w:rsidRPr="005E0DC9">
        <w:rPr>
          <w:rFonts w:asciiTheme="minorHAnsi" w:hAnsiTheme="minorHAnsi"/>
          <w:bCs/>
          <w:sz w:val="24"/>
          <w:szCs w:val="24"/>
        </w:rPr>
        <w:t xml:space="preserve">relative </w:t>
      </w:r>
      <w:r w:rsidR="00530BD4" w:rsidRPr="005E0DC9">
        <w:rPr>
          <w:rFonts w:asciiTheme="minorHAnsi" w:hAnsiTheme="minorHAnsi"/>
          <w:bCs/>
          <w:sz w:val="24"/>
          <w:szCs w:val="24"/>
        </w:rPr>
        <w:t xml:space="preserve">OS </w:t>
      </w:r>
      <w:r w:rsidR="00E958F4" w:rsidRPr="005E0DC9">
        <w:rPr>
          <w:rFonts w:asciiTheme="minorHAnsi" w:hAnsiTheme="minorHAnsi"/>
          <w:bCs/>
          <w:sz w:val="24"/>
          <w:szCs w:val="24"/>
        </w:rPr>
        <w:t>gain</w:t>
      </w:r>
      <w:r w:rsidR="00991A5D" w:rsidRPr="005E0DC9">
        <w:rPr>
          <w:rFonts w:asciiTheme="minorHAnsi" w:hAnsiTheme="minorHAnsi"/>
          <w:bCs/>
          <w:sz w:val="24"/>
          <w:szCs w:val="24"/>
        </w:rPr>
        <w:t xml:space="preserve"> had reduced</w:t>
      </w:r>
      <w:r w:rsidR="00B71738" w:rsidRPr="005E0DC9">
        <w:rPr>
          <w:rFonts w:asciiTheme="minorHAnsi" w:hAnsiTheme="minorHAnsi"/>
          <w:bCs/>
          <w:sz w:val="24"/>
          <w:szCs w:val="24"/>
        </w:rPr>
        <w:t xml:space="preserve"> (</w:t>
      </w:r>
      <w:r w:rsidR="00991A5D" w:rsidRPr="005E0DC9">
        <w:rPr>
          <w:rFonts w:asciiTheme="minorHAnsi" w:hAnsiTheme="minorHAnsi"/>
          <w:bCs/>
          <w:sz w:val="24"/>
          <w:szCs w:val="24"/>
        </w:rPr>
        <w:t xml:space="preserve">from </w:t>
      </w:r>
      <w:r w:rsidR="00B71738" w:rsidRPr="005E0DC9">
        <w:rPr>
          <w:rFonts w:asciiTheme="minorHAnsi" w:hAnsiTheme="minorHAnsi"/>
          <w:bCs/>
          <w:sz w:val="24"/>
          <w:szCs w:val="24"/>
        </w:rPr>
        <w:t>HR 0.</w:t>
      </w:r>
      <w:r w:rsidR="00991A5D" w:rsidRPr="005E0DC9">
        <w:rPr>
          <w:rFonts w:asciiTheme="minorHAnsi" w:hAnsiTheme="minorHAnsi"/>
          <w:bCs/>
          <w:sz w:val="24"/>
          <w:szCs w:val="24"/>
        </w:rPr>
        <w:t>16</w:t>
      </w:r>
      <w:r w:rsidR="00B71738" w:rsidRPr="005E0DC9">
        <w:rPr>
          <w:rFonts w:asciiTheme="minorHAnsi" w:hAnsiTheme="minorHAnsi"/>
          <w:bCs/>
          <w:sz w:val="24"/>
          <w:szCs w:val="24"/>
        </w:rPr>
        <w:t xml:space="preserve"> </w:t>
      </w:r>
      <w:r w:rsidR="00991A5D" w:rsidRPr="005E0DC9">
        <w:rPr>
          <w:rFonts w:asciiTheme="minorHAnsi" w:hAnsiTheme="minorHAnsi"/>
          <w:bCs/>
          <w:sz w:val="24"/>
          <w:szCs w:val="24"/>
        </w:rPr>
        <w:t>to 0.44</w:t>
      </w:r>
      <w:r w:rsidR="00B71738" w:rsidRPr="005E0DC9">
        <w:rPr>
          <w:rFonts w:asciiTheme="minorHAnsi" w:hAnsiTheme="minorHAnsi"/>
          <w:bCs/>
          <w:sz w:val="24"/>
          <w:szCs w:val="24"/>
        </w:rPr>
        <w:t>)</w:t>
      </w:r>
      <w:r w:rsidR="00340A48" w:rsidRPr="005E0DC9">
        <w:rPr>
          <w:rFonts w:asciiTheme="minorHAnsi" w:hAnsiTheme="minorHAnsi"/>
          <w:bCs/>
          <w:sz w:val="24"/>
          <w:szCs w:val="24"/>
        </w:rPr>
        <w:t>.</w:t>
      </w:r>
      <w:r w:rsidR="00751213" w:rsidRPr="005E0DC9">
        <w:rPr>
          <w:rFonts w:asciiTheme="minorHAnsi" w:hAnsiTheme="minorHAnsi"/>
          <w:bCs/>
          <w:sz w:val="24"/>
          <w:szCs w:val="24"/>
        </w:rPr>
        <w:t xml:space="preserve"> The PBAC</w:t>
      </w:r>
      <w:r w:rsidR="00B71738" w:rsidRPr="005E0DC9">
        <w:rPr>
          <w:rFonts w:asciiTheme="minorHAnsi" w:hAnsiTheme="minorHAnsi"/>
          <w:bCs/>
          <w:sz w:val="24"/>
          <w:szCs w:val="24"/>
        </w:rPr>
        <w:t xml:space="preserve"> </w:t>
      </w:r>
      <w:r w:rsidR="00953A3A" w:rsidRPr="005E0DC9">
        <w:rPr>
          <w:rFonts w:asciiTheme="minorHAnsi" w:hAnsiTheme="minorHAnsi"/>
          <w:bCs/>
          <w:sz w:val="24"/>
          <w:szCs w:val="24"/>
        </w:rPr>
        <w:t xml:space="preserve">noted there was no statistical comparison of survival with the </w:t>
      </w:r>
      <w:r w:rsidR="002731BA" w:rsidRPr="005E0DC9">
        <w:rPr>
          <w:rFonts w:asciiTheme="minorHAnsi" w:hAnsiTheme="minorHAnsi"/>
          <w:bCs/>
          <w:sz w:val="24"/>
          <w:szCs w:val="24"/>
        </w:rPr>
        <w:t xml:space="preserve">comparators using the </w:t>
      </w:r>
      <w:r w:rsidR="00953A3A" w:rsidRPr="005E0DC9">
        <w:rPr>
          <w:rFonts w:asciiTheme="minorHAnsi" w:hAnsiTheme="minorHAnsi"/>
          <w:bCs/>
          <w:sz w:val="24"/>
          <w:szCs w:val="24"/>
        </w:rPr>
        <w:t>updated results</w:t>
      </w:r>
      <w:r w:rsidR="00290AC2">
        <w:rPr>
          <w:rFonts w:asciiTheme="minorHAnsi" w:hAnsiTheme="minorHAnsi"/>
          <w:bCs/>
          <w:sz w:val="24"/>
          <w:szCs w:val="24"/>
        </w:rPr>
        <w:t>,</w:t>
      </w:r>
      <w:r w:rsidR="00953A3A" w:rsidRPr="005E0DC9">
        <w:rPr>
          <w:rFonts w:asciiTheme="minorHAnsi" w:hAnsiTheme="minorHAnsi"/>
          <w:bCs/>
          <w:sz w:val="24"/>
          <w:szCs w:val="24"/>
        </w:rPr>
        <w:t xml:space="preserve"> and </w:t>
      </w:r>
      <w:r w:rsidR="00B71738" w:rsidRPr="005E0DC9">
        <w:rPr>
          <w:rFonts w:asciiTheme="minorHAnsi" w:hAnsiTheme="minorHAnsi"/>
          <w:bCs/>
          <w:sz w:val="24"/>
          <w:szCs w:val="24"/>
        </w:rPr>
        <w:t xml:space="preserve">considered that any survival advantage </w:t>
      </w:r>
      <w:r w:rsidR="00953A3A" w:rsidRPr="005E0DC9">
        <w:rPr>
          <w:rFonts w:asciiTheme="minorHAnsi" w:hAnsiTheme="minorHAnsi"/>
          <w:bCs/>
          <w:sz w:val="24"/>
          <w:szCs w:val="24"/>
        </w:rPr>
        <w:t>over</w:t>
      </w:r>
      <w:r w:rsidR="00B71738" w:rsidRPr="005E0DC9">
        <w:rPr>
          <w:rFonts w:asciiTheme="minorHAnsi" w:hAnsiTheme="minorHAnsi"/>
          <w:bCs/>
          <w:sz w:val="24"/>
          <w:szCs w:val="24"/>
        </w:rPr>
        <w:t xml:space="preserve"> the comparators will be </w:t>
      </w:r>
      <w:r w:rsidR="005C1FCD" w:rsidRPr="005E0DC9">
        <w:rPr>
          <w:rFonts w:asciiTheme="minorHAnsi" w:hAnsiTheme="minorHAnsi"/>
          <w:bCs/>
          <w:sz w:val="24"/>
          <w:szCs w:val="24"/>
        </w:rPr>
        <w:t xml:space="preserve">reduced from that </w:t>
      </w:r>
      <w:r w:rsidR="00953A3A" w:rsidRPr="005E0DC9">
        <w:rPr>
          <w:rFonts w:ascii="Calibri" w:eastAsia="Calibri" w:hAnsi="Calibri"/>
          <w:snapToGrid/>
          <w:sz w:val="24"/>
          <w:szCs w:val="22"/>
        </w:rPr>
        <w:t xml:space="preserve">estimated </w:t>
      </w:r>
      <w:r w:rsidR="005C1FCD" w:rsidRPr="005E0DC9">
        <w:rPr>
          <w:rFonts w:ascii="Calibri" w:eastAsia="Calibri" w:hAnsi="Calibri"/>
          <w:snapToGrid/>
          <w:sz w:val="24"/>
          <w:szCs w:val="22"/>
        </w:rPr>
        <w:t>using the</w:t>
      </w:r>
      <w:r w:rsidR="00953A3A" w:rsidRPr="005E0DC9">
        <w:rPr>
          <w:rFonts w:ascii="Calibri" w:eastAsia="Calibri" w:hAnsi="Calibri"/>
          <w:snapToGrid/>
          <w:sz w:val="24"/>
          <w:szCs w:val="22"/>
        </w:rPr>
        <w:t xml:space="preserve"> first data cut</w:t>
      </w:r>
      <w:r w:rsidR="00530BD4" w:rsidRPr="005E0DC9">
        <w:rPr>
          <w:rFonts w:ascii="Calibri" w:eastAsia="Calibri" w:hAnsi="Calibri"/>
          <w:i/>
          <w:snapToGrid/>
          <w:sz w:val="24"/>
          <w:szCs w:val="22"/>
        </w:rPr>
        <w:t>.</w:t>
      </w:r>
      <w:bookmarkStart w:id="46" w:name="_GoBack"/>
      <w:bookmarkEnd w:id="46"/>
    </w:p>
    <w:p w:rsidR="00FD25C8" w:rsidRPr="005E0DC9" w:rsidRDefault="00576ED9" w:rsidP="00955FEF">
      <w:pPr>
        <w:numPr>
          <w:ilvl w:val="1"/>
          <w:numId w:val="11"/>
        </w:numPr>
        <w:spacing w:after="120"/>
        <w:ind w:left="709" w:hanging="709"/>
        <w:rPr>
          <w:rFonts w:asciiTheme="minorHAnsi" w:hAnsiTheme="minorHAnsi"/>
          <w:bCs/>
          <w:sz w:val="24"/>
          <w:szCs w:val="24"/>
        </w:rPr>
      </w:pPr>
      <w:r w:rsidRPr="005E0DC9">
        <w:rPr>
          <w:rFonts w:asciiTheme="minorHAnsi" w:hAnsiTheme="minorHAnsi"/>
          <w:bCs/>
          <w:sz w:val="24"/>
          <w:szCs w:val="24"/>
        </w:rPr>
        <w:t xml:space="preserve">The </w:t>
      </w:r>
      <w:r w:rsidR="00D23BC6" w:rsidRPr="005E0DC9">
        <w:rPr>
          <w:rFonts w:asciiTheme="minorHAnsi" w:hAnsiTheme="minorHAnsi"/>
          <w:bCs/>
          <w:sz w:val="24"/>
          <w:szCs w:val="24"/>
        </w:rPr>
        <w:t xml:space="preserve">PBAC noted the </w:t>
      </w:r>
      <w:r w:rsidR="00144BEC" w:rsidRPr="005E0DC9">
        <w:rPr>
          <w:rFonts w:asciiTheme="minorHAnsi" w:hAnsiTheme="minorHAnsi"/>
          <w:bCs/>
          <w:sz w:val="24"/>
          <w:szCs w:val="24"/>
        </w:rPr>
        <w:t>claim of superior comparative effectiveness to all the nominated comparators was based on indirect comparisons.</w:t>
      </w:r>
      <w:r w:rsidRPr="005E0DC9">
        <w:rPr>
          <w:rFonts w:asciiTheme="minorHAnsi" w:hAnsiTheme="minorHAnsi"/>
          <w:bCs/>
          <w:sz w:val="24"/>
          <w:szCs w:val="24"/>
        </w:rPr>
        <w:t xml:space="preserve"> The PBAC noted </w:t>
      </w:r>
      <w:r w:rsidR="00D23BC6" w:rsidRPr="005E0DC9">
        <w:rPr>
          <w:rFonts w:asciiTheme="minorHAnsi" w:hAnsiTheme="minorHAnsi"/>
          <w:bCs/>
          <w:sz w:val="24"/>
          <w:szCs w:val="24"/>
        </w:rPr>
        <w:t xml:space="preserve">and accepted that PFS and OS </w:t>
      </w:r>
      <w:r w:rsidRPr="005E0DC9">
        <w:rPr>
          <w:rFonts w:asciiTheme="minorHAnsi" w:hAnsiTheme="minorHAnsi"/>
          <w:bCs/>
          <w:sz w:val="24"/>
          <w:szCs w:val="24"/>
        </w:rPr>
        <w:t xml:space="preserve">outcomes for comparisons of </w:t>
      </w:r>
      <w:proofErr w:type="spellStart"/>
      <w:r w:rsidRPr="005E0DC9">
        <w:rPr>
          <w:rFonts w:asciiTheme="minorHAnsi" w:hAnsiTheme="minorHAnsi"/>
          <w:bCs/>
          <w:sz w:val="24"/>
          <w:szCs w:val="24"/>
        </w:rPr>
        <w:t>ibrutinib</w:t>
      </w:r>
      <w:proofErr w:type="spellEnd"/>
      <w:r w:rsidRPr="005E0DC9">
        <w:rPr>
          <w:rFonts w:asciiTheme="minorHAnsi" w:hAnsiTheme="minorHAnsi"/>
          <w:bCs/>
          <w:sz w:val="24"/>
          <w:szCs w:val="24"/>
        </w:rPr>
        <w:t xml:space="preserve"> (RESONATE-2) and </w:t>
      </w:r>
      <w:proofErr w:type="spellStart"/>
      <w:r w:rsidRPr="005E0DC9">
        <w:rPr>
          <w:rFonts w:asciiTheme="minorHAnsi" w:hAnsiTheme="minorHAnsi"/>
          <w:bCs/>
          <w:sz w:val="24"/>
          <w:szCs w:val="24"/>
        </w:rPr>
        <w:t>ritux+chl</w:t>
      </w:r>
      <w:proofErr w:type="spellEnd"/>
      <w:r w:rsidRPr="005E0DC9">
        <w:rPr>
          <w:rFonts w:asciiTheme="minorHAnsi" w:hAnsiTheme="minorHAnsi"/>
          <w:bCs/>
          <w:sz w:val="24"/>
          <w:szCs w:val="24"/>
        </w:rPr>
        <w:t xml:space="preserve"> (CLL11)</w:t>
      </w:r>
      <w:r w:rsidR="00144BEC" w:rsidRPr="005E0DC9">
        <w:rPr>
          <w:rFonts w:asciiTheme="minorHAnsi" w:hAnsiTheme="minorHAnsi"/>
          <w:bCs/>
          <w:sz w:val="24"/>
          <w:szCs w:val="24"/>
        </w:rPr>
        <w:t xml:space="preserve"> </w:t>
      </w:r>
      <w:r w:rsidR="00D23BC6" w:rsidRPr="005E0DC9">
        <w:rPr>
          <w:rFonts w:asciiTheme="minorHAnsi" w:hAnsiTheme="minorHAnsi"/>
          <w:bCs/>
          <w:sz w:val="24"/>
          <w:szCs w:val="24"/>
        </w:rPr>
        <w:t xml:space="preserve">and </w:t>
      </w:r>
      <w:proofErr w:type="spellStart"/>
      <w:r w:rsidR="00D23BC6" w:rsidRPr="005E0DC9">
        <w:rPr>
          <w:rFonts w:asciiTheme="minorHAnsi" w:hAnsiTheme="minorHAnsi"/>
          <w:bCs/>
          <w:sz w:val="24"/>
          <w:szCs w:val="24"/>
        </w:rPr>
        <w:t>ofa+chl</w:t>
      </w:r>
      <w:proofErr w:type="spellEnd"/>
      <w:r w:rsidR="00D23BC6" w:rsidRPr="005E0DC9">
        <w:rPr>
          <w:rFonts w:asciiTheme="minorHAnsi" w:hAnsiTheme="minorHAnsi"/>
          <w:bCs/>
          <w:sz w:val="24"/>
          <w:szCs w:val="24"/>
        </w:rPr>
        <w:t xml:space="preserve"> (COMPEMENT-1) indicated the superior effectiveness of </w:t>
      </w:r>
      <w:proofErr w:type="spellStart"/>
      <w:r w:rsidR="00D23BC6" w:rsidRPr="005E0DC9">
        <w:rPr>
          <w:rFonts w:asciiTheme="minorHAnsi" w:hAnsiTheme="minorHAnsi"/>
          <w:bCs/>
          <w:sz w:val="24"/>
          <w:szCs w:val="24"/>
        </w:rPr>
        <w:t>ibrutinib</w:t>
      </w:r>
      <w:proofErr w:type="spellEnd"/>
      <w:r w:rsidR="00FD25C8" w:rsidRPr="005E0DC9">
        <w:rPr>
          <w:rFonts w:asciiTheme="minorHAnsi" w:hAnsiTheme="minorHAnsi"/>
          <w:bCs/>
          <w:sz w:val="24"/>
          <w:szCs w:val="24"/>
        </w:rPr>
        <w:t xml:space="preserve">. The PBAC considered the magnitude of </w:t>
      </w:r>
      <w:r w:rsidR="00290AC2">
        <w:rPr>
          <w:rFonts w:asciiTheme="minorHAnsi" w:hAnsiTheme="minorHAnsi"/>
          <w:bCs/>
          <w:sz w:val="24"/>
          <w:szCs w:val="24"/>
        </w:rPr>
        <w:t>long-term</w:t>
      </w:r>
      <w:r w:rsidR="00290AC2" w:rsidRPr="005E0DC9">
        <w:rPr>
          <w:rFonts w:asciiTheme="minorHAnsi" w:hAnsiTheme="minorHAnsi"/>
          <w:bCs/>
          <w:sz w:val="24"/>
          <w:szCs w:val="24"/>
        </w:rPr>
        <w:t xml:space="preserve"> </w:t>
      </w:r>
      <w:r w:rsidR="00FD25C8" w:rsidRPr="005E0DC9">
        <w:rPr>
          <w:rFonts w:asciiTheme="minorHAnsi" w:hAnsiTheme="minorHAnsi"/>
          <w:bCs/>
          <w:sz w:val="24"/>
          <w:szCs w:val="24"/>
        </w:rPr>
        <w:t xml:space="preserve">benefit was uncertain because of the indolent nature of the disease and hence the small number of clinical events observed in the trials, </w:t>
      </w:r>
      <w:r w:rsidR="002D7DD6" w:rsidRPr="005E0DC9">
        <w:rPr>
          <w:rFonts w:asciiTheme="minorHAnsi" w:hAnsiTheme="minorHAnsi"/>
          <w:bCs/>
          <w:sz w:val="24"/>
          <w:szCs w:val="24"/>
        </w:rPr>
        <w:t xml:space="preserve">in particular for </w:t>
      </w:r>
      <w:proofErr w:type="spellStart"/>
      <w:r w:rsidR="005E0DC9" w:rsidRPr="005E0DC9">
        <w:rPr>
          <w:rFonts w:asciiTheme="minorHAnsi" w:hAnsiTheme="minorHAnsi"/>
          <w:bCs/>
          <w:sz w:val="24"/>
          <w:szCs w:val="24"/>
        </w:rPr>
        <w:t>ibrutinib</w:t>
      </w:r>
      <w:proofErr w:type="spellEnd"/>
      <w:r w:rsidR="002D7DD6" w:rsidRPr="005E0DC9">
        <w:rPr>
          <w:rFonts w:asciiTheme="minorHAnsi" w:hAnsiTheme="minorHAnsi"/>
          <w:bCs/>
          <w:sz w:val="24"/>
          <w:szCs w:val="24"/>
        </w:rPr>
        <w:t xml:space="preserve"> </w:t>
      </w:r>
      <w:r w:rsidR="00FD25C8" w:rsidRPr="005E0DC9">
        <w:rPr>
          <w:rFonts w:asciiTheme="minorHAnsi" w:hAnsiTheme="minorHAnsi"/>
          <w:bCs/>
          <w:sz w:val="24"/>
          <w:szCs w:val="24"/>
        </w:rPr>
        <w:t xml:space="preserve">with only 18 months follow-up for </w:t>
      </w:r>
      <w:r w:rsidR="002D7DD6" w:rsidRPr="005E0DC9">
        <w:rPr>
          <w:rFonts w:asciiTheme="minorHAnsi" w:hAnsiTheme="minorHAnsi"/>
          <w:bCs/>
          <w:sz w:val="24"/>
          <w:szCs w:val="24"/>
        </w:rPr>
        <w:t xml:space="preserve">the </w:t>
      </w:r>
      <w:r w:rsidR="00FD25C8" w:rsidRPr="005E0DC9">
        <w:rPr>
          <w:rFonts w:asciiTheme="minorHAnsi" w:hAnsiTheme="minorHAnsi"/>
          <w:bCs/>
          <w:sz w:val="24"/>
          <w:szCs w:val="24"/>
        </w:rPr>
        <w:t>RESONATE-2</w:t>
      </w:r>
      <w:r w:rsidR="002D7DD6" w:rsidRPr="005E0DC9">
        <w:rPr>
          <w:rFonts w:asciiTheme="minorHAnsi" w:hAnsiTheme="minorHAnsi"/>
          <w:bCs/>
          <w:sz w:val="24"/>
          <w:szCs w:val="24"/>
        </w:rPr>
        <w:t xml:space="preserve"> trial</w:t>
      </w:r>
      <w:r w:rsidR="00D23BC6" w:rsidRPr="005E0DC9">
        <w:rPr>
          <w:rFonts w:asciiTheme="minorHAnsi" w:hAnsiTheme="minorHAnsi"/>
          <w:bCs/>
          <w:sz w:val="24"/>
          <w:szCs w:val="24"/>
        </w:rPr>
        <w:t>.</w:t>
      </w:r>
      <w:r w:rsidR="008B78F9" w:rsidRPr="005E0DC9">
        <w:rPr>
          <w:rFonts w:asciiTheme="minorHAnsi" w:hAnsiTheme="minorHAnsi"/>
          <w:bCs/>
          <w:sz w:val="24"/>
          <w:szCs w:val="24"/>
        </w:rPr>
        <w:t xml:space="preserve"> The PBAC </w:t>
      </w:r>
      <w:r w:rsidR="00EE3194" w:rsidRPr="005E0DC9">
        <w:rPr>
          <w:rFonts w:asciiTheme="minorHAnsi" w:hAnsiTheme="minorHAnsi"/>
          <w:bCs/>
          <w:sz w:val="24"/>
          <w:szCs w:val="24"/>
        </w:rPr>
        <w:t xml:space="preserve">considered </w:t>
      </w:r>
      <w:r w:rsidR="008B78F9" w:rsidRPr="005E0DC9">
        <w:rPr>
          <w:rFonts w:asciiTheme="minorHAnsi" w:hAnsiTheme="minorHAnsi"/>
          <w:bCs/>
          <w:sz w:val="24"/>
          <w:szCs w:val="24"/>
        </w:rPr>
        <w:t xml:space="preserve">that the additional follow-up to 44 months in the Phase 1b/2 studies for 27 treatment-naïve patients </w:t>
      </w:r>
      <w:r w:rsidR="00EE3194" w:rsidRPr="005E0DC9">
        <w:rPr>
          <w:rFonts w:asciiTheme="minorHAnsi" w:hAnsiTheme="minorHAnsi"/>
          <w:bCs/>
          <w:sz w:val="24"/>
          <w:szCs w:val="24"/>
        </w:rPr>
        <w:t xml:space="preserve">presented in the pre-PBAC response (p1) </w:t>
      </w:r>
      <w:r w:rsidR="008B78F9" w:rsidRPr="005E0DC9">
        <w:rPr>
          <w:rFonts w:asciiTheme="minorHAnsi" w:hAnsiTheme="minorHAnsi"/>
          <w:bCs/>
          <w:sz w:val="24"/>
          <w:szCs w:val="24"/>
        </w:rPr>
        <w:t xml:space="preserve">was </w:t>
      </w:r>
      <w:r w:rsidR="00EE3194" w:rsidRPr="005E0DC9">
        <w:rPr>
          <w:rFonts w:asciiTheme="minorHAnsi" w:hAnsiTheme="minorHAnsi"/>
          <w:bCs/>
          <w:sz w:val="24"/>
          <w:szCs w:val="24"/>
        </w:rPr>
        <w:t>in</w:t>
      </w:r>
      <w:r w:rsidR="008B78F9" w:rsidRPr="005E0DC9">
        <w:rPr>
          <w:rFonts w:asciiTheme="minorHAnsi" w:hAnsiTheme="minorHAnsi"/>
          <w:bCs/>
          <w:sz w:val="24"/>
          <w:szCs w:val="24"/>
        </w:rPr>
        <w:t xml:space="preserve">sufficient evidence to support the sustained benefit of first-line </w:t>
      </w:r>
      <w:proofErr w:type="spellStart"/>
      <w:r w:rsidR="008B78F9" w:rsidRPr="005E0DC9">
        <w:rPr>
          <w:rFonts w:asciiTheme="minorHAnsi" w:hAnsiTheme="minorHAnsi"/>
          <w:bCs/>
          <w:sz w:val="24"/>
          <w:szCs w:val="24"/>
        </w:rPr>
        <w:t>ibrutinib</w:t>
      </w:r>
      <w:proofErr w:type="spellEnd"/>
      <w:r w:rsidR="00EE3194" w:rsidRPr="005E0DC9">
        <w:rPr>
          <w:rFonts w:asciiTheme="minorHAnsi" w:hAnsiTheme="minorHAnsi"/>
          <w:bCs/>
          <w:sz w:val="24"/>
          <w:szCs w:val="24"/>
        </w:rPr>
        <w:t>.</w:t>
      </w:r>
      <w:r w:rsidR="00D23BC6" w:rsidRPr="005E0DC9">
        <w:rPr>
          <w:rFonts w:asciiTheme="minorHAnsi" w:hAnsiTheme="minorHAnsi"/>
          <w:bCs/>
          <w:sz w:val="24"/>
          <w:szCs w:val="24"/>
        </w:rPr>
        <w:t xml:space="preserve"> </w:t>
      </w:r>
    </w:p>
    <w:p w:rsidR="00BE282F" w:rsidRPr="005E0DC9" w:rsidRDefault="00FD25C8" w:rsidP="00955FEF">
      <w:pPr>
        <w:numPr>
          <w:ilvl w:val="1"/>
          <w:numId w:val="11"/>
        </w:numPr>
        <w:spacing w:after="120"/>
        <w:ind w:left="709" w:hanging="709"/>
        <w:rPr>
          <w:rFonts w:asciiTheme="minorHAnsi" w:hAnsiTheme="minorHAnsi"/>
          <w:bCs/>
          <w:sz w:val="24"/>
          <w:szCs w:val="24"/>
        </w:rPr>
      </w:pPr>
      <w:r w:rsidRPr="005E0DC9">
        <w:rPr>
          <w:rFonts w:asciiTheme="minorHAnsi" w:hAnsiTheme="minorHAnsi"/>
          <w:bCs/>
          <w:sz w:val="24"/>
          <w:szCs w:val="24"/>
        </w:rPr>
        <w:t xml:space="preserve">The PBAC noted </w:t>
      </w:r>
      <w:r w:rsidR="00BE282F" w:rsidRPr="005E0DC9">
        <w:rPr>
          <w:rFonts w:asciiTheme="minorHAnsi" w:hAnsiTheme="minorHAnsi"/>
          <w:bCs/>
          <w:sz w:val="24"/>
          <w:szCs w:val="24"/>
        </w:rPr>
        <w:t xml:space="preserve">the results of the indirect comparison </w:t>
      </w:r>
      <w:r w:rsidR="00A64C60" w:rsidRPr="005E0DC9">
        <w:rPr>
          <w:rFonts w:asciiTheme="minorHAnsi" w:hAnsiTheme="minorHAnsi"/>
          <w:bCs/>
          <w:sz w:val="24"/>
          <w:szCs w:val="24"/>
        </w:rPr>
        <w:t xml:space="preserve">of </w:t>
      </w:r>
      <w:proofErr w:type="spellStart"/>
      <w:r w:rsidR="00A64C60" w:rsidRPr="005E0DC9">
        <w:rPr>
          <w:rFonts w:asciiTheme="minorHAnsi" w:hAnsiTheme="minorHAnsi"/>
          <w:bCs/>
          <w:sz w:val="24"/>
          <w:szCs w:val="24"/>
        </w:rPr>
        <w:t>ibrutinib</w:t>
      </w:r>
      <w:proofErr w:type="spellEnd"/>
      <w:r w:rsidR="00A64C60" w:rsidRPr="005E0DC9">
        <w:rPr>
          <w:rFonts w:asciiTheme="minorHAnsi" w:hAnsiTheme="minorHAnsi"/>
          <w:bCs/>
          <w:sz w:val="24"/>
          <w:szCs w:val="24"/>
        </w:rPr>
        <w:t xml:space="preserve"> (RESONATE-2) </w:t>
      </w:r>
      <w:r w:rsidR="00BE282F" w:rsidRPr="005E0DC9">
        <w:rPr>
          <w:rFonts w:asciiTheme="minorHAnsi" w:hAnsiTheme="minorHAnsi"/>
          <w:bCs/>
          <w:sz w:val="24"/>
          <w:szCs w:val="24"/>
        </w:rPr>
        <w:t xml:space="preserve">with </w:t>
      </w:r>
      <w:proofErr w:type="spellStart"/>
      <w:r w:rsidR="00D23BC6" w:rsidRPr="005E0DC9">
        <w:rPr>
          <w:rFonts w:asciiTheme="minorHAnsi" w:hAnsiTheme="minorHAnsi"/>
          <w:bCs/>
          <w:sz w:val="24"/>
          <w:szCs w:val="24"/>
        </w:rPr>
        <w:t>obi+chl</w:t>
      </w:r>
      <w:proofErr w:type="spellEnd"/>
      <w:r w:rsidR="00144BEC" w:rsidRPr="005E0DC9">
        <w:rPr>
          <w:rFonts w:asciiTheme="minorHAnsi" w:hAnsiTheme="minorHAnsi"/>
          <w:bCs/>
          <w:sz w:val="24"/>
          <w:szCs w:val="24"/>
        </w:rPr>
        <w:t xml:space="preserve"> </w:t>
      </w:r>
      <w:r w:rsidR="00BE282F" w:rsidRPr="005E0DC9">
        <w:rPr>
          <w:rFonts w:asciiTheme="minorHAnsi" w:hAnsiTheme="minorHAnsi"/>
          <w:bCs/>
          <w:sz w:val="24"/>
          <w:szCs w:val="24"/>
        </w:rPr>
        <w:t xml:space="preserve">(CLL11) showed </w:t>
      </w:r>
      <w:r w:rsidR="00BE282F" w:rsidRPr="005E0DC9">
        <w:rPr>
          <w:rFonts w:asciiTheme="minorHAnsi" w:hAnsiTheme="minorHAnsi"/>
          <w:iCs/>
          <w:sz w:val="24"/>
          <w:szCs w:val="24"/>
        </w:rPr>
        <w:t xml:space="preserve">there was no statistically significant advantage for </w:t>
      </w:r>
      <w:proofErr w:type="spellStart"/>
      <w:r w:rsidR="00BE282F" w:rsidRPr="005E0DC9">
        <w:rPr>
          <w:rFonts w:asciiTheme="minorHAnsi" w:hAnsiTheme="minorHAnsi"/>
          <w:iCs/>
          <w:sz w:val="24"/>
          <w:szCs w:val="24"/>
        </w:rPr>
        <w:t>ibrutinib</w:t>
      </w:r>
      <w:proofErr w:type="spellEnd"/>
      <w:r w:rsidR="00BE282F" w:rsidRPr="005E0DC9">
        <w:rPr>
          <w:rFonts w:asciiTheme="minorHAnsi" w:hAnsiTheme="minorHAnsi"/>
          <w:iCs/>
          <w:sz w:val="24"/>
          <w:szCs w:val="24"/>
        </w:rPr>
        <w:t xml:space="preserve"> in terms of PFS or OS compared to </w:t>
      </w:r>
      <w:proofErr w:type="spellStart"/>
      <w:r w:rsidR="00BE282F" w:rsidRPr="005E0DC9">
        <w:rPr>
          <w:rFonts w:asciiTheme="minorHAnsi" w:hAnsiTheme="minorHAnsi"/>
          <w:iCs/>
          <w:sz w:val="24"/>
          <w:szCs w:val="24"/>
        </w:rPr>
        <w:t>obi+chl</w:t>
      </w:r>
      <w:proofErr w:type="spellEnd"/>
      <w:r w:rsidR="00BE282F" w:rsidRPr="005E0DC9">
        <w:rPr>
          <w:rFonts w:asciiTheme="minorHAnsi" w:hAnsiTheme="minorHAnsi"/>
          <w:iCs/>
          <w:sz w:val="24"/>
          <w:szCs w:val="24"/>
        </w:rPr>
        <w:t xml:space="preserve">. The PBAC noted the </w:t>
      </w:r>
      <w:r w:rsidR="00BE282F" w:rsidRPr="005E0DC9">
        <w:rPr>
          <w:rFonts w:asciiTheme="minorHAnsi" w:hAnsiTheme="minorHAnsi"/>
          <w:sz w:val="24"/>
          <w:szCs w:val="24"/>
        </w:rPr>
        <w:t xml:space="preserve">submission considered that due to differences in </w:t>
      </w:r>
      <w:proofErr w:type="spellStart"/>
      <w:r w:rsidR="00A64C60" w:rsidRPr="005E0DC9">
        <w:rPr>
          <w:rFonts w:asciiTheme="minorHAnsi" w:hAnsiTheme="minorHAnsi"/>
          <w:sz w:val="24"/>
          <w:szCs w:val="24"/>
        </w:rPr>
        <w:t>chl</w:t>
      </w:r>
      <w:r w:rsidR="002731BA" w:rsidRPr="005E0DC9">
        <w:rPr>
          <w:rFonts w:asciiTheme="minorHAnsi" w:hAnsiTheme="minorHAnsi"/>
          <w:sz w:val="24"/>
          <w:szCs w:val="24"/>
        </w:rPr>
        <w:t>orambucil</w:t>
      </w:r>
      <w:proofErr w:type="spellEnd"/>
      <w:r w:rsidR="00BE282F" w:rsidRPr="005E0DC9">
        <w:rPr>
          <w:rFonts w:asciiTheme="minorHAnsi" w:hAnsiTheme="minorHAnsi"/>
          <w:sz w:val="24"/>
          <w:szCs w:val="24"/>
        </w:rPr>
        <w:t xml:space="preserve"> dosing in RESONATE-2 and CLL11, the indirect comparisons were biased against </w:t>
      </w:r>
      <w:proofErr w:type="spellStart"/>
      <w:r w:rsidR="00BE282F" w:rsidRPr="005E0DC9">
        <w:rPr>
          <w:rFonts w:asciiTheme="minorHAnsi" w:hAnsiTheme="minorHAnsi"/>
          <w:sz w:val="24"/>
          <w:szCs w:val="24"/>
        </w:rPr>
        <w:t>ibrutinib</w:t>
      </w:r>
      <w:proofErr w:type="spellEnd"/>
      <w:r w:rsidR="00BE282F" w:rsidRPr="005E0DC9">
        <w:rPr>
          <w:rFonts w:asciiTheme="minorHAnsi" w:hAnsiTheme="minorHAnsi"/>
          <w:sz w:val="24"/>
          <w:szCs w:val="24"/>
        </w:rPr>
        <w:t xml:space="preserve">.  </w:t>
      </w:r>
      <w:r w:rsidR="00363AD8" w:rsidRPr="005E0DC9">
        <w:rPr>
          <w:rFonts w:asciiTheme="minorHAnsi" w:hAnsiTheme="minorHAnsi"/>
          <w:sz w:val="24"/>
          <w:szCs w:val="24"/>
        </w:rPr>
        <w:t xml:space="preserve">The PBAC noted that although different dosing schedules were allowed, the </w:t>
      </w:r>
      <w:r w:rsidR="00363AD8" w:rsidRPr="005E0DC9">
        <w:rPr>
          <w:rFonts w:ascii="Calibri" w:eastAsia="Calibri" w:hAnsi="Calibri"/>
          <w:snapToGrid/>
          <w:sz w:val="24"/>
          <w:szCs w:val="22"/>
        </w:rPr>
        <w:t>median</w:t>
      </w:r>
      <w:r w:rsidR="004B689D" w:rsidRPr="005E0DC9">
        <w:rPr>
          <w:rFonts w:ascii="Calibri" w:eastAsia="Calibri" w:hAnsi="Calibri"/>
          <w:snapToGrid/>
          <w:sz w:val="24"/>
          <w:szCs w:val="22"/>
        </w:rPr>
        <w:t xml:space="preserve"> time on treatment was similar (7.1 months </w:t>
      </w:r>
      <w:r w:rsidR="002D7DD6" w:rsidRPr="005E0DC9">
        <w:rPr>
          <w:rFonts w:ascii="Calibri" w:eastAsia="Calibri" w:hAnsi="Calibri"/>
          <w:snapToGrid/>
          <w:sz w:val="24"/>
          <w:szCs w:val="22"/>
        </w:rPr>
        <w:t xml:space="preserve">in RESONATE-2 </w:t>
      </w:r>
      <w:r w:rsidR="004B689D" w:rsidRPr="005E0DC9">
        <w:rPr>
          <w:rFonts w:ascii="Calibri" w:eastAsia="Calibri" w:hAnsi="Calibri"/>
          <w:snapToGrid/>
          <w:sz w:val="24"/>
          <w:szCs w:val="22"/>
        </w:rPr>
        <w:t>vs 5.5 months</w:t>
      </w:r>
      <w:r w:rsidR="002D7DD6" w:rsidRPr="005E0DC9">
        <w:rPr>
          <w:rFonts w:ascii="Calibri" w:eastAsia="Calibri" w:hAnsi="Calibri"/>
          <w:snapToGrid/>
          <w:sz w:val="24"/>
          <w:szCs w:val="22"/>
        </w:rPr>
        <w:t xml:space="preserve"> in CLL11</w:t>
      </w:r>
      <w:r w:rsidR="004B689D" w:rsidRPr="005E0DC9">
        <w:rPr>
          <w:rFonts w:ascii="Calibri" w:eastAsia="Calibri" w:hAnsi="Calibri"/>
          <w:snapToGrid/>
          <w:sz w:val="24"/>
          <w:szCs w:val="22"/>
        </w:rPr>
        <w:t>)</w:t>
      </w:r>
      <w:r w:rsidR="005E0DC9">
        <w:rPr>
          <w:rFonts w:ascii="Calibri" w:eastAsia="Calibri" w:hAnsi="Calibri"/>
          <w:snapToGrid/>
          <w:sz w:val="24"/>
          <w:szCs w:val="22"/>
        </w:rPr>
        <w:t xml:space="preserve">. Additionally, the </w:t>
      </w:r>
      <w:r w:rsidR="00363AD8" w:rsidRPr="005E0DC9">
        <w:rPr>
          <w:rFonts w:ascii="Calibri" w:eastAsia="Calibri" w:hAnsi="Calibri"/>
          <w:snapToGrid/>
          <w:sz w:val="24"/>
          <w:szCs w:val="22"/>
        </w:rPr>
        <w:t xml:space="preserve">median investigator-assessed PFS for the </w:t>
      </w:r>
      <w:proofErr w:type="spellStart"/>
      <w:r w:rsidR="00363AD8" w:rsidRPr="005E0DC9">
        <w:rPr>
          <w:rFonts w:ascii="Calibri" w:eastAsia="Calibri" w:hAnsi="Calibri"/>
          <w:snapToGrid/>
          <w:sz w:val="24"/>
          <w:szCs w:val="22"/>
        </w:rPr>
        <w:t>chl</w:t>
      </w:r>
      <w:proofErr w:type="spellEnd"/>
      <w:r w:rsidR="00363AD8" w:rsidRPr="005E0DC9">
        <w:rPr>
          <w:rFonts w:ascii="Calibri" w:eastAsia="Calibri" w:hAnsi="Calibri"/>
          <w:snapToGrid/>
          <w:sz w:val="24"/>
          <w:szCs w:val="22"/>
        </w:rPr>
        <w:t xml:space="preserve"> arms were not substantially different (15 months in RESONATE-2 vs 11.1 months in CLL11)</w:t>
      </w:r>
      <w:r w:rsidR="005E0DC9">
        <w:rPr>
          <w:rFonts w:ascii="Calibri" w:eastAsia="Calibri" w:hAnsi="Calibri"/>
          <w:snapToGrid/>
          <w:sz w:val="24"/>
          <w:szCs w:val="22"/>
        </w:rPr>
        <w:t>. T</w:t>
      </w:r>
      <w:r w:rsidR="005E0DC9" w:rsidRPr="005E0DC9">
        <w:rPr>
          <w:rFonts w:ascii="Calibri" w:eastAsia="Calibri" w:hAnsi="Calibri"/>
          <w:snapToGrid/>
          <w:sz w:val="24"/>
          <w:szCs w:val="22"/>
        </w:rPr>
        <w:t xml:space="preserve">he </w:t>
      </w:r>
      <w:r w:rsidR="00363AD8" w:rsidRPr="005E0DC9">
        <w:rPr>
          <w:rFonts w:ascii="Calibri" w:eastAsia="Calibri" w:hAnsi="Calibri"/>
          <w:snapToGrid/>
          <w:sz w:val="24"/>
          <w:szCs w:val="22"/>
        </w:rPr>
        <w:t xml:space="preserve">PBAC therefore considered the that variations in </w:t>
      </w:r>
      <w:proofErr w:type="spellStart"/>
      <w:r w:rsidR="00363AD8" w:rsidRPr="005E0DC9">
        <w:rPr>
          <w:rFonts w:ascii="Calibri" w:eastAsia="Calibri" w:hAnsi="Calibri"/>
          <w:snapToGrid/>
          <w:sz w:val="24"/>
          <w:szCs w:val="22"/>
        </w:rPr>
        <w:t>chl</w:t>
      </w:r>
      <w:r w:rsidR="002731BA" w:rsidRPr="005E0DC9">
        <w:rPr>
          <w:rFonts w:ascii="Calibri" w:eastAsia="Calibri" w:hAnsi="Calibri"/>
          <w:snapToGrid/>
          <w:sz w:val="24"/>
          <w:szCs w:val="22"/>
        </w:rPr>
        <w:t>orambucil</w:t>
      </w:r>
      <w:proofErr w:type="spellEnd"/>
      <w:r w:rsidR="00363AD8" w:rsidRPr="005E0DC9">
        <w:rPr>
          <w:rFonts w:ascii="Calibri" w:eastAsia="Calibri" w:hAnsi="Calibri"/>
          <w:snapToGrid/>
          <w:sz w:val="24"/>
          <w:szCs w:val="22"/>
        </w:rPr>
        <w:t xml:space="preserve"> dosing when used as a common comparator </w:t>
      </w:r>
      <w:r w:rsidR="00A64C60" w:rsidRPr="005E0DC9">
        <w:rPr>
          <w:rFonts w:ascii="Calibri" w:eastAsia="Calibri" w:hAnsi="Calibri"/>
          <w:snapToGrid/>
          <w:sz w:val="24"/>
          <w:szCs w:val="22"/>
        </w:rPr>
        <w:t>wa</w:t>
      </w:r>
      <w:r w:rsidR="00363AD8" w:rsidRPr="005E0DC9">
        <w:rPr>
          <w:rFonts w:ascii="Calibri" w:eastAsia="Calibri" w:hAnsi="Calibri"/>
          <w:snapToGrid/>
          <w:sz w:val="24"/>
          <w:szCs w:val="22"/>
        </w:rPr>
        <w:t xml:space="preserve">s not a significant issue nor sufficient justification to rely on a single arm comparison in preference to an indirect comparison based on randomised trials.  Thus, the PBAC advised that </w:t>
      </w:r>
      <w:r w:rsidR="00B329A1" w:rsidRPr="005E0DC9">
        <w:rPr>
          <w:rFonts w:ascii="Calibri" w:eastAsia="Calibri" w:hAnsi="Calibri"/>
          <w:snapToGrid/>
          <w:sz w:val="24"/>
          <w:szCs w:val="22"/>
        </w:rPr>
        <w:t xml:space="preserve">the claim of superior comparative effectiveness compared to </w:t>
      </w:r>
      <w:proofErr w:type="spellStart"/>
      <w:r w:rsidR="00B329A1" w:rsidRPr="005E0DC9">
        <w:rPr>
          <w:rFonts w:ascii="Calibri" w:eastAsia="Calibri" w:hAnsi="Calibri"/>
          <w:snapToGrid/>
          <w:sz w:val="24"/>
          <w:szCs w:val="22"/>
        </w:rPr>
        <w:t>ob+chl</w:t>
      </w:r>
      <w:proofErr w:type="spellEnd"/>
      <w:r w:rsidR="00B329A1" w:rsidRPr="005E0DC9">
        <w:rPr>
          <w:rFonts w:ascii="Calibri" w:eastAsia="Calibri" w:hAnsi="Calibri"/>
          <w:snapToGrid/>
          <w:sz w:val="24"/>
          <w:szCs w:val="22"/>
        </w:rPr>
        <w:t xml:space="preserve"> was not adequately supported.</w:t>
      </w:r>
    </w:p>
    <w:p w:rsidR="00B43B3B" w:rsidRPr="005E0DC9" w:rsidRDefault="00B43B3B" w:rsidP="00955FEF">
      <w:pPr>
        <w:numPr>
          <w:ilvl w:val="1"/>
          <w:numId w:val="11"/>
        </w:numPr>
        <w:spacing w:after="120"/>
        <w:ind w:left="709" w:hanging="709"/>
        <w:rPr>
          <w:rFonts w:asciiTheme="minorHAnsi" w:hAnsiTheme="minorHAnsi"/>
          <w:bCs/>
          <w:sz w:val="24"/>
          <w:szCs w:val="24"/>
        </w:rPr>
      </w:pPr>
      <w:r w:rsidRPr="005E0DC9">
        <w:rPr>
          <w:rFonts w:asciiTheme="minorHAnsi" w:hAnsiTheme="minorHAnsi"/>
          <w:bCs/>
          <w:sz w:val="24"/>
          <w:szCs w:val="24"/>
        </w:rPr>
        <w:t xml:space="preserve">The PBAC considered the claim of non-inferior safety </w:t>
      </w:r>
      <w:r w:rsidR="002D7DD6" w:rsidRPr="005E0DC9">
        <w:rPr>
          <w:rFonts w:asciiTheme="minorHAnsi" w:hAnsiTheme="minorHAnsi"/>
          <w:bCs/>
          <w:sz w:val="24"/>
          <w:szCs w:val="24"/>
        </w:rPr>
        <w:t xml:space="preserve">to the </w:t>
      </w:r>
      <w:r w:rsidRPr="005E0DC9">
        <w:rPr>
          <w:rFonts w:asciiTheme="minorHAnsi" w:hAnsiTheme="minorHAnsi"/>
          <w:sz w:val="24"/>
          <w:szCs w:val="24"/>
        </w:rPr>
        <w:t xml:space="preserve">comparators was supported by the indirect comparisons, but </w:t>
      </w:r>
      <w:r w:rsidR="00365029" w:rsidRPr="005E0DC9">
        <w:rPr>
          <w:rFonts w:asciiTheme="minorHAnsi" w:hAnsiTheme="minorHAnsi"/>
          <w:sz w:val="24"/>
          <w:szCs w:val="24"/>
        </w:rPr>
        <w:t xml:space="preserve">reiterated </w:t>
      </w:r>
      <w:r w:rsidR="00290AC2">
        <w:rPr>
          <w:rFonts w:asciiTheme="minorHAnsi" w:hAnsiTheme="minorHAnsi"/>
          <w:sz w:val="24"/>
          <w:szCs w:val="24"/>
        </w:rPr>
        <w:t xml:space="preserve">its concerns </w:t>
      </w:r>
      <w:r w:rsidR="00365029" w:rsidRPr="005E0DC9">
        <w:rPr>
          <w:rFonts w:asciiTheme="minorHAnsi" w:hAnsiTheme="minorHAnsi"/>
          <w:sz w:val="24"/>
          <w:szCs w:val="24"/>
        </w:rPr>
        <w:t>that</w:t>
      </w:r>
      <w:r w:rsidRPr="005E0DC9">
        <w:rPr>
          <w:rFonts w:asciiTheme="minorHAnsi" w:hAnsiTheme="minorHAnsi"/>
          <w:sz w:val="24"/>
          <w:szCs w:val="24"/>
        </w:rPr>
        <w:t xml:space="preserve"> </w:t>
      </w:r>
      <w:proofErr w:type="spellStart"/>
      <w:r w:rsidRPr="005E0DC9">
        <w:rPr>
          <w:rFonts w:asciiTheme="minorHAnsi" w:hAnsiTheme="minorHAnsi"/>
          <w:sz w:val="24"/>
          <w:szCs w:val="24"/>
        </w:rPr>
        <w:t>ibrutinib</w:t>
      </w:r>
      <w:proofErr w:type="spellEnd"/>
      <w:r w:rsidRPr="005E0DC9">
        <w:rPr>
          <w:rFonts w:asciiTheme="minorHAnsi" w:hAnsiTheme="minorHAnsi"/>
          <w:sz w:val="24"/>
          <w:szCs w:val="24"/>
        </w:rPr>
        <w:t xml:space="preserve"> is associated with an increased risk of </w:t>
      </w:r>
      <w:r w:rsidR="00290AC2">
        <w:rPr>
          <w:rFonts w:asciiTheme="minorHAnsi" w:hAnsiTheme="minorHAnsi"/>
          <w:sz w:val="24"/>
          <w:szCs w:val="24"/>
        </w:rPr>
        <w:t xml:space="preserve">clinically significant </w:t>
      </w:r>
      <w:r w:rsidRPr="005E0DC9">
        <w:rPr>
          <w:rFonts w:asciiTheme="minorHAnsi" w:hAnsiTheme="minorHAnsi"/>
          <w:sz w:val="24"/>
          <w:szCs w:val="24"/>
        </w:rPr>
        <w:t xml:space="preserve">atrial fibrillation. </w:t>
      </w:r>
      <w:r w:rsidR="00506C5D" w:rsidRPr="005E0DC9">
        <w:rPr>
          <w:rFonts w:asciiTheme="minorHAnsi" w:hAnsiTheme="minorHAnsi"/>
          <w:sz w:val="24"/>
          <w:szCs w:val="24"/>
        </w:rPr>
        <w:t xml:space="preserve">The PBAC </w:t>
      </w:r>
      <w:r w:rsidR="004415FB" w:rsidRPr="005E0DC9">
        <w:rPr>
          <w:rFonts w:asciiTheme="minorHAnsi" w:hAnsiTheme="minorHAnsi"/>
          <w:sz w:val="24"/>
          <w:szCs w:val="24"/>
        </w:rPr>
        <w:t xml:space="preserve">also </w:t>
      </w:r>
      <w:r w:rsidR="00506C5D" w:rsidRPr="005E0DC9">
        <w:rPr>
          <w:rFonts w:asciiTheme="minorHAnsi" w:hAnsiTheme="minorHAnsi"/>
          <w:sz w:val="24"/>
          <w:szCs w:val="24"/>
        </w:rPr>
        <w:t xml:space="preserve">noted </w:t>
      </w:r>
      <w:r w:rsidR="004415FB" w:rsidRPr="005E0DC9">
        <w:rPr>
          <w:rFonts w:asciiTheme="minorHAnsi" w:hAnsiTheme="minorHAnsi"/>
          <w:sz w:val="24"/>
          <w:szCs w:val="24"/>
        </w:rPr>
        <w:t xml:space="preserve">the increased risk of bleeding </w:t>
      </w:r>
      <w:r w:rsidR="00EB470F">
        <w:rPr>
          <w:rFonts w:asciiTheme="minorHAnsi" w:hAnsiTheme="minorHAnsi"/>
          <w:sz w:val="24"/>
          <w:szCs w:val="24"/>
        </w:rPr>
        <w:t xml:space="preserve">with </w:t>
      </w:r>
      <w:proofErr w:type="spellStart"/>
      <w:r w:rsidR="00EB470F">
        <w:rPr>
          <w:rFonts w:asciiTheme="minorHAnsi" w:hAnsiTheme="minorHAnsi"/>
          <w:sz w:val="24"/>
          <w:szCs w:val="24"/>
        </w:rPr>
        <w:t>ibrutinib</w:t>
      </w:r>
      <w:proofErr w:type="spellEnd"/>
      <w:r w:rsidR="00EB470F">
        <w:rPr>
          <w:rFonts w:asciiTheme="minorHAnsi" w:hAnsiTheme="minorHAnsi"/>
          <w:sz w:val="24"/>
          <w:szCs w:val="24"/>
        </w:rPr>
        <w:t xml:space="preserve">, and was concerned that incidence of bleeding in the proposed PBS population would be higher than in the RESONATE-2 trial, given </w:t>
      </w:r>
      <w:r w:rsidR="00506C5D" w:rsidRPr="005E0DC9">
        <w:rPr>
          <w:rFonts w:asciiTheme="minorHAnsi" w:hAnsiTheme="minorHAnsi"/>
          <w:sz w:val="24"/>
          <w:szCs w:val="24"/>
        </w:rPr>
        <w:t xml:space="preserve">the stringent exclusion criteria of patients at high bleeding risk in the trial. </w:t>
      </w:r>
      <w:r w:rsidRPr="005E0DC9">
        <w:rPr>
          <w:rFonts w:asciiTheme="minorHAnsi" w:hAnsiTheme="minorHAnsi"/>
          <w:sz w:val="24"/>
          <w:szCs w:val="24"/>
        </w:rPr>
        <w:t xml:space="preserve"> </w:t>
      </w:r>
    </w:p>
    <w:p w:rsidR="000D65E6" w:rsidRPr="005E0DC9" w:rsidRDefault="00705AE8" w:rsidP="00955FEF">
      <w:pPr>
        <w:numPr>
          <w:ilvl w:val="1"/>
          <w:numId w:val="11"/>
        </w:numPr>
        <w:spacing w:after="120"/>
        <w:ind w:left="709" w:hanging="709"/>
        <w:rPr>
          <w:rFonts w:asciiTheme="minorHAnsi" w:hAnsiTheme="minorHAnsi"/>
          <w:sz w:val="24"/>
          <w:szCs w:val="24"/>
        </w:rPr>
      </w:pPr>
      <w:r w:rsidRPr="005E0DC9">
        <w:rPr>
          <w:rFonts w:asciiTheme="minorHAnsi" w:hAnsiTheme="minorHAnsi"/>
          <w:bCs/>
          <w:sz w:val="24"/>
          <w:szCs w:val="24"/>
        </w:rPr>
        <w:t xml:space="preserve">The PBAC considered the economic model unreliable and </w:t>
      </w:r>
      <w:r w:rsidR="000C2E13" w:rsidRPr="005E0DC9">
        <w:rPr>
          <w:rFonts w:asciiTheme="minorHAnsi" w:hAnsiTheme="minorHAnsi"/>
          <w:bCs/>
          <w:sz w:val="24"/>
          <w:szCs w:val="24"/>
        </w:rPr>
        <w:t xml:space="preserve">the resulting ICER to be high and </w:t>
      </w:r>
      <w:r w:rsidRPr="005E0DC9">
        <w:rPr>
          <w:rFonts w:asciiTheme="minorHAnsi" w:hAnsiTheme="minorHAnsi"/>
          <w:bCs/>
          <w:sz w:val="24"/>
          <w:szCs w:val="24"/>
        </w:rPr>
        <w:t>optimistic</w:t>
      </w:r>
      <w:r w:rsidR="003A4E9D">
        <w:rPr>
          <w:rFonts w:asciiTheme="minorHAnsi" w:hAnsiTheme="minorHAnsi"/>
          <w:bCs/>
          <w:sz w:val="24"/>
          <w:szCs w:val="24"/>
        </w:rPr>
        <w:t>,</w:t>
      </w:r>
      <w:r w:rsidR="004E68A0" w:rsidRPr="005E0DC9">
        <w:rPr>
          <w:rFonts w:asciiTheme="minorHAnsi" w:hAnsiTheme="minorHAnsi"/>
          <w:bCs/>
          <w:sz w:val="24"/>
          <w:szCs w:val="24"/>
        </w:rPr>
        <w:t xml:space="preserve"> given</w:t>
      </w:r>
      <w:r w:rsidRPr="005E0DC9">
        <w:rPr>
          <w:rFonts w:asciiTheme="minorHAnsi" w:hAnsiTheme="minorHAnsi"/>
          <w:bCs/>
          <w:sz w:val="24"/>
          <w:szCs w:val="24"/>
        </w:rPr>
        <w:t xml:space="preserve"> the extrapolation of immature clinical trial data to a 20-year time horizon for patients &gt;70 years of age who will likely have comorbidities</w:t>
      </w:r>
      <w:r w:rsidR="003A4E9D">
        <w:rPr>
          <w:rFonts w:asciiTheme="minorHAnsi" w:hAnsiTheme="minorHAnsi"/>
          <w:bCs/>
          <w:sz w:val="24"/>
          <w:szCs w:val="24"/>
        </w:rPr>
        <w:t>,</w:t>
      </w:r>
      <w:r w:rsidRPr="005E0DC9">
        <w:rPr>
          <w:rFonts w:asciiTheme="minorHAnsi" w:hAnsiTheme="minorHAnsi"/>
          <w:bCs/>
          <w:sz w:val="24"/>
          <w:szCs w:val="24"/>
        </w:rPr>
        <w:t xml:space="preserve"> and the assumed </w:t>
      </w:r>
      <w:r w:rsidR="003A4E9D">
        <w:rPr>
          <w:rFonts w:asciiTheme="minorHAnsi" w:hAnsiTheme="minorHAnsi"/>
          <w:bCs/>
          <w:sz w:val="24"/>
          <w:szCs w:val="24"/>
        </w:rPr>
        <w:t xml:space="preserve">high magnitude </w:t>
      </w:r>
      <w:r w:rsidRPr="005E0DC9">
        <w:rPr>
          <w:rFonts w:asciiTheme="minorHAnsi" w:hAnsiTheme="minorHAnsi"/>
          <w:bCs/>
          <w:sz w:val="24"/>
          <w:szCs w:val="24"/>
        </w:rPr>
        <w:t xml:space="preserve">of clinical benefit over </w:t>
      </w:r>
      <w:proofErr w:type="spellStart"/>
      <w:r w:rsidRPr="005E0DC9">
        <w:rPr>
          <w:rFonts w:asciiTheme="minorHAnsi" w:hAnsiTheme="minorHAnsi"/>
          <w:bCs/>
          <w:sz w:val="24"/>
          <w:szCs w:val="24"/>
        </w:rPr>
        <w:t>ob</w:t>
      </w:r>
      <w:r w:rsidR="00005064" w:rsidRPr="005E0DC9">
        <w:rPr>
          <w:rFonts w:asciiTheme="minorHAnsi" w:hAnsiTheme="minorHAnsi"/>
          <w:bCs/>
          <w:sz w:val="24"/>
          <w:szCs w:val="24"/>
        </w:rPr>
        <w:t>i</w:t>
      </w:r>
      <w:r w:rsidRPr="005E0DC9">
        <w:rPr>
          <w:rFonts w:asciiTheme="minorHAnsi" w:hAnsiTheme="minorHAnsi"/>
          <w:bCs/>
          <w:sz w:val="24"/>
          <w:szCs w:val="24"/>
        </w:rPr>
        <w:t>+chl</w:t>
      </w:r>
      <w:proofErr w:type="spellEnd"/>
      <w:r w:rsidRPr="005E0DC9">
        <w:rPr>
          <w:rFonts w:asciiTheme="minorHAnsi" w:hAnsiTheme="minorHAnsi"/>
          <w:bCs/>
          <w:sz w:val="24"/>
          <w:szCs w:val="24"/>
        </w:rPr>
        <w:t xml:space="preserve">.  </w:t>
      </w:r>
      <w:r w:rsidR="000C2E13" w:rsidRPr="005E0DC9">
        <w:rPr>
          <w:rFonts w:asciiTheme="minorHAnsi" w:hAnsiTheme="minorHAnsi"/>
          <w:bCs/>
          <w:sz w:val="24"/>
          <w:szCs w:val="24"/>
        </w:rPr>
        <w:t xml:space="preserve">The PBAC agreed with the ESC that, </w:t>
      </w:r>
      <w:r w:rsidR="000C2E13" w:rsidRPr="005E0DC9">
        <w:rPr>
          <w:rFonts w:asciiTheme="minorHAnsi" w:hAnsiTheme="minorHAnsi"/>
          <w:sz w:val="24"/>
          <w:szCs w:val="24"/>
        </w:rPr>
        <w:t xml:space="preserve">on the basis of the available evidence, a more informative </w:t>
      </w:r>
      <w:r w:rsidR="000C2E13" w:rsidRPr="005E0DC9">
        <w:rPr>
          <w:rFonts w:asciiTheme="minorHAnsi" w:hAnsiTheme="minorHAnsi"/>
          <w:sz w:val="24"/>
          <w:szCs w:val="24"/>
        </w:rPr>
        <w:lastRenderedPageBreak/>
        <w:t>approach to assessing</w:t>
      </w:r>
      <w:r w:rsidR="00005064" w:rsidRPr="005E0DC9">
        <w:rPr>
          <w:rFonts w:asciiTheme="minorHAnsi" w:hAnsiTheme="minorHAnsi"/>
          <w:sz w:val="24"/>
          <w:szCs w:val="24"/>
        </w:rPr>
        <w:t xml:space="preserve"> </w:t>
      </w:r>
      <w:r w:rsidR="000C2E13" w:rsidRPr="005E0DC9">
        <w:rPr>
          <w:rFonts w:asciiTheme="minorHAnsi" w:hAnsiTheme="minorHAnsi"/>
          <w:sz w:val="24"/>
          <w:szCs w:val="24"/>
        </w:rPr>
        <w:t xml:space="preserve">the cost-effectiveness of </w:t>
      </w:r>
      <w:proofErr w:type="spellStart"/>
      <w:r w:rsidR="000C2E13" w:rsidRPr="005E0DC9">
        <w:rPr>
          <w:rFonts w:asciiTheme="minorHAnsi" w:hAnsiTheme="minorHAnsi"/>
          <w:sz w:val="24"/>
          <w:szCs w:val="24"/>
        </w:rPr>
        <w:t>ibr</w:t>
      </w:r>
      <w:r w:rsidR="00396C01">
        <w:rPr>
          <w:rFonts w:asciiTheme="minorHAnsi" w:hAnsiTheme="minorHAnsi"/>
          <w:sz w:val="24"/>
          <w:szCs w:val="24"/>
        </w:rPr>
        <w:t>u</w:t>
      </w:r>
      <w:r w:rsidR="000C2E13" w:rsidRPr="005E0DC9">
        <w:rPr>
          <w:rFonts w:asciiTheme="minorHAnsi" w:hAnsiTheme="minorHAnsi"/>
          <w:sz w:val="24"/>
          <w:szCs w:val="24"/>
        </w:rPr>
        <w:t>tinib</w:t>
      </w:r>
      <w:proofErr w:type="spellEnd"/>
      <w:r w:rsidR="000C2E13" w:rsidRPr="005E0DC9">
        <w:rPr>
          <w:rFonts w:asciiTheme="minorHAnsi" w:hAnsiTheme="minorHAnsi"/>
          <w:sz w:val="24"/>
          <w:szCs w:val="24"/>
        </w:rPr>
        <w:t xml:space="preserve"> in </w:t>
      </w:r>
      <w:r w:rsidR="004E4785">
        <w:rPr>
          <w:rFonts w:asciiTheme="minorHAnsi" w:hAnsiTheme="minorHAnsi"/>
          <w:sz w:val="24"/>
          <w:szCs w:val="24"/>
        </w:rPr>
        <w:t xml:space="preserve">the </w:t>
      </w:r>
      <w:r w:rsidR="000C2E13" w:rsidRPr="005E0DC9">
        <w:rPr>
          <w:rFonts w:asciiTheme="minorHAnsi" w:hAnsiTheme="minorHAnsi"/>
          <w:sz w:val="24"/>
          <w:szCs w:val="24"/>
        </w:rPr>
        <w:t xml:space="preserve">first-line </w:t>
      </w:r>
      <w:r w:rsidR="004E4785">
        <w:rPr>
          <w:rFonts w:asciiTheme="minorHAnsi" w:hAnsiTheme="minorHAnsi"/>
          <w:sz w:val="24"/>
          <w:szCs w:val="24"/>
        </w:rPr>
        <w:t xml:space="preserve">setting </w:t>
      </w:r>
      <w:r w:rsidR="000C2E13" w:rsidRPr="005E0DC9">
        <w:rPr>
          <w:rFonts w:asciiTheme="minorHAnsi" w:hAnsiTheme="minorHAnsi"/>
          <w:sz w:val="24"/>
          <w:szCs w:val="24"/>
        </w:rPr>
        <w:t xml:space="preserve">would be </w:t>
      </w:r>
      <w:r w:rsidR="005F2098" w:rsidRPr="005E0DC9">
        <w:rPr>
          <w:rFonts w:asciiTheme="minorHAnsi" w:hAnsiTheme="minorHAnsi"/>
          <w:sz w:val="24"/>
          <w:szCs w:val="24"/>
        </w:rPr>
        <w:t xml:space="preserve">a </w:t>
      </w:r>
      <w:r w:rsidR="000C2E13" w:rsidRPr="005E0DC9">
        <w:rPr>
          <w:rFonts w:asciiTheme="minorHAnsi" w:hAnsiTheme="minorHAnsi"/>
          <w:sz w:val="24"/>
          <w:szCs w:val="24"/>
        </w:rPr>
        <w:t xml:space="preserve">CUA vs </w:t>
      </w:r>
      <w:proofErr w:type="spellStart"/>
      <w:r w:rsidR="000C2E13" w:rsidRPr="005E0DC9">
        <w:rPr>
          <w:rFonts w:asciiTheme="minorHAnsi" w:hAnsiTheme="minorHAnsi"/>
          <w:sz w:val="24"/>
          <w:szCs w:val="24"/>
        </w:rPr>
        <w:t>ritux+chl</w:t>
      </w:r>
      <w:proofErr w:type="spellEnd"/>
      <w:r w:rsidR="000C2E13" w:rsidRPr="005E0DC9">
        <w:rPr>
          <w:rFonts w:asciiTheme="minorHAnsi" w:hAnsiTheme="minorHAnsi"/>
          <w:sz w:val="24"/>
          <w:szCs w:val="24"/>
        </w:rPr>
        <w:t xml:space="preserve"> with a comparable ICER to </w:t>
      </w:r>
      <w:proofErr w:type="spellStart"/>
      <w:r w:rsidR="000C2E13" w:rsidRPr="005E0DC9">
        <w:rPr>
          <w:rFonts w:asciiTheme="minorHAnsi" w:hAnsiTheme="minorHAnsi"/>
          <w:sz w:val="24"/>
          <w:szCs w:val="24"/>
        </w:rPr>
        <w:t>obi+chl</w:t>
      </w:r>
      <w:proofErr w:type="spellEnd"/>
      <w:r w:rsidR="000C2E13" w:rsidRPr="005E0DC9">
        <w:rPr>
          <w:rFonts w:asciiTheme="minorHAnsi" w:hAnsiTheme="minorHAnsi"/>
          <w:sz w:val="24"/>
          <w:szCs w:val="24"/>
        </w:rPr>
        <w:t xml:space="preserve"> vs </w:t>
      </w:r>
      <w:proofErr w:type="spellStart"/>
      <w:r w:rsidR="000C2E13" w:rsidRPr="005E0DC9">
        <w:rPr>
          <w:rFonts w:asciiTheme="minorHAnsi" w:hAnsiTheme="minorHAnsi"/>
          <w:sz w:val="24"/>
          <w:szCs w:val="24"/>
        </w:rPr>
        <w:t>ritux+chl</w:t>
      </w:r>
      <w:proofErr w:type="spellEnd"/>
      <w:r w:rsidR="000C2E13" w:rsidRPr="005E0DC9">
        <w:rPr>
          <w:rFonts w:asciiTheme="minorHAnsi" w:hAnsiTheme="minorHAnsi"/>
          <w:sz w:val="24"/>
          <w:szCs w:val="24"/>
        </w:rPr>
        <w:t xml:space="preserve"> from March 2015 ($15,000/QALY - $45,000/QALY) or a CMA vs </w:t>
      </w:r>
      <w:proofErr w:type="spellStart"/>
      <w:r w:rsidR="000C2E13" w:rsidRPr="005E0DC9">
        <w:rPr>
          <w:rFonts w:asciiTheme="minorHAnsi" w:hAnsiTheme="minorHAnsi"/>
          <w:sz w:val="24"/>
          <w:szCs w:val="24"/>
        </w:rPr>
        <w:t>obi+chl</w:t>
      </w:r>
      <w:proofErr w:type="spellEnd"/>
      <w:r w:rsidR="000C2E13" w:rsidRPr="005E0DC9">
        <w:rPr>
          <w:rFonts w:asciiTheme="minorHAnsi" w:hAnsiTheme="minorHAnsi"/>
          <w:sz w:val="24"/>
          <w:szCs w:val="24"/>
        </w:rPr>
        <w:t xml:space="preserve">. </w:t>
      </w:r>
      <w:r w:rsidR="00A0191D" w:rsidRPr="005E0DC9">
        <w:rPr>
          <w:rFonts w:asciiTheme="minorHAnsi" w:hAnsiTheme="minorHAnsi"/>
          <w:sz w:val="24"/>
          <w:szCs w:val="24"/>
        </w:rPr>
        <w:t xml:space="preserve">The PBAC noted the ICER </w:t>
      </w:r>
      <w:r w:rsidR="00CE1CF8" w:rsidRPr="005E0DC9">
        <w:rPr>
          <w:rFonts w:asciiTheme="minorHAnsi" w:hAnsiTheme="minorHAnsi"/>
          <w:sz w:val="24"/>
          <w:szCs w:val="24"/>
        </w:rPr>
        <w:t xml:space="preserve">accepted </w:t>
      </w:r>
      <w:r w:rsidR="00A0191D" w:rsidRPr="005E0DC9">
        <w:rPr>
          <w:rFonts w:asciiTheme="minorHAnsi" w:hAnsiTheme="minorHAnsi"/>
          <w:sz w:val="24"/>
          <w:szCs w:val="24"/>
        </w:rPr>
        <w:t xml:space="preserve">for </w:t>
      </w:r>
      <w:proofErr w:type="spellStart"/>
      <w:r w:rsidR="00A0191D" w:rsidRPr="005E0DC9">
        <w:rPr>
          <w:rFonts w:asciiTheme="minorHAnsi" w:hAnsiTheme="minorHAnsi"/>
          <w:sz w:val="24"/>
          <w:szCs w:val="24"/>
        </w:rPr>
        <w:t>ibrutinib</w:t>
      </w:r>
      <w:proofErr w:type="spellEnd"/>
      <w:r w:rsidR="00A0191D" w:rsidRPr="005E0DC9">
        <w:rPr>
          <w:rFonts w:asciiTheme="minorHAnsi" w:hAnsiTheme="minorHAnsi"/>
          <w:sz w:val="24"/>
          <w:szCs w:val="24"/>
        </w:rPr>
        <w:t xml:space="preserve"> in R/R CLL was </w:t>
      </w:r>
      <w:r w:rsidR="00F6126A">
        <w:rPr>
          <w:rFonts w:asciiTheme="minorHAnsi" w:hAnsiTheme="minorHAnsi"/>
          <w:sz w:val="24"/>
          <w:szCs w:val="24"/>
        </w:rPr>
        <w:t>$45,000/QALY - $75,000/QALY</w:t>
      </w:r>
      <w:r w:rsidR="00A0191D" w:rsidRPr="005E0DC9">
        <w:rPr>
          <w:rFonts w:asciiTheme="minorHAnsi" w:hAnsiTheme="minorHAnsi"/>
          <w:sz w:val="24"/>
          <w:szCs w:val="24"/>
        </w:rPr>
        <w:t xml:space="preserve"> gained</w:t>
      </w:r>
      <w:r w:rsidR="00C96AC5">
        <w:rPr>
          <w:rFonts w:asciiTheme="minorHAnsi" w:hAnsiTheme="minorHAnsi"/>
          <w:sz w:val="24"/>
          <w:szCs w:val="24"/>
        </w:rPr>
        <w:t>,</w:t>
      </w:r>
      <w:r w:rsidR="00A0191D" w:rsidRPr="005E0DC9">
        <w:rPr>
          <w:rFonts w:asciiTheme="minorHAnsi" w:hAnsiTheme="minorHAnsi"/>
          <w:sz w:val="24"/>
          <w:szCs w:val="24"/>
        </w:rPr>
        <w:t xml:space="preserve"> when the OS curves converged at 10 years. </w:t>
      </w:r>
      <w:r w:rsidR="000C2E13" w:rsidRPr="005E0DC9">
        <w:rPr>
          <w:rFonts w:asciiTheme="minorHAnsi" w:hAnsiTheme="minorHAnsi"/>
          <w:sz w:val="24"/>
          <w:szCs w:val="24"/>
        </w:rPr>
        <w:t xml:space="preserve">The PBAC acknowledged that </w:t>
      </w:r>
      <w:r w:rsidR="005F2098" w:rsidRPr="005E0DC9">
        <w:rPr>
          <w:rFonts w:asciiTheme="minorHAnsi" w:hAnsiTheme="minorHAnsi"/>
          <w:sz w:val="24"/>
          <w:szCs w:val="24"/>
        </w:rPr>
        <w:t>a</w:t>
      </w:r>
      <w:r w:rsidR="000C2E13" w:rsidRPr="005E0DC9">
        <w:rPr>
          <w:rFonts w:asciiTheme="minorHAnsi" w:hAnsiTheme="minorHAnsi"/>
          <w:sz w:val="24"/>
          <w:szCs w:val="24"/>
        </w:rPr>
        <w:t xml:space="preserve"> CMA would be difficult </w:t>
      </w:r>
      <w:r w:rsidR="00365029" w:rsidRPr="005E0DC9">
        <w:rPr>
          <w:rFonts w:asciiTheme="minorHAnsi" w:hAnsiTheme="minorHAnsi"/>
          <w:sz w:val="24"/>
          <w:szCs w:val="24"/>
        </w:rPr>
        <w:t>for</w:t>
      </w:r>
      <w:r w:rsidR="004415FB" w:rsidRPr="005E0DC9">
        <w:rPr>
          <w:rFonts w:asciiTheme="minorHAnsi" w:hAnsiTheme="minorHAnsi"/>
          <w:sz w:val="24"/>
          <w:szCs w:val="24"/>
        </w:rPr>
        <w:t xml:space="preserve"> estimating treatment duration</w:t>
      </w:r>
      <w:r w:rsidR="00892C9B" w:rsidRPr="005E0DC9">
        <w:rPr>
          <w:rFonts w:asciiTheme="minorHAnsi" w:hAnsiTheme="minorHAnsi"/>
          <w:sz w:val="24"/>
          <w:szCs w:val="24"/>
        </w:rPr>
        <w:t xml:space="preserve"> given the immature PFS data from RESONATE-2</w:t>
      </w:r>
      <w:r w:rsidR="004415FB" w:rsidRPr="005E0DC9">
        <w:rPr>
          <w:rFonts w:asciiTheme="minorHAnsi" w:hAnsiTheme="minorHAnsi"/>
          <w:sz w:val="24"/>
          <w:szCs w:val="24"/>
        </w:rPr>
        <w:t xml:space="preserve">. </w:t>
      </w:r>
      <w:r w:rsidR="00005064" w:rsidRPr="005E0DC9">
        <w:rPr>
          <w:rFonts w:asciiTheme="minorHAnsi" w:hAnsiTheme="minorHAnsi"/>
          <w:sz w:val="24"/>
          <w:szCs w:val="24"/>
        </w:rPr>
        <w:t xml:space="preserve">However, the option of CUA over </w:t>
      </w:r>
      <w:proofErr w:type="spellStart"/>
      <w:r w:rsidR="00005064" w:rsidRPr="005E0DC9">
        <w:rPr>
          <w:rFonts w:asciiTheme="minorHAnsi" w:hAnsiTheme="minorHAnsi"/>
          <w:sz w:val="24"/>
          <w:szCs w:val="24"/>
        </w:rPr>
        <w:t>ritux+chl</w:t>
      </w:r>
      <w:proofErr w:type="spellEnd"/>
      <w:r w:rsidR="00B36411" w:rsidRPr="005E0DC9">
        <w:rPr>
          <w:rFonts w:asciiTheme="minorHAnsi" w:hAnsiTheme="minorHAnsi"/>
          <w:sz w:val="24"/>
          <w:szCs w:val="24"/>
        </w:rPr>
        <w:t xml:space="preserve"> with a 10-year time horizon</w:t>
      </w:r>
      <w:r w:rsidR="00005064" w:rsidRPr="005E0DC9">
        <w:rPr>
          <w:rFonts w:asciiTheme="minorHAnsi" w:hAnsiTheme="minorHAnsi"/>
          <w:sz w:val="24"/>
          <w:szCs w:val="24"/>
        </w:rPr>
        <w:t xml:space="preserve"> could </w:t>
      </w:r>
      <w:r w:rsidR="004E68A0" w:rsidRPr="005E0DC9">
        <w:rPr>
          <w:rFonts w:asciiTheme="minorHAnsi" w:hAnsiTheme="minorHAnsi"/>
          <w:sz w:val="24"/>
          <w:szCs w:val="24"/>
        </w:rPr>
        <w:t xml:space="preserve">be used to </w:t>
      </w:r>
      <w:r w:rsidR="00005064" w:rsidRPr="005E0DC9">
        <w:rPr>
          <w:rFonts w:asciiTheme="minorHAnsi" w:hAnsiTheme="minorHAnsi"/>
          <w:sz w:val="24"/>
          <w:szCs w:val="24"/>
        </w:rPr>
        <w:t xml:space="preserve">establish a cost-effective price, as was </w:t>
      </w:r>
      <w:r w:rsidR="005F2098" w:rsidRPr="005E0DC9">
        <w:rPr>
          <w:rFonts w:asciiTheme="minorHAnsi" w:hAnsiTheme="minorHAnsi"/>
          <w:sz w:val="24"/>
          <w:szCs w:val="24"/>
        </w:rPr>
        <w:t>accepted</w:t>
      </w:r>
      <w:r w:rsidR="00005064" w:rsidRPr="005E0DC9">
        <w:rPr>
          <w:rFonts w:asciiTheme="minorHAnsi" w:hAnsiTheme="minorHAnsi"/>
          <w:sz w:val="24"/>
          <w:szCs w:val="24"/>
        </w:rPr>
        <w:t xml:space="preserve"> for </w:t>
      </w:r>
      <w:proofErr w:type="spellStart"/>
      <w:r w:rsidR="00005064" w:rsidRPr="005E0DC9">
        <w:rPr>
          <w:rFonts w:asciiTheme="minorHAnsi" w:hAnsiTheme="minorHAnsi"/>
          <w:sz w:val="24"/>
          <w:szCs w:val="24"/>
        </w:rPr>
        <w:t>obi+chl</w:t>
      </w:r>
      <w:proofErr w:type="spellEnd"/>
      <w:r w:rsidR="005F2098" w:rsidRPr="005E0DC9">
        <w:rPr>
          <w:rFonts w:asciiTheme="minorHAnsi" w:hAnsiTheme="minorHAnsi"/>
          <w:sz w:val="24"/>
          <w:szCs w:val="24"/>
        </w:rPr>
        <w:t xml:space="preserve"> in March 2015.</w:t>
      </w:r>
    </w:p>
    <w:p w:rsidR="002D276B" w:rsidRDefault="001B7471" w:rsidP="002A4876">
      <w:pPr>
        <w:numPr>
          <w:ilvl w:val="1"/>
          <w:numId w:val="11"/>
        </w:numPr>
        <w:spacing w:after="120"/>
        <w:ind w:left="709" w:hanging="709"/>
        <w:rPr>
          <w:rFonts w:asciiTheme="minorHAnsi" w:hAnsiTheme="minorHAnsi"/>
          <w:bCs/>
          <w:sz w:val="24"/>
          <w:szCs w:val="24"/>
        </w:rPr>
      </w:pPr>
      <w:r w:rsidRPr="005E0DC9">
        <w:rPr>
          <w:rFonts w:asciiTheme="minorHAnsi" w:hAnsiTheme="minorHAnsi"/>
          <w:bCs/>
          <w:sz w:val="24"/>
          <w:szCs w:val="24"/>
        </w:rPr>
        <w:t xml:space="preserve">The PBAC noted the DUSC advice that the high, uncertain and likely under-estimated financial impact of first-line listing </w:t>
      </w:r>
      <w:r w:rsidR="00C96AC5">
        <w:rPr>
          <w:rFonts w:asciiTheme="minorHAnsi" w:hAnsiTheme="minorHAnsi"/>
          <w:bCs/>
          <w:sz w:val="24"/>
          <w:szCs w:val="24"/>
        </w:rPr>
        <w:t xml:space="preserve">of </w:t>
      </w:r>
      <w:proofErr w:type="spellStart"/>
      <w:r w:rsidR="00C96AC5">
        <w:rPr>
          <w:rFonts w:asciiTheme="minorHAnsi" w:hAnsiTheme="minorHAnsi"/>
          <w:bCs/>
          <w:sz w:val="24"/>
          <w:szCs w:val="24"/>
        </w:rPr>
        <w:t>ibrutinib</w:t>
      </w:r>
      <w:proofErr w:type="spellEnd"/>
      <w:r w:rsidR="00C96AC5">
        <w:rPr>
          <w:rFonts w:asciiTheme="minorHAnsi" w:hAnsiTheme="minorHAnsi"/>
          <w:bCs/>
          <w:sz w:val="24"/>
          <w:szCs w:val="24"/>
        </w:rPr>
        <w:t xml:space="preserve"> </w:t>
      </w:r>
      <w:r w:rsidRPr="005E0DC9">
        <w:rPr>
          <w:rFonts w:asciiTheme="minorHAnsi" w:hAnsiTheme="minorHAnsi"/>
          <w:bCs/>
          <w:sz w:val="24"/>
          <w:szCs w:val="24"/>
        </w:rPr>
        <w:t xml:space="preserve">was </w:t>
      </w:r>
      <w:r w:rsidR="00771908" w:rsidRPr="005E0DC9">
        <w:rPr>
          <w:rFonts w:asciiTheme="minorHAnsi" w:hAnsiTheme="minorHAnsi"/>
          <w:bCs/>
          <w:sz w:val="24"/>
          <w:szCs w:val="24"/>
        </w:rPr>
        <w:t xml:space="preserve">driven by </w:t>
      </w:r>
      <w:r w:rsidRPr="005E0DC9">
        <w:rPr>
          <w:rFonts w:asciiTheme="minorHAnsi" w:hAnsiTheme="minorHAnsi"/>
          <w:bCs/>
          <w:sz w:val="24"/>
          <w:szCs w:val="24"/>
        </w:rPr>
        <w:t xml:space="preserve">the </w:t>
      </w:r>
      <w:r w:rsidR="00771908" w:rsidRPr="005E0DC9">
        <w:rPr>
          <w:rFonts w:asciiTheme="minorHAnsi" w:hAnsiTheme="minorHAnsi"/>
          <w:bCs/>
          <w:sz w:val="24"/>
          <w:szCs w:val="24"/>
        </w:rPr>
        <w:t>failure to include prevalent patients</w:t>
      </w:r>
      <w:r w:rsidR="005E53C8">
        <w:rPr>
          <w:rFonts w:asciiTheme="minorHAnsi" w:hAnsiTheme="minorHAnsi"/>
          <w:bCs/>
          <w:sz w:val="24"/>
          <w:szCs w:val="24"/>
        </w:rPr>
        <w:t>,</w:t>
      </w:r>
      <w:r w:rsidR="00D95F81" w:rsidRPr="005E0DC9">
        <w:rPr>
          <w:rFonts w:asciiTheme="minorHAnsi" w:hAnsiTheme="minorHAnsi"/>
          <w:bCs/>
          <w:sz w:val="24"/>
          <w:szCs w:val="24"/>
        </w:rPr>
        <w:t xml:space="preserve"> and</w:t>
      </w:r>
      <w:r w:rsidR="00771908" w:rsidRPr="005E0DC9">
        <w:rPr>
          <w:rFonts w:asciiTheme="minorHAnsi" w:hAnsiTheme="minorHAnsi"/>
          <w:bCs/>
          <w:sz w:val="24"/>
          <w:szCs w:val="24"/>
        </w:rPr>
        <w:t xml:space="preserve"> </w:t>
      </w:r>
      <w:r w:rsidR="00D95F81" w:rsidRPr="005E0DC9">
        <w:rPr>
          <w:rFonts w:asciiTheme="minorHAnsi" w:hAnsiTheme="minorHAnsi"/>
          <w:bCs/>
          <w:sz w:val="24"/>
          <w:szCs w:val="24"/>
        </w:rPr>
        <w:t xml:space="preserve">the </w:t>
      </w:r>
      <w:r w:rsidR="00771908" w:rsidRPr="005E0DC9">
        <w:rPr>
          <w:rFonts w:asciiTheme="minorHAnsi" w:hAnsiTheme="minorHAnsi"/>
          <w:bCs/>
          <w:sz w:val="24"/>
          <w:szCs w:val="24"/>
        </w:rPr>
        <w:t>uncertain treatment duration</w:t>
      </w:r>
      <w:r w:rsidR="008B78F9" w:rsidRPr="005E0DC9">
        <w:rPr>
          <w:rFonts w:asciiTheme="minorHAnsi" w:hAnsiTheme="minorHAnsi"/>
          <w:bCs/>
          <w:sz w:val="24"/>
          <w:szCs w:val="24"/>
        </w:rPr>
        <w:t xml:space="preserve"> and sequencing which was </w:t>
      </w:r>
      <w:r w:rsidR="004E68A0" w:rsidRPr="005E0DC9">
        <w:rPr>
          <w:rFonts w:asciiTheme="minorHAnsi" w:hAnsiTheme="minorHAnsi"/>
          <w:bCs/>
          <w:sz w:val="24"/>
          <w:szCs w:val="24"/>
        </w:rPr>
        <w:t>based on the</w:t>
      </w:r>
      <w:r w:rsidR="008B78F9" w:rsidRPr="005E0DC9">
        <w:rPr>
          <w:rFonts w:asciiTheme="minorHAnsi" w:hAnsiTheme="minorHAnsi"/>
          <w:bCs/>
          <w:sz w:val="24"/>
          <w:szCs w:val="24"/>
        </w:rPr>
        <w:t xml:space="preserve"> </w:t>
      </w:r>
      <w:r w:rsidR="00D95F81" w:rsidRPr="005E0DC9">
        <w:rPr>
          <w:rFonts w:asciiTheme="minorHAnsi" w:hAnsiTheme="minorHAnsi"/>
          <w:bCs/>
          <w:sz w:val="24"/>
          <w:szCs w:val="24"/>
        </w:rPr>
        <w:t xml:space="preserve">economic </w:t>
      </w:r>
      <w:r w:rsidR="008B78F9" w:rsidRPr="005E0DC9">
        <w:rPr>
          <w:rFonts w:asciiTheme="minorHAnsi" w:hAnsiTheme="minorHAnsi"/>
          <w:bCs/>
          <w:sz w:val="24"/>
          <w:szCs w:val="24"/>
        </w:rPr>
        <w:t>model.</w:t>
      </w:r>
      <w:r w:rsidR="00D95F81" w:rsidRPr="005E0DC9">
        <w:rPr>
          <w:rFonts w:asciiTheme="minorHAnsi" w:hAnsiTheme="minorHAnsi"/>
          <w:bCs/>
          <w:sz w:val="24"/>
          <w:szCs w:val="24"/>
        </w:rPr>
        <w:t xml:space="preserve"> The PBAC noted and welcomed the pre-PBAC response (pp3-4) acknowledging the uncertain financial impact</w:t>
      </w:r>
      <w:r w:rsidR="005E53C8">
        <w:rPr>
          <w:rFonts w:asciiTheme="minorHAnsi" w:hAnsiTheme="minorHAnsi"/>
          <w:bCs/>
          <w:sz w:val="24"/>
          <w:szCs w:val="24"/>
        </w:rPr>
        <w:t>,</w:t>
      </w:r>
      <w:r w:rsidR="00D95F81" w:rsidRPr="005E0DC9">
        <w:rPr>
          <w:rFonts w:asciiTheme="minorHAnsi" w:hAnsiTheme="minorHAnsi"/>
          <w:bCs/>
          <w:sz w:val="24"/>
          <w:szCs w:val="24"/>
        </w:rPr>
        <w:t xml:space="preserve"> and agreed </w:t>
      </w:r>
      <w:r w:rsidR="005E53C8">
        <w:rPr>
          <w:rFonts w:asciiTheme="minorHAnsi" w:hAnsiTheme="minorHAnsi"/>
          <w:bCs/>
          <w:sz w:val="24"/>
          <w:szCs w:val="24"/>
        </w:rPr>
        <w:t xml:space="preserve">in principle </w:t>
      </w:r>
      <w:r w:rsidR="00D95F81" w:rsidRPr="005E0DC9">
        <w:rPr>
          <w:rFonts w:asciiTheme="minorHAnsi" w:hAnsiTheme="minorHAnsi"/>
          <w:bCs/>
          <w:sz w:val="24"/>
          <w:szCs w:val="24"/>
        </w:rPr>
        <w:t xml:space="preserve">with the proposal </w:t>
      </w:r>
      <w:r w:rsidR="004E68A0" w:rsidRPr="005E0DC9">
        <w:rPr>
          <w:rFonts w:asciiTheme="minorHAnsi" w:hAnsiTheme="minorHAnsi"/>
          <w:bCs/>
          <w:sz w:val="24"/>
          <w:szCs w:val="24"/>
        </w:rPr>
        <w:t xml:space="preserve">from the sponsor </w:t>
      </w:r>
      <w:r w:rsidR="00D95F81" w:rsidRPr="005E0DC9">
        <w:rPr>
          <w:rFonts w:asciiTheme="minorHAnsi" w:hAnsiTheme="minorHAnsi"/>
          <w:bCs/>
          <w:sz w:val="24"/>
          <w:szCs w:val="24"/>
        </w:rPr>
        <w:t xml:space="preserve">to enter a </w:t>
      </w:r>
      <w:r w:rsidR="00CE01C0" w:rsidRPr="005E0DC9">
        <w:rPr>
          <w:rFonts w:asciiTheme="minorHAnsi" w:hAnsiTheme="minorHAnsi"/>
          <w:bCs/>
          <w:sz w:val="24"/>
          <w:szCs w:val="24"/>
        </w:rPr>
        <w:t>risk share arrangement for CLL as a whole, combing first-line and R/R CLL in the unfit patient population.</w:t>
      </w:r>
    </w:p>
    <w:p w:rsidR="00435774" w:rsidRPr="005E0DC9" w:rsidRDefault="00435774" w:rsidP="00955FEF">
      <w:pPr>
        <w:numPr>
          <w:ilvl w:val="1"/>
          <w:numId w:val="11"/>
        </w:numPr>
        <w:spacing w:after="120"/>
        <w:ind w:left="709" w:hanging="709"/>
        <w:rPr>
          <w:rFonts w:asciiTheme="minorHAnsi" w:hAnsiTheme="minorHAnsi"/>
          <w:bCs/>
          <w:sz w:val="24"/>
          <w:szCs w:val="24"/>
        </w:rPr>
      </w:pPr>
      <w:r w:rsidRPr="005E0DC9">
        <w:rPr>
          <w:rFonts w:asciiTheme="minorHAnsi" w:hAnsiTheme="minorHAnsi"/>
          <w:bCs/>
          <w:sz w:val="24"/>
          <w:szCs w:val="24"/>
        </w:rPr>
        <w:t>The PBAC considered a major resubmission would be required</w:t>
      </w:r>
      <w:r w:rsidR="005E53C8">
        <w:rPr>
          <w:rFonts w:asciiTheme="minorHAnsi" w:hAnsiTheme="minorHAnsi"/>
          <w:bCs/>
          <w:sz w:val="24"/>
          <w:szCs w:val="24"/>
        </w:rPr>
        <w:t>,</w:t>
      </w:r>
      <w:r w:rsidRPr="005E0DC9">
        <w:rPr>
          <w:rFonts w:asciiTheme="minorHAnsi" w:hAnsiTheme="minorHAnsi"/>
          <w:bCs/>
          <w:sz w:val="24"/>
          <w:szCs w:val="24"/>
        </w:rPr>
        <w:t xml:space="preserve"> </w:t>
      </w:r>
      <w:r w:rsidR="00F83A53" w:rsidRPr="005E0DC9">
        <w:rPr>
          <w:rFonts w:asciiTheme="minorHAnsi" w:hAnsiTheme="minorHAnsi"/>
          <w:bCs/>
          <w:sz w:val="24"/>
          <w:szCs w:val="24"/>
        </w:rPr>
        <w:t xml:space="preserve">and should include the </w:t>
      </w:r>
      <w:r w:rsidRPr="005E0DC9">
        <w:rPr>
          <w:rFonts w:asciiTheme="minorHAnsi" w:hAnsiTheme="minorHAnsi"/>
          <w:bCs/>
          <w:sz w:val="24"/>
          <w:szCs w:val="24"/>
        </w:rPr>
        <w:t>following:</w:t>
      </w:r>
    </w:p>
    <w:p w:rsidR="00435774" w:rsidRPr="005E0DC9" w:rsidRDefault="00021A18" w:rsidP="00743D97">
      <w:pPr>
        <w:pStyle w:val="ListParagraph"/>
        <w:numPr>
          <w:ilvl w:val="0"/>
          <w:numId w:val="8"/>
        </w:numPr>
        <w:spacing w:after="120"/>
        <w:ind w:left="709" w:hanging="283"/>
        <w:rPr>
          <w:rFonts w:asciiTheme="minorHAnsi" w:hAnsiTheme="minorHAnsi"/>
          <w:bCs/>
          <w:sz w:val="24"/>
          <w:szCs w:val="24"/>
        </w:rPr>
      </w:pPr>
      <w:r>
        <w:rPr>
          <w:rFonts w:asciiTheme="minorHAnsi" w:hAnsiTheme="minorHAnsi"/>
          <w:bCs/>
          <w:sz w:val="24"/>
          <w:szCs w:val="24"/>
        </w:rPr>
        <w:t>a</w:t>
      </w:r>
      <w:r w:rsidR="00F83A53" w:rsidRPr="005E0DC9">
        <w:rPr>
          <w:rFonts w:asciiTheme="minorHAnsi" w:hAnsiTheme="minorHAnsi"/>
          <w:bCs/>
          <w:sz w:val="24"/>
          <w:szCs w:val="24"/>
        </w:rPr>
        <w:t xml:space="preserve"> </w:t>
      </w:r>
      <w:r w:rsidR="00435774" w:rsidRPr="005E0DC9">
        <w:rPr>
          <w:rFonts w:asciiTheme="minorHAnsi" w:hAnsiTheme="minorHAnsi"/>
          <w:bCs/>
          <w:sz w:val="24"/>
          <w:szCs w:val="24"/>
        </w:rPr>
        <w:t xml:space="preserve">definition of inappropriate for </w:t>
      </w:r>
      <w:proofErr w:type="spellStart"/>
      <w:r w:rsidR="00435774" w:rsidRPr="005E0DC9">
        <w:rPr>
          <w:rFonts w:asciiTheme="minorHAnsi" w:hAnsiTheme="minorHAnsi"/>
          <w:bCs/>
          <w:sz w:val="24"/>
          <w:szCs w:val="24"/>
        </w:rPr>
        <w:t>fludarabine</w:t>
      </w:r>
      <w:proofErr w:type="spellEnd"/>
      <w:r w:rsidR="00435774" w:rsidRPr="005E0DC9">
        <w:rPr>
          <w:rFonts w:asciiTheme="minorHAnsi" w:hAnsiTheme="minorHAnsi"/>
          <w:bCs/>
          <w:sz w:val="24"/>
          <w:szCs w:val="24"/>
        </w:rPr>
        <w:t>-based therapy in the proposed restriction</w:t>
      </w:r>
      <w:r>
        <w:rPr>
          <w:rFonts w:asciiTheme="minorHAnsi" w:hAnsiTheme="minorHAnsi"/>
          <w:bCs/>
          <w:sz w:val="24"/>
          <w:szCs w:val="24"/>
        </w:rPr>
        <w:t>;</w:t>
      </w:r>
    </w:p>
    <w:p w:rsidR="00435774" w:rsidRPr="005E0DC9" w:rsidRDefault="00021A18" w:rsidP="00743D97">
      <w:pPr>
        <w:pStyle w:val="ListParagraph"/>
        <w:numPr>
          <w:ilvl w:val="0"/>
          <w:numId w:val="8"/>
        </w:numPr>
        <w:spacing w:after="120"/>
        <w:ind w:left="709" w:hanging="283"/>
        <w:rPr>
          <w:rFonts w:asciiTheme="minorHAnsi" w:hAnsiTheme="minorHAnsi"/>
          <w:bCs/>
          <w:sz w:val="24"/>
          <w:szCs w:val="24"/>
        </w:rPr>
      </w:pPr>
      <w:r>
        <w:rPr>
          <w:rFonts w:asciiTheme="minorHAnsi" w:hAnsiTheme="minorHAnsi"/>
          <w:bCs/>
          <w:sz w:val="24"/>
          <w:szCs w:val="24"/>
        </w:rPr>
        <w:t>u</w:t>
      </w:r>
      <w:r w:rsidR="00F83A53" w:rsidRPr="005E0DC9">
        <w:rPr>
          <w:rFonts w:asciiTheme="minorHAnsi" w:hAnsiTheme="minorHAnsi"/>
          <w:bCs/>
          <w:sz w:val="24"/>
          <w:szCs w:val="24"/>
        </w:rPr>
        <w:t xml:space="preserve">pdated </w:t>
      </w:r>
      <w:r w:rsidR="005C6F4F">
        <w:rPr>
          <w:rFonts w:asciiTheme="minorHAnsi" w:hAnsiTheme="minorHAnsi"/>
          <w:bCs/>
          <w:sz w:val="24"/>
          <w:szCs w:val="24"/>
        </w:rPr>
        <w:t xml:space="preserve">PFS and OS </w:t>
      </w:r>
      <w:r w:rsidR="00F83A53" w:rsidRPr="005E0DC9">
        <w:rPr>
          <w:rFonts w:asciiTheme="minorHAnsi" w:hAnsiTheme="minorHAnsi"/>
          <w:bCs/>
          <w:sz w:val="24"/>
          <w:szCs w:val="24"/>
        </w:rPr>
        <w:t xml:space="preserve">data if available </w:t>
      </w:r>
      <w:r w:rsidR="00435774" w:rsidRPr="005E0DC9">
        <w:rPr>
          <w:rFonts w:asciiTheme="minorHAnsi" w:hAnsiTheme="minorHAnsi"/>
          <w:bCs/>
          <w:sz w:val="24"/>
          <w:szCs w:val="24"/>
        </w:rPr>
        <w:t xml:space="preserve">from </w:t>
      </w:r>
      <w:r w:rsidR="005C6F4F">
        <w:rPr>
          <w:rFonts w:asciiTheme="minorHAnsi" w:hAnsiTheme="minorHAnsi"/>
          <w:bCs/>
          <w:sz w:val="24"/>
          <w:szCs w:val="24"/>
        </w:rPr>
        <w:t xml:space="preserve">the </w:t>
      </w:r>
      <w:r w:rsidR="00435774" w:rsidRPr="005E0DC9">
        <w:rPr>
          <w:rFonts w:asciiTheme="minorHAnsi" w:hAnsiTheme="minorHAnsi"/>
          <w:bCs/>
          <w:sz w:val="24"/>
          <w:szCs w:val="24"/>
        </w:rPr>
        <w:t>RESONATE-2</w:t>
      </w:r>
      <w:r w:rsidR="005C6F4F">
        <w:rPr>
          <w:rFonts w:asciiTheme="minorHAnsi" w:hAnsiTheme="minorHAnsi"/>
          <w:bCs/>
          <w:sz w:val="24"/>
          <w:szCs w:val="24"/>
        </w:rPr>
        <w:t xml:space="preserve"> trial</w:t>
      </w:r>
      <w:r>
        <w:rPr>
          <w:rFonts w:asciiTheme="minorHAnsi" w:hAnsiTheme="minorHAnsi"/>
          <w:bCs/>
          <w:sz w:val="24"/>
          <w:szCs w:val="24"/>
        </w:rPr>
        <w:t>;</w:t>
      </w:r>
    </w:p>
    <w:p w:rsidR="00F83A53" w:rsidRPr="005E0DC9" w:rsidRDefault="00021A18" w:rsidP="00743D97">
      <w:pPr>
        <w:pStyle w:val="ListParagraph"/>
        <w:numPr>
          <w:ilvl w:val="0"/>
          <w:numId w:val="8"/>
        </w:numPr>
        <w:spacing w:after="120"/>
        <w:ind w:left="709" w:hanging="283"/>
        <w:rPr>
          <w:rFonts w:asciiTheme="minorHAnsi" w:hAnsiTheme="minorHAnsi"/>
          <w:bCs/>
          <w:sz w:val="24"/>
          <w:szCs w:val="24"/>
        </w:rPr>
      </w:pPr>
      <w:r>
        <w:rPr>
          <w:rFonts w:asciiTheme="minorHAnsi" w:hAnsiTheme="minorHAnsi"/>
          <w:bCs/>
          <w:sz w:val="24"/>
          <w:szCs w:val="24"/>
        </w:rPr>
        <w:t>a</w:t>
      </w:r>
      <w:r w:rsidR="00F83A53" w:rsidRPr="005E0DC9">
        <w:rPr>
          <w:rFonts w:asciiTheme="minorHAnsi" w:hAnsiTheme="minorHAnsi"/>
          <w:bCs/>
          <w:sz w:val="24"/>
          <w:szCs w:val="24"/>
        </w:rPr>
        <w:t xml:space="preserve"> r</w:t>
      </w:r>
      <w:r w:rsidR="00771908" w:rsidRPr="005E0DC9">
        <w:rPr>
          <w:rFonts w:asciiTheme="minorHAnsi" w:hAnsiTheme="minorHAnsi"/>
          <w:bCs/>
          <w:sz w:val="24"/>
          <w:szCs w:val="24"/>
        </w:rPr>
        <w:t>evise</w:t>
      </w:r>
      <w:r w:rsidR="00F83A53" w:rsidRPr="005E0DC9">
        <w:rPr>
          <w:rFonts w:asciiTheme="minorHAnsi" w:hAnsiTheme="minorHAnsi"/>
          <w:bCs/>
          <w:sz w:val="24"/>
          <w:szCs w:val="24"/>
        </w:rPr>
        <w:t>d</w:t>
      </w:r>
      <w:r w:rsidR="00435774" w:rsidRPr="005E0DC9">
        <w:rPr>
          <w:rFonts w:asciiTheme="minorHAnsi" w:hAnsiTheme="minorHAnsi"/>
          <w:bCs/>
          <w:sz w:val="24"/>
          <w:szCs w:val="24"/>
        </w:rPr>
        <w:t xml:space="preserve"> </w:t>
      </w:r>
      <w:r w:rsidR="00771908" w:rsidRPr="005E0DC9">
        <w:rPr>
          <w:rFonts w:asciiTheme="minorHAnsi" w:hAnsiTheme="minorHAnsi"/>
          <w:bCs/>
          <w:sz w:val="24"/>
          <w:szCs w:val="24"/>
        </w:rPr>
        <w:t xml:space="preserve">economic </w:t>
      </w:r>
      <w:r w:rsidR="00435774" w:rsidRPr="005E0DC9">
        <w:rPr>
          <w:rFonts w:asciiTheme="minorHAnsi" w:hAnsiTheme="minorHAnsi"/>
          <w:bCs/>
          <w:sz w:val="24"/>
          <w:szCs w:val="24"/>
        </w:rPr>
        <w:t xml:space="preserve">analysis </w:t>
      </w:r>
      <w:r w:rsidR="00421ECC">
        <w:rPr>
          <w:rFonts w:asciiTheme="minorHAnsi" w:hAnsiTheme="minorHAnsi"/>
          <w:bCs/>
          <w:sz w:val="24"/>
          <w:szCs w:val="24"/>
        </w:rPr>
        <w:t xml:space="preserve">based on a </w:t>
      </w:r>
      <w:r w:rsidR="00771908" w:rsidRPr="005E0DC9">
        <w:rPr>
          <w:rFonts w:asciiTheme="minorHAnsi" w:hAnsiTheme="minorHAnsi"/>
          <w:bCs/>
          <w:sz w:val="24"/>
          <w:szCs w:val="24"/>
        </w:rPr>
        <w:t xml:space="preserve">CUA vs </w:t>
      </w:r>
      <w:proofErr w:type="spellStart"/>
      <w:r w:rsidR="00771908" w:rsidRPr="005E0DC9">
        <w:rPr>
          <w:rFonts w:asciiTheme="minorHAnsi" w:hAnsiTheme="minorHAnsi"/>
          <w:bCs/>
          <w:sz w:val="24"/>
          <w:szCs w:val="24"/>
        </w:rPr>
        <w:t>ritux+chl</w:t>
      </w:r>
      <w:proofErr w:type="spellEnd"/>
      <w:r w:rsidR="00435774" w:rsidRPr="005E0DC9">
        <w:rPr>
          <w:rFonts w:asciiTheme="minorHAnsi" w:hAnsiTheme="minorHAnsi"/>
          <w:bCs/>
          <w:sz w:val="24"/>
          <w:szCs w:val="24"/>
        </w:rPr>
        <w:t xml:space="preserve"> </w:t>
      </w:r>
      <w:r w:rsidR="008B5A16">
        <w:rPr>
          <w:rFonts w:asciiTheme="minorHAnsi" w:hAnsiTheme="minorHAnsi"/>
          <w:bCs/>
          <w:sz w:val="24"/>
          <w:szCs w:val="24"/>
        </w:rPr>
        <w:t xml:space="preserve">with </w:t>
      </w:r>
      <w:r w:rsidR="00435774" w:rsidRPr="005E0DC9">
        <w:rPr>
          <w:rFonts w:asciiTheme="minorHAnsi" w:hAnsiTheme="minorHAnsi"/>
          <w:bCs/>
          <w:sz w:val="24"/>
          <w:szCs w:val="24"/>
        </w:rPr>
        <w:t>a 10-year time horizon</w:t>
      </w:r>
      <w:r w:rsidR="00C62B22">
        <w:rPr>
          <w:rFonts w:asciiTheme="minorHAnsi" w:hAnsiTheme="minorHAnsi"/>
          <w:bCs/>
          <w:sz w:val="24"/>
          <w:szCs w:val="24"/>
        </w:rPr>
        <w:t>,</w:t>
      </w:r>
      <w:r w:rsidR="00435774" w:rsidRPr="005E0DC9">
        <w:rPr>
          <w:rFonts w:asciiTheme="minorHAnsi" w:hAnsiTheme="minorHAnsi"/>
          <w:bCs/>
          <w:sz w:val="24"/>
          <w:szCs w:val="24"/>
        </w:rPr>
        <w:t xml:space="preserve"> </w:t>
      </w:r>
      <w:r w:rsidR="00C62B22">
        <w:rPr>
          <w:rFonts w:asciiTheme="minorHAnsi" w:hAnsiTheme="minorHAnsi"/>
          <w:bCs/>
          <w:sz w:val="24"/>
          <w:szCs w:val="24"/>
        </w:rPr>
        <w:t xml:space="preserve">with </w:t>
      </w:r>
      <w:r w:rsidR="00435774" w:rsidRPr="005E0DC9">
        <w:rPr>
          <w:rFonts w:asciiTheme="minorHAnsi" w:hAnsiTheme="minorHAnsi"/>
          <w:bCs/>
          <w:sz w:val="24"/>
          <w:szCs w:val="24"/>
        </w:rPr>
        <w:t>an ICE</w:t>
      </w:r>
      <w:r w:rsidR="00F83A53" w:rsidRPr="005E0DC9">
        <w:rPr>
          <w:rFonts w:asciiTheme="minorHAnsi" w:hAnsiTheme="minorHAnsi"/>
          <w:bCs/>
          <w:sz w:val="24"/>
          <w:szCs w:val="24"/>
        </w:rPr>
        <w:t>R</w:t>
      </w:r>
      <w:r w:rsidR="00435774" w:rsidRPr="005E0DC9">
        <w:rPr>
          <w:rFonts w:asciiTheme="minorHAnsi" w:hAnsiTheme="minorHAnsi"/>
          <w:bCs/>
          <w:sz w:val="24"/>
          <w:szCs w:val="24"/>
        </w:rPr>
        <w:t xml:space="preserve"> under </w:t>
      </w:r>
      <w:r w:rsidR="00F6126A">
        <w:rPr>
          <w:rFonts w:asciiTheme="minorHAnsi" w:hAnsiTheme="minorHAnsi"/>
          <w:bCs/>
          <w:sz w:val="24"/>
          <w:szCs w:val="24"/>
        </w:rPr>
        <w:t>$45,000/QALY - $75,000/QALY</w:t>
      </w:r>
      <w:r w:rsidR="00435774" w:rsidRPr="005E0DC9">
        <w:rPr>
          <w:rFonts w:asciiTheme="minorHAnsi" w:hAnsiTheme="minorHAnsi"/>
          <w:bCs/>
          <w:sz w:val="24"/>
          <w:szCs w:val="24"/>
        </w:rPr>
        <w:t xml:space="preserve"> gained</w:t>
      </w:r>
      <w:r w:rsidR="002619C2" w:rsidRPr="005E0DC9">
        <w:rPr>
          <w:rFonts w:asciiTheme="minorHAnsi" w:hAnsiTheme="minorHAnsi"/>
          <w:bCs/>
          <w:sz w:val="24"/>
          <w:szCs w:val="24"/>
        </w:rPr>
        <w:t xml:space="preserve"> </w:t>
      </w:r>
      <w:r w:rsidR="00C62B22">
        <w:rPr>
          <w:rFonts w:asciiTheme="minorHAnsi" w:hAnsiTheme="minorHAnsi"/>
          <w:bCs/>
          <w:sz w:val="24"/>
          <w:szCs w:val="24"/>
        </w:rPr>
        <w:t>(</w:t>
      </w:r>
      <w:r w:rsidR="00E2169A" w:rsidRPr="005E0DC9">
        <w:rPr>
          <w:rFonts w:asciiTheme="minorHAnsi" w:hAnsiTheme="minorHAnsi"/>
          <w:bCs/>
          <w:sz w:val="24"/>
          <w:szCs w:val="24"/>
        </w:rPr>
        <w:t xml:space="preserve">consistent with the </w:t>
      </w:r>
      <w:r w:rsidR="002619C2" w:rsidRPr="005E0DC9">
        <w:rPr>
          <w:rFonts w:asciiTheme="minorHAnsi" w:hAnsiTheme="minorHAnsi"/>
          <w:bCs/>
          <w:sz w:val="24"/>
          <w:szCs w:val="24"/>
        </w:rPr>
        <w:t>accepted ICERs for</w:t>
      </w:r>
      <w:r w:rsidR="00E2169A" w:rsidRPr="005E0DC9">
        <w:rPr>
          <w:rFonts w:asciiTheme="minorHAnsi" w:hAnsiTheme="minorHAnsi"/>
          <w:bCs/>
          <w:sz w:val="24"/>
          <w:szCs w:val="24"/>
        </w:rPr>
        <w:t xml:space="preserve"> </w:t>
      </w:r>
      <w:proofErr w:type="spellStart"/>
      <w:r w:rsidR="00E2169A" w:rsidRPr="005E0DC9">
        <w:rPr>
          <w:rFonts w:asciiTheme="minorHAnsi" w:hAnsiTheme="minorHAnsi"/>
          <w:bCs/>
          <w:sz w:val="24"/>
          <w:szCs w:val="24"/>
        </w:rPr>
        <w:t>obi</w:t>
      </w:r>
      <w:r w:rsidR="00BA79B9" w:rsidRPr="005E0DC9">
        <w:rPr>
          <w:rFonts w:asciiTheme="minorHAnsi" w:hAnsiTheme="minorHAnsi"/>
          <w:bCs/>
          <w:sz w:val="24"/>
          <w:szCs w:val="24"/>
        </w:rPr>
        <w:t>+chl</w:t>
      </w:r>
      <w:proofErr w:type="spellEnd"/>
      <w:r w:rsidR="00E2169A" w:rsidRPr="005E0DC9">
        <w:rPr>
          <w:rFonts w:asciiTheme="minorHAnsi" w:hAnsiTheme="minorHAnsi"/>
          <w:bCs/>
          <w:sz w:val="24"/>
          <w:szCs w:val="24"/>
        </w:rPr>
        <w:t xml:space="preserve"> </w:t>
      </w:r>
      <w:r w:rsidR="002619C2" w:rsidRPr="005E0DC9">
        <w:rPr>
          <w:rFonts w:asciiTheme="minorHAnsi" w:hAnsiTheme="minorHAnsi"/>
          <w:bCs/>
          <w:sz w:val="24"/>
          <w:szCs w:val="24"/>
        </w:rPr>
        <w:t>in first-line CLL</w:t>
      </w:r>
      <w:r w:rsidR="00C62B22">
        <w:rPr>
          <w:rFonts w:asciiTheme="minorHAnsi" w:hAnsiTheme="minorHAnsi"/>
          <w:bCs/>
          <w:sz w:val="24"/>
          <w:szCs w:val="24"/>
        </w:rPr>
        <w:t>,</w:t>
      </w:r>
      <w:r w:rsidR="002619C2" w:rsidRPr="005E0DC9">
        <w:rPr>
          <w:rFonts w:asciiTheme="minorHAnsi" w:hAnsiTheme="minorHAnsi"/>
          <w:bCs/>
          <w:sz w:val="24"/>
          <w:szCs w:val="24"/>
        </w:rPr>
        <w:t xml:space="preserve"> and less than </w:t>
      </w:r>
      <w:proofErr w:type="spellStart"/>
      <w:r w:rsidR="002619C2" w:rsidRPr="005E0DC9">
        <w:rPr>
          <w:rFonts w:asciiTheme="minorHAnsi" w:hAnsiTheme="minorHAnsi"/>
          <w:bCs/>
          <w:sz w:val="24"/>
          <w:szCs w:val="24"/>
        </w:rPr>
        <w:t>ibrutinib</w:t>
      </w:r>
      <w:proofErr w:type="spellEnd"/>
      <w:r w:rsidR="002619C2" w:rsidRPr="005E0DC9">
        <w:rPr>
          <w:rFonts w:asciiTheme="minorHAnsi" w:hAnsiTheme="minorHAnsi"/>
          <w:bCs/>
          <w:sz w:val="24"/>
          <w:szCs w:val="24"/>
        </w:rPr>
        <w:t xml:space="preserve"> in R/R CLL </w:t>
      </w:r>
      <w:r w:rsidR="00C62B22">
        <w:rPr>
          <w:rFonts w:asciiTheme="minorHAnsi" w:hAnsiTheme="minorHAnsi"/>
          <w:bCs/>
          <w:sz w:val="24"/>
          <w:szCs w:val="24"/>
        </w:rPr>
        <w:t>to take into account the high uncertainty regarding long-term incremental benefit);</w:t>
      </w:r>
    </w:p>
    <w:p w:rsidR="00AA1D89" w:rsidRPr="005E0DC9" w:rsidRDefault="00C62B22" w:rsidP="00743D97">
      <w:pPr>
        <w:pStyle w:val="ListParagraph"/>
        <w:numPr>
          <w:ilvl w:val="0"/>
          <w:numId w:val="8"/>
        </w:numPr>
        <w:spacing w:after="120"/>
        <w:ind w:left="709" w:hanging="283"/>
        <w:rPr>
          <w:rFonts w:asciiTheme="minorHAnsi" w:hAnsiTheme="minorHAnsi"/>
          <w:bCs/>
          <w:sz w:val="24"/>
          <w:szCs w:val="24"/>
        </w:rPr>
      </w:pPr>
      <w:proofErr w:type="gramStart"/>
      <w:r>
        <w:rPr>
          <w:rFonts w:asciiTheme="minorHAnsi" w:hAnsiTheme="minorHAnsi"/>
          <w:bCs/>
          <w:sz w:val="24"/>
          <w:szCs w:val="24"/>
        </w:rPr>
        <w:t>r</w:t>
      </w:r>
      <w:r w:rsidR="00F83A53" w:rsidRPr="005E0DC9">
        <w:rPr>
          <w:rFonts w:asciiTheme="minorHAnsi" w:hAnsiTheme="minorHAnsi"/>
          <w:bCs/>
          <w:sz w:val="24"/>
          <w:szCs w:val="24"/>
        </w:rPr>
        <w:t>evised</w:t>
      </w:r>
      <w:proofErr w:type="gramEnd"/>
      <w:r w:rsidR="00F83A53" w:rsidRPr="005E0DC9">
        <w:rPr>
          <w:rFonts w:asciiTheme="minorHAnsi" w:hAnsiTheme="minorHAnsi"/>
          <w:bCs/>
          <w:sz w:val="24"/>
          <w:szCs w:val="24"/>
        </w:rPr>
        <w:t xml:space="preserve"> financial estimates </w:t>
      </w:r>
      <w:r>
        <w:rPr>
          <w:rFonts w:asciiTheme="minorHAnsi" w:hAnsiTheme="minorHAnsi"/>
          <w:bCs/>
          <w:sz w:val="24"/>
          <w:szCs w:val="24"/>
        </w:rPr>
        <w:t xml:space="preserve">based on updated estimates of the likely incident and prevalent population, </w:t>
      </w:r>
      <w:r w:rsidR="00F83A53" w:rsidRPr="005E0DC9">
        <w:rPr>
          <w:rFonts w:asciiTheme="minorHAnsi" w:hAnsiTheme="minorHAnsi"/>
          <w:bCs/>
          <w:sz w:val="24"/>
          <w:szCs w:val="24"/>
        </w:rPr>
        <w:t xml:space="preserve">and </w:t>
      </w:r>
      <w:r>
        <w:rPr>
          <w:rFonts w:asciiTheme="minorHAnsi" w:hAnsiTheme="minorHAnsi"/>
          <w:bCs/>
          <w:sz w:val="24"/>
          <w:szCs w:val="24"/>
        </w:rPr>
        <w:t xml:space="preserve">a revised </w:t>
      </w:r>
      <w:r w:rsidR="00F83A53" w:rsidRPr="005E0DC9">
        <w:rPr>
          <w:rFonts w:asciiTheme="minorHAnsi" w:hAnsiTheme="minorHAnsi"/>
          <w:bCs/>
          <w:sz w:val="24"/>
          <w:szCs w:val="24"/>
        </w:rPr>
        <w:t xml:space="preserve">RSA proposal </w:t>
      </w:r>
      <w:r>
        <w:rPr>
          <w:rFonts w:asciiTheme="minorHAnsi" w:hAnsiTheme="minorHAnsi"/>
          <w:bCs/>
          <w:sz w:val="24"/>
          <w:szCs w:val="24"/>
        </w:rPr>
        <w:t xml:space="preserve">that accounts for the </w:t>
      </w:r>
      <w:r w:rsidR="00F83A53" w:rsidRPr="005E0DC9">
        <w:rPr>
          <w:rFonts w:asciiTheme="minorHAnsi" w:hAnsiTheme="minorHAnsi"/>
          <w:bCs/>
          <w:sz w:val="24"/>
          <w:szCs w:val="24"/>
        </w:rPr>
        <w:t>uncertainty in the patient population and estimated duration of therapies.</w:t>
      </w:r>
    </w:p>
    <w:p w:rsidR="00073022" w:rsidRPr="005E0DC9" w:rsidRDefault="000D65E6" w:rsidP="00955FEF">
      <w:pPr>
        <w:numPr>
          <w:ilvl w:val="1"/>
          <w:numId w:val="11"/>
        </w:numPr>
        <w:spacing w:after="120"/>
        <w:ind w:left="709" w:hanging="709"/>
        <w:rPr>
          <w:rFonts w:asciiTheme="minorHAnsi" w:hAnsiTheme="minorHAnsi"/>
          <w:bCs/>
          <w:sz w:val="24"/>
          <w:szCs w:val="24"/>
        </w:rPr>
      </w:pPr>
      <w:r w:rsidRPr="005E0DC9">
        <w:rPr>
          <w:rFonts w:asciiTheme="minorHAnsi" w:hAnsiTheme="minorHAnsi"/>
          <w:bCs/>
          <w:sz w:val="24"/>
          <w:szCs w:val="24"/>
        </w:rPr>
        <w:t xml:space="preserve">The PBAC noted that this submission is eligible for an Independent Review. </w:t>
      </w:r>
    </w:p>
    <w:p w:rsidR="000D65E6" w:rsidRPr="005E0DC9" w:rsidRDefault="000D65E6" w:rsidP="000D65E6">
      <w:pPr>
        <w:ind w:left="720"/>
        <w:rPr>
          <w:rFonts w:asciiTheme="minorHAnsi" w:hAnsiTheme="minorHAnsi"/>
          <w:bCs/>
          <w:sz w:val="24"/>
          <w:szCs w:val="24"/>
        </w:rPr>
      </w:pPr>
    </w:p>
    <w:p w:rsidR="000D65E6" w:rsidRPr="005E0DC9" w:rsidRDefault="000D65E6" w:rsidP="000D65E6">
      <w:pPr>
        <w:spacing w:before="240"/>
        <w:rPr>
          <w:rFonts w:asciiTheme="minorHAnsi" w:hAnsiTheme="minorHAnsi"/>
          <w:b/>
          <w:bCs/>
          <w:sz w:val="24"/>
          <w:szCs w:val="24"/>
        </w:rPr>
      </w:pPr>
      <w:r w:rsidRPr="005E0DC9">
        <w:rPr>
          <w:rFonts w:asciiTheme="minorHAnsi" w:hAnsiTheme="minorHAnsi"/>
          <w:b/>
          <w:bCs/>
          <w:sz w:val="24"/>
          <w:szCs w:val="24"/>
        </w:rPr>
        <w:t>Outcome:</w:t>
      </w:r>
    </w:p>
    <w:p w:rsidR="002D4285" w:rsidRDefault="000D65E6" w:rsidP="00C50C4B">
      <w:pPr>
        <w:rPr>
          <w:rFonts w:asciiTheme="minorHAnsi" w:hAnsiTheme="minorHAnsi"/>
          <w:bCs/>
          <w:sz w:val="24"/>
          <w:szCs w:val="24"/>
        </w:rPr>
      </w:pPr>
      <w:r w:rsidRPr="005E0DC9">
        <w:rPr>
          <w:rFonts w:asciiTheme="minorHAnsi" w:hAnsiTheme="minorHAnsi"/>
          <w:bCs/>
          <w:sz w:val="24"/>
          <w:szCs w:val="24"/>
        </w:rPr>
        <w:t xml:space="preserve">Rejected </w:t>
      </w:r>
    </w:p>
    <w:p w:rsidR="00C50EFF" w:rsidRDefault="00C50EFF" w:rsidP="00C50C4B">
      <w:pPr>
        <w:rPr>
          <w:rFonts w:asciiTheme="minorHAnsi" w:hAnsiTheme="minorHAnsi"/>
          <w:bCs/>
          <w:sz w:val="24"/>
          <w:szCs w:val="24"/>
        </w:rPr>
      </w:pPr>
    </w:p>
    <w:p w:rsidR="00C50EFF" w:rsidRPr="00C50EFF" w:rsidRDefault="00C50EFF" w:rsidP="00C50EFF">
      <w:pPr>
        <w:pStyle w:val="Heading1"/>
        <w:keepNext/>
        <w:keepLines/>
        <w:widowControl/>
        <w:numPr>
          <w:ilvl w:val="0"/>
          <w:numId w:val="11"/>
        </w:numPr>
        <w:spacing w:before="240" w:after="120"/>
        <w:jc w:val="left"/>
        <w:rPr>
          <w:rFonts w:asciiTheme="minorHAnsi" w:eastAsiaTheme="majorEastAsia" w:hAnsiTheme="minorHAnsi" w:cstheme="majorBidi"/>
          <w:caps w:val="0"/>
          <w:snapToGrid/>
          <w:sz w:val="32"/>
          <w:szCs w:val="28"/>
        </w:rPr>
      </w:pPr>
      <w:r w:rsidRPr="00C50EFF">
        <w:rPr>
          <w:rFonts w:asciiTheme="minorHAnsi" w:eastAsiaTheme="majorEastAsia" w:hAnsiTheme="minorHAnsi" w:cstheme="majorBidi"/>
          <w:caps w:val="0"/>
          <w:snapToGrid/>
          <w:sz w:val="32"/>
          <w:szCs w:val="28"/>
        </w:rPr>
        <w:t>Context for Decision</w:t>
      </w:r>
    </w:p>
    <w:p w:rsidR="00C50EFF" w:rsidRPr="00C50EFF" w:rsidRDefault="00C50EFF" w:rsidP="00C50EFF">
      <w:pPr>
        <w:widowControl/>
        <w:spacing w:before="120" w:after="120"/>
        <w:rPr>
          <w:rFonts w:ascii="Calibri" w:eastAsia="Calibri" w:hAnsi="Calibri"/>
          <w:snapToGrid/>
          <w:sz w:val="24"/>
          <w:szCs w:val="22"/>
        </w:rPr>
      </w:pPr>
      <w:r w:rsidRPr="00C50EFF">
        <w:rPr>
          <w:rFonts w:ascii="Calibri" w:eastAsia="Calibri" w:hAnsi="Calibri"/>
          <w:snapToGrid/>
          <w:sz w:val="24"/>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50EFF" w:rsidRPr="00C50EFF" w:rsidRDefault="00C50EFF" w:rsidP="00C50EFF">
      <w:pPr>
        <w:pStyle w:val="Heading1"/>
        <w:keepNext/>
        <w:keepLines/>
        <w:widowControl/>
        <w:numPr>
          <w:ilvl w:val="0"/>
          <w:numId w:val="11"/>
        </w:numPr>
        <w:spacing w:before="240" w:after="120"/>
        <w:jc w:val="left"/>
        <w:rPr>
          <w:rFonts w:asciiTheme="minorHAnsi" w:eastAsiaTheme="majorEastAsia" w:hAnsiTheme="minorHAnsi" w:cstheme="majorBidi"/>
          <w:caps w:val="0"/>
          <w:snapToGrid/>
          <w:sz w:val="32"/>
          <w:szCs w:val="28"/>
        </w:rPr>
      </w:pPr>
      <w:r w:rsidRPr="00C50EFF">
        <w:rPr>
          <w:rFonts w:asciiTheme="minorHAnsi" w:eastAsiaTheme="majorEastAsia" w:hAnsiTheme="minorHAnsi" w:cstheme="majorBidi"/>
          <w:caps w:val="0"/>
          <w:snapToGrid/>
          <w:sz w:val="32"/>
          <w:szCs w:val="28"/>
        </w:rPr>
        <w:lastRenderedPageBreak/>
        <w:t>Sponsor’s Comment</w:t>
      </w:r>
    </w:p>
    <w:p w:rsidR="00AB027A" w:rsidRDefault="00AB027A" w:rsidP="00AB027A">
      <w:pPr>
        <w:widowControl/>
        <w:spacing w:before="120" w:after="160"/>
      </w:pPr>
      <w:r>
        <w:t xml:space="preserve">Janssen will continue to work with the PBAC to make </w:t>
      </w:r>
      <w:proofErr w:type="spellStart"/>
      <w:r>
        <w:t>ibrutinib</w:t>
      </w:r>
      <w:proofErr w:type="spellEnd"/>
      <w:r>
        <w:t xml:space="preserve"> available to patients as soon as practical.</w:t>
      </w:r>
    </w:p>
    <w:p w:rsidR="00C50EFF" w:rsidRPr="00C50C4B" w:rsidRDefault="00C50EFF" w:rsidP="00C50C4B">
      <w:pPr>
        <w:rPr>
          <w:rFonts w:asciiTheme="minorHAnsi" w:hAnsiTheme="minorHAnsi"/>
          <w:bCs/>
          <w:sz w:val="24"/>
          <w:szCs w:val="24"/>
        </w:rPr>
      </w:pPr>
    </w:p>
    <w:sectPr w:rsidR="00C50EFF" w:rsidRPr="00C50C4B" w:rsidSect="00A27D9A">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C23" w:rsidRDefault="00773C23" w:rsidP="00124A51">
      <w:r>
        <w:separator/>
      </w:r>
    </w:p>
  </w:endnote>
  <w:endnote w:type="continuationSeparator" w:id="0">
    <w:p w:rsidR="00773C23" w:rsidRDefault="00773C2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23" w:rsidRDefault="00773C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E75" w:rsidRPr="00F90A91" w:rsidRDefault="004E1E75" w:rsidP="007A1E8A">
    <w:pPr>
      <w:pStyle w:val="Footer"/>
      <w:ind w:left="360"/>
      <w:jc w:val="center"/>
      <w:rPr>
        <w:rFonts w:ascii="Calibri" w:hAnsi="Calibri"/>
        <w:b/>
        <w:sz w:val="20"/>
      </w:rPr>
    </w:pPr>
    <w:r w:rsidRPr="00F90A91">
      <w:rPr>
        <w:rFonts w:ascii="Calibri" w:hAnsi="Calibri"/>
        <w:b/>
        <w:sz w:val="20"/>
      </w:rPr>
      <w:fldChar w:fldCharType="begin"/>
    </w:r>
    <w:r w:rsidRPr="00F90A91">
      <w:rPr>
        <w:rFonts w:ascii="Calibri" w:hAnsi="Calibri"/>
        <w:b/>
        <w:sz w:val="20"/>
      </w:rPr>
      <w:instrText xml:space="preserve"> PAGE   \* MERGEFORMAT </w:instrText>
    </w:r>
    <w:r w:rsidRPr="00F90A91">
      <w:rPr>
        <w:rFonts w:ascii="Calibri" w:hAnsi="Calibri"/>
        <w:b/>
        <w:sz w:val="20"/>
      </w:rPr>
      <w:fldChar w:fldCharType="separate"/>
    </w:r>
    <w:r w:rsidR="00394059">
      <w:rPr>
        <w:rFonts w:ascii="Calibri" w:hAnsi="Calibri"/>
        <w:b/>
        <w:noProof/>
        <w:sz w:val="20"/>
      </w:rPr>
      <w:t>26</w:t>
    </w:r>
    <w:r w:rsidRPr="00F90A91">
      <w:rPr>
        <w:rFonts w:ascii="Calibri" w:hAnsi="Calibri"/>
        <w:b/>
        <w:noProof/>
        <w:sz w:val="20"/>
      </w:rPr>
      <w:fldChar w:fldCharType="end"/>
    </w:r>
  </w:p>
  <w:p w:rsidR="004E1E75" w:rsidRPr="0080083A" w:rsidRDefault="004E1E75" w:rsidP="00A27D9A">
    <w:pPr>
      <w:pStyle w:val="Footer"/>
      <w:jc w:val="center"/>
      <w:rPr>
        <w:rFonts w:asciiTheme="minorHAnsi" w:hAnsiTheme="minorHAnsi"/>
        <w:b/>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23" w:rsidRDefault="00773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C23" w:rsidRDefault="00773C23" w:rsidP="00124A51">
      <w:r>
        <w:separator/>
      </w:r>
    </w:p>
  </w:footnote>
  <w:footnote w:type="continuationSeparator" w:id="0">
    <w:p w:rsidR="00773C23" w:rsidRDefault="00773C23"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23" w:rsidRDefault="00773C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E75" w:rsidRPr="00F90A91" w:rsidRDefault="004E1E75" w:rsidP="007A1E8A">
    <w:pPr>
      <w:pStyle w:val="Header"/>
      <w:ind w:left="360"/>
      <w:jc w:val="center"/>
      <w:rPr>
        <w:rFonts w:asciiTheme="minorHAnsi" w:hAnsiTheme="minorHAnsi"/>
        <w:i/>
        <w:color w:val="808080"/>
      </w:rPr>
    </w:pPr>
    <w:r>
      <w:rPr>
        <w:rFonts w:asciiTheme="minorHAnsi" w:hAnsiTheme="minorHAnsi"/>
        <w:i/>
        <w:color w:val="808080"/>
      </w:rPr>
      <w:t>Public Summary Document - November 2017</w:t>
    </w:r>
    <w:r w:rsidRPr="00F90A91">
      <w:rPr>
        <w:rFonts w:asciiTheme="minorHAnsi" w:hAnsiTheme="minorHAnsi"/>
        <w:i/>
        <w:color w:val="808080"/>
      </w:rPr>
      <w:t xml:space="preserve"> PBAC Meeting</w:t>
    </w:r>
  </w:p>
  <w:p w:rsidR="004E1E75" w:rsidRPr="00EC72F1" w:rsidRDefault="004E1E75" w:rsidP="00CF26E1">
    <w:pPr>
      <w:tabs>
        <w:tab w:val="left" w:pos="142"/>
        <w:tab w:val="right" w:pos="9027"/>
      </w:tabs>
      <w:jc w:val="right"/>
      <w:rPr>
        <w:rFonts w:asciiTheme="minorHAnsi" w:hAnsiTheme="minorHAnsi"/>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23" w:rsidRDefault="00773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241D2"/>
    <w:multiLevelType w:val="hybridMultilevel"/>
    <w:tmpl w:val="0F8A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C5C6E"/>
    <w:multiLevelType w:val="hybridMultilevel"/>
    <w:tmpl w:val="8146E5EA"/>
    <w:lvl w:ilvl="0" w:tplc="04090001">
      <w:start w:val="1"/>
      <w:numFmt w:val="bullet"/>
      <w:lvlText w:val=""/>
      <w:lvlJc w:val="left"/>
      <w:pPr>
        <w:ind w:left="720" w:hanging="360"/>
      </w:pPr>
      <w:rPr>
        <w:rFonts w:ascii="Symbol" w:hAnsi="Symbol" w:hint="default"/>
      </w:rPr>
    </w:lvl>
    <w:lvl w:ilvl="1" w:tplc="1AEC43D4">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15363C"/>
    <w:multiLevelType w:val="hybridMultilevel"/>
    <w:tmpl w:val="CF7414E2"/>
    <w:lvl w:ilvl="0" w:tplc="0C090019">
      <w:start w:val="1"/>
      <w:numFmt w:val="lowerLetter"/>
      <w:lvlText w:val="%1."/>
      <w:lvlJc w:val="left"/>
      <w:pPr>
        <w:tabs>
          <w:tab w:val="num" w:pos="720"/>
        </w:tabs>
        <w:ind w:left="720" w:hanging="360"/>
      </w:pPr>
      <w:rPr>
        <w:rFonts w:hint="default"/>
      </w:rPr>
    </w:lvl>
    <w:lvl w:ilvl="1" w:tplc="27E27400">
      <w:start w:val="1"/>
      <w:numFmt w:val="bullet"/>
      <w:lvlText w:val="–"/>
      <w:lvlJc w:val="left"/>
      <w:pPr>
        <w:tabs>
          <w:tab w:val="num" w:pos="1440"/>
        </w:tabs>
        <w:ind w:left="1440" w:hanging="360"/>
      </w:pPr>
      <w:rPr>
        <w:rFonts w:ascii="Arial" w:hAnsi="Arial" w:hint="default"/>
      </w:rPr>
    </w:lvl>
    <w:lvl w:ilvl="2" w:tplc="8E62DE4E">
      <w:start w:val="1"/>
      <w:numFmt w:val="lowerLetter"/>
      <w:lvlText w:val="%3."/>
      <w:lvlJc w:val="left"/>
      <w:pPr>
        <w:tabs>
          <w:tab w:val="num" w:pos="2160"/>
        </w:tabs>
        <w:ind w:left="2160" w:hanging="360"/>
      </w:pPr>
    </w:lvl>
    <w:lvl w:ilvl="3" w:tplc="EEF01538" w:tentative="1">
      <w:start w:val="1"/>
      <w:numFmt w:val="bullet"/>
      <w:lvlText w:val="–"/>
      <w:lvlJc w:val="left"/>
      <w:pPr>
        <w:tabs>
          <w:tab w:val="num" w:pos="2880"/>
        </w:tabs>
        <w:ind w:left="2880" w:hanging="360"/>
      </w:pPr>
      <w:rPr>
        <w:rFonts w:ascii="Arial" w:hAnsi="Arial" w:hint="default"/>
      </w:rPr>
    </w:lvl>
    <w:lvl w:ilvl="4" w:tplc="713EC456" w:tentative="1">
      <w:start w:val="1"/>
      <w:numFmt w:val="bullet"/>
      <w:lvlText w:val="–"/>
      <w:lvlJc w:val="left"/>
      <w:pPr>
        <w:tabs>
          <w:tab w:val="num" w:pos="3600"/>
        </w:tabs>
        <w:ind w:left="3600" w:hanging="360"/>
      </w:pPr>
      <w:rPr>
        <w:rFonts w:ascii="Arial" w:hAnsi="Arial" w:hint="default"/>
      </w:rPr>
    </w:lvl>
    <w:lvl w:ilvl="5" w:tplc="A7BC5EA8" w:tentative="1">
      <w:start w:val="1"/>
      <w:numFmt w:val="bullet"/>
      <w:lvlText w:val="–"/>
      <w:lvlJc w:val="left"/>
      <w:pPr>
        <w:tabs>
          <w:tab w:val="num" w:pos="4320"/>
        </w:tabs>
        <w:ind w:left="4320" w:hanging="360"/>
      </w:pPr>
      <w:rPr>
        <w:rFonts w:ascii="Arial" w:hAnsi="Arial" w:hint="default"/>
      </w:rPr>
    </w:lvl>
    <w:lvl w:ilvl="6" w:tplc="C420AF32" w:tentative="1">
      <w:start w:val="1"/>
      <w:numFmt w:val="bullet"/>
      <w:lvlText w:val="–"/>
      <w:lvlJc w:val="left"/>
      <w:pPr>
        <w:tabs>
          <w:tab w:val="num" w:pos="5040"/>
        </w:tabs>
        <w:ind w:left="5040" w:hanging="360"/>
      </w:pPr>
      <w:rPr>
        <w:rFonts w:ascii="Arial" w:hAnsi="Arial" w:hint="default"/>
      </w:rPr>
    </w:lvl>
    <w:lvl w:ilvl="7" w:tplc="B1DE3FC6" w:tentative="1">
      <w:start w:val="1"/>
      <w:numFmt w:val="bullet"/>
      <w:lvlText w:val="–"/>
      <w:lvlJc w:val="left"/>
      <w:pPr>
        <w:tabs>
          <w:tab w:val="num" w:pos="5760"/>
        </w:tabs>
        <w:ind w:left="5760" w:hanging="360"/>
      </w:pPr>
      <w:rPr>
        <w:rFonts w:ascii="Arial" w:hAnsi="Arial" w:hint="default"/>
      </w:rPr>
    </w:lvl>
    <w:lvl w:ilvl="8" w:tplc="0E6EE47E" w:tentative="1">
      <w:start w:val="1"/>
      <w:numFmt w:val="bullet"/>
      <w:lvlText w:val="–"/>
      <w:lvlJc w:val="left"/>
      <w:pPr>
        <w:tabs>
          <w:tab w:val="num" w:pos="6480"/>
        </w:tabs>
        <w:ind w:left="6480" w:hanging="360"/>
      </w:pPr>
      <w:rPr>
        <w:rFonts w:ascii="Arial" w:hAnsi="Arial"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E474578"/>
    <w:multiLevelType w:val="multilevel"/>
    <w:tmpl w:val="7070D890"/>
    <w:lvl w:ilvl="0">
      <w:start w:val="1"/>
      <w:numFmt w:val="decimal"/>
      <w:pStyle w:val="FigureA"/>
      <w:lvlText w:val="Figure A.%1"/>
      <w:lvlJc w:val="left"/>
      <w:pPr>
        <w:ind w:left="3762" w:hanging="360"/>
      </w:pPr>
      <w:rPr>
        <w:rFonts w:ascii="Arial Bold" w:hAnsi="Arial Bold" w:hint="default"/>
        <w:b/>
        <w:i w:val="0"/>
        <w:sz w:val="20"/>
      </w:rPr>
    </w:lvl>
    <w:lvl w:ilvl="1">
      <w:start w:val="1"/>
      <w:numFmt w:val="lowerLetter"/>
      <w:lvlText w:val="%2)"/>
      <w:lvlJc w:val="left"/>
      <w:pPr>
        <w:ind w:left="4122" w:hanging="360"/>
      </w:pPr>
      <w:rPr>
        <w:rFonts w:hint="default"/>
      </w:rPr>
    </w:lvl>
    <w:lvl w:ilvl="2">
      <w:start w:val="1"/>
      <w:numFmt w:val="lowerRoman"/>
      <w:lvlText w:val="%3)"/>
      <w:lvlJc w:val="left"/>
      <w:pPr>
        <w:ind w:left="4482" w:hanging="360"/>
      </w:pPr>
      <w:rPr>
        <w:rFonts w:hint="default"/>
      </w:rPr>
    </w:lvl>
    <w:lvl w:ilvl="3">
      <w:start w:val="1"/>
      <w:numFmt w:val="decimal"/>
      <w:lvlText w:val="(%4)"/>
      <w:lvlJc w:val="left"/>
      <w:pPr>
        <w:ind w:left="4842" w:hanging="360"/>
      </w:pPr>
      <w:rPr>
        <w:rFonts w:hint="default"/>
      </w:rPr>
    </w:lvl>
    <w:lvl w:ilvl="4">
      <w:start w:val="1"/>
      <w:numFmt w:val="lowerLetter"/>
      <w:lvlText w:val="(%5)"/>
      <w:lvlJc w:val="left"/>
      <w:pPr>
        <w:ind w:left="5202" w:hanging="360"/>
      </w:pPr>
      <w:rPr>
        <w:rFonts w:hint="default"/>
      </w:rPr>
    </w:lvl>
    <w:lvl w:ilvl="5">
      <w:start w:val="1"/>
      <w:numFmt w:val="lowerRoman"/>
      <w:lvlText w:val="(%6)"/>
      <w:lvlJc w:val="left"/>
      <w:pPr>
        <w:ind w:left="5562" w:hanging="360"/>
      </w:pPr>
      <w:rPr>
        <w:rFonts w:hint="default"/>
      </w:rPr>
    </w:lvl>
    <w:lvl w:ilvl="6">
      <w:start w:val="1"/>
      <w:numFmt w:val="decimal"/>
      <w:lvlText w:val="%7."/>
      <w:lvlJc w:val="left"/>
      <w:pPr>
        <w:ind w:left="5922" w:hanging="360"/>
      </w:pPr>
      <w:rPr>
        <w:rFonts w:hint="default"/>
      </w:rPr>
    </w:lvl>
    <w:lvl w:ilvl="7">
      <w:start w:val="1"/>
      <w:numFmt w:val="lowerLetter"/>
      <w:lvlText w:val="%8."/>
      <w:lvlJc w:val="left"/>
      <w:pPr>
        <w:ind w:left="6282" w:hanging="360"/>
      </w:pPr>
      <w:rPr>
        <w:rFonts w:hint="default"/>
      </w:rPr>
    </w:lvl>
    <w:lvl w:ilvl="8">
      <w:start w:val="1"/>
      <w:numFmt w:val="lowerRoman"/>
      <w:lvlText w:val="%9."/>
      <w:lvlJc w:val="left"/>
      <w:pPr>
        <w:ind w:left="6642" w:hanging="360"/>
      </w:pPr>
      <w:rPr>
        <w:rFonts w:hint="default"/>
      </w:rPr>
    </w:lvl>
  </w:abstractNum>
  <w:abstractNum w:abstractNumId="7">
    <w:nsid w:val="23291781"/>
    <w:multiLevelType w:val="hybridMultilevel"/>
    <w:tmpl w:val="9FAC1CE4"/>
    <w:lvl w:ilvl="0" w:tplc="9D204334">
      <w:start w:val="1"/>
      <w:numFmt w:val="bullet"/>
      <w:pStyle w:val="Bullet1"/>
      <w:lvlText w:val=""/>
      <w:lvlJc w:val="left"/>
      <w:pPr>
        <w:tabs>
          <w:tab w:val="num" w:pos="360"/>
        </w:tabs>
        <w:ind w:left="360" w:hanging="360"/>
      </w:pPr>
      <w:rPr>
        <w:rFonts w:ascii="Symbol" w:hAnsi="Symbol" w:hint="default"/>
      </w:rPr>
    </w:lvl>
    <w:lvl w:ilvl="1" w:tplc="97062CE2">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5A371E"/>
    <w:multiLevelType w:val="hybridMultilevel"/>
    <w:tmpl w:val="FA0C4ADC"/>
    <w:lvl w:ilvl="0" w:tplc="8156535A">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BF1AE7DE">
      <w:start w:val="1"/>
      <w:numFmt w:val="bullet"/>
      <w:lvlText w:val="-"/>
      <w:lvlJc w:val="left"/>
      <w:pPr>
        <w:ind w:left="2880" w:hanging="360"/>
      </w:pPr>
      <w:rPr>
        <w:rFonts w:ascii="Arial" w:eastAsia="Times New Roman"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D5659F4"/>
    <w:multiLevelType w:val="hybridMultilevel"/>
    <w:tmpl w:val="7C6A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4F04E8"/>
    <w:multiLevelType w:val="hybridMultilevel"/>
    <w:tmpl w:val="F086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5C0F82"/>
    <w:multiLevelType w:val="hybridMultilevel"/>
    <w:tmpl w:val="22A4373A"/>
    <w:lvl w:ilvl="0" w:tplc="858E099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7F81678"/>
    <w:multiLevelType w:val="hybridMultilevel"/>
    <w:tmpl w:val="758A9D48"/>
    <w:lvl w:ilvl="0" w:tplc="7D4E860C">
      <w:start w:val="1"/>
      <w:numFmt w:val="bullet"/>
      <w:lvlText w:val="–"/>
      <w:lvlJc w:val="left"/>
      <w:pPr>
        <w:tabs>
          <w:tab w:val="num" w:pos="720"/>
        </w:tabs>
        <w:ind w:left="720" w:hanging="360"/>
      </w:pPr>
      <w:rPr>
        <w:rFonts w:ascii="Arial" w:hAnsi="Arial" w:hint="default"/>
      </w:rPr>
    </w:lvl>
    <w:lvl w:ilvl="1" w:tplc="02EC8B40">
      <w:start w:val="1"/>
      <w:numFmt w:val="bullet"/>
      <w:lvlText w:val="–"/>
      <w:lvlJc w:val="left"/>
      <w:pPr>
        <w:tabs>
          <w:tab w:val="num" w:pos="1440"/>
        </w:tabs>
        <w:ind w:left="1440" w:hanging="360"/>
      </w:pPr>
      <w:rPr>
        <w:rFonts w:ascii="Arial" w:hAnsi="Arial" w:hint="default"/>
      </w:rPr>
    </w:lvl>
    <w:lvl w:ilvl="2" w:tplc="84064E84" w:tentative="1">
      <w:start w:val="1"/>
      <w:numFmt w:val="bullet"/>
      <w:lvlText w:val="–"/>
      <w:lvlJc w:val="left"/>
      <w:pPr>
        <w:tabs>
          <w:tab w:val="num" w:pos="2160"/>
        </w:tabs>
        <w:ind w:left="2160" w:hanging="360"/>
      </w:pPr>
      <w:rPr>
        <w:rFonts w:ascii="Arial" w:hAnsi="Arial" w:hint="default"/>
      </w:rPr>
    </w:lvl>
    <w:lvl w:ilvl="3" w:tplc="9C2A6D92" w:tentative="1">
      <w:start w:val="1"/>
      <w:numFmt w:val="bullet"/>
      <w:lvlText w:val="–"/>
      <w:lvlJc w:val="left"/>
      <w:pPr>
        <w:tabs>
          <w:tab w:val="num" w:pos="2880"/>
        </w:tabs>
        <w:ind w:left="2880" w:hanging="360"/>
      </w:pPr>
      <w:rPr>
        <w:rFonts w:ascii="Arial" w:hAnsi="Arial" w:hint="default"/>
      </w:rPr>
    </w:lvl>
    <w:lvl w:ilvl="4" w:tplc="D51418E4" w:tentative="1">
      <w:start w:val="1"/>
      <w:numFmt w:val="bullet"/>
      <w:lvlText w:val="–"/>
      <w:lvlJc w:val="left"/>
      <w:pPr>
        <w:tabs>
          <w:tab w:val="num" w:pos="3600"/>
        </w:tabs>
        <w:ind w:left="3600" w:hanging="360"/>
      </w:pPr>
      <w:rPr>
        <w:rFonts w:ascii="Arial" w:hAnsi="Arial" w:hint="default"/>
      </w:rPr>
    </w:lvl>
    <w:lvl w:ilvl="5" w:tplc="26086FBA" w:tentative="1">
      <w:start w:val="1"/>
      <w:numFmt w:val="bullet"/>
      <w:lvlText w:val="–"/>
      <w:lvlJc w:val="left"/>
      <w:pPr>
        <w:tabs>
          <w:tab w:val="num" w:pos="4320"/>
        </w:tabs>
        <w:ind w:left="4320" w:hanging="360"/>
      </w:pPr>
      <w:rPr>
        <w:rFonts w:ascii="Arial" w:hAnsi="Arial" w:hint="default"/>
      </w:rPr>
    </w:lvl>
    <w:lvl w:ilvl="6" w:tplc="9624783A" w:tentative="1">
      <w:start w:val="1"/>
      <w:numFmt w:val="bullet"/>
      <w:lvlText w:val="–"/>
      <w:lvlJc w:val="left"/>
      <w:pPr>
        <w:tabs>
          <w:tab w:val="num" w:pos="5040"/>
        </w:tabs>
        <w:ind w:left="5040" w:hanging="360"/>
      </w:pPr>
      <w:rPr>
        <w:rFonts w:ascii="Arial" w:hAnsi="Arial" w:hint="default"/>
      </w:rPr>
    </w:lvl>
    <w:lvl w:ilvl="7" w:tplc="B37C26B0" w:tentative="1">
      <w:start w:val="1"/>
      <w:numFmt w:val="bullet"/>
      <w:lvlText w:val="–"/>
      <w:lvlJc w:val="left"/>
      <w:pPr>
        <w:tabs>
          <w:tab w:val="num" w:pos="5760"/>
        </w:tabs>
        <w:ind w:left="5760" w:hanging="360"/>
      </w:pPr>
      <w:rPr>
        <w:rFonts w:ascii="Arial" w:hAnsi="Arial" w:hint="default"/>
      </w:rPr>
    </w:lvl>
    <w:lvl w:ilvl="8" w:tplc="9976DCFC" w:tentative="1">
      <w:start w:val="1"/>
      <w:numFmt w:val="bullet"/>
      <w:lvlText w:val="–"/>
      <w:lvlJc w:val="left"/>
      <w:pPr>
        <w:tabs>
          <w:tab w:val="num" w:pos="6480"/>
        </w:tabs>
        <w:ind w:left="6480" w:hanging="360"/>
      </w:pPr>
      <w:rPr>
        <w:rFonts w:ascii="Arial" w:hAnsi="Arial" w:hint="default"/>
      </w:rPr>
    </w:lvl>
  </w:abstractNum>
  <w:abstractNum w:abstractNumId="15">
    <w:nsid w:val="5EAC310F"/>
    <w:multiLevelType w:val="multilevel"/>
    <w:tmpl w:val="CE20607C"/>
    <w:lvl w:ilvl="0">
      <w:start w:val="1"/>
      <w:numFmt w:val="decimal"/>
      <w:pStyle w:val="TableTitleB"/>
      <w:lvlText w:val="Table Bii.%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1F711C8"/>
    <w:multiLevelType w:val="multilevel"/>
    <w:tmpl w:val="9288F6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7091381F"/>
    <w:multiLevelType w:val="hybridMultilevel"/>
    <w:tmpl w:val="75B6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4D033C"/>
    <w:multiLevelType w:val="multilevel"/>
    <w:tmpl w:val="EDC8A1B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EC8181D"/>
    <w:multiLevelType w:val="hybridMultilevel"/>
    <w:tmpl w:val="68C26DE2"/>
    <w:lvl w:ilvl="0" w:tplc="10D05308">
      <w:start w:val="1"/>
      <w:numFmt w:val="bullet"/>
      <w:lvlText w:val="–"/>
      <w:lvlJc w:val="left"/>
      <w:pPr>
        <w:tabs>
          <w:tab w:val="num" w:pos="720"/>
        </w:tabs>
        <w:ind w:left="720" w:hanging="360"/>
      </w:pPr>
      <w:rPr>
        <w:rFonts w:ascii="Arial" w:hAnsi="Arial" w:hint="default"/>
      </w:rPr>
    </w:lvl>
    <w:lvl w:ilvl="1" w:tplc="E9E8FE76">
      <w:start w:val="1"/>
      <w:numFmt w:val="bullet"/>
      <w:lvlText w:val="–"/>
      <w:lvlJc w:val="left"/>
      <w:pPr>
        <w:tabs>
          <w:tab w:val="num" w:pos="1440"/>
        </w:tabs>
        <w:ind w:left="1440" w:hanging="360"/>
      </w:pPr>
      <w:rPr>
        <w:rFonts w:ascii="Arial" w:hAnsi="Arial" w:hint="default"/>
      </w:rPr>
    </w:lvl>
    <w:lvl w:ilvl="2" w:tplc="C03E8EA0">
      <w:start w:val="563"/>
      <w:numFmt w:val="bullet"/>
      <w:lvlText w:val="•"/>
      <w:lvlJc w:val="left"/>
      <w:pPr>
        <w:tabs>
          <w:tab w:val="num" w:pos="2160"/>
        </w:tabs>
        <w:ind w:left="2160" w:hanging="360"/>
      </w:pPr>
      <w:rPr>
        <w:rFonts w:ascii="Arial" w:hAnsi="Arial" w:hint="default"/>
      </w:rPr>
    </w:lvl>
    <w:lvl w:ilvl="3" w:tplc="3A867C30" w:tentative="1">
      <w:start w:val="1"/>
      <w:numFmt w:val="bullet"/>
      <w:lvlText w:val="–"/>
      <w:lvlJc w:val="left"/>
      <w:pPr>
        <w:tabs>
          <w:tab w:val="num" w:pos="2880"/>
        </w:tabs>
        <w:ind w:left="2880" w:hanging="360"/>
      </w:pPr>
      <w:rPr>
        <w:rFonts w:ascii="Arial" w:hAnsi="Arial" w:hint="default"/>
      </w:rPr>
    </w:lvl>
    <w:lvl w:ilvl="4" w:tplc="C9126F1A" w:tentative="1">
      <w:start w:val="1"/>
      <w:numFmt w:val="bullet"/>
      <w:lvlText w:val="–"/>
      <w:lvlJc w:val="left"/>
      <w:pPr>
        <w:tabs>
          <w:tab w:val="num" w:pos="3600"/>
        </w:tabs>
        <w:ind w:left="3600" w:hanging="360"/>
      </w:pPr>
      <w:rPr>
        <w:rFonts w:ascii="Arial" w:hAnsi="Arial" w:hint="default"/>
      </w:rPr>
    </w:lvl>
    <w:lvl w:ilvl="5" w:tplc="9EC8F932" w:tentative="1">
      <w:start w:val="1"/>
      <w:numFmt w:val="bullet"/>
      <w:lvlText w:val="–"/>
      <w:lvlJc w:val="left"/>
      <w:pPr>
        <w:tabs>
          <w:tab w:val="num" w:pos="4320"/>
        </w:tabs>
        <w:ind w:left="4320" w:hanging="360"/>
      </w:pPr>
      <w:rPr>
        <w:rFonts w:ascii="Arial" w:hAnsi="Arial" w:hint="default"/>
      </w:rPr>
    </w:lvl>
    <w:lvl w:ilvl="6" w:tplc="BD94506E" w:tentative="1">
      <w:start w:val="1"/>
      <w:numFmt w:val="bullet"/>
      <w:lvlText w:val="–"/>
      <w:lvlJc w:val="left"/>
      <w:pPr>
        <w:tabs>
          <w:tab w:val="num" w:pos="5040"/>
        </w:tabs>
        <w:ind w:left="5040" w:hanging="360"/>
      </w:pPr>
      <w:rPr>
        <w:rFonts w:ascii="Arial" w:hAnsi="Arial" w:hint="default"/>
      </w:rPr>
    </w:lvl>
    <w:lvl w:ilvl="7" w:tplc="E280DC9E" w:tentative="1">
      <w:start w:val="1"/>
      <w:numFmt w:val="bullet"/>
      <w:lvlText w:val="–"/>
      <w:lvlJc w:val="left"/>
      <w:pPr>
        <w:tabs>
          <w:tab w:val="num" w:pos="5760"/>
        </w:tabs>
        <w:ind w:left="5760" w:hanging="360"/>
      </w:pPr>
      <w:rPr>
        <w:rFonts w:ascii="Arial" w:hAnsi="Arial" w:hint="default"/>
      </w:rPr>
    </w:lvl>
    <w:lvl w:ilvl="8" w:tplc="45AA0054" w:tentative="1">
      <w:start w:val="1"/>
      <w:numFmt w:val="bullet"/>
      <w:lvlText w:val="–"/>
      <w:lvlJc w:val="left"/>
      <w:pPr>
        <w:tabs>
          <w:tab w:val="num" w:pos="6480"/>
        </w:tabs>
        <w:ind w:left="6480" w:hanging="360"/>
      </w:pPr>
      <w:rPr>
        <w:rFonts w:ascii="Arial" w:hAnsi="Arial" w:hint="default"/>
      </w:rPr>
    </w:lvl>
  </w:abstractNum>
  <w:abstractNum w:abstractNumId="20">
    <w:nsid w:val="7F7B629A"/>
    <w:multiLevelType w:val="hybridMultilevel"/>
    <w:tmpl w:val="118A4C30"/>
    <w:lvl w:ilvl="0" w:tplc="38405A64">
      <w:start w:val="1"/>
      <w:numFmt w:val="bullet"/>
      <w:lvlText w:val="–"/>
      <w:lvlJc w:val="left"/>
      <w:pPr>
        <w:tabs>
          <w:tab w:val="num" w:pos="720"/>
        </w:tabs>
        <w:ind w:left="720" w:hanging="360"/>
      </w:pPr>
      <w:rPr>
        <w:rFonts w:ascii="Arial" w:hAnsi="Arial" w:hint="default"/>
      </w:rPr>
    </w:lvl>
    <w:lvl w:ilvl="1" w:tplc="27E27400">
      <w:start w:val="1"/>
      <w:numFmt w:val="bullet"/>
      <w:lvlText w:val="–"/>
      <w:lvlJc w:val="left"/>
      <w:pPr>
        <w:tabs>
          <w:tab w:val="num" w:pos="1440"/>
        </w:tabs>
        <w:ind w:left="1440" w:hanging="360"/>
      </w:pPr>
      <w:rPr>
        <w:rFonts w:ascii="Arial" w:hAnsi="Arial" w:hint="default"/>
      </w:rPr>
    </w:lvl>
    <w:lvl w:ilvl="2" w:tplc="8E62DE4E">
      <w:start w:val="1"/>
      <w:numFmt w:val="lowerLetter"/>
      <w:lvlText w:val="%3."/>
      <w:lvlJc w:val="left"/>
      <w:pPr>
        <w:tabs>
          <w:tab w:val="num" w:pos="2160"/>
        </w:tabs>
        <w:ind w:left="2160" w:hanging="360"/>
      </w:pPr>
    </w:lvl>
    <w:lvl w:ilvl="3" w:tplc="EEF01538" w:tentative="1">
      <w:start w:val="1"/>
      <w:numFmt w:val="bullet"/>
      <w:lvlText w:val="–"/>
      <w:lvlJc w:val="left"/>
      <w:pPr>
        <w:tabs>
          <w:tab w:val="num" w:pos="2880"/>
        </w:tabs>
        <w:ind w:left="2880" w:hanging="360"/>
      </w:pPr>
      <w:rPr>
        <w:rFonts w:ascii="Arial" w:hAnsi="Arial" w:hint="default"/>
      </w:rPr>
    </w:lvl>
    <w:lvl w:ilvl="4" w:tplc="713EC456" w:tentative="1">
      <w:start w:val="1"/>
      <w:numFmt w:val="bullet"/>
      <w:lvlText w:val="–"/>
      <w:lvlJc w:val="left"/>
      <w:pPr>
        <w:tabs>
          <w:tab w:val="num" w:pos="3600"/>
        </w:tabs>
        <w:ind w:left="3600" w:hanging="360"/>
      </w:pPr>
      <w:rPr>
        <w:rFonts w:ascii="Arial" w:hAnsi="Arial" w:hint="default"/>
      </w:rPr>
    </w:lvl>
    <w:lvl w:ilvl="5" w:tplc="A7BC5EA8" w:tentative="1">
      <w:start w:val="1"/>
      <w:numFmt w:val="bullet"/>
      <w:lvlText w:val="–"/>
      <w:lvlJc w:val="left"/>
      <w:pPr>
        <w:tabs>
          <w:tab w:val="num" w:pos="4320"/>
        </w:tabs>
        <w:ind w:left="4320" w:hanging="360"/>
      </w:pPr>
      <w:rPr>
        <w:rFonts w:ascii="Arial" w:hAnsi="Arial" w:hint="default"/>
      </w:rPr>
    </w:lvl>
    <w:lvl w:ilvl="6" w:tplc="C420AF32" w:tentative="1">
      <w:start w:val="1"/>
      <w:numFmt w:val="bullet"/>
      <w:lvlText w:val="–"/>
      <w:lvlJc w:val="left"/>
      <w:pPr>
        <w:tabs>
          <w:tab w:val="num" w:pos="5040"/>
        </w:tabs>
        <w:ind w:left="5040" w:hanging="360"/>
      </w:pPr>
      <w:rPr>
        <w:rFonts w:ascii="Arial" w:hAnsi="Arial" w:hint="default"/>
      </w:rPr>
    </w:lvl>
    <w:lvl w:ilvl="7" w:tplc="B1DE3FC6" w:tentative="1">
      <w:start w:val="1"/>
      <w:numFmt w:val="bullet"/>
      <w:lvlText w:val="–"/>
      <w:lvlJc w:val="left"/>
      <w:pPr>
        <w:tabs>
          <w:tab w:val="num" w:pos="5760"/>
        </w:tabs>
        <w:ind w:left="5760" w:hanging="360"/>
      </w:pPr>
      <w:rPr>
        <w:rFonts w:ascii="Arial" w:hAnsi="Arial" w:hint="default"/>
      </w:rPr>
    </w:lvl>
    <w:lvl w:ilvl="8" w:tplc="0E6EE47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8"/>
  </w:num>
  <w:num w:numId="3">
    <w:abstractNumId w:val="10"/>
  </w:num>
  <w:num w:numId="4">
    <w:abstractNumId w:val="15"/>
  </w:num>
  <w:num w:numId="5">
    <w:abstractNumId w:val="2"/>
  </w:num>
  <w:num w:numId="6">
    <w:abstractNumId w:val="7"/>
  </w:num>
  <w:num w:numId="7">
    <w:abstractNumId w:val="6"/>
  </w:num>
  <w:num w:numId="8">
    <w:abstractNumId w:val="9"/>
  </w:num>
  <w:num w:numId="9">
    <w:abstractNumId w:val="11"/>
  </w:num>
  <w:num w:numId="10">
    <w:abstractNumId w:val="12"/>
  </w:num>
  <w:num w:numId="11">
    <w:abstractNumId w:val="16"/>
  </w:num>
  <w:num w:numId="12">
    <w:abstractNumId w:val="17"/>
  </w:num>
  <w:num w:numId="13">
    <w:abstractNumId w:val="3"/>
  </w:num>
  <w:num w:numId="14">
    <w:abstractNumId w:val="13"/>
  </w:num>
  <w:num w:numId="15">
    <w:abstractNumId w:val="5"/>
  </w:num>
  <w:num w:numId="16">
    <w:abstractNumId w:val="0"/>
  </w:num>
  <w:num w:numId="17">
    <w:abstractNumId w:val="8"/>
  </w:num>
  <w:num w:numId="18">
    <w:abstractNumId w:val="20"/>
  </w:num>
  <w:num w:numId="19">
    <w:abstractNumId w:val="4"/>
  </w:num>
  <w:num w:numId="20">
    <w:abstractNumId w:val="14"/>
  </w:num>
  <w:num w:numId="21">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rimison">
    <w15:presenceInfo w15:providerId="Windows Live" w15:userId="3f62feba80998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5FC"/>
    <w:rsid w:val="00003499"/>
    <w:rsid w:val="00005064"/>
    <w:rsid w:val="00010905"/>
    <w:rsid w:val="0001293E"/>
    <w:rsid w:val="00013247"/>
    <w:rsid w:val="0001413E"/>
    <w:rsid w:val="000153A3"/>
    <w:rsid w:val="00015886"/>
    <w:rsid w:val="000162EF"/>
    <w:rsid w:val="00016B42"/>
    <w:rsid w:val="00017E7C"/>
    <w:rsid w:val="00020874"/>
    <w:rsid w:val="00020887"/>
    <w:rsid w:val="00021A18"/>
    <w:rsid w:val="00022157"/>
    <w:rsid w:val="0002225F"/>
    <w:rsid w:val="00023763"/>
    <w:rsid w:val="00025BFA"/>
    <w:rsid w:val="0002683D"/>
    <w:rsid w:val="00026D67"/>
    <w:rsid w:val="000278ED"/>
    <w:rsid w:val="00027C84"/>
    <w:rsid w:val="00031119"/>
    <w:rsid w:val="00033E2B"/>
    <w:rsid w:val="00035A13"/>
    <w:rsid w:val="000379D8"/>
    <w:rsid w:val="00037D52"/>
    <w:rsid w:val="00040895"/>
    <w:rsid w:val="000418DD"/>
    <w:rsid w:val="000422A9"/>
    <w:rsid w:val="00043C37"/>
    <w:rsid w:val="000442E0"/>
    <w:rsid w:val="00046ED5"/>
    <w:rsid w:val="00051A37"/>
    <w:rsid w:val="0005313F"/>
    <w:rsid w:val="00053FE8"/>
    <w:rsid w:val="00054621"/>
    <w:rsid w:val="000546D7"/>
    <w:rsid w:val="000612AA"/>
    <w:rsid w:val="00064F91"/>
    <w:rsid w:val="00071248"/>
    <w:rsid w:val="000720B9"/>
    <w:rsid w:val="00073022"/>
    <w:rsid w:val="000743DD"/>
    <w:rsid w:val="00074CA3"/>
    <w:rsid w:val="00075053"/>
    <w:rsid w:val="000754F5"/>
    <w:rsid w:val="000804F6"/>
    <w:rsid w:val="000812CA"/>
    <w:rsid w:val="0008140E"/>
    <w:rsid w:val="00081802"/>
    <w:rsid w:val="00083565"/>
    <w:rsid w:val="0008461E"/>
    <w:rsid w:val="00090C7E"/>
    <w:rsid w:val="00090F70"/>
    <w:rsid w:val="00092277"/>
    <w:rsid w:val="0009348F"/>
    <w:rsid w:val="00093584"/>
    <w:rsid w:val="00093BD2"/>
    <w:rsid w:val="00094662"/>
    <w:rsid w:val="00095E0F"/>
    <w:rsid w:val="00096B44"/>
    <w:rsid w:val="000A02C4"/>
    <w:rsid w:val="000A0E9D"/>
    <w:rsid w:val="000A4D50"/>
    <w:rsid w:val="000A603D"/>
    <w:rsid w:val="000A678B"/>
    <w:rsid w:val="000B0958"/>
    <w:rsid w:val="000B5383"/>
    <w:rsid w:val="000C1F5B"/>
    <w:rsid w:val="000C2E13"/>
    <w:rsid w:val="000C3E2B"/>
    <w:rsid w:val="000C419D"/>
    <w:rsid w:val="000D1A8C"/>
    <w:rsid w:val="000D1BFC"/>
    <w:rsid w:val="000D1E94"/>
    <w:rsid w:val="000D349C"/>
    <w:rsid w:val="000D65E6"/>
    <w:rsid w:val="000D73A3"/>
    <w:rsid w:val="000E054A"/>
    <w:rsid w:val="000E2651"/>
    <w:rsid w:val="000E2705"/>
    <w:rsid w:val="000E6A3F"/>
    <w:rsid w:val="000F4BB8"/>
    <w:rsid w:val="000F7127"/>
    <w:rsid w:val="00100F8A"/>
    <w:rsid w:val="00103B92"/>
    <w:rsid w:val="0011032E"/>
    <w:rsid w:val="00111441"/>
    <w:rsid w:val="00111FBA"/>
    <w:rsid w:val="0011292C"/>
    <w:rsid w:val="0011348B"/>
    <w:rsid w:val="00113D1E"/>
    <w:rsid w:val="001146AC"/>
    <w:rsid w:val="00115417"/>
    <w:rsid w:val="00116519"/>
    <w:rsid w:val="00121799"/>
    <w:rsid w:val="001222FC"/>
    <w:rsid w:val="00124A51"/>
    <w:rsid w:val="00126621"/>
    <w:rsid w:val="001301E9"/>
    <w:rsid w:val="001310C6"/>
    <w:rsid w:val="00135C17"/>
    <w:rsid w:val="001370CD"/>
    <w:rsid w:val="0013718B"/>
    <w:rsid w:val="00137645"/>
    <w:rsid w:val="0014015A"/>
    <w:rsid w:val="00140E99"/>
    <w:rsid w:val="00142EDF"/>
    <w:rsid w:val="00144BEC"/>
    <w:rsid w:val="00145540"/>
    <w:rsid w:val="001456B0"/>
    <w:rsid w:val="00145C18"/>
    <w:rsid w:val="00150A86"/>
    <w:rsid w:val="001524F4"/>
    <w:rsid w:val="00155E45"/>
    <w:rsid w:val="00156AFB"/>
    <w:rsid w:val="00157130"/>
    <w:rsid w:val="00160036"/>
    <w:rsid w:val="00162913"/>
    <w:rsid w:val="001635DC"/>
    <w:rsid w:val="00163CD3"/>
    <w:rsid w:val="00163EFF"/>
    <w:rsid w:val="00165463"/>
    <w:rsid w:val="001661FB"/>
    <w:rsid w:val="001662D9"/>
    <w:rsid w:val="00167623"/>
    <w:rsid w:val="00170B6F"/>
    <w:rsid w:val="00172B78"/>
    <w:rsid w:val="001735A9"/>
    <w:rsid w:val="00173B2C"/>
    <w:rsid w:val="001761D8"/>
    <w:rsid w:val="00177218"/>
    <w:rsid w:val="0017757F"/>
    <w:rsid w:val="0018225D"/>
    <w:rsid w:val="00182BF6"/>
    <w:rsid w:val="00184469"/>
    <w:rsid w:val="00186DE7"/>
    <w:rsid w:val="0018752F"/>
    <w:rsid w:val="0018795C"/>
    <w:rsid w:val="00191FEB"/>
    <w:rsid w:val="00192356"/>
    <w:rsid w:val="001934E3"/>
    <w:rsid w:val="00195222"/>
    <w:rsid w:val="001975D8"/>
    <w:rsid w:val="0019774E"/>
    <w:rsid w:val="001A3D94"/>
    <w:rsid w:val="001B0089"/>
    <w:rsid w:val="001B3443"/>
    <w:rsid w:val="001B3570"/>
    <w:rsid w:val="001B64AD"/>
    <w:rsid w:val="001B690E"/>
    <w:rsid w:val="001B7471"/>
    <w:rsid w:val="001C20B9"/>
    <w:rsid w:val="001C6E66"/>
    <w:rsid w:val="001D0800"/>
    <w:rsid w:val="001D0A63"/>
    <w:rsid w:val="001D2D51"/>
    <w:rsid w:val="001D485B"/>
    <w:rsid w:val="001D5E30"/>
    <w:rsid w:val="001D6FEC"/>
    <w:rsid w:val="001D756A"/>
    <w:rsid w:val="001E1992"/>
    <w:rsid w:val="001E1CA6"/>
    <w:rsid w:val="001E238E"/>
    <w:rsid w:val="001E2B1E"/>
    <w:rsid w:val="001E52EB"/>
    <w:rsid w:val="001E614D"/>
    <w:rsid w:val="001E740C"/>
    <w:rsid w:val="001F01F9"/>
    <w:rsid w:val="001F1235"/>
    <w:rsid w:val="001F1CB3"/>
    <w:rsid w:val="001F316B"/>
    <w:rsid w:val="001F3E41"/>
    <w:rsid w:val="001F4992"/>
    <w:rsid w:val="001F6220"/>
    <w:rsid w:val="001F6F90"/>
    <w:rsid w:val="001F7361"/>
    <w:rsid w:val="001F773A"/>
    <w:rsid w:val="0020385F"/>
    <w:rsid w:val="0020521E"/>
    <w:rsid w:val="00205A06"/>
    <w:rsid w:val="00207021"/>
    <w:rsid w:val="00207D00"/>
    <w:rsid w:val="00207E7E"/>
    <w:rsid w:val="002105C1"/>
    <w:rsid w:val="002118F7"/>
    <w:rsid w:val="00211F3B"/>
    <w:rsid w:val="0021271B"/>
    <w:rsid w:val="00212DB4"/>
    <w:rsid w:val="0021346E"/>
    <w:rsid w:val="00216C61"/>
    <w:rsid w:val="0021776F"/>
    <w:rsid w:val="0022157A"/>
    <w:rsid w:val="00221AD2"/>
    <w:rsid w:val="00222C89"/>
    <w:rsid w:val="00222CA1"/>
    <w:rsid w:val="0022383C"/>
    <w:rsid w:val="00223B49"/>
    <w:rsid w:val="00224DD4"/>
    <w:rsid w:val="00230371"/>
    <w:rsid w:val="002309CC"/>
    <w:rsid w:val="00230A51"/>
    <w:rsid w:val="00232CB0"/>
    <w:rsid w:val="00236F5E"/>
    <w:rsid w:val="00237255"/>
    <w:rsid w:val="00241B86"/>
    <w:rsid w:val="0024357E"/>
    <w:rsid w:val="002439ED"/>
    <w:rsid w:val="00243F89"/>
    <w:rsid w:val="00244FBA"/>
    <w:rsid w:val="002459FD"/>
    <w:rsid w:val="00245C5F"/>
    <w:rsid w:val="0025252D"/>
    <w:rsid w:val="00254161"/>
    <w:rsid w:val="00254940"/>
    <w:rsid w:val="00254DCF"/>
    <w:rsid w:val="0025534B"/>
    <w:rsid w:val="00255BB7"/>
    <w:rsid w:val="0026090B"/>
    <w:rsid w:val="002619C2"/>
    <w:rsid w:val="00262A87"/>
    <w:rsid w:val="002649E1"/>
    <w:rsid w:val="00266216"/>
    <w:rsid w:val="002711F6"/>
    <w:rsid w:val="00272F53"/>
    <w:rsid w:val="002731BA"/>
    <w:rsid w:val="002735A0"/>
    <w:rsid w:val="00275C5A"/>
    <w:rsid w:val="00275E72"/>
    <w:rsid w:val="00281014"/>
    <w:rsid w:val="00281E91"/>
    <w:rsid w:val="00282806"/>
    <w:rsid w:val="00282D35"/>
    <w:rsid w:val="00286E9E"/>
    <w:rsid w:val="002905E1"/>
    <w:rsid w:val="00290AC2"/>
    <w:rsid w:val="00290C12"/>
    <w:rsid w:val="002917C7"/>
    <w:rsid w:val="00292A19"/>
    <w:rsid w:val="002947E2"/>
    <w:rsid w:val="00296733"/>
    <w:rsid w:val="002A14AB"/>
    <w:rsid w:val="002A1A84"/>
    <w:rsid w:val="002A2907"/>
    <w:rsid w:val="002A4026"/>
    <w:rsid w:val="002A42D8"/>
    <w:rsid w:val="002A4876"/>
    <w:rsid w:val="002A5099"/>
    <w:rsid w:val="002A6FE6"/>
    <w:rsid w:val="002A7951"/>
    <w:rsid w:val="002B1C1F"/>
    <w:rsid w:val="002B2FD9"/>
    <w:rsid w:val="002B432F"/>
    <w:rsid w:val="002B5F7E"/>
    <w:rsid w:val="002B6CCE"/>
    <w:rsid w:val="002B6D2A"/>
    <w:rsid w:val="002B75CA"/>
    <w:rsid w:val="002B7F05"/>
    <w:rsid w:val="002C0962"/>
    <w:rsid w:val="002C1787"/>
    <w:rsid w:val="002C217B"/>
    <w:rsid w:val="002C2775"/>
    <w:rsid w:val="002C27C1"/>
    <w:rsid w:val="002C37AB"/>
    <w:rsid w:val="002D1F33"/>
    <w:rsid w:val="002D241F"/>
    <w:rsid w:val="002D276B"/>
    <w:rsid w:val="002D2C80"/>
    <w:rsid w:val="002D3FCA"/>
    <w:rsid w:val="002D4285"/>
    <w:rsid w:val="002D6152"/>
    <w:rsid w:val="002D66B9"/>
    <w:rsid w:val="002D6B0E"/>
    <w:rsid w:val="002D7717"/>
    <w:rsid w:val="002D7DD6"/>
    <w:rsid w:val="002E3A6D"/>
    <w:rsid w:val="002E49C1"/>
    <w:rsid w:val="002E57F2"/>
    <w:rsid w:val="002E604D"/>
    <w:rsid w:val="002E774E"/>
    <w:rsid w:val="002E7ACF"/>
    <w:rsid w:val="002F0453"/>
    <w:rsid w:val="002F0A44"/>
    <w:rsid w:val="002F1E5C"/>
    <w:rsid w:val="002F27CE"/>
    <w:rsid w:val="002F2CB4"/>
    <w:rsid w:val="002F48E2"/>
    <w:rsid w:val="002F581A"/>
    <w:rsid w:val="002F6326"/>
    <w:rsid w:val="003000F6"/>
    <w:rsid w:val="00300EF4"/>
    <w:rsid w:val="00301017"/>
    <w:rsid w:val="00301656"/>
    <w:rsid w:val="00304A82"/>
    <w:rsid w:val="003051FB"/>
    <w:rsid w:val="0030786C"/>
    <w:rsid w:val="00307D55"/>
    <w:rsid w:val="0031031A"/>
    <w:rsid w:val="003106E1"/>
    <w:rsid w:val="00310981"/>
    <w:rsid w:val="00312B51"/>
    <w:rsid w:val="00312E7D"/>
    <w:rsid w:val="003140B0"/>
    <w:rsid w:val="00314C8A"/>
    <w:rsid w:val="00315498"/>
    <w:rsid w:val="0031593C"/>
    <w:rsid w:val="003233DA"/>
    <w:rsid w:val="00323CFB"/>
    <w:rsid w:val="0032441D"/>
    <w:rsid w:val="00325539"/>
    <w:rsid w:val="003263EF"/>
    <w:rsid w:val="00326A96"/>
    <w:rsid w:val="00331604"/>
    <w:rsid w:val="00331EDD"/>
    <w:rsid w:val="00335E85"/>
    <w:rsid w:val="003366C9"/>
    <w:rsid w:val="00336AFF"/>
    <w:rsid w:val="003371B0"/>
    <w:rsid w:val="00337BBD"/>
    <w:rsid w:val="00340A48"/>
    <w:rsid w:val="00341657"/>
    <w:rsid w:val="00347E7A"/>
    <w:rsid w:val="00347EDE"/>
    <w:rsid w:val="00353A42"/>
    <w:rsid w:val="0035620E"/>
    <w:rsid w:val="00356212"/>
    <w:rsid w:val="00357293"/>
    <w:rsid w:val="003616E9"/>
    <w:rsid w:val="00361C7F"/>
    <w:rsid w:val="003623AA"/>
    <w:rsid w:val="00363548"/>
    <w:rsid w:val="0036376A"/>
    <w:rsid w:val="00363AD8"/>
    <w:rsid w:val="003642BC"/>
    <w:rsid w:val="00365029"/>
    <w:rsid w:val="003668A2"/>
    <w:rsid w:val="0037247E"/>
    <w:rsid w:val="00377FB3"/>
    <w:rsid w:val="00381128"/>
    <w:rsid w:val="00381FF2"/>
    <w:rsid w:val="0038302D"/>
    <w:rsid w:val="0038365C"/>
    <w:rsid w:val="00384C0A"/>
    <w:rsid w:val="003860CB"/>
    <w:rsid w:val="00386759"/>
    <w:rsid w:val="00387FB0"/>
    <w:rsid w:val="00392135"/>
    <w:rsid w:val="00392630"/>
    <w:rsid w:val="003939FE"/>
    <w:rsid w:val="00394059"/>
    <w:rsid w:val="00394AE4"/>
    <w:rsid w:val="00395CDB"/>
    <w:rsid w:val="00396C01"/>
    <w:rsid w:val="00396FD0"/>
    <w:rsid w:val="003A19A9"/>
    <w:rsid w:val="003A1A7A"/>
    <w:rsid w:val="003A1E44"/>
    <w:rsid w:val="003A3479"/>
    <w:rsid w:val="003A35D5"/>
    <w:rsid w:val="003A3884"/>
    <w:rsid w:val="003A4E9D"/>
    <w:rsid w:val="003A4F8C"/>
    <w:rsid w:val="003A51F9"/>
    <w:rsid w:val="003A5BA7"/>
    <w:rsid w:val="003A6C33"/>
    <w:rsid w:val="003B056F"/>
    <w:rsid w:val="003B09A4"/>
    <w:rsid w:val="003B15FD"/>
    <w:rsid w:val="003B29EC"/>
    <w:rsid w:val="003B3EF1"/>
    <w:rsid w:val="003B6030"/>
    <w:rsid w:val="003C0127"/>
    <w:rsid w:val="003C0246"/>
    <w:rsid w:val="003C07B9"/>
    <w:rsid w:val="003C3964"/>
    <w:rsid w:val="003C6328"/>
    <w:rsid w:val="003D0497"/>
    <w:rsid w:val="003D11E5"/>
    <w:rsid w:val="003D1345"/>
    <w:rsid w:val="003D1763"/>
    <w:rsid w:val="003D1828"/>
    <w:rsid w:val="003D2422"/>
    <w:rsid w:val="003D272D"/>
    <w:rsid w:val="003D2EB5"/>
    <w:rsid w:val="003D3245"/>
    <w:rsid w:val="003E0773"/>
    <w:rsid w:val="003E0B2F"/>
    <w:rsid w:val="003E0B7C"/>
    <w:rsid w:val="003E185A"/>
    <w:rsid w:val="003E26AE"/>
    <w:rsid w:val="003F076F"/>
    <w:rsid w:val="003F2312"/>
    <w:rsid w:val="003F4156"/>
    <w:rsid w:val="003F685D"/>
    <w:rsid w:val="003F6961"/>
    <w:rsid w:val="0040314D"/>
    <w:rsid w:val="0040386D"/>
    <w:rsid w:val="00403B2B"/>
    <w:rsid w:val="0040735C"/>
    <w:rsid w:val="00410708"/>
    <w:rsid w:val="00410E6F"/>
    <w:rsid w:val="00410EC7"/>
    <w:rsid w:val="00411408"/>
    <w:rsid w:val="00412F9F"/>
    <w:rsid w:val="004136E6"/>
    <w:rsid w:val="00414476"/>
    <w:rsid w:val="00416134"/>
    <w:rsid w:val="00420B9F"/>
    <w:rsid w:val="00421ECC"/>
    <w:rsid w:val="00425040"/>
    <w:rsid w:val="00425D4A"/>
    <w:rsid w:val="00426F0A"/>
    <w:rsid w:val="004273D2"/>
    <w:rsid w:val="004319F8"/>
    <w:rsid w:val="00433044"/>
    <w:rsid w:val="00433327"/>
    <w:rsid w:val="004337EE"/>
    <w:rsid w:val="00435774"/>
    <w:rsid w:val="00436361"/>
    <w:rsid w:val="004415FB"/>
    <w:rsid w:val="00442FB6"/>
    <w:rsid w:val="004443A7"/>
    <w:rsid w:val="00445AED"/>
    <w:rsid w:val="00445FF1"/>
    <w:rsid w:val="004464EB"/>
    <w:rsid w:val="00446836"/>
    <w:rsid w:val="0045037F"/>
    <w:rsid w:val="00450838"/>
    <w:rsid w:val="004517AA"/>
    <w:rsid w:val="0045269B"/>
    <w:rsid w:val="00455D45"/>
    <w:rsid w:val="004601BA"/>
    <w:rsid w:val="00462397"/>
    <w:rsid w:val="00464595"/>
    <w:rsid w:val="00471025"/>
    <w:rsid w:val="004754FB"/>
    <w:rsid w:val="00477AE0"/>
    <w:rsid w:val="00484CD3"/>
    <w:rsid w:val="004867E2"/>
    <w:rsid w:val="004867F6"/>
    <w:rsid w:val="00490C33"/>
    <w:rsid w:val="00491B3A"/>
    <w:rsid w:val="00491E56"/>
    <w:rsid w:val="00492CFD"/>
    <w:rsid w:val="0049419D"/>
    <w:rsid w:val="004962D2"/>
    <w:rsid w:val="00496D5A"/>
    <w:rsid w:val="004A088E"/>
    <w:rsid w:val="004A0DA1"/>
    <w:rsid w:val="004A1D58"/>
    <w:rsid w:val="004A221D"/>
    <w:rsid w:val="004A6597"/>
    <w:rsid w:val="004A6AF7"/>
    <w:rsid w:val="004B1245"/>
    <w:rsid w:val="004B14C2"/>
    <w:rsid w:val="004B1CB4"/>
    <w:rsid w:val="004B20B6"/>
    <w:rsid w:val="004B2F18"/>
    <w:rsid w:val="004B3DDB"/>
    <w:rsid w:val="004B44FD"/>
    <w:rsid w:val="004B5CFC"/>
    <w:rsid w:val="004B5D1A"/>
    <w:rsid w:val="004B689D"/>
    <w:rsid w:val="004B774D"/>
    <w:rsid w:val="004B7B52"/>
    <w:rsid w:val="004C142A"/>
    <w:rsid w:val="004C4AED"/>
    <w:rsid w:val="004C4C1B"/>
    <w:rsid w:val="004C771E"/>
    <w:rsid w:val="004C79E1"/>
    <w:rsid w:val="004C7B57"/>
    <w:rsid w:val="004D05FB"/>
    <w:rsid w:val="004D14BA"/>
    <w:rsid w:val="004D343C"/>
    <w:rsid w:val="004D38CD"/>
    <w:rsid w:val="004D43B9"/>
    <w:rsid w:val="004D4ED3"/>
    <w:rsid w:val="004D7D10"/>
    <w:rsid w:val="004E0133"/>
    <w:rsid w:val="004E0EB8"/>
    <w:rsid w:val="004E1E75"/>
    <w:rsid w:val="004E2ADC"/>
    <w:rsid w:val="004E3F9F"/>
    <w:rsid w:val="004E43B2"/>
    <w:rsid w:val="004E4785"/>
    <w:rsid w:val="004E55B1"/>
    <w:rsid w:val="004E6226"/>
    <w:rsid w:val="004E68A0"/>
    <w:rsid w:val="004E77E5"/>
    <w:rsid w:val="004F1328"/>
    <w:rsid w:val="004F1D02"/>
    <w:rsid w:val="004F2679"/>
    <w:rsid w:val="004F35C8"/>
    <w:rsid w:val="004F36FE"/>
    <w:rsid w:val="004F3E9C"/>
    <w:rsid w:val="004F56DF"/>
    <w:rsid w:val="004F5B65"/>
    <w:rsid w:val="004F65CB"/>
    <w:rsid w:val="004F7865"/>
    <w:rsid w:val="00500606"/>
    <w:rsid w:val="005029DC"/>
    <w:rsid w:val="00503CEF"/>
    <w:rsid w:val="00503EDD"/>
    <w:rsid w:val="005053CF"/>
    <w:rsid w:val="00505642"/>
    <w:rsid w:val="00505A3A"/>
    <w:rsid w:val="005066BB"/>
    <w:rsid w:val="00506928"/>
    <w:rsid w:val="00506C5D"/>
    <w:rsid w:val="00511A81"/>
    <w:rsid w:val="0051482D"/>
    <w:rsid w:val="00514E80"/>
    <w:rsid w:val="005152B5"/>
    <w:rsid w:val="00520763"/>
    <w:rsid w:val="0052080A"/>
    <w:rsid w:val="00521319"/>
    <w:rsid w:val="00521ECA"/>
    <w:rsid w:val="00523C28"/>
    <w:rsid w:val="00523E3C"/>
    <w:rsid w:val="00530BD4"/>
    <w:rsid w:val="00531C5D"/>
    <w:rsid w:val="00532563"/>
    <w:rsid w:val="005325B9"/>
    <w:rsid w:val="00535514"/>
    <w:rsid w:val="005355AC"/>
    <w:rsid w:val="005400A8"/>
    <w:rsid w:val="00540BE3"/>
    <w:rsid w:val="005422C3"/>
    <w:rsid w:val="00542C2D"/>
    <w:rsid w:val="00543541"/>
    <w:rsid w:val="005442CA"/>
    <w:rsid w:val="005518D3"/>
    <w:rsid w:val="00552BD3"/>
    <w:rsid w:val="00553BD3"/>
    <w:rsid w:val="00553C60"/>
    <w:rsid w:val="00555109"/>
    <w:rsid w:val="00555236"/>
    <w:rsid w:val="00560228"/>
    <w:rsid w:val="00561D8C"/>
    <w:rsid w:val="0056696F"/>
    <w:rsid w:val="0057243A"/>
    <w:rsid w:val="005737BA"/>
    <w:rsid w:val="00575D8D"/>
    <w:rsid w:val="00576550"/>
    <w:rsid w:val="00576972"/>
    <w:rsid w:val="00576ED9"/>
    <w:rsid w:val="00582871"/>
    <w:rsid w:val="00582AC2"/>
    <w:rsid w:val="00583699"/>
    <w:rsid w:val="0058395F"/>
    <w:rsid w:val="005841AF"/>
    <w:rsid w:val="00584D09"/>
    <w:rsid w:val="00585755"/>
    <w:rsid w:val="00591DAC"/>
    <w:rsid w:val="005956ED"/>
    <w:rsid w:val="005A04F6"/>
    <w:rsid w:val="005A1BFB"/>
    <w:rsid w:val="005A2E4D"/>
    <w:rsid w:val="005A2E7F"/>
    <w:rsid w:val="005A5568"/>
    <w:rsid w:val="005A5C53"/>
    <w:rsid w:val="005B259D"/>
    <w:rsid w:val="005B36D6"/>
    <w:rsid w:val="005B4F0F"/>
    <w:rsid w:val="005B5857"/>
    <w:rsid w:val="005C0211"/>
    <w:rsid w:val="005C1B83"/>
    <w:rsid w:val="005C1FCD"/>
    <w:rsid w:val="005C346B"/>
    <w:rsid w:val="005C4429"/>
    <w:rsid w:val="005C4F32"/>
    <w:rsid w:val="005C6F4F"/>
    <w:rsid w:val="005C76F1"/>
    <w:rsid w:val="005D044D"/>
    <w:rsid w:val="005D090E"/>
    <w:rsid w:val="005D18AD"/>
    <w:rsid w:val="005D21F9"/>
    <w:rsid w:val="005D33AC"/>
    <w:rsid w:val="005D5A84"/>
    <w:rsid w:val="005D6B0F"/>
    <w:rsid w:val="005E058E"/>
    <w:rsid w:val="005E0943"/>
    <w:rsid w:val="005E0DC9"/>
    <w:rsid w:val="005E1123"/>
    <w:rsid w:val="005E33F6"/>
    <w:rsid w:val="005E53C8"/>
    <w:rsid w:val="005E5D08"/>
    <w:rsid w:val="005E6B28"/>
    <w:rsid w:val="005E73C0"/>
    <w:rsid w:val="005F07A2"/>
    <w:rsid w:val="005F2098"/>
    <w:rsid w:val="005F2706"/>
    <w:rsid w:val="005F4FB1"/>
    <w:rsid w:val="005F6A8F"/>
    <w:rsid w:val="006004E1"/>
    <w:rsid w:val="006018C0"/>
    <w:rsid w:val="00602BF5"/>
    <w:rsid w:val="00606CF7"/>
    <w:rsid w:val="00607669"/>
    <w:rsid w:val="00610C73"/>
    <w:rsid w:val="0061167F"/>
    <w:rsid w:val="00611F07"/>
    <w:rsid w:val="00612F97"/>
    <w:rsid w:val="006131A6"/>
    <w:rsid w:val="00613F57"/>
    <w:rsid w:val="00616802"/>
    <w:rsid w:val="00617E12"/>
    <w:rsid w:val="00621477"/>
    <w:rsid w:val="0062159F"/>
    <w:rsid w:val="00622333"/>
    <w:rsid w:val="006244A7"/>
    <w:rsid w:val="0062476E"/>
    <w:rsid w:val="00624842"/>
    <w:rsid w:val="00624B50"/>
    <w:rsid w:val="00626837"/>
    <w:rsid w:val="00627A48"/>
    <w:rsid w:val="00631C2B"/>
    <w:rsid w:val="00631D6B"/>
    <w:rsid w:val="00632408"/>
    <w:rsid w:val="0063405E"/>
    <w:rsid w:val="0063422F"/>
    <w:rsid w:val="006343CA"/>
    <w:rsid w:val="0063479F"/>
    <w:rsid w:val="00634DB8"/>
    <w:rsid w:val="00634E4B"/>
    <w:rsid w:val="006364A1"/>
    <w:rsid w:val="00637BFD"/>
    <w:rsid w:val="00643501"/>
    <w:rsid w:val="00646117"/>
    <w:rsid w:val="006471CC"/>
    <w:rsid w:val="0065079F"/>
    <w:rsid w:val="00656000"/>
    <w:rsid w:val="00662299"/>
    <w:rsid w:val="00663330"/>
    <w:rsid w:val="0066491D"/>
    <w:rsid w:val="00665A8A"/>
    <w:rsid w:val="00665F4E"/>
    <w:rsid w:val="00666028"/>
    <w:rsid w:val="00670000"/>
    <w:rsid w:val="00674A24"/>
    <w:rsid w:val="00674E42"/>
    <w:rsid w:val="006761C7"/>
    <w:rsid w:val="00680FF6"/>
    <w:rsid w:val="0068142D"/>
    <w:rsid w:val="00682112"/>
    <w:rsid w:val="00683DBF"/>
    <w:rsid w:val="006852C5"/>
    <w:rsid w:val="006867F5"/>
    <w:rsid w:val="006872BA"/>
    <w:rsid w:val="00687A8B"/>
    <w:rsid w:val="00687D58"/>
    <w:rsid w:val="006917D7"/>
    <w:rsid w:val="00693002"/>
    <w:rsid w:val="0069330C"/>
    <w:rsid w:val="00693BC7"/>
    <w:rsid w:val="00694722"/>
    <w:rsid w:val="00694F44"/>
    <w:rsid w:val="00695634"/>
    <w:rsid w:val="00695FB6"/>
    <w:rsid w:val="00696583"/>
    <w:rsid w:val="00697249"/>
    <w:rsid w:val="006A50B8"/>
    <w:rsid w:val="006A5538"/>
    <w:rsid w:val="006A6CBF"/>
    <w:rsid w:val="006B0188"/>
    <w:rsid w:val="006B1097"/>
    <w:rsid w:val="006B17C6"/>
    <w:rsid w:val="006B1C16"/>
    <w:rsid w:val="006B25E4"/>
    <w:rsid w:val="006B3B78"/>
    <w:rsid w:val="006B5313"/>
    <w:rsid w:val="006C1E80"/>
    <w:rsid w:val="006C2A8E"/>
    <w:rsid w:val="006C5B0C"/>
    <w:rsid w:val="006D2728"/>
    <w:rsid w:val="006D3C7D"/>
    <w:rsid w:val="006D4884"/>
    <w:rsid w:val="006D5D5F"/>
    <w:rsid w:val="006D7033"/>
    <w:rsid w:val="006E7FAC"/>
    <w:rsid w:val="006F1DF8"/>
    <w:rsid w:val="006F2DB5"/>
    <w:rsid w:val="006F2F75"/>
    <w:rsid w:val="006F50D9"/>
    <w:rsid w:val="006F63A5"/>
    <w:rsid w:val="00700A67"/>
    <w:rsid w:val="00700F55"/>
    <w:rsid w:val="0070105F"/>
    <w:rsid w:val="0070142B"/>
    <w:rsid w:val="0070276E"/>
    <w:rsid w:val="00702F8F"/>
    <w:rsid w:val="00703AA4"/>
    <w:rsid w:val="00704441"/>
    <w:rsid w:val="00705AE8"/>
    <w:rsid w:val="00711A36"/>
    <w:rsid w:val="007123EF"/>
    <w:rsid w:val="00712D55"/>
    <w:rsid w:val="00713752"/>
    <w:rsid w:val="0071378B"/>
    <w:rsid w:val="00713BF0"/>
    <w:rsid w:val="00714B15"/>
    <w:rsid w:val="00715D6A"/>
    <w:rsid w:val="00715F75"/>
    <w:rsid w:val="007172AD"/>
    <w:rsid w:val="007204B5"/>
    <w:rsid w:val="00720786"/>
    <w:rsid w:val="00720A6F"/>
    <w:rsid w:val="007214DF"/>
    <w:rsid w:val="00722E71"/>
    <w:rsid w:val="0072416F"/>
    <w:rsid w:val="007249E7"/>
    <w:rsid w:val="00726EC4"/>
    <w:rsid w:val="0073141A"/>
    <w:rsid w:val="0073434B"/>
    <w:rsid w:val="007345DA"/>
    <w:rsid w:val="00734663"/>
    <w:rsid w:val="00734B5F"/>
    <w:rsid w:val="00735328"/>
    <w:rsid w:val="0073685B"/>
    <w:rsid w:val="00737DAD"/>
    <w:rsid w:val="00740A17"/>
    <w:rsid w:val="00740DE8"/>
    <w:rsid w:val="00741B08"/>
    <w:rsid w:val="00741BAC"/>
    <w:rsid w:val="00743D97"/>
    <w:rsid w:val="00746000"/>
    <w:rsid w:val="0074679C"/>
    <w:rsid w:val="00747F75"/>
    <w:rsid w:val="0075085A"/>
    <w:rsid w:val="00751213"/>
    <w:rsid w:val="00751FFA"/>
    <w:rsid w:val="00752833"/>
    <w:rsid w:val="007530D1"/>
    <w:rsid w:val="0075379C"/>
    <w:rsid w:val="00755AFB"/>
    <w:rsid w:val="00757D2A"/>
    <w:rsid w:val="007623E8"/>
    <w:rsid w:val="00765530"/>
    <w:rsid w:val="00765EB8"/>
    <w:rsid w:val="00767F5D"/>
    <w:rsid w:val="00770B53"/>
    <w:rsid w:val="00771908"/>
    <w:rsid w:val="00773C23"/>
    <w:rsid w:val="007741A4"/>
    <w:rsid w:val="00782461"/>
    <w:rsid w:val="007834A4"/>
    <w:rsid w:val="00783D76"/>
    <w:rsid w:val="0078671F"/>
    <w:rsid w:val="0078729A"/>
    <w:rsid w:val="00792AD4"/>
    <w:rsid w:val="00794D6A"/>
    <w:rsid w:val="007A0A12"/>
    <w:rsid w:val="007A106F"/>
    <w:rsid w:val="007A1387"/>
    <w:rsid w:val="007A1E8A"/>
    <w:rsid w:val="007A2A6C"/>
    <w:rsid w:val="007A528D"/>
    <w:rsid w:val="007A5430"/>
    <w:rsid w:val="007A54C3"/>
    <w:rsid w:val="007A6CE7"/>
    <w:rsid w:val="007A74ED"/>
    <w:rsid w:val="007B251D"/>
    <w:rsid w:val="007B5805"/>
    <w:rsid w:val="007B77D1"/>
    <w:rsid w:val="007C2579"/>
    <w:rsid w:val="007C361D"/>
    <w:rsid w:val="007C3A6B"/>
    <w:rsid w:val="007C3BA3"/>
    <w:rsid w:val="007C3C8A"/>
    <w:rsid w:val="007C42DD"/>
    <w:rsid w:val="007C4BCA"/>
    <w:rsid w:val="007C5323"/>
    <w:rsid w:val="007C557D"/>
    <w:rsid w:val="007C5C09"/>
    <w:rsid w:val="007C5F5F"/>
    <w:rsid w:val="007D004F"/>
    <w:rsid w:val="007D0B38"/>
    <w:rsid w:val="007D100B"/>
    <w:rsid w:val="007D1377"/>
    <w:rsid w:val="007D3665"/>
    <w:rsid w:val="007D5B49"/>
    <w:rsid w:val="007E0C27"/>
    <w:rsid w:val="007E1B29"/>
    <w:rsid w:val="007E2539"/>
    <w:rsid w:val="007E6865"/>
    <w:rsid w:val="007E7576"/>
    <w:rsid w:val="007F1017"/>
    <w:rsid w:val="007F1AF2"/>
    <w:rsid w:val="007F2212"/>
    <w:rsid w:val="007F2D32"/>
    <w:rsid w:val="007F4A3F"/>
    <w:rsid w:val="007F5933"/>
    <w:rsid w:val="007F5FDB"/>
    <w:rsid w:val="007F6854"/>
    <w:rsid w:val="00800375"/>
    <w:rsid w:val="0080083A"/>
    <w:rsid w:val="00801C31"/>
    <w:rsid w:val="00802736"/>
    <w:rsid w:val="00805142"/>
    <w:rsid w:val="00805531"/>
    <w:rsid w:val="00807A8B"/>
    <w:rsid w:val="00807D1D"/>
    <w:rsid w:val="0081022F"/>
    <w:rsid w:val="00810D83"/>
    <w:rsid w:val="00811D2F"/>
    <w:rsid w:val="00812149"/>
    <w:rsid w:val="00812944"/>
    <w:rsid w:val="008141EA"/>
    <w:rsid w:val="00815AE5"/>
    <w:rsid w:val="008166EF"/>
    <w:rsid w:val="008175D0"/>
    <w:rsid w:val="00817EBA"/>
    <w:rsid w:val="00823759"/>
    <w:rsid w:val="00824093"/>
    <w:rsid w:val="008242FB"/>
    <w:rsid w:val="008243A6"/>
    <w:rsid w:val="008264EB"/>
    <w:rsid w:val="008301D1"/>
    <w:rsid w:val="008304BC"/>
    <w:rsid w:val="00833588"/>
    <w:rsid w:val="00833B05"/>
    <w:rsid w:val="00836042"/>
    <w:rsid w:val="00840CA2"/>
    <w:rsid w:val="00840FBB"/>
    <w:rsid w:val="00843711"/>
    <w:rsid w:val="00844BB5"/>
    <w:rsid w:val="00852A18"/>
    <w:rsid w:val="00856E9A"/>
    <w:rsid w:val="0086127D"/>
    <w:rsid w:val="00861CC8"/>
    <w:rsid w:val="00861CDA"/>
    <w:rsid w:val="00862502"/>
    <w:rsid w:val="00865A20"/>
    <w:rsid w:val="00867110"/>
    <w:rsid w:val="00867771"/>
    <w:rsid w:val="00872B15"/>
    <w:rsid w:val="00872E5A"/>
    <w:rsid w:val="00872E82"/>
    <w:rsid w:val="00872FF2"/>
    <w:rsid w:val="00874BB2"/>
    <w:rsid w:val="00876FAE"/>
    <w:rsid w:val="00877098"/>
    <w:rsid w:val="00880457"/>
    <w:rsid w:val="00882874"/>
    <w:rsid w:val="00882B1D"/>
    <w:rsid w:val="00883787"/>
    <w:rsid w:val="00885079"/>
    <w:rsid w:val="00892B0D"/>
    <w:rsid w:val="00892C9B"/>
    <w:rsid w:val="00892D90"/>
    <w:rsid w:val="00893A29"/>
    <w:rsid w:val="00894489"/>
    <w:rsid w:val="008945CA"/>
    <w:rsid w:val="0089508A"/>
    <w:rsid w:val="00895B4F"/>
    <w:rsid w:val="008963A5"/>
    <w:rsid w:val="00897C8A"/>
    <w:rsid w:val="008A0ECB"/>
    <w:rsid w:val="008A13C0"/>
    <w:rsid w:val="008A2328"/>
    <w:rsid w:val="008A3C3E"/>
    <w:rsid w:val="008A4214"/>
    <w:rsid w:val="008A58B7"/>
    <w:rsid w:val="008A79DE"/>
    <w:rsid w:val="008A7F17"/>
    <w:rsid w:val="008B5A16"/>
    <w:rsid w:val="008B6A39"/>
    <w:rsid w:val="008B6ACE"/>
    <w:rsid w:val="008B78F9"/>
    <w:rsid w:val="008B7D7E"/>
    <w:rsid w:val="008C09A9"/>
    <w:rsid w:val="008C4392"/>
    <w:rsid w:val="008C4EE0"/>
    <w:rsid w:val="008C6B74"/>
    <w:rsid w:val="008C7BC0"/>
    <w:rsid w:val="008C7ECB"/>
    <w:rsid w:val="008D3E24"/>
    <w:rsid w:val="008D6137"/>
    <w:rsid w:val="008E1418"/>
    <w:rsid w:val="008E1B9E"/>
    <w:rsid w:val="008E28AD"/>
    <w:rsid w:val="008E4422"/>
    <w:rsid w:val="008E4617"/>
    <w:rsid w:val="008E4ED5"/>
    <w:rsid w:val="008E5F1C"/>
    <w:rsid w:val="008F120A"/>
    <w:rsid w:val="008F31A7"/>
    <w:rsid w:val="008F48EB"/>
    <w:rsid w:val="008F4F0B"/>
    <w:rsid w:val="008F65AC"/>
    <w:rsid w:val="008F68EF"/>
    <w:rsid w:val="00902BB4"/>
    <w:rsid w:val="00903A8D"/>
    <w:rsid w:val="0090485E"/>
    <w:rsid w:val="009062A5"/>
    <w:rsid w:val="00906373"/>
    <w:rsid w:val="0090737C"/>
    <w:rsid w:val="009074A3"/>
    <w:rsid w:val="00911272"/>
    <w:rsid w:val="009138D3"/>
    <w:rsid w:val="00921105"/>
    <w:rsid w:val="00922670"/>
    <w:rsid w:val="00925CA4"/>
    <w:rsid w:val="00926562"/>
    <w:rsid w:val="00926F0D"/>
    <w:rsid w:val="00931E91"/>
    <w:rsid w:val="009332F6"/>
    <w:rsid w:val="00941560"/>
    <w:rsid w:val="0094248D"/>
    <w:rsid w:val="00945C52"/>
    <w:rsid w:val="00946E5C"/>
    <w:rsid w:val="00947C91"/>
    <w:rsid w:val="009505D8"/>
    <w:rsid w:val="00952F3A"/>
    <w:rsid w:val="00953A3A"/>
    <w:rsid w:val="00953B49"/>
    <w:rsid w:val="00954608"/>
    <w:rsid w:val="009559FC"/>
    <w:rsid w:val="00955FEF"/>
    <w:rsid w:val="00960674"/>
    <w:rsid w:val="00961A87"/>
    <w:rsid w:val="009628BC"/>
    <w:rsid w:val="00962CB3"/>
    <w:rsid w:val="00962CB9"/>
    <w:rsid w:val="00963CBC"/>
    <w:rsid w:val="00963F79"/>
    <w:rsid w:val="00964312"/>
    <w:rsid w:val="00966FC4"/>
    <w:rsid w:val="009703AA"/>
    <w:rsid w:val="00974C9D"/>
    <w:rsid w:val="009766BB"/>
    <w:rsid w:val="00980163"/>
    <w:rsid w:val="00980472"/>
    <w:rsid w:val="00980884"/>
    <w:rsid w:val="00980F12"/>
    <w:rsid w:val="00983E57"/>
    <w:rsid w:val="00985C27"/>
    <w:rsid w:val="00985F70"/>
    <w:rsid w:val="009862E8"/>
    <w:rsid w:val="00987EB6"/>
    <w:rsid w:val="009901E9"/>
    <w:rsid w:val="00991A5D"/>
    <w:rsid w:val="00991B54"/>
    <w:rsid w:val="009921E7"/>
    <w:rsid w:val="0099293A"/>
    <w:rsid w:val="00996B1A"/>
    <w:rsid w:val="00996DC6"/>
    <w:rsid w:val="009A1766"/>
    <w:rsid w:val="009A414C"/>
    <w:rsid w:val="009B2721"/>
    <w:rsid w:val="009B29EF"/>
    <w:rsid w:val="009B3E26"/>
    <w:rsid w:val="009B461D"/>
    <w:rsid w:val="009B6A82"/>
    <w:rsid w:val="009B7792"/>
    <w:rsid w:val="009C35A9"/>
    <w:rsid w:val="009C77E3"/>
    <w:rsid w:val="009D046E"/>
    <w:rsid w:val="009D2A4E"/>
    <w:rsid w:val="009D2ABB"/>
    <w:rsid w:val="009D3361"/>
    <w:rsid w:val="009D5B91"/>
    <w:rsid w:val="009D633B"/>
    <w:rsid w:val="009D7E28"/>
    <w:rsid w:val="009D7EE6"/>
    <w:rsid w:val="009E021D"/>
    <w:rsid w:val="009E0A05"/>
    <w:rsid w:val="009E258A"/>
    <w:rsid w:val="009E2828"/>
    <w:rsid w:val="009E4857"/>
    <w:rsid w:val="009E4C07"/>
    <w:rsid w:val="009F2246"/>
    <w:rsid w:val="009F299D"/>
    <w:rsid w:val="009F31A5"/>
    <w:rsid w:val="009F3691"/>
    <w:rsid w:val="009F404F"/>
    <w:rsid w:val="009F7008"/>
    <w:rsid w:val="009F7835"/>
    <w:rsid w:val="009F7ADD"/>
    <w:rsid w:val="00A0191D"/>
    <w:rsid w:val="00A03D43"/>
    <w:rsid w:val="00A04380"/>
    <w:rsid w:val="00A129D7"/>
    <w:rsid w:val="00A13948"/>
    <w:rsid w:val="00A15673"/>
    <w:rsid w:val="00A164F9"/>
    <w:rsid w:val="00A16DBA"/>
    <w:rsid w:val="00A173FD"/>
    <w:rsid w:val="00A205B2"/>
    <w:rsid w:val="00A20E60"/>
    <w:rsid w:val="00A23E1A"/>
    <w:rsid w:val="00A26475"/>
    <w:rsid w:val="00A27AEC"/>
    <w:rsid w:val="00A27D9A"/>
    <w:rsid w:val="00A312A5"/>
    <w:rsid w:val="00A35D16"/>
    <w:rsid w:val="00A36C22"/>
    <w:rsid w:val="00A4153C"/>
    <w:rsid w:val="00A42344"/>
    <w:rsid w:val="00A42FDA"/>
    <w:rsid w:val="00A43C59"/>
    <w:rsid w:val="00A50726"/>
    <w:rsid w:val="00A50ECD"/>
    <w:rsid w:val="00A510E1"/>
    <w:rsid w:val="00A52729"/>
    <w:rsid w:val="00A53475"/>
    <w:rsid w:val="00A53675"/>
    <w:rsid w:val="00A53D28"/>
    <w:rsid w:val="00A5418E"/>
    <w:rsid w:val="00A56B6A"/>
    <w:rsid w:val="00A578DC"/>
    <w:rsid w:val="00A641E3"/>
    <w:rsid w:val="00A64C60"/>
    <w:rsid w:val="00A652BE"/>
    <w:rsid w:val="00A6725B"/>
    <w:rsid w:val="00A70423"/>
    <w:rsid w:val="00A71256"/>
    <w:rsid w:val="00A7145D"/>
    <w:rsid w:val="00A727C6"/>
    <w:rsid w:val="00A728AA"/>
    <w:rsid w:val="00A72B35"/>
    <w:rsid w:val="00A73916"/>
    <w:rsid w:val="00A739C6"/>
    <w:rsid w:val="00A7545A"/>
    <w:rsid w:val="00A75B07"/>
    <w:rsid w:val="00A81C6C"/>
    <w:rsid w:val="00A83FDF"/>
    <w:rsid w:val="00A8621D"/>
    <w:rsid w:val="00A86E8B"/>
    <w:rsid w:val="00A87773"/>
    <w:rsid w:val="00A9011F"/>
    <w:rsid w:val="00A90316"/>
    <w:rsid w:val="00A9166C"/>
    <w:rsid w:val="00A93072"/>
    <w:rsid w:val="00A93935"/>
    <w:rsid w:val="00A959D8"/>
    <w:rsid w:val="00A97FB7"/>
    <w:rsid w:val="00AA13C2"/>
    <w:rsid w:val="00AA1B1D"/>
    <w:rsid w:val="00AA1D89"/>
    <w:rsid w:val="00AA5F4D"/>
    <w:rsid w:val="00AA7395"/>
    <w:rsid w:val="00AB027A"/>
    <w:rsid w:val="00AB042A"/>
    <w:rsid w:val="00AB1BE5"/>
    <w:rsid w:val="00AB2D34"/>
    <w:rsid w:val="00AB3141"/>
    <w:rsid w:val="00AB3430"/>
    <w:rsid w:val="00AB4A6A"/>
    <w:rsid w:val="00AB688E"/>
    <w:rsid w:val="00AB6973"/>
    <w:rsid w:val="00AB6C0C"/>
    <w:rsid w:val="00AB7CFA"/>
    <w:rsid w:val="00AC0B67"/>
    <w:rsid w:val="00AC261A"/>
    <w:rsid w:val="00AC5AD9"/>
    <w:rsid w:val="00AC6B18"/>
    <w:rsid w:val="00AC7701"/>
    <w:rsid w:val="00AD4DFA"/>
    <w:rsid w:val="00AD5E9B"/>
    <w:rsid w:val="00AD6E97"/>
    <w:rsid w:val="00AE0D27"/>
    <w:rsid w:val="00AF0F91"/>
    <w:rsid w:val="00AF0F99"/>
    <w:rsid w:val="00AF138D"/>
    <w:rsid w:val="00AF191D"/>
    <w:rsid w:val="00AF2A73"/>
    <w:rsid w:val="00AF2E1B"/>
    <w:rsid w:val="00B0264B"/>
    <w:rsid w:val="00B04F74"/>
    <w:rsid w:val="00B057E5"/>
    <w:rsid w:val="00B05A9B"/>
    <w:rsid w:val="00B05B71"/>
    <w:rsid w:val="00B1025D"/>
    <w:rsid w:val="00B12406"/>
    <w:rsid w:val="00B14D35"/>
    <w:rsid w:val="00B16A68"/>
    <w:rsid w:val="00B22E7E"/>
    <w:rsid w:val="00B248F0"/>
    <w:rsid w:val="00B25B98"/>
    <w:rsid w:val="00B25D96"/>
    <w:rsid w:val="00B3110C"/>
    <w:rsid w:val="00B329A1"/>
    <w:rsid w:val="00B3486C"/>
    <w:rsid w:val="00B36411"/>
    <w:rsid w:val="00B42851"/>
    <w:rsid w:val="00B4310E"/>
    <w:rsid w:val="00B432F7"/>
    <w:rsid w:val="00B43B3B"/>
    <w:rsid w:val="00B45271"/>
    <w:rsid w:val="00B47CB0"/>
    <w:rsid w:val="00B50D10"/>
    <w:rsid w:val="00B50DB8"/>
    <w:rsid w:val="00B50F2F"/>
    <w:rsid w:val="00B53905"/>
    <w:rsid w:val="00B540A1"/>
    <w:rsid w:val="00B54B5B"/>
    <w:rsid w:val="00B5562E"/>
    <w:rsid w:val="00B55B6E"/>
    <w:rsid w:val="00B56910"/>
    <w:rsid w:val="00B57000"/>
    <w:rsid w:val="00B608A4"/>
    <w:rsid w:val="00B60939"/>
    <w:rsid w:val="00B60AFD"/>
    <w:rsid w:val="00B62715"/>
    <w:rsid w:val="00B64196"/>
    <w:rsid w:val="00B67E1B"/>
    <w:rsid w:val="00B7090B"/>
    <w:rsid w:val="00B71738"/>
    <w:rsid w:val="00B723FA"/>
    <w:rsid w:val="00B74424"/>
    <w:rsid w:val="00B74EFC"/>
    <w:rsid w:val="00B758D5"/>
    <w:rsid w:val="00B774E3"/>
    <w:rsid w:val="00B80030"/>
    <w:rsid w:val="00B818A4"/>
    <w:rsid w:val="00B82331"/>
    <w:rsid w:val="00B8649C"/>
    <w:rsid w:val="00B86785"/>
    <w:rsid w:val="00B87542"/>
    <w:rsid w:val="00B92D0B"/>
    <w:rsid w:val="00B9334F"/>
    <w:rsid w:val="00B947B1"/>
    <w:rsid w:val="00B94945"/>
    <w:rsid w:val="00BA1906"/>
    <w:rsid w:val="00BA79B9"/>
    <w:rsid w:val="00BB2CB3"/>
    <w:rsid w:val="00BB47A2"/>
    <w:rsid w:val="00BB4E72"/>
    <w:rsid w:val="00BB7405"/>
    <w:rsid w:val="00BB7C7D"/>
    <w:rsid w:val="00BC0A03"/>
    <w:rsid w:val="00BC1B6A"/>
    <w:rsid w:val="00BC2349"/>
    <w:rsid w:val="00BC55EB"/>
    <w:rsid w:val="00BC5839"/>
    <w:rsid w:val="00BC6260"/>
    <w:rsid w:val="00BC634F"/>
    <w:rsid w:val="00BC6865"/>
    <w:rsid w:val="00BD48E9"/>
    <w:rsid w:val="00BD6052"/>
    <w:rsid w:val="00BD6CF3"/>
    <w:rsid w:val="00BE2180"/>
    <w:rsid w:val="00BE282F"/>
    <w:rsid w:val="00BE3E88"/>
    <w:rsid w:val="00BE3F50"/>
    <w:rsid w:val="00BE4275"/>
    <w:rsid w:val="00BE4C0C"/>
    <w:rsid w:val="00BE6882"/>
    <w:rsid w:val="00BE701C"/>
    <w:rsid w:val="00BE7FA6"/>
    <w:rsid w:val="00BF1A0C"/>
    <w:rsid w:val="00BF223E"/>
    <w:rsid w:val="00BF2433"/>
    <w:rsid w:val="00BF61C9"/>
    <w:rsid w:val="00C007D8"/>
    <w:rsid w:val="00C00C11"/>
    <w:rsid w:val="00C02775"/>
    <w:rsid w:val="00C02F97"/>
    <w:rsid w:val="00C03D35"/>
    <w:rsid w:val="00C04C81"/>
    <w:rsid w:val="00C050D1"/>
    <w:rsid w:val="00C07414"/>
    <w:rsid w:val="00C0760C"/>
    <w:rsid w:val="00C124A6"/>
    <w:rsid w:val="00C1358F"/>
    <w:rsid w:val="00C13716"/>
    <w:rsid w:val="00C153F8"/>
    <w:rsid w:val="00C15418"/>
    <w:rsid w:val="00C15521"/>
    <w:rsid w:val="00C1658F"/>
    <w:rsid w:val="00C17FC8"/>
    <w:rsid w:val="00C202B7"/>
    <w:rsid w:val="00C206CA"/>
    <w:rsid w:val="00C21D43"/>
    <w:rsid w:val="00C22525"/>
    <w:rsid w:val="00C23AA8"/>
    <w:rsid w:val="00C24687"/>
    <w:rsid w:val="00C2507B"/>
    <w:rsid w:val="00C25418"/>
    <w:rsid w:val="00C258BF"/>
    <w:rsid w:val="00C25D9C"/>
    <w:rsid w:val="00C31649"/>
    <w:rsid w:val="00C34752"/>
    <w:rsid w:val="00C36146"/>
    <w:rsid w:val="00C40385"/>
    <w:rsid w:val="00C434CC"/>
    <w:rsid w:val="00C44055"/>
    <w:rsid w:val="00C4423D"/>
    <w:rsid w:val="00C44321"/>
    <w:rsid w:val="00C45A70"/>
    <w:rsid w:val="00C47A02"/>
    <w:rsid w:val="00C50C4B"/>
    <w:rsid w:val="00C50EFF"/>
    <w:rsid w:val="00C52547"/>
    <w:rsid w:val="00C531CE"/>
    <w:rsid w:val="00C54658"/>
    <w:rsid w:val="00C564FF"/>
    <w:rsid w:val="00C6244A"/>
    <w:rsid w:val="00C62B22"/>
    <w:rsid w:val="00C65576"/>
    <w:rsid w:val="00C660E7"/>
    <w:rsid w:val="00C66165"/>
    <w:rsid w:val="00C66799"/>
    <w:rsid w:val="00C6732E"/>
    <w:rsid w:val="00C70A83"/>
    <w:rsid w:val="00C70BF1"/>
    <w:rsid w:val="00C71ABF"/>
    <w:rsid w:val="00C7385F"/>
    <w:rsid w:val="00C74936"/>
    <w:rsid w:val="00C750C8"/>
    <w:rsid w:val="00C754A0"/>
    <w:rsid w:val="00C81DFD"/>
    <w:rsid w:val="00C8213F"/>
    <w:rsid w:val="00C82305"/>
    <w:rsid w:val="00C860C5"/>
    <w:rsid w:val="00C86903"/>
    <w:rsid w:val="00C8797A"/>
    <w:rsid w:val="00C87E0A"/>
    <w:rsid w:val="00C916E6"/>
    <w:rsid w:val="00C92EAC"/>
    <w:rsid w:val="00C93332"/>
    <w:rsid w:val="00C938CF"/>
    <w:rsid w:val="00C953E7"/>
    <w:rsid w:val="00C95A9D"/>
    <w:rsid w:val="00C96AC5"/>
    <w:rsid w:val="00C96E35"/>
    <w:rsid w:val="00CA00F8"/>
    <w:rsid w:val="00CA21E8"/>
    <w:rsid w:val="00CA2476"/>
    <w:rsid w:val="00CA4355"/>
    <w:rsid w:val="00CA4D8F"/>
    <w:rsid w:val="00CA5128"/>
    <w:rsid w:val="00CA5245"/>
    <w:rsid w:val="00CA5692"/>
    <w:rsid w:val="00CA7B09"/>
    <w:rsid w:val="00CA7E34"/>
    <w:rsid w:val="00CB5678"/>
    <w:rsid w:val="00CB5B1A"/>
    <w:rsid w:val="00CB7096"/>
    <w:rsid w:val="00CB7E3D"/>
    <w:rsid w:val="00CC1631"/>
    <w:rsid w:val="00CC2600"/>
    <w:rsid w:val="00CC4827"/>
    <w:rsid w:val="00CC6AF0"/>
    <w:rsid w:val="00CD04CD"/>
    <w:rsid w:val="00CD1744"/>
    <w:rsid w:val="00CD1EA3"/>
    <w:rsid w:val="00CD3F2A"/>
    <w:rsid w:val="00CD4260"/>
    <w:rsid w:val="00CD50BA"/>
    <w:rsid w:val="00CD6ADC"/>
    <w:rsid w:val="00CE00F3"/>
    <w:rsid w:val="00CE01C0"/>
    <w:rsid w:val="00CE08D8"/>
    <w:rsid w:val="00CE1729"/>
    <w:rsid w:val="00CE1CF8"/>
    <w:rsid w:val="00CE20AD"/>
    <w:rsid w:val="00CE26B7"/>
    <w:rsid w:val="00CE2D32"/>
    <w:rsid w:val="00CE344B"/>
    <w:rsid w:val="00CE6274"/>
    <w:rsid w:val="00CF1207"/>
    <w:rsid w:val="00CF26E1"/>
    <w:rsid w:val="00CF2B8D"/>
    <w:rsid w:val="00CF456B"/>
    <w:rsid w:val="00CF47E3"/>
    <w:rsid w:val="00CF49F5"/>
    <w:rsid w:val="00CF50F0"/>
    <w:rsid w:val="00CF5A22"/>
    <w:rsid w:val="00CF66CE"/>
    <w:rsid w:val="00CF690C"/>
    <w:rsid w:val="00CF71E2"/>
    <w:rsid w:val="00CF7B62"/>
    <w:rsid w:val="00D0017F"/>
    <w:rsid w:val="00D00636"/>
    <w:rsid w:val="00D015E3"/>
    <w:rsid w:val="00D022FE"/>
    <w:rsid w:val="00D0262E"/>
    <w:rsid w:val="00D0386F"/>
    <w:rsid w:val="00D05C06"/>
    <w:rsid w:val="00D062F6"/>
    <w:rsid w:val="00D110BD"/>
    <w:rsid w:val="00D11A57"/>
    <w:rsid w:val="00D1545E"/>
    <w:rsid w:val="00D17D6C"/>
    <w:rsid w:val="00D17DA5"/>
    <w:rsid w:val="00D203FA"/>
    <w:rsid w:val="00D2176E"/>
    <w:rsid w:val="00D222EF"/>
    <w:rsid w:val="00D2366A"/>
    <w:rsid w:val="00D23BC6"/>
    <w:rsid w:val="00D251AF"/>
    <w:rsid w:val="00D26B56"/>
    <w:rsid w:val="00D27178"/>
    <w:rsid w:val="00D348DA"/>
    <w:rsid w:val="00D357FF"/>
    <w:rsid w:val="00D379C0"/>
    <w:rsid w:val="00D464F9"/>
    <w:rsid w:val="00D46AB8"/>
    <w:rsid w:val="00D513FF"/>
    <w:rsid w:val="00D5504C"/>
    <w:rsid w:val="00D57C3A"/>
    <w:rsid w:val="00D57CBC"/>
    <w:rsid w:val="00D60EDA"/>
    <w:rsid w:val="00D66D2E"/>
    <w:rsid w:val="00D679B5"/>
    <w:rsid w:val="00D708A1"/>
    <w:rsid w:val="00D70E09"/>
    <w:rsid w:val="00D73754"/>
    <w:rsid w:val="00D73CC3"/>
    <w:rsid w:val="00D76A44"/>
    <w:rsid w:val="00D77417"/>
    <w:rsid w:val="00D81D62"/>
    <w:rsid w:val="00D83A6A"/>
    <w:rsid w:val="00D83B1F"/>
    <w:rsid w:val="00D852B3"/>
    <w:rsid w:val="00D85D92"/>
    <w:rsid w:val="00D86B67"/>
    <w:rsid w:val="00D9041E"/>
    <w:rsid w:val="00D907B6"/>
    <w:rsid w:val="00D9094A"/>
    <w:rsid w:val="00D913F6"/>
    <w:rsid w:val="00D929AB"/>
    <w:rsid w:val="00D93753"/>
    <w:rsid w:val="00D945C9"/>
    <w:rsid w:val="00D95F81"/>
    <w:rsid w:val="00D961F0"/>
    <w:rsid w:val="00DA0DC2"/>
    <w:rsid w:val="00DA5C18"/>
    <w:rsid w:val="00DA6F62"/>
    <w:rsid w:val="00DA77A5"/>
    <w:rsid w:val="00DA7FCE"/>
    <w:rsid w:val="00DB07BA"/>
    <w:rsid w:val="00DB13A5"/>
    <w:rsid w:val="00DB29C8"/>
    <w:rsid w:val="00DB32F6"/>
    <w:rsid w:val="00DB444B"/>
    <w:rsid w:val="00DB5884"/>
    <w:rsid w:val="00DB6EA9"/>
    <w:rsid w:val="00DC1969"/>
    <w:rsid w:val="00DC23B9"/>
    <w:rsid w:val="00DC325E"/>
    <w:rsid w:val="00DC5501"/>
    <w:rsid w:val="00DD3F28"/>
    <w:rsid w:val="00DD4537"/>
    <w:rsid w:val="00DD4A86"/>
    <w:rsid w:val="00DD4E15"/>
    <w:rsid w:val="00DD5F10"/>
    <w:rsid w:val="00DD7262"/>
    <w:rsid w:val="00DD73AC"/>
    <w:rsid w:val="00DE0810"/>
    <w:rsid w:val="00DE4FCB"/>
    <w:rsid w:val="00DE597D"/>
    <w:rsid w:val="00DE7CD2"/>
    <w:rsid w:val="00DF091A"/>
    <w:rsid w:val="00DF18FC"/>
    <w:rsid w:val="00DF4FAB"/>
    <w:rsid w:val="00DF50AF"/>
    <w:rsid w:val="00DF54BB"/>
    <w:rsid w:val="00DF5CFE"/>
    <w:rsid w:val="00DF5D2B"/>
    <w:rsid w:val="00DF5EAA"/>
    <w:rsid w:val="00DF7D4C"/>
    <w:rsid w:val="00E00D8E"/>
    <w:rsid w:val="00E0356C"/>
    <w:rsid w:val="00E074F8"/>
    <w:rsid w:val="00E07557"/>
    <w:rsid w:val="00E07E02"/>
    <w:rsid w:val="00E10149"/>
    <w:rsid w:val="00E10DCC"/>
    <w:rsid w:val="00E1112C"/>
    <w:rsid w:val="00E115A7"/>
    <w:rsid w:val="00E12111"/>
    <w:rsid w:val="00E16372"/>
    <w:rsid w:val="00E205EE"/>
    <w:rsid w:val="00E208BC"/>
    <w:rsid w:val="00E20ED6"/>
    <w:rsid w:val="00E21358"/>
    <w:rsid w:val="00E2169A"/>
    <w:rsid w:val="00E2249B"/>
    <w:rsid w:val="00E22A0D"/>
    <w:rsid w:val="00E2771E"/>
    <w:rsid w:val="00E30762"/>
    <w:rsid w:val="00E319FE"/>
    <w:rsid w:val="00E32C82"/>
    <w:rsid w:val="00E331E5"/>
    <w:rsid w:val="00E34237"/>
    <w:rsid w:val="00E3603F"/>
    <w:rsid w:val="00E36A02"/>
    <w:rsid w:val="00E37569"/>
    <w:rsid w:val="00E41E30"/>
    <w:rsid w:val="00E4305A"/>
    <w:rsid w:val="00E43D70"/>
    <w:rsid w:val="00E44387"/>
    <w:rsid w:val="00E44577"/>
    <w:rsid w:val="00E47B2C"/>
    <w:rsid w:val="00E51560"/>
    <w:rsid w:val="00E51663"/>
    <w:rsid w:val="00E5171C"/>
    <w:rsid w:val="00E524F5"/>
    <w:rsid w:val="00E53495"/>
    <w:rsid w:val="00E5422A"/>
    <w:rsid w:val="00E5515A"/>
    <w:rsid w:val="00E55424"/>
    <w:rsid w:val="00E55BB5"/>
    <w:rsid w:val="00E61FA4"/>
    <w:rsid w:val="00E623AA"/>
    <w:rsid w:val="00E636ED"/>
    <w:rsid w:val="00E65582"/>
    <w:rsid w:val="00E65E79"/>
    <w:rsid w:val="00E6677E"/>
    <w:rsid w:val="00E67416"/>
    <w:rsid w:val="00E718B6"/>
    <w:rsid w:val="00E73581"/>
    <w:rsid w:val="00E76C68"/>
    <w:rsid w:val="00E825C3"/>
    <w:rsid w:val="00E82B1D"/>
    <w:rsid w:val="00E83B43"/>
    <w:rsid w:val="00E83BDF"/>
    <w:rsid w:val="00E857EF"/>
    <w:rsid w:val="00E868B9"/>
    <w:rsid w:val="00E90395"/>
    <w:rsid w:val="00E9087E"/>
    <w:rsid w:val="00E908F6"/>
    <w:rsid w:val="00E91657"/>
    <w:rsid w:val="00E91ED7"/>
    <w:rsid w:val="00E93AA1"/>
    <w:rsid w:val="00E958F4"/>
    <w:rsid w:val="00E9606A"/>
    <w:rsid w:val="00EA0A83"/>
    <w:rsid w:val="00EA30DD"/>
    <w:rsid w:val="00EA3864"/>
    <w:rsid w:val="00EA60FB"/>
    <w:rsid w:val="00EB0121"/>
    <w:rsid w:val="00EB12AC"/>
    <w:rsid w:val="00EB15B6"/>
    <w:rsid w:val="00EB16DB"/>
    <w:rsid w:val="00EB2A96"/>
    <w:rsid w:val="00EB470F"/>
    <w:rsid w:val="00EB4916"/>
    <w:rsid w:val="00EB660D"/>
    <w:rsid w:val="00EC00C9"/>
    <w:rsid w:val="00EC0D1D"/>
    <w:rsid w:val="00EC25F7"/>
    <w:rsid w:val="00EC31F8"/>
    <w:rsid w:val="00EC72F1"/>
    <w:rsid w:val="00EC7C2A"/>
    <w:rsid w:val="00ED08DE"/>
    <w:rsid w:val="00ED4312"/>
    <w:rsid w:val="00ED765B"/>
    <w:rsid w:val="00EE07D3"/>
    <w:rsid w:val="00EE0BC6"/>
    <w:rsid w:val="00EE0D94"/>
    <w:rsid w:val="00EE3194"/>
    <w:rsid w:val="00EF061A"/>
    <w:rsid w:val="00EF1675"/>
    <w:rsid w:val="00EF199B"/>
    <w:rsid w:val="00EF1FCB"/>
    <w:rsid w:val="00EF2705"/>
    <w:rsid w:val="00EF4FCD"/>
    <w:rsid w:val="00EF5377"/>
    <w:rsid w:val="00EF5619"/>
    <w:rsid w:val="00EF6937"/>
    <w:rsid w:val="00F014D2"/>
    <w:rsid w:val="00F022CF"/>
    <w:rsid w:val="00F0351E"/>
    <w:rsid w:val="00F048ED"/>
    <w:rsid w:val="00F067A2"/>
    <w:rsid w:val="00F076A9"/>
    <w:rsid w:val="00F10393"/>
    <w:rsid w:val="00F128DB"/>
    <w:rsid w:val="00F14857"/>
    <w:rsid w:val="00F1574B"/>
    <w:rsid w:val="00F15E8B"/>
    <w:rsid w:val="00F17103"/>
    <w:rsid w:val="00F20B62"/>
    <w:rsid w:val="00F2143B"/>
    <w:rsid w:val="00F22E4B"/>
    <w:rsid w:val="00F24837"/>
    <w:rsid w:val="00F24A36"/>
    <w:rsid w:val="00F2575F"/>
    <w:rsid w:val="00F30707"/>
    <w:rsid w:val="00F3257A"/>
    <w:rsid w:val="00F33D30"/>
    <w:rsid w:val="00F33DE9"/>
    <w:rsid w:val="00F34EE7"/>
    <w:rsid w:val="00F3619A"/>
    <w:rsid w:val="00F41B2C"/>
    <w:rsid w:val="00F46CB6"/>
    <w:rsid w:val="00F5497B"/>
    <w:rsid w:val="00F55E73"/>
    <w:rsid w:val="00F5682E"/>
    <w:rsid w:val="00F56FCC"/>
    <w:rsid w:val="00F60092"/>
    <w:rsid w:val="00F60BA0"/>
    <w:rsid w:val="00F61067"/>
    <w:rsid w:val="00F6126A"/>
    <w:rsid w:val="00F6223A"/>
    <w:rsid w:val="00F62339"/>
    <w:rsid w:val="00F625CA"/>
    <w:rsid w:val="00F62DB4"/>
    <w:rsid w:val="00F66EFD"/>
    <w:rsid w:val="00F67112"/>
    <w:rsid w:val="00F67E3F"/>
    <w:rsid w:val="00F73973"/>
    <w:rsid w:val="00F75B5F"/>
    <w:rsid w:val="00F76945"/>
    <w:rsid w:val="00F77329"/>
    <w:rsid w:val="00F77AB4"/>
    <w:rsid w:val="00F805AD"/>
    <w:rsid w:val="00F80E5D"/>
    <w:rsid w:val="00F83A53"/>
    <w:rsid w:val="00F851CE"/>
    <w:rsid w:val="00F86800"/>
    <w:rsid w:val="00F87169"/>
    <w:rsid w:val="00F92BA2"/>
    <w:rsid w:val="00F93CDD"/>
    <w:rsid w:val="00F941F0"/>
    <w:rsid w:val="00F9608B"/>
    <w:rsid w:val="00F96E92"/>
    <w:rsid w:val="00F97018"/>
    <w:rsid w:val="00F97445"/>
    <w:rsid w:val="00F97A78"/>
    <w:rsid w:val="00FA1A53"/>
    <w:rsid w:val="00FA24E7"/>
    <w:rsid w:val="00FB090E"/>
    <w:rsid w:val="00FB1D6C"/>
    <w:rsid w:val="00FB2FCB"/>
    <w:rsid w:val="00FB51FF"/>
    <w:rsid w:val="00FB5307"/>
    <w:rsid w:val="00FB60D8"/>
    <w:rsid w:val="00FC1074"/>
    <w:rsid w:val="00FC1884"/>
    <w:rsid w:val="00FC24CE"/>
    <w:rsid w:val="00FC2507"/>
    <w:rsid w:val="00FC5952"/>
    <w:rsid w:val="00FD1536"/>
    <w:rsid w:val="00FD162C"/>
    <w:rsid w:val="00FD2100"/>
    <w:rsid w:val="00FD25C8"/>
    <w:rsid w:val="00FD446D"/>
    <w:rsid w:val="00FD4C12"/>
    <w:rsid w:val="00FD794D"/>
    <w:rsid w:val="00FE06D7"/>
    <w:rsid w:val="00FE33B6"/>
    <w:rsid w:val="00FE5697"/>
    <w:rsid w:val="00FF3DCF"/>
    <w:rsid w:val="00FF56FB"/>
    <w:rsid w:val="00FF5AA3"/>
    <w:rsid w:val="00FF6226"/>
    <w:rsid w:val="00FF72D8"/>
    <w:rsid w:val="00FF7D8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63AD8"/>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D76A44"/>
    <w:pPr>
      <w:outlineLvl w:val="0"/>
    </w:pPr>
    <w:rPr>
      <w:rFonts w:ascii="Arial Bold" w:hAnsi="Arial Bold"/>
      <w:b/>
      <w:caps/>
    </w:rPr>
  </w:style>
  <w:style w:type="paragraph" w:styleId="Heading2">
    <w:name w:val="heading 2"/>
    <w:basedOn w:val="Normal"/>
    <w:next w:val="Normal"/>
    <w:link w:val="Heading2Char"/>
    <w:uiPriority w:val="1"/>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1"/>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Bullet point,List Paragraph1,List Paragraph11,Recommendation"/>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TableTitleB">
    <w:name w:val="Table Title B"/>
    <w:next w:val="BodyText"/>
    <w:qFormat/>
    <w:rsid w:val="00693002"/>
    <w:pPr>
      <w:numPr>
        <w:numId w:val="4"/>
      </w:numPr>
      <w:spacing w:after="120"/>
    </w:pPr>
    <w:rPr>
      <w:b/>
      <w:szCs w:val="24"/>
    </w:rPr>
  </w:style>
  <w:style w:type="paragraph" w:customStyle="1" w:styleId="Abbreviations">
    <w:name w:val="Abbreviations"/>
    <w:basedOn w:val="BodyText"/>
    <w:next w:val="BodyText"/>
    <w:qFormat/>
    <w:rsid w:val="00693002"/>
    <w:pPr>
      <w:widowControl/>
      <w:spacing w:before="20" w:after="20"/>
      <w:jc w:val="both"/>
    </w:pPr>
    <w:rPr>
      <w:rFonts w:cs="Times New Roman"/>
      <w:snapToGrid/>
      <w:sz w:val="16"/>
      <w:szCs w:val="24"/>
    </w:rPr>
  </w:style>
  <w:style w:type="character" w:customStyle="1" w:styleId="TableTextChar0">
    <w:name w:val="TableText Char"/>
    <w:link w:val="TableText0"/>
    <w:rsid w:val="00693002"/>
    <w:rPr>
      <w:rFonts w:ascii="Arial Narrow" w:hAnsi="Arial Narrow" w:cs="Arial Narrow"/>
      <w:lang w:eastAsia="en-US"/>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34"/>
    <w:qFormat/>
    <w:locked/>
    <w:rsid w:val="000C419D"/>
    <w:rPr>
      <w:rFonts w:ascii="Arial" w:hAnsi="Arial" w:cs="Arial"/>
      <w:snapToGrid w:val="0"/>
      <w:sz w:val="22"/>
      <w:lang w:eastAsia="en-US"/>
    </w:rPr>
  </w:style>
  <w:style w:type="paragraph" w:customStyle="1" w:styleId="TableText1">
    <w:name w:val="Table Text"/>
    <w:basedOn w:val="Normal"/>
    <w:qFormat/>
    <w:rsid w:val="007C3BA3"/>
    <w:pPr>
      <w:keepNext/>
      <w:widowControl/>
      <w:spacing w:before="40" w:after="40"/>
      <w:jc w:val="left"/>
    </w:pPr>
    <w:rPr>
      <w:rFonts w:ascii="Arial Narrow" w:eastAsiaTheme="minorHAnsi" w:hAnsi="Arial Narrow" w:cstheme="minorBidi"/>
      <w:snapToGrid/>
      <w:sz w:val="20"/>
      <w:szCs w:val="22"/>
    </w:rPr>
  </w:style>
  <w:style w:type="paragraph" w:customStyle="1" w:styleId="TableHeading0">
    <w:name w:val="Table Heading"/>
    <w:basedOn w:val="Normal"/>
    <w:qFormat/>
    <w:rsid w:val="007C3BA3"/>
    <w:pPr>
      <w:keepNext/>
      <w:widowControl/>
      <w:spacing w:after="60"/>
      <w:jc w:val="left"/>
    </w:pPr>
    <w:rPr>
      <w:rFonts w:ascii="Arial Narrow" w:eastAsiaTheme="minorHAnsi" w:hAnsi="Arial Narrow" w:cstheme="minorBidi"/>
      <w:b/>
      <w:snapToGrid/>
      <w:sz w:val="20"/>
      <w:szCs w:val="22"/>
    </w:rPr>
  </w:style>
  <w:style w:type="character" w:customStyle="1" w:styleId="TableFooterChar">
    <w:name w:val="Table Footer Char"/>
    <w:link w:val="TableFooter"/>
    <w:rsid w:val="007C3BA3"/>
    <w:rPr>
      <w:rFonts w:ascii="Arial Narrow" w:hAnsi="Arial Narrow" w:cs="Arial"/>
      <w:snapToGrid w:val="0"/>
      <w:sz w:val="18"/>
      <w:lang w:eastAsia="en-US"/>
    </w:rPr>
  </w:style>
  <w:style w:type="paragraph" w:customStyle="1" w:styleId="TableHeadingRow">
    <w:name w:val="TableHeadingRow"/>
    <w:basedOn w:val="Normal"/>
    <w:uiPriority w:val="3"/>
    <w:qFormat/>
    <w:rsid w:val="00B22E7E"/>
    <w:pPr>
      <w:keepNext/>
      <w:widowControl/>
      <w:spacing w:before="20" w:after="20"/>
      <w:jc w:val="left"/>
    </w:pPr>
    <w:rPr>
      <w:rFonts w:ascii="Calibri" w:hAnsi="Calibri" w:cstheme="minorHAnsi"/>
      <w:b/>
      <w:snapToGrid/>
      <w:sz w:val="20"/>
    </w:rPr>
  </w:style>
  <w:style w:type="paragraph" w:customStyle="1" w:styleId="TableTitleC">
    <w:name w:val="Table Title C"/>
    <w:next w:val="BodyText"/>
    <w:qFormat/>
    <w:rsid w:val="006B25E4"/>
    <w:pPr>
      <w:tabs>
        <w:tab w:val="num" w:pos="1505"/>
      </w:tabs>
      <w:spacing w:after="120"/>
      <w:ind w:left="1276" w:hanging="851"/>
    </w:pPr>
    <w:rPr>
      <w:b/>
      <w:szCs w:val="24"/>
    </w:rPr>
  </w:style>
  <w:style w:type="paragraph" w:styleId="FootnoteText">
    <w:name w:val="footnote text"/>
    <w:basedOn w:val="Normal"/>
    <w:link w:val="FootnoteTextChar"/>
    <w:uiPriority w:val="99"/>
    <w:unhideWhenUsed/>
    <w:rsid w:val="006B25E4"/>
    <w:pPr>
      <w:widowControl/>
      <w:spacing w:line="360" w:lineRule="auto"/>
    </w:pPr>
    <w:rPr>
      <w:rFonts w:cs="Times New Roman"/>
      <w:snapToGrid/>
      <w:sz w:val="20"/>
    </w:rPr>
  </w:style>
  <w:style w:type="character" w:customStyle="1" w:styleId="FootnoteTextChar">
    <w:name w:val="Footnote Text Char"/>
    <w:basedOn w:val="DefaultParagraphFont"/>
    <w:link w:val="FootnoteText"/>
    <w:uiPriority w:val="99"/>
    <w:rsid w:val="006B25E4"/>
    <w:rPr>
      <w:rFonts w:ascii="Arial" w:hAnsi="Arial"/>
      <w:lang w:eastAsia="en-US"/>
    </w:rPr>
  </w:style>
  <w:style w:type="character" w:styleId="FootnoteReference">
    <w:name w:val="footnote reference"/>
    <w:uiPriority w:val="99"/>
    <w:semiHidden/>
    <w:unhideWhenUsed/>
    <w:rsid w:val="006B25E4"/>
    <w:rPr>
      <w:vertAlign w:val="superscript"/>
    </w:rPr>
  </w:style>
  <w:style w:type="paragraph" w:customStyle="1" w:styleId="Bullet1">
    <w:name w:val="Bullet 1"/>
    <w:basedOn w:val="Normal"/>
    <w:next w:val="Normal"/>
    <w:qFormat/>
    <w:rsid w:val="00A81C6C"/>
    <w:pPr>
      <w:widowControl/>
      <w:numPr>
        <w:numId w:val="6"/>
      </w:numPr>
      <w:tabs>
        <w:tab w:val="clear" w:pos="360"/>
        <w:tab w:val="num" w:pos="426"/>
      </w:tabs>
      <w:spacing w:before="40" w:after="40" w:line="360" w:lineRule="auto"/>
      <w:ind w:left="426" w:hanging="426"/>
    </w:pPr>
    <w:rPr>
      <w:rFonts w:cs="Times New Roman"/>
      <w:snapToGrid/>
      <w:sz w:val="20"/>
      <w:szCs w:val="24"/>
    </w:rPr>
  </w:style>
  <w:style w:type="paragraph" w:customStyle="1" w:styleId="Bullet2">
    <w:name w:val="Bullet 2"/>
    <w:basedOn w:val="Normal"/>
    <w:next w:val="Normal"/>
    <w:qFormat/>
    <w:rsid w:val="00A81C6C"/>
    <w:pPr>
      <w:widowControl/>
      <w:numPr>
        <w:ilvl w:val="1"/>
        <w:numId w:val="6"/>
      </w:numPr>
      <w:spacing w:line="360" w:lineRule="auto"/>
    </w:pPr>
    <w:rPr>
      <w:rFonts w:cs="Times New Roman"/>
      <w:snapToGrid/>
      <w:sz w:val="20"/>
      <w:szCs w:val="24"/>
    </w:rPr>
  </w:style>
  <w:style w:type="paragraph" w:customStyle="1" w:styleId="FigureA">
    <w:name w:val="Figure A"/>
    <w:basedOn w:val="Normal"/>
    <w:next w:val="Normal"/>
    <w:qFormat/>
    <w:rsid w:val="00611F07"/>
    <w:pPr>
      <w:widowControl/>
      <w:numPr>
        <w:numId w:val="7"/>
      </w:numPr>
      <w:tabs>
        <w:tab w:val="left" w:pos="1134"/>
      </w:tabs>
      <w:spacing w:after="120"/>
      <w:ind w:left="1134" w:hanging="1134"/>
      <w:jc w:val="left"/>
    </w:pPr>
    <w:rPr>
      <w:rFonts w:ascii="Arial Bold" w:hAnsi="Arial Bold" w:cs="Times New Roman"/>
      <w:b/>
      <w:snapToGrid/>
      <w:sz w:val="20"/>
      <w:szCs w:val="24"/>
    </w:rPr>
  </w:style>
  <w:style w:type="table" w:customStyle="1" w:styleId="TableGridbeth1">
    <w:name w:val="Table Gridbeth1"/>
    <w:basedOn w:val="TableNormal"/>
    <w:next w:val="TableGrid"/>
    <w:uiPriority w:val="59"/>
    <w:rsid w:val="009D046E"/>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2">
    <w:name w:val="Table Gridbeth2"/>
    <w:basedOn w:val="TableNormal"/>
    <w:next w:val="TableGrid"/>
    <w:uiPriority w:val="59"/>
    <w:rsid w:val="009D046E"/>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character" w:customStyle="1" w:styleId="Heading1Char">
    <w:name w:val="Heading 1 Char"/>
    <w:basedOn w:val="DefaultParagraphFont"/>
    <w:link w:val="Heading1"/>
    <w:uiPriority w:val="1"/>
    <w:rsid w:val="00610C73"/>
    <w:rPr>
      <w:rFonts w:ascii="Arial Bold" w:hAnsi="Arial Bold" w:cs="Arial"/>
      <w:b/>
      <w:caps/>
      <w:snapToGrid w:val="0"/>
      <w:sz w:val="22"/>
      <w:lang w:eastAsia="en-US"/>
    </w:rPr>
  </w:style>
  <w:style w:type="table" w:customStyle="1" w:styleId="TableGridbeth3">
    <w:name w:val="Table Gridbeth3"/>
    <w:basedOn w:val="TableNormal"/>
    <w:next w:val="TableGrid"/>
    <w:uiPriority w:val="59"/>
    <w:rsid w:val="00CF26E1"/>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D100B"/>
    <w:pPr>
      <w:widowControl/>
      <w:spacing w:after="160" w:line="240" w:lineRule="exact"/>
      <w:jc w:val="left"/>
    </w:pPr>
    <w:rPr>
      <w:rFonts w:ascii="Verdana" w:eastAsia="MS Mincho" w:hAnsi="Verdana" w:cs="Verdana"/>
      <w:snapToGrid/>
      <w:sz w:val="20"/>
      <w:lang w:val="en-US"/>
    </w:rPr>
  </w:style>
  <w:style w:type="paragraph" w:customStyle="1" w:styleId="ESCHeading1">
    <w:name w:val="ESC Heading 1"/>
    <w:basedOn w:val="Normal"/>
    <w:rsid w:val="0045037F"/>
    <w:pPr>
      <w:widowControl/>
      <w:spacing w:before="120"/>
      <w:ind w:right="3"/>
    </w:pPr>
    <w:rPr>
      <w:rFonts w:ascii="Garamond" w:hAnsi="Garamond" w:cs="Times New Roman"/>
      <w:b/>
      <w:bCs/>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63AD8"/>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D76A44"/>
    <w:pPr>
      <w:outlineLvl w:val="0"/>
    </w:pPr>
    <w:rPr>
      <w:rFonts w:ascii="Arial Bold" w:hAnsi="Arial Bold"/>
      <w:b/>
      <w:caps/>
    </w:rPr>
  </w:style>
  <w:style w:type="paragraph" w:styleId="Heading2">
    <w:name w:val="heading 2"/>
    <w:basedOn w:val="Normal"/>
    <w:next w:val="Normal"/>
    <w:link w:val="Heading2Char"/>
    <w:uiPriority w:val="1"/>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1"/>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Bullet point,List Paragraph1,List Paragraph11,Recommendation"/>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TableTitleB">
    <w:name w:val="Table Title B"/>
    <w:next w:val="BodyText"/>
    <w:qFormat/>
    <w:rsid w:val="00693002"/>
    <w:pPr>
      <w:numPr>
        <w:numId w:val="4"/>
      </w:numPr>
      <w:spacing w:after="120"/>
    </w:pPr>
    <w:rPr>
      <w:b/>
      <w:szCs w:val="24"/>
    </w:rPr>
  </w:style>
  <w:style w:type="paragraph" w:customStyle="1" w:styleId="Abbreviations">
    <w:name w:val="Abbreviations"/>
    <w:basedOn w:val="BodyText"/>
    <w:next w:val="BodyText"/>
    <w:qFormat/>
    <w:rsid w:val="00693002"/>
    <w:pPr>
      <w:widowControl/>
      <w:spacing w:before="20" w:after="20"/>
      <w:jc w:val="both"/>
    </w:pPr>
    <w:rPr>
      <w:rFonts w:cs="Times New Roman"/>
      <w:snapToGrid/>
      <w:sz w:val="16"/>
      <w:szCs w:val="24"/>
    </w:rPr>
  </w:style>
  <w:style w:type="character" w:customStyle="1" w:styleId="TableTextChar0">
    <w:name w:val="TableText Char"/>
    <w:link w:val="TableText0"/>
    <w:rsid w:val="00693002"/>
    <w:rPr>
      <w:rFonts w:ascii="Arial Narrow" w:hAnsi="Arial Narrow" w:cs="Arial Narrow"/>
      <w:lang w:eastAsia="en-US"/>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34"/>
    <w:qFormat/>
    <w:locked/>
    <w:rsid w:val="000C419D"/>
    <w:rPr>
      <w:rFonts w:ascii="Arial" w:hAnsi="Arial" w:cs="Arial"/>
      <w:snapToGrid w:val="0"/>
      <w:sz w:val="22"/>
      <w:lang w:eastAsia="en-US"/>
    </w:rPr>
  </w:style>
  <w:style w:type="paragraph" w:customStyle="1" w:styleId="TableText1">
    <w:name w:val="Table Text"/>
    <w:basedOn w:val="Normal"/>
    <w:qFormat/>
    <w:rsid w:val="007C3BA3"/>
    <w:pPr>
      <w:keepNext/>
      <w:widowControl/>
      <w:spacing w:before="40" w:after="40"/>
      <w:jc w:val="left"/>
    </w:pPr>
    <w:rPr>
      <w:rFonts w:ascii="Arial Narrow" w:eastAsiaTheme="minorHAnsi" w:hAnsi="Arial Narrow" w:cstheme="minorBidi"/>
      <w:snapToGrid/>
      <w:sz w:val="20"/>
      <w:szCs w:val="22"/>
    </w:rPr>
  </w:style>
  <w:style w:type="paragraph" w:customStyle="1" w:styleId="TableHeading0">
    <w:name w:val="Table Heading"/>
    <w:basedOn w:val="Normal"/>
    <w:qFormat/>
    <w:rsid w:val="007C3BA3"/>
    <w:pPr>
      <w:keepNext/>
      <w:widowControl/>
      <w:spacing w:after="60"/>
      <w:jc w:val="left"/>
    </w:pPr>
    <w:rPr>
      <w:rFonts w:ascii="Arial Narrow" w:eastAsiaTheme="minorHAnsi" w:hAnsi="Arial Narrow" w:cstheme="minorBidi"/>
      <w:b/>
      <w:snapToGrid/>
      <w:sz w:val="20"/>
      <w:szCs w:val="22"/>
    </w:rPr>
  </w:style>
  <w:style w:type="character" w:customStyle="1" w:styleId="TableFooterChar">
    <w:name w:val="Table Footer Char"/>
    <w:link w:val="TableFooter"/>
    <w:rsid w:val="007C3BA3"/>
    <w:rPr>
      <w:rFonts w:ascii="Arial Narrow" w:hAnsi="Arial Narrow" w:cs="Arial"/>
      <w:snapToGrid w:val="0"/>
      <w:sz w:val="18"/>
      <w:lang w:eastAsia="en-US"/>
    </w:rPr>
  </w:style>
  <w:style w:type="paragraph" w:customStyle="1" w:styleId="TableHeadingRow">
    <w:name w:val="TableHeadingRow"/>
    <w:basedOn w:val="Normal"/>
    <w:uiPriority w:val="3"/>
    <w:qFormat/>
    <w:rsid w:val="00B22E7E"/>
    <w:pPr>
      <w:keepNext/>
      <w:widowControl/>
      <w:spacing w:before="20" w:after="20"/>
      <w:jc w:val="left"/>
    </w:pPr>
    <w:rPr>
      <w:rFonts w:ascii="Calibri" w:hAnsi="Calibri" w:cstheme="minorHAnsi"/>
      <w:b/>
      <w:snapToGrid/>
      <w:sz w:val="20"/>
    </w:rPr>
  </w:style>
  <w:style w:type="paragraph" w:customStyle="1" w:styleId="TableTitleC">
    <w:name w:val="Table Title C"/>
    <w:next w:val="BodyText"/>
    <w:qFormat/>
    <w:rsid w:val="006B25E4"/>
    <w:pPr>
      <w:tabs>
        <w:tab w:val="num" w:pos="1505"/>
      </w:tabs>
      <w:spacing w:after="120"/>
      <w:ind w:left="1276" w:hanging="851"/>
    </w:pPr>
    <w:rPr>
      <w:b/>
      <w:szCs w:val="24"/>
    </w:rPr>
  </w:style>
  <w:style w:type="paragraph" w:styleId="FootnoteText">
    <w:name w:val="footnote text"/>
    <w:basedOn w:val="Normal"/>
    <w:link w:val="FootnoteTextChar"/>
    <w:uiPriority w:val="99"/>
    <w:unhideWhenUsed/>
    <w:rsid w:val="006B25E4"/>
    <w:pPr>
      <w:widowControl/>
      <w:spacing w:line="360" w:lineRule="auto"/>
    </w:pPr>
    <w:rPr>
      <w:rFonts w:cs="Times New Roman"/>
      <w:snapToGrid/>
      <w:sz w:val="20"/>
    </w:rPr>
  </w:style>
  <w:style w:type="character" w:customStyle="1" w:styleId="FootnoteTextChar">
    <w:name w:val="Footnote Text Char"/>
    <w:basedOn w:val="DefaultParagraphFont"/>
    <w:link w:val="FootnoteText"/>
    <w:uiPriority w:val="99"/>
    <w:rsid w:val="006B25E4"/>
    <w:rPr>
      <w:rFonts w:ascii="Arial" w:hAnsi="Arial"/>
      <w:lang w:eastAsia="en-US"/>
    </w:rPr>
  </w:style>
  <w:style w:type="character" w:styleId="FootnoteReference">
    <w:name w:val="footnote reference"/>
    <w:uiPriority w:val="99"/>
    <w:semiHidden/>
    <w:unhideWhenUsed/>
    <w:rsid w:val="006B25E4"/>
    <w:rPr>
      <w:vertAlign w:val="superscript"/>
    </w:rPr>
  </w:style>
  <w:style w:type="paragraph" w:customStyle="1" w:styleId="Bullet1">
    <w:name w:val="Bullet 1"/>
    <w:basedOn w:val="Normal"/>
    <w:next w:val="Normal"/>
    <w:qFormat/>
    <w:rsid w:val="00A81C6C"/>
    <w:pPr>
      <w:widowControl/>
      <w:numPr>
        <w:numId w:val="6"/>
      </w:numPr>
      <w:tabs>
        <w:tab w:val="clear" w:pos="360"/>
        <w:tab w:val="num" w:pos="426"/>
      </w:tabs>
      <w:spacing w:before="40" w:after="40" w:line="360" w:lineRule="auto"/>
      <w:ind w:left="426" w:hanging="426"/>
    </w:pPr>
    <w:rPr>
      <w:rFonts w:cs="Times New Roman"/>
      <w:snapToGrid/>
      <w:sz w:val="20"/>
      <w:szCs w:val="24"/>
    </w:rPr>
  </w:style>
  <w:style w:type="paragraph" w:customStyle="1" w:styleId="Bullet2">
    <w:name w:val="Bullet 2"/>
    <w:basedOn w:val="Normal"/>
    <w:next w:val="Normal"/>
    <w:qFormat/>
    <w:rsid w:val="00A81C6C"/>
    <w:pPr>
      <w:widowControl/>
      <w:numPr>
        <w:ilvl w:val="1"/>
        <w:numId w:val="6"/>
      </w:numPr>
      <w:spacing w:line="360" w:lineRule="auto"/>
    </w:pPr>
    <w:rPr>
      <w:rFonts w:cs="Times New Roman"/>
      <w:snapToGrid/>
      <w:sz w:val="20"/>
      <w:szCs w:val="24"/>
    </w:rPr>
  </w:style>
  <w:style w:type="paragraph" w:customStyle="1" w:styleId="FigureA">
    <w:name w:val="Figure A"/>
    <w:basedOn w:val="Normal"/>
    <w:next w:val="Normal"/>
    <w:qFormat/>
    <w:rsid w:val="00611F07"/>
    <w:pPr>
      <w:widowControl/>
      <w:numPr>
        <w:numId w:val="7"/>
      </w:numPr>
      <w:tabs>
        <w:tab w:val="left" w:pos="1134"/>
      </w:tabs>
      <w:spacing w:after="120"/>
      <w:ind w:left="1134" w:hanging="1134"/>
      <w:jc w:val="left"/>
    </w:pPr>
    <w:rPr>
      <w:rFonts w:ascii="Arial Bold" w:hAnsi="Arial Bold" w:cs="Times New Roman"/>
      <w:b/>
      <w:snapToGrid/>
      <w:sz w:val="20"/>
      <w:szCs w:val="24"/>
    </w:rPr>
  </w:style>
  <w:style w:type="table" w:customStyle="1" w:styleId="TableGridbeth1">
    <w:name w:val="Table Gridbeth1"/>
    <w:basedOn w:val="TableNormal"/>
    <w:next w:val="TableGrid"/>
    <w:uiPriority w:val="59"/>
    <w:rsid w:val="009D046E"/>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2">
    <w:name w:val="Table Gridbeth2"/>
    <w:basedOn w:val="TableNormal"/>
    <w:next w:val="TableGrid"/>
    <w:uiPriority w:val="59"/>
    <w:rsid w:val="009D046E"/>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character" w:customStyle="1" w:styleId="Heading1Char">
    <w:name w:val="Heading 1 Char"/>
    <w:basedOn w:val="DefaultParagraphFont"/>
    <w:link w:val="Heading1"/>
    <w:uiPriority w:val="1"/>
    <w:rsid w:val="00610C73"/>
    <w:rPr>
      <w:rFonts w:ascii="Arial Bold" w:hAnsi="Arial Bold" w:cs="Arial"/>
      <w:b/>
      <w:caps/>
      <w:snapToGrid w:val="0"/>
      <w:sz w:val="22"/>
      <w:lang w:eastAsia="en-US"/>
    </w:rPr>
  </w:style>
  <w:style w:type="table" w:customStyle="1" w:styleId="TableGridbeth3">
    <w:name w:val="Table Gridbeth3"/>
    <w:basedOn w:val="TableNormal"/>
    <w:next w:val="TableGrid"/>
    <w:uiPriority w:val="59"/>
    <w:rsid w:val="00CF26E1"/>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D100B"/>
    <w:pPr>
      <w:widowControl/>
      <w:spacing w:after="160" w:line="240" w:lineRule="exact"/>
      <w:jc w:val="left"/>
    </w:pPr>
    <w:rPr>
      <w:rFonts w:ascii="Verdana" w:eastAsia="MS Mincho" w:hAnsi="Verdana" w:cs="Verdana"/>
      <w:snapToGrid/>
      <w:sz w:val="20"/>
      <w:lang w:val="en-US"/>
    </w:rPr>
  </w:style>
  <w:style w:type="paragraph" w:customStyle="1" w:styleId="ESCHeading1">
    <w:name w:val="ESC Heading 1"/>
    <w:basedOn w:val="Normal"/>
    <w:rsid w:val="0045037F"/>
    <w:pPr>
      <w:widowControl/>
      <w:spacing w:before="120"/>
      <w:ind w:right="3"/>
    </w:pPr>
    <w:rPr>
      <w:rFonts w:ascii="Garamond" w:hAnsi="Garamond" w:cs="Times New Roman"/>
      <w:b/>
      <w:bCs/>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38174">
      <w:bodyDiv w:val="1"/>
      <w:marLeft w:val="0"/>
      <w:marRight w:val="0"/>
      <w:marTop w:val="0"/>
      <w:marBottom w:val="0"/>
      <w:divBdr>
        <w:top w:val="none" w:sz="0" w:space="0" w:color="auto"/>
        <w:left w:val="none" w:sz="0" w:space="0" w:color="auto"/>
        <w:bottom w:val="none" w:sz="0" w:space="0" w:color="auto"/>
        <w:right w:val="none" w:sz="0" w:space="0" w:color="auto"/>
      </w:divBdr>
    </w:div>
    <w:div w:id="160704119">
      <w:bodyDiv w:val="1"/>
      <w:marLeft w:val="0"/>
      <w:marRight w:val="0"/>
      <w:marTop w:val="0"/>
      <w:marBottom w:val="0"/>
      <w:divBdr>
        <w:top w:val="none" w:sz="0" w:space="0" w:color="auto"/>
        <w:left w:val="none" w:sz="0" w:space="0" w:color="auto"/>
        <w:bottom w:val="none" w:sz="0" w:space="0" w:color="auto"/>
        <w:right w:val="none" w:sz="0" w:space="0" w:color="auto"/>
      </w:divBdr>
      <w:divsChild>
        <w:div w:id="834418307">
          <w:marLeft w:val="907"/>
          <w:marRight w:val="0"/>
          <w:marTop w:val="96"/>
          <w:marBottom w:val="0"/>
          <w:divBdr>
            <w:top w:val="none" w:sz="0" w:space="0" w:color="auto"/>
            <w:left w:val="none" w:sz="0" w:space="0" w:color="auto"/>
            <w:bottom w:val="none" w:sz="0" w:space="0" w:color="auto"/>
            <w:right w:val="none" w:sz="0" w:space="0" w:color="auto"/>
          </w:divBdr>
        </w:div>
        <w:div w:id="723872612">
          <w:marLeft w:val="1166"/>
          <w:marRight w:val="0"/>
          <w:marTop w:val="86"/>
          <w:marBottom w:val="0"/>
          <w:divBdr>
            <w:top w:val="none" w:sz="0" w:space="0" w:color="auto"/>
            <w:left w:val="none" w:sz="0" w:space="0" w:color="auto"/>
            <w:bottom w:val="none" w:sz="0" w:space="0" w:color="auto"/>
            <w:right w:val="none" w:sz="0" w:space="0" w:color="auto"/>
          </w:divBdr>
        </w:div>
      </w:divsChild>
    </w:div>
    <w:div w:id="188446732">
      <w:bodyDiv w:val="1"/>
      <w:marLeft w:val="0"/>
      <w:marRight w:val="0"/>
      <w:marTop w:val="0"/>
      <w:marBottom w:val="0"/>
      <w:divBdr>
        <w:top w:val="none" w:sz="0" w:space="0" w:color="auto"/>
        <w:left w:val="none" w:sz="0" w:space="0" w:color="auto"/>
        <w:bottom w:val="none" w:sz="0" w:space="0" w:color="auto"/>
        <w:right w:val="none" w:sz="0" w:space="0" w:color="auto"/>
      </w:divBdr>
    </w:div>
    <w:div w:id="195507760">
      <w:bodyDiv w:val="1"/>
      <w:marLeft w:val="0"/>
      <w:marRight w:val="0"/>
      <w:marTop w:val="0"/>
      <w:marBottom w:val="0"/>
      <w:divBdr>
        <w:top w:val="none" w:sz="0" w:space="0" w:color="auto"/>
        <w:left w:val="none" w:sz="0" w:space="0" w:color="auto"/>
        <w:bottom w:val="none" w:sz="0" w:space="0" w:color="auto"/>
        <w:right w:val="none" w:sz="0" w:space="0" w:color="auto"/>
      </w:divBdr>
      <w:divsChild>
        <w:div w:id="1315066489">
          <w:marLeft w:val="1166"/>
          <w:marRight w:val="0"/>
          <w:marTop w:val="72"/>
          <w:marBottom w:val="0"/>
          <w:divBdr>
            <w:top w:val="none" w:sz="0" w:space="0" w:color="auto"/>
            <w:left w:val="none" w:sz="0" w:space="0" w:color="auto"/>
            <w:bottom w:val="none" w:sz="0" w:space="0" w:color="auto"/>
            <w:right w:val="none" w:sz="0" w:space="0" w:color="auto"/>
          </w:divBdr>
        </w:div>
      </w:divsChild>
    </w:div>
    <w:div w:id="233123502">
      <w:bodyDiv w:val="1"/>
      <w:marLeft w:val="0"/>
      <w:marRight w:val="0"/>
      <w:marTop w:val="0"/>
      <w:marBottom w:val="0"/>
      <w:divBdr>
        <w:top w:val="none" w:sz="0" w:space="0" w:color="auto"/>
        <w:left w:val="none" w:sz="0" w:space="0" w:color="auto"/>
        <w:bottom w:val="none" w:sz="0" w:space="0" w:color="auto"/>
        <w:right w:val="none" w:sz="0" w:space="0" w:color="auto"/>
      </w:divBdr>
    </w:div>
    <w:div w:id="279072433">
      <w:bodyDiv w:val="1"/>
      <w:marLeft w:val="0"/>
      <w:marRight w:val="0"/>
      <w:marTop w:val="0"/>
      <w:marBottom w:val="0"/>
      <w:divBdr>
        <w:top w:val="none" w:sz="0" w:space="0" w:color="auto"/>
        <w:left w:val="none" w:sz="0" w:space="0" w:color="auto"/>
        <w:bottom w:val="none" w:sz="0" w:space="0" w:color="auto"/>
        <w:right w:val="none" w:sz="0" w:space="0" w:color="auto"/>
      </w:divBdr>
      <w:divsChild>
        <w:div w:id="319772195">
          <w:marLeft w:val="547"/>
          <w:marRight w:val="0"/>
          <w:marTop w:val="134"/>
          <w:marBottom w:val="0"/>
          <w:divBdr>
            <w:top w:val="none" w:sz="0" w:space="0" w:color="auto"/>
            <w:left w:val="none" w:sz="0" w:space="0" w:color="auto"/>
            <w:bottom w:val="none" w:sz="0" w:space="0" w:color="auto"/>
            <w:right w:val="none" w:sz="0" w:space="0" w:color="auto"/>
          </w:divBdr>
        </w:div>
      </w:divsChild>
    </w:div>
    <w:div w:id="349064774">
      <w:bodyDiv w:val="1"/>
      <w:marLeft w:val="0"/>
      <w:marRight w:val="0"/>
      <w:marTop w:val="0"/>
      <w:marBottom w:val="0"/>
      <w:divBdr>
        <w:top w:val="none" w:sz="0" w:space="0" w:color="auto"/>
        <w:left w:val="none" w:sz="0" w:space="0" w:color="auto"/>
        <w:bottom w:val="none" w:sz="0" w:space="0" w:color="auto"/>
        <w:right w:val="none" w:sz="0" w:space="0" w:color="auto"/>
      </w:divBdr>
    </w:div>
    <w:div w:id="355929070">
      <w:bodyDiv w:val="1"/>
      <w:marLeft w:val="0"/>
      <w:marRight w:val="0"/>
      <w:marTop w:val="0"/>
      <w:marBottom w:val="0"/>
      <w:divBdr>
        <w:top w:val="none" w:sz="0" w:space="0" w:color="auto"/>
        <w:left w:val="none" w:sz="0" w:space="0" w:color="auto"/>
        <w:bottom w:val="none" w:sz="0" w:space="0" w:color="auto"/>
        <w:right w:val="none" w:sz="0" w:space="0" w:color="auto"/>
      </w:divBdr>
    </w:div>
    <w:div w:id="690834999">
      <w:bodyDiv w:val="1"/>
      <w:marLeft w:val="0"/>
      <w:marRight w:val="0"/>
      <w:marTop w:val="0"/>
      <w:marBottom w:val="0"/>
      <w:divBdr>
        <w:top w:val="none" w:sz="0" w:space="0" w:color="auto"/>
        <w:left w:val="none" w:sz="0" w:space="0" w:color="auto"/>
        <w:bottom w:val="none" w:sz="0" w:space="0" w:color="auto"/>
        <w:right w:val="none" w:sz="0" w:space="0" w:color="auto"/>
      </w:divBdr>
    </w:div>
    <w:div w:id="747583582">
      <w:bodyDiv w:val="1"/>
      <w:marLeft w:val="0"/>
      <w:marRight w:val="0"/>
      <w:marTop w:val="0"/>
      <w:marBottom w:val="0"/>
      <w:divBdr>
        <w:top w:val="none" w:sz="0" w:space="0" w:color="auto"/>
        <w:left w:val="none" w:sz="0" w:space="0" w:color="auto"/>
        <w:bottom w:val="none" w:sz="0" w:space="0" w:color="auto"/>
        <w:right w:val="none" w:sz="0" w:space="0" w:color="auto"/>
      </w:divBdr>
    </w:div>
    <w:div w:id="943422969">
      <w:bodyDiv w:val="1"/>
      <w:marLeft w:val="0"/>
      <w:marRight w:val="0"/>
      <w:marTop w:val="0"/>
      <w:marBottom w:val="0"/>
      <w:divBdr>
        <w:top w:val="none" w:sz="0" w:space="0" w:color="auto"/>
        <w:left w:val="none" w:sz="0" w:space="0" w:color="auto"/>
        <w:bottom w:val="none" w:sz="0" w:space="0" w:color="auto"/>
        <w:right w:val="none" w:sz="0" w:space="0" w:color="auto"/>
      </w:divBdr>
      <w:divsChild>
        <w:div w:id="1128819798">
          <w:marLeft w:val="1800"/>
          <w:marRight w:val="0"/>
          <w:marTop w:val="62"/>
          <w:marBottom w:val="0"/>
          <w:divBdr>
            <w:top w:val="none" w:sz="0" w:space="0" w:color="auto"/>
            <w:left w:val="none" w:sz="0" w:space="0" w:color="auto"/>
            <w:bottom w:val="none" w:sz="0" w:space="0" w:color="auto"/>
            <w:right w:val="none" w:sz="0" w:space="0" w:color="auto"/>
          </w:divBdr>
        </w:div>
      </w:divsChild>
    </w:div>
    <w:div w:id="1004087134">
      <w:bodyDiv w:val="1"/>
      <w:marLeft w:val="0"/>
      <w:marRight w:val="0"/>
      <w:marTop w:val="0"/>
      <w:marBottom w:val="0"/>
      <w:divBdr>
        <w:top w:val="none" w:sz="0" w:space="0" w:color="auto"/>
        <w:left w:val="none" w:sz="0" w:space="0" w:color="auto"/>
        <w:bottom w:val="none" w:sz="0" w:space="0" w:color="auto"/>
        <w:right w:val="none" w:sz="0" w:space="0" w:color="auto"/>
      </w:divBdr>
      <w:divsChild>
        <w:div w:id="1726029106">
          <w:marLeft w:val="1166"/>
          <w:marRight w:val="0"/>
          <w:marTop w:val="86"/>
          <w:marBottom w:val="0"/>
          <w:divBdr>
            <w:top w:val="none" w:sz="0" w:space="0" w:color="auto"/>
            <w:left w:val="none" w:sz="0" w:space="0" w:color="auto"/>
            <w:bottom w:val="none" w:sz="0" w:space="0" w:color="auto"/>
            <w:right w:val="none" w:sz="0" w:space="0" w:color="auto"/>
          </w:divBdr>
        </w:div>
        <w:div w:id="937063496">
          <w:marLeft w:val="2160"/>
          <w:marRight w:val="0"/>
          <w:marTop w:val="72"/>
          <w:marBottom w:val="0"/>
          <w:divBdr>
            <w:top w:val="none" w:sz="0" w:space="0" w:color="auto"/>
            <w:left w:val="none" w:sz="0" w:space="0" w:color="auto"/>
            <w:bottom w:val="none" w:sz="0" w:space="0" w:color="auto"/>
            <w:right w:val="none" w:sz="0" w:space="0" w:color="auto"/>
          </w:divBdr>
        </w:div>
        <w:div w:id="124156531">
          <w:marLeft w:val="2160"/>
          <w:marRight w:val="0"/>
          <w:marTop w:val="72"/>
          <w:marBottom w:val="0"/>
          <w:divBdr>
            <w:top w:val="none" w:sz="0" w:space="0" w:color="auto"/>
            <w:left w:val="none" w:sz="0" w:space="0" w:color="auto"/>
            <w:bottom w:val="none" w:sz="0" w:space="0" w:color="auto"/>
            <w:right w:val="none" w:sz="0" w:space="0" w:color="auto"/>
          </w:divBdr>
        </w:div>
        <w:div w:id="1336106142">
          <w:marLeft w:val="2160"/>
          <w:marRight w:val="0"/>
          <w:marTop w:val="72"/>
          <w:marBottom w:val="0"/>
          <w:divBdr>
            <w:top w:val="none" w:sz="0" w:space="0" w:color="auto"/>
            <w:left w:val="none" w:sz="0" w:space="0" w:color="auto"/>
            <w:bottom w:val="none" w:sz="0" w:space="0" w:color="auto"/>
            <w:right w:val="none" w:sz="0" w:space="0" w:color="auto"/>
          </w:divBdr>
        </w:div>
        <w:div w:id="1838617098">
          <w:marLeft w:val="2160"/>
          <w:marRight w:val="0"/>
          <w:marTop w:val="72"/>
          <w:marBottom w:val="0"/>
          <w:divBdr>
            <w:top w:val="none" w:sz="0" w:space="0" w:color="auto"/>
            <w:left w:val="none" w:sz="0" w:space="0" w:color="auto"/>
            <w:bottom w:val="none" w:sz="0" w:space="0" w:color="auto"/>
            <w:right w:val="none" w:sz="0" w:space="0" w:color="auto"/>
          </w:divBdr>
        </w:div>
        <w:div w:id="405491933">
          <w:marLeft w:val="2160"/>
          <w:marRight w:val="0"/>
          <w:marTop w:val="72"/>
          <w:marBottom w:val="0"/>
          <w:divBdr>
            <w:top w:val="none" w:sz="0" w:space="0" w:color="auto"/>
            <w:left w:val="none" w:sz="0" w:space="0" w:color="auto"/>
            <w:bottom w:val="none" w:sz="0" w:space="0" w:color="auto"/>
            <w:right w:val="none" w:sz="0" w:space="0" w:color="auto"/>
          </w:divBdr>
        </w:div>
      </w:divsChild>
    </w:div>
    <w:div w:id="1178084169">
      <w:bodyDiv w:val="1"/>
      <w:marLeft w:val="0"/>
      <w:marRight w:val="0"/>
      <w:marTop w:val="0"/>
      <w:marBottom w:val="0"/>
      <w:divBdr>
        <w:top w:val="none" w:sz="0" w:space="0" w:color="auto"/>
        <w:left w:val="none" w:sz="0" w:space="0" w:color="auto"/>
        <w:bottom w:val="none" w:sz="0" w:space="0" w:color="auto"/>
        <w:right w:val="none" w:sz="0" w:space="0" w:color="auto"/>
      </w:divBdr>
      <w:divsChild>
        <w:div w:id="2010019449">
          <w:marLeft w:val="1166"/>
          <w:marRight w:val="0"/>
          <w:marTop w:val="86"/>
          <w:marBottom w:val="0"/>
          <w:divBdr>
            <w:top w:val="none" w:sz="0" w:space="0" w:color="auto"/>
            <w:left w:val="none" w:sz="0" w:space="0" w:color="auto"/>
            <w:bottom w:val="none" w:sz="0" w:space="0" w:color="auto"/>
            <w:right w:val="none" w:sz="0" w:space="0" w:color="auto"/>
          </w:divBdr>
        </w:div>
        <w:div w:id="1103182550">
          <w:marLeft w:val="2160"/>
          <w:marRight w:val="0"/>
          <w:marTop w:val="72"/>
          <w:marBottom w:val="0"/>
          <w:divBdr>
            <w:top w:val="none" w:sz="0" w:space="0" w:color="auto"/>
            <w:left w:val="none" w:sz="0" w:space="0" w:color="auto"/>
            <w:bottom w:val="none" w:sz="0" w:space="0" w:color="auto"/>
            <w:right w:val="none" w:sz="0" w:space="0" w:color="auto"/>
          </w:divBdr>
        </w:div>
        <w:div w:id="12998143">
          <w:marLeft w:val="2160"/>
          <w:marRight w:val="0"/>
          <w:marTop w:val="72"/>
          <w:marBottom w:val="0"/>
          <w:divBdr>
            <w:top w:val="none" w:sz="0" w:space="0" w:color="auto"/>
            <w:left w:val="none" w:sz="0" w:space="0" w:color="auto"/>
            <w:bottom w:val="none" w:sz="0" w:space="0" w:color="auto"/>
            <w:right w:val="none" w:sz="0" w:space="0" w:color="auto"/>
          </w:divBdr>
        </w:div>
        <w:div w:id="1857500936">
          <w:marLeft w:val="2160"/>
          <w:marRight w:val="0"/>
          <w:marTop w:val="72"/>
          <w:marBottom w:val="0"/>
          <w:divBdr>
            <w:top w:val="none" w:sz="0" w:space="0" w:color="auto"/>
            <w:left w:val="none" w:sz="0" w:space="0" w:color="auto"/>
            <w:bottom w:val="none" w:sz="0" w:space="0" w:color="auto"/>
            <w:right w:val="none" w:sz="0" w:space="0" w:color="auto"/>
          </w:divBdr>
        </w:div>
        <w:div w:id="1799488523">
          <w:marLeft w:val="2160"/>
          <w:marRight w:val="0"/>
          <w:marTop w:val="72"/>
          <w:marBottom w:val="0"/>
          <w:divBdr>
            <w:top w:val="none" w:sz="0" w:space="0" w:color="auto"/>
            <w:left w:val="none" w:sz="0" w:space="0" w:color="auto"/>
            <w:bottom w:val="none" w:sz="0" w:space="0" w:color="auto"/>
            <w:right w:val="none" w:sz="0" w:space="0" w:color="auto"/>
          </w:divBdr>
        </w:div>
        <w:div w:id="548031882">
          <w:marLeft w:val="2160"/>
          <w:marRight w:val="0"/>
          <w:marTop w:val="72"/>
          <w:marBottom w:val="0"/>
          <w:divBdr>
            <w:top w:val="none" w:sz="0" w:space="0" w:color="auto"/>
            <w:left w:val="none" w:sz="0" w:space="0" w:color="auto"/>
            <w:bottom w:val="none" w:sz="0" w:space="0" w:color="auto"/>
            <w:right w:val="none" w:sz="0" w:space="0" w:color="auto"/>
          </w:divBdr>
        </w:div>
      </w:divsChild>
    </w:div>
    <w:div w:id="1215849960">
      <w:bodyDiv w:val="1"/>
      <w:marLeft w:val="0"/>
      <w:marRight w:val="0"/>
      <w:marTop w:val="0"/>
      <w:marBottom w:val="0"/>
      <w:divBdr>
        <w:top w:val="none" w:sz="0" w:space="0" w:color="auto"/>
        <w:left w:val="none" w:sz="0" w:space="0" w:color="auto"/>
        <w:bottom w:val="none" w:sz="0" w:space="0" w:color="auto"/>
        <w:right w:val="none" w:sz="0" w:space="0" w:color="auto"/>
      </w:divBdr>
    </w:div>
    <w:div w:id="1262448026">
      <w:bodyDiv w:val="1"/>
      <w:marLeft w:val="0"/>
      <w:marRight w:val="0"/>
      <w:marTop w:val="0"/>
      <w:marBottom w:val="0"/>
      <w:divBdr>
        <w:top w:val="none" w:sz="0" w:space="0" w:color="auto"/>
        <w:left w:val="none" w:sz="0" w:space="0" w:color="auto"/>
        <w:bottom w:val="none" w:sz="0" w:space="0" w:color="auto"/>
        <w:right w:val="none" w:sz="0" w:space="0" w:color="auto"/>
      </w:divBdr>
    </w:div>
    <w:div w:id="1294824455">
      <w:bodyDiv w:val="1"/>
      <w:marLeft w:val="0"/>
      <w:marRight w:val="0"/>
      <w:marTop w:val="0"/>
      <w:marBottom w:val="0"/>
      <w:divBdr>
        <w:top w:val="none" w:sz="0" w:space="0" w:color="auto"/>
        <w:left w:val="none" w:sz="0" w:space="0" w:color="auto"/>
        <w:bottom w:val="none" w:sz="0" w:space="0" w:color="auto"/>
        <w:right w:val="none" w:sz="0" w:space="0" w:color="auto"/>
      </w:divBdr>
    </w:div>
    <w:div w:id="1374382336">
      <w:bodyDiv w:val="1"/>
      <w:marLeft w:val="0"/>
      <w:marRight w:val="0"/>
      <w:marTop w:val="0"/>
      <w:marBottom w:val="0"/>
      <w:divBdr>
        <w:top w:val="none" w:sz="0" w:space="0" w:color="auto"/>
        <w:left w:val="none" w:sz="0" w:space="0" w:color="auto"/>
        <w:bottom w:val="none" w:sz="0" w:space="0" w:color="auto"/>
        <w:right w:val="none" w:sz="0" w:space="0" w:color="auto"/>
      </w:divBdr>
    </w:div>
    <w:div w:id="1443576374">
      <w:bodyDiv w:val="1"/>
      <w:marLeft w:val="0"/>
      <w:marRight w:val="0"/>
      <w:marTop w:val="0"/>
      <w:marBottom w:val="0"/>
      <w:divBdr>
        <w:top w:val="none" w:sz="0" w:space="0" w:color="auto"/>
        <w:left w:val="none" w:sz="0" w:space="0" w:color="auto"/>
        <w:bottom w:val="none" w:sz="0" w:space="0" w:color="auto"/>
        <w:right w:val="none" w:sz="0" w:space="0" w:color="auto"/>
      </w:divBdr>
    </w:div>
    <w:div w:id="1496383685">
      <w:bodyDiv w:val="1"/>
      <w:marLeft w:val="0"/>
      <w:marRight w:val="0"/>
      <w:marTop w:val="0"/>
      <w:marBottom w:val="0"/>
      <w:divBdr>
        <w:top w:val="none" w:sz="0" w:space="0" w:color="auto"/>
        <w:left w:val="none" w:sz="0" w:space="0" w:color="auto"/>
        <w:bottom w:val="none" w:sz="0" w:space="0" w:color="auto"/>
        <w:right w:val="none" w:sz="0" w:space="0" w:color="auto"/>
      </w:divBdr>
      <w:divsChild>
        <w:div w:id="2135055082">
          <w:marLeft w:val="1166"/>
          <w:marRight w:val="0"/>
          <w:marTop w:val="86"/>
          <w:marBottom w:val="0"/>
          <w:divBdr>
            <w:top w:val="none" w:sz="0" w:space="0" w:color="auto"/>
            <w:left w:val="none" w:sz="0" w:space="0" w:color="auto"/>
            <w:bottom w:val="none" w:sz="0" w:space="0" w:color="auto"/>
            <w:right w:val="none" w:sz="0" w:space="0" w:color="auto"/>
          </w:divBdr>
        </w:div>
        <w:div w:id="1216814461">
          <w:marLeft w:val="1800"/>
          <w:marRight w:val="0"/>
          <w:marTop w:val="72"/>
          <w:marBottom w:val="0"/>
          <w:divBdr>
            <w:top w:val="none" w:sz="0" w:space="0" w:color="auto"/>
            <w:left w:val="none" w:sz="0" w:space="0" w:color="auto"/>
            <w:bottom w:val="none" w:sz="0" w:space="0" w:color="auto"/>
            <w:right w:val="none" w:sz="0" w:space="0" w:color="auto"/>
          </w:divBdr>
        </w:div>
        <w:div w:id="1492258646">
          <w:marLeft w:val="1800"/>
          <w:marRight w:val="0"/>
          <w:marTop w:val="72"/>
          <w:marBottom w:val="0"/>
          <w:divBdr>
            <w:top w:val="none" w:sz="0" w:space="0" w:color="auto"/>
            <w:left w:val="none" w:sz="0" w:space="0" w:color="auto"/>
            <w:bottom w:val="none" w:sz="0" w:space="0" w:color="auto"/>
            <w:right w:val="none" w:sz="0" w:space="0" w:color="auto"/>
          </w:divBdr>
        </w:div>
      </w:divsChild>
    </w:div>
    <w:div w:id="1524635646">
      <w:bodyDiv w:val="1"/>
      <w:marLeft w:val="0"/>
      <w:marRight w:val="0"/>
      <w:marTop w:val="0"/>
      <w:marBottom w:val="0"/>
      <w:divBdr>
        <w:top w:val="none" w:sz="0" w:space="0" w:color="auto"/>
        <w:left w:val="none" w:sz="0" w:space="0" w:color="auto"/>
        <w:bottom w:val="none" w:sz="0" w:space="0" w:color="auto"/>
        <w:right w:val="none" w:sz="0" w:space="0" w:color="auto"/>
      </w:divBdr>
    </w:div>
    <w:div w:id="1603032018">
      <w:bodyDiv w:val="1"/>
      <w:marLeft w:val="0"/>
      <w:marRight w:val="0"/>
      <w:marTop w:val="0"/>
      <w:marBottom w:val="0"/>
      <w:divBdr>
        <w:top w:val="none" w:sz="0" w:space="0" w:color="auto"/>
        <w:left w:val="none" w:sz="0" w:space="0" w:color="auto"/>
        <w:bottom w:val="none" w:sz="0" w:space="0" w:color="auto"/>
        <w:right w:val="none" w:sz="0" w:space="0" w:color="auto"/>
      </w:divBdr>
    </w:div>
    <w:div w:id="1641033078">
      <w:bodyDiv w:val="1"/>
      <w:marLeft w:val="0"/>
      <w:marRight w:val="0"/>
      <w:marTop w:val="0"/>
      <w:marBottom w:val="0"/>
      <w:divBdr>
        <w:top w:val="none" w:sz="0" w:space="0" w:color="auto"/>
        <w:left w:val="none" w:sz="0" w:space="0" w:color="auto"/>
        <w:bottom w:val="none" w:sz="0" w:space="0" w:color="auto"/>
        <w:right w:val="none" w:sz="0" w:space="0" w:color="auto"/>
      </w:divBdr>
    </w:div>
    <w:div w:id="1645312869">
      <w:bodyDiv w:val="1"/>
      <w:marLeft w:val="0"/>
      <w:marRight w:val="0"/>
      <w:marTop w:val="0"/>
      <w:marBottom w:val="0"/>
      <w:divBdr>
        <w:top w:val="none" w:sz="0" w:space="0" w:color="auto"/>
        <w:left w:val="none" w:sz="0" w:space="0" w:color="auto"/>
        <w:bottom w:val="none" w:sz="0" w:space="0" w:color="auto"/>
        <w:right w:val="none" w:sz="0" w:space="0" w:color="auto"/>
      </w:divBdr>
    </w:div>
    <w:div w:id="20908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3F2E-D6EA-42E3-87B3-2DDE08B0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10537</Words>
  <Characters>64028</Characters>
  <Application>Microsoft Office Word</Application>
  <DocSecurity>0</DocSecurity>
  <Lines>533</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2018-02-18T22:08:00Z</dcterms:created>
  <dcterms:modified xsi:type="dcterms:W3CDTF">2018-02-21T23:39:00Z</dcterms:modified>
</cp:coreProperties>
</file>