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741" w:rsidRPr="001A4753" w:rsidRDefault="00F9023A" w:rsidP="00F01A40">
      <w:pPr>
        <w:ind w:left="992" w:hanging="992"/>
        <w:outlineLvl w:val="0"/>
        <w:rPr>
          <w:b/>
          <w:sz w:val="36"/>
          <w:szCs w:val="36"/>
        </w:rPr>
      </w:pPr>
      <w:r w:rsidRPr="001A4753">
        <w:rPr>
          <w:b/>
          <w:sz w:val="36"/>
          <w:szCs w:val="36"/>
        </w:rPr>
        <w:t>6.04</w:t>
      </w:r>
      <w:r w:rsidR="005F1741" w:rsidRPr="001A4753">
        <w:rPr>
          <w:b/>
          <w:sz w:val="36"/>
          <w:szCs w:val="36"/>
        </w:rPr>
        <w:tab/>
        <w:t>GOLIMUMAB,</w:t>
      </w:r>
      <w:r w:rsidR="005F1741" w:rsidRPr="001A4753">
        <w:rPr>
          <w:b/>
          <w:sz w:val="36"/>
          <w:szCs w:val="36"/>
        </w:rPr>
        <w:br/>
        <w:t>injection 50</w:t>
      </w:r>
      <w:r w:rsidR="007A6648" w:rsidRPr="001A4753">
        <w:rPr>
          <w:b/>
          <w:sz w:val="36"/>
          <w:szCs w:val="36"/>
        </w:rPr>
        <w:t xml:space="preserve"> </w:t>
      </w:r>
      <w:r w:rsidR="005F1741" w:rsidRPr="001A4753">
        <w:rPr>
          <w:b/>
          <w:sz w:val="36"/>
          <w:szCs w:val="36"/>
        </w:rPr>
        <w:t>mg/0.5</w:t>
      </w:r>
      <w:r w:rsidR="007A6648" w:rsidRPr="001A4753">
        <w:rPr>
          <w:b/>
          <w:sz w:val="36"/>
          <w:szCs w:val="36"/>
        </w:rPr>
        <w:t xml:space="preserve"> </w:t>
      </w:r>
      <w:r w:rsidR="005F1741" w:rsidRPr="001A4753">
        <w:rPr>
          <w:b/>
          <w:sz w:val="36"/>
          <w:szCs w:val="36"/>
        </w:rPr>
        <w:t>mL pre-filled syring</w:t>
      </w:r>
      <w:r w:rsidRPr="001A4753">
        <w:rPr>
          <w:b/>
          <w:sz w:val="36"/>
          <w:szCs w:val="36"/>
        </w:rPr>
        <w:t>e</w:t>
      </w:r>
      <w:r w:rsidR="005F1741" w:rsidRPr="001A4753">
        <w:rPr>
          <w:b/>
          <w:sz w:val="36"/>
          <w:szCs w:val="36"/>
        </w:rPr>
        <w:t xml:space="preserve">, </w:t>
      </w:r>
      <w:r w:rsidR="005F1741" w:rsidRPr="001A4753">
        <w:rPr>
          <w:b/>
          <w:sz w:val="36"/>
          <w:szCs w:val="36"/>
        </w:rPr>
        <w:br/>
        <w:t>Simponi®, Janssen-Cilag Pty Ltd</w:t>
      </w:r>
    </w:p>
    <w:p w:rsidR="005F1741" w:rsidRPr="001A4753" w:rsidRDefault="005F1741" w:rsidP="002B0C11">
      <w:pPr>
        <w:pStyle w:val="Heading1"/>
      </w:pPr>
      <w:bookmarkStart w:id="0" w:name="_Toc492522235"/>
      <w:r w:rsidRPr="001A4753">
        <w:t>Purpose of application</w:t>
      </w:r>
      <w:bookmarkEnd w:id="0"/>
    </w:p>
    <w:p w:rsidR="005F1741" w:rsidRPr="001A4753" w:rsidRDefault="005F1741" w:rsidP="00BB68CD">
      <w:pPr>
        <w:numPr>
          <w:ilvl w:val="1"/>
          <w:numId w:val="4"/>
        </w:numPr>
        <w:spacing w:before="0" w:after="120"/>
      </w:pPr>
      <w:r w:rsidRPr="001A4753">
        <w:t>Authority Required listing for golimumab for the treatment of non-radiographic axial spondyloarthritis (nr-axSpA).</w:t>
      </w:r>
    </w:p>
    <w:p w:rsidR="005F1741" w:rsidRPr="001A4753" w:rsidRDefault="005F1741" w:rsidP="00BB68CD">
      <w:pPr>
        <w:numPr>
          <w:ilvl w:val="1"/>
          <w:numId w:val="4"/>
        </w:numPr>
        <w:spacing w:before="0" w:after="120"/>
        <w:jc w:val="both"/>
      </w:pPr>
      <w:r w:rsidRPr="001A4753">
        <w:t xml:space="preserve">The requested basis for listing was a cost-utility analysis of golimumab and background non-steroidal anti-inflammatory drugs (NSAIDs) versus conventional care (as represented by placebo plus background NSAIDs). </w:t>
      </w:r>
    </w:p>
    <w:p w:rsidR="0081641C" w:rsidRPr="001A4753" w:rsidRDefault="0081641C" w:rsidP="00BB68CD">
      <w:pPr>
        <w:numPr>
          <w:ilvl w:val="1"/>
          <w:numId w:val="4"/>
        </w:numPr>
        <w:spacing w:before="0" w:after="120"/>
        <w:jc w:val="both"/>
      </w:pPr>
      <w:r w:rsidRPr="001A4753">
        <w:t>The key components of the clinical issue addressed by the submission are presented in Table 1.</w:t>
      </w:r>
    </w:p>
    <w:p w:rsidR="005F1741" w:rsidRPr="001A4753" w:rsidRDefault="005F1741" w:rsidP="005F1741">
      <w:pPr>
        <w:pStyle w:val="TableHeading0"/>
      </w:pPr>
      <w:r w:rsidRPr="001A4753">
        <w:t xml:space="preserve">Table 1: Key components of the clinical issue addressed by the submission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by the submission "/>
      </w:tblPr>
      <w:tblGrid>
        <w:gridCol w:w="1575"/>
        <w:gridCol w:w="7507"/>
      </w:tblGrid>
      <w:tr w:rsidR="005F1741" w:rsidRPr="001A4753" w:rsidTr="00321759">
        <w:trPr>
          <w:cnfStyle w:val="100000000000" w:firstRow="1" w:lastRow="0" w:firstColumn="0" w:lastColumn="0" w:oddVBand="0" w:evenVBand="0" w:oddHBand="0" w:evenHBand="0" w:firstRowFirstColumn="0" w:firstRowLastColumn="0" w:lastRowFirstColumn="0" w:lastRowLastColumn="0"/>
          <w:cantSplit/>
          <w:tblHeader/>
        </w:trPr>
        <w:tc>
          <w:tcPr>
            <w:tcW w:w="867" w:type="pct"/>
            <w:shd w:val="clear" w:color="auto" w:fill="auto"/>
          </w:tcPr>
          <w:p w:rsidR="005F1741" w:rsidRPr="001A4753" w:rsidRDefault="005F1741" w:rsidP="005F1741">
            <w:pPr>
              <w:pStyle w:val="TableText"/>
            </w:pPr>
            <w:r w:rsidRPr="001A4753">
              <w:t>Component</w:t>
            </w:r>
          </w:p>
        </w:tc>
        <w:tc>
          <w:tcPr>
            <w:tcW w:w="4133" w:type="pct"/>
            <w:shd w:val="clear" w:color="auto" w:fill="auto"/>
            <w:vAlign w:val="center"/>
          </w:tcPr>
          <w:p w:rsidR="005F1741" w:rsidRPr="001A4753" w:rsidRDefault="005F1741" w:rsidP="005F1741">
            <w:pPr>
              <w:pStyle w:val="TableText"/>
              <w:jc w:val="center"/>
              <w:rPr>
                <w:szCs w:val="20"/>
              </w:rPr>
            </w:pPr>
            <w:r w:rsidRPr="001A4753">
              <w:t>Description</w:t>
            </w:r>
          </w:p>
        </w:tc>
      </w:tr>
      <w:tr w:rsidR="005F1741" w:rsidRPr="001A4753" w:rsidTr="005F1741">
        <w:trPr>
          <w:cantSplit/>
        </w:trPr>
        <w:tc>
          <w:tcPr>
            <w:tcW w:w="867" w:type="pct"/>
          </w:tcPr>
          <w:p w:rsidR="005F1741" w:rsidRPr="001A4753" w:rsidRDefault="005F1741" w:rsidP="005F1741">
            <w:pPr>
              <w:pStyle w:val="TableText"/>
            </w:pPr>
            <w:r w:rsidRPr="001A4753">
              <w:t>Population</w:t>
            </w:r>
          </w:p>
        </w:tc>
        <w:tc>
          <w:tcPr>
            <w:tcW w:w="4133" w:type="pct"/>
            <w:shd w:val="clear" w:color="auto" w:fill="auto"/>
          </w:tcPr>
          <w:p w:rsidR="005F1741" w:rsidRPr="001A4753" w:rsidRDefault="005F1741" w:rsidP="005F1741">
            <w:pPr>
              <w:pStyle w:val="CommentText"/>
              <w:spacing w:before="40" w:after="40"/>
              <w:rPr>
                <w:rFonts w:ascii="Arial Narrow" w:hAnsi="Arial Narrow"/>
              </w:rPr>
            </w:pPr>
            <w:r w:rsidRPr="001A4753">
              <w:rPr>
                <w:rFonts w:ascii="Arial Narrow" w:hAnsi="Arial Narrow"/>
              </w:rPr>
              <w:t xml:space="preserve">Patients with </w:t>
            </w:r>
            <w:r w:rsidR="00B57FF7" w:rsidRPr="001A4753">
              <w:rPr>
                <w:rFonts w:ascii="Arial Narrow" w:hAnsi="Arial Narrow"/>
              </w:rPr>
              <w:t>nr-axSpA</w:t>
            </w:r>
            <w:r w:rsidRPr="001A4753">
              <w:rPr>
                <w:rFonts w:ascii="Arial Narrow" w:hAnsi="Arial Narrow"/>
              </w:rPr>
              <w:t>, as defined by Assessment of Spondyloarthritis International Society (ASAS) criteria.</w:t>
            </w:r>
          </w:p>
          <w:p w:rsidR="005F1741" w:rsidRPr="001A4753" w:rsidRDefault="005F1741" w:rsidP="005F1741">
            <w:pPr>
              <w:pStyle w:val="TableText"/>
              <w:rPr>
                <w:szCs w:val="20"/>
              </w:rPr>
            </w:pPr>
            <w:r w:rsidRPr="001A4753">
              <w:t xml:space="preserve">Patients </w:t>
            </w:r>
            <w:r w:rsidRPr="001A4753">
              <w:rPr>
                <w:u w:val="single"/>
              </w:rPr>
              <w:t>must have objective signs of inflammation</w:t>
            </w:r>
            <w:r w:rsidR="00767E97">
              <w:rPr>
                <w:u w:val="single"/>
              </w:rPr>
              <w:t xml:space="preserve"> (OSI)</w:t>
            </w:r>
            <w:r w:rsidRPr="001A4753">
              <w:t xml:space="preserve"> as indicated by elevated C</w:t>
            </w:r>
            <w:r w:rsidRPr="001A4753">
              <w:noBreakHyphen/>
              <w:t>reactive protein and/or magnetic resonance imaging evidence, and have had an inadequate response to, or are intolerant to, at least two non-steroidal anti</w:t>
            </w:r>
            <w:r w:rsidRPr="001A4753">
              <w:noBreakHyphen/>
              <w:t>inflammatory drugs (NSAIDs) for a period of 3 months.</w:t>
            </w:r>
          </w:p>
        </w:tc>
      </w:tr>
      <w:tr w:rsidR="005F1741" w:rsidRPr="001A4753" w:rsidTr="005F1741">
        <w:trPr>
          <w:cantSplit/>
        </w:trPr>
        <w:tc>
          <w:tcPr>
            <w:tcW w:w="867" w:type="pct"/>
          </w:tcPr>
          <w:p w:rsidR="005F1741" w:rsidRPr="001A4753" w:rsidRDefault="005F1741" w:rsidP="005F1741">
            <w:pPr>
              <w:pStyle w:val="TableText"/>
              <w:rPr>
                <w:rFonts w:eastAsia="Times New Roman" w:cs="Times New Roman"/>
              </w:rPr>
            </w:pPr>
            <w:r w:rsidRPr="001A4753">
              <w:t>Intervention</w:t>
            </w:r>
          </w:p>
        </w:tc>
        <w:tc>
          <w:tcPr>
            <w:tcW w:w="4133" w:type="pct"/>
            <w:shd w:val="clear" w:color="auto" w:fill="auto"/>
          </w:tcPr>
          <w:p w:rsidR="005F1741" w:rsidRPr="001A4753" w:rsidRDefault="005F1741" w:rsidP="00CC68A5">
            <w:pPr>
              <w:pStyle w:val="TableText"/>
              <w:rPr>
                <w:rFonts w:eastAsia="Times New Roman" w:cs="Times New Roman"/>
              </w:rPr>
            </w:pPr>
            <w:r w:rsidRPr="001A4753">
              <w:rPr>
                <w:szCs w:val="20"/>
              </w:rPr>
              <w:t>Golimumab 50</w:t>
            </w:r>
            <w:r w:rsidR="004739E4">
              <w:rPr>
                <w:szCs w:val="20"/>
              </w:rPr>
              <w:t xml:space="preserve"> </w:t>
            </w:r>
            <w:r w:rsidRPr="001A4753">
              <w:rPr>
                <w:szCs w:val="20"/>
              </w:rPr>
              <w:t xml:space="preserve">mg, subcutaneous injection once every </w:t>
            </w:r>
            <w:r w:rsidR="00CC68A5" w:rsidRPr="001A4753">
              <w:rPr>
                <w:szCs w:val="20"/>
              </w:rPr>
              <w:t>month</w:t>
            </w:r>
            <w:r w:rsidRPr="001A4753">
              <w:rPr>
                <w:szCs w:val="20"/>
              </w:rPr>
              <w:t xml:space="preserve">, on the same date each month. Golimumab may be administered in combination with NSAIDs or as monotherapy. </w:t>
            </w:r>
          </w:p>
        </w:tc>
      </w:tr>
      <w:tr w:rsidR="005F1741" w:rsidRPr="001A4753" w:rsidTr="005F1741">
        <w:trPr>
          <w:cantSplit/>
        </w:trPr>
        <w:tc>
          <w:tcPr>
            <w:tcW w:w="867" w:type="pct"/>
          </w:tcPr>
          <w:p w:rsidR="005F1741" w:rsidRPr="001A4753" w:rsidRDefault="005F1741" w:rsidP="005F1741">
            <w:pPr>
              <w:pStyle w:val="TableText"/>
            </w:pPr>
            <w:r w:rsidRPr="001A4753">
              <w:t>Comparator</w:t>
            </w:r>
          </w:p>
        </w:tc>
        <w:tc>
          <w:tcPr>
            <w:tcW w:w="4133" w:type="pct"/>
            <w:shd w:val="clear" w:color="auto" w:fill="auto"/>
          </w:tcPr>
          <w:p w:rsidR="005F1741" w:rsidRPr="00137C47" w:rsidRDefault="005F1741" w:rsidP="00137C47">
            <w:pPr>
              <w:spacing w:before="40" w:after="40"/>
              <w:rPr>
                <w:rFonts w:ascii="Arial Narrow" w:hAnsi="Arial Narrow"/>
                <w:sz w:val="20"/>
                <w:szCs w:val="20"/>
              </w:rPr>
            </w:pPr>
            <w:r w:rsidRPr="001A4753">
              <w:rPr>
                <w:rFonts w:ascii="Arial Narrow" w:hAnsi="Arial Narrow"/>
                <w:sz w:val="20"/>
                <w:szCs w:val="20"/>
              </w:rPr>
              <w:t>Placebo in combination with conventional care (CC), where conventional care is defined as ‘with NSAID background treatment’ (± NSAID treatment)</w:t>
            </w:r>
            <w:r w:rsidR="00137C47">
              <w:rPr>
                <w:rFonts w:ascii="Arial Narrow" w:hAnsi="Arial Narrow"/>
                <w:sz w:val="20"/>
                <w:szCs w:val="20"/>
              </w:rPr>
              <w:t>.</w:t>
            </w:r>
          </w:p>
        </w:tc>
      </w:tr>
      <w:tr w:rsidR="005F1741" w:rsidRPr="001A4753" w:rsidTr="005F1741">
        <w:trPr>
          <w:cantSplit/>
        </w:trPr>
        <w:tc>
          <w:tcPr>
            <w:tcW w:w="867" w:type="pct"/>
          </w:tcPr>
          <w:p w:rsidR="005F1741" w:rsidRPr="001A4753" w:rsidRDefault="005F1741" w:rsidP="005F1741">
            <w:pPr>
              <w:pStyle w:val="TableText"/>
            </w:pPr>
            <w:r w:rsidRPr="001A4753">
              <w:t>Outcomes</w:t>
            </w:r>
          </w:p>
        </w:tc>
        <w:tc>
          <w:tcPr>
            <w:tcW w:w="4133" w:type="pct"/>
            <w:shd w:val="clear" w:color="auto" w:fill="auto"/>
          </w:tcPr>
          <w:p w:rsidR="005F1741" w:rsidRPr="001A4753" w:rsidRDefault="005F1741" w:rsidP="005F1741">
            <w:pPr>
              <w:pStyle w:val="TableText"/>
              <w:rPr>
                <w:szCs w:val="20"/>
              </w:rPr>
            </w:pPr>
            <w:r w:rsidRPr="001A4753">
              <w:rPr>
                <w:szCs w:val="20"/>
              </w:rPr>
              <w:t>Clinical response (Primary outcome of ASAS 20); change in patient reported outcomes, change in physician’s global visual analogue scale, change in safety and tolerability.</w:t>
            </w:r>
          </w:p>
        </w:tc>
      </w:tr>
      <w:tr w:rsidR="005F1741" w:rsidRPr="001A4753" w:rsidTr="005F1741">
        <w:trPr>
          <w:cantSplit/>
        </w:trPr>
        <w:tc>
          <w:tcPr>
            <w:tcW w:w="867" w:type="pct"/>
          </w:tcPr>
          <w:p w:rsidR="005F1741" w:rsidRPr="001A4753" w:rsidRDefault="005F1741" w:rsidP="005F1741">
            <w:pPr>
              <w:pStyle w:val="TableText"/>
            </w:pPr>
            <w:r w:rsidRPr="001A4753">
              <w:t>Clinical claim</w:t>
            </w:r>
          </w:p>
        </w:tc>
        <w:tc>
          <w:tcPr>
            <w:tcW w:w="4133" w:type="pct"/>
            <w:shd w:val="clear" w:color="auto" w:fill="auto"/>
          </w:tcPr>
          <w:p w:rsidR="005F1741" w:rsidRPr="00FA095A" w:rsidRDefault="005F1741" w:rsidP="00B57FF7">
            <w:pPr>
              <w:pStyle w:val="TableText"/>
              <w:rPr>
                <w:szCs w:val="20"/>
              </w:rPr>
            </w:pPr>
            <w:r w:rsidRPr="00FA095A">
              <w:rPr>
                <w:rFonts w:cs="Calibri"/>
                <w:lang w:eastAsia="en-AU"/>
              </w:rPr>
              <w:t>In patients with</w:t>
            </w:r>
            <w:r w:rsidR="001A0C87" w:rsidRPr="00FA095A">
              <w:rPr>
                <w:rFonts w:cs="Calibri"/>
                <w:lang w:eastAsia="en-AU"/>
              </w:rPr>
              <w:t xml:space="preserve"> </w:t>
            </w:r>
            <w:r w:rsidR="00B57FF7" w:rsidRPr="00FA095A">
              <w:t>nr-axSpA</w:t>
            </w:r>
            <w:r w:rsidRPr="00FA095A">
              <w:t xml:space="preserve">, who have objective signs of inflammation as indicated by elevated C-reactive protein and/or magnetic resonance imaging evidence, and who have had an inadequate response to, or are intolerant to NSAIDs, golimumab </w:t>
            </w:r>
            <w:r w:rsidRPr="00FA095A">
              <w:rPr>
                <w:rFonts w:cs="Calibri"/>
                <w:iCs/>
              </w:rPr>
              <w:t xml:space="preserve">was statistically significantly </w:t>
            </w:r>
            <w:r w:rsidRPr="00FA095A">
              <w:rPr>
                <w:rFonts w:cs="Calibri"/>
                <w:iCs/>
                <w:lang w:eastAsia="en-AU"/>
              </w:rPr>
              <w:t xml:space="preserve">superior in effectiveness compared to conventional care/placebo with a non-inferior safety profile. </w:t>
            </w:r>
            <w:bookmarkStart w:id="1" w:name="_Hlk495310849"/>
            <w:r w:rsidR="000B696A" w:rsidRPr="00FA095A">
              <w:rPr>
                <w:rFonts w:cs="Calibri"/>
                <w:iCs/>
                <w:lang w:eastAsia="en-AU"/>
              </w:rPr>
              <w:t>The ESC considered that there was evidence of superiority in e</w:t>
            </w:r>
            <w:r w:rsidR="00354740" w:rsidRPr="00FA095A">
              <w:rPr>
                <w:rFonts w:cs="Calibri"/>
                <w:iCs/>
                <w:lang w:eastAsia="en-AU"/>
              </w:rPr>
              <w:t>ffectiveness within the randomis</w:t>
            </w:r>
            <w:r w:rsidR="000B696A" w:rsidRPr="00FA095A">
              <w:rPr>
                <w:rFonts w:cs="Calibri"/>
                <w:iCs/>
                <w:lang w:eastAsia="en-AU"/>
              </w:rPr>
              <w:t xml:space="preserve">ed trial period, but no </w:t>
            </w:r>
            <w:r w:rsidR="00354740" w:rsidRPr="00FA095A">
              <w:rPr>
                <w:rFonts w:cs="Calibri"/>
                <w:iCs/>
                <w:lang w:eastAsia="en-AU"/>
              </w:rPr>
              <w:t xml:space="preserve">comparative </w:t>
            </w:r>
            <w:r w:rsidR="000B696A" w:rsidRPr="00FA095A">
              <w:rPr>
                <w:rFonts w:cs="Calibri"/>
                <w:iCs/>
                <w:lang w:eastAsia="en-AU"/>
              </w:rPr>
              <w:t>evidence was presented to support the claim over the longer term, and that golimumab has an inferior safety profile.</w:t>
            </w:r>
            <w:bookmarkEnd w:id="1"/>
          </w:p>
        </w:tc>
      </w:tr>
    </w:tbl>
    <w:p w:rsidR="005F1741" w:rsidRPr="001A4753" w:rsidRDefault="005F1741" w:rsidP="005F1741">
      <w:pPr>
        <w:widowControl w:val="0"/>
        <w:spacing w:before="0" w:after="0"/>
        <w:rPr>
          <w:rFonts w:ascii="Arial Narrow" w:eastAsia="Times New Roman" w:hAnsi="Arial Narrow" w:cs="Arial"/>
          <w:snapToGrid w:val="0"/>
          <w:sz w:val="18"/>
          <w:szCs w:val="18"/>
        </w:rPr>
      </w:pPr>
      <w:r w:rsidRPr="001A4753">
        <w:rPr>
          <w:rFonts w:ascii="Arial Narrow" w:eastAsia="Times New Roman" w:hAnsi="Arial Narrow" w:cs="Arial"/>
          <w:snapToGrid w:val="0"/>
          <w:sz w:val="18"/>
          <w:szCs w:val="18"/>
        </w:rPr>
        <w:t>ASAS = Ankylosing Spondylitis Activity Score</w:t>
      </w:r>
    </w:p>
    <w:p w:rsidR="005F1741" w:rsidRPr="001A4753" w:rsidRDefault="005F1741" w:rsidP="005F1741">
      <w:pPr>
        <w:widowControl w:val="0"/>
        <w:spacing w:before="0" w:after="0"/>
        <w:rPr>
          <w:rFonts w:ascii="Arial Narrow" w:eastAsia="Times New Roman" w:hAnsi="Arial Narrow" w:cs="Arial"/>
          <w:snapToGrid w:val="0"/>
          <w:sz w:val="18"/>
          <w:szCs w:val="18"/>
        </w:rPr>
      </w:pPr>
      <w:r w:rsidRPr="001A4753">
        <w:rPr>
          <w:rFonts w:ascii="Arial Narrow" w:eastAsia="Times New Roman" w:hAnsi="Arial Narrow" w:cs="Arial"/>
          <w:snapToGrid w:val="0"/>
          <w:sz w:val="18"/>
          <w:szCs w:val="18"/>
        </w:rPr>
        <w:t>Source: Table 1.1.1, p19 of the submission</w:t>
      </w:r>
    </w:p>
    <w:p w:rsidR="005F1741" w:rsidRPr="008B77D7" w:rsidRDefault="005F1741" w:rsidP="002B0C11">
      <w:pPr>
        <w:pStyle w:val="Heading1"/>
      </w:pPr>
      <w:bookmarkStart w:id="2" w:name="_Toc492522236"/>
      <w:r w:rsidRPr="0091217A">
        <w:t>Requested listing</w:t>
      </w:r>
      <w:bookmarkEnd w:id="2"/>
      <w:r w:rsidRPr="0091217A">
        <w:t xml:space="preserve"> </w:t>
      </w:r>
    </w:p>
    <w:p w:rsidR="00421498" w:rsidRPr="008C7FD4" w:rsidRDefault="00421498" w:rsidP="00B51EF1">
      <w:pPr>
        <w:pStyle w:val="ListParagraph"/>
        <w:widowControl w:val="0"/>
        <w:spacing w:before="0" w:after="0"/>
        <w:ind w:left="432"/>
        <w:contextualSpacing/>
        <w:jc w:val="both"/>
        <w:rPr>
          <w:szCs w:val="24"/>
        </w:rPr>
      </w:pPr>
      <w:bookmarkStart w:id="3" w:name="_GoBack"/>
      <w:bookmarkEnd w:id="3"/>
      <w:r w:rsidRPr="008C7FD4">
        <w:rPr>
          <w:szCs w:val="24"/>
        </w:rPr>
        <w:t>Suggestions</w:t>
      </w:r>
      <w:r w:rsidRPr="008C7FD4">
        <w:rPr>
          <w:rFonts w:eastAsia="SimSun"/>
          <w:iCs/>
          <w:color w:val="000000"/>
          <w:szCs w:val="24"/>
        </w:rPr>
        <w:t xml:space="preserve"> and additions proposed by the ESC to the requested listing are added in italics and suggested deletions are crossed out with strikethrough.</w:t>
      </w:r>
    </w:p>
    <w:tbl>
      <w:tblPr>
        <w:tblW w:w="5328" w:type="pct"/>
        <w:tblLayout w:type="fixed"/>
        <w:tblCellMar>
          <w:left w:w="28" w:type="dxa"/>
          <w:right w:w="28" w:type="dxa"/>
        </w:tblCellMar>
        <w:tblLook w:val="0000" w:firstRow="0" w:lastRow="0" w:firstColumn="0" w:lastColumn="0" w:noHBand="0" w:noVBand="0"/>
      </w:tblPr>
      <w:tblGrid>
        <w:gridCol w:w="61"/>
        <w:gridCol w:w="1934"/>
        <w:gridCol w:w="7276"/>
        <w:gridCol w:w="23"/>
        <w:gridCol w:w="77"/>
        <w:gridCol w:w="77"/>
        <w:gridCol w:w="77"/>
        <w:gridCol w:w="77"/>
        <w:gridCol w:w="76"/>
      </w:tblGrid>
      <w:tr w:rsidR="005F1741" w:rsidRPr="001A4753" w:rsidTr="00251D64">
        <w:trPr>
          <w:gridAfter w:val="1"/>
          <w:wAfter w:w="39" w:type="pct"/>
          <w:cantSplit/>
          <w:trHeight w:val="463"/>
        </w:trPr>
        <w:tc>
          <w:tcPr>
            <w:tcW w:w="4802" w:type="pct"/>
            <w:gridSpan w:val="4"/>
            <w:vAlign w:val="center"/>
          </w:tcPr>
          <w:tbl>
            <w:tblPr>
              <w:tblStyle w:val="PlainTable21"/>
              <w:tblW w:w="9236" w:type="dxa"/>
              <w:tblLayout w:type="fixed"/>
              <w:tblLook w:val="04A0" w:firstRow="1" w:lastRow="0" w:firstColumn="1" w:lastColumn="0" w:noHBand="0" w:noVBand="1"/>
              <w:tblCaption w:val="Requested listing "/>
            </w:tblPr>
            <w:tblGrid>
              <w:gridCol w:w="2552"/>
              <w:gridCol w:w="1134"/>
              <w:gridCol w:w="992"/>
              <w:gridCol w:w="851"/>
              <w:gridCol w:w="1942"/>
              <w:gridCol w:w="1765"/>
            </w:tblGrid>
            <w:tr w:rsidR="005F1741" w:rsidRPr="001A4753" w:rsidTr="003217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52" w:type="dxa"/>
                </w:tcPr>
                <w:p w:rsidR="005F1741" w:rsidRPr="001A4753" w:rsidRDefault="005F1741" w:rsidP="005F1741">
                  <w:pPr>
                    <w:pStyle w:val="Tabletext0"/>
                    <w:rPr>
                      <w:b w:val="0"/>
                      <w:bCs w:val="0"/>
                    </w:rPr>
                  </w:pPr>
                  <w:r w:rsidRPr="001A4753">
                    <w:lastRenderedPageBreak/>
                    <w:t>Name, restriction, manner of administration, form</w:t>
                  </w:r>
                </w:p>
              </w:tc>
              <w:tc>
                <w:tcPr>
                  <w:tcW w:w="1134" w:type="dxa"/>
                  <w:vAlign w:val="center"/>
                </w:tcPr>
                <w:p w:rsidR="005F1741" w:rsidRPr="001A4753" w:rsidRDefault="005F1741" w:rsidP="005F1741">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1A4753">
                    <w:t>Maximum quantity (packs)</w:t>
                  </w:r>
                </w:p>
              </w:tc>
              <w:tc>
                <w:tcPr>
                  <w:tcW w:w="992" w:type="dxa"/>
                  <w:vAlign w:val="center"/>
                </w:tcPr>
                <w:p w:rsidR="005F1741" w:rsidRPr="001A4753" w:rsidRDefault="005F1741" w:rsidP="005F1741">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1A4753">
                    <w:t>Maximum quantity (units)</w:t>
                  </w:r>
                </w:p>
              </w:tc>
              <w:tc>
                <w:tcPr>
                  <w:tcW w:w="851" w:type="dxa"/>
                  <w:vAlign w:val="center"/>
                </w:tcPr>
                <w:p w:rsidR="005F1741" w:rsidRPr="001A4753" w:rsidRDefault="005F1741" w:rsidP="005F1741">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1A4753">
                    <w:t>No. of repeats</w:t>
                  </w:r>
                </w:p>
              </w:tc>
              <w:tc>
                <w:tcPr>
                  <w:tcW w:w="1942" w:type="dxa"/>
                  <w:vAlign w:val="center"/>
                </w:tcPr>
                <w:p w:rsidR="005F1741" w:rsidRPr="001A4753" w:rsidRDefault="00AB7AE2" w:rsidP="005F1741">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1A4753">
                    <w:rPr>
                      <w:rFonts w:eastAsia="Calibri" w:cs="Arial"/>
                    </w:rPr>
                    <w:t xml:space="preserve">Published (Effective) </w:t>
                  </w:r>
                  <w:r w:rsidR="005F1741" w:rsidRPr="001A4753">
                    <w:t>Dispensed price for maximum quantity</w:t>
                  </w:r>
                </w:p>
              </w:tc>
              <w:tc>
                <w:tcPr>
                  <w:tcW w:w="1765" w:type="dxa"/>
                  <w:vAlign w:val="center"/>
                </w:tcPr>
                <w:p w:rsidR="005F1741" w:rsidRPr="001A4753" w:rsidRDefault="005F1741" w:rsidP="005F1741">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1A4753">
                    <w:t>Proprietary name and manufacturer</w:t>
                  </w:r>
                </w:p>
              </w:tc>
            </w:tr>
            <w:tr w:rsidR="005F1741" w:rsidRPr="001A4753" w:rsidTr="007A6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5F1741" w:rsidRPr="001A4753" w:rsidRDefault="005F1741" w:rsidP="005F1741">
                  <w:pPr>
                    <w:pStyle w:val="Tabletext0"/>
                    <w:rPr>
                      <w:b w:val="0"/>
                    </w:rPr>
                  </w:pPr>
                  <w:r w:rsidRPr="001A4753">
                    <w:rPr>
                      <w:b w:val="0"/>
                    </w:rPr>
                    <w:t>GOLIMUMAB</w:t>
                  </w:r>
                </w:p>
                <w:p w:rsidR="005F1741" w:rsidRPr="001A4753" w:rsidRDefault="005F1741" w:rsidP="005F1741">
                  <w:pPr>
                    <w:pStyle w:val="Tabletext0"/>
                    <w:rPr>
                      <w:b w:val="0"/>
                    </w:rPr>
                  </w:pPr>
                  <w:r w:rsidRPr="001A4753">
                    <w:rPr>
                      <w:b w:val="0"/>
                    </w:rPr>
                    <w:t>Initial treatment</w:t>
                  </w:r>
                </w:p>
                <w:p w:rsidR="005F1741" w:rsidRPr="001A4753" w:rsidRDefault="005F1741" w:rsidP="005F1741">
                  <w:pPr>
                    <w:pStyle w:val="Tabletext0"/>
                    <w:rPr>
                      <w:b w:val="0"/>
                    </w:rPr>
                  </w:pPr>
                  <w:r w:rsidRPr="001A4753">
                    <w:rPr>
                      <w:b w:val="0"/>
                    </w:rPr>
                    <w:t>50</w:t>
                  </w:r>
                  <w:r w:rsidR="008239D7">
                    <w:rPr>
                      <w:b w:val="0"/>
                    </w:rPr>
                    <w:t xml:space="preserve"> </w:t>
                  </w:r>
                  <w:r w:rsidRPr="001A4753">
                    <w:rPr>
                      <w:b w:val="0"/>
                    </w:rPr>
                    <w:t>mg/0.5</w:t>
                  </w:r>
                  <w:r w:rsidR="008239D7">
                    <w:rPr>
                      <w:b w:val="0"/>
                    </w:rPr>
                    <w:t xml:space="preserve"> </w:t>
                  </w:r>
                  <w:r w:rsidRPr="001A4753">
                    <w:rPr>
                      <w:b w:val="0"/>
                    </w:rPr>
                    <w:t>mL pre-filled syringe</w:t>
                  </w:r>
                </w:p>
                <w:p w:rsidR="005F1741" w:rsidRPr="001A4753" w:rsidRDefault="005F1741" w:rsidP="005F1741">
                  <w:pPr>
                    <w:pStyle w:val="Tabletext0"/>
                    <w:rPr>
                      <w:b w:val="0"/>
                    </w:rPr>
                  </w:pPr>
                </w:p>
                <w:p w:rsidR="005F1741" w:rsidRPr="001A4753" w:rsidRDefault="005F1741" w:rsidP="005F1741">
                  <w:pPr>
                    <w:pStyle w:val="Tabletext0"/>
                    <w:rPr>
                      <w:b w:val="0"/>
                    </w:rPr>
                  </w:pPr>
                  <w:r w:rsidRPr="001A4753">
                    <w:rPr>
                      <w:b w:val="0"/>
                    </w:rPr>
                    <w:t>Continuing treatment</w:t>
                  </w:r>
                </w:p>
                <w:p w:rsidR="005F1741" w:rsidRPr="001A4753" w:rsidRDefault="005F1741" w:rsidP="005F1741">
                  <w:pPr>
                    <w:pStyle w:val="Tabletext0"/>
                    <w:rPr>
                      <w:b w:val="0"/>
                      <w:bCs w:val="0"/>
                    </w:rPr>
                  </w:pPr>
                  <w:r w:rsidRPr="001A4753">
                    <w:rPr>
                      <w:b w:val="0"/>
                    </w:rPr>
                    <w:t>50</w:t>
                  </w:r>
                  <w:r w:rsidR="008239D7">
                    <w:rPr>
                      <w:b w:val="0"/>
                    </w:rPr>
                    <w:t xml:space="preserve"> </w:t>
                  </w:r>
                  <w:r w:rsidRPr="001A4753">
                    <w:rPr>
                      <w:b w:val="0"/>
                    </w:rPr>
                    <w:t>mg/0.5</w:t>
                  </w:r>
                  <w:r w:rsidR="008239D7">
                    <w:rPr>
                      <w:b w:val="0"/>
                    </w:rPr>
                    <w:t xml:space="preserve"> </w:t>
                  </w:r>
                  <w:r w:rsidRPr="001A4753">
                    <w:rPr>
                      <w:b w:val="0"/>
                    </w:rPr>
                    <w:t>mL pre-filled syringe</w:t>
                  </w:r>
                  <w:r w:rsidRPr="001A4753">
                    <w:t xml:space="preserve"> </w:t>
                  </w:r>
                </w:p>
              </w:tc>
              <w:tc>
                <w:tcPr>
                  <w:tcW w:w="1134" w:type="dxa"/>
                </w:tcPr>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p>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p>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r w:rsidRPr="001A4753">
                    <w:t>1</w:t>
                  </w:r>
                </w:p>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p>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p>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r w:rsidRPr="001A4753">
                    <w:t>1</w:t>
                  </w:r>
                </w:p>
              </w:tc>
              <w:tc>
                <w:tcPr>
                  <w:tcW w:w="992" w:type="dxa"/>
                </w:tcPr>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p>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p>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r w:rsidRPr="001A4753">
                    <w:t>1</w:t>
                  </w:r>
                </w:p>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p>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p>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r w:rsidRPr="001A4753">
                    <w:t>1</w:t>
                  </w:r>
                </w:p>
              </w:tc>
              <w:tc>
                <w:tcPr>
                  <w:tcW w:w="851" w:type="dxa"/>
                </w:tcPr>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p>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p>
                <w:p w:rsidR="005F1741" w:rsidRPr="001A4753" w:rsidRDefault="00354740" w:rsidP="005F1741">
                  <w:pPr>
                    <w:pStyle w:val="Tabletext0"/>
                    <w:jc w:val="center"/>
                    <w:cnfStyle w:val="000000100000" w:firstRow="0" w:lastRow="0" w:firstColumn="0" w:lastColumn="0" w:oddVBand="0" w:evenVBand="0" w:oddHBand="1" w:evenHBand="0" w:firstRowFirstColumn="0" w:firstRowLastColumn="0" w:lastRowFirstColumn="0" w:lastRowLastColumn="0"/>
                  </w:pPr>
                  <w:r w:rsidRPr="00354740">
                    <w:rPr>
                      <w:strike/>
                    </w:rPr>
                    <w:t>4</w:t>
                  </w:r>
                  <w:r w:rsidR="008B77D7">
                    <w:rPr>
                      <w:i/>
                    </w:rPr>
                    <w:t>3</w:t>
                  </w:r>
                </w:p>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p>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p>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r w:rsidRPr="001A4753">
                    <w:t>5</w:t>
                  </w:r>
                </w:p>
              </w:tc>
              <w:tc>
                <w:tcPr>
                  <w:tcW w:w="1942" w:type="dxa"/>
                </w:tcPr>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p>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p>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r w:rsidRPr="001A4753">
                    <w:t>$</w:t>
                  </w:r>
                  <w:r w:rsidR="00AB7AE2" w:rsidRPr="001A4753">
                    <w:t xml:space="preserve"> </w:t>
                  </w:r>
                  <w:r w:rsidR="0092728B">
                    <w:rPr>
                      <w:noProof/>
                      <w:color w:val="000000"/>
                      <w:highlight w:val="black"/>
                    </w:rPr>
                    <w:t xml:space="preserve">'''''''''' </w:t>
                  </w:r>
                </w:p>
                <w:p w:rsidR="005F1741" w:rsidRPr="001A4753" w:rsidRDefault="00AB7AE2" w:rsidP="005F1741">
                  <w:pPr>
                    <w:pStyle w:val="Tabletext0"/>
                    <w:jc w:val="center"/>
                    <w:cnfStyle w:val="000000100000" w:firstRow="0" w:lastRow="0" w:firstColumn="0" w:lastColumn="0" w:oddVBand="0" w:evenVBand="0" w:oddHBand="1" w:evenHBand="0" w:firstRowFirstColumn="0" w:firstRowLastColumn="0" w:lastRowFirstColumn="0" w:lastRowLastColumn="0"/>
                  </w:pPr>
                  <w:r w:rsidRPr="001A4753">
                    <w:t>(</w:t>
                  </w:r>
                  <w:r w:rsidR="005F1741" w:rsidRPr="001A4753">
                    <w:t>$</w:t>
                  </w:r>
                  <w:r w:rsidR="0092728B">
                    <w:rPr>
                      <w:noProof/>
                      <w:color w:val="000000"/>
                      <w:highlight w:val="black"/>
                    </w:rPr>
                    <w:t>'''''''''''''''''''''''</w:t>
                  </w:r>
                  <w:r w:rsidRPr="001A4753">
                    <w:t>)</w:t>
                  </w:r>
                </w:p>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p>
                <w:p w:rsidR="00AB7AE2" w:rsidRPr="001A4753" w:rsidRDefault="00AB7AE2" w:rsidP="00AB7AE2">
                  <w:pPr>
                    <w:pStyle w:val="Tabletext0"/>
                    <w:jc w:val="center"/>
                    <w:cnfStyle w:val="000000100000" w:firstRow="0" w:lastRow="0" w:firstColumn="0" w:lastColumn="0" w:oddVBand="0" w:evenVBand="0" w:oddHBand="1" w:evenHBand="0" w:firstRowFirstColumn="0" w:firstRowLastColumn="0" w:lastRowFirstColumn="0" w:lastRowLastColumn="0"/>
                  </w:pPr>
                  <w:r w:rsidRPr="001A4753">
                    <w:t>$</w:t>
                  </w:r>
                  <w:r w:rsidR="0092728B">
                    <w:rPr>
                      <w:noProof/>
                      <w:color w:val="000000"/>
                      <w:highlight w:val="black"/>
                    </w:rPr>
                    <w:t xml:space="preserve"> '''''''''''</w:t>
                  </w:r>
                  <w:r w:rsidRPr="001A4753">
                    <w:t xml:space="preserve"> </w:t>
                  </w:r>
                </w:p>
                <w:p w:rsidR="00AB7AE2" w:rsidRPr="001A4753" w:rsidRDefault="00AB7AE2" w:rsidP="00AB7AE2">
                  <w:pPr>
                    <w:pStyle w:val="Tabletext0"/>
                    <w:jc w:val="center"/>
                    <w:cnfStyle w:val="000000100000" w:firstRow="0" w:lastRow="0" w:firstColumn="0" w:lastColumn="0" w:oddVBand="0" w:evenVBand="0" w:oddHBand="1" w:evenHBand="0" w:firstRowFirstColumn="0" w:firstRowLastColumn="0" w:lastRowFirstColumn="0" w:lastRowLastColumn="0"/>
                  </w:pPr>
                  <w:r w:rsidRPr="001A4753">
                    <w:t>($</w:t>
                  </w:r>
                  <w:r w:rsidR="0092728B">
                    <w:rPr>
                      <w:noProof/>
                      <w:color w:val="000000"/>
                      <w:highlight w:val="black"/>
                    </w:rPr>
                    <w:t>''''''''''''''''''''</w:t>
                  </w:r>
                  <w:r w:rsidRPr="001A4753">
                    <w:t>)</w:t>
                  </w:r>
                </w:p>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p>
              </w:tc>
              <w:tc>
                <w:tcPr>
                  <w:tcW w:w="1765" w:type="dxa"/>
                  <w:vAlign w:val="center"/>
                </w:tcPr>
                <w:p w:rsidR="005F1741" w:rsidRPr="001A4753" w:rsidRDefault="005F1741" w:rsidP="005F1741">
                  <w:pPr>
                    <w:pStyle w:val="Tabletext0"/>
                    <w:jc w:val="center"/>
                    <w:cnfStyle w:val="000000100000" w:firstRow="0" w:lastRow="0" w:firstColumn="0" w:lastColumn="0" w:oddVBand="0" w:evenVBand="0" w:oddHBand="1" w:evenHBand="0" w:firstRowFirstColumn="0" w:firstRowLastColumn="0" w:lastRowFirstColumn="0" w:lastRowLastColumn="0"/>
                  </w:pPr>
                  <w:r w:rsidRPr="001A4753">
                    <w:t>SIMPONI, Janssen-Cilag Pty Ltd</w:t>
                  </w:r>
                </w:p>
              </w:tc>
            </w:tr>
          </w:tbl>
          <w:p w:rsidR="005F1741" w:rsidRPr="001A4753" w:rsidRDefault="005F1741" w:rsidP="00000BC9">
            <w:pPr>
              <w:widowControl w:val="0"/>
              <w:spacing w:before="0" w:after="120"/>
              <w:contextualSpacing/>
              <w:jc w:val="both"/>
              <w:rPr>
                <w:b/>
              </w:rPr>
            </w:pPr>
            <w:r w:rsidRPr="001A4753">
              <w:rPr>
                <w:rFonts w:ascii="Arial Narrow" w:eastAsia="Times New Roman" w:hAnsi="Arial Narrow" w:cs="Arial"/>
                <w:snapToGrid w:val="0"/>
                <w:sz w:val="18"/>
                <w:szCs w:val="20"/>
              </w:rPr>
              <w:t>TBD = to be determined</w:t>
            </w:r>
          </w:p>
        </w:tc>
        <w:tc>
          <w:tcPr>
            <w:tcW w:w="40" w:type="pct"/>
            <w:vAlign w:val="center"/>
          </w:tcPr>
          <w:p w:rsidR="005F1741" w:rsidRPr="001A4753" w:rsidRDefault="005F1741" w:rsidP="005F1741">
            <w:pPr>
              <w:keepNext/>
              <w:spacing w:before="40" w:after="40"/>
              <w:rPr>
                <w:rFonts w:ascii="Arial Narrow" w:hAnsi="Arial Narrow"/>
                <w:b/>
                <w:sz w:val="20"/>
              </w:rPr>
            </w:pPr>
          </w:p>
        </w:tc>
        <w:tc>
          <w:tcPr>
            <w:tcW w:w="40" w:type="pct"/>
            <w:vAlign w:val="center"/>
          </w:tcPr>
          <w:p w:rsidR="005F1741" w:rsidRPr="001A4753" w:rsidRDefault="005F1741" w:rsidP="005F1741">
            <w:pPr>
              <w:keepNext/>
              <w:spacing w:before="40" w:after="40"/>
              <w:rPr>
                <w:rFonts w:ascii="Arial Narrow" w:hAnsi="Arial Narrow"/>
                <w:b/>
                <w:sz w:val="20"/>
              </w:rPr>
            </w:pPr>
          </w:p>
        </w:tc>
        <w:tc>
          <w:tcPr>
            <w:tcW w:w="40" w:type="pct"/>
            <w:vAlign w:val="center"/>
          </w:tcPr>
          <w:p w:rsidR="005F1741" w:rsidRPr="001A4753" w:rsidRDefault="005F1741" w:rsidP="005F1741">
            <w:pPr>
              <w:keepNext/>
              <w:spacing w:before="40" w:after="40"/>
              <w:rPr>
                <w:rFonts w:ascii="Arial Narrow" w:hAnsi="Arial Narrow"/>
                <w:b/>
                <w:sz w:val="20"/>
              </w:rPr>
            </w:pPr>
          </w:p>
        </w:tc>
        <w:tc>
          <w:tcPr>
            <w:tcW w:w="40" w:type="pct"/>
            <w:vAlign w:val="center"/>
          </w:tcPr>
          <w:p w:rsidR="005F1741" w:rsidRPr="001A4753" w:rsidRDefault="005F1741" w:rsidP="005F1741">
            <w:pPr>
              <w:keepNext/>
              <w:spacing w:before="40" w:after="40"/>
              <w:rPr>
                <w:rFonts w:ascii="Arial Narrow" w:hAnsi="Arial Narrow"/>
                <w:b/>
                <w:sz w:val="20"/>
                <w:lang w:val="fr-FR"/>
              </w:rPr>
            </w:pPr>
          </w:p>
        </w:tc>
      </w:tr>
      <w:tr w:rsidR="005F1741" w:rsidRPr="001A4753" w:rsidTr="00421498">
        <w:trPr>
          <w:cantSplit/>
          <w:trHeight w:val="567"/>
        </w:trPr>
        <w:tc>
          <w:tcPr>
            <w:tcW w:w="4802" w:type="pct"/>
            <w:gridSpan w:val="4"/>
            <w:vAlign w:val="center"/>
          </w:tcPr>
          <w:p w:rsidR="005F1741" w:rsidRPr="00137C47" w:rsidRDefault="005F1741" w:rsidP="00137C47">
            <w:pPr>
              <w:keepNext/>
              <w:spacing w:before="40" w:after="40"/>
              <w:rPr>
                <w:rFonts w:ascii="Arial Narrow" w:hAnsi="Arial Narrow"/>
                <w:b/>
                <w:smallCaps/>
                <w:sz w:val="20"/>
              </w:rPr>
            </w:pPr>
            <w:r w:rsidRPr="00137C47">
              <w:rPr>
                <w:rFonts w:ascii="Arial Narrow" w:hAnsi="Arial Narrow"/>
                <w:b/>
                <w:smallCaps/>
                <w:sz w:val="20"/>
              </w:rPr>
              <w:t xml:space="preserve">Abbreviated version: </w:t>
            </w:r>
          </w:p>
        </w:tc>
        <w:tc>
          <w:tcPr>
            <w:tcW w:w="40" w:type="pct"/>
            <w:vAlign w:val="center"/>
          </w:tcPr>
          <w:p w:rsidR="005F1741" w:rsidRPr="001A4753" w:rsidRDefault="005F1741" w:rsidP="005F1741">
            <w:pPr>
              <w:keepNext/>
              <w:spacing w:before="40" w:after="40"/>
              <w:rPr>
                <w:rFonts w:ascii="Arial Narrow" w:hAnsi="Arial Narrow"/>
                <w:sz w:val="20"/>
              </w:rPr>
            </w:pPr>
          </w:p>
        </w:tc>
        <w:tc>
          <w:tcPr>
            <w:tcW w:w="40" w:type="pct"/>
            <w:vAlign w:val="center"/>
          </w:tcPr>
          <w:p w:rsidR="005F1741" w:rsidRPr="001A4753" w:rsidRDefault="005F1741" w:rsidP="005F1741">
            <w:pPr>
              <w:keepNext/>
              <w:spacing w:before="40" w:after="40"/>
              <w:rPr>
                <w:rFonts w:ascii="Arial Narrow" w:hAnsi="Arial Narrow"/>
                <w:sz w:val="20"/>
              </w:rPr>
            </w:pPr>
          </w:p>
        </w:tc>
        <w:tc>
          <w:tcPr>
            <w:tcW w:w="40" w:type="pct"/>
            <w:vAlign w:val="center"/>
          </w:tcPr>
          <w:p w:rsidR="005F1741" w:rsidRPr="001A4753" w:rsidRDefault="005F1741" w:rsidP="005F1741">
            <w:pPr>
              <w:keepNext/>
              <w:spacing w:before="40" w:after="40"/>
              <w:rPr>
                <w:rFonts w:ascii="Arial Narrow" w:hAnsi="Arial Narrow"/>
                <w:sz w:val="20"/>
              </w:rPr>
            </w:pPr>
          </w:p>
        </w:tc>
        <w:tc>
          <w:tcPr>
            <w:tcW w:w="40" w:type="pct"/>
            <w:vAlign w:val="center"/>
          </w:tcPr>
          <w:p w:rsidR="005F1741" w:rsidRPr="001A4753" w:rsidRDefault="005F1741" w:rsidP="005F1741">
            <w:pPr>
              <w:keepNext/>
              <w:spacing w:before="40" w:after="40"/>
              <w:rPr>
                <w:rFonts w:ascii="Arial Narrow" w:hAnsi="Arial Narrow"/>
                <w:sz w:val="20"/>
              </w:rPr>
            </w:pPr>
          </w:p>
        </w:tc>
        <w:tc>
          <w:tcPr>
            <w:tcW w:w="39" w:type="pct"/>
            <w:vAlign w:val="center"/>
          </w:tcPr>
          <w:p w:rsidR="005F1741" w:rsidRPr="001A4753" w:rsidRDefault="005F1741" w:rsidP="005F1741">
            <w:pPr>
              <w:keepNext/>
              <w:spacing w:before="40" w:after="40"/>
              <w:rPr>
                <w:rFonts w:ascii="Arial Narrow" w:hAnsi="Arial Narrow"/>
                <w:sz w:val="20"/>
              </w:rPr>
            </w:pPr>
          </w:p>
        </w:tc>
      </w:tr>
      <w:tr w:rsidR="005F1741" w:rsidRPr="001A4753" w:rsidTr="00251D64">
        <w:tblPrEx>
          <w:tblCellMar>
            <w:left w:w="108" w:type="dxa"/>
            <w:right w:w="108" w:type="dxa"/>
          </w:tblCellMar>
        </w:tblPrEx>
        <w:trPr>
          <w:gridBefore w:val="1"/>
          <w:gridAfter w:val="6"/>
          <w:wBefore w:w="32" w:type="pct"/>
          <w:wAfter w:w="210" w:type="pct"/>
          <w:cantSplit/>
          <w:trHeight w:val="360"/>
        </w:trPr>
        <w:tc>
          <w:tcPr>
            <w:tcW w:w="999" w:type="pct"/>
            <w:tcBorders>
              <w:top w:val="single" w:sz="4" w:space="0" w:color="auto"/>
              <w:left w:val="single" w:sz="4" w:space="0" w:color="auto"/>
              <w:bottom w:val="single" w:sz="4" w:space="0" w:color="auto"/>
              <w:right w:val="single" w:sz="4" w:space="0" w:color="auto"/>
            </w:tcBorders>
          </w:tcPr>
          <w:p w:rsidR="005F1741" w:rsidRPr="00137C47" w:rsidRDefault="005F1741" w:rsidP="005F1741">
            <w:pPr>
              <w:keepNext/>
              <w:spacing w:before="40" w:after="40"/>
              <w:rPr>
                <w:rFonts w:ascii="Times" w:eastAsia="Times New Roman" w:hAnsi="Times" w:cs="Times New Roman"/>
                <w:sz w:val="20"/>
                <w:szCs w:val="20"/>
                <w:lang w:val="en-US"/>
              </w:rPr>
            </w:pPr>
            <w:r w:rsidRPr="00137C47">
              <w:rPr>
                <w:rFonts w:ascii="Arial Narrow" w:hAnsi="Arial Narrow"/>
                <w:sz w:val="20"/>
              </w:rPr>
              <w:t>PBS Indication:</w:t>
            </w:r>
          </w:p>
        </w:tc>
        <w:tc>
          <w:tcPr>
            <w:tcW w:w="3759" w:type="pct"/>
            <w:tcBorders>
              <w:top w:val="single" w:sz="4" w:space="0" w:color="auto"/>
              <w:left w:val="single" w:sz="4" w:space="0" w:color="auto"/>
              <w:bottom w:val="single" w:sz="4" w:space="0" w:color="auto"/>
              <w:right w:val="single" w:sz="4" w:space="0" w:color="auto"/>
            </w:tcBorders>
          </w:tcPr>
          <w:p w:rsidR="005F1741" w:rsidRPr="00137C47" w:rsidRDefault="005F1741" w:rsidP="005F1741">
            <w:pPr>
              <w:keepNext/>
              <w:spacing w:before="40" w:after="40"/>
              <w:rPr>
                <w:rFonts w:ascii="Arial Narrow" w:hAnsi="Arial Narrow"/>
                <w:sz w:val="20"/>
              </w:rPr>
            </w:pPr>
            <w:r w:rsidRPr="00137C47">
              <w:rPr>
                <w:rFonts w:ascii="Arial Narrow" w:hAnsi="Arial Narrow"/>
                <w:sz w:val="20"/>
              </w:rPr>
              <w:t xml:space="preserve">Non-radiographic axial spondyloarthritis </w:t>
            </w:r>
          </w:p>
        </w:tc>
      </w:tr>
      <w:tr w:rsidR="005F1741" w:rsidRPr="001A4753" w:rsidTr="00251D64">
        <w:tblPrEx>
          <w:tblCellMar>
            <w:left w:w="108" w:type="dxa"/>
            <w:right w:w="108" w:type="dxa"/>
          </w:tblCellMar>
        </w:tblPrEx>
        <w:trPr>
          <w:gridBefore w:val="1"/>
          <w:gridAfter w:val="6"/>
          <w:wBefore w:w="32" w:type="pct"/>
          <w:wAfter w:w="210" w:type="pct"/>
          <w:cantSplit/>
          <w:trHeight w:val="360"/>
        </w:trPr>
        <w:tc>
          <w:tcPr>
            <w:tcW w:w="999" w:type="pct"/>
            <w:tcBorders>
              <w:top w:val="single" w:sz="4" w:space="0" w:color="auto"/>
              <w:left w:val="single" w:sz="4" w:space="0" w:color="auto"/>
              <w:bottom w:val="single" w:sz="4" w:space="0" w:color="auto"/>
              <w:right w:val="single" w:sz="4" w:space="0" w:color="auto"/>
            </w:tcBorders>
          </w:tcPr>
          <w:p w:rsidR="005F1741" w:rsidRPr="00137C47" w:rsidRDefault="005F1741" w:rsidP="005F1741">
            <w:pPr>
              <w:keepNext/>
              <w:spacing w:before="40" w:after="40"/>
              <w:rPr>
                <w:rFonts w:ascii="Arial Narrow" w:hAnsi="Arial Narrow"/>
                <w:sz w:val="20"/>
              </w:rPr>
            </w:pPr>
            <w:r w:rsidRPr="00137C47">
              <w:rPr>
                <w:rFonts w:ascii="Arial Narrow" w:hAnsi="Arial Narrow"/>
                <w:sz w:val="20"/>
              </w:rPr>
              <w:t>Treatment phase:</w:t>
            </w:r>
          </w:p>
        </w:tc>
        <w:tc>
          <w:tcPr>
            <w:tcW w:w="3759" w:type="pct"/>
            <w:tcBorders>
              <w:top w:val="single" w:sz="4" w:space="0" w:color="auto"/>
              <w:left w:val="single" w:sz="4" w:space="0" w:color="auto"/>
              <w:bottom w:val="single" w:sz="4" w:space="0" w:color="auto"/>
              <w:right w:val="single" w:sz="4" w:space="0" w:color="auto"/>
            </w:tcBorders>
          </w:tcPr>
          <w:p w:rsidR="005F1741" w:rsidRPr="00137C47" w:rsidRDefault="005F1741" w:rsidP="005F1741">
            <w:pPr>
              <w:keepNext/>
              <w:spacing w:before="40" w:after="40"/>
              <w:rPr>
                <w:rFonts w:ascii="Arial Narrow" w:hAnsi="Arial Narrow"/>
                <w:sz w:val="20"/>
              </w:rPr>
            </w:pPr>
            <w:r w:rsidRPr="00137C47">
              <w:rPr>
                <w:rFonts w:ascii="Arial Narrow" w:hAnsi="Arial Narrow"/>
                <w:sz w:val="20"/>
              </w:rPr>
              <w:t>Initial treatment - Initial 1 (new patients)</w:t>
            </w:r>
          </w:p>
        </w:tc>
      </w:tr>
      <w:tr w:rsidR="005F1741" w:rsidRPr="001A4753" w:rsidTr="00251D64">
        <w:tblPrEx>
          <w:tblCellMar>
            <w:left w:w="108" w:type="dxa"/>
            <w:right w:w="108" w:type="dxa"/>
          </w:tblCellMar>
        </w:tblPrEx>
        <w:trPr>
          <w:gridBefore w:val="1"/>
          <w:gridAfter w:val="6"/>
          <w:wBefore w:w="32" w:type="pct"/>
          <w:wAfter w:w="210" w:type="pct"/>
          <w:cantSplit/>
          <w:trHeight w:val="341"/>
        </w:trPr>
        <w:tc>
          <w:tcPr>
            <w:tcW w:w="999" w:type="pct"/>
            <w:tcBorders>
              <w:top w:val="single" w:sz="4" w:space="0" w:color="auto"/>
              <w:left w:val="single" w:sz="4" w:space="0" w:color="auto"/>
              <w:bottom w:val="single" w:sz="4" w:space="0" w:color="auto"/>
              <w:right w:val="single" w:sz="4" w:space="0" w:color="auto"/>
            </w:tcBorders>
          </w:tcPr>
          <w:p w:rsidR="005F1741" w:rsidRPr="001A4753" w:rsidRDefault="005F1741" w:rsidP="005F1741">
            <w:pPr>
              <w:keepNext/>
              <w:spacing w:before="40" w:after="40"/>
              <w:rPr>
                <w:rFonts w:ascii="Arial Narrow" w:hAnsi="Arial Narrow"/>
                <w:sz w:val="20"/>
              </w:rPr>
            </w:pPr>
            <w:r w:rsidRPr="001A4753">
              <w:rPr>
                <w:rFonts w:ascii="Arial Narrow" w:hAnsi="Arial Narrow"/>
                <w:sz w:val="20"/>
              </w:rPr>
              <w:t>Restriction</w:t>
            </w:r>
          </w:p>
        </w:tc>
        <w:tc>
          <w:tcPr>
            <w:tcW w:w="3759" w:type="pct"/>
            <w:tcBorders>
              <w:top w:val="single" w:sz="4" w:space="0" w:color="auto"/>
              <w:left w:val="single" w:sz="4" w:space="0" w:color="auto"/>
              <w:bottom w:val="single" w:sz="4" w:space="0" w:color="auto"/>
              <w:right w:val="single" w:sz="4" w:space="0" w:color="auto"/>
            </w:tcBorders>
          </w:tcPr>
          <w:p w:rsidR="005F1741" w:rsidRPr="001A4753" w:rsidRDefault="005F1741" w:rsidP="005F1741">
            <w:pPr>
              <w:keepNext/>
              <w:spacing w:before="40" w:after="40"/>
              <w:rPr>
                <w:rFonts w:ascii="Arial Narrow" w:hAnsi="Arial Narrow"/>
                <w:sz w:val="20"/>
              </w:rPr>
            </w:pPr>
            <w:r w:rsidRPr="001A4753">
              <w:rPr>
                <w:rFonts w:ascii="Arial Narrow" w:hAnsi="Arial Narrow"/>
                <w:sz w:val="20"/>
              </w:rPr>
              <w:t>Authority required</w:t>
            </w:r>
          </w:p>
        </w:tc>
      </w:tr>
      <w:tr w:rsidR="005F1741" w:rsidRPr="001A4753" w:rsidTr="00251D64">
        <w:tblPrEx>
          <w:tblCellMar>
            <w:left w:w="108" w:type="dxa"/>
            <w:right w:w="108" w:type="dxa"/>
          </w:tblCellMar>
        </w:tblPrEx>
        <w:trPr>
          <w:gridBefore w:val="1"/>
          <w:gridAfter w:val="6"/>
          <w:wBefore w:w="32" w:type="pct"/>
          <w:wAfter w:w="210" w:type="pct"/>
          <w:cantSplit/>
          <w:trHeight w:val="360"/>
        </w:trPr>
        <w:tc>
          <w:tcPr>
            <w:tcW w:w="999" w:type="pct"/>
            <w:tcBorders>
              <w:top w:val="single" w:sz="4" w:space="0" w:color="auto"/>
              <w:left w:val="single" w:sz="4" w:space="0" w:color="auto"/>
              <w:bottom w:val="single" w:sz="4" w:space="0" w:color="auto"/>
              <w:right w:val="single" w:sz="4" w:space="0" w:color="auto"/>
            </w:tcBorders>
          </w:tcPr>
          <w:p w:rsidR="005F1741" w:rsidRPr="001A4753" w:rsidRDefault="005F1741" w:rsidP="005F1741">
            <w:pPr>
              <w:keepNext/>
              <w:spacing w:before="40" w:after="40"/>
              <w:rPr>
                <w:rFonts w:ascii="Times" w:eastAsia="Times New Roman" w:hAnsi="Times" w:cs="Times New Roman"/>
                <w:sz w:val="20"/>
                <w:szCs w:val="20"/>
                <w:lang w:val="en-US"/>
              </w:rPr>
            </w:pPr>
            <w:r w:rsidRPr="001A4753">
              <w:rPr>
                <w:rFonts w:ascii="Arial Narrow" w:hAnsi="Arial Narrow"/>
                <w:sz w:val="20"/>
              </w:rPr>
              <w:t>Clinical criteria:</w:t>
            </w:r>
          </w:p>
        </w:tc>
        <w:tc>
          <w:tcPr>
            <w:tcW w:w="3759" w:type="pct"/>
            <w:tcBorders>
              <w:top w:val="single" w:sz="4" w:space="0" w:color="auto"/>
              <w:left w:val="single" w:sz="4" w:space="0" w:color="auto"/>
              <w:bottom w:val="single" w:sz="4" w:space="0" w:color="auto"/>
              <w:right w:val="single" w:sz="4" w:space="0" w:color="auto"/>
            </w:tcBorders>
          </w:tcPr>
          <w:p w:rsidR="005F1741" w:rsidRPr="001A4753" w:rsidRDefault="005F1741" w:rsidP="005F1741">
            <w:pPr>
              <w:keepNext/>
              <w:spacing w:before="40" w:after="40"/>
              <w:rPr>
                <w:rFonts w:ascii="Arial Narrow" w:hAnsi="Arial Narrow"/>
                <w:sz w:val="20"/>
              </w:rPr>
            </w:pPr>
            <w:r w:rsidRPr="001A4753">
              <w:rPr>
                <w:rFonts w:ascii="Arial Narrow" w:hAnsi="Arial Narrow"/>
                <w:sz w:val="20"/>
              </w:rPr>
              <w:t>Patient must be diagnosed with non-radiographic axial spondyloarthritis and have chronic lower back pain and stiffness for 3 or more months that is relieved by exercise but not rest</w:t>
            </w:r>
          </w:p>
          <w:p w:rsidR="005F1741" w:rsidRPr="001A4753" w:rsidRDefault="005F1741" w:rsidP="005F1741">
            <w:pPr>
              <w:keepNext/>
              <w:spacing w:before="40" w:after="40"/>
              <w:rPr>
                <w:rFonts w:ascii="Arial Narrow" w:hAnsi="Arial Narrow"/>
                <w:sz w:val="20"/>
              </w:rPr>
            </w:pPr>
            <w:r w:rsidRPr="001A4753">
              <w:rPr>
                <w:rFonts w:ascii="Arial Narrow" w:hAnsi="Arial Narrow"/>
                <w:sz w:val="20"/>
              </w:rPr>
              <w:t>AND</w:t>
            </w:r>
          </w:p>
          <w:p w:rsidR="005F1741" w:rsidRPr="001A4753" w:rsidRDefault="005F1741" w:rsidP="005F1741">
            <w:pPr>
              <w:keepNext/>
              <w:spacing w:before="40" w:after="40"/>
              <w:rPr>
                <w:rFonts w:ascii="Arial Narrow" w:hAnsi="Arial Narrow"/>
                <w:sz w:val="20"/>
              </w:rPr>
            </w:pPr>
            <w:r w:rsidRPr="001A4753">
              <w:rPr>
                <w:rFonts w:ascii="Arial Narrow" w:hAnsi="Arial Narrow"/>
                <w:sz w:val="20"/>
              </w:rPr>
              <w:t xml:space="preserve">Patient must have BASDAI of at least 4 </w:t>
            </w:r>
          </w:p>
          <w:p w:rsidR="005F1741" w:rsidRPr="001A4753" w:rsidRDefault="005F1741" w:rsidP="005F1741">
            <w:pPr>
              <w:keepNext/>
              <w:spacing w:before="40" w:after="40"/>
              <w:rPr>
                <w:rFonts w:ascii="Arial Narrow" w:hAnsi="Arial Narrow"/>
                <w:sz w:val="20"/>
              </w:rPr>
            </w:pPr>
            <w:r w:rsidRPr="001A4753">
              <w:rPr>
                <w:rFonts w:ascii="Arial Narrow" w:hAnsi="Arial Narrow"/>
                <w:sz w:val="20"/>
              </w:rPr>
              <w:t>AND</w:t>
            </w:r>
          </w:p>
          <w:p w:rsidR="005F1741" w:rsidRDefault="005F1741" w:rsidP="005F1741">
            <w:pPr>
              <w:keepNext/>
              <w:spacing w:before="40" w:after="40"/>
              <w:rPr>
                <w:rFonts w:ascii="Arial Narrow" w:hAnsi="Arial Narrow"/>
                <w:sz w:val="20"/>
              </w:rPr>
            </w:pPr>
            <w:r w:rsidRPr="001A4753">
              <w:rPr>
                <w:rFonts w:ascii="Arial Narrow" w:hAnsi="Arial Narrow"/>
                <w:sz w:val="20"/>
              </w:rPr>
              <w:t>Patient must have failed to achieve an adequate response following treatment with at least 2 NSAIDs whilst completing an appropriate exercise program, for a total period of 3 months</w:t>
            </w:r>
          </w:p>
          <w:p w:rsidR="00421498" w:rsidRDefault="00421498" w:rsidP="005F1741">
            <w:pPr>
              <w:keepNext/>
              <w:spacing w:before="40" w:after="40"/>
              <w:rPr>
                <w:rFonts w:ascii="Arial Narrow" w:hAnsi="Arial Narrow"/>
                <w:i/>
                <w:sz w:val="20"/>
              </w:rPr>
            </w:pPr>
            <w:r>
              <w:rPr>
                <w:rFonts w:ascii="Arial Narrow" w:hAnsi="Arial Narrow"/>
                <w:i/>
                <w:sz w:val="20"/>
              </w:rPr>
              <w:t>AND</w:t>
            </w:r>
          </w:p>
          <w:p w:rsidR="00215177" w:rsidRPr="00215177" w:rsidRDefault="00421498" w:rsidP="005F1741">
            <w:pPr>
              <w:keepNext/>
              <w:spacing w:before="40" w:after="40"/>
              <w:rPr>
                <w:rFonts w:ascii="Arial Narrow" w:hAnsi="Arial Narrow"/>
                <w:i/>
                <w:sz w:val="20"/>
              </w:rPr>
            </w:pPr>
            <w:r w:rsidRPr="00215177">
              <w:rPr>
                <w:rFonts w:ascii="Arial Narrow" w:hAnsi="Arial Narrow"/>
                <w:i/>
                <w:sz w:val="20"/>
              </w:rPr>
              <w:t>Patient must have elevated CRP</w:t>
            </w:r>
            <w:r w:rsidR="008C7FD4" w:rsidRPr="00215177">
              <w:rPr>
                <w:rFonts w:ascii="Arial Narrow" w:hAnsi="Arial Narrow"/>
                <w:i/>
                <w:sz w:val="20"/>
              </w:rPr>
              <w:t xml:space="preserve"> </w:t>
            </w:r>
          </w:p>
          <w:p w:rsidR="00421498" w:rsidRPr="00215177" w:rsidRDefault="008C7FD4" w:rsidP="005F1741">
            <w:pPr>
              <w:keepNext/>
              <w:spacing w:before="40" w:after="40"/>
              <w:rPr>
                <w:rFonts w:ascii="Arial Narrow" w:hAnsi="Arial Narrow"/>
                <w:i/>
                <w:sz w:val="20"/>
              </w:rPr>
            </w:pPr>
            <w:r w:rsidRPr="00215177">
              <w:rPr>
                <w:rFonts w:ascii="Arial Narrow" w:hAnsi="Arial Narrow"/>
                <w:i/>
                <w:sz w:val="20"/>
              </w:rPr>
              <w:t>AND</w:t>
            </w:r>
          </w:p>
          <w:p w:rsidR="005F1741" w:rsidRPr="00215177" w:rsidRDefault="005F1741" w:rsidP="005F1741">
            <w:pPr>
              <w:keepNext/>
              <w:spacing w:before="40" w:after="40"/>
              <w:rPr>
                <w:rFonts w:ascii="Arial Narrow" w:hAnsi="Arial Narrow"/>
                <w:sz w:val="20"/>
              </w:rPr>
            </w:pPr>
            <w:r w:rsidRPr="00215177">
              <w:rPr>
                <w:rFonts w:ascii="Arial Narrow" w:hAnsi="Arial Narrow"/>
                <w:sz w:val="20"/>
              </w:rPr>
              <w:t>The condition must be sacroiliitis on MRI plus one or more spon</w:t>
            </w:r>
            <w:r w:rsidR="009B23D7" w:rsidRPr="00215177">
              <w:rPr>
                <w:rFonts w:ascii="Arial Narrow" w:hAnsi="Arial Narrow"/>
                <w:sz w:val="20"/>
              </w:rPr>
              <w:t>d</w:t>
            </w:r>
            <w:r w:rsidRPr="00215177">
              <w:rPr>
                <w:rFonts w:ascii="Arial Narrow" w:hAnsi="Arial Narrow"/>
                <w:sz w:val="20"/>
              </w:rPr>
              <w:t>yloarthritis features (listed below)*</w:t>
            </w:r>
          </w:p>
          <w:p w:rsidR="005F1741" w:rsidRPr="0008023C" w:rsidRDefault="005F1741" w:rsidP="005F1741">
            <w:pPr>
              <w:keepNext/>
              <w:spacing w:before="40" w:after="40"/>
              <w:rPr>
                <w:rFonts w:ascii="Arial Narrow" w:hAnsi="Arial Narrow"/>
                <w:strike/>
                <w:sz w:val="20"/>
              </w:rPr>
            </w:pPr>
            <w:r w:rsidRPr="00215177">
              <w:rPr>
                <w:rFonts w:ascii="Arial Narrow" w:hAnsi="Arial Narrow"/>
                <w:strike/>
                <w:sz w:val="20"/>
              </w:rPr>
              <w:t>OR</w:t>
            </w:r>
          </w:p>
          <w:p w:rsidR="005F1741" w:rsidRPr="001A4753" w:rsidRDefault="005F1741" w:rsidP="005F1741">
            <w:pPr>
              <w:keepNext/>
              <w:spacing w:before="40" w:after="40"/>
              <w:rPr>
                <w:rFonts w:ascii="Arial Narrow" w:hAnsi="Arial Narrow"/>
                <w:sz w:val="20"/>
              </w:rPr>
            </w:pPr>
            <w:r w:rsidRPr="0008023C">
              <w:rPr>
                <w:rFonts w:ascii="Arial Narrow" w:hAnsi="Arial Narrow"/>
                <w:strike/>
                <w:sz w:val="20"/>
              </w:rPr>
              <w:t>HLA-B27 positive test plus one or more other spondyloarthritis features (a) to (g) (listed below)* as well as elevated CRP</w:t>
            </w:r>
            <w:r w:rsidRPr="001A4753">
              <w:rPr>
                <w:rFonts w:ascii="Arial Narrow" w:hAnsi="Arial Narrow"/>
                <w:sz w:val="20"/>
              </w:rPr>
              <w:t>.</w:t>
            </w:r>
          </w:p>
        </w:tc>
      </w:tr>
      <w:tr w:rsidR="005F1741" w:rsidRPr="001A4753" w:rsidTr="00251D64">
        <w:tblPrEx>
          <w:tblCellMar>
            <w:left w:w="108" w:type="dxa"/>
            <w:right w:w="108" w:type="dxa"/>
          </w:tblCellMar>
        </w:tblPrEx>
        <w:trPr>
          <w:gridBefore w:val="1"/>
          <w:gridAfter w:val="6"/>
          <w:wBefore w:w="32" w:type="pct"/>
          <w:wAfter w:w="210" w:type="pct"/>
          <w:cantSplit/>
          <w:trHeight w:val="360"/>
        </w:trPr>
        <w:tc>
          <w:tcPr>
            <w:tcW w:w="999" w:type="pct"/>
            <w:tcBorders>
              <w:top w:val="single" w:sz="4" w:space="0" w:color="auto"/>
              <w:left w:val="single" w:sz="4" w:space="0" w:color="auto"/>
              <w:bottom w:val="single" w:sz="4" w:space="0" w:color="auto"/>
              <w:right w:val="single" w:sz="4" w:space="0" w:color="auto"/>
            </w:tcBorders>
          </w:tcPr>
          <w:p w:rsidR="005F1741" w:rsidRPr="001A4753" w:rsidRDefault="005F1741" w:rsidP="005F1741">
            <w:pPr>
              <w:keepNext/>
              <w:spacing w:before="40" w:after="40"/>
              <w:rPr>
                <w:rFonts w:ascii="Times" w:eastAsia="Times New Roman" w:hAnsi="Times" w:cs="Times New Roman"/>
                <w:sz w:val="20"/>
                <w:szCs w:val="20"/>
                <w:lang w:val="en-US"/>
              </w:rPr>
            </w:pPr>
            <w:r w:rsidRPr="001A4753">
              <w:rPr>
                <w:rFonts w:ascii="Arial Narrow" w:hAnsi="Arial Narrow"/>
                <w:sz w:val="20"/>
              </w:rPr>
              <w:t>Treatment phase:</w:t>
            </w:r>
          </w:p>
        </w:tc>
        <w:tc>
          <w:tcPr>
            <w:tcW w:w="3759" w:type="pct"/>
            <w:tcBorders>
              <w:top w:val="single" w:sz="4" w:space="0" w:color="auto"/>
              <w:left w:val="single" w:sz="4" w:space="0" w:color="auto"/>
              <w:bottom w:val="single" w:sz="4" w:space="0" w:color="auto"/>
              <w:right w:val="single" w:sz="4" w:space="0" w:color="auto"/>
            </w:tcBorders>
          </w:tcPr>
          <w:p w:rsidR="005F1741" w:rsidRPr="001A4753" w:rsidRDefault="005F1741" w:rsidP="005F1741">
            <w:pPr>
              <w:keepNext/>
              <w:spacing w:before="40" w:after="40"/>
              <w:rPr>
                <w:rFonts w:ascii="Arial Narrow" w:hAnsi="Arial Narrow"/>
                <w:sz w:val="20"/>
              </w:rPr>
            </w:pPr>
            <w:r w:rsidRPr="001A4753">
              <w:rPr>
                <w:rFonts w:ascii="Arial Narrow" w:hAnsi="Arial Narrow"/>
                <w:sz w:val="20"/>
              </w:rPr>
              <w:t xml:space="preserve">Initial treatment – </w:t>
            </w:r>
            <w:r w:rsidR="00251D64" w:rsidRPr="001A4753">
              <w:rPr>
                <w:rFonts w:ascii="Arial Narrow" w:hAnsi="Arial Narrow"/>
                <w:sz w:val="20"/>
              </w:rPr>
              <w:t>I</w:t>
            </w:r>
            <w:r w:rsidRPr="001A4753">
              <w:rPr>
                <w:rFonts w:ascii="Arial Narrow" w:hAnsi="Arial Narrow"/>
                <w:sz w:val="20"/>
              </w:rPr>
              <w:t>nitial 2 (re-commencement): and Continuing treatment</w:t>
            </w:r>
          </w:p>
        </w:tc>
      </w:tr>
      <w:tr w:rsidR="005F1741" w:rsidRPr="001A4753" w:rsidTr="00251D64">
        <w:tblPrEx>
          <w:tblCellMar>
            <w:left w:w="108" w:type="dxa"/>
            <w:right w:w="108" w:type="dxa"/>
          </w:tblCellMar>
        </w:tblPrEx>
        <w:trPr>
          <w:gridBefore w:val="1"/>
          <w:gridAfter w:val="6"/>
          <w:wBefore w:w="32" w:type="pct"/>
          <w:wAfter w:w="210" w:type="pct"/>
          <w:cantSplit/>
          <w:trHeight w:val="360"/>
        </w:trPr>
        <w:tc>
          <w:tcPr>
            <w:tcW w:w="999" w:type="pct"/>
            <w:tcBorders>
              <w:top w:val="single" w:sz="4" w:space="0" w:color="auto"/>
              <w:left w:val="single" w:sz="4" w:space="0" w:color="auto"/>
              <w:bottom w:val="single" w:sz="4" w:space="0" w:color="auto"/>
              <w:right w:val="single" w:sz="4" w:space="0" w:color="auto"/>
            </w:tcBorders>
          </w:tcPr>
          <w:p w:rsidR="005F1741" w:rsidRPr="001A4753" w:rsidRDefault="005F1741" w:rsidP="005F1741">
            <w:pPr>
              <w:keepNext/>
              <w:spacing w:before="40" w:after="40"/>
              <w:rPr>
                <w:rFonts w:ascii="Times" w:eastAsia="Times New Roman" w:hAnsi="Times" w:cs="Times New Roman"/>
                <w:sz w:val="20"/>
                <w:szCs w:val="20"/>
                <w:lang w:val="en-US"/>
              </w:rPr>
            </w:pPr>
            <w:r w:rsidRPr="001A4753">
              <w:rPr>
                <w:rFonts w:ascii="Arial Narrow" w:hAnsi="Arial Narrow"/>
                <w:sz w:val="20"/>
              </w:rPr>
              <w:t>Clinical criteria:</w:t>
            </w:r>
          </w:p>
        </w:tc>
        <w:tc>
          <w:tcPr>
            <w:tcW w:w="3759" w:type="pct"/>
            <w:tcBorders>
              <w:top w:val="single" w:sz="4" w:space="0" w:color="auto"/>
              <w:left w:val="single" w:sz="4" w:space="0" w:color="auto"/>
              <w:bottom w:val="single" w:sz="4" w:space="0" w:color="auto"/>
              <w:right w:val="single" w:sz="4" w:space="0" w:color="auto"/>
            </w:tcBorders>
          </w:tcPr>
          <w:p w:rsidR="005F1741" w:rsidRPr="001A4753" w:rsidRDefault="005F1741" w:rsidP="005F1741">
            <w:pPr>
              <w:keepNext/>
              <w:spacing w:before="40" w:after="40"/>
              <w:rPr>
                <w:rFonts w:ascii="Arial Narrow" w:hAnsi="Arial Narrow"/>
                <w:sz w:val="20"/>
              </w:rPr>
            </w:pPr>
            <w:r w:rsidRPr="001A4753">
              <w:rPr>
                <w:rFonts w:ascii="Arial Narrow" w:hAnsi="Arial Narrow"/>
                <w:sz w:val="20"/>
              </w:rPr>
              <w:t>Patient must have a documented history of non-radiographic axial spondyloarthri</w:t>
            </w:r>
            <w:r w:rsidR="00F9023A" w:rsidRPr="001A4753">
              <w:rPr>
                <w:rFonts w:ascii="Arial Narrow" w:hAnsi="Arial Narrow"/>
                <w:sz w:val="20"/>
              </w:rPr>
              <w:t>ti</w:t>
            </w:r>
            <w:r w:rsidRPr="001A4753">
              <w:rPr>
                <w:rFonts w:ascii="Arial Narrow" w:hAnsi="Arial Narrow"/>
                <w:sz w:val="20"/>
              </w:rPr>
              <w:t xml:space="preserve">s </w:t>
            </w:r>
          </w:p>
          <w:p w:rsidR="005F1741" w:rsidRPr="001A4753" w:rsidRDefault="005F1741" w:rsidP="005F1741">
            <w:pPr>
              <w:keepNext/>
              <w:spacing w:before="40" w:after="40"/>
              <w:rPr>
                <w:rFonts w:ascii="Arial Narrow" w:hAnsi="Arial Narrow"/>
                <w:sz w:val="20"/>
              </w:rPr>
            </w:pPr>
            <w:r w:rsidRPr="001A4753">
              <w:rPr>
                <w:rFonts w:ascii="Arial Narrow" w:hAnsi="Arial Narrow"/>
                <w:sz w:val="20"/>
              </w:rPr>
              <w:t>AND</w:t>
            </w:r>
          </w:p>
          <w:p w:rsidR="005F1741" w:rsidRPr="001A4753" w:rsidRDefault="005F1741" w:rsidP="005F1741">
            <w:pPr>
              <w:keepNext/>
              <w:spacing w:before="40" w:after="40"/>
              <w:rPr>
                <w:rFonts w:ascii="Arial Narrow" w:hAnsi="Arial Narrow"/>
                <w:sz w:val="20"/>
              </w:rPr>
            </w:pPr>
            <w:r w:rsidRPr="001A4753">
              <w:rPr>
                <w:rFonts w:ascii="Arial Narrow" w:hAnsi="Arial Narrow"/>
                <w:sz w:val="20"/>
              </w:rPr>
              <w:t>Patient must have previously received PBS-subsidised therapy with this drug for the indication</w:t>
            </w:r>
          </w:p>
          <w:p w:rsidR="005F1741" w:rsidRPr="001A4753" w:rsidRDefault="005F1741" w:rsidP="005F1741">
            <w:pPr>
              <w:keepNext/>
              <w:spacing w:before="40" w:after="40"/>
              <w:rPr>
                <w:rFonts w:ascii="Arial Narrow" w:hAnsi="Arial Narrow"/>
                <w:sz w:val="20"/>
              </w:rPr>
            </w:pPr>
            <w:r w:rsidRPr="001A4753">
              <w:rPr>
                <w:rFonts w:ascii="Arial Narrow" w:hAnsi="Arial Narrow"/>
                <w:sz w:val="20"/>
              </w:rPr>
              <w:t>AND</w:t>
            </w:r>
          </w:p>
          <w:p w:rsidR="005F1741" w:rsidRPr="001A4753" w:rsidRDefault="005F1741" w:rsidP="005F1741">
            <w:pPr>
              <w:keepNext/>
              <w:spacing w:before="40" w:after="40"/>
              <w:rPr>
                <w:rFonts w:ascii="Arial Narrow" w:hAnsi="Arial Narrow"/>
                <w:sz w:val="20"/>
              </w:rPr>
            </w:pPr>
            <w:r w:rsidRPr="001A4753">
              <w:rPr>
                <w:rFonts w:ascii="Arial Narrow" w:hAnsi="Arial Narrow"/>
                <w:sz w:val="20"/>
              </w:rPr>
              <w:t>Patient must have previously demonstrated an adequate response to PBS-subs</w:t>
            </w:r>
            <w:r w:rsidR="007A6648" w:rsidRPr="001A4753">
              <w:rPr>
                <w:rFonts w:ascii="Arial Narrow" w:hAnsi="Arial Narrow"/>
                <w:sz w:val="20"/>
              </w:rPr>
              <w:t>i</w:t>
            </w:r>
            <w:r w:rsidRPr="001A4753">
              <w:rPr>
                <w:rFonts w:ascii="Arial Narrow" w:hAnsi="Arial Narrow"/>
                <w:sz w:val="20"/>
              </w:rPr>
              <w:t>dised therapy with this drug</w:t>
            </w:r>
          </w:p>
        </w:tc>
      </w:tr>
    </w:tbl>
    <w:p w:rsidR="00935C82" w:rsidRPr="001A4753" w:rsidRDefault="00935C82" w:rsidP="00935C82">
      <w:pPr>
        <w:tabs>
          <w:tab w:val="left" w:pos="284"/>
        </w:tabs>
        <w:spacing w:before="40" w:after="40"/>
        <w:ind w:left="284" w:hanging="284"/>
        <w:jc w:val="both"/>
        <w:rPr>
          <w:rFonts w:ascii="Arial Narrow" w:hAnsi="Arial Narrow"/>
          <w:sz w:val="18"/>
          <w:szCs w:val="18"/>
        </w:rPr>
      </w:pPr>
      <w:r w:rsidRPr="001A4753">
        <w:rPr>
          <w:rFonts w:ascii="Arial Narrow" w:hAnsi="Arial Narrow"/>
          <w:sz w:val="18"/>
          <w:szCs w:val="18"/>
        </w:rPr>
        <w:t>*</w:t>
      </w:r>
      <w:r w:rsidRPr="001A4753">
        <w:rPr>
          <w:rFonts w:ascii="Arial Narrow" w:hAnsi="Arial Narrow"/>
          <w:sz w:val="18"/>
          <w:szCs w:val="18"/>
        </w:rPr>
        <w:tab/>
      </w:r>
      <w:r w:rsidRPr="00935C82">
        <w:rPr>
          <w:rFonts w:ascii="Arial Narrow" w:hAnsi="Arial Narrow"/>
          <w:strike/>
          <w:sz w:val="18"/>
          <w:szCs w:val="18"/>
        </w:rPr>
        <w:t>(a) Arthritis</w:t>
      </w:r>
      <w:r w:rsidRPr="001A4753">
        <w:rPr>
          <w:rFonts w:ascii="Arial Narrow" w:hAnsi="Arial Narrow"/>
          <w:sz w:val="18"/>
          <w:szCs w:val="18"/>
        </w:rPr>
        <w:t>; (</w:t>
      </w:r>
      <w:r>
        <w:rPr>
          <w:rFonts w:ascii="Arial Narrow" w:hAnsi="Arial Narrow"/>
          <w:i/>
          <w:sz w:val="18"/>
          <w:szCs w:val="18"/>
        </w:rPr>
        <w:t>a</w:t>
      </w:r>
      <w:r w:rsidRPr="001A4753">
        <w:rPr>
          <w:rFonts w:ascii="Arial Narrow" w:hAnsi="Arial Narrow"/>
          <w:sz w:val="18"/>
          <w:szCs w:val="18"/>
        </w:rPr>
        <w:t>) Enthesitis (heel); (</w:t>
      </w:r>
      <w:r>
        <w:rPr>
          <w:rFonts w:ascii="Arial Narrow" w:hAnsi="Arial Narrow"/>
          <w:i/>
          <w:sz w:val="18"/>
          <w:szCs w:val="18"/>
        </w:rPr>
        <w:t>b</w:t>
      </w:r>
      <w:r w:rsidRPr="001A4753">
        <w:rPr>
          <w:rFonts w:ascii="Arial Narrow" w:hAnsi="Arial Narrow"/>
          <w:sz w:val="18"/>
          <w:szCs w:val="18"/>
        </w:rPr>
        <w:t>) Uveitis; (</w:t>
      </w:r>
      <w:r>
        <w:rPr>
          <w:rFonts w:ascii="Arial Narrow" w:hAnsi="Arial Narrow"/>
          <w:i/>
          <w:sz w:val="18"/>
          <w:szCs w:val="18"/>
        </w:rPr>
        <w:t>c</w:t>
      </w:r>
      <w:r w:rsidRPr="001A4753">
        <w:rPr>
          <w:rFonts w:ascii="Arial Narrow" w:hAnsi="Arial Narrow"/>
          <w:sz w:val="18"/>
          <w:szCs w:val="18"/>
        </w:rPr>
        <w:t>) Dactylitis; (</w:t>
      </w:r>
      <w:r>
        <w:rPr>
          <w:rFonts w:ascii="Arial Narrow" w:hAnsi="Arial Narrow"/>
          <w:i/>
          <w:sz w:val="18"/>
          <w:szCs w:val="18"/>
        </w:rPr>
        <w:t>d</w:t>
      </w:r>
      <w:r w:rsidRPr="001A4753">
        <w:rPr>
          <w:rFonts w:ascii="Arial Narrow" w:hAnsi="Arial Narrow"/>
          <w:sz w:val="18"/>
          <w:szCs w:val="18"/>
        </w:rPr>
        <w:t>)Psoriasis; (</w:t>
      </w:r>
      <w:r>
        <w:rPr>
          <w:rFonts w:ascii="Arial Narrow" w:hAnsi="Arial Narrow"/>
          <w:i/>
          <w:sz w:val="18"/>
          <w:szCs w:val="18"/>
        </w:rPr>
        <w:t>e</w:t>
      </w:r>
      <w:r w:rsidRPr="001A4753">
        <w:rPr>
          <w:rFonts w:ascii="Arial Narrow" w:hAnsi="Arial Narrow"/>
          <w:sz w:val="18"/>
          <w:szCs w:val="18"/>
        </w:rPr>
        <w:t xml:space="preserve">) Inflammatory bowel disease; </w:t>
      </w:r>
      <w:r w:rsidRPr="00576663">
        <w:rPr>
          <w:rFonts w:ascii="Arial Narrow" w:hAnsi="Arial Narrow"/>
          <w:strike/>
          <w:sz w:val="18"/>
          <w:szCs w:val="18"/>
        </w:rPr>
        <w:t>(</w:t>
      </w:r>
      <w:r w:rsidR="00576663" w:rsidRPr="00576663">
        <w:rPr>
          <w:rFonts w:ascii="Arial Narrow" w:hAnsi="Arial Narrow"/>
          <w:strike/>
          <w:sz w:val="18"/>
          <w:szCs w:val="18"/>
        </w:rPr>
        <w:t>g</w:t>
      </w:r>
      <w:r w:rsidRPr="00576663">
        <w:rPr>
          <w:rFonts w:ascii="Arial Narrow" w:hAnsi="Arial Narrow"/>
          <w:strike/>
          <w:sz w:val="18"/>
          <w:szCs w:val="18"/>
        </w:rPr>
        <w:t>) Family history of spondyloarthritis</w:t>
      </w:r>
      <w:r w:rsidRPr="00935C82">
        <w:rPr>
          <w:rFonts w:ascii="Arial Narrow" w:hAnsi="Arial Narrow"/>
          <w:sz w:val="18"/>
          <w:szCs w:val="18"/>
        </w:rPr>
        <w:t>;</w:t>
      </w:r>
      <w:r w:rsidRPr="001A4753">
        <w:rPr>
          <w:rFonts w:ascii="Arial Narrow" w:hAnsi="Arial Narrow"/>
          <w:sz w:val="18"/>
          <w:szCs w:val="18"/>
        </w:rPr>
        <w:t xml:space="preserve"> </w:t>
      </w:r>
      <w:r>
        <w:rPr>
          <w:rFonts w:ascii="Arial Narrow" w:hAnsi="Arial Narrow"/>
          <w:sz w:val="18"/>
          <w:szCs w:val="18"/>
        </w:rPr>
        <w:t xml:space="preserve">or </w:t>
      </w:r>
      <w:r w:rsidRPr="001A4753">
        <w:rPr>
          <w:rFonts w:ascii="Arial Narrow" w:hAnsi="Arial Narrow"/>
          <w:sz w:val="18"/>
          <w:szCs w:val="18"/>
        </w:rPr>
        <w:t>(</w:t>
      </w:r>
      <w:r w:rsidR="00576663">
        <w:rPr>
          <w:rFonts w:ascii="Arial Narrow" w:hAnsi="Arial Narrow"/>
          <w:i/>
          <w:sz w:val="18"/>
          <w:szCs w:val="18"/>
        </w:rPr>
        <w:t>f</w:t>
      </w:r>
      <w:r w:rsidRPr="001A4753">
        <w:rPr>
          <w:rFonts w:ascii="Arial Narrow" w:hAnsi="Arial Narrow"/>
          <w:sz w:val="18"/>
          <w:szCs w:val="18"/>
        </w:rPr>
        <w:t xml:space="preserve">) HLA-B27; </w:t>
      </w:r>
      <w:r w:rsidRPr="00935C82">
        <w:rPr>
          <w:rFonts w:ascii="Arial Narrow" w:hAnsi="Arial Narrow"/>
          <w:strike/>
          <w:sz w:val="18"/>
          <w:szCs w:val="18"/>
        </w:rPr>
        <w:t>or (I) Elevated CRP</w:t>
      </w:r>
    </w:p>
    <w:p w:rsidR="00F4223D" w:rsidRPr="00A14787" w:rsidRDefault="00F4223D" w:rsidP="00BB68CD">
      <w:pPr>
        <w:pStyle w:val="ListParagraph"/>
        <w:numPr>
          <w:ilvl w:val="1"/>
          <w:numId w:val="1"/>
        </w:numPr>
        <w:jc w:val="both"/>
      </w:pPr>
      <w:r w:rsidRPr="00A14787">
        <w:t>The ESC considered there was considerable risk of use beyond the proposed nr-axSpA restriction to patients with non-specific chronic back pain unrelated to spondyloarthritis (also refer to Etanercept March 2015 PSD, paragraph 7.9).</w:t>
      </w:r>
    </w:p>
    <w:p w:rsidR="00BA4C76" w:rsidRPr="00A14787" w:rsidRDefault="00BA4C76" w:rsidP="00BB68CD">
      <w:pPr>
        <w:pStyle w:val="ListParagraph"/>
        <w:numPr>
          <w:ilvl w:val="1"/>
          <w:numId w:val="1"/>
        </w:numPr>
        <w:jc w:val="both"/>
      </w:pPr>
      <w:r w:rsidRPr="00A14787">
        <w:rPr>
          <w:iCs/>
        </w:rPr>
        <w:t>The ESC did not consider that the proposed restriction accurately reflects the diagnosis of nr-axSpA in Australia. Accordingly, the ESC proposed a number of amendments to the PBS restriction:</w:t>
      </w:r>
    </w:p>
    <w:p w:rsidR="00BA4C76" w:rsidRPr="00A14787" w:rsidRDefault="00BA4C76" w:rsidP="00EC418A">
      <w:pPr>
        <w:pStyle w:val="ListParagraph"/>
        <w:numPr>
          <w:ilvl w:val="0"/>
          <w:numId w:val="13"/>
        </w:numPr>
        <w:jc w:val="both"/>
      </w:pPr>
      <w:r w:rsidRPr="00A14787">
        <w:t xml:space="preserve">The condition must </w:t>
      </w:r>
      <w:r w:rsidR="003160F8" w:rsidRPr="00A14787">
        <w:t>include</w:t>
      </w:r>
      <w:r w:rsidRPr="00A14787">
        <w:t xml:space="preserve"> sacroiliitis on </w:t>
      </w:r>
      <w:r w:rsidR="00EC418A" w:rsidRPr="00EC418A">
        <w:t>magnetic resonance imaging (</w:t>
      </w:r>
      <w:r w:rsidRPr="00A14787">
        <w:t>MRI</w:t>
      </w:r>
      <w:r w:rsidR="00EC418A">
        <w:t>)</w:t>
      </w:r>
      <w:r w:rsidRPr="00A14787">
        <w:t xml:space="preserve"> plus one or more spondyloarthritis features: (a) Enthesitis (heel); (b) Uveitis; (c) </w:t>
      </w:r>
      <w:r w:rsidRPr="00A14787">
        <w:lastRenderedPageBreak/>
        <w:t xml:space="preserve">Dactylitis; (d) Psoriasis; (e) Inflammatory bowel disease; </w:t>
      </w:r>
      <w:r w:rsidR="00935C82" w:rsidRPr="00A14787">
        <w:t xml:space="preserve">or </w:t>
      </w:r>
      <w:r w:rsidRPr="00A14787">
        <w:t>(</w:t>
      </w:r>
      <w:r w:rsidR="00576663" w:rsidRPr="00A14787">
        <w:t>f</w:t>
      </w:r>
      <w:r w:rsidRPr="00A14787">
        <w:t xml:space="preserve">) </w:t>
      </w:r>
      <w:r w:rsidR="00EC418A" w:rsidRPr="00EC418A">
        <w:t xml:space="preserve">human leukocyte antigen-B27 </w:t>
      </w:r>
      <w:r w:rsidR="00EC418A">
        <w:t>(</w:t>
      </w:r>
      <w:r w:rsidRPr="00A14787">
        <w:t>HLA-B27</w:t>
      </w:r>
      <w:r w:rsidR="00EC418A">
        <w:t>)</w:t>
      </w:r>
      <w:r w:rsidRPr="00A14787">
        <w:t xml:space="preserve"> positivity.</w:t>
      </w:r>
      <w:r w:rsidR="00576663" w:rsidRPr="00A14787">
        <w:t xml:space="preserve"> The options of arthritis and family history of spondyloarthritis have been removed, and elevated </w:t>
      </w:r>
      <w:r w:rsidR="00EC418A" w:rsidRPr="00EC418A">
        <w:t>C-reactive protein (</w:t>
      </w:r>
      <w:r w:rsidR="00576663" w:rsidRPr="00A14787">
        <w:t>CRP</w:t>
      </w:r>
      <w:r w:rsidR="00EC418A">
        <w:t>)</w:t>
      </w:r>
      <w:r w:rsidR="00576663" w:rsidRPr="00A14787">
        <w:t xml:space="preserve"> moved.</w:t>
      </w:r>
    </w:p>
    <w:p w:rsidR="00935C82" w:rsidRPr="00A14787" w:rsidRDefault="00935C82" w:rsidP="00BB68CD">
      <w:pPr>
        <w:pStyle w:val="ListParagraph"/>
        <w:numPr>
          <w:ilvl w:val="0"/>
          <w:numId w:val="13"/>
        </w:numPr>
        <w:jc w:val="both"/>
      </w:pPr>
      <w:r w:rsidRPr="00A14787">
        <w:t>Elevated CRP should be a requirement</w:t>
      </w:r>
      <w:r w:rsidR="00354740" w:rsidRPr="00A14787">
        <w:t>.</w:t>
      </w:r>
    </w:p>
    <w:p w:rsidR="00F07EC1" w:rsidRPr="00A14787" w:rsidRDefault="00F07EC1" w:rsidP="00BB68CD">
      <w:pPr>
        <w:pStyle w:val="ListParagraph"/>
        <w:numPr>
          <w:ilvl w:val="1"/>
          <w:numId w:val="1"/>
        </w:numPr>
        <w:jc w:val="both"/>
      </w:pPr>
      <w:r w:rsidRPr="00A14787">
        <w:rPr>
          <w:rFonts w:eastAsia="Times New Roman"/>
          <w:iCs/>
        </w:rPr>
        <w:t>The ESC also considered a number of other issues important for defining the population, which are not captured in the proposed restriction. These include: symptom duration should be &lt;5 years; for the elevated CRP, no allowance should be made for patients currently on steroids with normal inflammatory markers; and for the MRI there should be independent reading and confirmation of sacroil</w:t>
      </w:r>
      <w:r w:rsidR="00B7462A">
        <w:rPr>
          <w:rFonts w:eastAsia="Times New Roman"/>
          <w:iCs/>
        </w:rPr>
        <w:t>i</w:t>
      </w:r>
      <w:r w:rsidRPr="00A14787">
        <w:rPr>
          <w:rFonts w:eastAsia="Times New Roman"/>
          <w:iCs/>
        </w:rPr>
        <w:t>itis by radiologists who are blinded to the patient’s history, as the diagnosis of sacroil</w:t>
      </w:r>
      <w:r w:rsidR="00B7462A">
        <w:rPr>
          <w:rFonts w:eastAsia="Times New Roman"/>
          <w:iCs/>
        </w:rPr>
        <w:t>i</w:t>
      </w:r>
      <w:r w:rsidRPr="00A14787">
        <w:rPr>
          <w:rFonts w:eastAsia="Times New Roman"/>
          <w:iCs/>
        </w:rPr>
        <w:t xml:space="preserve">itis on MRI can be subjective.  </w:t>
      </w:r>
      <w:r w:rsidRPr="00A14787">
        <w:rPr>
          <w:rFonts w:eastAsia="Times New Roman"/>
          <w:iCs/>
          <w:lang w:eastAsia="en-GB"/>
        </w:rPr>
        <w:t>These additional factors may be difficult to address adequately with the current restriction and so the risk of use outside the appropriate population may be better managed with pricing and risk share arrangements.</w:t>
      </w:r>
    </w:p>
    <w:p w:rsidR="005F1741" w:rsidRPr="00A14787" w:rsidRDefault="00251D64" w:rsidP="00BB68CD">
      <w:pPr>
        <w:pStyle w:val="ListParagraph"/>
        <w:numPr>
          <w:ilvl w:val="1"/>
          <w:numId w:val="1"/>
        </w:numPr>
        <w:jc w:val="both"/>
      </w:pPr>
      <w:r w:rsidRPr="00A14787">
        <w:t>The submission stated that it was requesting a</w:t>
      </w:r>
      <w:r w:rsidR="00AB7AE2" w:rsidRPr="00A14787">
        <w:t>n effective</w:t>
      </w:r>
      <w:r w:rsidRPr="00A14787">
        <w:t xml:space="preserve"> dispensed price </w:t>
      </w:r>
      <w:r w:rsidR="008239D7" w:rsidRPr="00A14787">
        <w:t>of $</w:t>
      </w:r>
      <w:r w:rsidR="0092728B">
        <w:rPr>
          <w:noProof/>
          <w:color w:val="000000"/>
          <w:highlight w:val="black"/>
        </w:rPr>
        <w:t>''''''''''''''''''</w:t>
      </w:r>
      <w:r w:rsidR="008239D7" w:rsidRPr="00A14787">
        <w:t xml:space="preserve"> per </w:t>
      </w:r>
      <w:r w:rsidRPr="00A14787">
        <w:t xml:space="preserve">maximum quantity for the treatment of patients with nr-axSpA, and proposed that </w:t>
      </w:r>
      <w:r w:rsidR="0092728B">
        <w:rPr>
          <w:noProof/>
          <w:color w:val="000000"/>
          <w:highlight w:val="black"/>
        </w:rPr>
        <w:t>''' ''''''''''''''''''' '''''''''' ''''' ''''''''''''''' '''''''''''' '''' ''''''''''''''''''' ''''' ''''''''''''''''''' ''''' '''''''</w:t>
      </w:r>
      <w:r w:rsidR="00A126DC" w:rsidRPr="00BC6E35">
        <w:t>, subject to</w:t>
      </w:r>
      <w:r w:rsidRPr="00BC6E35">
        <w:t xml:space="preserve"> a special pricing arrangement. The submission also request</w:t>
      </w:r>
      <w:r w:rsidR="00B57FF7" w:rsidRPr="00BC6E35">
        <w:t>ed</w:t>
      </w:r>
      <w:r w:rsidRPr="00BC6E35">
        <w:t xml:space="preserve"> that </w:t>
      </w:r>
      <w:r w:rsidR="0092728B">
        <w:rPr>
          <w:noProof/>
          <w:color w:val="000000"/>
          <w:highlight w:val="black"/>
        </w:rPr>
        <w:t xml:space="preserve">'''''' ''''''''''''''''' ''''''''' '''''' '''''''''''''''''''' ''''''''''''''''' '''''' ''''' '''''' ''''''' '''''''' '''''' ''''''''''''''''''''''' </w:t>
      </w:r>
      <w:r w:rsidRPr="00BC6E35">
        <w:t>(with the submission noting that it submitted a concurrent application for the 100</w:t>
      </w:r>
      <w:r w:rsidR="00A126DC" w:rsidRPr="00BC6E35">
        <w:t xml:space="preserve"> </w:t>
      </w:r>
      <w:r w:rsidRPr="00BC6E35">
        <w:t>mg presentation for the treatment of moderate to severe ulcerative colitis for the same PBAC meeting).</w:t>
      </w:r>
    </w:p>
    <w:p w:rsidR="00CC223C" w:rsidRPr="00A14787" w:rsidRDefault="00CC223C" w:rsidP="00BB68CD">
      <w:pPr>
        <w:pStyle w:val="ListParagraph"/>
        <w:numPr>
          <w:ilvl w:val="1"/>
          <w:numId w:val="1"/>
        </w:numPr>
        <w:jc w:val="both"/>
      </w:pPr>
      <w:r w:rsidRPr="00A14787">
        <w:rPr>
          <w:iCs/>
        </w:rPr>
        <w:t>The nomination of four repeats was consistent with an initial treatment period of 20 weeks (where assessment of response would then occur sometime between Week 16 and Week 20, to assess eligibility for continuing treatment at Week 20). The submission stated that the rationale for assessment at 16 weeks for this indication was that this was consistent with trial primary endpoint assessment in the main GO-AHEAD trial and that there was a continued significant incremental improvement with golimumab in the proposed PBS population from week 12 (</w:t>
      </w:r>
      <w:r w:rsidR="0092728B">
        <w:rPr>
          <w:iCs/>
          <w:noProof/>
          <w:color w:val="000000"/>
          <w:highlight w:val="black"/>
        </w:rPr>
        <w:t>''''''''</w:t>
      </w:r>
      <w:r w:rsidRPr="00A14787">
        <w:rPr>
          <w:iCs/>
        </w:rPr>
        <w:t>% responders) to week 16 (</w:t>
      </w:r>
      <w:r w:rsidR="0092728B">
        <w:rPr>
          <w:iCs/>
          <w:noProof/>
          <w:color w:val="000000"/>
          <w:highlight w:val="black"/>
        </w:rPr>
        <w:t>''''''''</w:t>
      </w:r>
      <w:r w:rsidRPr="00A14787">
        <w:rPr>
          <w:iCs/>
        </w:rPr>
        <w:t xml:space="preserve">% responders) as assessed by the percentage of patients achieving the primary endpoint ASAS 20 in this trial. </w:t>
      </w:r>
    </w:p>
    <w:p w:rsidR="00CC223C" w:rsidRPr="00A14787" w:rsidRDefault="009E62E4" w:rsidP="00BB68CD">
      <w:pPr>
        <w:pStyle w:val="ListParagraph"/>
        <w:numPr>
          <w:ilvl w:val="1"/>
          <w:numId w:val="1"/>
        </w:numPr>
        <w:jc w:val="both"/>
      </w:pPr>
      <w:r w:rsidRPr="00A14787">
        <w:rPr>
          <w:iCs/>
        </w:rPr>
        <w:t>A</w:t>
      </w:r>
      <w:r w:rsidR="00CC223C" w:rsidRPr="00A14787">
        <w:t>s the approved Product Information indicated that assessment for continued treatment should occur after three to four doses, three repeats may be more appropriate for initial treatment. Moreover, the economic evaluation provided in the submission was consistent with initial treatment being one script and three repeats (16 weeks of treatment)</w:t>
      </w:r>
      <w:r w:rsidR="00146E3A" w:rsidRPr="00A14787">
        <w:t>.</w:t>
      </w:r>
      <w:r w:rsidR="00CC223C" w:rsidRPr="00A14787">
        <w:t xml:space="preserve"> </w:t>
      </w:r>
      <w:r w:rsidR="00146E3A" w:rsidRPr="00A14787">
        <w:t>H</w:t>
      </w:r>
      <w:r w:rsidR="00CC223C" w:rsidRPr="00A14787">
        <w:t>owever 16 week, rather than 12 week responder rates are applied (see below).</w:t>
      </w:r>
      <w:r w:rsidR="00146E3A" w:rsidRPr="00A14787">
        <w:t xml:space="preserve"> The ESC noted that the </w:t>
      </w:r>
      <w:r w:rsidR="00F01A40">
        <w:t>Pre-Sub</w:t>
      </w:r>
      <w:r w:rsidR="00B013A9">
        <w:t>-</w:t>
      </w:r>
      <w:r w:rsidR="00F01A40">
        <w:t>Committee Response (</w:t>
      </w:r>
      <w:r w:rsidR="00146E3A" w:rsidRPr="00A14787">
        <w:t>PSCR</w:t>
      </w:r>
      <w:r w:rsidR="00F01A40">
        <w:t>)</w:t>
      </w:r>
      <w:r w:rsidR="00F4223D" w:rsidRPr="00A14787">
        <w:t xml:space="preserve"> (4)</w:t>
      </w:r>
      <w:r w:rsidR="00146E3A" w:rsidRPr="00A14787">
        <w:t xml:space="preserve"> claimed that non-responding patients issued with an initial prescription on the PBS would be unlikely to fill the final (week 20) script, but should they do so this would have minimal financial impact on the PBS. This analysis did not consider the potential for such use to impact on the resulting cost-effectiveness, or to inflate the proportion of responders beyond that observed at 16 weeks (which reflects treatment to week 12) in the GO-AHEAD trial.</w:t>
      </w:r>
      <w:r w:rsidR="00935C82" w:rsidRPr="00A14787">
        <w:t xml:space="preserve"> The ESC considered three repeats, consistent with the </w:t>
      </w:r>
      <w:r w:rsidR="007F16D3" w:rsidRPr="00A14787">
        <w:t>PBS listing of golimumab for AS</w:t>
      </w:r>
      <w:r w:rsidR="00935C82" w:rsidRPr="00A14787">
        <w:t xml:space="preserve">, </w:t>
      </w:r>
      <w:r w:rsidR="007F16D3" w:rsidRPr="00A14787">
        <w:t>would be sufficient.</w:t>
      </w:r>
    </w:p>
    <w:p w:rsidR="00F4223D" w:rsidRPr="0057415A" w:rsidRDefault="00F4223D" w:rsidP="00BB68CD">
      <w:pPr>
        <w:pStyle w:val="ListParagraph"/>
        <w:numPr>
          <w:ilvl w:val="1"/>
          <w:numId w:val="1"/>
        </w:numPr>
        <w:jc w:val="both"/>
      </w:pPr>
      <w:r w:rsidRPr="00A14787">
        <w:lastRenderedPageBreak/>
        <w:t xml:space="preserve">The ESC noted that the submission </w:t>
      </w:r>
      <w:r w:rsidR="004C2968" w:rsidRPr="00A14787">
        <w:t xml:space="preserve">incorrectly </w:t>
      </w:r>
      <w:r w:rsidRPr="00A14787">
        <w:t>stated the SMARTJECT injector will not be</w:t>
      </w:r>
      <w:r w:rsidR="00354740" w:rsidRPr="00A14787">
        <w:t xml:space="preserve"> requested for PBS l</w:t>
      </w:r>
      <w:r w:rsidRPr="00A14787">
        <w:t>isting</w:t>
      </w:r>
      <w:r w:rsidR="004C2968" w:rsidRPr="00A14787">
        <w:t xml:space="preserve"> (PSCR p4). I</w:t>
      </w:r>
      <w:r w:rsidRPr="00A14787">
        <w:t xml:space="preserve">nclusion of this item (as a separate item to the </w:t>
      </w:r>
      <w:r w:rsidRPr="0057415A">
        <w:t>pre-filled syringe) in the PBS restriction</w:t>
      </w:r>
      <w:r w:rsidR="004C2968" w:rsidRPr="0057415A">
        <w:t xml:space="preserve"> was requested in the PSCR</w:t>
      </w:r>
      <w:r w:rsidRPr="0057415A">
        <w:t>.</w:t>
      </w:r>
    </w:p>
    <w:p w:rsidR="00FA095A" w:rsidRPr="0057415A" w:rsidRDefault="00FA095A" w:rsidP="00767E97">
      <w:pPr>
        <w:pStyle w:val="ListParagraph"/>
        <w:ind w:left="576"/>
        <w:jc w:val="both"/>
        <w:rPr>
          <w:i/>
        </w:rPr>
      </w:pPr>
      <w:r w:rsidRPr="0057415A">
        <w:rPr>
          <w:i/>
        </w:rPr>
        <w:t>For more detail on PBAC’s view, see section 7 PBAC outcome.</w:t>
      </w:r>
    </w:p>
    <w:p w:rsidR="005F1741" w:rsidRPr="00A14787" w:rsidRDefault="005F1741" w:rsidP="002B0C11">
      <w:pPr>
        <w:pStyle w:val="Heading1"/>
      </w:pPr>
      <w:bookmarkStart w:id="4" w:name="_Toc492522237"/>
      <w:r w:rsidRPr="00A14787">
        <w:t>Background</w:t>
      </w:r>
      <w:bookmarkEnd w:id="4"/>
    </w:p>
    <w:p w:rsidR="005F1741" w:rsidRPr="006127CA" w:rsidRDefault="005F1741" w:rsidP="002B0C11">
      <w:pPr>
        <w:pStyle w:val="Heading2"/>
        <w:rPr>
          <w:i w:val="0"/>
        </w:rPr>
      </w:pPr>
      <w:bookmarkStart w:id="5" w:name="_Toc492522238"/>
      <w:r w:rsidRPr="006127CA">
        <w:rPr>
          <w:i w:val="0"/>
        </w:rPr>
        <w:t>Registration status</w:t>
      </w:r>
      <w:bookmarkEnd w:id="5"/>
    </w:p>
    <w:p w:rsidR="005F1741" w:rsidRPr="004F6657" w:rsidRDefault="005F1741" w:rsidP="00BB68CD">
      <w:pPr>
        <w:numPr>
          <w:ilvl w:val="1"/>
          <w:numId w:val="1"/>
        </w:numPr>
        <w:jc w:val="both"/>
      </w:pPr>
      <w:r w:rsidRPr="00EB18EB">
        <w:t>Golimumab was registered on 2 September 2016 for the treatment of adults with active nr-axSpA with objective signs of inflam</w:t>
      </w:r>
      <w:r w:rsidRPr="004F6657">
        <w:t>mation (OSI) as indicated by elevated CRP and/or MRI evidence, who have had an inadequate response to, or are intolerant to, non-steroidal anti-inflammatory drugs (NSAIDs).</w:t>
      </w:r>
    </w:p>
    <w:p w:rsidR="00DB1978" w:rsidRPr="0030713F" w:rsidRDefault="00DB1978" w:rsidP="00BB68CD">
      <w:pPr>
        <w:numPr>
          <w:ilvl w:val="1"/>
          <w:numId w:val="1"/>
        </w:numPr>
        <w:spacing w:after="0"/>
        <w:ind w:left="578" w:hanging="578"/>
        <w:jc w:val="both"/>
      </w:pPr>
      <w:r w:rsidRPr="004F6657">
        <w:t>The requested written authority P</w:t>
      </w:r>
      <w:r w:rsidRPr="0030713F">
        <w:t>BS Restriction was stricter than the TGA approved indication since the submission indicated that there should be the following requirements:</w:t>
      </w:r>
    </w:p>
    <w:p w:rsidR="00DB1978" w:rsidRPr="009672B5" w:rsidRDefault="00DB1978" w:rsidP="00BB68CD">
      <w:pPr>
        <w:numPr>
          <w:ilvl w:val="0"/>
          <w:numId w:val="11"/>
        </w:numPr>
        <w:spacing w:before="0" w:after="0"/>
      </w:pPr>
      <w:r w:rsidRPr="009672B5">
        <w:t>documentation of specific disease activity;</w:t>
      </w:r>
    </w:p>
    <w:p w:rsidR="00DB1978" w:rsidRPr="009672B5" w:rsidRDefault="00DB1978" w:rsidP="00BB68CD">
      <w:pPr>
        <w:numPr>
          <w:ilvl w:val="0"/>
          <w:numId w:val="11"/>
        </w:numPr>
        <w:spacing w:before="0" w:after="100" w:afterAutospacing="1"/>
        <w:jc w:val="both"/>
      </w:pPr>
      <w:r w:rsidRPr="009672B5">
        <w:t>for a patient to have tried and failed two NSAID treatments, whilst completing an appropriate exercise program, for a total period of 3 months; and</w:t>
      </w:r>
    </w:p>
    <w:p w:rsidR="00DB1978" w:rsidRPr="009672B5" w:rsidRDefault="00DB1978" w:rsidP="00BB68CD">
      <w:pPr>
        <w:numPr>
          <w:ilvl w:val="0"/>
          <w:numId w:val="11"/>
        </w:numPr>
        <w:spacing w:before="0"/>
        <w:jc w:val="both"/>
      </w:pPr>
      <w:r w:rsidRPr="009672B5">
        <w:t>the concurrent features (clinical input) that should be present for a patient to be PBS eligible for this indication.</w:t>
      </w:r>
    </w:p>
    <w:p w:rsidR="005F1741" w:rsidRPr="009672B5" w:rsidRDefault="005F1741" w:rsidP="002B0C11">
      <w:pPr>
        <w:pStyle w:val="Heading2"/>
        <w:rPr>
          <w:i w:val="0"/>
        </w:rPr>
      </w:pPr>
      <w:bookmarkStart w:id="6" w:name="_Toc492522239"/>
      <w:r w:rsidRPr="009672B5">
        <w:rPr>
          <w:i w:val="0"/>
        </w:rPr>
        <w:t>Previous PBAC consideration</w:t>
      </w:r>
      <w:bookmarkEnd w:id="6"/>
    </w:p>
    <w:p w:rsidR="0081641C" w:rsidRPr="009672B5" w:rsidRDefault="005F1741" w:rsidP="00BB68CD">
      <w:pPr>
        <w:numPr>
          <w:ilvl w:val="1"/>
          <w:numId w:val="1"/>
        </w:numPr>
        <w:jc w:val="both"/>
      </w:pPr>
      <w:r w:rsidRPr="009672B5">
        <w:t xml:space="preserve">This was the first application to the PBAC for golimumab for the treatment of patients with nr-axSpA. </w:t>
      </w:r>
    </w:p>
    <w:p w:rsidR="005F1741" w:rsidRPr="009672B5" w:rsidRDefault="005F1741" w:rsidP="00BB68CD">
      <w:pPr>
        <w:numPr>
          <w:ilvl w:val="1"/>
          <w:numId w:val="1"/>
        </w:numPr>
        <w:jc w:val="both"/>
      </w:pPr>
      <w:r w:rsidRPr="009672B5">
        <w:t>Golimumab is PBS-listed for patients with severe active rheumatoid arthritis, severe psoriatic arthritis</w:t>
      </w:r>
      <w:r w:rsidR="001A0C87" w:rsidRPr="009672B5">
        <w:t xml:space="preserve"> and</w:t>
      </w:r>
      <w:r w:rsidRPr="009672B5">
        <w:t xml:space="preserve"> active ankylosing spondylitis (AS).</w:t>
      </w:r>
    </w:p>
    <w:p w:rsidR="00146E3A" w:rsidRPr="0062591E" w:rsidRDefault="00146E3A" w:rsidP="00BB68CD">
      <w:pPr>
        <w:numPr>
          <w:ilvl w:val="1"/>
          <w:numId w:val="1"/>
        </w:numPr>
        <w:jc w:val="both"/>
      </w:pPr>
      <w:r w:rsidRPr="0062591E">
        <w:t>In March 2015, the PBAC rejected a</w:t>
      </w:r>
      <w:r w:rsidR="003D374A" w:rsidRPr="0062591E">
        <w:t xml:space="preserve"> resubmission </w:t>
      </w:r>
      <w:r w:rsidRPr="0062591E">
        <w:t xml:space="preserve">to list etanercept for the treatment of patients with nr-axSpA on the basis </w:t>
      </w:r>
      <w:r w:rsidR="003D374A" w:rsidRPr="0062591E">
        <w:t>of an unacceptably high and uncertain</w:t>
      </w:r>
      <w:r w:rsidR="00B7462A">
        <w:t xml:space="preserve"> incremental cost-effectiveness ratio</w:t>
      </w:r>
      <w:r w:rsidR="003D374A" w:rsidRPr="0062591E">
        <w:t xml:space="preserve"> </w:t>
      </w:r>
      <w:r w:rsidR="00B7462A">
        <w:t>(</w:t>
      </w:r>
      <w:r w:rsidR="003D374A" w:rsidRPr="0062591E">
        <w:t>ICER</w:t>
      </w:r>
      <w:r w:rsidR="00B7462A">
        <w:t>)</w:t>
      </w:r>
      <w:r w:rsidR="003D374A" w:rsidRPr="0062591E">
        <w:t xml:space="preserve">, noting that the patient population remained poorly defined and justified. The PBAC considered there is a clinical need for effective subsidised therapy for this condition but noted that the clinical benefits of etanercept in nr-axSpA were modest </w:t>
      </w:r>
      <w:r w:rsidR="00CC2AC4" w:rsidRPr="0062591E">
        <w:t>(paragraph 7.1, etanercept PSD, March 201</w:t>
      </w:r>
      <w:r w:rsidR="008260D8" w:rsidRPr="0062591E">
        <w:t>6</w:t>
      </w:r>
      <w:r w:rsidR="00CC2AC4" w:rsidRPr="0062591E">
        <w:t>)</w:t>
      </w:r>
      <w:r w:rsidRPr="0062591E">
        <w:t>.</w:t>
      </w:r>
      <w:r w:rsidR="00CC2AC4" w:rsidRPr="0062591E">
        <w:t xml:space="preserve"> </w:t>
      </w:r>
    </w:p>
    <w:p w:rsidR="00FA095A" w:rsidRPr="009A036F" w:rsidRDefault="00FA095A" w:rsidP="00767E97">
      <w:pPr>
        <w:pStyle w:val="ListParagraph"/>
        <w:ind w:left="576"/>
        <w:rPr>
          <w:i/>
        </w:rPr>
      </w:pPr>
      <w:r w:rsidRPr="009A036F">
        <w:rPr>
          <w:i/>
        </w:rPr>
        <w:t>For more detail on PBAC’s view, see section 7 PBAC outcome.</w:t>
      </w:r>
    </w:p>
    <w:p w:rsidR="005F1741" w:rsidRPr="00A14787" w:rsidRDefault="005F1741" w:rsidP="002B0C11">
      <w:pPr>
        <w:pStyle w:val="Heading1"/>
      </w:pPr>
      <w:bookmarkStart w:id="7" w:name="_Toc492522240"/>
      <w:r w:rsidRPr="00A14787">
        <w:t>Population and disease</w:t>
      </w:r>
      <w:bookmarkEnd w:id="7"/>
    </w:p>
    <w:p w:rsidR="005F1741" w:rsidRDefault="005F1741" w:rsidP="00BB68CD">
      <w:pPr>
        <w:numPr>
          <w:ilvl w:val="1"/>
          <w:numId w:val="1"/>
        </w:numPr>
        <w:jc w:val="both"/>
      </w:pPr>
      <w:r w:rsidRPr="006127CA">
        <w:rPr>
          <w:bCs/>
          <w:iCs/>
        </w:rPr>
        <w:t xml:space="preserve">Axial spondyloarthritis (axSpA) is </w:t>
      </w:r>
      <w:r w:rsidR="00A2014B" w:rsidRPr="006127CA">
        <w:rPr>
          <w:bCs/>
          <w:iCs/>
        </w:rPr>
        <w:t xml:space="preserve">a </w:t>
      </w:r>
      <w:r w:rsidRPr="006127CA">
        <w:rPr>
          <w:bCs/>
          <w:iCs/>
        </w:rPr>
        <w:t xml:space="preserve">spectrum of related immune mediated diseases with diverse clinical presentations that all feature axial inflammatory arthritis. Axial spondyloarthritis includes both nr-axSpA and AS. Non-radiographic axSpA is differentiated from </w:t>
      </w:r>
      <w:r w:rsidRPr="00EB18EB">
        <w:rPr>
          <w:bCs/>
          <w:iCs/>
        </w:rPr>
        <w:t xml:space="preserve">AS by the absence of radiographic evidence of sacroiliitis. </w:t>
      </w:r>
      <w:r w:rsidRPr="00EB18EB">
        <w:rPr>
          <w:shd w:val="clear" w:color="auto" w:fill="FFFFFF"/>
        </w:rPr>
        <w:t>Chronic back pain is the leading symptom of the disease and is often inflammatory in nature with pronounced stiffness and improvement of pain and stiffness with exercise.</w:t>
      </w:r>
      <w:r w:rsidRPr="004F6657">
        <w:t xml:space="preserve"> </w:t>
      </w:r>
    </w:p>
    <w:p w:rsidR="00043719" w:rsidRDefault="0019026F" w:rsidP="00EB18EB">
      <w:pPr>
        <w:numPr>
          <w:ilvl w:val="1"/>
          <w:numId w:val="1"/>
        </w:numPr>
        <w:jc w:val="both"/>
      </w:pPr>
      <w:r>
        <w:lastRenderedPageBreak/>
        <w:t xml:space="preserve">The PBAC considered that the natural history of nr-axSpA is not well characterised. The PBAC noted that a proportion of patients will progress to AS, but considered that there was limited evidence </w:t>
      </w:r>
      <w:r w:rsidR="00B97CF0">
        <w:t>regarding</w:t>
      </w:r>
      <w:r>
        <w:t xml:space="preserve"> </w:t>
      </w:r>
      <w:r w:rsidR="0042778B">
        <w:t xml:space="preserve">the overall rate of progression and </w:t>
      </w:r>
      <w:r>
        <w:t xml:space="preserve">the </w:t>
      </w:r>
      <w:r w:rsidR="00593896">
        <w:t>risk factors for progression</w:t>
      </w:r>
      <w:r w:rsidR="0042778B">
        <w:t>.</w:t>
      </w:r>
      <w:r w:rsidR="00593896">
        <w:t xml:space="preserve"> </w:t>
      </w:r>
      <w:r>
        <w:t xml:space="preserve">The PBAC noted a German study that found that </w:t>
      </w:r>
      <w:r w:rsidR="006127CA">
        <w:t xml:space="preserve">11.6% </w:t>
      </w:r>
      <w:r w:rsidR="00B97CF0">
        <w:t xml:space="preserve">of patients with nr-axSpA (n = 95) </w:t>
      </w:r>
      <w:r w:rsidR="006127CA">
        <w:t xml:space="preserve">progressed to AS over two years. Elevated CRP at baseline was the strongest positive predictor of </w:t>
      </w:r>
      <w:r w:rsidR="00593896" w:rsidRPr="00593896">
        <w:t xml:space="preserve">radiographic sacroiliitis progression </w:t>
      </w:r>
      <w:r w:rsidR="006127CA">
        <w:t>(odds ratio</w:t>
      </w:r>
      <w:r w:rsidR="00EB18EB">
        <w:t xml:space="preserve"> (OR): </w:t>
      </w:r>
      <w:r w:rsidR="006127CA">
        <w:t>3.65, p &lt; 0.05).</w:t>
      </w:r>
      <w:r w:rsidR="006127CA">
        <w:rPr>
          <w:rStyle w:val="FootnoteReference"/>
        </w:rPr>
        <w:footnoteReference w:id="1"/>
      </w:r>
      <w:r w:rsidR="00593896">
        <w:t xml:space="preserve"> </w:t>
      </w:r>
      <w:r w:rsidR="00B97CF0">
        <w:t>Further, t</w:t>
      </w:r>
      <w:r w:rsidR="00043719">
        <w:t xml:space="preserve">he PBAC noted another study (n = 416) in which 5.1% of patients </w:t>
      </w:r>
      <w:r w:rsidR="00403D1D">
        <w:t xml:space="preserve">with nr-axSpA </w:t>
      </w:r>
      <w:r w:rsidR="00043719">
        <w:t>progressed to AS</w:t>
      </w:r>
      <w:r w:rsidR="00EB18EB">
        <w:t xml:space="preserve"> over five years</w:t>
      </w:r>
      <w:r w:rsidR="00043719">
        <w:t>.</w:t>
      </w:r>
      <w:r w:rsidR="00EB18EB">
        <w:t xml:space="preserve"> Progression was most likely in patients who were HLA-B27 positive (OR: 5.39 (95% CI 3.25, 8.94))</w:t>
      </w:r>
      <w:r w:rsidR="00403D1D">
        <w:t>,</w:t>
      </w:r>
      <w:r w:rsidR="00EB18EB">
        <w:t xml:space="preserve"> with elevated CRP, and with baseline inflammation on MRI. Patients with all three of these risk factors had an 18.4% chance of developing AS over five years.</w:t>
      </w:r>
      <w:r w:rsidR="00EB18EB">
        <w:rPr>
          <w:rStyle w:val="FootnoteReference"/>
        </w:rPr>
        <w:footnoteReference w:id="2"/>
      </w:r>
      <w:r w:rsidR="00EB18EB">
        <w:t xml:space="preserve"> </w:t>
      </w:r>
    </w:p>
    <w:p w:rsidR="00251D64" w:rsidRPr="006127CA" w:rsidRDefault="005F1741" w:rsidP="00BB68CD">
      <w:pPr>
        <w:numPr>
          <w:ilvl w:val="1"/>
          <w:numId w:val="1"/>
        </w:numPr>
        <w:spacing w:before="0" w:after="120"/>
        <w:jc w:val="both"/>
      </w:pPr>
      <w:r w:rsidRPr="0019026F">
        <w:t xml:space="preserve">The </w:t>
      </w:r>
      <w:r w:rsidR="00251D64" w:rsidRPr="0019026F">
        <w:t xml:space="preserve">difference between the </w:t>
      </w:r>
      <w:r w:rsidRPr="0019026F">
        <w:t>clinical management algorithm</w:t>
      </w:r>
      <w:r w:rsidR="00251D64" w:rsidRPr="0019026F">
        <w:t>s</w:t>
      </w:r>
      <w:r w:rsidRPr="0019026F">
        <w:t xml:space="preserve"> for current practice and for the intended use of golimumab </w:t>
      </w:r>
      <w:r w:rsidR="00251D64" w:rsidRPr="006127CA">
        <w:t>was that patients with nr-</w:t>
      </w:r>
      <w:r w:rsidR="00841326" w:rsidRPr="006127CA">
        <w:t>a</w:t>
      </w:r>
      <w:r w:rsidR="00251D64" w:rsidRPr="006127CA">
        <w:t>xSp</w:t>
      </w:r>
      <w:r w:rsidR="00841326" w:rsidRPr="006127CA">
        <w:t>A</w:t>
      </w:r>
      <w:r w:rsidR="00251D64" w:rsidRPr="006127CA">
        <w:t>, upon failing to respond to at least two NSAIDs whilst completing an appropriate exercise program, may initiate treatment with golimumab.</w:t>
      </w:r>
    </w:p>
    <w:p w:rsidR="003160F8" w:rsidRPr="008C7FD4" w:rsidRDefault="005F1741" w:rsidP="00BB68CD">
      <w:pPr>
        <w:numPr>
          <w:ilvl w:val="0"/>
          <w:numId w:val="8"/>
        </w:numPr>
        <w:ind w:left="851" w:hanging="284"/>
        <w:jc w:val="both"/>
        <w:rPr>
          <w:b/>
          <w:szCs w:val="24"/>
        </w:rPr>
      </w:pPr>
      <w:r w:rsidRPr="00581E8D">
        <w:t xml:space="preserve">The proposed clinical management algorithm was not consistent with the requested restriction in that it did not include a provision for discontinuation of golimumab treatment should a patient fail to continue to respond to golimumab at any time point after continuing treatment </w:t>
      </w:r>
      <w:r w:rsidR="00841326" w:rsidRPr="00581E8D">
        <w:t>wa</w:t>
      </w:r>
      <w:r w:rsidRPr="00581E8D">
        <w:t>s commenced. As discussed below, the primary source of evidence in the submission was the GO-AHEAD trial. Unlike the proposed clinical management algorithm where patients are required to have failed to respond to NSAIDs while completing a 3-month exercise regimen, this was not a requirement for entry into the trial. In particular, there was no prerequisite for a 3-month exercise program for participants prior to trial entry</w:t>
      </w:r>
      <w:r w:rsidRPr="00043719">
        <w:t xml:space="preserve">, and </w:t>
      </w:r>
      <w:r w:rsidR="00A2014B" w:rsidRPr="00043719">
        <w:t xml:space="preserve">only </w:t>
      </w:r>
      <w:r w:rsidR="0092728B">
        <w:rPr>
          <w:noProof/>
          <w:color w:val="000000"/>
          <w:highlight w:val="black"/>
        </w:rPr>
        <w:t>'''''</w:t>
      </w:r>
      <w:r w:rsidR="00756332" w:rsidRPr="00043719">
        <w:t xml:space="preserve">% of </w:t>
      </w:r>
      <w:r w:rsidR="00756332" w:rsidRPr="00EB18EB">
        <w:t xml:space="preserve">the </w:t>
      </w:r>
      <w:r w:rsidR="001B0D97" w:rsidRPr="00EB18EB">
        <w:t xml:space="preserve">trial </w:t>
      </w:r>
      <w:r w:rsidR="00756332" w:rsidRPr="00EB18EB">
        <w:t xml:space="preserve">population and </w:t>
      </w:r>
      <w:r w:rsidR="0092728B">
        <w:rPr>
          <w:noProof/>
          <w:color w:val="000000"/>
          <w:highlight w:val="black"/>
        </w:rPr>
        <w:t>''''''''</w:t>
      </w:r>
      <w:r w:rsidR="00841326" w:rsidRPr="00EB18EB">
        <w:t xml:space="preserve">% of </w:t>
      </w:r>
      <w:r w:rsidR="00756332" w:rsidRPr="00EB18EB">
        <w:t>th</w:t>
      </w:r>
      <w:r w:rsidR="00756332" w:rsidRPr="00B97CF0">
        <w:t xml:space="preserve">e </w:t>
      </w:r>
      <w:r w:rsidR="00A27DBC" w:rsidRPr="00B97CF0">
        <w:t>OSI</w:t>
      </w:r>
      <w:r w:rsidR="00756332" w:rsidRPr="00B97CF0">
        <w:t xml:space="preserve"> population in the trial</w:t>
      </w:r>
      <w:r w:rsidR="00841326" w:rsidRPr="00B97CF0">
        <w:t xml:space="preserve"> </w:t>
      </w:r>
      <w:r w:rsidR="00756332" w:rsidRPr="00B97CF0">
        <w:t>reported having failed at least two NSAIDs</w:t>
      </w:r>
      <w:r w:rsidRPr="004F6657">
        <w:t>.</w:t>
      </w:r>
      <w:r w:rsidR="003160F8" w:rsidRPr="004F6657">
        <w:rPr>
          <w:szCs w:val="24"/>
        </w:rPr>
        <w:t xml:space="preserve"> The ESC also expressed some concern about adequate definition of this subgroup in the PBS population and the possibility of individuals without OSI being treated with golimumab.</w:t>
      </w:r>
    </w:p>
    <w:p w:rsidR="00F72EA0" w:rsidRPr="009672B5" w:rsidRDefault="00F72EA0" w:rsidP="00BB68CD">
      <w:pPr>
        <w:numPr>
          <w:ilvl w:val="0"/>
          <w:numId w:val="8"/>
        </w:numPr>
        <w:ind w:left="851" w:hanging="284"/>
        <w:jc w:val="both"/>
        <w:rPr>
          <w:b/>
          <w:szCs w:val="24"/>
        </w:rPr>
      </w:pPr>
      <w:r>
        <w:rPr>
          <w:szCs w:val="24"/>
        </w:rPr>
        <w:t>The Pre-PBAC Response stated that requirement to complete a 3-month exercise program was to align with the restriction for golimumab in AS.</w:t>
      </w:r>
    </w:p>
    <w:p w:rsidR="00FA095A" w:rsidRPr="008C7FD4" w:rsidRDefault="00FA095A" w:rsidP="00D969AB">
      <w:pPr>
        <w:spacing w:before="0" w:after="120"/>
        <w:ind w:left="576"/>
        <w:jc w:val="both"/>
        <w:rPr>
          <w:i/>
        </w:rPr>
      </w:pPr>
      <w:r w:rsidRPr="008C7FD4">
        <w:rPr>
          <w:i/>
        </w:rPr>
        <w:t>For more detail on PBAC’s view, see section 7 PBAC outcome.</w:t>
      </w:r>
    </w:p>
    <w:p w:rsidR="005F1741" w:rsidRPr="00A14787" w:rsidRDefault="005F1741" w:rsidP="002B0C11">
      <w:pPr>
        <w:pStyle w:val="Heading1"/>
      </w:pPr>
      <w:bookmarkStart w:id="8" w:name="_Toc492522241"/>
      <w:r w:rsidRPr="00A14787">
        <w:t>Comparator</w:t>
      </w:r>
      <w:bookmarkEnd w:id="8"/>
    </w:p>
    <w:p w:rsidR="0091217A" w:rsidRPr="00043719" w:rsidRDefault="005F1741" w:rsidP="00BB68CD">
      <w:pPr>
        <w:pStyle w:val="ListParagraph"/>
        <w:numPr>
          <w:ilvl w:val="1"/>
          <w:numId w:val="1"/>
        </w:numPr>
        <w:jc w:val="both"/>
      </w:pPr>
      <w:r w:rsidRPr="0019026F">
        <w:t>The submission nominated conventional care</w:t>
      </w:r>
      <w:r w:rsidR="00A2014B" w:rsidRPr="0019026F">
        <w:t xml:space="preserve"> (CC)</w:t>
      </w:r>
      <w:r w:rsidRPr="0019026F">
        <w:t xml:space="preserve"> as represented by placebo in the GO-AHEAD trial, plus background NSAIDs </w:t>
      </w:r>
      <w:r w:rsidR="00251D64" w:rsidRPr="006127CA">
        <w:t>(</w:t>
      </w:r>
      <w:r w:rsidR="00251D64" w:rsidRPr="006127CA">
        <w:rPr>
          <w:rFonts w:cstheme="minorHAnsi"/>
        </w:rPr>
        <w:t>±</w:t>
      </w:r>
      <w:r w:rsidR="00251D64" w:rsidRPr="006127CA">
        <w:t xml:space="preserve"> NSAIDs) </w:t>
      </w:r>
      <w:r w:rsidRPr="006127CA">
        <w:t xml:space="preserve">as the comparator. </w:t>
      </w:r>
      <w:r w:rsidR="00251D64" w:rsidRPr="006127CA">
        <w:t>This was considered appropriate a</w:t>
      </w:r>
      <w:r w:rsidRPr="006127CA">
        <w:t>s there are currently no bDMARD therapies PBS-listed for nr-axSpA</w:t>
      </w:r>
      <w:r w:rsidR="00251D64" w:rsidRPr="00581E8D">
        <w:t>. Additio</w:t>
      </w:r>
      <w:r w:rsidR="0081641C" w:rsidRPr="00581E8D">
        <w:t>na</w:t>
      </w:r>
      <w:r w:rsidR="00251D64" w:rsidRPr="00581E8D">
        <w:t xml:space="preserve">lly, this was consistent with the nominated </w:t>
      </w:r>
      <w:r w:rsidR="00416E49" w:rsidRPr="00581E8D">
        <w:t xml:space="preserve">and accepted </w:t>
      </w:r>
      <w:r w:rsidR="00251D64" w:rsidRPr="00581E8D">
        <w:t xml:space="preserve">comparator in the etanercept </w:t>
      </w:r>
      <w:r w:rsidR="00416E49" w:rsidRPr="00581E8D">
        <w:t>submissions for nr-a</w:t>
      </w:r>
      <w:r w:rsidR="00251D64" w:rsidRPr="00581E8D">
        <w:t>xSp</w:t>
      </w:r>
      <w:r w:rsidR="00C52138" w:rsidRPr="00581E8D">
        <w:t>A</w:t>
      </w:r>
      <w:r w:rsidR="00251D64" w:rsidRPr="00581E8D">
        <w:t xml:space="preserve"> (Etanercept PSDs, March 2015, March 2016</w:t>
      </w:r>
      <w:r w:rsidR="0081641C" w:rsidRPr="00581E8D">
        <w:t>)</w:t>
      </w:r>
      <w:r w:rsidRPr="00581E8D">
        <w:t xml:space="preserve">.  </w:t>
      </w:r>
      <w:r w:rsidR="0091217A" w:rsidRPr="00581E8D">
        <w:t xml:space="preserve">Etanercept </w:t>
      </w:r>
      <w:r w:rsidR="00576663" w:rsidRPr="00581E8D">
        <w:t xml:space="preserve">and any other bDMARD registered for axSpA </w:t>
      </w:r>
      <w:r w:rsidR="0091217A" w:rsidRPr="00581E8D">
        <w:t xml:space="preserve">could be considered </w:t>
      </w:r>
      <w:r w:rsidR="0091217A" w:rsidRPr="00581E8D">
        <w:lastRenderedPageBreak/>
        <w:t xml:space="preserve">as a near </w:t>
      </w:r>
      <w:r w:rsidR="00767E97">
        <w:t xml:space="preserve">market </w:t>
      </w:r>
      <w:r w:rsidR="0091217A" w:rsidRPr="00581E8D">
        <w:t xml:space="preserve">comparator and a comparison between golimumab and etanercept could be informative.  </w:t>
      </w:r>
    </w:p>
    <w:p w:rsidR="00FA095A" w:rsidRPr="008C7FD4" w:rsidRDefault="00FA095A" w:rsidP="00767E97">
      <w:pPr>
        <w:spacing w:before="0" w:after="120"/>
        <w:ind w:left="576"/>
        <w:jc w:val="both"/>
        <w:rPr>
          <w:i/>
        </w:rPr>
      </w:pPr>
      <w:r w:rsidRPr="008C7FD4">
        <w:rPr>
          <w:i/>
        </w:rPr>
        <w:t>For more detail on PBAC’s view, see section 7 PBAC outcome.</w:t>
      </w:r>
    </w:p>
    <w:p w:rsidR="005F1741" w:rsidRPr="001833D9" w:rsidRDefault="005F1741" w:rsidP="002B0C11">
      <w:pPr>
        <w:pStyle w:val="Heading1"/>
      </w:pPr>
      <w:bookmarkStart w:id="9" w:name="_Toc492522242"/>
      <w:r w:rsidRPr="001833D9">
        <w:t>Consideration of the evidence</w:t>
      </w:r>
      <w:bookmarkEnd w:id="9"/>
    </w:p>
    <w:p w:rsidR="001833D9" w:rsidRPr="001833D9" w:rsidRDefault="001833D9" w:rsidP="001833D9">
      <w:pPr>
        <w:pStyle w:val="Heading2"/>
        <w:rPr>
          <w:snapToGrid w:val="0"/>
        </w:rPr>
      </w:pPr>
      <w:bookmarkStart w:id="10" w:name="_Toc492522243"/>
      <w:r w:rsidRPr="001833D9">
        <w:rPr>
          <w:snapToGrid w:val="0"/>
        </w:rPr>
        <w:t>Sponsor hearing</w:t>
      </w:r>
    </w:p>
    <w:p w:rsidR="001833D9" w:rsidRPr="001833D9" w:rsidRDefault="001833D9" w:rsidP="001833D9">
      <w:pPr>
        <w:numPr>
          <w:ilvl w:val="1"/>
          <w:numId w:val="1"/>
        </w:numPr>
        <w:jc w:val="both"/>
        <w:rPr>
          <w:rFonts w:cs="Arial"/>
          <w:bCs/>
          <w:snapToGrid w:val="0"/>
        </w:rPr>
      </w:pPr>
      <w:r w:rsidRPr="001833D9">
        <w:rPr>
          <w:rFonts w:cs="Arial"/>
          <w:bCs/>
          <w:snapToGrid w:val="0"/>
        </w:rPr>
        <w:t>There was no hearing for this item.</w:t>
      </w:r>
    </w:p>
    <w:p w:rsidR="001833D9" w:rsidRPr="001833D9" w:rsidRDefault="001833D9" w:rsidP="001833D9">
      <w:pPr>
        <w:pStyle w:val="Heading2"/>
        <w:rPr>
          <w:snapToGrid w:val="0"/>
        </w:rPr>
      </w:pPr>
      <w:r w:rsidRPr="001833D9">
        <w:rPr>
          <w:snapToGrid w:val="0"/>
        </w:rPr>
        <w:t>Consumer comments</w:t>
      </w:r>
    </w:p>
    <w:p w:rsidR="001833D9" w:rsidRPr="001833D9" w:rsidRDefault="001833D9" w:rsidP="00725579">
      <w:pPr>
        <w:widowControl w:val="0"/>
        <w:numPr>
          <w:ilvl w:val="1"/>
          <w:numId w:val="1"/>
        </w:numPr>
        <w:spacing w:before="0" w:after="120"/>
        <w:jc w:val="both"/>
        <w:rPr>
          <w:rFonts w:cs="Arial"/>
          <w:bCs/>
          <w:snapToGrid w:val="0"/>
        </w:rPr>
      </w:pPr>
      <w:r w:rsidRPr="001833D9">
        <w:rPr>
          <w:rFonts w:cs="Arial"/>
          <w:bCs/>
          <w:snapToGrid w:val="0"/>
        </w:rPr>
        <w:t xml:space="preserve">The PBAC noted and welcomed the input from individuals (2), health care professionals (3) and organisations (1) via the Consumer Comments facility on the PBS website. The comments outlined the pain and functional impairment that can be associated with </w:t>
      </w:r>
      <w:r w:rsidRPr="001833D9">
        <w:t>nr-axSpA</w:t>
      </w:r>
      <w:r w:rsidR="00725579">
        <w:t xml:space="preserve"> and that, in some patients, the </w:t>
      </w:r>
      <w:r w:rsidR="00725579" w:rsidRPr="00725579">
        <w:t xml:space="preserve">morbidity </w:t>
      </w:r>
      <w:r w:rsidR="00725579">
        <w:t xml:space="preserve">can be </w:t>
      </w:r>
      <w:r w:rsidR="00725579" w:rsidRPr="00725579">
        <w:t xml:space="preserve">equivalent to uncontrolled </w:t>
      </w:r>
      <w:r w:rsidR="00725579">
        <w:t>AS</w:t>
      </w:r>
      <w:r w:rsidR="00725579" w:rsidRPr="00725579">
        <w:t>.</w:t>
      </w:r>
      <w:r w:rsidR="00725579">
        <w:t xml:space="preserve"> </w:t>
      </w:r>
      <w:r w:rsidR="00725579" w:rsidRPr="001833D9">
        <w:rPr>
          <w:rFonts w:cs="Arial"/>
          <w:bCs/>
          <w:snapToGrid w:val="0"/>
        </w:rPr>
        <w:t xml:space="preserve">The comments </w:t>
      </w:r>
      <w:r w:rsidR="00725579">
        <w:rPr>
          <w:rFonts w:cs="Arial"/>
          <w:bCs/>
          <w:snapToGrid w:val="0"/>
        </w:rPr>
        <w:t>stated there were a</w:t>
      </w:r>
      <w:r w:rsidRPr="001833D9">
        <w:t xml:space="preserve"> lack of treatment options for patients who do not respond to NSAIDs or corticosteroids</w:t>
      </w:r>
      <w:r w:rsidR="00725579">
        <w:t xml:space="preserve">, and that treatment should be </w:t>
      </w:r>
      <w:r w:rsidRPr="001833D9">
        <w:t>target</w:t>
      </w:r>
      <w:r w:rsidR="00725579">
        <w:t>ed</w:t>
      </w:r>
      <w:r w:rsidRPr="001833D9">
        <w:t xml:space="preserve"> to those </w:t>
      </w:r>
      <w:r w:rsidR="00625569">
        <w:t xml:space="preserve">patients who are </w:t>
      </w:r>
      <w:r w:rsidRPr="001833D9">
        <w:t xml:space="preserve">severely </w:t>
      </w:r>
      <w:r>
        <w:t xml:space="preserve">affected </w:t>
      </w:r>
      <w:r w:rsidRPr="001833D9">
        <w:t>and thos</w:t>
      </w:r>
      <w:r>
        <w:t>e</w:t>
      </w:r>
      <w:r w:rsidRPr="001833D9">
        <w:t xml:space="preserve"> most likely to progress. The </w:t>
      </w:r>
      <w:r>
        <w:t>comments</w:t>
      </w:r>
      <w:r w:rsidRPr="001833D9">
        <w:t xml:space="preserve"> also outlined the need to treat patients early in the course of their disease, before joint damage has been established. </w:t>
      </w:r>
    </w:p>
    <w:p w:rsidR="001833D9" w:rsidRPr="00C72881" w:rsidRDefault="001833D9" w:rsidP="001833D9">
      <w:pPr>
        <w:widowControl w:val="0"/>
        <w:numPr>
          <w:ilvl w:val="1"/>
          <w:numId w:val="1"/>
        </w:numPr>
        <w:spacing w:before="0" w:after="120"/>
        <w:jc w:val="both"/>
        <w:rPr>
          <w:rFonts w:cs="Arial"/>
          <w:bCs/>
          <w:snapToGrid w:val="0"/>
        </w:rPr>
      </w:pPr>
      <w:r w:rsidRPr="00C72881">
        <w:rPr>
          <w:rFonts w:cs="Arial"/>
          <w:bCs/>
          <w:snapToGrid w:val="0"/>
        </w:rPr>
        <w:t>The PBAC noted the advice received from the Translational Research Institute</w:t>
      </w:r>
      <w:r w:rsidR="00C72881" w:rsidRPr="00C72881">
        <w:rPr>
          <w:rFonts w:cs="Arial"/>
          <w:bCs/>
          <w:snapToGrid w:val="0"/>
        </w:rPr>
        <w:t xml:space="preserve"> (TRI)</w:t>
      </w:r>
      <w:r w:rsidRPr="00C72881">
        <w:rPr>
          <w:rFonts w:cs="Arial"/>
          <w:bCs/>
          <w:snapToGrid w:val="0"/>
        </w:rPr>
        <w:t xml:space="preserve"> that highlighted the beneficial class effect of TNF-inhibitors (adalimumab, certolizumab, etanercept and golimumab) in nr-axSpA. The advice stated that </w:t>
      </w:r>
      <w:r w:rsidR="00C72881" w:rsidRPr="00C72881">
        <w:rPr>
          <w:rFonts w:cs="Arial"/>
          <w:bCs/>
          <w:snapToGrid w:val="0"/>
        </w:rPr>
        <w:t>TRI</w:t>
      </w:r>
      <w:r w:rsidRPr="00C72881">
        <w:rPr>
          <w:rFonts w:cs="Arial"/>
          <w:bCs/>
          <w:snapToGrid w:val="0"/>
        </w:rPr>
        <w:t xml:space="preserve"> strongly support that availability of PBS-funded TNF-inhibitor therapy for </w:t>
      </w:r>
      <w:r w:rsidR="00C72881" w:rsidRPr="00C72881">
        <w:rPr>
          <w:rFonts w:cs="Arial"/>
          <w:bCs/>
          <w:snapToGrid w:val="0"/>
        </w:rPr>
        <w:t xml:space="preserve">all </w:t>
      </w:r>
      <w:r w:rsidRPr="00C72881">
        <w:rPr>
          <w:rFonts w:cs="Arial"/>
          <w:bCs/>
          <w:snapToGrid w:val="0"/>
        </w:rPr>
        <w:t xml:space="preserve">axial spondyloarthropathies (i.e. AS as well as nr-axSpA) </w:t>
      </w:r>
      <w:r w:rsidR="00C72881" w:rsidRPr="00C72881">
        <w:rPr>
          <w:rFonts w:cs="Arial"/>
          <w:bCs/>
          <w:snapToGrid w:val="0"/>
        </w:rPr>
        <w:t xml:space="preserve">with a </w:t>
      </w:r>
      <w:r w:rsidRPr="00C72881">
        <w:rPr>
          <w:rFonts w:cs="Arial"/>
          <w:bCs/>
          <w:snapToGrid w:val="0"/>
        </w:rPr>
        <w:t>require</w:t>
      </w:r>
      <w:r w:rsidR="00C72881" w:rsidRPr="00C72881">
        <w:rPr>
          <w:rFonts w:cs="Arial"/>
          <w:bCs/>
          <w:snapToGrid w:val="0"/>
        </w:rPr>
        <w:t>d</w:t>
      </w:r>
      <w:r w:rsidRPr="00C72881">
        <w:rPr>
          <w:rFonts w:cs="Arial"/>
          <w:bCs/>
          <w:snapToGrid w:val="0"/>
        </w:rPr>
        <w:t xml:space="preserve"> elevation of the CRP</w:t>
      </w:r>
      <w:r w:rsidR="00C72881" w:rsidRPr="00C72881">
        <w:rPr>
          <w:rFonts w:cs="Arial"/>
          <w:bCs/>
          <w:snapToGrid w:val="0"/>
        </w:rPr>
        <w:t xml:space="preserve"> </w:t>
      </w:r>
      <w:r w:rsidR="00750734">
        <w:rPr>
          <w:rFonts w:cs="Arial"/>
          <w:bCs/>
          <w:snapToGrid w:val="0"/>
        </w:rPr>
        <w:t>(including in those</w:t>
      </w:r>
      <w:r w:rsidR="00C72881" w:rsidRPr="00C72881">
        <w:rPr>
          <w:rFonts w:cs="Arial"/>
          <w:bCs/>
          <w:snapToGrid w:val="0"/>
        </w:rPr>
        <w:t xml:space="preserve"> patients with a positive MRI</w:t>
      </w:r>
      <w:r w:rsidR="00750734">
        <w:rPr>
          <w:rFonts w:cs="Arial"/>
          <w:bCs/>
          <w:snapToGrid w:val="0"/>
        </w:rPr>
        <w:t>)</w:t>
      </w:r>
      <w:r w:rsidRPr="00C72881">
        <w:rPr>
          <w:rFonts w:cs="Arial"/>
          <w:bCs/>
          <w:snapToGrid w:val="0"/>
        </w:rPr>
        <w:t xml:space="preserve">, and that no exceptions be granted for concurrent corticosteroid usage. </w:t>
      </w:r>
      <w:r w:rsidR="00C72881" w:rsidRPr="00C72881">
        <w:rPr>
          <w:rFonts w:cs="Arial"/>
          <w:bCs/>
          <w:snapToGrid w:val="0"/>
        </w:rPr>
        <w:t>TRI considered that</w:t>
      </w:r>
      <w:r w:rsidRPr="00C72881">
        <w:rPr>
          <w:rFonts w:cs="Arial"/>
          <w:bCs/>
          <w:snapToGrid w:val="0"/>
        </w:rPr>
        <w:t xml:space="preserve"> the current ASAS definition of a positive MRI is relatively soft and subjective</w:t>
      </w:r>
      <w:r w:rsidR="00C72881" w:rsidRPr="00C72881">
        <w:rPr>
          <w:rFonts w:cs="Arial"/>
          <w:bCs/>
          <w:snapToGrid w:val="0"/>
        </w:rPr>
        <w:t xml:space="preserve"> and</w:t>
      </w:r>
      <w:r w:rsidRPr="00C72881">
        <w:rPr>
          <w:rFonts w:cs="Arial"/>
          <w:bCs/>
          <w:snapToGrid w:val="0"/>
        </w:rPr>
        <w:t xml:space="preserve"> </w:t>
      </w:r>
      <w:r w:rsidR="00C72881" w:rsidRPr="00C72881">
        <w:rPr>
          <w:rFonts w:cs="Arial"/>
          <w:bCs/>
          <w:snapToGrid w:val="0"/>
        </w:rPr>
        <w:t xml:space="preserve">further </w:t>
      </w:r>
      <w:r w:rsidRPr="00C72881">
        <w:rPr>
          <w:rFonts w:cs="Arial"/>
          <w:bCs/>
          <w:snapToGrid w:val="0"/>
        </w:rPr>
        <w:t>requiring an elevated CRP would reduce the potential for inappropriate usage of these medications for people with non-inflammatory back pain causes, which not infrequently cause minor degrees of sacroiliac oedema on MRI.</w:t>
      </w:r>
    </w:p>
    <w:p w:rsidR="001833D9" w:rsidRPr="001833D9" w:rsidRDefault="001833D9" w:rsidP="001833D9">
      <w:pPr>
        <w:widowControl w:val="0"/>
        <w:numPr>
          <w:ilvl w:val="1"/>
          <w:numId w:val="1"/>
        </w:numPr>
        <w:spacing w:before="0" w:after="120"/>
        <w:jc w:val="both"/>
        <w:rPr>
          <w:rFonts w:cs="Arial"/>
          <w:bCs/>
          <w:snapToGrid w:val="0"/>
        </w:rPr>
      </w:pPr>
      <w:r w:rsidRPr="001833D9">
        <w:rPr>
          <w:rFonts w:cs="Arial"/>
          <w:bCs/>
          <w:snapToGrid w:val="0"/>
        </w:rPr>
        <w:t>The PBAC noted that this advice was supportive of the evidence provided in the submission.</w:t>
      </w:r>
    </w:p>
    <w:p w:rsidR="005F1741" w:rsidRPr="006127CA" w:rsidRDefault="005F1741" w:rsidP="002B0C11">
      <w:pPr>
        <w:pStyle w:val="Heading2"/>
        <w:rPr>
          <w:i w:val="0"/>
        </w:rPr>
      </w:pPr>
      <w:r w:rsidRPr="001833D9">
        <w:rPr>
          <w:i w:val="0"/>
        </w:rPr>
        <w:t>Clinical trials</w:t>
      </w:r>
      <w:bookmarkEnd w:id="10"/>
    </w:p>
    <w:p w:rsidR="0081641C" w:rsidRPr="009672B5" w:rsidRDefault="005F1741" w:rsidP="00BB68CD">
      <w:pPr>
        <w:numPr>
          <w:ilvl w:val="1"/>
          <w:numId w:val="1"/>
        </w:numPr>
        <w:jc w:val="both"/>
      </w:pPr>
      <w:r w:rsidRPr="00581E8D">
        <w:t>The submission was based on one head-to-head randomised trial (GO-AHEAD), comparing golimumab 50</w:t>
      </w:r>
      <w:r w:rsidR="00D95080" w:rsidRPr="00581E8D">
        <w:t xml:space="preserve"> </w:t>
      </w:r>
      <w:r w:rsidRPr="00581E8D">
        <w:t xml:space="preserve">mg once </w:t>
      </w:r>
      <w:r w:rsidR="0081641C" w:rsidRPr="00043719">
        <w:t>e</w:t>
      </w:r>
      <w:r w:rsidRPr="00043719">
        <w:t>very 4 w</w:t>
      </w:r>
      <w:r w:rsidRPr="00EB18EB">
        <w:t xml:space="preserve">eeks (n=97) to placebo (n=100) with an assessment at 16 weeks (GO-AHEAD Part I), with both treatment arms being able to receive background NSAID therapy. </w:t>
      </w:r>
      <w:r w:rsidR="000B696A" w:rsidRPr="00EB18EB">
        <w:t>The ESC noted that unlike the proposed PBS population, patients in GO</w:t>
      </w:r>
      <w:r w:rsidR="008260D8" w:rsidRPr="004F6657">
        <w:t>-</w:t>
      </w:r>
      <w:r w:rsidR="000B696A" w:rsidRPr="004F6657">
        <w:t xml:space="preserve">AHEAD were not required to have </w:t>
      </w:r>
      <w:r w:rsidR="000B696A" w:rsidRPr="0030713F">
        <w:t>failed NSAID</w:t>
      </w:r>
      <w:r w:rsidR="00F03E25">
        <w:t>s</w:t>
      </w:r>
      <w:r w:rsidR="000B696A" w:rsidRPr="0030713F">
        <w:t xml:space="preserve"> or a prior exercise program. Th</w:t>
      </w:r>
      <w:r w:rsidR="008260D8" w:rsidRPr="009672B5">
        <w:t xml:space="preserve">e implications of this difference for </w:t>
      </w:r>
      <w:r w:rsidR="000B696A" w:rsidRPr="009672B5">
        <w:t>the applicability of those results to the proposed use on the PBS</w:t>
      </w:r>
      <w:r w:rsidR="008260D8" w:rsidRPr="009672B5">
        <w:t xml:space="preserve"> are unknown</w:t>
      </w:r>
      <w:r w:rsidR="000B696A" w:rsidRPr="009672B5">
        <w:t>.</w:t>
      </w:r>
    </w:p>
    <w:p w:rsidR="005F1741" w:rsidRPr="009672B5" w:rsidRDefault="005F1741" w:rsidP="00BB68CD">
      <w:pPr>
        <w:numPr>
          <w:ilvl w:val="1"/>
          <w:numId w:val="1"/>
        </w:numPr>
        <w:jc w:val="both"/>
      </w:pPr>
      <w:r w:rsidRPr="009672B5">
        <w:lastRenderedPageBreak/>
        <w:t xml:space="preserve">The </w:t>
      </w:r>
      <w:r w:rsidR="0081641C" w:rsidRPr="009672B5">
        <w:t xml:space="preserve">GO-AHEAD </w:t>
      </w:r>
      <w:r w:rsidRPr="009672B5">
        <w:t>trial also included an open-label extension phase where all patients received golimumab 50</w:t>
      </w:r>
      <w:r w:rsidR="00D95080" w:rsidRPr="009672B5">
        <w:t xml:space="preserve"> </w:t>
      </w:r>
      <w:r w:rsidRPr="009672B5">
        <w:t xml:space="preserve">mg from Week 16 up to the final assessment point at Week 52 (GO-AHEAD Part II). </w:t>
      </w:r>
      <w:r w:rsidR="0091217A" w:rsidRPr="009672B5">
        <w:t>A safety assessment was available up to week 60.</w:t>
      </w:r>
    </w:p>
    <w:p w:rsidR="005F1741" w:rsidRPr="009672B5" w:rsidRDefault="005F1741" w:rsidP="00BB68CD">
      <w:pPr>
        <w:numPr>
          <w:ilvl w:val="1"/>
          <w:numId w:val="1"/>
        </w:numPr>
        <w:spacing w:before="0" w:after="120"/>
        <w:jc w:val="both"/>
      </w:pPr>
      <w:r w:rsidRPr="009672B5">
        <w:t xml:space="preserve">Details of the trial are provided in </w:t>
      </w:r>
      <w:r w:rsidR="0081641C" w:rsidRPr="009672B5">
        <w:t>Table 2</w:t>
      </w:r>
      <w:r w:rsidRPr="009672B5">
        <w:t xml:space="preserve">.  </w:t>
      </w:r>
    </w:p>
    <w:p w:rsidR="005F1741" w:rsidRPr="009672B5" w:rsidRDefault="005F1741" w:rsidP="005F1741">
      <w:pPr>
        <w:keepNext/>
        <w:spacing w:before="0" w:after="60"/>
        <w:rPr>
          <w:rFonts w:ascii="Arial Narrow" w:hAnsi="Arial Narrow"/>
          <w:b/>
          <w:sz w:val="20"/>
        </w:rPr>
      </w:pPr>
      <w:r w:rsidRPr="009672B5">
        <w:rPr>
          <w:rFonts w:ascii="Arial Narrow" w:hAnsi="Arial Narrow"/>
          <w:b/>
          <w:sz w:val="20"/>
        </w:rPr>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81"/>
        <w:gridCol w:w="5140"/>
        <w:gridCol w:w="2661"/>
      </w:tblGrid>
      <w:tr w:rsidR="005F1741" w:rsidRPr="009672B5" w:rsidTr="0081641C">
        <w:tc>
          <w:tcPr>
            <w:tcW w:w="705" w:type="pct"/>
          </w:tcPr>
          <w:p w:rsidR="005F1741" w:rsidRPr="009672B5" w:rsidRDefault="005F1741" w:rsidP="005F1741">
            <w:pPr>
              <w:keepNext/>
              <w:spacing w:before="40" w:after="40"/>
              <w:rPr>
                <w:rFonts w:ascii="Arial Narrow" w:hAnsi="Arial Narrow"/>
                <w:b/>
                <w:sz w:val="20"/>
              </w:rPr>
            </w:pPr>
            <w:r w:rsidRPr="009672B5">
              <w:rPr>
                <w:rFonts w:ascii="Arial Narrow" w:hAnsi="Arial Narrow"/>
                <w:b/>
                <w:sz w:val="20"/>
              </w:rPr>
              <w:t>Trial ID</w:t>
            </w:r>
          </w:p>
        </w:tc>
        <w:tc>
          <w:tcPr>
            <w:tcW w:w="2830" w:type="pct"/>
          </w:tcPr>
          <w:p w:rsidR="005F1741" w:rsidRPr="009672B5" w:rsidRDefault="005F1741" w:rsidP="005F1741">
            <w:pPr>
              <w:keepNext/>
              <w:spacing w:before="40" w:after="40"/>
              <w:jc w:val="center"/>
              <w:rPr>
                <w:rFonts w:ascii="Arial Narrow" w:hAnsi="Arial Narrow"/>
                <w:b/>
                <w:sz w:val="20"/>
              </w:rPr>
            </w:pPr>
            <w:r w:rsidRPr="009672B5">
              <w:rPr>
                <w:rFonts w:ascii="Arial Narrow" w:hAnsi="Arial Narrow"/>
                <w:b/>
                <w:sz w:val="20"/>
              </w:rPr>
              <w:t>Protocol title/ Publication title</w:t>
            </w:r>
          </w:p>
        </w:tc>
        <w:tc>
          <w:tcPr>
            <w:tcW w:w="1465" w:type="pct"/>
          </w:tcPr>
          <w:p w:rsidR="005F1741" w:rsidRPr="009672B5" w:rsidRDefault="005F1741" w:rsidP="005F1741">
            <w:pPr>
              <w:keepNext/>
              <w:spacing w:before="40" w:after="40"/>
              <w:jc w:val="center"/>
              <w:rPr>
                <w:rFonts w:ascii="Arial Narrow" w:hAnsi="Arial Narrow"/>
                <w:b/>
                <w:sz w:val="20"/>
              </w:rPr>
            </w:pPr>
            <w:r w:rsidRPr="009672B5">
              <w:rPr>
                <w:rFonts w:ascii="Arial Narrow" w:hAnsi="Arial Narrow"/>
                <w:b/>
                <w:sz w:val="20"/>
              </w:rPr>
              <w:t>Publication citation</w:t>
            </w:r>
          </w:p>
        </w:tc>
      </w:tr>
      <w:tr w:rsidR="005F1741" w:rsidRPr="009672B5" w:rsidTr="005F1741">
        <w:tc>
          <w:tcPr>
            <w:tcW w:w="5000" w:type="pct"/>
            <w:gridSpan w:val="3"/>
          </w:tcPr>
          <w:p w:rsidR="005F1741" w:rsidRPr="009672B5" w:rsidRDefault="005F1741" w:rsidP="005F1741">
            <w:pPr>
              <w:keepNext/>
              <w:spacing w:before="40" w:after="40"/>
              <w:rPr>
                <w:rFonts w:ascii="Arial Narrow" w:hAnsi="Arial Narrow"/>
                <w:b/>
                <w:sz w:val="20"/>
              </w:rPr>
            </w:pPr>
            <w:r w:rsidRPr="009672B5">
              <w:rPr>
                <w:rFonts w:ascii="Arial Narrow" w:hAnsi="Arial Narrow"/>
                <w:b/>
                <w:sz w:val="20"/>
              </w:rPr>
              <w:t>Direct randomised trial</w:t>
            </w:r>
          </w:p>
        </w:tc>
      </w:tr>
      <w:tr w:rsidR="005F1741" w:rsidRPr="009672B5" w:rsidTr="0081641C">
        <w:tc>
          <w:tcPr>
            <w:tcW w:w="705" w:type="pct"/>
            <w:vMerge w:val="restart"/>
          </w:tcPr>
          <w:p w:rsidR="005F1741" w:rsidRPr="009672B5" w:rsidRDefault="005F1741" w:rsidP="005F1741">
            <w:pPr>
              <w:keepNext/>
              <w:spacing w:before="40" w:after="40"/>
              <w:rPr>
                <w:rFonts w:ascii="Arial Narrow" w:hAnsi="Arial Narrow"/>
                <w:sz w:val="20"/>
              </w:rPr>
            </w:pPr>
            <w:r w:rsidRPr="009672B5">
              <w:rPr>
                <w:rFonts w:ascii="Arial Narrow" w:hAnsi="Arial Narrow"/>
                <w:sz w:val="20"/>
              </w:rPr>
              <w:t>GO-AHEAD (CSR P006)</w:t>
            </w:r>
          </w:p>
        </w:tc>
        <w:tc>
          <w:tcPr>
            <w:tcW w:w="2830" w:type="pct"/>
          </w:tcPr>
          <w:p w:rsidR="005F1741" w:rsidRPr="009672B5" w:rsidRDefault="005F1741" w:rsidP="005F1741">
            <w:pPr>
              <w:keepNext/>
              <w:spacing w:before="40" w:after="40"/>
              <w:rPr>
                <w:rFonts w:ascii="Arial Narrow" w:hAnsi="Arial Narrow"/>
                <w:sz w:val="20"/>
              </w:rPr>
            </w:pPr>
            <w:r w:rsidRPr="009672B5">
              <w:rPr>
                <w:rFonts w:ascii="Arial Narrow" w:hAnsi="Arial Narrow"/>
                <w:sz w:val="20"/>
              </w:rPr>
              <w:t>A Multicenter, Randomized, Double-blind, Placebo-controlled Study of the Effect of Golimumab (GLM) Administered Subcutaneously (SC) in Subjects with Active Axial Spondyloarthritis (SpA)</w:t>
            </w:r>
          </w:p>
        </w:tc>
        <w:tc>
          <w:tcPr>
            <w:tcW w:w="1465" w:type="pct"/>
          </w:tcPr>
          <w:p w:rsidR="005F1741" w:rsidRPr="009672B5" w:rsidRDefault="005F1741" w:rsidP="005F1741">
            <w:pPr>
              <w:keepNext/>
              <w:spacing w:before="40" w:after="40"/>
              <w:rPr>
                <w:rFonts w:ascii="Arial Narrow" w:hAnsi="Arial Narrow"/>
                <w:sz w:val="20"/>
              </w:rPr>
            </w:pPr>
            <w:r w:rsidRPr="009672B5">
              <w:rPr>
                <w:rFonts w:ascii="Arial Narrow" w:hAnsi="Arial Narrow"/>
                <w:sz w:val="20"/>
              </w:rPr>
              <w:t>02 October 2014 (24-week CSR)</w:t>
            </w:r>
          </w:p>
          <w:p w:rsidR="005F1741" w:rsidRPr="009672B5" w:rsidRDefault="005F1741" w:rsidP="0081641C">
            <w:pPr>
              <w:keepNext/>
              <w:spacing w:before="40" w:after="40"/>
              <w:rPr>
                <w:rFonts w:ascii="Arial Narrow" w:hAnsi="Arial Narrow"/>
                <w:sz w:val="20"/>
              </w:rPr>
            </w:pPr>
            <w:r w:rsidRPr="009672B5">
              <w:rPr>
                <w:rFonts w:ascii="Arial Narrow" w:hAnsi="Arial Narrow"/>
                <w:sz w:val="20"/>
              </w:rPr>
              <w:t>12 November 2015 (60-week CSR)</w:t>
            </w:r>
          </w:p>
        </w:tc>
      </w:tr>
      <w:tr w:rsidR="005F1741" w:rsidRPr="009672B5" w:rsidTr="0081641C">
        <w:tc>
          <w:tcPr>
            <w:tcW w:w="705" w:type="pct"/>
            <w:vMerge/>
          </w:tcPr>
          <w:p w:rsidR="005F1741" w:rsidRPr="009672B5" w:rsidRDefault="005F1741" w:rsidP="005F1741">
            <w:pPr>
              <w:keepNext/>
              <w:spacing w:before="40" w:after="40"/>
              <w:rPr>
                <w:rFonts w:ascii="Arial Narrow" w:hAnsi="Arial Narrow"/>
                <w:sz w:val="20"/>
              </w:rPr>
            </w:pPr>
          </w:p>
        </w:tc>
        <w:tc>
          <w:tcPr>
            <w:tcW w:w="2830" w:type="pct"/>
          </w:tcPr>
          <w:p w:rsidR="005F1741" w:rsidRPr="009672B5" w:rsidRDefault="005F1741" w:rsidP="005F1741">
            <w:pPr>
              <w:keepNext/>
              <w:spacing w:before="40" w:after="40"/>
              <w:rPr>
                <w:rFonts w:ascii="Arial Narrow" w:hAnsi="Arial Narrow"/>
                <w:sz w:val="20"/>
              </w:rPr>
            </w:pPr>
            <w:r w:rsidRPr="009672B5">
              <w:rPr>
                <w:rFonts w:ascii="Arial Narrow" w:hAnsi="Arial Narrow"/>
                <w:sz w:val="20"/>
              </w:rPr>
              <w:t>Sieper et al. A randomized, double-blind, placebo-controlled, 16-week study of subcutaneous golimumab in patients with active nonradiographic axial spondyloarthritis</w:t>
            </w:r>
          </w:p>
        </w:tc>
        <w:tc>
          <w:tcPr>
            <w:tcW w:w="1465" w:type="pct"/>
          </w:tcPr>
          <w:p w:rsidR="005F1741" w:rsidRPr="009672B5" w:rsidRDefault="005F1741" w:rsidP="005F1741">
            <w:pPr>
              <w:keepNext/>
              <w:spacing w:before="40" w:after="40"/>
              <w:rPr>
                <w:rFonts w:ascii="Arial Narrow" w:hAnsi="Arial Narrow"/>
                <w:sz w:val="20"/>
              </w:rPr>
            </w:pPr>
            <w:r w:rsidRPr="009672B5">
              <w:rPr>
                <w:rFonts w:ascii="Arial Narrow" w:hAnsi="Arial Narrow"/>
                <w:sz w:val="20"/>
              </w:rPr>
              <w:t>Arthritis and Rheumatology 2014; 66:S1283-S1284</w:t>
            </w:r>
          </w:p>
        </w:tc>
      </w:tr>
      <w:tr w:rsidR="005F1741" w:rsidRPr="009672B5" w:rsidTr="0081641C">
        <w:tc>
          <w:tcPr>
            <w:tcW w:w="705" w:type="pct"/>
            <w:vMerge/>
          </w:tcPr>
          <w:p w:rsidR="005F1741" w:rsidRPr="009672B5" w:rsidRDefault="005F1741" w:rsidP="005F1741">
            <w:pPr>
              <w:keepNext/>
              <w:spacing w:before="40" w:after="40"/>
              <w:rPr>
                <w:rFonts w:ascii="Arial Narrow" w:hAnsi="Arial Narrow"/>
                <w:sz w:val="20"/>
              </w:rPr>
            </w:pPr>
          </w:p>
        </w:tc>
        <w:tc>
          <w:tcPr>
            <w:tcW w:w="2830" w:type="pct"/>
          </w:tcPr>
          <w:p w:rsidR="005F1741" w:rsidRPr="009672B5" w:rsidRDefault="005F1741" w:rsidP="005F1741">
            <w:pPr>
              <w:keepNext/>
              <w:spacing w:before="40" w:after="40"/>
              <w:rPr>
                <w:rFonts w:ascii="Arial Narrow" w:hAnsi="Arial Narrow"/>
                <w:sz w:val="20"/>
              </w:rPr>
            </w:pPr>
            <w:r w:rsidRPr="009672B5">
              <w:rPr>
                <w:rFonts w:ascii="Arial Narrow" w:hAnsi="Arial Narrow"/>
                <w:sz w:val="20"/>
              </w:rPr>
              <w:t>Sieper et al. A randomized, double-blind, placebo-controlled, sixteen-week study of subcutaneous golimumab in patients with active nonradiographic axial spondyloarthritis</w:t>
            </w:r>
          </w:p>
        </w:tc>
        <w:tc>
          <w:tcPr>
            <w:tcW w:w="1465" w:type="pct"/>
          </w:tcPr>
          <w:p w:rsidR="005F1741" w:rsidRPr="009672B5" w:rsidRDefault="005F1741" w:rsidP="005F1741">
            <w:pPr>
              <w:keepNext/>
              <w:spacing w:before="40" w:after="40"/>
              <w:rPr>
                <w:rFonts w:ascii="Arial Narrow" w:hAnsi="Arial Narrow"/>
                <w:sz w:val="20"/>
              </w:rPr>
            </w:pPr>
            <w:r w:rsidRPr="009672B5">
              <w:rPr>
                <w:rFonts w:ascii="Arial Narrow" w:hAnsi="Arial Narrow"/>
                <w:sz w:val="20"/>
              </w:rPr>
              <w:t>Arthritis &amp; rheumatology 2015; 67: (10):2702-2712.</w:t>
            </w:r>
          </w:p>
        </w:tc>
      </w:tr>
      <w:tr w:rsidR="005F1741" w:rsidRPr="009672B5" w:rsidTr="0081641C">
        <w:tc>
          <w:tcPr>
            <w:tcW w:w="705" w:type="pct"/>
            <w:vMerge/>
          </w:tcPr>
          <w:p w:rsidR="005F1741" w:rsidRPr="009672B5" w:rsidRDefault="005F1741" w:rsidP="005F1741">
            <w:pPr>
              <w:keepNext/>
              <w:spacing w:before="40" w:after="40"/>
              <w:rPr>
                <w:rFonts w:ascii="Arial Narrow" w:hAnsi="Arial Narrow"/>
                <w:sz w:val="20"/>
              </w:rPr>
            </w:pPr>
          </w:p>
        </w:tc>
        <w:tc>
          <w:tcPr>
            <w:tcW w:w="2830" w:type="pct"/>
          </w:tcPr>
          <w:p w:rsidR="005F1741" w:rsidRPr="009672B5" w:rsidRDefault="005F1741" w:rsidP="005F1741">
            <w:pPr>
              <w:keepNext/>
              <w:spacing w:before="40" w:after="40"/>
              <w:rPr>
                <w:rFonts w:ascii="Arial Narrow" w:hAnsi="Arial Narrow"/>
                <w:sz w:val="20"/>
              </w:rPr>
            </w:pPr>
            <w:r w:rsidRPr="009672B5">
              <w:rPr>
                <w:rFonts w:ascii="Arial Narrow" w:hAnsi="Arial Narrow"/>
                <w:sz w:val="20"/>
              </w:rPr>
              <w:t>Sieper et al. Efficacy of golimumab for nonradiographic axial spondyloarthritis (nr-axSpA): Subgroup analysis by baseline MRI and C-reactive protein status</w:t>
            </w:r>
          </w:p>
        </w:tc>
        <w:tc>
          <w:tcPr>
            <w:tcW w:w="1465" w:type="pct"/>
          </w:tcPr>
          <w:p w:rsidR="005F1741" w:rsidRPr="009672B5" w:rsidRDefault="005F1741" w:rsidP="005F1741">
            <w:pPr>
              <w:keepNext/>
              <w:spacing w:before="40" w:after="40"/>
              <w:rPr>
                <w:rFonts w:ascii="Arial Narrow" w:hAnsi="Arial Narrow"/>
                <w:sz w:val="20"/>
              </w:rPr>
            </w:pPr>
            <w:r w:rsidRPr="009672B5">
              <w:rPr>
                <w:rFonts w:ascii="Arial Narrow" w:hAnsi="Arial Narrow"/>
                <w:sz w:val="20"/>
              </w:rPr>
              <w:t>Arthritis and Rheumatology 2016; 68:943-945</w:t>
            </w:r>
          </w:p>
        </w:tc>
      </w:tr>
    </w:tbl>
    <w:p w:rsidR="005F1741" w:rsidRPr="009672B5" w:rsidRDefault="005F1741" w:rsidP="005F1741">
      <w:pPr>
        <w:keepNext/>
        <w:spacing w:before="0" w:after="60"/>
        <w:rPr>
          <w:rFonts w:ascii="Arial Narrow" w:hAnsi="Arial Narrow"/>
          <w:sz w:val="18"/>
          <w:szCs w:val="18"/>
        </w:rPr>
      </w:pPr>
      <w:r w:rsidRPr="009672B5">
        <w:rPr>
          <w:rFonts w:ascii="Arial Narrow" w:hAnsi="Arial Narrow"/>
          <w:sz w:val="18"/>
          <w:szCs w:val="18"/>
        </w:rPr>
        <w:t>Source: Table 2.2.1, pp46-47 of the submission</w:t>
      </w:r>
    </w:p>
    <w:p w:rsidR="00DA064C" w:rsidRPr="0030713F" w:rsidRDefault="0081641C" w:rsidP="00BB68CD">
      <w:pPr>
        <w:numPr>
          <w:ilvl w:val="1"/>
          <w:numId w:val="1"/>
        </w:numPr>
        <w:jc w:val="both"/>
      </w:pPr>
      <w:r w:rsidRPr="0030713F">
        <w:t xml:space="preserve">The proposed PBS population was represented by a pre-specified subgroup of patients in the GO-AHEAD trial, those with </w:t>
      </w:r>
      <w:r w:rsidR="00416E49" w:rsidRPr="0030713F">
        <w:t>objective signs of inflammation (</w:t>
      </w:r>
      <w:r w:rsidRPr="0030713F">
        <w:t>OSI</w:t>
      </w:r>
      <w:r w:rsidR="00416E49" w:rsidRPr="0030713F">
        <w:t>)</w:t>
      </w:r>
      <w:r w:rsidR="00B55A67" w:rsidRPr="0030713F">
        <w:t>.</w:t>
      </w:r>
      <w:r w:rsidR="00AE3AA3" w:rsidRPr="0030713F">
        <w:t xml:space="preserve"> </w:t>
      </w:r>
      <w:r w:rsidR="00DA064C" w:rsidRPr="0030713F">
        <w:t>The nomination of the OSI population was based on results of studies assessing other anti-TNFα therapies where a greater likelihood of response in subgroups defined by OSI (evidence of sacroiliitis on MRI and/or screening CRP level &gt;upper limit of normal</w:t>
      </w:r>
      <w:r w:rsidR="00F9023A" w:rsidRPr="0030713F">
        <w:t xml:space="preserve"> (&gt;ULN)</w:t>
      </w:r>
      <w:r w:rsidR="00DA064C" w:rsidRPr="0030713F">
        <w:t>) w</w:t>
      </w:r>
      <w:r w:rsidR="00F9023A" w:rsidRPr="0030713F">
        <w:t>ere</w:t>
      </w:r>
      <w:r w:rsidR="00DA064C" w:rsidRPr="0030713F">
        <w:t xml:space="preserve"> observed. </w:t>
      </w:r>
    </w:p>
    <w:p w:rsidR="0081641C" w:rsidRPr="009672B5" w:rsidRDefault="0081641C" w:rsidP="00BB68CD">
      <w:pPr>
        <w:numPr>
          <w:ilvl w:val="1"/>
          <w:numId w:val="1"/>
        </w:numPr>
        <w:jc w:val="both"/>
      </w:pPr>
      <w:r w:rsidRPr="009672B5">
        <w:t xml:space="preserve">The OSI population (n=153) comprised approximately </w:t>
      </w:r>
      <w:r w:rsidR="0092728B">
        <w:rPr>
          <w:noProof/>
          <w:color w:val="000000"/>
          <w:highlight w:val="black"/>
        </w:rPr>
        <w:t>''''''</w:t>
      </w:r>
      <w:r w:rsidRPr="009672B5">
        <w:t xml:space="preserve">% of the total trial population and consisted of </w:t>
      </w:r>
      <w:r w:rsidR="001A6FD2" w:rsidRPr="009672B5">
        <w:t xml:space="preserve">patients </w:t>
      </w:r>
      <w:r w:rsidRPr="009672B5">
        <w:t>with baseline evidence of sacroiliitis (active inflammation) on MRI and/or a screening C-reactive protein (CRP) &gt;ULN.</w:t>
      </w:r>
    </w:p>
    <w:p w:rsidR="002E76E9" w:rsidRPr="009672B5" w:rsidRDefault="002E76E9" w:rsidP="00BB68CD">
      <w:pPr>
        <w:numPr>
          <w:ilvl w:val="1"/>
          <w:numId w:val="1"/>
        </w:numPr>
        <w:jc w:val="both"/>
      </w:pPr>
      <w:r w:rsidRPr="009672B5">
        <w:t xml:space="preserve">The ESC noted that the GO-AHEAD </w:t>
      </w:r>
      <w:r w:rsidR="00576663" w:rsidRPr="009672B5">
        <w:t xml:space="preserve">inclusion </w:t>
      </w:r>
      <w:r w:rsidRPr="009672B5">
        <w:t xml:space="preserve">criteria were restricted to adult patients </w:t>
      </w:r>
      <w:r w:rsidRPr="009672B5">
        <w:rPr>
          <w:rFonts w:cstheme="minorHAnsi"/>
        </w:rPr>
        <w:t>≤</w:t>
      </w:r>
      <w:r w:rsidR="00B03578">
        <w:t> </w:t>
      </w:r>
      <w:r w:rsidRPr="00B03578">
        <w:t>45</w:t>
      </w:r>
      <w:r w:rsidRPr="009672B5">
        <w:t xml:space="preserve"> years of age. While the PSCR</w:t>
      </w:r>
      <w:r w:rsidR="00761F2E" w:rsidRPr="009672B5">
        <w:t xml:space="preserve"> (p4)</w:t>
      </w:r>
      <w:r w:rsidRPr="009672B5">
        <w:t xml:space="preserve"> suggested that the number of patients older than 45 treated in practice will be low, the </w:t>
      </w:r>
      <w:r w:rsidR="00FA095A" w:rsidRPr="009672B5">
        <w:t xml:space="preserve">ESC considered that the </w:t>
      </w:r>
      <w:r w:rsidRPr="009672B5">
        <w:t xml:space="preserve">efficacy of golimumab in that group is unknown. </w:t>
      </w:r>
    </w:p>
    <w:p w:rsidR="005F1741" w:rsidRPr="009672B5" w:rsidRDefault="005F1741" w:rsidP="00BB68CD">
      <w:pPr>
        <w:numPr>
          <w:ilvl w:val="1"/>
          <w:numId w:val="1"/>
        </w:numPr>
        <w:spacing w:before="0" w:after="120"/>
        <w:jc w:val="both"/>
      </w:pPr>
      <w:r w:rsidRPr="009672B5">
        <w:t xml:space="preserve">The key features of the direct randomised trial are summarised in </w:t>
      </w:r>
      <w:r w:rsidR="0081641C" w:rsidRPr="009672B5">
        <w:t>Table 3</w:t>
      </w:r>
      <w:r w:rsidRPr="009672B5">
        <w:t xml:space="preserve">.  </w:t>
      </w:r>
    </w:p>
    <w:p w:rsidR="005F1741" w:rsidRPr="00581E8D" w:rsidRDefault="005F1741" w:rsidP="005F1741">
      <w:pPr>
        <w:keepNext/>
        <w:spacing w:before="0" w:after="60"/>
        <w:rPr>
          <w:rFonts w:ascii="Arial Narrow" w:hAnsi="Arial Narrow"/>
          <w:b/>
          <w:sz w:val="20"/>
        </w:rPr>
      </w:pPr>
      <w:r w:rsidRPr="00581E8D">
        <w:rPr>
          <w:rFonts w:ascii="Arial Narrow" w:hAnsi="Arial Narrow"/>
          <w:b/>
          <w:sz w:val="20"/>
        </w:rPr>
        <w:t>Table 3: Key fea</w:t>
      </w:r>
      <w:r w:rsidR="00761F2E" w:rsidRPr="00581E8D">
        <w:rPr>
          <w:rFonts w:ascii="Arial Narrow" w:hAnsi="Arial Narrow"/>
          <w:b/>
          <w:sz w:val="20"/>
        </w:rPr>
        <w:t>tures of the included evidence (</w:t>
      </w:r>
      <w:r w:rsidRPr="00581E8D">
        <w:rPr>
          <w:rFonts w:ascii="Arial Narrow" w:hAnsi="Arial Narrow"/>
          <w:b/>
          <w:sz w:val="20"/>
        </w:rPr>
        <w:t>golimumab vs. placebo</w:t>
      </w:r>
      <w:r w:rsidR="00761F2E" w:rsidRPr="00581E8D">
        <w:rPr>
          <w:rFonts w:ascii="Arial Narrow" w:hAnsi="Arial Narrow"/>
          <w:b/>
          <w:sz w:val="20"/>
        </w:rPr>
        <w:t>)</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52"/>
        <w:gridCol w:w="1429"/>
        <w:gridCol w:w="855"/>
        <w:gridCol w:w="971"/>
        <w:gridCol w:w="1456"/>
        <w:gridCol w:w="2595"/>
      </w:tblGrid>
      <w:tr w:rsidR="005F1741" w:rsidRPr="00581E8D" w:rsidTr="00B55A67">
        <w:tc>
          <w:tcPr>
            <w:tcW w:w="1011" w:type="pct"/>
            <w:tcBorders>
              <w:top w:val="single" w:sz="4" w:space="0" w:color="auto"/>
              <w:left w:val="single" w:sz="4" w:space="0" w:color="auto"/>
              <w:bottom w:val="single" w:sz="4" w:space="0" w:color="auto"/>
              <w:right w:val="single" w:sz="4" w:space="0" w:color="auto"/>
            </w:tcBorders>
          </w:tcPr>
          <w:p w:rsidR="0081641C" w:rsidRPr="00581E8D" w:rsidRDefault="005F1741" w:rsidP="0081641C">
            <w:pPr>
              <w:keepNext/>
              <w:spacing w:before="40" w:after="40"/>
              <w:rPr>
                <w:rFonts w:ascii="Arial Narrow" w:hAnsi="Arial Narrow"/>
                <w:b/>
                <w:sz w:val="20"/>
                <w:lang w:val="en-US"/>
              </w:rPr>
            </w:pPr>
            <w:r w:rsidRPr="00581E8D">
              <w:rPr>
                <w:rFonts w:ascii="Arial Narrow" w:hAnsi="Arial Narrow"/>
                <w:b/>
                <w:sz w:val="20"/>
                <w:lang w:val="en-US"/>
              </w:rPr>
              <w:t xml:space="preserve">Therapy </w:t>
            </w:r>
          </w:p>
          <w:p w:rsidR="005F1741" w:rsidRPr="00581E8D" w:rsidRDefault="005F1741" w:rsidP="0081641C">
            <w:pPr>
              <w:keepNext/>
              <w:spacing w:before="40" w:after="40"/>
              <w:rPr>
                <w:rFonts w:ascii="Arial Narrow" w:hAnsi="Arial Narrow"/>
                <w:b/>
                <w:sz w:val="20"/>
              </w:rPr>
            </w:pPr>
            <w:r w:rsidRPr="00581E8D">
              <w:rPr>
                <w:rFonts w:ascii="Arial Narrow" w:hAnsi="Arial Narrow"/>
                <w:b/>
                <w:sz w:val="20"/>
                <w:lang w:val="en-US"/>
              </w:rPr>
              <w:t>(N randomised)</w:t>
            </w:r>
          </w:p>
        </w:tc>
        <w:tc>
          <w:tcPr>
            <w:tcW w:w="780" w:type="pct"/>
            <w:tcBorders>
              <w:top w:val="single" w:sz="4" w:space="0" w:color="auto"/>
              <w:left w:val="single" w:sz="4" w:space="0" w:color="auto"/>
              <w:bottom w:val="single" w:sz="4" w:space="0" w:color="auto"/>
              <w:right w:val="single" w:sz="4" w:space="0" w:color="auto"/>
            </w:tcBorders>
            <w:vAlign w:val="center"/>
          </w:tcPr>
          <w:p w:rsidR="005F1741" w:rsidRPr="00581E8D" w:rsidRDefault="005F1741" w:rsidP="005F1741">
            <w:pPr>
              <w:keepNext/>
              <w:spacing w:before="40" w:after="40"/>
              <w:jc w:val="center"/>
              <w:rPr>
                <w:rFonts w:ascii="Arial Narrow" w:hAnsi="Arial Narrow"/>
                <w:b/>
                <w:sz w:val="20"/>
              </w:rPr>
            </w:pPr>
            <w:r w:rsidRPr="00581E8D">
              <w:rPr>
                <w:rFonts w:ascii="Arial Narrow" w:hAnsi="Arial Narrow"/>
                <w:b/>
                <w:sz w:val="20"/>
                <w:lang w:val="en-US"/>
              </w:rPr>
              <w:t>Design/duration</w:t>
            </w:r>
          </w:p>
        </w:tc>
        <w:tc>
          <w:tcPr>
            <w:tcW w:w="467" w:type="pct"/>
            <w:tcBorders>
              <w:top w:val="single" w:sz="4" w:space="0" w:color="auto"/>
              <w:left w:val="single" w:sz="4" w:space="0" w:color="auto"/>
              <w:bottom w:val="single" w:sz="4" w:space="0" w:color="auto"/>
              <w:right w:val="single" w:sz="4" w:space="0" w:color="auto"/>
            </w:tcBorders>
            <w:vAlign w:val="center"/>
          </w:tcPr>
          <w:p w:rsidR="005F1741" w:rsidRPr="00581E8D" w:rsidRDefault="005F1741" w:rsidP="005F1741">
            <w:pPr>
              <w:keepNext/>
              <w:spacing w:before="40" w:after="40"/>
              <w:jc w:val="center"/>
              <w:rPr>
                <w:rFonts w:ascii="Arial Narrow" w:hAnsi="Arial Narrow"/>
                <w:b/>
                <w:sz w:val="20"/>
              </w:rPr>
            </w:pPr>
            <w:r w:rsidRPr="00581E8D">
              <w:rPr>
                <w:rFonts w:ascii="Arial Narrow" w:hAnsi="Arial Narrow"/>
                <w:b/>
                <w:sz w:val="20"/>
                <w:lang w:val="en-US"/>
              </w:rPr>
              <w:t>Risk of bias</w:t>
            </w:r>
          </w:p>
        </w:tc>
        <w:tc>
          <w:tcPr>
            <w:tcW w:w="530" w:type="pct"/>
            <w:tcBorders>
              <w:top w:val="single" w:sz="4" w:space="0" w:color="auto"/>
              <w:left w:val="single" w:sz="4" w:space="0" w:color="auto"/>
              <w:bottom w:val="single" w:sz="4" w:space="0" w:color="auto"/>
              <w:right w:val="single" w:sz="4" w:space="0" w:color="auto"/>
            </w:tcBorders>
            <w:vAlign w:val="center"/>
          </w:tcPr>
          <w:p w:rsidR="005F1741" w:rsidRPr="00581E8D" w:rsidRDefault="005F1741" w:rsidP="005F1741">
            <w:pPr>
              <w:keepNext/>
              <w:spacing w:before="40" w:after="40"/>
              <w:jc w:val="center"/>
              <w:rPr>
                <w:rFonts w:ascii="Arial Narrow" w:hAnsi="Arial Narrow"/>
                <w:b/>
                <w:sz w:val="20"/>
              </w:rPr>
            </w:pPr>
            <w:r w:rsidRPr="00581E8D">
              <w:rPr>
                <w:rFonts w:ascii="Arial Narrow" w:hAnsi="Arial Narrow"/>
                <w:b/>
                <w:sz w:val="20"/>
                <w:lang w:val="en-US"/>
              </w:rPr>
              <w:t>Patient population</w:t>
            </w:r>
          </w:p>
        </w:tc>
        <w:tc>
          <w:tcPr>
            <w:tcW w:w="795" w:type="pct"/>
            <w:tcBorders>
              <w:top w:val="single" w:sz="4" w:space="0" w:color="auto"/>
              <w:left w:val="single" w:sz="4" w:space="0" w:color="auto"/>
              <w:bottom w:val="single" w:sz="4" w:space="0" w:color="auto"/>
              <w:right w:val="single" w:sz="4" w:space="0" w:color="auto"/>
            </w:tcBorders>
            <w:vAlign w:val="center"/>
          </w:tcPr>
          <w:p w:rsidR="005F1741" w:rsidRPr="00581E8D" w:rsidRDefault="005F1741" w:rsidP="005F1741">
            <w:pPr>
              <w:keepNext/>
              <w:spacing w:before="40" w:after="40"/>
              <w:jc w:val="center"/>
              <w:rPr>
                <w:rFonts w:ascii="Arial Narrow" w:hAnsi="Arial Narrow"/>
                <w:b/>
                <w:sz w:val="20"/>
              </w:rPr>
            </w:pPr>
            <w:r w:rsidRPr="00581E8D">
              <w:rPr>
                <w:rFonts w:ascii="Arial Narrow" w:hAnsi="Arial Narrow"/>
                <w:b/>
                <w:sz w:val="20"/>
                <w:lang w:val="en-US"/>
              </w:rPr>
              <w:t>Key outcomes</w:t>
            </w:r>
          </w:p>
        </w:tc>
        <w:tc>
          <w:tcPr>
            <w:tcW w:w="1417" w:type="pct"/>
            <w:shd w:val="clear" w:color="auto" w:fill="auto"/>
            <w:vAlign w:val="center"/>
          </w:tcPr>
          <w:p w:rsidR="005F1741" w:rsidRPr="00581E8D" w:rsidRDefault="005F1741" w:rsidP="005F1741">
            <w:pPr>
              <w:keepNext/>
              <w:spacing w:before="40" w:after="40"/>
              <w:jc w:val="center"/>
              <w:rPr>
                <w:rFonts w:ascii="Arial Narrow" w:hAnsi="Arial Narrow"/>
                <w:b/>
                <w:sz w:val="20"/>
              </w:rPr>
            </w:pPr>
            <w:r w:rsidRPr="00581E8D">
              <w:rPr>
                <w:rFonts w:ascii="Arial Narrow" w:hAnsi="Arial Narrow"/>
                <w:b/>
                <w:sz w:val="20"/>
              </w:rPr>
              <w:t>Use in modelled evaluation</w:t>
            </w:r>
          </w:p>
        </w:tc>
      </w:tr>
      <w:tr w:rsidR="005F1741" w:rsidRPr="00581E8D" w:rsidTr="00B55A67">
        <w:tc>
          <w:tcPr>
            <w:tcW w:w="1011" w:type="pct"/>
            <w:vAlign w:val="center"/>
          </w:tcPr>
          <w:p w:rsidR="0081641C" w:rsidRPr="00581E8D" w:rsidRDefault="0081641C" w:rsidP="0081641C">
            <w:pPr>
              <w:pStyle w:val="TableText"/>
              <w:rPr>
                <w:rFonts w:ascii="Times" w:eastAsia="Times New Roman" w:hAnsi="Times" w:cs="Times New Roman"/>
              </w:rPr>
            </w:pPr>
            <w:r w:rsidRPr="00581E8D">
              <w:t>Golimumab 50</w:t>
            </w:r>
            <w:r w:rsidR="00D95080" w:rsidRPr="00581E8D">
              <w:t xml:space="preserve"> </w:t>
            </w:r>
            <w:r w:rsidRPr="00581E8D">
              <w:t>mg (98)</w:t>
            </w:r>
          </w:p>
          <w:p w:rsidR="005F1741" w:rsidRPr="00581E8D" w:rsidRDefault="0081641C" w:rsidP="0081641C">
            <w:pPr>
              <w:pStyle w:val="TableText"/>
              <w:rPr>
                <w:rFonts w:ascii="Times" w:eastAsia="Times New Roman" w:hAnsi="Times" w:cs="Times New Roman"/>
              </w:rPr>
            </w:pPr>
            <w:r w:rsidRPr="00581E8D">
              <w:t>Placebo (100)</w:t>
            </w:r>
          </w:p>
        </w:tc>
        <w:tc>
          <w:tcPr>
            <w:tcW w:w="780" w:type="pct"/>
            <w:vAlign w:val="center"/>
          </w:tcPr>
          <w:p w:rsidR="005F1741" w:rsidRPr="00581E8D" w:rsidRDefault="005F1741" w:rsidP="005F1741">
            <w:pPr>
              <w:keepNext/>
              <w:spacing w:before="40" w:after="40"/>
              <w:jc w:val="center"/>
              <w:rPr>
                <w:rFonts w:ascii="Arial Narrow" w:hAnsi="Arial Narrow"/>
                <w:sz w:val="20"/>
              </w:rPr>
            </w:pPr>
            <w:r w:rsidRPr="00581E8D">
              <w:rPr>
                <w:rFonts w:ascii="Arial Narrow" w:hAnsi="Arial Narrow"/>
                <w:sz w:val="20"/>
              </w:rPr>
              <w:t>Part I: R, MC, DB, 16 weeks</w:t>
            </w:r>
          </w:p>
          <w:p w:rsidR="005F1741" w:rsidRPr="00581E8D" w:rsidRDefault="005F1741" w:rsidP="005F1741">
            <w:pPr>
              <w:keepNext/>
              <w:spacing w:before="40" w:after="40"/>
              <w:jc w:val="center"/>
              <w:rPr>
                <w:rFonts w:ascii="Times" w:eastAsia="Times New Roman" w:hAnsi="Times" w:cs="Times New Roman"/>
                <w:sz w:val="20"/>
              </w:rPr>
            </w:pPr>
            <w:r w:rsidRPr="00581E8D">
              <w:rPr>
                <w:rFonts w:ascii="Arial Narrow" w:hAnsi="Arial Narrow"/>
                <w:sz w:val="20"/>
              </w:rPr>
              <w:t>Part II: OL extension of golimumab only to Week 48</w:t>
            </w:r>
          </w:p>
        </w:tc>
        <w:tc>
          <w:tcPr>
            <w:tcW w:w="467" w:type="pct"/>
            <w:vAlign w:val="center"/>
          </w:tcPr>
          <w:p w:rsidR="005F1741" w:rsidRPr="00581E8D" w:rsidRDefault="005F1741" w:rsidP="005F1741">
            <w:pPr>
              <w:keepNext/>
              <w:spacing w:before="40" w:after="40"/>
              <w:jc w:val="center"/>
              <w:rPr>
                <w:rFonts w:ascii="Times" w:eastAsia="Times New Roman" w:hAnsi="Times" w:cs="Times New Roman"/>
                <w:sz w:val="20"/>
              </w:rPr>
            </w:pPr>
            <w:r w:rsidRPr="00581E8D">
              <w:rPr>
                <w:rFonts w:ascii="Arial Narrow" w:hAnsi="Arial Narrow"/>
                <w:sz w:val="20"/>
              </w:rPr>
              <w:t>Low in Part I</w:t>
            </w:r>
          </w:p>
        </w:tc>
        <w:tc>
          <w:tcPr>
            <w:tcW w:w="530" w:type="pct"/>
            <w:vAlign w:val="center"/>
          </w:tcPr>
          <w:p w:rsidR="005F1741" w:rsidRPr="00581E8D" w:rsidRDefault="005F1741" w:rsidP="005F1741">
            <w:pPr>
              <w:keepNext/>
              <w:spacing w:before="40" w:after="40"/>
              <w:jc w:val="center"/>
              <w:rPr>
                <w:rFonts w:ascii="Arial Narrow" w:eastAsia="Times New Roman" w:hAnsi="Arial Narrow" w:cs="Times New Roman"/>
                <w:sz w:val="20"/>
              </w:rPr>
            </w:pPr>
            <w:r w:rsidRPr="00581E8D">
              <w:rPr>
                <w:rFonts w:ascii="Arial Narrow" w:hAnsi="Arial Narrow"/>
                <w:sz w:val="20"/>
              </w:rPr>
              <w:t>nr-axSpA</w:t>
            </w:r>
          </w:p>
        </w:tc>
        <w:tc>
          <w:tcPr>
            <w:tcW w:w="795" w:type="pct"/>
            <w:tcBorders>
              <w:top w:val="single" w:sz="4" w:space="0" w:color="auto"/>
              <w:left w:val="single" w:sz="4" w:space="0" w:color="auto"/>
              <w:bottom w:val="single" w:sz="4" w:space="0" w:color="auto"/>
              <w:right w:val="single" w:sz="4" w:space="0" w:color="auto"/>
            </w:tcBorders>
            <w:vAlign w:val="center"/>
          </w:tcPr>
          <w:p w:rsidR="005F1741" w:rsidRPr="00581E8D" w:rsidRDefault="005F1741" w:rsidP="00390202">
            <w:pPr>
              <w:keepNext/>
              <w:spacing w:before="40" w:after="40"/>
              <w:jc w:val="center"/>
              <w:rPr>
                <w:rFonts w:ascii="Arial Narrow" w:hAnsi="Arial Narrow"/>
                <w:sz w:val="20"/>
                <w:szCs w:val="20"/>
              </w:rPr>
            </w:pPr>
            <w:r w:rsidRPr="00581E8D">
              <w:rPr>
                <w:rFonts w:ascii="Arial Narrow" w:hAnsi="Arial Narrow"/>
                <w:sz w:val="20"/>
                <w:szCs w:val="20"/>
              </w:rPr>
              <w:t>Primary: ASAS 20</w:t>
            </w:r>
          </w:p>
          <w:p w:rsidR="005F1741" w:rsidRPr="00581E8D" w:rsidRDefault="005F1741">
            <w:pPr>
              <w:keepNext/>
              <w:spacing w:before="40" w:after="40"/>
              <w:jc w:val="center"/>
              <w:rPr>
                <w:rFonts w:ascii="Arial Narrow" w:eastAsia="Times New Roman" w:hAnsi="Arial Narrow" w:cs="Times New Roman"/>
                <w:sz w:val="20"/>
                <w:szCs w:val="20"/>
              </w:rPr>
            </w:pPr>
            <w:r w:rsidRPr="00581E8D">
              <w:rPr>
                <w:rFonts w:ascii="Arial Narrow" w:hAnsi="Arial Narrow"/>
                <w:sz w:val="20"/>
                <w:szCs w:val="20"/>
              </w:rPr>
              <w:t>Secondary: BASDAI, BAFSI, EQ-5D</w:t>
            </w:r>
          </w:p>
        </w:tc>
        <w:tc>
          <w:tcPr>
            <w:tcW w:w="1417" w:type="pct"/>
            <w:shd w:val="clear" w:color="auto" w:fill="auto"/>
            <w:vAlign w:val="center"/>
          </w:tcPr>
          <w:p w:rsidR="005F1741" w:rsidRPr="00581E8D" w:rsidRDefault="005F1741">
            <w:pPr>
              <w:keepNext/>
              <w:spacing w:before="40" w:after="40"/>
              <w:jc w:val="center"/>
              <w:rPr>
                <w:rFonts w:ascii="Arial Narrow" w:hAnsi="Arial Narrow"/>
                <w:sz w:val="20"/>
                <w:szCs w:val="20"/>
              </w:rPr>
            </w:pPr>
            <w:r w:rsidRPr="00581E8D">
              <w:rPr>
                <w:rFonts w:ascii="Arial Narrow" w:hAnsi="Arial Narrow"/>
                <w:sz w:val="20"/>
                <w:szCs w:val="20"/>
              </w:rPr>
              <w:t>BASDAI 50 response</w:t>
            </w:r>
            <w:r w:rsidR="00390202" w:rsidRPr="00581E8D">
              <w:rPr>
                <w:rFonts w:ascii="Arial Narrow" w:hAnsi="Arial Narrow"/>
                <w:sz w:val="20"/>
                <w:szCs w:val="20"/>
              </w:rPr>
              <w:t xml:space="preserve"> at Week 16</w:t>
            </w:r>
          </w:p>
          <w:p w:rsidR="005F1741" w:rsidRPr="00581E8D" w:rsidRDefault="005F1741">
            <w:pPr>
              <w:keepNext/>
              <w:spacing w:before="40" w:after="40"/>
              <w:jc w:val="center"/>
              <w:rPr>
                <w:rFonts w:ascii="Arial Narrow" w:eastAsia="Times New Roman" w:hAnsi="Arial Narrow" w:cs="Times New Roman"/>
                <w:sz w:val="20"/>
                <w:szCs w:val="20"/>
              </w:rPr>
            </w:pPr>
            <w:r w:rsidRPr="00581E8D">
              <w:rPr>
                <w:rFonts w:ascii="Arial Narrow" w:hAnsi="Arial Narrow"/>
                <w:sz w:val="20"/>
                <w:szCs w:val="20"/>
              </w:rPr>
              <w:t>EQ-5D data used to develop regression model to estimate change in utilities</w:t>
            </w:r>
          </w:p>
        </w:tc>
      </w:tr>
    </w:tbl>
    <w:p w:rsidR="005F1741" w:rsidRPr="00581E8D" w:rsidRDefault="005F1741" w:rsidP="005F1741">
      <w:pPr>
        <w:widowControl w:val="0"/>
        <w:spacing w:before="0" w:after="120"/>
        <w:contextualSpacing/>
        <w:jc w:val="both"/>
        <w:rPr>
          <w:rFonts w:ascii="Arial Narrow" w:eastAsia="Times New Roman" w:hAnsi="Arial Narrow" w:cs="Arial"/>
          <w:snapToGrid w:val="0"/>
          <w:sz w:val="18"/>
          <w:szCs w:val="20"/>
        </w:rPr>
      </w:pPr>
      <w:r w:rsidRPr="00581E8D">
        <w:rPr>
          <w:rFonts w:ascii="Arial Narrow" w:eastAsia="Times New Roman" w:hAnsi="Arial Narrow" w:cs="Arial"/>
          <w:snapToGrid w:val="0"/>
          <w:sz w:val="18"/>
          <w:szCs w:val="20"/>
        </w:rPr>
        <w:t>R = randomised; MC = multi-centre; DB = double-blind; OL = open-label; nr-ax</w:t>
      </w:r>
      <w:r w:rsidR="00235238">
        <w:rPr>
          <w:rFonts w:ascii="Arial Narrow" w:eastAsia="Times New Roman" w:hAnsi="Arial Narrow" w:cs="Arial"/>
          <w:snapToGrid w:val="0"/>
          <w:sz w:val="18"/>
          <w:szCs w:val="20"/>
        </w:rPr>
        <w:t>Sp</w:t>
      </w:r>
      <w:r w:rsidRPr="00581E8D">
        <w:rPr>
          <w:rFonts w:ascii="Arial Narrow" w:eastAsia="Times New Roman" w:hAnsi="Arial Narrow" w:cs="Arial"/>
          <w:snapToGrid w:val="0"/>
          <w:sz w:val="18"/>
          <w:szCs w:val="20"/>
        </w:rPr>
        <w:t>A = non-radiographic axial spon</w:t>
      </w:r>
      <w:r w:rsidR="00235238">
        <w:rPr>
          <w:rFonts w:ascii="Arial Narrow" w:eastAsia="Times New Roman" w:hAnsi="Arial Narrow" w:cs="Arial"/>
          <w:snapToGrid w:val="0"/>
          <w:sz w:val="18"/>
          <w:szCs w:val="20"/>
        </w:rPr>
        <w:t>d</w:t>
      </w:r>
      <w:r w:rsidRPr="00581E8D">
        <w:rPr>
          <w:rFonts w:ascii="Arial Narrow" w:eastAsia="Times New Roman" w:hAnsi="Arial Narrow" w:cs="Arial"/>
          <w:snapToGrid w:val="0"/>
          <w:sz w:val="18"/>
          <w:szCs w:val="20"/>
        </w:rPr>
        <w:t>yloarthritis; ASAS = Ankylosing Spondylitis Activity Score; BASDAI = Bath Ankylosing Spondylitis Disease Activity Index; NSAIDs = non-steroidal anti-inflammatory drugs; BASFI = Bath ankylosing spondylitis functional index; EQ-5D = EuroQoL 5D Health Questionnaire</w:t>
      </w:r>
    </w:p>
    <w:p w:rsidR="005F1741" w:rsidRPr="00581E8D" w:rsidRDefault="005F1741" w:rsidP="005F1741">
      <w:pPr>
        <w:widowControl w:val="0"/>
        <w:spacing w:before="0" w:after="120"/>
        <w:contextualSpacing/>
        <w:jc w:val="both"/>
        <w:rPr>
          <w:rFonts w:ascii="Arial Narrow" w:eastAsia="Times New Roman" w:hAnsi="Arial Narrow" w:cs="Arial"/>
          <w:snapToGrid w:val="0"/>
          <w:sz w:val="18"/>
          <w:szCs w:val="20"/>
        </w:rPr>
      </w:pPr>
      <w:r w:rsidRPr="00581E8D">
        <w:rPr>
          <w:rFonts w:ascii="Arial Narrow" w:eastAsia="Times New Roman" w:hAnsi="Arial Narrow" w:cs="Arial"/>
          <w:snapToGrid w:val="0"/>
          <w:sz w:val="18"/>
          <w:szCs w:val="20"/>
        </w:rPr>
        <w:t>Source: Sections 2.3, 2.4, 2.5 and Section 3 of the submission</w:t>
      </w:r>
    </w:p>
    <w:p w:rsidR="005F1741" w:rsidRPr="00581E8D" w:rsidRDefault="005F1741" w:rsidP="005F1741">
      <w:pPr>
        <w:widowControl w:val="0"/>
        <w:spacing w:before="0" w:after="120"/>
        <w:contextualSpacing/>
        <w:jc w:val="both"/>
        <w:rPr>
          <w:rFonts w:ascii="Arial Narrow" w:eastAsia="Times New Roman" w:hAnsi="Arial Narrow" w:cs="Arial"/>
          <w:snapToGrid w:val="0"/>
          <w:sz w:val="18"/>
          <w:szCs w:val="20"/>
        </w:rPr>
      </w:pPr>
    </w:p>
    <w:p w:rsidR="00416E49" w:rsidRPr="009672B5" w:rsidRDefault="005F1741" w:rsidP="00BB68CD">
      <w:pPr>
        <w:numPr>
          <w:ilvl w:val="1"/>
          <w:numId w:val="1"/>
        </w:numPr>
        <w:jc w:val="both"/>
        <w:rPr>
          <w:rFonts w:eastAsia="Times New Roman" w:cstheme="minorHAnsi"/>
          <w:snapToGrid w:val="0"/>
          <w:szCs w:val="24"/>
        </w:rPr>
      </w:pPr>
      <w:r w:rsidRPr="00581E8D">
        <w:t xml:space="preserve">In relation to a </w:t>
      </w:r>
      <w:r w:rsidR="00F11582" w:rsidRPr="00581E8D">
        <w:t>minimum clinically important difference (</w:t>
      </w:r>
      <w:r w:rsidRPr="00043719">
        <w:t>MCID</w:t>
      </w:r>
      <w:r w:rsidR="00F11582" w:rsidRPr="00EB18EB">
        <w:t>)</w:t>
      </w:r>
      <w:r w:rsidRPr="00EB18EB">
        <w:t>, the submission suggested</w:t>
      </w:r>
      <w:r w:rsidRPr="004F6657">
        <w:t xml:space="preserve"> that this would be a </w:t>
      </w:r>
      <w:r w:rsidR="0092728B">
        <w:rPr>
          <w:noProof/>
          <w:color w:val="000000"/>
          <w:highlight w:val="black"/>
        </w:rPr>
        <w:t>'''''</w:t>
      </w:r>
      <w:r w:rsidRPr="004F6657">
        <w:t xml:space="preserve">% or greater improvement in three of the four domains in the AS response questionnaire, which is equivalent to an ASAS 20 </w:t>
      </w:r>
      <w:r w:rsidR="00416E49" w:rsidRPr="004F6657">
        <w:t xml:space="preserve">(20% improvement in the Assessment of Spondyloarthritis International Society) </w:t>
      </w:r>
      <w:r w:rsidRPr="0030713F">
        <w:t>response. The submission stated</w:t>
      </w:r>
      <w:r w:rsidRPr="009672B5">
        <w:t xml:space="preserve"> that a review of five pivotal NSAID trials in patients with AS by Anderson (2001) had established ASAS 20 as the MCID. </w:t>
      </w:r>
    </w:p>
    <w:p w:rsidR="005F1741" w:rsidRPr="009672B5" w:rsidRDefault="005F1741" w:rsidP="00B03578">
      <w:pPr>
        <w:numPr>
          <w:ilvl w:val="1"/>
          <w:numId w:val="1"/>
        </w:numPr>
        <w:jc w:val="both"/>
        <w:rPr>
          <w:rFonts w:eastAsia="Times New Roman" w:cstheme="minorHAnsi"/>
          <w:snapToGrid w:val="0"/>
          <w:szCs w:val="24"/>
        </w:rPr>
      </w:pPr>
      <w:r w:rsidRPr="009672B5">
        <w:t>The PBAC previously indicated that the MCID for patients with nr-axSpA in terms of change in ASAS was unclear (</w:t>
      </w:r>
      <w:r w:rsidR="008260D8" w:rsidRPr="009672B5">
        <w:t xml:space="preserve">paragraph 7.4, </w:t>
      </w:r>
      <w:r w:rsidRPr="009672B5">
        <w:t>Etanercept, Public Summary Document, March 2015). The submission also stated that a study by Pavy (2005) in 125 patients with AS established an MCID of 10</w:t>
      </w:r>
      <w:r w:rsidR="00D95080" w:rsidRPr="009672B5">
        <w:t xml:space="preserve"> </w:t>
      </w:r>
      <w:r w:rsidRPr="009672B5">
        <w:t xml:space="preserve">mm (or a 22.5% relative change) for </w:t>
      </w:r>
      <w:r w:rsidR="008E3038" w:rsidRPr="008E3038">
        <w:t xml:space="preserve">Bath Ankylosing Spondylitis Disease Activity Index </w:t>
      </w:r>
      <w:r w:rsidR="008E3038">
        <w:t>(</w:t>
      </w:r>
      <w:r w:rsidRPr="009672B5">
        <w:t>BASDAI</w:t>
      </w:r>
      <w:r w:rsidR="008E3038">
        <w:t>)</w:t>
      </w:r>
      <w:r w:rsidRPr="009672B5">
        <w:t xml:space="preserve"> and an MCID of 0.7 units (7</w:t>
      </w:r>
      <w:r w:rsidR="00D95080" w:rsidRPr="009672B5">
        <w:t xml:space="preserve"> </w:t>
      </w:r>
      <w:r w:rsidRPr="009672B5">
        <w:t xml:space="preserve">mm or 17.5% relative change) for </w:t>
      </w:r>
      <w:r w:rsidR="00B03578">
        <w:t>Bath A</w:t>
      </w:r>
      <w:r w:rsidR="00B03578" w:rsidRPr="00B03578">
        <w:t xml:space="preserve">nkylosing </w:t>
      </w:r>
      <w:r w:rsidR="00B03578">
        <w:t>Spondylitis Functional I</w:t>
      </w:r>
      <w:r w:rsidR="00B03578" w:rsidRPr="00B03578">
        <w:t xml:space="preserve">ndex </w:t>
      </w:r>
      <w:r w:rsidR="00B03578">
        <w:t>(</w:t>
      </w:r>
      <w:r w:rsidRPr="009672B5">
        <w:t>BASFI</w:t>
      </w:r>
      <w:r w:rsidR="00B03578">
        <w:t>)</w:t>
      </w:r>
      <w:r w:rsidRPr="009672B5">
        <w:t>. While the publications cited by the submission provide some guidance on MCIDs in relation to ASAS, BASDAI and BASFI outcomes, as the patients in these studies had AS rather than nr-axSpA, it was not apparent that the same MCIDs should apply</w:t>
      </w:r>
      <w:r w:rsidRPr="009672B5">
        <w:rPr>
          <w:rFonts w:cstheme="minorHAnsi"/>
          <w:szCs w:val="24"/>
        </w:rPr>
        <w:t>.</w:t>
      </w:r>
    </w:p>
    <w:p w:rsidR="000B696A" w:rsidRPr="009672B5" w:rsidRDefault="000B696A" w:rsidP="00BB68CD">
      <w:pPr>
        <w:numPr>
          <w:ilvl w:val="1"/>
          <w:numId w:val="1"/>
        </w:numPr>
        <w:jc w:val="both"/>
        <w:rPr>
          <w:rFonts w:eastAsia="Times New Roman" w:cstheme="minorHAnsi"/>
          <w:snapToGrid w:val="0"/>
          <w:szCs w:val="24"/>
        </w:rPr>
      </w:pPr>
      <w:r w:rsidRPr="009672B5">
        <w:rPr>
          <w:rFonts w:cstheme="minorHAnsi"/>
          <w:szCs w:val="24"/>
        </w:rPr>
        <w:t xml:space="preserve">The ESC noted that while the ASAS 20 was the primary outcome measure used in GO-AHEAD, and the basis upon which the MCID was stated, the use of the BASDAI </w:t>
      </w:r>
      <w:r w:rsidR="00761F2E" w:rsidRPr="009672B5">
        <w:rPr>
          <w:rFonts w:cstheme="minorHAnsi"/>
          <w:szCs w:val="24"/>
        </w:rPr>
        <w:t xml:space="preserve">50 </w:t>
      </w:r>
      <w:r w:rsidRPr="009672B5">
        <w:rPr>
          <w:rFonts w:cstheme="minorHAnsi"/>
          <w:szCs w:val="24"/>
        </w:rPr>
        <w:t xml:space="preserve">(a secondary endpoint in the trial) better reflects the preferred clinical measure for the </w:t>
      </w:r>
      <w:r w:rsidR="003160F8" w:rsidRPr="009672B5">
        <w:rPr>
          <w:rFonts w:cstheme="minorHAnsi"/>
          <w:szCs w:val="24"/>
        </w:rPr>
        <w:t xml:space="preserve">assessment of response to treatment in </w:t>
      </w:r>
      <w:r w:rsidRPr="009672B5">
        <w:rPr>
          <w:rFonts w:cstheme="minorHAnsi"/>
          <w:szCs w:val="24"/>
        </w:rPr>
        <w:t>nr-axSpA.</w:t>
      </w:r>
      <w:r w:rsidR="002E76E9" w:rsidRPr="009672B5">
        <w:rPr>
          <w:rFonts w:cstheme="minorHAnsi"/>
          <w:szCs w:val="24"/>
        </w:rPr>
        <w:t xml:space="preserve"> It was agreed that this was the appropriate basis for the assessment of response and cost-effectiveness in this condition.</w:t>
      </w:r>
    </w:p>
    <w:p w:rsidR="005F1741" w:rsidRPr="009672B5" w:rsidRDefault="005F1741" w:rsidP="002B0C11">
      <w:pPr>
        <w:pStyle w:val="Heading2"/>
        <w:rPr>
          <w:i w:val="0"/>
        </w:rPr>
      </w:pPr>
      <w:bookmarkStart w:id="11" w:name="_Toc492522244"/>
      <w:r w:rsidRPr="009672B5">
        <w:rPr>
          <w:i w:val="0"/>
        </w:rPr>
        <w:t>Comparative effectiveness</w:t>
      </w:r>
      <w:bookmarkEnd w:id="11"/>
      <w:r w:rsidRPr="009672B5">
        <w:rPr>
          <w:i w:val="0"/>
        </w:rPr>
        <w:t xml:space="preserve"> </w:t>
      </w:r>
    </w:p>
    <w:p w:rsidR="005F1741" w:rsidRPr="009672B5" w:rsidRDefault="005F1741" w:rsidP="00BB68CD">
      <w:pPr>
        <w:numPr>
          <w:ilvl w:val="1"/>
          <w:numId w:val="1"/>
        </w:numPr>
        <w:spacing w:before="0" w:after="120"/>
        <w:jc w:val="both"/>
      </w:pPr>
      <w:r w:rsidRPr="009672B5">
        <w:t>The primary outcome of ASAS 20 from the GO-AHEAD trial for the full study population, the OSI population and the non-OSI population is reported in Table 4.</w:t>
      </w:r>
    </w:p>
    <w:p w:rsidR="00F01A40" w:rsidRDefault="00F01A40">
      <w:pPr>
        <w:spacing w:before="0" w:line="259" w:lineRule="auto"/>
        <w:rPr>
          <w:rFonts w:ascii="Arial Narrow" w:hAnsi="Arial Narrow"/>
          <w:b/>
          <w:sz w:val="20"/>
        </w:rPr>
      </w:pPr>
      <w:r>
        <w:br w:type="page"/>
      </w:r>
    </w:p>
    <w:p w:rsidR="0081641C" w:rsidRPr="009672B5" w:rsidRDefault="005F1741" w:rsidP="0081641C">
      <w:pPr>
        <w:pStyle w:val="TableHeading0"/>
        <w:jc w:val="both"/>
        <w:rPr>
          <w:b w:val="0"/>
        </w:rPr>
      </w:pPr>
      <w:r w:rsidRPr="009672B5">
        <w:lastRenderedPageBreak/>
        <w:t xml:space="preserve">Table 4: </w:t>
      </w:r>
      <w:r w:rsidR="0081641C" w:rsidRPr="009672B5">
        <w:t xml:space="preserve">GO-AHEAD Trial Part I Primary efficacy endpoint: proportion of </w:t>
      </w:r>
      <w:r w:rsidR="001A6FD2" w:rsidRPr="009672B5">
        <w:t>patients</w:t>
      </w:r>
      <w:r w:rsidR="0081641C" w:rsidRPr="009672B5">
        <w:t xml:space="preserve"> achieving ASAS 20 response (n/N (%)) at Week 16 in the whole and OSI and non-OSI populations derived from the full analysis set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76"/>
        <w:gridCol w:w="1677"/>
        <w:gridCol w:w="1677"/>
        <w:gridCol w:w="1678"/>
        <w:gridCol w:w="2374"/>
      </w:tblGrid>
      <w:tr w:rsidR="0081641C" w:rsidRPr="009672B5" w:rsidTr="008F5802">
        <w:trPr>
          <w:trHeight w:val="458"/>
        </w:trPr>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1641C" w:rsidRPr="009672B5" w:rsidRDefault="0081641C" w:rsidP="008F5802">
            <w:pPr>
              <w:pStyle w:val="TableText"/>
              <w:jc w:val="center"/>
              <w:rPr>
                <w:b/>
              </w:rPr>
            </w:pPr>
            <w:r w:rsidRPr="009672B5">
              <w:rPr>
                <w:b/>
              </w:rPr>
              <w:t xml:space="preserve">Golimumab 50mg </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1641C" w:rsidRPr="009672B5" w:rsidRDefault="0081641C" w:rsidP="008F5802">
            <w:pPr>
              <w:pStyle w:val="TableText"/>
              <w:jc w:val="center"/>
              <w:rPr>
                <w:b/>
              </w:rPr>
            </w:pPr>
            <w:r w:rsidRPr="009672B5">
              <w:rPr>
                <w:b/>
              </w:rPr>
              <w:t xml:space="preserve">Placebo </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1641C" w:rsidRPr="009672B5" w:rsidRDefault="0081641C" w:rsidP="008F5802">
            <w:pPr>
              <w:pStyle w:val="TableText"/>
              <w:jc w:val="center"/>
              <w:rPr>
                <w:b/>
              </w:rPr>
            </w:pPr>
            <w:r w:rsidRPr="009672B5">
              <w:rPr>
                <w:b/>
              </w:rPr>
              <w:t>Relative risk</w:t>
            </w:r>
          </w:p>
          <w:p w:rsidR="0081641C" w:rsidRPr="009672B5" w:rsidRDefault="0081641C" w:rsidP="008F5802">
            <w:pPr>
              <w:pStyle w:val="TableText"/>
              <w:jc w:val="center"/>
              <w:rPr>
                <w:b/>
              </w:rPr>
            </w:pPr>
            <w:r w:rsidRPr="009672B5">
              <w:rPr>
                <w:b/>
              </w:rPr>
              <w:t>(95% CI)*</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1641C" w:rsidRPr="009672B5" w:rsidRDefault="0081641C" w:rsidP="008F5802">
            <w:pPr>
              <w:pStyle w:val="TableText"/>
              <w:jc w:val="center"/>
              <w:rPr>
                <w:b/>
              </w:rPr>
            </w:pPr>
            <w:r w:rsidRPr="009672B5">
              <w:rPr>
                <w:b/>
              </w:rPr>
              <w:t>Odds ratio</w:t>
            </w:r>
          </w:p>
          <w:p w:rsidR="0081641C" w:rsidRPr="009672B5" w:rsidRDefault="0081641C" w:rsidP="008F5802">
            <w:pPr>
              <w:pStyle w:val="TableText"/>
              <w:jc w:val="center"/>
              <w:rPr>
                <w:b/>
              </w:rPr>
            </w:pPr>
            <w:r w:rsidRPr="009672B5">
              <w:rPr>
                <w:b/>
              </w:rPr>
              <w:t>(95% CI)</w:t>
            </w:r>
          </w:p>
        </w:tc>
        <w:tc>
          <w:tcPr>
            <w:tcW w:w="13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1641C" w:rsidRPr="009672B5" w:rsidRDefault="0081641C" w:rsidP="008F5802">
            <w:pPr>
              <w:pStyle w:val="TableText"/>
              <w:jc w:val="center"/>
              <w:rPr>
                <w:b/>
              </w:rPr>
            </w:pPr>
            <w:r w:rsidRPr="009672B5">
              <w:rPr>
                <w:b/>
              </w:rPr>
              <w:t>Risk difference (%)</w:t>
            </w:r>
          </w:p>
          <w:p w:rsidR="0081641C" w:rsidRPr="009672B5" w:rsidRDefault="0081641C" w:rsidP="008F5802">
            <w:pPr>
              <w:pStyle w:val="TableText"/>
              <w:jc w:val="center"/>
              <w:rPr>
                <w:b/>
              </w:rPr>
            </w:pPr>
            <w:r w:rsidRPr="009672B5">
              <w:rPr>
                <w:b/>
              </w:rPr>
              <w:t>(95% CI)</w:t>
            </w:r>
            <w:r w:rsidRPr="009672B5">
              <w:rPr>
                <w:b/>
                <w:vertAlign w:val="superscript"/>
              </w:rPr>
              <w:t>+</w:t>
            </w:r>
          </w:p>
        </w:tc>
      </w:tr>
      <w:tr w:rsidR="0081641C" w:rsidRPr="009672B5" w:rsidTr="008F5802">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81641C" w:rsidRPr="009672B5" w:rsidRDefault="0081641C" w:rsidP="008F5802">
            <w:pPr>
              <w:pStyle w:val="TableText"/>
              <w:rPr>
                <w:b/>
              </w:rPr>
            </w:pPr>
            <w:r w:rsidRPr="009672B5">
              <w:rPr>
                <w:b/>
              </w:rPr>
              <w:t>Whole population - Full analysis set</w:t>
            </w:r>
          </w:p>
        </w:tc>
      </w:tr>
      <w:tr w:rsidR="0081641C" w:rsidRPr="009672B5" w:rsidTr="008F5802">
        <w:tc>
          <w:tcPr>
            <w:tcW w:w="923" w:type="pct"/>
            <w:tcBorders>
              <w:top w:val="single" w:sz="4" w:space="0" w:color="auto"/>
              <w:left w:val="single" w:sz="4" w:space="0" w:color="auto"/>
              <w:bottom w:val="single" w:sz="4" w:space="0" w:color="auto"/>
              <w:right w:val="single" w:sz="4" w:space="0" w:color="auto"/>
            </w:tcBorders>
            <w:shd w:val="clear" w:color="auto" w:fill="auto"/>
            <w:vAlign w:val="center"/>
          </w:tcPr>
          <w:p w:rsidR="0081641C" w:rsidRPr="0092728B" w:rsidRDefault="0092728B" w:rsidP="008F5802">
            <w:pPr>
              <w:pStyle w:val="TableText"/>
              <w:jc w:val="center"/>
              <w:rPr>
                <w:highlight w:val="black"/>
              </w:rPr>
            </w:pPr>
            <w:r>
              <w:rPr>
                <w:noProof/>
                <w:color w:val="000000"/>
                <w:highlight w:val="black"/>
              </w:rPr>
              <w:t>''''''''''''' '''''''''''''''''</w:t>
            </w:r>
          </w:p>
        </w:tc>
        <w:tc>
          <w:tcPr>
            <w:tcW w:w="923" w:type="pct"/>
            <w:tcBorders>
              <w:top w:val="single" w:sz="4" w:space="0" w:color="auto"/>
              <w:left w:val="single" w:sz="4" w:space="0" w:color="auto"/>
              <w:bottom w:val="single" w:sz="4" w:space="0" w:color="auto"/>
              <w:right w:val="single" w:sz="4" w:space="0" w:color="auto"/>
            </w:tcBorders>
            <w:shd w:val="clear" w:color="auto" w:fill="auto"/>
            <w:vAlign w:val="center"/>
          </w:tcPr>
          <w:p w:rsidR="0081641C" w:rsidRPr="0092728B" w:rsidRDefault="0092728B" w:rsidP="008F5802">
            <w:pPr>
              <w:pStyle w:val="TableText"/>
              <w:jc w:val="center"/>
              <w:rPr>
                <w:highlight w:val="black"/>
              </w:rPr>
            </w:pPr>
            <w:r>
              <w:rPr>
                <w:noProof/>
                <w:color w:val="000000"/>
                <w:highlight w:val="black"/>
              </w:rPr>
              <w:t>''''''''''''''' ''''''''''''''''</w:t>
            </w:r>
          </w:p>
        </w:tc>
        <w:tc>
          <w:tcPr>
            <w:tcW w:w="923" w:type="pct"/>
            <w:tcBorders>
              <w:top w:val="single" w:sz="4" w:space="0" w:color="auto"/>
              <w:left w:val="single" w:sz="4" w:space="0" w:color="auto"/>
              <w:bottom w:val="single" w:sz="4" w:space="0" w:color="auto"/>
              <w:right w:val="single" w:sz="4" w:space="0" w:color="auto"/>
            </w:tcBorders>
            <w:shd w:val="clear" w:color="auto" w:fill="auto"/>
            <w:vAlign w:val="center"/>
          </w:tcPr>
          <w:p w:rsidR="0081641C" w:rsidRPr="0092728B" w:rsidRDefault="0092728B" w:rsidP="008F5802">
            <w:pPr>
              <w:pStyle w:val="TableText"/>
              <w:jc w:val="center"/>
              <w:rPr>
                <w:b/>
                <w:highlight w:val="black"/>
              </w:rPr>
            </w:pPr>
            <w:r>
              <w:rPr>
                <w:b/>
                <w:noProof/>
                <w:color w:val="000000"/>
                <w:highlight w:val="black"/>
              </w:rPr>
              <w:t>''''''''' ''''''''''' ''''''''''</w:t>
            </w:r>
          </w:p>
        </w:tc>
        <w:tc>
          <w:tcPr>
            <w:tcW w:w="924" w:type="pct"/>
            <w:tcBorders>
              <w:top w:val="single" w:sz="4" w:space="0" w:color="auto"/>
              <w:left w:val="single" w:sz="4" w:space="0" w:color="auto"/>
              <w:bottom w:val="single" w:sz="4" w:space="0" w:color="auto"/>
              <w:right w:val="single" w:sz="4" w:space="0" w:color="auto"/>
            </w:tcBorders>
            <w:vAlign w:val="center"/>
          </w:tcPr>
          <w:p w:rsidR="0081641C" w:rsidRPr="0092728B" w:rsidRDefault="0092728B" w:rsidP="008F5802">
            <w:pPr>
              <w:pStyle w:val="TableText"/>
              <w:jc w:val="center"/>
              <w:rPr>
                <w:b/>
                <w:highlight w:val="black"/>
              </w:rPr>
            </w:pPr>
            <w:r>
              <w:rPr>
                <w:b/>
                <w:noProof/>
                <w:color w:val="000000"/>
                <w:highlight w:val="black"/>
              </w:rPr>
              <w:t>''''''''' '''''''''' ''''''''''</w:t>
            </w:r>
          </w:p>
        </w:tc>
        <w:tc>
          <w:tcPr>
            <w:tcW w:w="1307" w:type="pct"/>
            <w:tcBorders>
              <w:top w:val="single" w:sz="4" w:space="0" w:color="auto"/>
              <w:left w:val="single" w:sz="4" w:space="0" w:color="auto"/>
              <w:bottom w:val="single" w:sz="4" w:space="0" w:color="auto"/>
              <w:right w:val="single" w:sz="4" w:space="0" w:color="auto"/>
            </w:tcBorders>
            <w:shd w:val="clear" w:color="auto" w:fill="auto"/>
            <w:vAlign w:val="center"/>
          </w:tcPr>
          <w:p w:rsidR="0081641C" w:rsidRPr="0092728B" w:rsidRDefault="00791791" w:rsidP="008F5802">
            <w:pPr>
              <w:pStyle w:val="TableText"/>
              <w:jc w:val="center"/>
            </w:pPr>
            <w:r w:rsidRPr="00FD5875">
              <w:rPr>
                <w:b/>
              </w:rPr>
              <w:t>0.</w:t>
            </w:r>
            <w:r w:rsidR="0081641C" w:rsidRPr="00FD5875">
              <w:rPr>
                <w:b/>
              </w:rPr>
              <w:t>312 (</w:t>
            </w:r>
            <w:r w:rsidRPr="00FD5875">
              <w:rPr>
                <w:b/>
              </w:rPr>
              <w:t>0.</w:t>
            </w:r>
            <w:r w:rsidR="0081641C" w:rsidRPr="00FD5875">
              <w:rPr>
                <w:b/>
              </w:rPr>
              <w:t xml:space="preserve">175, </w:t>
            </w:r>
            <w:r w:rsidRPr="00FD5875">
              <w:rPr>
                <w:b/>
              </w:rPr>
              <w:t>0.</w:t>
            </w:r>
            <w:r w:rsidR="0081641C" w:rsidRPr="00FD5875">
              <w:rPr>
                <w:b/>
              </w:rPr>
              <w:t>436)</w:t>
            </w:r>
            <w:r w:rsidR="0081641C" w:rsidRPr="00FD5875">
              <w:t>, p&lt;0.0001</w:t>
            </w:r>
          </w:p>
        </w:tc>
      </w:tr>
      <w:tr w:rsidR="0081641C" w:rsidRPr="009672B5" w:rsidTr="008F5802">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81641C" w:rsidRPr="009672B5" w:rsidRDefault="0081641C" w:rsidP="008F5802">
            <w:pPr>
              <w:pStyle w:val="TableText"/>
              <w:rPr>
                <w:b/>
              </w:rPr>
            </w:pPr>
            <w:r w:rsidRPr="009672B5">
              <w:rPr>
                <w:b/>
              </w:rPr>
              <w:t>OSI population</w:t>
            </w:r>
          </w:p>
        </w:tc>
      </w:tr>
      <w:tr w:rsidR="0081641C" w:rsidRPr="009672B5" w:rsidTr="008F5802">
        <w:tc>
          <w:tcPr>
            <w:tcW w:w="923" w:type="pct"/>
            <w:tcBorders>
              <w:top w:val="single" w:sz="4" w:space="0" w:color="auto"/>
              <w:left w:val="single" w:sz="4" w:space="0" w:color="auto"/>
              <w:bottom w:val="single" w:sz="4" w:space="0" w:color="auto"/>
              <w:right w:val="single" w:sz="4" w:space="0" w:color="auto"/>
            </w:tcBorders>
            <w:shd w:val="clear" w:color="auto" w:fill="auto"/>
            <w:vAlign w:val="center"/>
          </w:tcPr>
          <w:p w:rsidR="0081641C" w:rsidRPr="0092728B" w:rsidRDefault="0092728B" w:rsidP="008F5802">
            <w:pPr>
              <w:pStyle w:val="TableText"/>
              <w:jc w:val="center"/>
              <w:rPr>
                <w:highlight w:val="black"/>
              </w:rPr>
            </w:pPr>
            <w:r>
              <w:rPr>
                <w:noProof/>
                <w:color w:val="000000"/>
                <w:highlight w:val="black"/>
              </w:rPr>
              <w:t>''''''''''''' ''''''''''''''''''</w:t>
            </w:r>
          </w:p>
        </w:tc>
        <w:tc>
          <w:tcPr>
            <w:tcW w:w="923" w:type="pct"/>
            <w:tcBorders>
              <w:top w:val="single" w:sz="4" w:space="0" w:color="auto"/>
              <w:left w:val="single" w:sz="4" w:space="0" w:color="auto"/>
              <w:bottom w:val="single" w:sz="4" w:space="0" w:color="auto"/>
              <w:right w:val="single" w:sz="4" w:space="0" w:color="auto"/>
            </w:tcBorders>
            <w:shd w:val="clear" w:color="auto" w:fill="auto"/>
            <w:vAlign w:val="center"/>
          </w:tcPr>
          <w:p w:rsidR="0081641C" w:rsidRPr="0092728B" w:rsidRDefault="0092728B" w:rsidP="008F5802">
            <w:pPr>
              <w:pStyle w:val="TableText"/>
              <w:jc w:val="center"/>
              <w:rPr>
                <w:highlight w:val="black"/>
              </w:rPr>
            </w:pPr>
            <w:r>
              <w:rPr>
                <w:noProof/>
                <w:color w:val="000000"/>
                <w:highlight w:val="black"/>
              </w:rPr>
              <w:t>'''''''''''' ''''''''''''''''''</w:t>
            </w:r>
          </w:p>
        </w:tc>
        <w:tc>
          <w:tcPr>
            <w:tcW w:w="923" w:type="pct"/>
            <w:tcBorders>
              <w:top w:val="single" w:sz="4" w:space="0" w:color="auto"/>
              <w:left w:val="single" w:sz="4" w:space="0" w:color="auto"/>
              <w:bottom w:val="single" w:sz="4" w:space="0" w:color="auto"/>
              <w:right w:val="single" w:sz="4" w:space="0" w:color="auto"/>
            </w:tcBorders>
            <w:shd w:val="clear" w:color="auto" w:fill="auto"/>
            <w:vAlign w:val="center"/>
          </w:tcPr>
          <w:p w:rsidR="0081641C" w:rsidRPr="0092728B" w:rsidRDefault="0092728B" w:rsidP="008F5802">
            <w:pPr>
              <w:pStyle w:val="TableText"/>
              <w:jc w:val="center"/>
              <w:rPr>
                <w:b/>
                <w:highlight w:val="black"/>
              </w:rPr>
            </w:pPr>
            <w:r>
              <w:rPr>
                <w:b/>
                <w:noProof/>
                <w:color w:val="000000"/>
                <w:highlight w:val="black"/>
              </w:rPr>
              <w:t>'''''''' '''''''''' ''''''''''</w:t>
            </w:r>
          </w:p>
        </w:tc>
        <w:tc>
          <w:tcPr>
            <w:tcW w:w="924" w:type="pct"/>
            <w:tcBorders>
              <w:top w:val="single" w:sz="4" w:space="0" w:color="auto"/>
              <w:left w:val="single" w:sz="4" w:space="0" w:color="auto"/>
              <w:bottom w:val="single" w:sz="4" w:space="0" w:color="auto"/>
              <w:right w:val="single" w:sz="4" w:space="0" w:color="auto"/>
            </w:tcBorders>
            <w:vAlign w:val="center"/>
          </w:tcPr>
          <w:p w:rsidR="0081641C" w:rsidRPr="0092728B" w:rsidRDefault="0092728B" w:rsidP="008F5802">
            <w:pPr>
              <w:pStyle w:val="TableText"/>
              <w:jc w:val="center"/>
              <w:rPr>
                <w:b/>
                <w:highlight w:val="black"/>
              </w:rPr>
            </w:pPr>
            <w:r>
              <w:rPr>
                <w:b/>
                <w:noProof/>
                <w:color w:val="000000"/>
                <w:highlight w:val="black"/>
              </w:rPr>
              <w:t>''''''''' '''''''''''' '''''''''''''</w:t>
            </w:r>
          </w:p>
        </w:tc>
        <w:tc>
          <w:tcPr>
            <w:tcW w:w="1307" w:type="pct"/>
            <w:tcBorders>
              <w:top w:val="single" w:sz="4" w:space="0" w:color="auto"/>
              <w:left w:val="single" w:sz="4" w:space="0" w:color="auto"/>
              <w:bottom w:val="single" w:sz="4" w:space="0" w:color="auto"/>
              <w:right w:val="single" w:sz="4" w:space="0" w:color="auto"/>
            </w:tcBorders>
            <w:shd w:val="clear" w:color="auto" w:fill="auto"/>
            <w:vAlign w:val="center"/>
          </w:tcPr>
          <w:p w:rsidR="0081641C" w:rsidRPr="0092728B" w:rsidRDefault="00791791" w:rsidP="008F5802">
            <w:pPr>
              <w:pStyle w:val="TableText"/>
              <w:jc w:val="center"/>
            </w:pPr>
            <w:r w:rsidRPr="00FD5875">
              <w:rPr>
                <w:b/>
              </w:rPr>
              <w:t>0.</w:t>
            </w:r>
            <w:r w:rsidR="0081641C" w:rsidRPr="00FD5875">
              <w:rPr>
                <w:b/>
              </w:rPr>
              <w:t>396 (</w:t>
            </w:r>
            <w:r w:rsidRPr="00FD5875">
              <w:rPr>
                <w:b/>
              </w:rPr>
              <w:t>0.</w:t>
            </w:r>
            <w:r w:rsidR="0081641C" w:rsidRPr="00FD5875">
              <w:rPr>
                <w:b/>
              </w:rPr>
              <w:t xml:space="preserve">246, </w:t>
            </w:r>
            <w:r w:rsidRPr="00FD5875">
              <w:rPr>
                <w:b/>
              </w:rPr>
              <w:t>0.</w:t>
            </w:r>
            <w:r w:rsidR="0081641C" w:rsidRPr="00FD5875">
              <w:rPr>
                <w:b/>
              </w:rPr>
              <w:t>526)</w:t>
            </w:r>
            <w:r w:rsidR="0081641C" w:rsidRPr="00FD5875">
              <w:t>, p&lt;0.0001</w:t>
            </w:r>
          </w:p>
        </w:tc>
      </w:tr>
      <w:tr w:rsidR="0081641C" w:rsidRPr="009672B5" w:rsidTr="008F5802">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81641C" w:rsidRPr="009672B5" w:rsidRDefault="0081641C" w:rsidP="008F5802">
            <w:pPr>
              <w:pStyle w:val="TableText"/>
              <w:rPr>
                <w:b/>
              </w:rPr>
            </w:pPr>
            <w:r w:rsidRPr="009672B5">
              <w:rPr>
                <w:b/>
              </w:rPr>
              <w:t>Non-OSI population</w:t>
            </w:r>
          </w:p>
        </w:tc>
      </w:tr>
      <w:tr w:rsidR="0081641C" w:rsidRPr="009672B5" w:rsidTr="008F5802">
        <w:tc>
          <w:tcPr>
            <w:tcW w:w="923" w:type="pct"/>
            <w:tcBorders>
              <w:top w:val="single" w:sz="4" w:space="0" w:color="auto"/>
              <w:left w:val="single" w:sz="4" w:space="0" w:color="auto"/>
              <w:bottom w:val="single" w:sz="4" w:space="0" w:color="auto"/>
              <w:right w:val="single" w:sz="4" w:space="0" w:color="auto"/>
            </w:tcBorders>
            <w:shd w:val="clear" w:color="auto" w:fill="auto"/>
            <w:vAlign w:val="center"/>
          </w:tcPr>
          <w:p w:rsidR="0081641C" w:rsidRPr="0092728B" w:rsidRDefault="0092728B" w:rsidP="008F5802">
            <w:pPr>
              <w:pStyle w:val="TableText"/>
              <w:jc w:val="center"/>
              <w:rPr>
                <w:highlight w:val="black"/>
              </w:rPr>
            </w:pPr>
            <w:r>
              <w:rPr>
                <w:noProof/>
                <w:color w:val="000000"/>
                <w:highlight w:val="black"/>
              </w:rPr>
              <w:t>'''''''''' ''''''''''''''''''</w:t>
            </w:r>
          </w:p>
        </w:tc>
        <w:tc>
          <w:tcPr>
            <w:tcW w:w="923" w:type="pct"/>
            <w:tcBorders>
              <w:top w:val="single" w:sz="4" w:space="0" w:color="auto"/>
              <w:left w:val="single" w:sz="4" w:space="0" w:color="auto"/>
              <w:bottom w:val="single" w:sz="4" w:space="0" w:color="auto"/>
              <w:right w:val="single" w:sz="4" w:space="0" w:color="auto"/>
            </w:tcBorders>
            <w:shd w:val="clear" w:color="auto" w:fill="auto"/>
            <w:vAlign w:val="center"/>
          </w:tcPr>
          <w:p w:rsidR="0081641C" w:rsidRPr="0092728B" w:rsidRDefault="0092728B" w:rsidP="008F5802">
            <w:pPr>
              <w:pStyle w:val="TableText"/>
              <w:jc w:val="center"/>
              <w:rPr>
                <w:highlight w:val="black"/>
              </w:rPr>
            </w:pPr>
            <w:r>
              <w:rPr>
                <w:noProof/>
                <w:color w:val="000000"/>
                <w:highlight w:val="black"/>
              </w:rPr>
              <w:t>''''''''''''' '''''''''''''''''</w:t>
            </w:r>
          </w:p>
        </w:tc>
        <w:tc>
          <w:tcPr>
            <w:tcW w:w="923" w:type="pct"/>
            <w:tcBorders>
              <w:top w:val="single" w:sz="4" w:space="0" w:color="auto"/>
              <w:left w:val="single" w:sz="4" w:space="0" w:color="auto"/>
              <w:bottom w:val="single" w:sz="4" w:space="0" w:color="auto"/>
              <w:right w:val="single" w:sz="4" w:space="0" w:color="auto"/>
            </w:tcBorders>
            <w:shd w:val="clear" w:color="auto" w:fill="auto"/>
            <w:vAlign w:val="center"/>
          </w:tcPr>
          <w:p w:rsidR="0081641C" w:rsidRPr="0092728B" w:rsidRDefault="0092728B" w:rsidP="008F5802">
            <w:pPr>
              <w:pStyle w:val="TableText"/>
              <w:jc w:val="center"/>
              <w:rPr>
                <w:highlight w:val="black"/>
              </w:rPr>
            </w:pPr>
            <w:r>
              <w:rPr>
                <w:noProof/>
                <w:color w:val="000000"/>
                <w:highlight w:val="black"/>
              </w:rPr>
              <w:t>''''''''''' ''''''''''''''' ''''''''''''</w:t>
            </w:r>
          </w:p>
        </w:tc>
        <w:tc>
          <w:tcPr>
            <w:tcW w:w="924" w:type="pct"/>
            <w:tcBorders>
              <w:top w:val="single" w:sz="4" w:space="0" w:color="auto"/>
              <w:left w:val="single" w:sz="4" w:space="0" w:color="auto"/>
              <w:bottom w:val="single" w:sz="4" w:space="0" w:color="auto"/>
              <w:right w:val="single" w:sz="4" w:space="0" w:color="auto"/>
            </w:tcBorders>
            <w:vAlign w:val="center"/>
          </w:tcPr>
          <w:p w:rsidR="0081641C" w:rsidRPr="0092728B" w:rsidRDefault="0092728B" w:rsidP="008F5802">
            <w:pPr>
              <w:pStyle w:val="TableText"/>
              <w:jc w:val="center"/>
              <w:rPr>
                <w:highlight w:val="black"/>
              </w:rPr>
            </w:pPr>
            <w:r>
              <w:rPr>
                <w:noProof/>
                <w:color w:val="000000"/>
                <w:highlight w:val="black"/>
              </w:rPr>
              <w:t>''''''''' ''''''''''''' ''''''''''''''</w:t>
            </w:r>
          </w:p>
        </w:tc>
        <w:tc>
          <w:tcPr>
            <w:tcW w:w="1307" w:type="pct"/>
            <w:tcBorders>
              <w:top w:val="single" w:sz="4" w:space="0" w:color="auto"/>
              <w:left w:val="single" w:sz="4" w:space="0" w:color="auto"/>
              <w:bottom w:val="single" w:sz="4" w:space="0" w:color="auto"/>
              <w:right w:val="single" w:sz="4" w:space="0" w:color="auto"/>
            </w:tcBorders>
            <w:shd w:val="clear" w:color="auto" w:fill="auto"/>
            <w:vAlign w:val="center"/>
          </w:tcPr>
          <w:p w:rsidR="0081641C" w:rsidRPr="0092728B" w:rsidRDefault="0092728B" w:rsidP="008F5802">
            <w:pPr>
              <w:pStyle w:val="TableText"/>
              <w:jc w:val="center"/>
              <w:rPr>
                <w:highlight w:val="black"/>
              </w:rPr>
            </w:pPr>
            <w:r>
              <w:rPr>
                <w:noProof/>
                <w:color w:val="000000"/>
                <w:highlight w:val="black"/>
              </w:rPr>
              <w:t>'''''''''''''' ''''''''''''''''' '''''''''''''''' ''''''''''''''''''''</w:t>
            </w:r>
          </w:p>
        </w:tc>
      </w:tr>
      <w:tr w:rsidR="0081641C" w:rsidRPr="009672B5" w:rsidTr="008F5802">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81641C" w:rsidRPr="009672B5" w:rsidRDefault="0081641C" w:rsidP="008F5802">
            <w:pPr>
              <w:pStyle w:val="TableText"/>
              <w:rPr>
                <w:vertAlign w:val="superscript"/>
              </w:rPr>
            </w:pPr>
            <w:r w:rsidRPr="009672B5">
              <w:t>Test for interaction (OSI v non-OSI)</w:t>
            </w:r>
            <w:r w:rsidRPr="009672B5">
              <w:rPr>
                <w:vertAlign w:val="superscript"/>
              </w:rPr>
              <w:t>a</w:t>
            </w:r>
          </w:p>
        </w:tc>
        <w:tc>
          <w:tcPr>
            <w:tcW w:w="923" w:type="pct"/>
            <w:tcBorders>
              <w:top w:val="single" w:sz="4" w:space="0" w:color="auto"/>
              <w:left w:val="single" w:sz="4" w:space="0" w:color="auto"/>
              <w:bottom w:val="single" w:sz="4" w:space="0" w:color="auto"/>
              <w:right w:val="single" w:sz="4" w:space="0" w:color="auto"/>
            </w:tcBorders>
            <w:shd w:val="clear" w:color="auto" w:fill="auto"/>
            <w:vAlign w:val="center"/>
          </w:tcPr>
          <w:p w:rsidR="0081641C" w:rsidRPr="0092728B" w:rsidRDefault="0092728B" w:rsidP="008F5802">
            <w:pPr>
              <w:pStyle w:val="TableText"/>
              <w:jc w:val="center"/>
              <w:rPr>
                <w:b/>
                <w:highlight w:val="black"/>
              </w:rPr>
            </w:pPr>
            <w:r>
              <w:rPr>
                <w:b/>
                <w:noProof/>
                <w:color w:val="000000"/>
                <w:highlight w:val="black"/>
              </w:rPr>
              <w:t>'''''''''''''''</w:t>
            </w:r>
          </w:p>
        </w:tc>
        <w:tc>
          <w:tcPr>
            <w:tcW w:w="924" w:type="pct"/>
            <w:tcBorders>
              <w:top w:val="single" w:sz="4" w:space="0" w:color="auto"/>
              <w:left w:val="single" w:sz="4" w:space="0" w:color="auto"/>
              <w:bottom w:val="single" w:sz="4" w:space="0" w:color="auto"/>
              <w:right w:val="single" w:sz="4" w:space="0" w:color="auto"/>
            </w:tcBorders>
            <w:vAlign w:val="center"/>
          </w:tcPr>
          <w:p w:rsidR="0081641C" w:rsidRPr="0092728B" w:rsidRDefault="0092728B" w:rsidP="008F5802">
            <w:pPr>
              <w:pStyle w:val="TableText"/>
              <w:jc w:val="center"/>
              <w:rPr>
                <w:b/>
                <w:highlight w:val="black"/>
              </w:rPr>
            </w:pPr>
            <w:r>
              <w:rPr>
                <w:b/>
                <w:noProof/>
                <w:color w:val="000000"/>
                <w:highlight w:val="black"/>
              </w:rPr>
              <w:t>'''''''''''''''</w:t>
            </w:r>
          </w:p>
        </w:tc>
        <w:tc>
          <w:tcPr>
            <w:tcW w:w="1307" w:type="pct"/>
            <w:tcBorders>
              <w:top w:val="single" w:sz="4" w:space="0" w:color="auto"/>
              <w:left w:val="single" w:sz="4" w:space="0" w:color="auto"/>
              <w:bottom w:val="single" w:sz="4" w:space="0" w:color="auto"/>
              <w:right w:val="single" w:sz="4" w:space="0" w:color="auto"/>
            </w:tcBorders>
            <w:shd w:val="clear" w:color="auto" w:fill="auto"/>
            <w:vAlign w:val="center"/>
          </w:tcPr>
          <w:p w:rsidR="0081641C" w:rsidRPr="0092728B" w:rsidRDefault="0092728B" w:rsidP="008F5802">
            <w:pPr>
              <w:pStyle w:val="TableText"/>
              <w:jc w:val="center"/>
              <w:rPr>
                <w:b/>
                <w:highlight w:val="black"/>
              </w:rPr>
            </w:pPr>
            <w:r>
              <w:rPr>
                <w:b/>
                <w:noProof/>
                <w:color w:val="000000"/>
                <w:highlight w:val="black"/>
              </w:rPr>
              <w:t>''''''''''''''''''</w:t>
            </w:r>
          </w:p>
        </w:tc>
      </w:tr>
    </w:tbl>
    <w:p w:rsidR="0081641C" w:rsidRPr="009672B5" w:rsidRDefault="0081641C" w:rsidP="00595033">
      <w:pPr>
        <w:pStyle w:val="V50Instructions"/>
        <w:tabs>
          <w:tab w:val="left" w:pos="284"/>
        </w:tabs>
        <w:spacing w:before="0" w:after="0"/>
        <w:ind w:left="284" w:hanging="284"/>
        <w:rPr>
          <w:rFonts w:ascii="Arial Narrow" w:hAnsi="Arial Narrow"/>
          <w:color w:val="auto"/>
          <w:sz w:val="18"/>
          <w:szCs w:val="18"/>
        </w:rPr>
      </w:pPr>
      <w:r w:rsidRPr="009672B5">
        <w:rPr>
          <w:rFonts w:ascii="Arial Narrow" w:hAnsi="Arial Narrow"/>
          <w:color w:val="auto"/>
          <w:sz w:val="18"/>
          <w:szCs w:val="18"/>
        </w:rPr>
        <w:t>*</w:t>
      </w:r>
      <w:r w:rsidRPr="009672B5">
        <w:rPr>
          <w:rFonts w:ascii="Arial Narrow" w:hAnsi="Arial Narrow"/>
          <w:color w:val="auto"/>
          <w:sz w:val="18"/>
          <w:szCs w:val="18"/>
        </w:rPr>
        <w:tab/>
        <w:t>Relative risk with 95%CI were as calculated in this submission using the Newcombe-Wilson method without continuity correction (Newcombe, 1998).</w:t>
      </w:r>
    </w:p>
    <w:p w:rsidR="0081641C" w:rsidRPr="009672B5" w:rsidRDefault="0081641C" w:rsidP="00595033">
      <w:pPr>
        <w:pStyle w:val="V50Instructions"/>
        <w:tabs>
          <w:tab w:val="left" w:pos="284"/>
        </w:tabs>
        <w:spacing w:before="0" w:after="0"/>
        <w:ind w:left="284" w:hanging="284"/>
        <w:rPr>
          <w:rFonts w:ascii="Arial Narrow" w:hAnsi="Arial Narrow"/>
          <w:color w:val="auto"/>
          <w:sz w:val="18"/>
          <w:szCs w:val="18"/>
        </w:rPr>
      </w:pPr>
      <w:r w:rsidRPr="009672B5">
        <w:rPr>
          <w:rFonts w:ascii="Arial Narrow" w:hAnsi="Arial Narrow"/>
          <w:color w:val="auto"/>
          <w:sz w:val="18"/>
          <w:szCs w:val="18"/>
        </w:rPr>
        <w:t>+</w:t>
      </w:r>
      <w:r w:rsidRPr="009672B5">
        <w:rPr>
          <w:rFonts w:ascii="Arial Narrow" w:hAnsi="Arial Narrow"/>
          <w:color w:val="auto"/>
          <w:sz w:val="18"/>
          <w:szCs w:val="18"/>
        </w:rPr>
        <w:tab/>
        <w:t>Derived based on the stratified Miettinen and Nurminen method with baseline evidence of sacroiliitis on MRI (yes or no) and screening CRP level (≤ upper limit of normal or &gt; upper limit of normal) as stratification factors.</w:t>
      </w:r>
    </w:p>
    <w:p w:rsidR="0081641C" w:rsidRPr="009672B5" w:rsidRDefault="0081641C" w:rsidP="00595033">
      <w:pPr>
        <w:pStyle w:val="V50Instructions"/>
        <w:tabs>
          <w:tab w:val="left" w:pos="284"/>
        </w:tabs>
        <w:spacing w:before="0" w:after="0"/>
        <w:ind w:left="284" w:hanging="284"/>
        <w:rPr>
          <w:rFonts w:ascii="Arial Narrow" w:hAnsi="Arial Narrow"/>
          <w:color w:val="auto"/>
          <w:sz w:val="18"/>
          <w:szCs w:val="18"/>
        </w:rPr>
      </w:pPr>
      <w:r w:rsidRPr="009672B5">
        <w:rPr>
          <w:rFonts w:ascii="Arial Narrow" w:hAnsi="Arial Narrow"/>
          <w:color w:val="auto"/>
          <w:sz w:val="18"/>
          <w:szCs w:val="18"/>
          <w:vertAlign w:val="superscript"/>
        </w:rPr>
        <w:t>a</w:t>
      </w:r>
      <w:r w:rsidRPr="009672B5">
        <w:rPr>
          <w:rFonts w:ascii="Arial Narrow" w:hAnsi="Arial Narrow"/>
          <w:color w:val="auto"/>
          <w:sz w:val="18"/>
          <w:szCs w:val="18"/>
        </w:rPr>
        <w:tab/>
        <w:t>conducted during the evaluation</w:t>
      </w:r>
    </w:p>
    <w:p w:rsidR="0081641C" w:rsidRPr="009672B5" w:rsidRDefault="0081641C" w:rsidP="0081641C">
      <w:pPr>
        <w:pStyle w:val="V50Instructions"/>
        <w:spacing w:before="0" w:after="0"/>
        <w:rPr>
          <w:rFonts w:ascii="Arial Narrow" w:hAnsi="Arial Narrow"/>
          <w:color w:val="auto"/>
          <w:sz w:val="18"/>
          <w:szCs w:val="18"/>
        </w:rPr>
      </w:pPr>
      <w:r w:rsidRPr="009672B5">
        <w:rPr>
          <w:rFonts w:ascii="Arial Narrow" w:hAnsi="Arial Narrow"/>
          <w:color w:val="auto"/>
          <w:sz w:val="18"/>
          <w:szCs w:val="18"/>
        </w:rPr>
        <w:t>ASAS 20 = Ankylosing Spondylitis Disease Activity Score; CI = confidence interval; OSI = objective signs of inflammation</w:t>
      </w:r>
    </w:p>
    <w:p w:rsidR="00391B19" w:rsidRPr="009672B5" w:rsidRDefault="00391B19" w:rsidP="00391B19">
      <w:pPr>
        <w:widowControl w:val="0"/>
        <w:spacing w:before="0" w:after="120"/>
        <w:contextualSpacing/>
        <w:jc w:val="both"/>
        <w:rPr>
          <w:rFonts w:ascii="Arial Narrow" w:eastAsia="Times New Roman" w:hAnsi="Arial Narrow" w:cs="Arial"/>
          <w:b/>
          <w:snapToGrid w:val="0"/>
          <w:sz w:val="18"/>
          <w:szCs w:val="20"/>
        </w:rPr>
      </w:pPr>
      <w:r w:rsidRPr="009672B5">
        <w:rPr>
          <w:rFonts w:ascii="Arial Narrow" w:eastAsia="Times New Roman" w:hAnsi="Arial Narrow" w:cs="Arial"/>
          <w:snapToGrid w:val="0"/>
          <w:sz w:val="18"/>
          <w:szCs w:val="20"/>
        </w:rPr>
        <w:t>Bold typography indicates statistically significant differences</w:t>
      </w:r>
    </w:p>
    <w:p w:rsidR="005F1741" w:rsidRPr="009672B5" w:rsidRDefault="0081641C" w:rsidP="0081641C">
      <w:pPr>
        <w:keepNext/>
        <w:spacing w:before="0" w:after="60"/>
        <w:rPr>
          <w:rFonts w:ascii="Arial Narrow" w:eastAsia="Times New Roman" w:hAnsi="Arial Narrow" w:cs="Arial"/>
          <w:snapToGrid w:val="0"/>
          <w:sz w:val="18"/>
          <w:szCs w:val="20"/>
        </w:rPr>
      </w:pPr>
      <w:r w:rsidRPr="009672B5">
        <w:rPr>
          <w:rFonts w:ascii="Arial Narrow" w:hAnsi="Arial Narrow"/>
          <w:sz w:val="18"/>
          <w:szCs w:val="18"/>
        </w:rPr>
        <w:t>Source: Table 2.6.1, p115 of the submission</w:t>
      </w:r>
    </w:p>
    <w:p w:rsidR="0081641C" w:rsidRPr="009672B5" w:rsidRDefault="005F1741" w:rsidP="00BB68CD">
      <w:pPr>
        <w:numPr>
          <w:ilvl w:val="1"/>
          <w:numId w:val="1"/>
        </w:numPr>
        <w:spacing w:before="0" w:after="120"/>
        <w:jc w:val="both"/>
      </w:pPr>
      <w:r w:rsidRPr="009672B5">
        <w:t xml:space="preserve">The GO-AHEAD trial reported a statistically significant difference in the proportion of patients who achieved ASAS 20 response at Week 16 in the full study population, with a risk difference of </w:t>
      </w:r>
      <w:r w:rsidR="0091217A" w:rsidRPr="009672B5">
        <w:t>31.2</w:t>
      </w:r>
      <w:r w:rsidR="0081641C" w:rsidRPr="009672B5">
        <w:t>%</w:t>
      </w:r>
      <w:r w:rsidRPr="009672B5">
        <w:t xml:space="preserve"> (95% CI: </w:t>
      </w:r>
      <w:r w:rsidR="0081641C" w:rsidRPr="009672B5">
        <w:t>17.5%</w:t>
      </w:r>
      <w:r w:rsidRPr="009672B5">
        <w:t xml:space="preserve">, </w:t>
      </w:r>
      <w:r w:rsidR="0081641C" w:rsidRPr="009672B5">
        <w:t>43.6%</w:t>
      </w:r>
      <w:r w:rsidRPr="009672B5">
        <w:t xml:space="preserve">; p&lt;0.0001). </w:t>
      </w:r>
    </w:p>
    <w:p w:rsidR="005F1741" w:rsidRDefault="005F1741" w:rsidP="00BB68CD">
      <w:pPr>
        <w:numPr>
          <w:ilvl w:val="1"/>
          <w:numId w:val="1"/>
        </w:numPr>
        <w:spacing w:before="0" w:after="120"/>
        <w:jc w:val="both"/>
      </w:pPr>
      <w:r w:rsidRPr="009672B5">
        <w:t xml:space="preserve">The risk difference was higher for the OSI population at </w:t>
      </w:r>
      <w:r w:rsidR="0081641C" w:rsidRPr="009672B5">
        <w:t>39.6%</w:t>
      </w:r>
      <w:r w:rsidRPr="009672B5">
        <w:t xml:space="preserve"> (95% CI: </w:t>
      </w:r>
      <w:r w:rsidR="0081641C" w:rsidRPr="009672B5">
        <w:t>24.6%</w:t>
      </w:r>
      <w:r w:rsidRPr="009672B5">
        <w:t xml:space="preserve">, </w:t>
      </w:r>
      <w:r w:rsidR="0081641C" w:rsidRPr="009672B5">
        <w:t>52.6%</w:t>
      </w:r>
      <w:r w:rsidRPr="009672B5">
        <w:t>)</w:t>
      </w:r>
      <w:r w:rsidR="00841326" w:rsidRPr="009672B5">
        <w:t xml:space="preserve">, </w:t>
      </w:r>
      <w:r w:rsidR="0091217A" w:rsidRPr="009672B5">
        <w:t xml:space="preserve">although </w:t>
      </w:r>
      <w:r w:rsidRPr="009672B5">
        <w:t>the analysis was not adjusted for multiplicity</w:t>
      </w:r>
      <w:r w:rsidR="00841326" w:rsidRPr="009672B5">
        <w:t>.</w:t>
      </w:r>
      <w:r w:rsidRPr="009672B5">
        <w:t xml:space="preserve"> A test for interaction was conducted during the evaluation and this demonstrated that the presence of OSI may be a treatment effect modifier. However, it should be noted that the non-OSI population was small and the lack of a difference in treatment effect observed between the treatment groups may have occurred as a result of lack of power, rather than a lack (or at the very least a dimi</w:t>
      </w:r>
      <w:r w:rsidR="00391B19" w:rsidRPr="009672B5">
        <w:t>ni</w:t>
      </w:r>
      <w:r w:rsidRPr="009672B5">
        <w:t>shed) treatment effect. This would affect the results of the test for interaction.</w:t>
      </w:r>
    </w:p>
    <w:p w:rsidR="00014586" w:rsidRDefault="00014586" w:rsidP="008C7FD4">
      <w:pPr>
        <w:pStyle w:val="ListParagraph"/>
        <w:numPr>
          <w:ilvl w:val="1"/>
          <w:numId w:val="1"/>
        </w:numPr>
        <w:spacing w:before="0" w:after="120"/>
        <w:jc w:val="both"/>
      </w:pPr>
      <w:r>
        <w:t xml:space="preserve">Further, the PBAC noted </w:t>
      </w:r>
      <w:r w:rsidR="00507147">
        <w:t xml:space="preserve">the </w:t>
      </w:r>
      <w:r>
        <w:t>results of other subgroup analyses conducted in the GO-AHEAD trial for the outcome of ASAS 20 response at Week 16</w:t>
      </w:r>
      <w:r w:rsidR="00AB6C8A">
        <w:t xml:space="preserve"> (shown in Figure 1)</w:t>
      </w:r>
      <w:r>
        <w:t>. These</w:t>
      </w:r>
      <w:r w:rsidR="00507147">
        <w:t xml:space="preserve"> results need to be interpreted with caution as: (i) these</w:t>
      </w:r>
      <w:r>
        <w:t xml:space="preserve"> subgroup analyses were not pre-specified so randomisation was not stratified</w:t>
      </w:r>
      <w:r w:rsidR="00507147">
        <w:t xml:space="preserve"> for these characteristics; (ii) </w:t>
      </w:r>
      <w:r w:rsidR="00507147" w:rsidRPr="00507147">
        <w:t xml:space="preserve">no adjustment for multiplicity </w:t>
      </w:r>
      <w:r w:rsidR="00507147">
        <w:t>was</w:t>
      </w:r>
      <w:r w:rsidR="00507147" w:rsidRPr="00507147">
        <w:t xml:space="preserve"> applied to the subgroup analyses</w:t>
      </w:r>
      <w:r w:rsidR="00625569">
        <w:t>;</w:t>
      </w:r>
      <w:r w:rsidR="00507147" w:rsidRPr="00507147">
        <w:t xml:space="preserve"> and (iii) </w:t>
      </w:r>
      <w:r w:rsidR="00625569">
        <w:t>many of the subgroups were informed by low patient numbers</w:t>
      </w:r>
      <w:r w:rsidR="00507147" w:rsidRPr="00507147">
        <w:t>.</w:t>
      </w:r>
      <w:r w:rsidR="00507147">
        <w:t xml:space="preserve">  </w:t>
      </w:r>
    </w:p>
    <w:p w:rsidR="00014586" w:rsidRDefault="00014586" w:rsidP="009A036F">
      <w:pPr>
        <w:pStyle w:val="TableFooter"/>
        <w:keepNext/>
        <w:keepLines/>
        <w:rPr>
          <w:b/>
          <w:sz w:val="20"/>
        </w:rPr>
      </w:pPr>
      <w:r w:rsidRPr="003970A3">
        <w:rPr>
          <w:b/>
          <w:sz w:val="20"/>
        </w:rPr>
        <w:lastRenderedPageBreak/>
        <w:t xml:space="preserve">Figure </w:t>
      </w:r>
      <w:r w:rsidR="00AB6C8A">
        <w:rPr>
          <w:b/>
          <w:sz w:val="20"/>
        </w:rPr>
        <w:t>1</w:t>
      </w:r>
      <w:r>
        <w:rPr>
          <w:b/>
          <w:sz w:val="20"/>
        </w:rPr>
        <w:t>:</w:t>
      </w:r>
      <w:r w:rsidRPr="003970A3">
        <w:rPr>
          <w:b/>
          <w:sz w:val="20"/>
        </w:rPr>
        <w:t xml:space="preserve"> </w:t>
      </w:r>
      <w:r>
        <w:rPr>
          <w:b/>
          <w:sz w:val="20"/>
        </w:rPr>
        <w:t>Difference in Percent ASAS 20 Responder Status at Week 16 by Baseline Factors</w:t>
      </w:r>
    </w:p>
    <w:p w:rsidR="00014586" w:rsidRPr="003970A3" w:rsidRDefault="0092728B" w:rsidP="009A036F">
      <w:pPr>
        <w:pStyle w:val="TableFooter"/>
        <w:keepNext/>
        <w:keepLines/>
        <w:rPr>
          <w:b/>
          <w:sz w:val="20"/>
        </w:rPr>
      </w:pPr>
      <w:r>
        <w:rPr>
          <w:b/>
          <w:noProof/>
          <w:snapToGrid/>
          <w:sz w:val="20"/>
          <w:lang w:eastAsia="en-AU"/>
        </w:rPr>
        <w:drawing>
          <wp:inline distT="0" distB="0" distL="0" distR="0">
            <wp:extent cx="4073525" cy="3728720"/>
            <wp:effectExtent l="0" t="0" r="3175" b="508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073525" cy="3728720"/>
                    </a:xfrm>
                    <a:prstGeom prst="rect">
                      <a:avLst/>
                    </a:prstGeom>
                  </pic:spPr>
                </pic:pic>
              </a:graphicData>
            </a:graphic>
          </wp:inline>
        </w:drawing>
      </w:r>
    </w:p>
    <w:p w:rsidR="00014586" w:rsidRPr="00EE110E" w:rsidRDefault="00014586" w:rsidP="009A036F">
      <w:pPr>
        <w:pStyle w:val="TableFooter"/>
        <w:keepNext/>
        <w:keepLines/>
      </w:pPr>
      <w:r>
        <w:t>Source: Figure 11-4, p173 of the 24-week Clinical Study Report (page 6.04.COM.95 of the commentary)</w:t>
      </w:r>
    </w:p>
    <w:p w:rsidR="00507147" w:rsidRPr="00814099" w:rsidRDefault="00507147" w:rsidP="00814099">
      <w:pPr>
        <w:numPr>
          <w:ilvl w:val="1"/>
          <w:numId w:val="1"/>
        </w:numPr>
        <w:spacing w:before="0" w:after="120"/>
        <w:jc w:val="both"/>
      </w:pPr>
      <w:r>
        <w:t xml:space="preserve">Noting the caveats outlined above, </w:t>
      </w:r>
      <w:r w:rsidR="00B31955">
        <w:t xml:space="preserve">particularly the lack of power in the subgroup analysis, </w:t>
      </w:r>
      <w:r>
        <w:t xml:space="preserve">the </w:t>
      </w:r>
      <w:r w:rsidRPr="00814099">
        <w:t xml:space="preserve">PBAC considered that these results tended to suggest that patients </w:t>
      </w:r>
      <w:r w:rsidR="00814099" w:rsidRPr="00814099">
        <w:t>with evidence of sacroiliitis on MRI and</w:t>
      </w:r>
      <w:r w:rsidR="00456150">
        <w:t>/or</w:t>
      </w:r>
      <w:r w:rsidR="00814099" w:rsidRPr="00814099">
        <w:t xml:space="preserve"> </w:t>
      </w:r>
      <w:r w:rsidRPr="00814099">
        <w:t xml:space="preserve">with elevated CRP may have </w:t>
      </w:r>
      <w:r w:rsidR="00814099" w:rsidRPr="008C7FD4">
        <w:t xml:space="preserve">a greater likelihood of </w:t>
      </w:r>
      <w:r w:rsidRPr="00814099">
        <w:t xml:space="preserve">response to golimumab. </w:t>
      </w:r>
    </w:p>
    <w:p w:rsidR="005F1741" w:rsidRPr="009672B5" w:rsidRDefault="00D36728" w:rsidP="00BB68CD">
      <w:pPr>
        <w:numPr>
          <w:ilvl w:val="1"/>
          <w:numId w:val="1"/>
        </w:numPr>
        <w:spacing w:before="0" w:after="120"/>
        <w:jc w:val="both"/>
      </w:pPr>
      <w:r w:rsidRPr="009672B5">
        <w:t xml:space="preserve">ASAS 20 response was assessed at the end of Week 52 for the whole study population. Response was maintained in the golimumab treatment group with </w:t>
      </w:r>
      <w:r w:rsidR="0092728B">
        <w:rPr>
          <w:noProof/>
          <w:color w:val="000000"/>
          <w:highlight w:val="black"/>
        </w:rPr>
        <w:t>'''''''''''</w:t>
      </w:r>
      <w:r w:rsidRPr="009672B5">
        <w:t xml:space="preserve"> responders (</w:t>
      </w:r>
      <w:r w:rsidR="0092728B">
        <w:rPr>
          <w:noProof/>
          <w:color w:val="000000"/>
          <w:highlight w:val="black"/>
        </w:rPr>
        <w:t>''''''''</w:t>
      </w:r>
      <w:r w:rsidRPr="009672B5">
        <w:t xml:space="preserve">%). For the placebo group who were treated with golimumab from Week 16, the response rate increased from </w:t>
      </w:r>
      <w:r w:rsidR="0092728B">
        <w:rPr>
          <w:noProof/>
          <w:color w:val="000000"/>
          <w:highlight w:val="black"/>
        </w:rPr>
        <w:t>''''''''''''''</w:t>
      </w:r>
      <w:r w:rsidRPr="009672B5">
        <w:t xml:space="preserve"> (</w:t>
      </w:r>
      <w:r w:rsidR="0092728B">
        <w:rPr>
          <w:noProof/>
          <w:color w:val="000000"/>
          <w:highlight w:val="black"/>
        </w:rPr>
        <w:t>''''''''</w:t>
      </w:r>
      <w:r w:rsidRPr="009672B5">
        <w:t xml:space="preserve">%) at Week 16 to </w:t>
      </w:r>
      <w:r w:rsidR="0092728B">
        <w:rPr>
          <w:noProof/>
          <w:color w:val="000000"/>
          <w:highlight w:val="black"/>
        </w:rPr>
        <w:t>'''''''''''</w:t>
      </w:r>
      <w:r w:rsidRPr="009672B5">
        <w:t xml:space="preserve"> (</w:t>
      </w:r>
      <w:r w:rsidR="0092728B">
        <w:rPr>
          <w:noProof/>
          <w:color w:val="000000"/>
          <w:highlight w:val="black"/>
        </w:rPr>
        <w:t>''''''''</w:t>
      </w:r>
      <w:r w:rsidRPr="009672B5">
        <w:t>%) at the end of Week 52.</w:t>
      </w:r>
    </w:p>
    <w:p w:rsidR="00391B19" w:rsidRPr="009672B5" w:rsidRDefault="005F1741" w:rsidP="00BB68CD">
      <w:pPr>
        <w:numPr>
          <w:ilvl w:val="1"/>
          <w:numId w:val="1"/>
        </w:numPr>
        <w:spacing w:before="0" w:after="120"/>
        <w:jc w:val="both"/>
      </w:pPr>
      <w:r w:rsidRPr="009672B5">
        <w:t xml:space="preserve">The submission presented key secondary outcomes from GO-AHEAD, including ASAS 40, BASDAI 50, ASAS partial remission and SPARCC MRI SI (Spondyloarthritis Research Consortium of Canada magnetic resonance imaging index for sacroiliac joint inflammation) joints score as well as a number of other outcomes including BASFI and EuroQol 5D health questionnaire scores. </w:t>
      </w:r>
    </w:p>
    <w:p w:rsidR="005F1741" w:rsidRPr="009672B5" w:rsidRDefault="005F1741" w:rsidP="00BB68CD">
      <w:pPr>
        <w:numPr>
          <w:ilvl w:val="1"/>
          <w:numId w:val="1"/>
        </w:numPr>
        <w:spacing w:before="0" w:after="120"/>
        <w:jc w:val="both"/>
      </w:pPr>
      <w:r w:rsidRPr="009672B5">
        <w:t xml:space="preserve">The proportion of BASDAI 50 responders at Week 16 in the OSI population were used to define the proportion of baseline responders in each treatment group in the economic evaluation. Baseline utility values were obtained from the GO-AHEAD trial, and the economic model then mapped utilities based on a regression equation linking EQ-5D utility values to BASDAI and BASFI scores. Results for BASDAI 50 are detailed </w:t>
      </w:r>
      <w:r w:rsidR="009220D7" w:rsidRPr="009672B5">
        <w:t>in Table 5</w:t>
      </w:r>
      <w:r w:rsidR="00A9641C" w:rsidRPr="009672B5">
        <w:t xml:space="preserve"> </w:t>
      </w:r>
      <w:r w:rsidRPr="009672B5">
        <w:t>below.</w:t>
      </w:r>
    </w:p>
    <w:p w:rsidR="005F1741" w:rsidRPr="009672B5" w:rsidRDefault="005F1741" w:rsidP="005F1741">
      <w:pPr>
        <w:keepNext/>
        <w:spacing w:before="0" w:after="60"/>
        <w:rPr>
          <w:rFonts w:ascii="Arial Narrow" w:hAnsi="Arial Narrow"/>
          <w:b/>
          <w:sz w:val="20"/>
        </w:rPr>
      </w:pPr>
      <w:r w:rsidRPr="009672B5">
        <w:rPr>
          <w:rFonts w:ascii="Arial Narrow" w:hAnsi="Arial Narrow"/>
          <w:b/>
          <w:sz w:val="20"/>
        </w:rPr>
        <w:lastRenderedPageBreak/>
        <w:t>Table 5: GO-AHEAD Trial Part I: BASDAI 50 endpoint</w:t>
      </w:r>
      <w:r w:rsidR="00EC7ECB" w:rsidRPr="009672B5">
        <w:rPr>
          <w:rFonts w:ascii="Arial Narrow" w:hAnsi="Arial Narrow"/>
          <w:b/>
          <w:sz w:val="20"/>
        </w:rPr>
        <w:t xml:space="preserve"> at 16 weeks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69"/>
        <w:gridCol w:w="2069"/>
        <w:gridCol w:w="2472"/>
        <w:gridCol w:w="2472"/>
      </w:tblGrid>
      <w:tr w:rsidR="00391B19" w:rsidRPr="009672B5" w:rsidTr="00391B19">
        <w:trPr>
          <w:trHeight w:val="458"/>
        </w:trPr>
        <w:tc>
          <w:tcPr>
            <w:tcW w:w="11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1B19" w:rsidRPr="009672B5" w:rsidRDefault="00391B19" w:rsidP="00391B19">
            <w:pPr>
              <w:pStyle w:val="TableText"/>
              <w:jc w:val="center"/>
              <w:rPr>
                <w:b/>
              </w:rPr>
            </w:pPr>
            <w:r w:rsidRPr="009672B5">
              <w:rPr>
                <w:b/>
              </w:rPr>
              <w:t>Golimumab 50mg</w:t>
            </w:r>
          </w:p>
          <w:p w:rsidR="00391B19" w:rsidRPr="009672B5" w:rsidRDefault="00391B19" w:rsidP="00391B19">
            <w:pPr>
              <w:pStyle w:val="TableText"/>
              <w:jc w:val="center"/>
              <w:rPr>
                <w:b/>
              </w:rPr>
            </w:pPr>
            <w:r w:rsidRPr="009672B5">
              <w:rPr>
                <w:b/>
              </w:rPr>
              <w:t>n/N (%)</w:t>
            </w:r>
          </w:p>
        </w:tc>
        <w:tc>
          <w:tcPr>
            <w:tcW w:w="11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1B19" w:rsidRPr="009672B5" w:rsidRDefault="00391B19" w:rsidP="00391B19">
            <w:pPr>
              <w:pStyle w:val="TableText"/>
              <w:jc w:val="center"/>
              <w:rPr>
                <w:b/>
              </w:rPr>
            </w:pPr>
            <w:r w:rsidRPr="009672B5">
              <w:rPr>
                <w:b/>
              </w:rPr>
              <w:t>Placebo</w:t>
            </w:r>
          </w:p>
          <w:p w:rsidR="00391B19" w:rsidRPr="009672B5" w:rsidRDefault="00391B19" w:rsidP="00391B19">
            <w:pPr>
              <w:pStyle w:val="TableText"/>
              <w:jc w:val="center"/>
              <w:rPr>
                <w:b/>
              </w:rPr>
            </w:pPr>
            <w:r w:rsidRPr="009672B5">
              <w:rPr>
                <w:b/>
              </w:rPr>
              <w:t>n/N (%)</w:t>
            </w:r>
          </w:p>
        </w:tc>
        <w:tc>
          <w:tcPr>
            <w:tcW w:w="13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1B19" w:rsidRPr="009672B5" w:rsidRDefault="00391B19" w:rsidP="00391B19">
            <w:pPr>
              <w:pStyle w:val="TableText"/>
              <w:jc w:val="center"/>
              <w:rPr>
                <w:b/>
              </w:rPr>
            </w:pPr>
            <w:r w:rsidRPr="009672B5">
              <w:rPr>
                <w:b/>
              </w:rPr>
              <w:t>Relative risk</w:t>
            </w:r>
          </w:p>
          <w:p w:rsidR="00391B19" w:rsidRPr="009672B5" w:rsidRDefault="00391B19" w:rsidP="00391B19">
            <w:pPr>
              <w:pStyle w:val="TableText"/>
              <w:jc w:val="center"/>
              <w:rPr>
                <w:b/>
              </w:rPr>
            </w:pPr>
            <w:r w:rsidRPr="009672B5">
              <w:rPr>
                <w:b/>
              </w:rPr>
              <w:t>(95% CI)*</w:t>
            </w:r>
          </w:p>
        </w:tc>
        <w:tc>
          <w:tcPr>
            <w:tcW w:w="13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1B19" w:rsidRPr="009672B5" w:rsidRDefault="00391B19" w:rsidP="00391B19">
            <w:pPr>
              <w:pStyle w:val="TableText"/>
              <w:jc w:val="center"/>
              <w:rPr>
                <w:b/>
              </w:rPr>
            </w:pPr>
            <w:r w:rsidRPr="009672B5">
              <w:rPr>
                <w:b/>
              </w:rPr>
              <w:t>Risk difference (%)</w:t>
            </w:r>
          </w:p>
          <w:p w:rsidR="00391B19" w:rsidRPr="009672B5" w:rsidRDefault="00391B19" w:rsidP="00391B19">
            <w:pPr>
              <w:pStyle w:val="TableText"/>
              <w:jc w:val="center"/>
              <w:rPr>
                <w:b/>
              </w:rPr>
            </w:pPr>
            <w:r w:rsidRPr="009672B5">
              <w:rPr>
                <w:b/>
              </w:rPr>
              <w:t>(95% CI)</w:t>
            </w:r>
            <w:r w:rsidRPr="009672B5">
              <w:rPr>
                <w:b/>
                <w:vertAlign w:val="superscript"/>
              </w:rPr>
              <w:t>+</w:t>
            </w:r>
            <w:r w:rsidRPr="009672B5">
              <w:rPr>
                <w:b/>
              </w:rPr>
              <w:t>; p-value</w:t>
            </w:r>
          </w:p>
        </w:tc>
      </w:tr>
      <w:tr w:rsidR="005F1741" w:rsidRPr="009672B5" w:rsidTr="005F1741">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F1741" w:rsidRPr="009672B5" w:rsidRDefault="005F1741" w:rsidP="005F1741">
            <w:pPr>
              <w:keepNext/>
              <w:spacing w:before="40" w:after="40"/>
              <w:rPr>
                <w:rFonts w:ascii="Arial Narrow" w:hAnsi="Arial Narrow"/>
                <w:sz w:val="20"/>
              </w:rPr>
            </w:pPr>
            <w:r w:rsidRPr="009672B5">
              <w:rPr>
                <w:rFonts w:ascii="Arial Narrow" w:hAnsi="Arial Narrow"/>
                <w:sz w:val="20"/>
              </w:rPr>
              <w:t>BASDAI 50</w:t>
            </w:r>
          </w:p>
        </w:tc>
      </w:tr>
      <w:tr w:rsidR="005F1741" w:rsidRPr="009672B5" w:rsidTr="005F1741">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F1741" w:rsidRPr="009672B5" w:rsidRDefault="005F1741" w:rsidP="005F1741">
            <w:pPr>
              <w:keepNext/>
              <w:spacing w:before="40" w:after="40"/>
              <w:rPr>
                <w:rFonts w:ascii="Arial Narrow" w:hAnsi="Arial Narrow"/>
                <w:sz w:val="20"/>
              </w:rPr>
            </w:pPr>
            <w:r w:rsidRPr="009672B5">
              <w:rPr>
                <w:rFonts w:ascii="Arial Narrow" w:hAnsi="Arial Narrow"/>
                <w:sz w:val="20"/>
              </w:rPr>
              <w:t>Whole population FAS</w:t>
            </w:r>
          </w:p>
        </w:tc>
      </w:tr>
      <w:tr w:rsidR="005F1741" w:rsidRPr="009672B5" w:rsidTr="00391B19">
        <w:tc>
          <w:tcPr>
            <w:tcW w:w="1139" w:type="pct"/>
            <w:tcBorders>
              <w:top w:val="single" w:sz="4" w:space="0" w:color="auto"/>
              <w:left w:val="single" w:sz="4" w:space="0" w:color="auto"/>
              <w:bottom w:val="single" w:sz="4" w:space="0" w:color="auto"/>
              <w:right w:val="single" w:sz="4" w:space="0" w:color="auto"/>
            </w:tcBorders>
            <w:shd w:val="clear" w:color="auto" w:fill="auto"/>
            <w:vAlign w:val="center"/>
          </w:tcPr>
          <w:p w:rsidR="005F1741" w:rsidRPr="0092728B" w:rsidRDefault="0092728B" w:rsidP="005F1741">
            <w:pPr>
              <w:keepNext/>
              <w:spacing w:before="40" w:after="40"/>
              <w:jc w:val="center"/>
              <w:rPr>
                <w:rFonts w:ascii="Arial Narrow" w:hAnsi="Arial Narrow"/>
                <w:sz w:val="20"/>
                <w:highlight w:val="black"/>
              </w:rPr>
            </w:pPr>
            <w:r>
              <w:rPr>
                <w:rFonts w:ascii="Arial Narrow" w:hAnsi="Arial Narrow"/>
                <w:noProof/>
                <w:color w:val="000000"/>
                <w:sz w:val="20"/>
                <w:highlight w:val="black"/>
              </w:rPr>
              <w:t>'''''''''''''' '''''''''''''''''''</w:t>
            </w:r>
          </w:p>
        </w:tc>
        <w:tc>
          <w:tcPr>
            <w:tcW w:w="1139" w:type="pct"/>
            <w:tcBorders>
              <w:top w:val="single" w:sz="4" w:space="0" w:color="auto"/>
              <w:left w:val="single" w:sz="4" w:space="0" w:color="auto"/>
              <w:bottom w:val="single" w:sz="4" w:space="0" w:color="auto"/>
              <w:right w:val="single" w:sz="4" w:space="0" w:color="auto"/>
            </w:tcBorders>
            <w:shd w:val="clear" w:color="auto" w:fill="auto"/>
            <w:vAlign w:val="center"/>
          </w:tcPr>
          <w:p w:rsidR="005F1741" w:rsidRPr="0092728B" w:rsidRDefault="0092728B" w:rsidP="005F1741">
            <w:pPr>
              <w:keepNext/>
              <w:spacing w:before="40" w:after="40"/>
              <w:jc w:val="center"/>
              <w:rPr>
                <w:rFonts w:ascii="Arial Narrow" w:hAnsi="Arial Narrow"/>
                <w:sz w:val="20"/>
                <w:highlight w:val="black"/>
              </w:rPr>
            </w:pPr>
            <w:r>
              <w:rPr>
                <w:rFonts w:ascii="Arial Narrow" w:hAnsi="Arial Narrow"/>
                <w:noProof/>
                <w:color w:val="000000"/>
                <w:sz w:val="20"/>
                <w:highlight w:val="black"/>
              </w:rPr>
              <w:t>''''''''''''''' ''''''''''''''''''</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5F1741" w:rsidRPr="0092728B" w:rsidRDefault="0092728B" w:rsidP="005F1741">
            <w:pPr>
              <w:keepNext/>
              <w:spacing w:before="40" w:after="40"/>
              <w:jc w:val="center"/>
              <w:rPr>
                <w:rFonts w:ascii="Arial Narrow" w:hAnsi="Arial Narrow"/>
                <w:b/>
                <w:sz w:val="20"/>
                <w:highlight w:val="black"/>
              </w:rPr>
            </w:pPr>
            <w:r>
              <w:rPr>
                <w:rFonts w:ascii="Arial Narrow" w:hAnsi="Arial Narrow"/>
                <w:b/>
                <w:noProof/>
                <w:color w:val="000000"/>
                <w:sz w:val="20"/>
                <w:highlight w:val="black"/>
              </w:rPr>
              <w:t>'''''''' '''''''''''' ''''''''''</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5F1741" w:rsidRPr="0092728B" w:rsidRDefault="0092728B" w:rsidP="005F1741">
            <w:pPr>
              <w:keepNext/>
              <w:spacing w:before="40" w:after="40"/>
              <w:jc w:val="center"/>
              <w:rPr>
                <w:rFonts w:ascii="Arial Narrow" w:hAnsi="Arial Narrow"/>
                <w:sz w:val="20"/>
              </w:rPr>
            </w:pPr>
            <w:r>
              <w:rPr>
                <w:rFonts w:ascii="Arial Narrow" w:hAnsi="Arial Narrow"/>
                <w:b/>
                <w:noProof/>
                <w:color w:val="000000"/>
                <w:sz w:val="20"/>
                <w:highlight w:val="black"/>
              </w:rPr>
              <w:t>'''''''''''' ''''''''''''''' '''''''''''''</w:t>
            </w:r>
            <w:r>
              <w:rPr>
                <w:rFonts w:ascii="Arial Narrow" w:hAnsi="Arial Narrow"/>
                <w:noProof/>
                <w:color w:val="000000"/>
                <w:sz w:val="20"/>
                <w:highlight w:val="black"/>
              </w:rPr>
              <w:t>'' ''''''''''''''''''''''''</w:t>
            </w:r>
          </w:p>
        </w:tc>
      </w:tr>
      <w:tr w:rsidR="005F1741" w:rsidRPr="009672B5" w:rsidTr="005F174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5F1741" w:rsidRPr="009672B5" w:rsidRDefault="005F1741" w:rsidP="005F1741">
            <w:pPr>
              <w:keepNext/>
              <w:spacing w:before="40" w:after="40"/>
              <w:rPr>
                <w:rFonts w:ascii="Arial Narrow" w:hAnsi="Arial Narrow"/>
                <w:sz w:val="20"/>
              </w:rPr>
            </w:pPr>
            <w:r w:rsidRPr="009672B5">
              <w:rPr>
                <w:rFonts w:ascii="Arial Narrow" w:hAnsi="Arial Narrow"/>
                <w:sz w:val="20"/>
              </w:rPr>
              <w:t>OSI population</w:t>
            </w:r>
          </w:p>
        </w:tc>
      </w:tr>
      <w:tr w:rsidR="005F1741" w:rsidRPr="009672B5" w:rsidTr="00391B19">
        <w:tc>
          <w:tcPr>
            <w:tcW w:w="1139" w:type="pct"/>
            <w:tcBorders>
              <w:top w:val="single" w:sz="4" w:space="0" w:color="auto"/>
              <w:left w:val="single" w:sz="4" w:space="0" w:color="auto"/>
              <w:bottom w:val="single" w:sz="4" w:space="0" w:color="auto"/>
              <w:right w:val="single" w:sz="4" w:space="0" w:color="auto"/>
            </w:tcBorders>
            <w:shd w:val="clear" w:color="auto" w:fill="auto"/>
            <w:vAlign w:val="center"/>
          </w:tcPr>
          <w:p w:rsidR="005F1741" w:rsidRPr="0092728B" w:rsidRDefault="0092728B" w:rsidP="005F1741">
            <w:pPr>
              <w:keepNext/>
              <w:spacing w:before="40" w:after="40"/>
              <w:jc w:val="center"/>
              <w:rPr>
                <w:rFonts w:ascii="Arial Narrow" w:hAnsi="Arial Narrow"/>
                <w:sz w:val="20"/>
                <w:highlight w:val="black"/>
              </w:rPr>
            </w:pPr>
            <w:r>
              <w:rPr>
                <w:rFonts w:ascii="Arial Narrow" w:hAnsi="Arial Narrow"/>
                <w:noProof/>
                <w:color w:val="000000"/>
                <w:sz w:val="20"/>
                <w:highlight w:val="black"/>
              </w:rPr>
              <w:t>''''''''''''' ''''''''''''''''''</w:t>
            </w:r>
          </w:p>
        </w:tc>
        <w:tc>
          <w:tcPr>
            <w:tcW w:w="1139" w:type="pct"/>
            <w:tcBorders>
              <w:top w:val="single" w:sz="4" w:space="0" w:color="auto"/>
              <w:left w:val="single" w:sz="4" w:space="0" w:color="auto"/>
              <w:bottom w:val="single" w:sz="4" w:space="0" w:color="auto"/>
              <w:right w:val="single" w:sz="4" w:space="0" w:color="auto"/>
            </w:tcBorders>
            <w:shd w:val="clear" w:color="auto" w:fill="auto"/>
            <w:vAlign w:val="center"/>
          </w:tcPr>
          <w:p w:rsidR="005F1741" w:rsidRPr="0092728B" w:rsidRDefault="0092728B" w:rsidP="005F1741">
            <w:pPr>
              <w:keepNext/>
              <w:spacing w:before="40" w:after="40"/>
              <w:jc w:val="center"/>
              <w:rPr>
                <w:rFonts w:ascii="Arial Narrow" w:hAnsi="Arial Narrow"/>
                <w:sz w:val="20"/>
                <w:highlight w:val="black"/>
              </w:rPr>
            </w:pPr>
            <w:r>
              <w:rPr>
                <w:rFonts w:ascii="Arial Narrow" w:hAnsi="Arial Narrow"/>
                <w:noProof/>
                <w:color w:val="000000"/>
                <w:sz w:val="20"/>
                <w:highlight w:val="black"/>
              </w:rPr>
              <w:t>''''''''''''' ''''''''''''''''</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5F1741" w:rsidRPr="0092728B" w:rsidRDefault="0092728B" w:rsidP="005F1741">
            <w:pPr>
              <w:keepNext/>
              <w:spacing w:before="40" w:after="40"/>
              <w:jc w:val="center"/>
              <w:rPr>
                <w:rFonts w:ascii="Arial Narrow" w:hAnsi="Arial Narrow"/>
                <w:b/>
                <w:sz w:val="20"/>
                <w:highlight w:val="black"/>
              </w:rPr>
            </w:pPr>
            <w:r>
              <w:rPr>
                <w:rFonts w:ascii="Arial Narrow" w:hAnsi="Arial Narrow"/>
                <w:b/>
                <w:noProof/>
                <w:color w:val="000000"/>
                <w:sz w:val="20"/>
                <w:highlight w:val="black"/>
              </w:rPr>
              <w:t>'''''''' ''''''''''' ''''''''''</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5F1741" w:rsidRPr="0092728B" w:rsidRDefault="0092728B" w:rsidP="005F1741">
            <w:pPr>
              <w:keepNext/>
              <w:spacing w:before="40" w:after="40"/>
              <w:jc w:val="center"/>
              <w:rPr>
                <w:rFonts w:ascii="Arial Narrow" w:hAnsi="Arial Narrow"/>
                <w:sz w:val="20"/>
              </w:rPr>
            </w:pPr>
            <w:r>
              <w:rPr>
                <w:rFonts w:ascii="Arial Narrow" w:hAnsi="Arial Narrow"/>
                <w:b/>
                <w:noProof/>
                <w:color w:val="000000"/>
                <w:sz w:val="20"/>
                <w:highlight w:val="black"/>
              </w:rPr>
              <w:t>'''''''''''' ''''''''''''' '''''''''''''</w:t>
            </w:r>
            <w:r>
              <w:rPr>
                <w:rFonts w:ascii="Arial Narrow" w:hAnsi="Arial Narrow"/>
                <w:noProof/>
                <w:color w:val="000000"/>
                <w:sz w:val="20"/>
                <w:highlight w:val="black"/>
              </w:rPr>
              <w:t>'' '''''''''''''''''''''</w:t>
            </w:r>
          </w:p>
        </w:tc>
      </w:tr>
      <w:tr w:rsidR="005F1741" w:rsidRPr="009672B5" w:rsidTr="005F174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5F1741" w:rsidRPr="009672B5" w:rsidRDefault="005F1741" w:rsidP="005F1741">
            <w:pPr>
              <w:keepNext/>
              <w:spacing w:before="40" w:after="40"/>
              <w:rPr>
                <w:rFonts w:ascii="Arial Narrow" w:hAnsi="Arial Narrow"/>
                <w:sz w:val="20"/>
              </w:rPr>
            </w:pPr>
            <w:r w:rsidRPr="009672B5">
              <w:rPr>
                <w:rFonts w:ascii="Arial Narrow" w:hAnsi="Arial Narrow"/>
                <w:sz w:val="20"/>
              </w:rPr>
              <w:t>Non OSI population</w:t>
            </w:r>
          </w:p>
        </w:tc>
      </w:tr>
      <w:tr w:rsidR="005F1741" w:rsidRPr="009672B5" w:rsidTr="00391B19">
        <w:tc>
          <w:tcPr>
            <w:tcW w:w="1139" w:type="pct"/>
            <w:tcBorders>
              <w:top w:val="single" w:sz="4" w:space="0" w:color="auto"/>
              <w:left w:val="single" w:sz="4" w:space="0" w:color="auto"/>
              <w:bottom w:val="single" w:sz="4" w:space="0" w:color="auto"/>
              <w:right w:val="single" w:sz="4" w:space="0" w:color="auto"/>
            </w:tcBorders>
            <w:shd w:val="clear" w:color="auto" w:fill="auto"/>
            <w:vAlign w:val="center"/>
          </w:tcPr>
          <w:p w:rsidR="005F1741" w:rsidRPr="0092728B" w:rsidRDefault="0092728B" w:rsidP="005F1741">
            <w:pPr>
              <w:keepNext/>
              <w:spacing w:before="40" w:after="40"/>
              <w:jc w:val="center"/>
              <w:rPr>
                <w:rFonts w:ascii="Arial Narrow" w:hAnsi="Arial Narrow"/>
                <w:sz w:val="20"/>
                <w:highlight w:val="black"/>
              </w:rPr>
            </w:pPr>
            <w:r>
              <w:rPr>
                <w:rFonts w:ascii="Arial Narrow" w:hAnsi="Arial Narrow"/>
                <w:noProof/>
                <w:color w:val="000000"/>
                <w:sz w:val="20"/>
                <w:highlight w:val="black"/>
              </w:rPr>
              <w:t>''''''''''''' ''''''''''''''''''</w:t>
            </w:r>
          </w:p>
        </w:tc>
        <w:tc>
          <w:tcPr>
            <w:tcW w:w="1139" w:type="pct"/>
            <w:tcBorders>
              <w:top w:val="single" w:sz="4" w:space="0" w:color="auto"/>
              <w:left w:val="single" w:sz="4" w:space="0" w:color="auto"/>
              <w:bottom w:val="single" w:sz="4" w:space="0" w:color="auto"/>
              <w:right w:val="single" w:sz="4" w:space="0" w:color="auto"/>
            </w:tcBorders>
            <w:shd w:val="clear" w:color="auto" w:fill="auto"/>
            <w:vAlign w:val="center"/>
          </w:tcPr>
          <w:p w:rsidR="005F1741" w:rsidRPr="0092728B" w:rsidRDefault="0092728B" w:rsidP="005F1741">
            <w:pPr>
              <w:keepNext/>
              <w:spacing w:before="40" w:after="40"/>
              <w:jc w:val="center"/>
              <w:rPr>
                <w:rFonts w:ascii="Arial Narrow" w:hAnsi="Arial Narrow"/>
                <w:sz w:val="20"/>
                <w:highlight w:val="black"/>
              </w:rPr>
            </w:pPr>
            <w:r>
              <w:rPr>
                <w:rFonts w:ascii="Arial Narrow" w:hAnsi="Arial Narrow"/>
                <w:noProof/>
                <w:color w:val="000000"/>
                <w:sz w:val="20"/>
                <w:highlight w:val="black"/>
              </w:rPr>
              <w:t>'''''''''' ''''''''''''''''''</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5F1741" w:rsidRPr="0092728B" w:rsidRDefault="0092728B" w:rsidP="005F1741">
            <w:pPr>
              <w:keepNext/>
              <w:spacing w:before="40" w:after="40"/>
              <w:jc w:val="center"/>
              <w:rPr>
                <w:rFonts w:ascii="Arial Narrow" w:hAnsi="Arial Narrow"/>
                <w:sz w:val="20"/>
                <w:highlight w:val="black"/>
              </w:rPr>
            </w:pPr>
            <w:r>
              <w:rPr>
                <w:rFonts w:ascii="Arial Narrow" w:hAnsi="Arial Narrow"/>
                <w:noProof/>
                <w:color w:val="000000"/>
                <w:sz w:val="20"/>
                <w:highlight w:val="black"/>
              </w:rPr>
              <w:t>'''''''''' '''''''''''' '''''''''''''</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5F1741" w:rsidRPr="0092728B" w:rsidRDefault="0092728B" w:rsidP="005F1741">
            <w:pPr>
              <w:keepNext/>
              <w:spacing w:before="40" w:after="40"/>
              <w:jc w:val="center"/>
              <w:rPr>
                <w:rFonts w:ascii="Arial Narrow" w:hAnsi="Arial Narrow"/>
                <w:sz w:val="20"/>
                <w:highlight w:val="black"/>
              </w:rPr>
            </w:pPr>
            <w:r>
              <w:rPr>
                <w:rFonts w:ascii="Arial Narrow" w:hAnsi="Arial Narrow"/>
                <w:noProof/>
                <w:color w:val="000000"/>
                <w:sz w:val="20"/>
                <w:highlight w:val="black"/>
              </w:rPr>
              <w:t>'''''''''''''' ''''''''''''''''''' '''''''''''''''' '''''''''''''''''''''''</w:t>
            </w:r>
          </w:p>
        </w:tc>
      </w:tr>
      <w:tr w:rsidR="00391B19" w:rsidRPr="009672B5" w:rsidTr="00391B19">
        <w:tc>
          <w:tcPr>
            <w:tcW w:w="2278" w:type="pct"/>
            <w:gridSpan w:val="2"/>
            <w:tcBorders>
              <w:top w:val="single" w:sz="4" w:space="0" w:color="auto"/>
              <w:left w:val="single" w:sz="4" w:space="0" w:color="auto"/>
              <w:bottom w:val="single" w:sz="4" w:space="0" w:color="auto"/>
              <w:right w:val="single" w:sz="4" w:space="0" w:color="auto"/>
            </w:tcBorders>
            <w:shd w:val="clear" w:color="auto" w:fill="auto"/>
          </w:tcPr>
          <w:p w:rsidR="00391B19" w:rsidRPr="009672B5" w:rsidRDefault="00391B19" w:rsidP="005F1741">
            <w:pPr>
              <w:keepNext/>
              <w:spacing w:before="40" w:after="40"/>
              <w:rPr>
                <w:rFonts w:ascii="Arial Narrow" w:hAnsi="Arial Narrow"/>
                <w:sz w:val="20"/>
              </w:rPr>
            </w:pPr>
            <w:r w:rsidRPr="009672B5">
              <w:rPr>
                <w:rFonts w:ascii="Arial Narrow" w:hAnsi="Arial Narrow"/>
                <w:sz w:val="20"/>
              </w:rPr>
              <w:t>Test for interaction (OSI v non-OSI)</w:t>
            </w:r>
            <w:r w:rsidRPr="009672B5">
              <w:rPr>
                <w:rFonts w:ascii="Arial Narrow" w:hAnsi="Arial Narrow"/>
                <w:sz w:val="20"/>
                <w:vertAlign w:val="superscript"/>
              </w:rPr>
              <w:t>a</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391B19" w:rsidRPr="0092728B" w:rsidRDefault="0092728B" w:rsidP="005F1741">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391B19" w:rsidRPr="0092728B" w:rsidRDefault="0092728B" w:rsidP="005F1741">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r>
    </w:tbl>
    <w:p w:rsidR="005F1741" w:rsidRPr="009672B5" w:rsidRDefault="005F1741" w:rsidP="005F1741">
      <w:pPr>
        <w:widowControl w:val="0"/>
        <w:tabs>
          <w:tab w:val="left" w:pos="284"/>
        </w:tabs>
        <w:spacing w:before="0" w:after="120"/>
        <w:ind w:left="284" w:hanging="284"/>
        <w:contextualSpacing/>
        <w:jc w:val="both"/>
        <w:rPr>
          <w:rFonts w:ascii="Arial Narrow" w:eastAsia="Times New Roman" w:hAnsi="Arial Narrow" w:cs="Arial"/>
          <w:b/>
          <w:snapToGrid w:val="0"/>
          <w:sz w:val="18"/>
          <w:szCs w:val="20"/>
        </w:rPr>
      </w:pPr>
      <w:r w:rsidRPr="009672B5">
        <w:rPr>
          <w:rFonts w:ascii="Arial Narrow" w:eastAsia="Times New Roman" w:hAnsi="Arial Narrow" w:cs="Arial"/>
          <w:snapToGrid w:val="0"/>
          <w:sz w:val="18"/>
          <w:szCs w:val="20"/>
        </w:rPr>
        <w:t>*</w:t>
      </w:r>
      <w:r w:rsidRPr="009672B5">
        <w:rPr>
          <w:rFonts w:ascii="Arial Narrow" w:eastAsia="Times New Roman" w:hAnsi="Arial Narrow" w:cs="Arial"/>
          <w:snapToGrid w:val="0"/>
          <w:sz w:val="18"/>
          <w:szCs w:val="20"/>
        </w:rPr>
        <w:tab/>
        <w:t>Relative risk with 95%CI were as calculated in this submission using the Newcombe-Wilson method without continuity correction (Newcombe, 1998).</w:t>
      </w:r>
    </w:p>
    <w:p w:rsidR="005F1741" w:rsidRPr="009672B5" w:rsidRDefault="005F1741" w:rsidP="005F1741">
      <w:pPr>
        <w:widowControl w:val="0"/>
        <w:tabs>
          <w:tab w:val="left" w:pos="284"/>
        </w:tabs>
        <w:spacing w:before="0" w:after="120"/>
        <w:ind w:left="284" w:hanging="284"/>
        <w:contextualSpacing/>
        <w:jc w:val="both"/>
        <w:rPr>
          <w:rFonts w:ascii="Arial Narrow" w:eastAsia="Times New Roman" w:hAnsi="Arial Narrow" w:cs="Arial"/>
          <w:snapToGrid w:val="0"/>
          <w:sz w:val="18"/>
          <w:szCs w:val="20"/>
        </w:rPr>
      </w:pPr>
      <w:r w:rsidRPr="009672B5">
        <w:rPr>
          <w:rFonts w:ascii="Arial Narrow" w:eastAsia="Times New Roman" w:hAnsi="Arial Narrow" w:cs="Arial"/>
          <w:snapToGrid w:val="0"/>
          <w:sz w:val="18"/>
          <w:szCs w:val="20"/>
        </w:rPr>
        <w:t>+</w:t>
      </w:r>
      <w:r w:rsidRPr="009672B5">
        <w:rPr>
          <w:rFonts w:ascii="Arial Narrow" w:eastAsia="Times New Roman" w:hAnsi="Arial Narrow" w:cs="Arial"/>
          <w:snapToGrid w:val="0"/>
          <w:sz w:val="18"/>
          <w:szCs w:val="20"/>
        </w:rPr>
        <w:tab/>
        <w:t>Derived based on the stratified Miettinen and Nurminen method with baseline evidence of sacroiliitis on MRI (yes or no) and screening CRP level (≤upper limit of normal or &gt;upper limit of normal) as stratification factors.</w:t>
      </w:r>
    </w:p>
    <w:p w:rsidR="005F1741" w:rsidRPr="009672B5" w:rsidRDefault="005F1741" w:rsidP="005F1741">
      <w:pPr>
        <w:widowControl w:val="0"/>
        <w:tabs>
          <w:tab w:val="left" w:pos="284"/>
        </w:tabs>
        <w:spacing w:before="0" w:after="120"/>
        <w:contextualSpacing/>
        <w:jc w:val="both"/>
        <w:rPr>
          <w:rFonts w:ascii="Arial Narrow" w:eastAsia="Times New Roman" w:hAnsi="Arial Narrow" w:cs="Arial"/>
          <w:b/>
          <w:snapToGrid w:val="0"/>
          <w:sz w:val="18"/>
          <w:szCs w:val="20"/>
        </w:rPr>
      </w:pPr>
      <w:r w:rsidRPr="009672B5">
        <w:rPr>
          <w:rFonts w:ascii="Arial Narrow" w:eastAsia="Times New Roman" w:hAnsi="Arial Narrow" w:cs="Arial"/>
          <w:snapToGrid w:val="0"/>
          <w:sz w:val="18"/>
          <w:szCs w:val="20"/>
          <w:vertAlign w:val="superscript"/>
        </w:rPr>
        <w:t>a</w:t>
      </w:r>
      <w:r w:rsidRPr="009672B5">
        <w:rPr>
          <w:rFonts w:ascii="Arial Narrow" w:eastAsia="Times New Roman" w:hAnsi="Arial Narrow" w:cs="Arial"/>
          <w:snapToGrid w:val="0"/>
          <w:sz w:val="18"/>
          <w:szCs w:val="20"/>
        </w:rPr>
        <w:tab/>
        <w:t>conducted during the evaluation</w:t>
      </w:r>
    </w:p>
    <w:p w:rsidR="005F1741" w:rsidRPr="009672B5" w:rsidRDefault="005F1741" w:rsidP="005F1741">
      <w:pPr>
        <w:widowControl w:val="0"/>
        <w:spacing w:before="0" w:after="120"/>
        <w:contextualSpacing/>
        <w:jc w:val="both"/>
        <w:rPr>
          <w:rFonts w:ascii="Arial Narrow" w:eastAsia="Times New Roman" w:hAnsi="Arial Narrow" w:cs="Arial"/>
          <w:snapToGrid w:val="0"/>
          <w:sz w:val="18"/>
          <w:szCs w:val="20"/>
        </w:rPr>
      </w:pPr>
      <w:r w:rsidRPr="009672B5">
        <w:rPr>
          <w:rFonts w:ascii="Arial Narrow" w:eastAsia="Times New Roman" w:hAnsi="Arial Narrow" w:cs="Arial"/>
          <w:snapToGrid w:val="0"/>
          <w:sz w:val="18"/>
          <w:szCs w:val="20"/>
        </w:rPr>
        <w:t>BASDAI = Bath Ankylosing Spondylitis Disease Activity Index; CI = confidence interval; FAS = full analysis set; OSI = objective signs of inflammation; NSAIDs = non-steroidal anti-inflammatory drugs</w:t>
      </w:r>
    </w:p>
    <w:p w:rsidR="00391B19" w:rsidRPr="009672B5" w:rsidRDefault="00391B19" w:rsidP="005F1741">
      <w:pPr>
        <w:widowControl w:val="0"/>
        <w:spacing w:before="0" w:after="120"/>
        <w:contextualSpacing/>
        <w:jc w:val="both"/>
        <w:rPr>
          <w:rFonts w:ascii="Arial Narrow" w:eastAsia="Times New Roman" w:hAnsi="Arial Narrow" w:cs="Arial"/>
          <w:b/>
          <w:snapToGrid w:val="0"/>
          <w:sz w:val="18"/>
          <w:szCs w:val="20"/>
        </w:rPr>
      </w:pPr>
      <w:r w:rsidRPr="009672B5">
        <w:rPr>
          <w:rFonts w:ascii="Arial Narrow" w:eastAsia="Times New Roman" w:hAnsi="Arial Narrow" w:cs="Arial"/>
          <w:snapToGrid w:val="0"/>
          <w:sz w:val="18"/>
          <w:szCs w:val="20"/>
        </w:rPr>
        <w:t>Bold typography indicates statistically significant differences</w:t>
      </w:r>
    </w:p>
    <w:p w:rsidR="005F1741" w:rsidRPr="00840292" w:rsidRDefault="005F1741" w:rsidP="005F1741">
      <w:pPr>
        <w:widowControl w:val="0"/>
        <w:spacing w:before="0" w:after="120"/>
        <w:contextualSpacing/>
        <w:jc w:val="both"/>
        <w:rPr>
          <w:rFonts w:ascii="Arial Narrow" w:eastAsia="Times New Roman" w:hAnsi="Arial Narrow" w:cs="Arial"/>
          <w:snapToGrid w:val="0"/>
          <w:sz w:val="18"/>
          <w:szCs w:val="20"/>
        </w:rPr>
      </w:pPr>
      <w:r w:rsidRPr="009672B5">
        <w:rPr>
          <w:rFonts w:ascii="Arial Narrow" w:eastAsia="Times New Roman" w:hAnsi="Arial Narrow" w:cs="Arial"/>
          <w:snapToGrid w:val="0"/>
          <w:sz w:val="18"/>
          <w:szCs w:val="20"/>
        </w:rPr>
        <w:t xml:space="preserve">Source: </w:t>
      </w:r>
      <w:r w:rsidRPr="00840292">
        <w:rPr>
          <w:rFonts w:ascii="Arial Narrow" w:eastAsia="Times New Roman" w:hAnsi="Arial Narrow" w:cs="Arial"/>
          <w:snapToGrid w:val="0"/>
          <w:sz w:val="18"/>
          <w:szCs w:val="20"/>
        </w:rPr>
        <w:t>Table 2.6.2, p117 of the submission</w:t>
      </w:r>
    </w:p>
    <w:p w:rsidR="005F1741" w:rsidRPr="00840292" w:rsidRDefault="005F1741" w:rsidP="005F1741">
      <w:pPr>
        <w:widowControl w:val="0"/>
        <w:spacing w:before="0" w:after="120"/>
        <w:contextualSpacing/>
        <w:jc w:val="both"/>
        <w:rPr>
          <w:rFonts w:ascii="Arial Narrow" w:eastAsia="Times New Roman" w:hAnsi="Arial Narrow" w:cs="Arial"/>
          <w:b/>
          <w:snapToGrid w:val="0"/>
          <w:sz w:val="18"/>
          <w:szCs w:val="20"/>
        </w:rPr>
      </w:pPr>
    </w:p>
    <w:p w:rsidR="005F1741" w:rsidRDefault="005F1741" w:rsidP="00BB68CD">
      <w:pPr>
        <w:numPr>
          <w:ilvl w:val="1"/>
          <w:numId w:val="1"/>
        </w:numPr>
        <w:spacing w:before="0" w:after="120"/>
        <w:jc w:val="both"/>
      </w:pPr>
      <w:r w:rsidRPr="00840292">
        <w:t>The result</w:t>
      </w:r>
      <w:r w:rsidR="009220D7" w:rsidRPr="00840292">
        <w:t>s</w:t>
      </w:r>
      <w:r w:rsidRPr="00840292">
        <w:t xml:space="preserve"> suggested that there was a greater difference in efficacy between golimumab and placebo treated patients in the OSI population compared to the whole study population</w:t>
      </w:r>
      <w:r w:rsidRPr="009672B5">
        <w:t xml:space="preserve">. A test for interaction conducted during the evaluation did not indicate that the presence of OSI was a treatment effect modifier for </w:t>
      </w:r>
      <w:r w:rsidR="00085A86" w:rsidRPr="009672B5">
        <w:t>BASDAI 50</w:t>
      </w:r>
      <w:r w:rsidRPr="009672B5">
        <w:t xml:space="preserve">, but this needs to be interpreted in the context that (i) </w:t>
      </w:r>
      <w:r w:rsidR="00085A86" w:rsidRPr="009672B5">
        <w:t>it was a</w:t>
      </w:r>
      <w:r w:rsidRPr="009672B5">
        <w:t xml:space="preserve"> secondary outcome, (ii) no adjustment for multiplicity has been applied to the subgroup analyses and (iii) the small size of the non-OSI group.</w:t>
      </w:r>
    </w:p>
    <w:p w:rsidR="008E3038" w:rsidRPr="009672B5" w:rsidRDefault="008E3038" w:rsidP="008E3038">
      <w:pPr>
        <w:numPr>
          <w:ilvl w:val="1"/>
          <w:numId w:val="1"/>
        </w:numPr>
        <w:spacing w:before="0" w:after="120"/>
        <w:jc w:val="both"/>
      </w:pPr>
      <w:r>
        <w:t xml:space="preserve">The ESC noted </w:t>
      </w:r>
      <w:r w:rsidRPr="008E3038">
        <w:t>that</w:t>
      </w:r>
      <w:r w:rsidR="00F80313">
        <w:t>, in</w:t>
      </w:r>
      <w:r w:rsidRPr="008E3038">
        <w:t xml:space="preserve"> the OSI subgroup</w:t>
      </w:r>
      <w:r w:rsidR="00F80313">
        <w:t>,</w:t>
      </w:r>
      <w:r w:rsidRPr="008E3038">
        <w:t xml:space="preserve"> </w:t>
      </w:r>
      <w:r w:rsidR="0092728B">
        <w:rPr>
          <w:noProof/>
          <w:color w:val="000000"/>
          <w:highlight w:val="black"/>
        </w:rPr>
        <w:t>'''''</w:t>
      </w:r>
      <w:r w:rsidRPr="008E3038">
        <w:t xml:space="preserve">% </w:t>
      </w:r>
      <w:r w:rsidR="00F80313">
        <w:t xml:space="preserve">of patients in the golimumab arm achieved a BASDAI 50 response, representing </w:t>
      </w:r>
      <w:r w:rsidR="00725579">
        <w:t xml:space="preserve">a </w:t>
      </w:r>
      <w:r w:rsidR="0092728B">
        <w:rPr>
          <w:noProof/>
          <w:color w:val="000000"/>
          <w:highlight w:val="black"/>
        </w:rPr>
        <w:t>''''''''</w:t>
      </w:r>
      <w:r w:rsidRPr="008E3038">
        <w:t>% incremental response versus placebo (</w:t>
      </w:r>
      <w:r w:rsidR="0092728B">
        <w:rPr>
          <w:noProof/>
          <w:color w:val="000000"/>
          <w:highlight w:val="black"/>
        </w:rPr>
        <w:t>'''''''''''''''''</w:t>
      </w:r>
      <w:r w:rsidRPr="008E3038">
        <w:t xml:space="preserve">). The ESC </w:t>
      </w:r>
      <w:r>
        <w:t>considered</w:t>
      </w:r>
      <w:r w:rsidRPr="008E3038">
        <w:t xml:space="preserve"> that BASDAI 50 </w:t>
      </w:r>
      <w:r>
        <w:t>wa</w:t>
      </w:r>
      <w:r w:rsidRPr="008E3038">
        <w:t xml:space="preserve">s </w:t>
      </w:r>
      <w:r w:rsidR="009D2A59">
        <w:t>a</w:t>
      </w:r>
      <w:r w:rsidRPr="008E3038">
        <w:t xml:space="preserve"> clinically relevant outcome measure</w:t>
      </w:r>
      <w:r>
        <w:t xml:space="preserve">, noting advice in the PSCR that </w:t>
      </w:r>
      <w:r w:rsidRPr="008E3038">
        <w:t xml:space="preserve">BASDAI 50 was </w:t>
      </w:r>
      <w:r w:rsidR="009D2A59">
        <w:t>a</w:t>
      </w:r>
      <w:r w:rsidRPr="008E3038">
        <w:t xml:space="preserve"> stringent response criteria </w:t>
      </w:r>
      <w:r w:rsidR="009D2A59">
        <w:t xml:space="preserve">and </w:t>
      </w:r>
      <w:r w:rsidRPr="008E3038">
        <w:t>has been recommended by the Assessment of Spondyloarthritis International Society as the response criteria used to determine treatment success</w:t>
      </w:r>
      <w:r w:rsidR="009D2A59">
        <w:t>.</w:t>
      </w:r>
    </w:p>
    <w:p w:rsidR="005F1741" w:rsidRPr="009672B5" w:rsidRDefault="005F1741" w:rsidP="00BB68CD">
      <w:pPr>
        <w:numPr>
          <w:ilvl w:val="1"/>
          <w:numId w:val="1"/>
        </w:numPr>
        <w:spacing w:before="0" w:after="120"/>
        <w:jc w:val="both"/>
      </w:pPr>
      <w:r w:rsidRPr="009672B5">
        <w:t xml:space="preserve">Table 6 summarises the proportion of OSI patients who maintained a BASDAI 50 response to Week 52, according to their responder status at Week 16. </w:t>
      </w:r>
    </w:p>
    <w:p w:rsidR="005F1741" w:rsidRPr="009672B5" w:rsidRDefault="005F1741" w:rsidP="005F1741">
      <w:pPr>
        <w:keepNext/>
        <w:spacing w:before="0" w:after="60"/>
        <w:rPr>
          <w:rFonts w:ascii="Arial Narrow" w:hAnsi="Arial Narrow"/>
          <w:b/>
          <w:bCs/>
          <w:sz w:val="20"/>
        </w:rPr>
      </w:pPr>
      <w:r w:rsidRPr="009672B5">
        <w:rPr>
          <w:rFonts w:ascii="Arial Narrow" w:hAnsi="Arial Narrow"/>
          <w:b/>
          <w:sz w:val="20"/>
        </w:rPr>
        <w:lastRenderedPageBreak/>
        <w:t xml:space="preserve">Table 6: </w:t>
      </w:r>
      <w:r w:rsidRPr="009672B5">
        <w:rPr>
          <w:rFonts w:ascii="Arial Narrow" w:hAnsi="Arial Narrow"/>
          <w:b/>
          <w:bCs/>
          <w:sz w:val="20"/>
        </w:rPr>
        <w:t>GO-AHEAD Trial Part II: Proportion of patients achieving BASDAI 50 by Week 16 responder status: OSI population</w:t>
      </w:r>
    </w:p>
    <w:tbl>
      <w:tblPr>
        <w:tblW w:w="0" w:type="auto"/>
        <w:tblInd w:w="-8" w:type="dxa"/>
        <w:tblLayout w:type="fixed"/>
        <w:tblCellMar>
          <w:left w:w="0" w:type="dxa"/>
          <w:right w:w="0" w:type="dxa"/>
        </w:tblCellMar>
        <w:tblLook w:val="0000" w:firstRow="0" w:lastRow="0" w:firstColumn="0" w:lastColumn="0" w:noHBand="0" w:noVBand="0"/>
      </w:tblPr>
      <w:tblGrid>
        <w:gridCol w:w="2694"/>
        <w:gridCol w:w="2126"/>
        <w:gridCol w:w="34"/>
        <w:gridCol w:w="2092"/>
        <w:gridCol w:w="68"/>
        <w:gridCol w:w="1879"/>
      </w:tblGrid>
      <w:tr w:rsidR="005F1741" w:rsidRPr="009672B5" w:rsidTr="005F1741">
        <w:trPr>
          <w:trHeight w:val="132"/>
        </w:trPr>
        <w:tc>
          <w:tcPr>
            <w:tcW w:w="2694" w:type="dxa"/>
            <w:vMerge w:val="restart"/>
            <w:tcBorders>
              <w:top w:val="single" w:sz="4" w:space="0" w:color="auto"/>
              <w:left w:val="single" w:sz="6" w:space="0" w:color="000000"/>
              <w:bottom w:val="single" w:sz="2" w:space="0" w:color="000000"/>
              <w:right w:val="single" w:sz="2" w:space="0" w:color="000000"/>
            </w:tcBorders>
            <w:vAlign w:val="center"/>
          </w:tcPr>
          <w:p w:rsidR="005F1741" w:rsidRPr="009672B5" w:rsidRDefault="005F1741" w:rsidP="005F1741">
            <w:pPr>
              <w:keepNext/>
              <w:spacing w:before="40" w:after="40"/>
              <w:rPr>
                <w:rFonts w:ascii="Arial Narrow" w:hAnsi="Arial Narrow"/>
                <w:b/>
                <w:sz w:val="20"/>
                <w:szCs w:val="20"/>
              </w:rPr>
            </w:pPr>
            <w:r w:rsidRPr="009672B5">
              <w:rPr>
                <w:rFonts w:ascii="Arial Narrow" w:hAnsi="Arial Narrow"/>
                <w:b/>
                <w:sz w:val="20"/>
                <w:szCs w:val="20"/>
              </w:rPr>
              <w:t>Treatment</w:t>
            </w:r>
          </w:p>
        </w:tc>
        <w:tc>
          <w:tcPr>
            <w:tcW w:w="4252" w:type="dxa"/>
            <w:gridSpan w:val="3"/>
            <w:tcBorders>
              <w:top w:val="single" w:sz="4" w:space="0" w:color="auto"/>
              <w:left w:val="single" w:sz="2" w:space="0" w:color="000000"/>
              <w:right w:val="single" w:sz="6" w:space="0" w:color="000000"/>
            </w:tcBorders>
          </w:tcPr>
          <w:p w:rsidR="005F1741" w:rsidRPr="009672B5" w:rsidRDefault="005F1741" w:rsidP="005F1741">
            <w:pPr>
              <w:keepNext/>
              <w:spacing w:before="40" w:after="40"/>
              <w:jc w:val="center"/>
              <w:rPr>
                <w:rFonts w:ascii="Arial Narrow" w:hAnsi="Arial Narrow"/>
                <w:b/>
                <w:sz w:val="20"/>
                <w:szCs w:val="20"/>
              </w:rPr>
            </w:pPr>
            <w:r w:rsidRPr="009672B5">
              <w:rPr>
                <w:rFonts w:ascii="Arial Narrow" w:hAnsi="Arial Narrow"/>
                <w:b/>
                <w:sz w:val="20"/>
                <w:szCs w:val="20"/>
              </w:rPr>
              <w:t>Week 16 Responder Status n/N (%)</w:t>
            </w:r>
          </w:p>
        </w:tc>
        <w:tc>
          <w:tcPr>
            <w:tcW w:w="1947" w:type="dxa"/>
            <w:gridSpan w:val="2"/>
            <w:vMerge w:val="restart"/>
            <w:tcBorders>
              <w:top w:val="single" w:sz="4" w:space="0" w:color="auto"/>
              <w:left w:val="single" w:sz="2" w:space="0" w:color="000000"/>
              <w:right w:val="single" w:sz="6" w:space="0" w:color="000000"/>
            </w:tcBorders>
            <w:vAlign w:val="center"/>
          </w:tcPr>
          <w:p w:rsidR="005F1741" w:rsidRPr="009672B5" w:rsidRDefault="005F1741" w:rsidP="005F1741">
            <w:pPr>
              <w:keepNext/>
              <w:spacing w:before="40" w:after="40"/>
              <w:jc w:val="center"/>
              <w:rPr>
                <w:rFonts w:ascii="Arial Narrow" w:hAnsi="Arial Narrow"/>
                <w:b/>
                <w:sz w:val="20"/>
                <w:szCs w:val="20"/>
              </w:rPr>
            </w:pPr>
            <w:r w:rsidRPr="009672B5">
              <w:rPr>
                <w:rFonts w:ascii="Arial Narrow" w:hAnsi="Arial Narrow"/>
                <w:b/>
                <w:sz w:val="20"/>
                <w:szCs w:val="20"/>
              </w:rPr>
              <w:t>Total n/N (%)</w:t>
            </w:r>
          </w:p>
        </w:tc>
      </w:tr>
      <w:tr w:rsidR="005F1741" w:rsidRPr="009672B5" w:rsidTr="005F1741">
        <w:trPr>
          <w:trHeight w:val="65"/>
        </w:trPr>
        <w:tc>
          <w:tcPr>
            <w:tcW w:w="2694" w:type="dxa"/>
            <w:vMerge/>
            <w:tcBorders>
              <w:top w:val="double" w:sz="2" w:space="0" w:color="000000"/>
              <w:left w:val="single" w:sz="6" w:space="0" w:color="000000"/>
              <w:bottom w:val="single" w:sz="2" w:space="0" w:color="000000"/>
              <w:right w:val="single" w:sz="2" w:space="0" w:color="000000"/>
            </w:tcBorders>
          </w:tcPr>
          <w:p w:rsidR="005F1741" w:rsidRPr="009672B5" w:rsidRDefault="005F1741" w:rsidP="005F1741">
            <w:pPr>
              <w:keepNext/>
              <w:spacing w:before="40" w:after="40"/>
              <w:jc w:val="center"/>
              <w:rPr>
                <w:rFonts w:ascii="Arial Narrow" w:hAnsi="Arial Narrow"/>
                <w:sz w:val="20"/>
                <w:szCs w:val="20"/>
              </w:rPr>
            </w:pPr>
          </w:p>
        </w:tc>
        <w:tc>
          <w:tcPr>
            <w:tcW w:w="2126" w:type="dxa"/>
            <w:tcBorders>
              <w:top w:val="single" w:sz="2" w:space="0" w:color="000000"/>
              <w:left w:val="single" w:sz="2" w:space="0" w:color="000000"/>
              <w:bottom w:val="single" w:sz="2" w:space="0" w:color="000000"/>
              <w:right w:val="single" w:sz="2" w:space="0" w:color="000000"/>
            </w:tcBorders>
          </w:tcPr>
          <w:p w:rsidR="005F1741" w:rsidRPr="009672B5" w:rsidRDefault="005F1741" w:rsidP="005F1741">
            <w:pPr>
              <w:keepNext/>
              <w:spacing w:before="40" w:after="40"/>
              <w:jc w:val="center"/>
              <w:rPr>
                <w:rFonts w:ascii="Arial Narrow" w:hAnsi="Arial Narrow"/>
                <w:b/>
                <w:sz w:val="20"/>
                <w:szCs w:val="20"/>
              </w:rPr>
            </w:pPr>
            <w:r w:rsidRPr="009672B5">
              <w:rPr>
                <w:rFonts w:ascii="Arial Narrow" w:hAnsi="Arial Narrow"/>
                <w:b/>
                <w:sz w:val="20"/>
                <w:szCs w:val="20"/>
              </w:rPr>
              <w:t>Responder</w:t>
            </w:r>
          </w:p>
        </w:tc>
        <w:tc>
          <w:tcPr>
            <w:tcW w:w="2126" w:type="dxa"/>
            <w:gridSpan w:val="2"/>
            <w:tcBorders>
              <w:top w:val="single" w:sz="2" w:space="0" w:color="000000"/>
              <w:left w:val="single" w:sz="2" w:space="0" w:color="000000"/>
              <w:bottom w:val="single" w:sz="2" w:space="0" w:color="000000"/>
              <w:right w:val="single" w:sz="2" w:space="0" w:color="000000"/>
            </w:tcBorders>
          </w:tcPr>
          <w:p w:rsidR="005F1741" w:rsidRPr="009672B5" w:rsidRDefault="005F1741" w:rsidP="005F1741">
            <w:pPr>
              <w:keepNext/>
              <w:spacing w:before="40" w:after="40"/>
              <w:jc w:val="center"/>
              <w:rPr>
                <w:rFonts w:ascii="Arial Narrow" w:hAnsi="Arial Narrow"/>
                <w:b/>
                <w:sz w:val="20"/>
                <w:szCs w:val="20"/>
              </w:rPr>
            </w:pPr>
            <w:r w:rsidRPr="009672B5">
              <w:rPr>
                <w:rFonts w:ascii="Arial Narrow" w:hAnsi="Arial Narrow"/>
                <w:b/>
                <w:sz w:val="20"/>
                <w:szCs w:val="20"/>
              </w:rPr>
              <w:t>Non-responder</w:t>
            </w:r>
          </w:p>
        </w:tc>
        <w:tc>
          <w:tcPr>
            <w:tcW w:w="1947" w:type="dxa"/>
            <w:gridSpan w:val="2"/>
            <w:vMerge/>
            <w:tcBorders>
              <w:left w:val="single" w:sz="2" w:space="0" w:color="000000"/>
              <w:bottom w:val="single" w:sz="2" w:space="0" w:color="000000"/>
              <w:right w:val="single" w:sz="6" w:space="0" w:color="000000"/>
            </w:tcBorders>
          </w:tcPr>
          <w:p w:rsidR="005F1741" w:rsidRPr="009672B5" w:rsidRDefault="005F1741" w:rsidP="005F1741">
            <w:pPr>
              <w:keepNext/>
              <w:spacing w:before="40" w:after="40"/>
              <w:rPr>
                <w:rFonts w:ascii="Arial Narrow" w:hAnsi="Arial Narrow"/>
                <w:sz w:val="20"/>
                <w:szCs w:val="20"/>
              </w:rPr>
            </w:pPr>
          </w:p>
        </w:tc>
      </w:tr>
      <w:tr w:rsidR="005F1741" w:rsidRPr="009672B5" w:rsidTr="005F1741">
        <w:trPr>
          <w:trHeight w:val="75"/>
        </w:trPr>
        <w:tc>
          <w:tcPr>
            <w:tcW w:w="8893" w:type="dxa"/>
            <w:gridSpan w:val="6"/>
            <w:tcBorders>
              <w:top w:val="single" w:sz="2" w:space="0" w:color="000000"/>
              <w:left w:val="single" w:sz="6" w:space="0" w:color="000000"/>
              <w:bottom w:val="single" w:sz="2" w:space="0" w:color="000000"/>
              <w:right w:val="single" w:sz="6" w:space="0" w:color="000000"/>
            </w:tcBorders>
          </w:tcPr>
          <w:p w:rsidR="005F1741" w:rsidRPr="009672B5" w:rsidRDefault="005F1741" w:rsidP="005F1741">
            <w:pPr>
              <w:keepNext/>
              <w:spacing w:before="40" w:after="40"/>
              <w:rPr>
                <w:rFonts w:ascii="Arial Narrow" w:hAnsi="Arial Narrow"/>
                <w:sz w:val="20"/>
                <w:szCs w:val="20"/>
              </w:rPr>
            </w:pPr>
            <w:r w:rsidRPr="009672B5">
              <w:rPr>
                <w:rFonts w:ascii="Arial Narrow" w:hAnsi="Arial Narrow"/>
                <w:sz w:val="20"/>
                <w:szCs w:val="20"/>
              </w:rPr>
              <w:t>Week 20</w:t>
            </w:r>
          </w:p>
        </w:tc>
      </w:tr>
      <w:tr w:rsidR="005F1741" w:rsidRPr="009672B5" w:rsidTr="005F1741">
        <w:trPr>
          <w:trHeight w:val="560"/>
        </w:trPr>
        <w:tc>
          <w:tcPr>
            <w:tcW w:w="2694" w:type="dxa"/>
            <w:tcBorders>
              <w:top w:val="single" w:sz="2" w:space="0" w:color="000000"/>
              <w:left w:val="single" w:sz="6" w:space="0" w:color="000000"/>
              <w:bottom w:val="single" w:sz="2" w:space="0" w:color="000000"/>
              <w:right w:val="single" w:sz="2" w:space="0" w:color="000000"/>
            </w:tcBorders>
          </w:tcPr>
          <w:p w:rsidR="005F1741" w:rsidRPr="009672B5" w:rsidRDefault="005F1741" w:rsidP="005F1741">
            <w:pPr>
              <w:keepNext/>
              <w:spacing w:before="40" w:after="40"/>
              <w:rPr>
                <w:rFonts w:ascii="Arial Narrow" w:hAnsi="Arial Narrow"/>
                <w:sz w:val="20"/>
                <w:szCs w:val="20"/>
              </w:rPr>
            </w:pPr>
            <w:r w:rsidRPr="009672B5">
              <w:rPr>
                <w:rFonts w:ascii="Arial Narrow" w:hAnsi="Arial Narrow"/>
                <w:sz w:val="20"/>
                <w:szCs w:val="20"/>
              </w:rPr>
              <w:t>GLM 50mg/GLM 50mg</w:t>
            </w:r>
          </w:p>
          <w:p w:rsidR="005F1741" w:rsidRPr="009672B5" w:rsidRDefault="005F1741" w:rsidP="005F1741">
            <w:pPr>
              <w:keepNext/>
              <w:spacing w:before="40" w:after="40"/>
              <w:rPr>
                <w:rFonts w:ascii="Arial Narrow" w:hAnsi="Arial Narrow"/>
                <w:sz w:val="20"/>
                <w:szCs w:val="20"/>
              </w:rPr>
            </w:pPr>
            <w:r w:rsidRPr="009672B5">
              <w:rPr>
                <w:rFonts w:ascii="Arial Narrow" w:hAnsi="Arial Narrow"/>
                <w:sz w:val="20"/>
                <w:szCs w:val="20"/>
              </w:rPr>
              <w:t>Placebo/GLM 50mg</w:t>
            </w:r>
          </w:p>
        </w:tc>
        <w:tc>
          <w:tcPr>
            <w:tcW w:w="2160" w:type="dxa"/>
            <w:gridSpan w:val="2"/>
            <w:tcBorders>
              <w:top w:val="single" w:sz="2" w:space="0" w:color="000000"/>
              <w:left w:val="single" w:sz="2" w:space="0" w:color="000000"/>
              <w:bottom w:val="single" w:sz="2" w:space="0" w:color="000000"/>
              <w:right w:val="single" w:sz="2" w:space="0" w:color="000000"/>
            </w:tcBorders>
          </w:tcPr>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60" w:type="dxa"/>
            <w:gridSpan w:val="2"/>
            <w:tcBorders>
              <w:top w:val="single" w:sz="2" w:space="0" w:color="000000"/>
              <w:left w:val="single" w:sz="2" w:space="0" w:color="000000"/>
              <w:bottom w:val="single" w:sz="2" w:space="0" w:color="000000"/>
              <w:right w:val="single" w:sz="2" w:space="0" w:color="000000"/>
            </w:tcBorders>
          </w:tcPr>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879" w:type="dxa"/>
            <w:tcBorders>
              <w:top w:val="single" w:sz="2" w:space="0" w:color="000000"/>
              <w:left w:val="single" w:sz="2" w:space="0" w:color="000000"/>
              <w:bottom w:val="single" w:sz="2" w:space="0" w:color="000000"/>
              <w:right w:val="single" w:sz="6" w:space="0" w:color="000000"/>
            </w:tcBorders>
          </w:tcPr>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5F1741" w:rsidRPr="009672B5" w:rsidTr="005F1741">
        <w:trPr>
          <w:trHeight w:val="75"/>
        </w:trPr>
        <w:tc>
          <w:tcPr>
            <w:tcW w:w="8893" w:type="dxa"/>
            <w:gridSpan w:val="6"/>
            <w:tcBorders>
              <w:top w:val="single" w:sz="2" w:space="0" w:color="000000"/>
              <w:left w:val="single" w:sz="6" w:space="0" w:color="000000"/>
              <w:bottom w:val="single" w:sz="2" w:space="0" w:color="000000"/>
              <w:right w:val="single" w:sz="6" w:space="0" w:color="000000"/>
            </w:tcBorders>
          </w:tcPr>
          <w:p w:rsidR="005F1741" w:rsidRPr="009672B5" w:rsidRDefault="005F1741" w:rsidP="005F1741">
            <w:pPr>
              <w:keepNext/>
              <w:spacing w:before="40" w:after="40"/>
              <w:rPr>
                <w:rFonts w:ascii="Arial Narrow" w:hAnsi="Arial Narrow"/>
                <w:sz w:val="20"/>
                <w:szCs w:val="20"/>
              </w:rPr>
            </w:pPr>
            <w:r w:rsidRPr="009672B5">
              <w:rPr>
                <w:rFonts w:ascii="Arial Narrow" w:hAnsi="Arial Narrow"/>
                <w:sz w:val="20"/>
                <w:szCs w:val="20"/>
              </w:rPr>
              <w:t>Week 24</w:t>
            </w:r>
          </w:p>
        </w:tc>
      </w:tr>
      <w:tr w:rsidR="005F1741" w:rsidRPr="009672B5" w:rsidTr="005F1741">
        <w:trPr>
          <w:trHeight w:val="560"/>
        </w:trPr>
        <w:tc>
          <w:tcPr>
            <w:tcW w:w="2694" w:type="dxa"/>
            <w:tcBorders>
              <w:top w:val="single" w:sz="2" w:space="0" w:color="000000"/>
              <w:left w:val="single" w:sz="6" w:space="0" w:color="000000"/>
              <w:bottom w:val="single" w:sz="2" w:space="0" w:color="000000"/>
              <w:right w:val="single" w:sz="2" w:space="0" w:color="000000"/>
            </w:tcBorders>
          </w:tcPr>
          <w:p w:rsidR="005F1741" w:rsidRPr="009672B5" w:rsidRDefault="005F1741" w:rsidP="005F1741">
            <w:pPr>
              <w:keepNext/>
              <w:spacing w:before="40" w:after="40"/>
              <w:rPr>
                <w:rFonts w:ascii="Arial Narrow" w:hAnsi="Arial Narrow"/>
                <w:sz w:val="20"/>
                <w:szCs w:val="20"/>
              </w:rPr>
            </w:pPr>
            <w:r w:rsidRPr="009672B5">
              <w:rPr>
                <w:rFonts w:ascii="Arial Narrow" w:hAnsi="Arial Narrow"/>
                <w:sz w:val="20"/>
                <w:szCs w:val="20"/>
              </w:rPr>
              <w:t>GLM 50mg/GLM 50mg</w:t>
            </w:r>
          </w:p>
          <w:p w:rsidR="005F1741" w:rsidRPr="009672B5" w:rsidRDefault="005F1741" w:rsidP="005F1741">
            <w:pPr>
              <w:keepNext/>
              <w:spacing w:before="40" w:after="40"/>
              <w:rPr>
                <w:rFonts w:ascii="Arial Narrow" w:hAnsi="Arial Narrow"/>
                <w:sz w:val="20"/>
                <w:szCs w:val="20"/>
              </w:rPr>
            </w:pPr>
            <w:r w:rsidRPr="009672B5">
              <w:rPr>
                <w:rFonts w:ascii="Arial Narrow" w:hAnsi="Arial Narrow"/>
                <w:sz w:val="20"/>
                <w:szCs w:val="20"/>
              </w:rPr>
              <w:t>Placebo/GLM 50mg</w:t>
            </w:r>
          </w:p>
        </w:tc>
        <w:tc>
          <w:tcPr>
            <w:tcW w:w="2160" w:type="dxa"/>
            <w:gridSpan w:val="2"/>
            <w:tcBorders>
              <w:top w:val="single" w:sz="2" w:space="0" w:color="000000"/>
              <w:left w:val="single" w:sz="2" w:space="0" w:color="000000"/>
              <w:bottom w:val="single" w:sz="2" w:space="0" w:color="000000"/>
              <w:right w:val="single" w:sz="2" w:space="0" w:color="000000"/>
            </w:tcBorders>
          </w:tcPr>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60" w:type="dxa"/>
            <w:gridSpan w:val="2"/>
            <w:tcBorders>
              <w:top w:val="single" w:sz="2" w:space="0" w:color="000000"/>
              <w:left w:val="single" w:sz="2" w:space="0" w:color="000000"/>
              <w:bottom w:val="single" w:sz="2" w:space="0" w:color="000000"/>
              <w:right w:val="single" w:sz="2" w:space="0" w:color="000000"/>
            </w:tcBorders>
          </w:tcPr>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879" w:type="dxa"/>
            <w:tcBorders>
              <w:top w:val="single" w:sz="2" w:space="0" w:color="000000"/>
              <w:left w:val="single" w:sz="2" w:space="0" w:color="000000"/>
              <w:bottom w:val="single" w:sz="2" w:space="0" w:color="000000"/>
              <w:right w:val="single" w:sz="6" w:space="0" w:color="000000"/>
            </w:tcBorders>
          </w:tcPr>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5F1741" w:rsidRPr="009672B5" w:rsidTr="005F1741">
        <w:trPr>
          <w:trHeight w:val="75"/>
        </w:trPr>
        <w:tc>
          <w:tcPr>
            <w:tcW w:w="8893" w:type="dxa"/>
            <w:gridSpan w:val="6"/>
            <w:tcBorders>
              <w:top w:val="single" w:sz="2" w:space="0" w:color="000000"/>
              <w:left w:val="single" w:sz="6" w:space="0" w:color="000000"/>
              <w:bottom w:val="single" w:sz="2" w:space="0" w:color="000000"/>
              <w:right w:val="single" w:sz="6" w:space="0" w:color="000000"/>
            </w:tcBorders>
          </w:tcPr>
          <w:p w:rsidR="005F1741" w:rsidRPr="009672B5" w:rsidRDefault="005F1741" w:rsidP="005F1741">
            <w:pPr>
              <w:keepNext/>
              <w:spacing w:before="40" w:after="40"/>
              <w:rPr>
                <w:rFonts w:ascii="Arial Narrow" w:hAnsi="Arial Narrow"/>
                <w:sz w:val="20"/>
                <w:szCs w:val="20"/>
              </w:rPr>
            </w:pPr>
            <w:r w:rsidRPr="009672B5">
              <w:rPr>
                <w:rFonts w:ascii="Arial Narrow" w:hAnsi="Arial Narrow"/>
                <w:sz w:val="20"/>
                <w:szCs w:val="20"/>
              </w:rPr>
              <w:t>Week 32</w:t>
            </w:r>
          </w:p>
        </w:tc>
      </w:tr>
      <w:tr w:rsidR="005F1741" w:rsidRPr="009672B5" w:rsidTr="005F1741">
        <w:trPr>
          <w:trHeight w:val="560"/>
        </w:trPr>
        <w:tc>
          <w:tcPr>
            <w:tcW w:w="2694" w:type="dxa"/>
            <w:tcBorders>
              <w:top w:val="single" w:sz="2" w:space="0" w:color="000000"/>
              <w:left w:val="single" w:sz="6" w:space="0" w:color="000000"/>
              <w:bottom w:val="single" w:sz="2" w:space="0" w:color="000000"/>
              <w:right w:val="single" w:sz="2" w:space="0" w:color="000000"/>
            </w:tcBorders>
          </w:tcPr>
          <w:p w:rsidR="005F1741" w:rsidRPr="009672B5" w:rsidRDefault="005F1741" w:rsidP="005F1741">
            <w:pPr>
              <w:keepNext/>
              <w:spacing w:before="40" w:after="40"/>
              <w:rPr>
                <w:rFonts w:ascii="Arial Narrow" w:hAnsi="Arial Narrow"/>
                <w:sz w:val="20"/>
                <w:szCs w:val="20"/>
              </w:rPr>
            </w:pPr>
            <w:r w:rsidRPr="009672B5">
              <w:rPr>
                <w:rFonts w:ascii="Arial Narrow" w:hAnsi="Arial Narrow"/>
                <w:sz w:val="20"/>
                <w:szCs w:val="20"/>
              </w:rPr>
              <w:t>GLM 50mg/GLM 50mg</w:t>
            </w:r>
          </w:p>
          <w:p w:rsidR="005F1741" w:rsidRPr="009672B5" w:rsidRDefault="005F1741" w:rsidP="005F1741">
            <w:pPr>
              <w:keepNext/>
              <w:spacing w:before="40" w:after="40"/>
              <w:rPr>
                <w:rFonts w:ascii="Arial Narrow" w:hAnsi="Arial Narrow"/>
                <w:sz w:val="20"/>
                <w:szCs w:val="20"/>
              </w:rPr>
            </w:pPr>
            <w:r w:rsidRPr="009672B5">
              <w:rPr>
                <w:rFonts w:ascii="Arial Narrow" w:hAnsi="Arial Narrow"/>
                <w:sz w:val="20"/>
                <w:szCs w:val="20"/>
              </w:rPr>
              <w:t>Placebo/GLM 50mg</w:t>
            </w:r>
          </w:p>
        </w:tc>
        <w:tc>
          <w:tcPr>
            <w:tcW w:w="2160" w:type="dxa"/>
            <w:gridSpan w:val="2"/>
            <w:tcBorders>
              <w:top w:val="single" w:sz="2" w:space="0" w:color="000000"/>
              <w:left w:val="single" w:sz="2" w:space="0" w:color="000000"/>
              <w:bottom w:val="single" w:sz="2" w:space="0" w:color="000000"/>
              <w:right w:val="single" w:sz="2" w:space="0" w:color="000000"/>
            </w:tcBorders>
          </w:tcPr>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60" w:type="dxa"/>
            <w:gridSpan w:val="2"/>
            <w:tcBorders>
              <w:top w:val="single" w:sz="2" w:space="0" w:color="000000"/>
              <w:left w:val="single" w:sz="2" w:space="0" w:color="000000"/>
              <w:bottom w:val="single" w:sz="2" w:space="0" w:color="000000"/>
              <w:right w:val="single" w:sz="2" w:space="0" w:color="000000"/>
            </w:tcBorders>
          </w:tcPr>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879" w:type="dxa"/>
            <w:tcBorders>
              <w:top w:val="single" w:sz="2" w:space="0" w:color="000000"/>
              <w:left w:val="single" w:sz="2" w:space="0" w:color="000000"/>
              <w:bottom w:val="single" w:sz="2" w:space="0" w:color="000000"/>
              <w:right w:val="single" w:sz="6" w:space="0" w:color="000000"/>
            </w:tcBorders>
          </w:tcPr>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5F1741" w:rsidRPr="009672B5" w:rsidTr="005F1741">
        <w:trPr>
          <w:trHeight w:val="75"/>
        </w:trPr>
        <w:tc>
          <w:tcPr>
            <w:tcW w:w="8893" w:type="dxa"/>
            <w:gridSpan w:val="6"/>
            <w:tcBorders>
              <w:top w:val="single" w:sz="2" w:space="0" w:color="000000"/>
              <w:left w:val="single" w:sz="6" w:space="0" w:color="000000"/>
              <w:bottom w:val="single" w:sz="2" w:space="0" w:color="000000"/>
              <w:right w:val="single" w:sz="6" w:space="0" w:color="000000"/>
            </w:tcBorders>
          </w:tcPr>
          <w:p w:rsidR="005F1741" w:rsidRPr="009672B5" w:rsidRDefault="005F1741" w:rsidP="005F1741">
            <w:pPr>
              <w:keepNext/>
              <w:spacing w:before="40" w:after="40"/>
              <w:rPr>
                <w:rFonts w:ascii="Arial Narrow" w:hAnsi="Arial Narrow"/>
                <w:sz w:val="20"/>
                <w:szCs w:val="20"/>
              </w:rPr>
            </w:pPr>
            <w:r w:rsidRPr="009672B5">
              <w:rPr>
                <w:rFonts w:ascii="Arial Narrow" w:hAnsi="Arial Narrow"/>
                <w:sz w:val="20"/>
                <w:szCs w:val="20"/>
              </w:rPr>
              <w:t>Week 40</w:t>
            </w:r>
          </w:p>
        </w:tc>
      </w:tr>
      <w:tr w:rsidR="005F1741" w:rsidRPr="009672B5" w:rsidTr="005F1741">
        <w:trPr>
          <w:trHeight w:val="560"/>
        </w:trPr>
        <w:tc>
          <w:tcPr>
            <w:tcW w:w="2694" w:type="dxa"/>
            <w:tcBorders>
              <w:top w:val="single" w:sz="2" w:space="0" w:color="000000"/>
              <w:left w:val="single" w:sz="6" w:space="0" w:color="000000"/>
              <w:bottom w:val="single" w:sz="2" w:space="0" w:color="000000"/>
              <w:right w:val="single" w:sz="2" w:space="0" w:color="000000"/>
            </w:tcBorders>
          </w:tcPr>
          <w:p w:rsidR="005F1741" w:rsidRPr="009672B5" w:rsidRDefault="005F1741" w:rsidP="005F1741">
            <w:pPr>
              <w:keepNext/>
              <w:spacing w:before="40" w:after="40"/>
              <w:rPr>
                <w:rFonts w:ascii="Arial Narrow" w:hAnsi="Arial Narrow"/>
                <w:sz w:val="20"/>
                <w:szCs w:val="20"/>
              </w:rPr>
            </w:pPr>
            <w:r w:rsidRPr="009672B5">
              <w:rPr>
                <w:rFonts w:ascii="Arial Narrow" w:hAnsi="Arial Narrow"/>
                <w:sz w:val="20"/>
                <w:szCs w:val="20"/>
              </w:rPr>
              <w:t>GLM 50mg/GLM 50mg</w:t>
            </w:r>
          </w:p>
          <w:p w:rsidR="005F1741" w:rsidRPr="009672B5" w:rsidRDefault="005F1741" w:rsidP="005F1741">
            <w:pPr>
              <w:keepNext/>
              <w:spacing w:before="40" w:after="40"/>
              <w:rPr>
                <w:rFonts w:ascii="Arial Narrow" w:hAnsi="Arial Narrow"/>
                <w:sz w:val="20"/>
                <w:szCs w:val="20"/>
              </w:rPr>
            </w:pPr>
            <w:r w:rsidRPr="009672B5">
              <w:rPr>
                <w:rFonts w:ascii="Arial Narrow" w:hAnsi="Arial Narrow"/>
                <w:sz w:val="20"/>
                <w:szCs w:val="20"/>
              </w:rPr>
              <w:t>Placebo/GLM 50mg</w:t>
            </w:r>
          </w:p>
        </w:tc>
        <w:tc>
          <w:tcPr>
            <w:tcW w:w="2160" w:type="dxa"/>
            <w:gridSpan w:val="2"/>
            <w:tcBorders>
              <w:top w:val="single" w:sz="2" w:space="0" w:color="000000"/>
              <w:left w:val="single" w:sz="2" w:space="0" w:color="000000"/>
              <w:bottom w:val="single" w:sz="2" w:space="0" w:color="000000"/>
              <w:right w:val="single" w:sz="2" w:space="0" w:color="000000"/>
            </w:tcBorders>
          </w:tcPr>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60" w:type="dxa"/>
            <w:gridSpan w:val="2"/>
            <w:tcBorders>
              <w:top w:val="single" w:sz="2" w:space="0" w:color="000000"/>
              <w:left w:val="single" w:sz="2" w:space="0" w:color="000000"/>
              <w:bottom w:val="single" w:sz="2" w:space="0" w:color="000000"/>
              <w:right w:val="single" w:sz="2" w:space="0" w:color="000000"/>
            </w:tcBorders>
          </w:tcPr>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879" w:type="dxa"/>
            <w:tcBorders>
              <w:top w:val="single" w:sz="2" w:space="0" w:color="000000"/>
              <w:left w:val="single" w:sz="2" w:space="0" w:color="000000"/>
              <w:bottom w:val="single" w:sz="2" w:space="0" w:color="000000"/>
              <w:right w:val="single" w:sz="6" w:space="0" w:color="000000"/>
            </w:tcBorders>
          </w:tcPr>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5F1741" w:rsidRPr="009672B5" w:rsidTr="005F1741">
        <w:trPr>
          <w:trHeight w:val="75"/>
        </w:trPr>
        <w:tc>
          <w:tcPr>
            <w:tcW w:w="8893" w:type="dxa"/>
            <w:gridSpan w:val="6"/>
            <w:tcBorders>
              <w:top w:val="single" w:sz="2" w:space="0" w:color="000000"/>
              <w:left w:val="single" w:sz="6" w:space="0" w:color="000000"/>
              <w:bottom w:val="single" w:sz="2" w:space="0" w:color="000000"/>
              <w:right w:val="single" w:sz="6" w:space="0" w:color="000000"/>
            </w:tcBorders>
          </w:tcPr>
          <w:p w:rsidR="005F1741" w:rsidRPr="009672B5" w:rsidRDefault="005F1741" w:rsidP="005F1741">
            <w:pPr>
              <w:keepNext/>
              <w:spacing w:before="40" w:after="40"/>
              <w:rPr>
                <w:rFonts w:ascii="Arial Narrow" w:hAnsi="Arial Narrow"/>
                <w:sz w:val="20"/>
                <w:szCs w:val="20"/>
              </w:rPr>
            </w:pPr>
            <w:r w:rsidRPr="009672B5">
              <w:rPr>
                <w:rFonts w:ascii="Arial Narrow" w:hAnsi="Arial Narrow"/>
                <w:sz w:val="20"/>
                <w:szCs w:val="20"/>
              </w:rPr>
              <w:t>Week 52</w:t>
            </w:r>
          </w:p>
        </w:tc>
      </w:tr>
      <w:tr w:rsidR="005F1741" w:rsidRPr="009672B5" w:rsidTr="005F1741">
        <w:trPr>
          <w:trHeight w:val="480"/>
        </w:trPr>
        <w:tc>
          <w:tcPr>
            <w:tcW w:w="2694" w:type="dxa"/>
            <w:tcBorders>
              <w:top w:val="single" w:sz="2" w:space="0" w:color="000000"/>
              <w:left w:val="single" w:sz="6" w:space="0" w:color="000000"/>
              <w:bottom w:val="single" w:sz="4" w:space="0" w:color="auto"/>
              <w:right w:val="single" w:sz="2" w:space="0" w:color="000000"/>
            </w:tcBorders>
          </w:tcPr>
          <w:p w:rsidR="005F1741" w:rsidRPr="009672B5" w:rsidRDefault="005F1741" w:rsidP="005F1741">
            <w:pPr>
              <w:keepNext/>
              <w:spacing w:before="40" w:after="40"/>
              <w:rPr>
                <w:rFonts w:ascii="Arial Narrow" w:hAnsi="Arial Narrow"/>
                <w:sz w:val="20"/>
                <w:szCs w:val="20"/>
              </w:rPr>
            </w:pPr>
            <w:r w:rsidRPr="009672B5">
              <w:rPr>
                <w:rFonts w:ascii="Arial Narrow" w:hAnsi="Arial Narrow"/>
                <w:sz w:val="20"/>
                <w:szCs w:val="20"/>
              </w:rPr>
              <w:t>GLM 50mg/GLM 50mg</w:t>
            </w:r>
          </w:p>
          <w:p w:rsidR="005F1741" w:rsidRPr="009672B5" w:rsidRDefault="005F1741" w:rsidP="005F1741">
            <w:pPr>
              <w:keepNext/>
              <w:spacing w:before="40" w:after="40"/>
              <w:rPr>
                <w:rFonts w:ascii="Arial Narrow" w:hAnsi="Arial Narrow"/>
                <w:sz w:val="20"/>
                <w:szCs w:val="20"/>
              </w:rPr>
            </w:pPr>
            <w:r w:rsidRPr="009672B5">
              <w:rPr>
                <w:rFonts w:ascii="Arial Narrow" w:hAnsi="Arial Narrow"/>
                <w:sz w:val="20"/>
                <w:szCs w:val="20"/>
              </w:rPr>
              <w:t>Placebo/GLM 50mg</w:t>
            </w:r>
          </w:p>
        </w:tc>
        <w:tc>
          <w:tcPr>
            <w:tcW w:w="2160" w:type="dxa"/>
            <w:gridSpan w:val="2"/>
            <w:tcBorders>
              <w:top w:val="single" w:sz="2" w:space="0" w:color="000000"/>
              <w:left w:val="single" w:sz="2" w:space="0" w:color="000000"/>
              <w:bottom w:val="single" w:sz="4" w:space="0" w:color="auto"/>
              <w:right w:val="single" w:sz="2" w:space="0" w:color="000000"/>
            </w:tcBorders>
          </w:tcPr>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60" w:type="dxa"/>
            <w:gridSpan w:val="2"/>
            <w:tcBorders>
              <w:top w:val="single" w:sz="2" w:space="0" w:color="000000"/>
              <w:left w:val="single" w:sz="2" w:space="0" w:color="000000"/>
              <w:bottom w:val="single" w:sz="4" w:space="0" w:color="auto"/>
              <w:right w:val="single" w:sz="2" w:space="0" w:color="000000"/>
            </w:tcBorders>
          </w:tcPr>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879" w:type="dxa"/>
            <w:tcBorders>
              <w:top w:val="single" w:sz="2" w:space="0" w:color="000000"/>
              <w:left w:val="single" w:sz="2" w:space="0" w:color="000000"/>
              <w:bottom w:val="single" w:sz="4" w:space="0" w:color="auto"/>
              <w:right w:val="single" w:sz="6" w:space="0" w:color="000000"/>
            </w:tcBorders>
          </w:tcPr>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5F1741" w:rsidRPr="0092728B" w:rsidRDefault="0092728B" w:rsidP="005F1741">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tc>
      </w:tr>
    </w:tbl>
    <w:p w:rsidR="005F1741" w:rsidRPr="009672B5" w:rsidRDefault="005F1741" w:rsidP="005F1741">
      <w:pPr>
        <w:widowControl w:val="0"/>
        <w:spacing w:before="0" w:after="120"/>
        <w:contextualSpacing/>
        <w:jc w:val="both"/>
        <w:rPr>
          <w:rFonts w:ascii="Arial Narrow" w:eastAsia="Times New Roman" w:hAnsi="Arial Narrow" w:cs="Arial"/>
          <w:b/>
          <w:snapToGrid w:val="0"/>
          <w:sz w:val="18"/>
          <w:szCs w:val="20"/>
        </w:rPr>
      </w:pPr>
      <w:r w:rsidRPr="009672B5">
        <w:rPr>
          <w:rFonts w:ascii="Arial Narrow" w:eastAsia="Times New Roman" w:hAnsi="Arial Narrow" w:cs="Arial"/>
          <w:snapToGrid w:val="0"/>
          <w:sz w:val="18"/>
          <w:szCs w:val="20"/>
        </w:rPr>
        <w:t>GLM = golimumab</w:t>
      </w:r>
    </w:p>
    <w:p w:rsidR="005F1741" w:rsidRDefault="005F1741" w:rsidP="00085A86">
      <w:pPr>
        <w:widowControl w:val="0"/>
        <w:spacing w:before="0" w:after="120"/>
        <w:jc w:val="both"/>
        <w:rPr>
          <w:rFonts w:ascii="Arial Narrow" w:eastAsia="Times New Roman" w:hAnsi="Arial Narrow" w:cs="Arial"/>
          <w:snapToGrid w:val="0"/>
          <w:sz w:val="18"/>
          <w:szCs w:val="20"/>
        </w:rPr>
      </w:pPr>
      <w:r w:rsidRPr="009672B5">
        <w:rPr>
          <w:rFonts w:ascii="Arial Narrow" w:eastAsia="Times New Roman" w:hAnsi="Arial Narrow" w:cs="Arial"/>
          <w:snapToGrid w:val="0"/>
          <w:sz w:val="18"/>
          <w:szCs w:val="20"/>
        </w:rPr>
        <w:t>Source: Table 11-36, p145 of the 60-week GO-AHEAD Clinical Study Report</w:t>
      </w:r>
    </w:p>
    <w:p w:rsidR="002A05DA" w:rsidRDefault="002A05DA" w:rsidP="002A05DA">
      <w:pPr>
        <w:pStyle w:val="ListParagraph"/>
        <w:numPr>
          <w:ilvl w:val="1"/>
          <w:numId w:val="1"/>
        </w:numPr>
        <w:spacing w:before="0" w:after="120"/>
        <w:jc w:val="both"/>
      </w:pPr>
      <w:r>
        <w:t>The PBAC noted a study that found almost half of patients with early, active axial spondyloarthritis who achieved partial remission after 28 weeks of biologic therapy maintained their response for six months after discontinuing the biologic. In the study, patients were randomised to receive infliximab (a biologic therapy) plus NSAID (naproxen) or NSAID alone for the first 28 weeks. Patients (in either arm) who were in partial remission after 28 weeks were re-randomised to receive NSAID or no treatment (Part 2). When infliximab treatment was stopped at Week 28, almost half of the patients maintained partial remission to Week 52. The study concluded that treatment for six months “had long-lasting benefits in those patients who reached partial remission, with few patients in any treatment group experiencing disease flares.”</w:t>
      </w:r>
      <w:r>
        <w:rPr>
          <w:rStyle w:val="FootnoteReference"/>
        </w:rPr>
        <w:footnoteReference w:id="3"/>
      </w:r>
      <w:r>
        <w:t xml:space="preserve"> The PBAC considered this evidence would support the inclusion of a stopping rule in the PBS restriction for nr-axSpA. The study results are shown in Figure 2. </w:t>
      </w:r>
    </w:p>
    <w:p w:rsidR="002A05DA" w:rsidRDefault="002A05DA" w:rsidP="002A05DA">
      <w:pPr>
        <w:pStyle w:val="TableHeading0"/>
      </w:pPr>
      <w:r>
        <w:lastRenderedPageBreak/>
        <w:t>Figure 2: BASDAI (A) and ASDAS-C (B) by treatment sequence and visit for patients who participated in Part 2.</w:t>
      </w:r>
    </w:p>
    <w:p w:rsidR="002A05DA" w:rsidRPr="008C7FD4" w:rsidRDefault="002A05DA" w:rsidP="002A05DA">
      <w:pPr>
        <w:pStyle w:val="TableFooter"/>
      </w:pPr>
      <w:r w:rsidRPr="008C7FD4">
        <w:rPr>
          <w:rFonts w:eastAsiaTheme="minorHAnsi" w:cstheme="minorBidi"/>
          <w:noProof/>
          <w:lang w:eastAsia="en-AU"/>
        </w:rPr>
        <w:drawing>
          <wp:inline distT="0" distB="0" distL="0" distR="0" wp14:anchorId="7D274636" wp14:editId="24282957">
            <wp:extent cx="5731510" cy="2715732"/>
            <wp:effectExtent l="0" t="0" r="2540" b="8890"/>
            <wp:docPr id="1" name="Picture 1" title="Figure 2: BASDAI (A) and ASDAS-C (B) by treatment sequence and visit for patients who participated in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2715732"/>
                    </a:xfrm>
                    <a:prstGeom prst="rect">
                      <a:avLst/>
                    </a:prstGeom>
                  </pic:spPr>
                </pic:pic>
              </a:graphicData>
            </a:graphic>
          </wp:inline>
        </w:drawing>
      </w:r>
      <w:r w:rsidRPr="0073388F">
        <w:t>Source: Figure 4</w:t>
      </w:r>
      <w:r w:rsidRPr="008C7FD4">
        <w:t>, p112 Sieper et al, 2014</w:t>
      </w:r>
    </w:p>
    <w:p w:rsidR="002A05DA" w:rsidRDefault="002A05DA" w:rsidP="002A05DA">
      <w:pPr>
        <w:pStyle w:val="TableFooter"/>
      </w:pPr>
      <w:r w:rsidRPr="008C7FD4">
        <w:rPr>
          <w:vertAlign w:val="superscript"/>
        </w:rPr>
        <w:t>a</w:t>
      </w:r>
      <w:r w:rsidRPr="008C7FD4">
        <w:t xml:space="preserve"> </w:t>
      </w:r>
      <w:r w:rsidRPr="0073388F">
        <w:t xml:space="preserve">During the follow-up period, patients with ASAS partial remission were assigned to either NPX or no treatment, with assignments stratified by initial treatment group. </w:t>
      </w:r>
    </w:p>
    <w:p w:rsidR="002A05DA" w:rsidRPr="0073388F" w:rsidRDefault="002A05DA" w:rsidP="002A05DA">
      <w:pPr>
        <w:pStyle w:val="TableFooter"/>
      </w:pPr>
      <w:r w:rsidRPr="0073388F">
        <w:t>ASAS</w:t>
      </w:r>
      <w:r>
        <w:t xml:space="preserve"> = </w:t>
      </w:r>
      <w:r w:rsidRPr="0073388F">
        <w:t xml:space="preserve"> Assessment of SpondyloArthritis international Society; ASDAS</w:t>
      </w:r>
      <w:r>
        <w:t xml:space="preserve"> =</w:t>
      </w:r>
      <w:r w:rsidRPr="0073388F">
        <w:t xml:space="preserve"> Ankylosing Spondylitis Disease Activity </w:t>
      </w:r>
      <w:r w:rsidRPr="0010747F">
        <w:t>Score; BASDAI</w:t>
      </w:r>
      <w:r>
        <w:t xml:space="preserve"> =</w:t>
      </w:r>
      <w:r w:rsidRPr="0073388F">
        <w:t xml:space="preserve"> Bath Ankylosing Spondyli</w:t>
      </w:r>
      <w:r w:rsidRPr="0010747F">
        <w:t>tis Disease Activity Index; IFX</w:t>
      </w:r>
      <w:r>
        <w:t xml:space="preserve"> = </w:t>
      </w:r>
      <w:r w:rsidRPr="0073388F">
        <w:t>infliximab; NPX</w:t>
      </w:r>
      <w:r>
        <w:t xml:space="preserve"> =</w:t>
      </w:r>
      <w:r w:rsidRPr="0073388F">
        <w:t xml:space="preserve"> naproxen; PBO</w:t>
      </w:r>
      <w:r>
        <w:t xml:space="preserve"> =</w:t>
      </w:r>
      <w:r w:rsidRPr="0073388F">
        <w:t xml:space="preserve"> placebo; Wk</w:t>
      </w:r>
      <w:r>
        <w:t xml:space="preserve"> =</w:t>
      </w:r>
      <w:r w:rsidRPr="0073388F">
        <w:t xml:space="preserve"> week.</w:t>
      </w:r>
    </w:p>
    <w:p w:rsidR="005F1741" w:rsidRPr="009672B5" w:rsidRDefault="005F1741" w:rsidP="002B0C11">
      <w:pPr>
        <w:pStyle w:val="Heading2"/>
        <w:rPr>
          <w:i w:val="0"/>
        </w:rPr>
      </w:pPr>
      <w:bookmarkStart w:id="12" w:name="_Toc492522245"/>
      <w:r w:rsidRPr="009672B5">
        <w:rPr>
          <w:i w:val="0"/>
        </w:rPr>
        <w:t>Comparative harms</w:t>
      </w:r>
      <w:bookmarkEnd w:id="12"/>
    </w:p>
    <w:p w:rsidR="005F1741" w:rsidRPr="009672B5" w:rsidRDefault="005F1741" w:rsidP="00BB68CD">
      <w:pPr>
        <w:numPr>
          <w:ilvl w:val="1"/>
          <w:numId w:val="1"/>
        </w:numPr>
        <w:spacing w:before="0" w:after="120"/>
        <w:jc w:val="both"/>
      </w:pPr>
      <w:r w:rsidRPr="009672B5">
        <w:t>There appeared to be no statistically significant differences in toxicity between golimumab 50</w:t>
      </w:r>
      <w:r w:rsidR="00532F7C" w:rsidRPr="009672B5">
        <w:t xml:space="preserve"> </w:t>
      </w:r>
      <w:r w:rsidRPr="009672B5">
        <w:t>mg and placebo in the GO-AHEAD trial. The proportion of patients who experienced adverse events and drug-related adverse events was similar between treatment groups, with a numerically higher proportion of patients experiencing adverse events in the placebo group.</w:t>
      </w:r>
    </w:p>
    <w:p w:rsidR="005F1741" w:rsidRPr="009672B5" w:rsidRDefault="005F1741" w:rsidP="00BB68CD">
      <w:pPr>
        <w:numPr>
          <w:ilvl w:val="1"/>
          <w:numId w:val="1"/>
        </w:numPr>
        <w:spacing w:before="0" w:after="120"/>
        <w:jc w:val="both"/>
      </w:pPr>
      <w:r w:rsidRPr="009672B5">
        <w:t xml:space="preserve">The submission stated the important identified and potential risks for golimumab </w:t>
      </w:r>
      <w:r w:rsidR="00081AF5" w:rsidRPr="009672B5">
        <w:t>were</w:t>
      </w:r>
      <w:r w:rsidRPr="009672B5">
        <w:t xml:space="preserve"> serious infections, including opportunistic infections and tuberculosis; demyelinating disorders; malignancies (lymphoma, leukaemia, and melanoma); hepatosplenic T-cell lymphoma; congestive heart failure, and serious systemic hypersensitivity reactions. In relation to these risks, the submission stated (p105) that there were no serious infections or serious drug-related adverse events in important potential risk categories reported in GO-AHEAD Part I.  </w:t>
      </w:r>
    </w:p>
    <w:p w:rsidR="005F1741" w:rsidRDefault="005F1741" w:rsidP="00BB68CD">
      <w:pPr>
        <w:numPr>
          <w:ilvl w:val="1"/>
          <w:numId w:val="1"/>
        </w:numPr>
        <w:spacing w:before="0" w:after="120"/>
        <w:jc w:val="both"/>
      </w:pPr>
      <w:r w:rsidRPr="009672B5">
        <w:t xml:space="preserve">In Part II (the GO-AHEAD open-label extension), the most commonly reported adverse event was infections and infestations, which occurred at a rate of </w:t>
      </w:r>
      <w:r w:rsidR="0092728B">
        <w:rPr>
          <w:noProof/>
          <w:color w:val="000000"/>
          <w:highlight w:val="black"/>
        </w:rPr>
        <w:t>'''''''''</w:t>
      </w:r>
      <w:r w:rsidRPr="009672B5">
        <w:t>% for the golimumab 50</w:t>
      </w:r>
      <w:r w:rsidR="00532F7C" w:rsidRPr="009672B5">
        <w:t xml:space="preserve"> </w:t>
      </w:r>
      <w:r w:rsidRPr="009672B5">
        <w:t xml:space="preserve">mg group and </w:t>
      </w:r>
      <w:r w:rsidR="0092728B">
        <w:rPr>
          <w:noProof/>
          <w:color w:val="000000"/>
          <w:highlight w:val="black"/>
        </w:rPr>
        <w:t>''''''''</w:t>
      </w:r>
      <w:r w:rsidRPr="009672B5">
        <w:t>% for placebo/golimumab 50</w:t>
      </w:r>
      <w:r w:rsidR="00532F7C" w:rsidRPr="009672B5">
        <w:t xml:space="preserve"> </w:t>
      </w:r>
      <w:r w:rsidRPr="009672B5">
        <w:t xml:space="preserve">mg group, with rates of infections and infestations that were possibly or probably drug-related being </w:t>
      </w:r>
      <w:r w:rsidR="0092728B">
        <w:rPr>
          <w:noProof/>
          <w:color w:val="000000"/>
          <w:highlight w:val="black"/>
        </w:rPr>
        <w:t>''''''''</w:t>
      </w:r>
      <w:r w:rsidRPr="009672B5">
        <w:t xml:space="preserve">% and </w:t>
      </w:r>
      <w:r w:rsidR="0092728B">
        <w:rPr>
          <w:noProof/>
          <w:color w:val="000000"/>
          <w:highlight w:val="black"/>
        </w:rPr>
        <w:t>''''''</w:t>
      </w:r>
      <w:r w:rsidRPr="009672B5">
        <w:t xml:space="preserve">% respectively (p195 and p198 of the 60-week CSR). </w:t>
      </w:r>
    </w:p>
    <w:p w:rsidR="00A75FE7" w:rsidRPr="009672B5" w:rsidRDefault="00A75FE7" w:rsidP="009A036F">
      <w:pPr>
        <w:pStyle w:val="ListParagraph"/>
        <w:numPr>
          <w:ilvl w:val="1"/>
          <w:numId w:val="1"/>
        </w:numPr>
        <w:spacing w:before="0" w:after="120"/>
        <w:jc w:val="both"/>
      </w:pPr>
      <w:r w:rsidRPr="00A75FE7">
        <w:t xml:space="preserve">The Pre-PBAC </w:t>
      </w:r>
      <w:r w:rsidR="00414C95">
        <w:t>R</w:t>
      </w:r>
      <w:r w:rsidRPr="00A75FE7">
        <w:t xml:space="preserve">esponse referred to the Periodic Safety Update Report, which captured use of golimumab in Phase 3 studies across all indications. The PBAC noted that the risk rate of many adverse events was lower in patients with AS than in more heavily pre-treated conditions like rheumatoid arthritis.  </w:t>
      </w:r>
    </w:p>
    <w:p w:rsidR="005F1741" w:rsidRPr="009672B5" w:rsidRDefault="005F1741" w:rsidP="002B0C11">
      <w:pPr>
        <w:pStyle w:val="Heading2"/>
        <w:rPr>
          <w:i w:val="0"/>
        </w:rPr>
      </w:pPr>
      <w:bookmarkStart w:id="13" w:name="_Toc492522246"/>
      <w:r w:rsidRPr="009672B5">
        <w:rPr>
          <w:i w:val="0"/>
        </w:rPr>
        <w:lastRenderedPageBreak/>
        <w:t>Benefits and harms</w:t>
      </w:r>
      <w:bookmarkEnd w:id="13"/>
    </w:p>
    <w:p w:rsidR="005F1741" w:rsidRPr="009672B5" w:rsidRDefault="005F1741" w:rsidP="00BB68CD">
      <w:pPr>
        <w:numPr>
          <w:ilvl w:val="1"/>
          <w:numId w:val="1"/>
        </w:numPr>
        <w:spacing w:before="0" w:after="120"/>
        <w:jc w:val="both"/>
      </w:pPr>
      <w:r w:rsidRPr="009672B5">
        <w:t xml:space="preserve">A summary of the comparative benefits for golimumab versus placebo </w:t>
      </w:r>
      <w:r w:rsidR="00532F7C" w:rsidRPr="009672B5">
        <w:t xml:space="preserve">is </w:t>
      </w:r>
      <w:r w:rsidRPr="009672B5">
        <w:t xml:space="preserve">presented in </w:t>
      </w:r>
      <w:r w:rsidR="00137049" w:rsidRPr="009672B5">
        <w:t>Table 7</w:t>
      </w:r>
      <w:r w:rsidRPr="009672B5">
        <w:t xml:space="preserve">. </w:t>
      </w:r>
    </w:p>
    <w:p w:rsidR="005F1741" w:rsidRPr="009672B5" w:rsidRDefault="005F1741" w:rsidP="005F1741">
      <w:pPr>
        <w:keepNext/>
        <w:spacing w:before="0" w:after="60"/>
        <w:rPr>
          <w:rFonts w:ascii="Arial Narrow" w:hAnsi="Arial Narrow"/>
          <w:b/>
          <w:sz w:val="20"/>
        </w:rPr>
      </w:pPr>
      <w:r w:rsidRPr="009672B5">
        <w:rPr>
          <w:rFonts w:ascii="Arial Narrow" w:hAnsi="Arial Narrow"/>
          <w:b/>
          <w:sz w:val="20"/>
        </w:rPr>
        <w:t xml:space="preserve">Table </w:t>
      </w:r>
      <w:r w:rsidR="00137049" w:rsidRPr="009672B5">
        <w:rPr>
          <w:rFonts w:ascii="Arial Narrow" w:hAnsi="Arial Narrow"/>
          <w:b/>
          <w:sz w:val="20"/>
        </w:rPr>
        <w:t>7</w:t>
      </w:r>
      <w:r w:rsidRPr="009672B5">
        <w:rPr>
          <w:rFonts w:ascii="Arial Narrow" w:hAnsi="Arial Narrow"/>
          <w:b/>
          <w:sz w:val="20"/>
        </w:rPr>
        <w:t>: Summary of comparative benefits for golimumab 50mg and placebo</w:t>
      </w:r>
    </w:p>
    <w:tbl>
      <w:tblPr>
        <w:tblStyle w:val="TableGridbeth1"/>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7: Summary of comparative benefits for golimumab 50mg and placebo"/>
      </w:tblPr>
      <w:tblGrid>
        <w:gridCol w:w="2394"/>
        <w:gridCol w:w="998"/>
        <w:gridCol w:w="1000"/>
        <w:gridCol w:w="1287"/>
        <w:gridCol w:w="1071"/>
        <w:gridCol w:w="69"/>
        <w:gridCol w:w="1002"/>
        <w:gridCol w:w="1252"/>
      </w:tblGrid>
      <w:tr w:rsidR="005F1741" w:rsidRPr="009672B5" w:rsidTr="00321759">
        <w:trPr>
          <w:cnfStyle w:val="100000000000" w:firstRow="1" w:lastRow="0" w:firstColumn="0" w:lastColumn="0" w:oddVBand="0" w:evenVBand="0" w:oddHBand="0" w:evenHBand="0" w:firstRowFirstColumn="0" w:firstRowLastColumn="0" w:lastRowFirstColumn="0" w:lastRowLastColumn="0"/>
          <w:trHeight w:val="150"/>
          <w:tblHeader/>
        </w:trPr>
        <w:tc>
          <w:tcPr>
            <w:tcW w:w="5000" w:type="pct"/>
            <w:gridSpan w:val="8"/>
            <w:shd w:val="clear" w:color="auto" w:fill="auto"/>
            <w:vAlign w:val="center"/>
          </w:tcPr>
          <w:p w:rsidR="005F1741" w:rsidRPr="009672B5" w:rsidRDefault="005F1741" w:rsidP="005F1741">
            <w:pPr>
              <w:keepNext/>
              <w:spacing w:before="40" w:after="40"/>
              <w:rPr>
                <w:rFonts w:ascii="Arial Narrow" w:hAnsi="Arial Narrow"/>
                <w:sz w:val="20"/>
                <w:u w:val="single"/>
              </w:rPr>
            </w:pPr>
            <w:r w:rsidRPr="009672B5">
              <w:rPr>
                <w:rFonts w:ascii="Arial Narrow" w:hAnsi="Arial Narrow"/>
                <w:sz w:val="20"/>
                <w:u w:val="single"/>
              </w:rPr>
              <w:t>Benefits</w:t>
            </w:r>
          </w:p>
        </w:tc>
      </w:tr>
      <w:tr w:rsidR="005F1741" w:rsidRPr="009672B5" w:rsidTr="00081AF5">
        <w:trPr>
          <w:trHeight w:val="150"/>
        </w:trPr>
        <w:tc>
          <w:tcPr>
            <w:tcW w:w="1320" w:type="pct"/>
            <w:vMerge w:val="restart"/>
            <w:shd w:val="clear" w:color="auto" w:fill="auto"/>
            <w:vAlign w:val="center"/>
          </w:tcPr>
          <w:p w:rsidR="005F1741" w:rsidRPr="009672B5" w:rsidRDefault="005F1741" w:rsidP="005F1741">
            <w:pPr>
              <w:keepNext/>
              <w:spacing w:before="40" w:after="40"/>
              <w:rPr>
                <w:rFonts w:ascii="Arial Narrow" w:hAnsi="Arial Narrow"/>
                <w:b/>
                <w:sz w:val="20"/>
              </w:rPr>
            </w:pPr>
            <w:r w:rsidRPr="009672B5">
              <w:rPr>
                <w:rFonts w:ascii="Arial Narrow" w:hAnsi="Arial Narrow"/>
                <w:b/>
                <w:sz w:val="20"/>
              </w:rPr>
              <w:t>Trial</w:t>
            </w:r>
          </w:p>
        </w:tc>
        <w:tc>
          <w:tcPr>
            <w:tcW w:w="550" w:type="pct"/>
            <w:vMerge w:val="restart"/>
            <w:shd w:val="clear" w:color="auto" w:fill="auto"/>
            <w:vAlign w:val="center"/>
          </w:tcPr>
          <w:p w:rsidR="005F1741" w:rsidRPr="009672B5" w:rsidRDefault="005F1741" w:rsidP="005F1741">
            <w:pPr>
              <w:keepNext/>
              <w:spacing w:before="40" w:after="40"/>
              <w:jc w:val="center"/>
              <w:rPr>
                <w:rFonts w:ascii="Arial Narrow" w:hAnsi="Arial Narrow"/>
                <w:b/>
                <w:sz w:val="20"/>
              </w:rPr>
            </w:pPr>
            <w:r w:rsidRPr="009672B5">
              <w:rPr>
                <w:rFonts w:ascii="Arial Narrow" w:hAnsi="Arial Narrow"/>
                <w:b/>
                <w:sz w:val="20"/>
              </w:rPr>
              <w:t>Golimumab</w:t>
            </w:r>
          </w:p>
        </w:tc>
        <w:tc>
          <w:tcPr>
            <w:tcW w:w="551" w:type="pct"/>
            <w:vMerge w:val="restart"/>
            <w:shd w:val="clear" w:color="auto" w:fill="auto"/>
            <w:vAlign w:val="center"/>
          </w:tcPr>
          <w:p w:rsidR="005F1741" w:rsidRPr="009672B5" w:rsidRDefault="005F1741" w:rsidP="005F1741">
            <w:pPr>
              <w:keepNext/>
              <w:spacing w:before="40" w:after="40"/>
              <w:jc w:val="center"/>
              <w:rPr>
                <w:rFonts w:ascii="Arial Narrow" w:hAnsi="Arial Narrow"/>
                <w:b/>
                <w:sz w:val="20"/>
              </w:rPr>
            </w:pPr>
            <w:r w:rsidRPr="009672B5">
              <w:rPr>
                <w:rFonts w:ascii="Arial Narrow" w:hAnsi="Arial Narrow"/>
                <w:b/>
                <w:sz w:val="20"/>
              </w:rPr>
              <w:t>Placebo</w:t>
            </w:r>
          </w:p>
        </w:tc>
        <w:tc>
          <w:tcPr>
            <w:tcW w:w="709" w:type="pct"/>
            <w:vMerge w:val="restart"/>
            <w:shd w:val="clear" w:color="auto" w:fill="auto"/>
            <w:vAlign w:val="center"/>
          </w:tcPr>
          <w:p w:rsidR="005F1741" w:rsidRPr="009672B5" w:rsidRDefault="005F1741" w:rsidP="005F1741">
            <w:pPr>
              <w:keepNext/>
              <w:spacing w:before="40" w:after="40"/>
              <w:jc w:val="center"/>
              <w:rPr>
                <w:rFonts w:ascii="Arial Narrow" w:hAnsi="Arial Narrow"/>
                <w:b/>
                <w:sz w:val="20"/>
              </w:rPr>
            </w:pPr>
            <w:r w:rsidRPr="009672B5">
              <w:rPr>
                <w:rFonts w:ascii="Arial Narrow" w:hAnsi="Arial Narrow"/>
                <w:b/>
                <w:sz w:val="20"/>
              </w:rPr>
              <w:t>RR</w:t>
            </w:r>
          </w:p>
          <w:p w:rsidR="005F1741" w:rsidRPr="009672B5" w:rsidRDefault="005F1741" w:rsidP="005F1741">
            <w:pPr>
              <w:keepNext/>
              <w:spacing w:before="40" w:after="40"/>
              <w:jc w:val="center"/>
              <w:rPr>
                <w:rFonts w:ascii="Arial Narrow" w:hAnsi="Arial Narrow"/>
                <w:b/>
                <w:sz w:val="20"/>
              </w:rPr>
            </w:pPr>
            <w:r w:rsidRPr="009672B5">
              <w:rPr>
                <w:rFonts w:ascii="Arial Narrow" w:hAnsi="Arial Narrow"/>
                <w:b/>
                <w:sz w:val="20"/>
              </w:rPr>
              <w:t>(95% CI)</w:t>
            </w:r>
          </w:p>
        </w:tc>
        <w:tc>
          <w:tcPr>
            <w:tcW w:w="1180" w:type="pct"/>
            <w:gridSpan w:val="3"/>
            <w:shd w:val="clear" w:color="auto" w:fill="auto"/>
            <w:vAlign w:val="center"/>
          </w:tcPr>
          <w:p w:rsidR="005F1741" w:rsidRPr="009672B5" w:rsidRDefault="005F1741" w:rsidP="005F1741">
            <w:pPr>
              <w:keepNext/>
              <w:spacing w:before="40" w:after="40"/>
              <w:jc w:val="center"/>
              <w:rPr>
                <w:rFonts w:ascii="Arial Narrow" w:hAnsi="Arial Narrow"/>
                <w:b/>
                <w:sz w:val="20"/>
              </w:rPr>
            </w:pPr>
            <w:r w:rsidRPr="009672B5">
              <w:rPr>
                <w:rFonts w:ascii="Arial Narrow" w:hAnsi="Arial Narrow"/>
                <w:b/>
                <w:sz w:val="20"/>
              </w:rPr>
              <w:t>Events/100 patients*</w:t>
            </w:r>
          </w:p>
        </w:tc>
        <w:tc>
          <w:tcPr>
            <w:tcW w:w="690" w:type="pct"/>
            <w:vMerge w:val="restart"/>
            <w:shd w:val="clear" w:color="auto" w:fill="auto"/>
            <w:vAlign w:val="center"/>
          </w:tcPr>
          <w:p w:rsidR="005F1741" w:rsidRPr="009672B5" w:rsidRDefault="005F1741" w:rsidP="005F1741">
            <w:pPr>
              <w:keepNext/>
              <w:spacing w:before="40" w:after="40"/>
              <w:jc w:val="center"/>
              <w:rPr>
                <w:rFonts w:ascii="Arial Narrow" w:hAnsi="Arial Narrow"/>
                <w:b/>
                <w:sz w:val="20"/>
              </w:rPr>
            </w:pPr>
            <w:r w:rsidRPr="009672B5">
              <w:rPr>
                <w:rFonts w:ascii="Arial Narrow" w:hAnsi="Arial Narrow"/>
                <w:b/>
                <w:sz w:val="20"/>
              </w:rPr>
              <w:t>RD</w:t>
            </w:r>
          </w:p>
          <w:p w:rsidR="005F1741" w:rsidRPr="009672B5" w:rsidRDefault="005F1741" w:rsidP="005F1741">
            <w:pPr>
              <w:keepNext/>
              <w:spacing w:before="40" w:after="40"/>
              <w:jc w:val="center"/>
              <w:rPr>
                <w:rFonts w:ascii="Arial Narrow" w:hAnsi="Arial Narrow"/>
                <w:b/>
                <w:sz w:val="20"/>
              </w:rPr>
            </w:pPr>
            <w:r w:rsidRPr="009672B5">
              <w:rPr>
                <w:rFonts w:ascii="Arial Narrow" w:hAnsi="Arial Narrow"/>
                <w:b/>
                <w:sz w:val="20"/>
              </w:rPr>
              <w:t>(95% CI)</w:t>
            </w:r>
          </w:p>
        </w:tc>
      </w:tr>
      <w:tr w:rsidR="00081AF5" w:rsidRPr="009672B5" w:rsidTr="00081AF5">
        <w:trPr>
          <w:trHeight w:val="315"/>
        </w:trPr>
        <w:tc>
          <w:tcPr>
            <w:tcW w:w="1320" w:type="pct"/>
            <w:vMerge/>
            <w:shd w:val="clear" w:color="auto" w:fill="auto"/>
            <w:vAlign w:val="center"/>
          </w:tcPr>
          <w:p w:rsidR="005F1741" w:rsidRPr="009672B5" w:rsidRDefault="005F1741" w:rsidP="005F1741">
            <w:pPr>
              <w:keepNext/>
              <w:spacing w:before="40" w:after="40"/>
              <w:rPr>
                <w:rFonts w:ascii="Arial Narrow" w:hAnsi="Arial Narrow"/>
                <w:sz w:val="20"/>
              </w:rPr>
            </w:pPr>
          </w:p>
        </w:tc>
        <w:tc>
          <w:tcPr>
            <w:tcW w:w="550" w:type="pct"/>
            <w:vMerge/>
            <w:shd w:val="clear" w:color="auto" w:fill="auto"/>
            <w:vAlign w:val="center"/>
          </w:tcPr>
          <w:p w:rsidR="005F1741" w:rsidRPr="009672B5" w:rsidRDefault="005F1741" w:rsidP="005F1741">
            <w:pPr>
              <w:keepNext/>
              <w:spacing w:before="40" w:after="40"/>
              <w:jc w:val="center"/>
              <w:rPr>
                <w:rFonts w:ascii="Arial Narrow" w:hAnsi="Arial Narrow"/>
                <w:sz w:val="20"/>
              </w:rPr>
            </w:pPr>
          </w:p>
        </w:tc>
        <w:tc>
          <w:tcPr>
            <w:tcW w:w="551" w:type="pct"/>
            <w:vMerge/>
            <w:shd w:val="clear" w:color="auto" w:fill="auto"/>
            <w:vAlign w:val="center"/>
          </w:tcPr>
          <w:p w:rsidR="005F1741" w:rsidRPr="009672B5" w:rsidRDefault="005F1741" w:rsidP="005F1741">
            <w:pPr>
              <w:keepNext/>
              <w:spacing w:before="40" w:after="40"/>
              <w:jc w:val="center"/>
              <w:rPr>
                <w:rFonts w:ascii="Arial Narrow" w:hAnsi="Arial Narrow"/>
                <w:sz w:val="20"/>
              </w:rPr>
            </w:pPr>
          </w:p>
        </w:tc>
        <w:tc>
          <w:tcPr>
            <w:tcW w:w="709" w:type="pct"/>
            <w:vMerge/>
            <w:shd w:val="clear" w:color="auto" w:fill="auto"/>
            <w:vAlign w:val="center"/>
          </w:tcPr>
          <w:p w:rsidR="005F1741" w:rsidRPr="009672B5" w:rsidRDefault="005F1741" w:rsidP="005F1741">
            <w:pPr>
              <w:keepNext/>
              <w:spacing w:before="40" w:after="40"/>
              <w:jc w:val="center"/>
              <w:rPr>
                <w:rFonts w:ascii="Arial Narrow" w:hAnsi="Arial Narrow"/>
                <w:sz w:val="20"/>
              </w:rPr>
            </w:pPr>
          </w:p>
        </w:tc>
        <w:tc>
          <w:tcPr>
            <w:tcW w:w="590" w:type="pct"/>
            <w:shd w:val="clear" w:color="auto" w:fill="auto"/>
            <w:vAlign w:val="center"/>
          </w:tcPr>
          <w:p w:rsidR="005F1741" w:rsidRPr="009672B5" w:rsidRDefault="005F1741" w:rsidP="005F1741">
            <w:pPr>
              <w:keepNext/>
              <w:spacing w:before="40" w:after="40"/>
              <w:jc w:val="center"/>
              <w:rPr>
                <w:rFonts w:ascii="Arial Narrow" w:hAnsi="Arial Narrow"/>
                <w:b/>
                <w:sz w:val="20"/>
              </w:rPr>
            </w:pPr>
            <w:r w:rsidRPr="009672B5">
              <w:rPr>
                <w:rFonts w:ascii="Arial Narrow" w:hAnsi="Arial Narrow"/>
                <w:b/>
                <w:sz w:val="20"/>
              </w:rPr>
              <w:t>Golimumab</w:t>
            </w:r>
          </w:p>
        </w:tc>
        <w:tc>
          <w:tcPr>
            <w:tcW w:w="590" w:type="pct"/>
            <w:gridSpan w:val="2"/>
            <w:shd w:val="clear" w:color="auto" w:fill="auto"/>
            <w:vAlign w:val="center"/>
          </w:tcPr>
          <w:p w:rsidR="005F1741" w:rsidRPr="009672B5" w:rsidRDefault="005F1741" w:rsidP="005F1741">
            <w:pPr>
              <w:keepNext/>
              <w:spacing w:before="40" w:after="40"/>
              <w:jc w:val="center"/>
              <w:rPr>
                <w:rFonts w:ascii="Arial Narrow" w:hAnsi="Arial Narrow"/>
                <w:b/>
                <w:sz w:val="20"/>
              </w:rPr>
            </w:pPr>
            <w:r w:rsidRPr="009672B5">
              <w:rPr>
                <w:rFonts w:ascii="Arial Narrow" w:hAnsi="Arial Narrow"/>
                <w:b/>
                <w:sz w:val="20"/>
              </w:rPr>
              <w:t>Placebo</w:t>
            </w:r>
          </w:p>
        </w:tc>
        <w:tc>
          <w:tcPr>
            <w:tcW w:w="690" w:type="pct"/>
            <w:vMerge/>
            <w:shd w:val="clear" w:color="auto" w:fill="auto"/>
            <w:vAlign w:val="center"/>
          </w:tcPr>
          <w:p w:rsidR="005F1741" w:rsidRPr="009672B5" w:rsidRDefault="005F1741" w:rsidP="005F1741">
            <w:pPr>
              <w:keepNext/>
              <w:spacing w:before="40" w:after="40"/>
              <w:jc w:val="center"/>
              <w:rPr>
                <w:rFonts w:ascii="Arial Narrow" w:hAnsi="Arial Narrow"/>
                <w:sz w:val="20"/>
              </w:rPr>
            </w:pPr>
          </w:p>
        </w:tc>
      </w:tr>
      <w:tr w:rsidR="00081AF5" w:rsidRPr="009672B5" w:rsidTr="00081AF5">
        <w:tc>
          <w:tcPr>
            <w:tcW w:w="5000" w:type="pct"/>
            <w:gridSpan w:val="8"/>
            <w:shd w:val="clear" w:color="auto" w:fill="auto"/>
          </w:tcPr>
          <w:p w:rsidR="00081AF5" w:rsidRPr="009672B5" w:rsidRDefault="00081AF5" w:rsidP="00081AF5">
            <w:pPr>
              <w:keepNext/>
              <w:spacing w:before="40" w:after="40"/>
              <w:rPr>
                <w:rFonts w:ascii="Arial Narrow" w:hAnsi="Arial Narrow"/>
                <w:sz w:val="20"/>
              </w:rPr>
            </w:pPr>
            <w:r w:rsidRPr="009672B5">
              <w:rPr>
                <w:rFonts w:ascii="Arial Narrow" w:hAnsi="Arial Narrow"/>
                <w:b/>
                <w:sz w:val="20"/>
              </w:rPr>
              <w:t>ASAS 20 response at 16 weeks</w:t>
            </w:r>
          </w:p>
        </w:tc>
      </w:tr>
      <w:tr w:rsidR="00081AF5" w:rsidRPr="009672B5" w:rsidTr="00081AF5">
        <w:tc>
          <w:tcPr>
            <w:tcW w:w="1320" w:type="pct"/>
            <w:shd w:val="clear" w:color="auto" w:fill="auto"/>
            <w:vAlign w:val="center"/>
          </w:tcPr>
          <w:p w:rsidR="005F1741" w:rsidRPr="009672B5" w:rsidRDefault="005F1741" w:rsidP="005F1741">
            <w:pPr>
              <w:keepNext/>
              <w:spacing w:before="40" w:after="40"/>
              <w:rPr>
                <w:rFonts w:ascii="Arial Narrow" w:hAnsi="Arial Narrow"/>
                <w:sz w:val="20"/>
              </w:rPr>
            </w:pPr>
            <w:r w:rsidRPr="009672B5">
              <w:rPr>
                <w:rFonts w:ascii="Arial Narrow" w:hAnsi="Arial Narrow"/>
                <w:sz w:val="20"/>
              </w:rPr>
              <w:t>GO-AHEAD (Full ana</w:t>
            </w:r>
            <w:r w:rsidR="00081AF5" w:rsidRPr="009672B5">
              <w:rPr>
                <w:rFonts w:ascii="Arial Narrow" w:hAnsi="Arial Narrow"/>
                <w:sz w:val="20"/>
              </w:rPr>
              <w:t>l</w:t>
            </w:r>
            <w:r w:rsidRPr="009672B5">
              <w:rPr>
                <w:rFonts w:ascii="Arial Narrow" w:hAnsi="Arial Narrow"/>
                <w:sz w:val="20"/>
              </w:rPr>
              <w:t>ysis set)</w:t>
            </w:r>
          </w:p>
        </w:tc>
        <w:tc>
          <w:tcPr>
            <w:tcW w:w="550" w:type="pct"/>
            <w:shd w:val="clear" w:color="auto" w:fill="auto"/>
            <w:vAlign w:val="center"/>
          </w:tcPr>
          <w:p w:rsidR="005F1741" w:rsidRPr="0092728B" w:rsidRDefault="0092728B" w:rsidP="005F1741">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551" w:type="pct"/>
            <w:shd w:val="clear" w:color="auto" w:fill="auto"/>
            <w:vAlign w:val="center"/>
          </w:tcPr>
          <w:p w:rsidR="005F1741" w:rsidRPr="0092728B" w:rsidRDefault="0092728B" w:rsidP="005F1741">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709" w:type="pct"/>
            <w:shd w:val="clear" w:color="auto" w:fill="auto"/>
            <w:vAlign w:val="center"/>
          </w:tcPr>
          <w:p w:rsidR="005F1741" w:rsidRPr="0092728B" w:rsidRDefault="0092728B" w:rsidP="005F1741">
            <w:pPr>
              <w:keepNext/>
              <w:spacing w:before="40" w:after="40"/>
              <w:jc w:val="center"/>
              <w:rPr>
                <w:rFonts w:ascii="Arial Narrow" w:hAnsi="Arial Narrow"/>
                <w:b/>
                <w:sz w:val="20"/>
                <w:highlight w:val="black"/>
              </w:rPr>
            </w:pPr>
            <w:r>
              <w:rPr>
                <w:rFonts w:ascii="Arial Narrow" w:hAnsi="Arial Narrow"/>
                <w:b/>
                <w:noProof/>
                <w:color w:val="000000"/>
                <w:sz w:val="20"/>
                <w:highlight w:val="black"/>
              </w:rPr>
              <w:t>''''''''</w:t>
            </w:r>
          </w:p>
          <w:p w:rsidR="005F1741" w:rsidRPr="0092728B" w:rsidRDefault="0092728B" w:rsidP="005F1741">
            <w:pPr>
              <w:keepNext/>
              <w:spacing w:before="40" w:after="40"/>
              <w:jc w:val="center"/>
              <w:rPr>
                <w:rFonts w:ascii="Arial Narrow" w:hAnsi="Arial Narrow"/>
                <w:b/>
                <w:sz w:val="20"/>
                <w:highlight w:val="black"/>
              </w:rPr>
            </w:pPr>
            <w:r>
              <w:rPr>
                <w:rFonts w:ascii="Arial Narrow" w:hAnsi="Arial Narrow"/>
                <w:b/>
                <w:noProof/>
                <w:color w:val="000000"/>
                <w:sz w:val="20"/>
                <w:highlight w:val="black"/>
              </w:rPr>
              <w:t>'''''''''' '''''''''''</w:t>
            </w:r>
          </w:p>
        </w:tc>
        <w:tc>
          <w:tcPr>
            <w:tcW w:w="590" w:type="pct"/>
            <w:shd w:val="clear" w:color="auto" w:fill="auto"/>
            <w:vAlign w:val="center"/>
          </w:tcPr>
          <w:p w:rsidR="005F1741" w:rsidRPr="0092728B" w:rsidRDefault="0092728B" w:rsidP="005F1741">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590" w:type="pct"/>
            <w:gridSpan w:val="2"/>
            <w:shd w:val="clear" w:color="auto" w:fill="auto"/>
            <w:vAlign w:val="center"/>
          </w:tcPr>
          <w:p w:rsidR="005F1741" w:rsidRPr="0092728B" w:rsidRDefault="0092728B" w:rsidP="005F1741">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690" w:type="pct"/>
            <w:shd w:val="clear" w:color="auto" w:fill="auto"/>
            <w:vAlign w:val="center"/>
          </w:tcPr>
          <w:p w:rsidR="005F1741" w:rsidRPr="0092728B" w:rsidRDefault="0092728B" w:rsidP="005F1741">
            <w:pPr>
              <w:keepNext/>
              <w:spacing w:before="40" w:after="40"/>
              <w:jc w:val="center"/>
              <w:rPr>
                <w:rFonts w:ascii="Arial Narrow" w:hAnsi="Arial Narrow"/>
                <w:b/>
                <w:sz w:val="20"/>
                <w:highlight w:val="black"/>
              </w:rPr>
            </w:pPr>
            <w:r>
              <w:rPr>
                <w:rFonts w:ascii="Arial Narrow" w:hAnsi="Arial Narrow"/>
                <w:b/>
                <w:noProof/>
                <w:color w:val="000000"/>
                <w:sz w:val="20"/>
                <w:highlight w:val="black"/>
              </w:rPr>
              <w:t>''''''''</w:t>
            </w:r>
          </w:p>
          <w:p w:rsidR="005F1741" w:rsidRPr="0092728B" w:rsidRDefault="0092728B" w:rsidP="005F1741">
            <w:pPr>
              <w:keepNext/>
              <w:spacing w:before="40" w:after="40"/>
              <w:jc w:val="center"/>
              <w:rPr>
                <w:rFonts w:ascii="Arial Narrow" w:hAnsi="Arial Narrow"/>
                <w:b/>
                <w:sz w:val="20"/>
                <w:highlight w:val="black"/>
              </w:rPr>
            </w:pPr>
            <w:r>
              <w:rPr>
                <w:rFonts w:ascii="Arial Narrow" w:hAnsi="Arial Narrow"/>
                <w:b/>
                <w:noProof/>
                <w:color w:val="000000"/>
                <w:sz w:val="20"/>
                <w:highlight w:val="black"/>
              </w:rPr>
              <w:t>''''''''''' '''''''''''</w:t>
            </w:r>
          </w:p>
        </w:tc>
      </w:tr>
      <w:tr w:rsidR="00081AF5" w:rsidRPr="009672B5" w:rsidTr="00081AF5">
        <w:tc>
          <w:tcPr>
            <w:tcW w:w="1320" w:type="pct"/>
            <w:shd w:val="clear" w:color="auto" w:fill="auto"/>
            <w:vAlign w:val="center"/>
          </w:tcPr>
          <w:p w:rsidR="005F1741" w:rsidRPr="009672B5" w:rsidRDefault="005F1741" w:rsidP="005F1741">
            <w:pPr>
              <w:keepNext/>
              <w:spacing w:before="40" w:after="40"/>
              <w:rPr>
                <w:rFonts w:ascii="Arial Narrow" w:hAnsi="Arial Narrow"/>
                <w:sz w:val="20"/>
              </w:rPr>
            </w:pPr>
            <w:r w:rsidRPr="009672B5">
              <w:rPr>
                <w:rFonts w:ascii="Arial Narrow" w:hAnsi="Arial Narrow"/>
                <w:sz w:val="20"/>
              </w:rPr>
              <w:t>GO-AHEAD (OSI population)</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5F1741" w:rsidRPr="0092728B" w:rsidRDefault="0092728B" w:rsidP="005F1741">
            <w:pPr>
              <w:keepNext/>
              <w:spacing w:before="40" w:after="40"/>
              <w:jc w:val="center"/>
              <w:rPr>
                <w:rFonts w:ascii="Arial Narrow" w:hAnsi="Arial Narrow"/>
                <w:sz w:val="20"/>
                <w:highlight w:val="black"/>
              </w:rPr>
            </w:pPr>
            <w:r>
              <w:rPr>
                <w:rFonts w:ascii="Arial Narrow" w:hAnsi="Arial Narrow"/>
                <w:noProof/>
                <w:color w:val="000000"/>
                <w:sz w:val="20"/>
                <w:szCs w:val="20"/>
                <w:highlight w:val="black"/>
              </w:rPr>
              <w:t>'''''''''''''</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5F1741" w:rsidRPr="0092728B" w:rsidRDefault="0092728B" w:rsidP="005F1741">
            <w:pPr>
              <w:keepNext/>
              <w:spacing w:before="40" w:after="40"/>
              <w:jc w:val="center"/>
              <w:rPr>
                <w:rFonts w:ascii="Arial Narrow" w:hAnsi="Arial Narrow"/>
                <w:sz w:val="20"/>
                <w:highlight w:val="black"/>
              </w:rPr>
            </w:pPr>
            <w:r>
              <w:rPr>
                <w:rFonts w:ascii="Arial Narrow" w:hAnsi="Arial Narrow"/>
                <w:noProof/>
                <w:color w:val="000000"/>
                <w:sz w:val="20"/>
                <w:szCs w:val="20"/>
                <w:highlight w:val="black"/>
              </w:rPr>
              <w:t>'''''''''''''</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081AF5" w:rsidRPr="0092728B" w:rsidRDefault="0092728B" w:rsidP="005F1741">
            <w:pPr>
              <w:keepNext/>
              <w:spacing w:before="40" w:after="40"/>
              <w:jc w:val="center"/>
              <w:rPr>
                <w:rFonts w:ascii="Arial Narrow" w:hAnsi="Arial Narrow"/>
                <w:b/>
                <w:sz w:val="20"/>
                <w:szCs w:val="20"/>
                <w:highlight w:val="black"/>
              </w:rPr>
            </w:pPr>
            <w:r>
              <w:rPr>
                <w:rFonts w:ascii="Arial Narrow" w:hAnsi="Arial Narrow"/>
                <w:b/>
                <w:noProof/>
                <w:color w:val="000000"/>
                <w:sz w:val="20"/>
                <w:szCs w:val="20"/>
                <w:highlight w:val="black"/>
              </w:rPr>
              <w:t xml:space="preserve">'''''''' </w:t>
            </w:r>
          </w:p>
          <w:p w:rsidR="005F1741" w:rsidRPr="0092728B" w:rsidRDefault="0092728B" w:rsidP="005F1741">
            <w:pPr>
              <w:keepNext/>
              <w:spacing w:before="40" w:after="40"/>
              <w:jc w:val="center"/>
              <w:rPr>
                <w:rFonts w:ascii="Arial Narrow" w:hAnsi="Arial Narrow"/>
                <w:b/>
                <w:sz w:val="20"/>
                <w:highlight w:val="black"/>
              </w:rPr>
            </w:pPr>
            <w:r>
              <w:rPr>
                <w:rFonts w:ascii="Arial Narrow" w:hAnsi="Arial Narrow"/>
                <w:b/>
                <w:noProof/>
                <w:color w:val="000000"/>
                <w:sz w:val="20"/>
                <w:szCs w:val="20"/>
                <w:highlight w:val="black"/>
              </w:rPr>
              <w:t>''''''''''''' '''''''''</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5F1741" w:rsidRPr="0092728B" w:rsidRDefault="0092728B" w:rsidP="005F1741">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590" w:type="pct"/>
            <w:gridSpan w:val="2"/>
            <w:shd w:val="clear" w:color="auto" w:fill="auto"/>
            <w:vAlign w:val="center"/>
          </w:tcPr>
          <w:p w:rsidR="005F1741" w:rsidRPr="0092728B" w:rsidRDefault="0092728B" w:rsidP="005F1741">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690" w:type="pct"/>
            <w:shd w:val="clear" w:color="auto" w:fill="auto"/>
            <w:vAlign w:val="center"/>
          </w:tcPr>
          <w:p w:rsidR="00081AF5" w:rsidRPr="0092728B" w:rsidRDefault="0092728B" w:rsidP="005F1741">
            <w:pPr>
              <w:keepNext/>
              <w:spacing w:before="40" w:after="40"/>
              <w:jc w:val="center"/>
              <w:rPr>
                <w:rFonts w:ascii="Arial Narrow" w:hAnsi="Arial Narrow"/>
                <w:b/>
                <w:sz w:val="20"/>
                <w:highlight w:val="black"/>
              </w:rPr>
            </w:pPr>
            <w:r>
              <w:rPr>
                <w:rFonts w:ascii="Arial Narrow" w:hAnsi="Arial Narrow"/>
                <w:b/>
                <w:noProof/>
                <w:color w:val="000000"/>
                <w:sz w:val="20"/>
                <w:highlight w:val="black"/>
              </w:rPr>
              <w:t xml:space="preserve">'''''''' </w:t>
            </w:r>
          </w:p>
          <w:p w:rsidR="005F1741" w:rsidRPr="0092728B" w:rsidRDefault="0092728B" w:rsidP="005F1741">
            <w:pPr>
              <w:keepNext/>
              <w:spacing w:before="40" w:after="40"/>
              <w:jc w:val="center"/>
              <w:rPr>
                <w:rFonts w:ascii="Arial Narrow" w:hAnsi="Arial Narrow"/>
                <w:b/>
                <w:sz w:val="20"/>
                <w:highlight w:val="black"/>
              </w:rPr>
            </w:pPr>
            <w:r>
              <w:rPr>
                <w:rFonts w:ascii="Arial Narrow" w:hAnsi="Arial Narrow"/>
                <w:b/>
                <w:noProof/>
                <w:color w:val="000000"/>
                <w:sz w:val="20"/>
                <w:highlight w:val="black"/>
              </w:rPr>
              <w:t>'''''''''' '''''''''</w:t>
            </w:r>
          </w:p>
        </w:tc>
      </w:tr>
      <w:tr w:rsidR="00081AF5" w:rsidRPr="009672B5" w:rsidTr="00081AF5">
        <w:tc>
          <w:tcPr>
            <w:tcW w:w="5000" w:type="pct"/>
            <w:gridSpan w:val="8"/>
            <w:shd w:val="clear" w:color="auto" w:fill="auto"/>
          </w:tcPr>
          <w:p w:rsidR="00081AF5" w:rsidRPr="009672B5" w:rsidRDefault="00081AF5" w:rsidP="00081AF5">
            <w:pPr>
              <w:keepNext/>
              <w:spacing w:before="40" w:after="40"/>
              <w:rPr>
                <w:rFonts w:ascii="Arial Narrow" w:hAnsi="Arial Narrow"/>
                <w:b/>
                <w:sz w:val="20"/>
              </w:rPr>
            </w:pPr>
            <w:r w:rsidRPr="009672B5">
              <w:rPr>
                <w:rFonts w:ascii="Arial Narrow" w:hAnsi="Arial Narrow"/>
                <w:b/>
                <w:sz w:val="20"/>
              </w:rPr>
              <w:t>BASDAI 50 response at 16 weeks</w:t>
            </w:r>
          </w:p>
        </w:tc>
      </w:tr>
      <w:tr w:rsidR="00081AF5" w:rsidRPr="009672B5" w:rsidTr="00081AF5">
        <w:tc>
          <w:tcPr>
            <w:tcW w:w="1320" w:type="pct"/>
            <w:shd w:val="clear" w:color="auto" w:fill="auto"/>
            <w:vAlign w:val="center"/>
          </w:tcPr>
          <w:p w:rsidR="00081AF5" w:rsidRPr="009672B5" w:rsidRDefault="00081AF5" w:rsidP="00081AF5">
            <w:pPr>
              <w:keepNext/>
              <w:spacing w:before="40" w:after="40"/>
              <w:rPr>
                <w:rFonts w:ascii="Arial Narrow" w:hAnsi="Arial Narrow"/>
                <w:sz w:val="20"/>
              </w:rPr>
            </w:pPr>
            <w:r w:rsidRPr="009672B5">
              <w:rPr>
                <w:rFonts w:ascii="Arial Narrow" w:hAnsi="Arial Narrow"/>
                <w:sz w:val="20"/>
              </w:rPr>
              <w:t>GO-AHEAD (Full analysis set)</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081AF5" w:rsidRPr="0092728B" w:rsidRDefault="0092728B" w:rsidP="00081AF5">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081AF5" w:rsidRPr="0092728B" w:rsidRDefault="0092728B" w:rsidP="00081AF5">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081AF5" w:rsidRPr="0092728B" w:rsidRDefault="0092728B" w:rsidP="00081AF5">
            <w:pPr>
              <w:pStyle w:val="TableText"/>
              <w:jc w:val="center"/>
              <w:rPr>
                <w:b/>
                <w:highlight w:val="black"/>
              </w:rPr>
            </w:pPr>
            <w:r>
              <w:rPr>
                <w:b/>
                <w:noProof/>
                <w:color w:val="000000"/>
                <w:highlight w:val="black"/>
              </w:rPr>
              <w:t>''''''''</w:t>
            </w:r>
          </w:p>
          <w:p w:rsidR="00081AF5" w:rsidRPr="0092728B" w:rsidRDefault="0092728B" w:rsidP="00081AF5">
            <w:pPr>
              <w:pStyle w:val="TableText"/>
              <w:jc w:val="center"/>
              <w:rPr>
                <w:szCs w:val="20"/>
                <w:highlight w:val="black"/>
              </w:rPr>
            </w:pPr>
            <w:r>
              <w:rPr>
                <w:b/>
                <w:noProof/>
                <w:color w:val="000000"/>
                <w:highlight w:val="black"/>
              </w:rPr>
              <w:t>''''''''''' '''''''''''</w:t>
            </w:r>
          </w:p>
        </w:tc>
        <w:tc>
          <w:tcPr>
            <w:tcW w:w="6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81AF5" w:rsidRPr="0092728B" w:rsidRDefault="0092728B" w:rsidP="00081AF5">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552" w:type="pct"/>
            <w:shd w:val="clear" w:color="auto" w:fill="auto"/>
            <w:vAlign w:val="center"/>
          </w:tcPr>
          <w:p w:rsidR="00081AF5" w:rsidRPr="0092728B" w:rsidRDefault="0092728B" w:rsidP="00081AF5">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690" w:type="pct"/>
            <w:shd w:val="clear" w:color="auto" w:fill="auto"/>
            <w:vAlign w:val="center"/>
          </w:tcPr>
          <w:p w:rsidR="00081AF5" w:rsidRPr="0092728B" w:rsidRDefault="0092728B" w:rsidP="00081AF5">
            <w:pPr>
              <w:keepNext/>
              <w:spacing w:before="40" w:after="40"/>
              <w:jc w:val="center"/>
              <w:rPr>
                <w:rFonts w:ascii="Arial Narrow" w:hAnsi="Arial Narrow"/>
                <w:b/>
                <w:sz w:val="20"/>
                <w:highlight w:val="black"/>
              </w:rPr>
            </w:pPr>
            <w:r>
              <w:rPr>
                <w:rFonts w:ascii="Arial Narrow" w:hAnsi="Arial Narrow"/>
                <w:b/>
                <w:noProof/>
                <w:color w:val="000000"/>
                <w:sz w:val="20"/>
                <w:highlight w:val="black"/>
              </w:rPr>
              <w:t>'''''''''</w:t>
            </w:r>
          </w:p>
          <w:p w:rsidR="00081AF5" w:rsidRPr="0092728B" w:rsidRDefault="0092728B" w:rsidP="00081AF5">
            <w:pPr>
              <w:keepNext/>
              <w:spacing w:before="40" w:after="40"/>
              <w:jc w:val="center"/>
              <w:rPr>
                <w:rFonts w:ascii="Arial Narrow" w:hAnsi="Arial Narrow"/>
                <w:b/>
                <w:sz w:val="20"/>
                <w:highlight w:val="black"/>
              </w:rPr>
            </w:pPr>
            <w:r>
              <w:rPr>
                <w:rFonts w:ascii="Arial Narrow" w:hAnsi="Arial Narrow"/>
                <w:b/>
                <w:noProof/>
                <w:color w:val="000000"/>
                <w:sz w:val="20"/>
                <w:highlight w:val="black"/>
              </w:rPr>
              <w:t>'''''''''''' '''''''''''</w:t>
            </w:r>
          </w:p>
        </w:tc>
      </w:tr>
      <w:tr w:rsidR="00081AF5" w:rsidRPr="009672B5" w:rsidTr="00081AF5">
        <w:tc>
          <w:tcPr>
            <w:tcW w:w="1320" w:type="pct"/>
            <w:shd w:val="clear" w:color="auto" w:fill="auto"/>
            <w:vAlign w:val="center"/>
          </w:tcPr>
          <w:p w:rsidR="00081AF5" w:rsidRPr="009672B5" w:rsidRDefault="00081AF5" w:rsidP="00081AF5">
            <w:pPr>
              <w:keepNext/>
              <w:spacing w:before="40" w:after="40"/>
              <w:rPr>
                <w:rFonts w:ascii="Arial Narrow" w:hAnsi="Arial Narrow"/>
                <w:sz w:val="20"/>
              </w:rPr>
            </w:pPr>
            <w:r w:rsidRPr="009672B5">
              <w:rPr>
                <w:rFonts w:ascii="Arial Narrow" w:hAnsi="Arial Narrow"/>
                <w:sz w:val="20"/>
              </w:rPr>
              <w:t>GO-AHEAD (OSI population)</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081AF5" w:rsidRPr="0092728B" w:rsidRDefault="0092728B" w:rsidP="00081AF5">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081AF5" w:rsidRPr="0092728B" w:rsidRDefault="0092728B" w:rsidP="00081AF5">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081AF5" w:rsidRPr="0092728B" w:rsidRDefault="0092728B" w:rsidP="00081AF5">
            <w:pPr>
              <w:keepNext/>
              <w:spacing w:before="40" w:after="40"/>
              <w:jc w:val="center"/>
              <w:rPr>
                <w:rFonts w:ascii="Arial Narrow" w:hAnsi="Arial Narrow"/>
                <w:b/>
                <w:sz w:val="20"/>
                <w:szCs w:val="20"/>
                <w:highlight w:val="black"/>
              </w:rPr>
            </w:pPr>
            <w:r>
              <w:rPr>
                <w:rFonts w:ascii="Arial Narrow" w:hAnsi="Arial Narrow"/>
                <w:b/>
                <w:noProof/>
                <w:color w:val="000000"/>
                <w:sz w:val="20"/>
                <w:szCs w:val="20"/>
                <w:highlight w:val="black"/>
              </w:rPr>
              <w:t>'''''''''</w:t>
            </w:r>
          </w:p>
          <w:p w:rsidR="00081AF5" w:rsidRPr="0092728B" w:rsidRDefault="0092728B" w:rsidP="00081AF5">
            <w:pPr>
              <w:keepNext/>
              <w:spacing w:before="40" w:after="40"/>
              <w:jc w:val="center"/>
              <w:rPr>
                <w:rFonts w:ascii="Arial Narrow" w:hAnsi="Arial Narrow"/>
                <w:sz w:val="20"/>
                <w:szCs w:val="20"/>
                <w:highlight w:val="black"/>
              </w:rPr>
            </w:pPr>
            <w:r>
              <w:rPr>
                <w:rFonts w:ascii="Arial Narrow" w:hAnsi="Arial Narrow"/>
                <w:b/>
                <w:noProof/>
                <w:color w:val="000000"/>
                <w:sz w:val="20"/>
                <w:szCs w:val="20"/>
                <w:highlight w:val="black"/>
              </w:rPr>
              <w:t xml:space="preserve"> '''''''''''' '''''''''''</w:t>
            </w:r>
          </w:p>
        </w:tc>
        <w:tc>
          <w:tcPr>
            <w:tcW w:w="6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81AF5" w:rsidRPr="0092728B" w:rsidRDefault="0092728B" w:rsidP="00081AF5">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552" w:type="pct"/>
            <w:shd w:val="clear" w:color="auto" w:fill="auto"/>
            <w:vAlign w:val="center"/>
          </w:tcPr>
          <w:p w:rsidR="00081AF5" w:rsidRPr="0092728B" w:rsidRDefault="0092728B" w:rsidP="00081AF5">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690" w:type="pct"/>
            <w:shd w:val="clear" w:color="auto" w:fill="auto"/>
            <w:vAlign w:val="center"/>
          </w:tcPr>
          <w:p w:rsidR="00081AF5" w:rsidRPr="0092728B" w:rsidRDefault="0092728B" w:rsidP="00081AF5">
            <w:pPr>
              <w:keepNext/>
              <w:spacing w:before="40" w:after="40"/>
              <w:jc w:val="center"/>
              <w:rPr>
                <w:rFonts w:ascii="Arial Narrow" w:hAnsi="Arial Narrow"/>
                <w:b/>
                <w:sz w:val="20"/>
                <w:highlight w:val="black"/>
              </w:rPr>
            </w:pPr>
            <w:r>
              <w:rPr>
                <w:rFonts w:ascii="Arial Narrow" w:hAnsi="Arial Narrow"/>
                <w:b/>
                <w:noProof/>
                <w:color w:val="000000"/>
                <w:sz w:val="20"/>
                <w:highlight w:val="black"/>
              </w:rPr>
              <w:t>''''''''''</w:t>
            </w:r>
          </w:p>
          <w:p w:rsidR="00081AF5" w:rsidRPr="0092728B" w:rsidRDefault="0092728B" w:rsidP="00081AF5">
            <w:pPr>
              <w:keepNext/>
              <w:spacing w:before="40" w:after="40"/>
              <w:jc w:val="center"/>
              <w:rPr>
                <w:rFonts w:ascii="Arial Narrow" w:hAnsi="Arial Narrow"/>
                <w:b/>
                <w:sz w:val="20"/>
                <w:highlight w:val="black"/>
              </w:rPr>
            </w:pPr>
            <w:r>
              <w:rPr>
                <w:rFonts w:ascii="Arial Narrow" w:hAnsi="Arial Narrow"/>
                <w:b/>
                <w:noProof/>
                <w:color w:val="000000"/>
                <w:sz w:val="20"/>
                <w:highlight w:val="black"/>
              </w:rPr>
              <w:t>''''''''''' ''''''''''</w:t>
            </w:r>
          </w:p>
        </w:tc>
      </w:tr>
    </w:tbl>
    <w:p w:rsidR="005F1741" w:rsidRPr="009672B5" w:rsidRDefault="005F1741" w:rsidP="005F1741">
      <w:pPr>
        <w:widowControl w:val="0"/>
        <w:spacing w:before="0" w:after="120"/>
        <w:contextualSpacing/>
        <w:jc w:val="both"/>
        <w:rPr>
          <w:rFonts w:ascii="Arial Narrow" w:eastAsia="Times New Roman" w:hAnsi="Arial Narrow" w:cs="Arial"/>
          <w:snapToGrid w:val="0"/>
          <w:sz w:val="18"/>
          <w:szCs w:val="20"/>
        </w:rPr>
      </w:pPr>
      <w:r w:rsidRPr="009672B5">
        <w:rPr>
          <w:rFonts w:ascii="Arial Narrow" w:eastAsia="Times New Roman" w:hAnsi="Arial Narrow" w:cs="Arial"/>
          <w:snapToGrid w:val="0"/>
          <w:sz w:val="18"/>
          <w:szCs w:val="20"/>
        </w:rPr>
        <w:t>* Response assessed after 16 weeks</w:t>
      </w:r>
    </w:p>
    <w:p w:rsidR="005F1741" w:rsidRPr="009672B5" w:rsidRDefault="005F1741" w:rsidP="005F1741">
      <w:pPr>
        <w:widowControl w:val="0"/>
        <w:spacing w:before="0" w:after="120"/>
        <w:contextualSpacing/>
        <w:jc w:val="both"/>
        <w:rPr>
          <w:rFonts w:ascii="Arial Narrow" w:eastAsia="Times New Roman" w:hAnsi="Arial Narrow" w:cs="Arial"/>
          <w:snapToGrid w:val="0"/>
          <w:sz w:val="18"/>
          <w:szCs w:val="20"/>
        </w:rPr>
      </w:pPr>
      <w:r w:rsidRPr="009672B5">
        <w:rPr>
          <w:rFonts w:ascii="Arial Narrow" w:eastAsia="Times New Roman" w:hAnsi="Arial Narrow" w:cs="Arial"/>
          <w:snapToGrid w:val="0"/>
          <w:sz w:val="18"/>
          <w:szCs w:val="20"/>
        </w:rPr>
        <w:t>RD = risk difference; RR = risk ratio; OSI = objective signs of inflammation</w:t>
      </w:r>
    </w:p>
    <w:p w:rsidR="005F1741" w:rsidRPr="009672B5" w:rsidRDefault="005F1741" w:rsidP="005F1741">
      <w:pPr>
        <w:widowControl w:val="0"/>
        <w:spacing w:before="0" w:after="120"/>
        <w:contextualSpacing/>
        <w:jc w:val="both"/>
        <w:rPr>
          <w:rFonts w:ascii="Arial Narrow" w:eastAsia="Times New Roman" w:hAnsi="Arial Narrow" w:cs="Arial"/>
          <w:snapToGrid w:val="0"/>
          <w:sz w:val="18"/>
          <w:szCs w:val="20"/>
        </w:rPr>
      </w:pPr>
      <w:r w:rsidRPr="009672B5">
        <w:rPr>
          <w:rFonts w:ascii="Arial Narrow" w:eastAsia="Times New Roman" w:hAnsi="Arial Narrow" w:cs="Arial"/>
          <w:snapToGrid w:val="0"/>
          <w:sz w:val="18"/>
          <w:szCs w:val="20"/>
        </w:rPr>
        <w:t>Source: Table 2.5.1 and Table 2.6.1, p85 and p115 of the submission</w:t>
      </w:r>
    </w:p>
    <w:p w:rsidR="005F1741" w:rsidRPr="009672B5" w:rsidRDefault="005F1741" w:rsidP="005F1741">
      <w:pPr>
        <w:widowControl w:val="0"/>
        <w:spacing w:before="0" w:after="120"/>
        <w:contextualSpacing/>
        <w:jc w:val="both"/>
        <w:rPr>
          <w:rFonts w:ascii="Arial Narrow" w:eastAsia="Times New Roman" w:hAnsi="Arial Narrow" w:cs="Arial"/>
          <w:snapToGrid w:val="0"/>
          <w:sz w:val="18"/>
          <w:szCs w:val="20"/>
        </w:rPr>
      </w:pPr>
    </w:p>
    <w:p w:rsidR="00081AF5" w:rsidRPr="009672B5" w:rsidRDefault="00081AF5" w:rsidP="00BB68CD">
      <w:pPr>
        <w:numPr>
          <w:ilvl w:val="1"/>
          <w:numId w:val="1"/>
        </w:numPr>
        <w:spacing w:before="0" w:after="0"/>
        <w:jc w:val="both"/>
      </w:pPr>
      <w:r w:rsidRPr="009672B5">
        <w:t>On the basis of direct evidence presented by the submission, for every 100 patients treated with golimumab in comparison to placebo; in the whole trial population:</w:t>
      </w:r>
    </w:p>
    <w:p w:rsidR="00081AF5" w:rsidRPr="009672B5" w:rsidRDefault="00081AF5" w:rsidP="00BB68CD">
      <w:pPr>
        <w:numPr>
          <w:ilvl w:val="0"/>
          <w:numId w:val="3"/>
        </w:numPr>
        <w:spacing w:before="0" w:after="0"/>
        <w:ind w:left="993" w:hanging="284"/>
        <w:jc w:val="both"/>
      </w:pPr>
      <w:r w:rsidRPr="009672B5">
        <w:t xml:space="preserve">approximately </w:t>
      </w:r>
      <w:r w:rsidR="0092728B">
        <w:rPr>
          <w:noProof/>
          <w:color w:val="000000"/>
          <w:highlight w:val="black"/>
        </w:rPr>
        <w:t>'''''</w:t>
      </w:r>
      <w:r w:rsidRPr="009672B5">
        <w:t xml:space="preserve"> additional patients would have an ASAS 20 response over a maximum duration of exposure of 16 weeks; and</w:t>
      </w:r>
    </w:p>
    <w:p w:rsidR="00081AF5" w:rsidRPr="009672B5" w:rsidRDefault="00081AF5" w:rsidP="00BB68CD">
      <w:pPr>
        <w:numPr>
          <w:ilvl w:val="0"/>
          <w:numId w:val="3"/>
        </w:numPr>
        <w:spacing w:before="0" w:after="120"/>
        <w:ind w:left="993" w:hanging="284"/>
        <w:jc w:val="both"/>
      </w:pPr>
      <w:r w:rsidRPr="009672B5">
        <w:t xml:space="preserve">approximately </w:t>
      </w:r>
      <w:r w:rsidR="0092728B">
        <w:rPr>
          <w:noProof/>
          <w:color w:val="000000"/>
          <w:highlight w:val="black"/>
        </w:rPr>
        <w:t>'''''</w:t>
      </w:r>
      <w:r w:rsidRPr="009672B5">
        <w:t xml:space="preserve"> additional patients would have a BASDAI 50 response over a maximum duration of exposure of 16 weeks.</w:t>
      </w:r>
    </w:p>
    <w:p w:rsidR="00081AF5" w:rsidRPr="009672B5" w:rsidRDefault="005F1741" w:rsidP="00BB68CD">
      <w:pPr>
        <w:numPr>
          <w:ilvl w:val="1"/>
          <w:numId w:val="1"/>
        </w:numPr>
        <w:spacing w:before="0" w:after="0"/>
        <w:ind w:left="578" w:hanging="578"/>
        <w:jc w:val="both"/>
      </w:pPr>
      <w:r w:rsidRPr="009672B5">
        <w:t>On the basis of direct evidence presented by the submission, for every 100 patients treated with golimu</w:t>
      </w:r>
      <w:r w:rsidR="00081AF5" w:rsidRPr="009672B5">
        <w:t>ma</w:t>
      </w:r>
      <w:r w:rsidRPr="009672B5">
        <w:t>b in comparison to placebo</w:t>
      </w:r>
      <w:r w:rsidR="00081AF5" w:rsidRPr="009672B5">
        <w:t>; i</w:t>
      </w:r>
      <w:r w:rsidRPr="009672B5">
        <w:t>n the population with objective signs of inflammation</w:t>
      </w:r>
      <w:r w:rsidR="00081AF5" w:rsidRPr="009672B5">
        <w:t>:</w:t>
      </w:r>
    </w:p>
    <w:p w:rsidR="00081AF5" w:rsidRPr="009672B5" w:rsidRDefault="005F1741" w:rsidP="00BB68CD">
      <w:pPr>
        <w:numPr>
          <w:ilvl w:val="0"/>
          <w:numId w:val="3"/>
        </w:numPr>
        <w:spacing w:before="0" w:after="0"/>
        <w:ind w:left="993" w:hanging="284"/>
        <w:jc w:val="both"/>
      </w:pPr>
      <w:r w:rsidRPr="009672B5">
        <w:t xml:space="preserve">approximately </w:t>
      </w:r>
      <w:r w:rsidR="0092728B">
        <w:rPr>
          <w:noProof/>
          <w:color w:val="000000"/>
          <w:highlight w:val="black"/>
        </w:rPr>
        <w:t>''''''</w:t>
      </w:r>
      <w:r w:rsidRPr="009672B5">
        <w:t xml:space="preserve"> additional patients would have an ASAS 20 response over a maximum duration of exposure of 16 weeks</w:t>
      </w:r>
      <w:r w:rsidR="00081AF5" w:rsidRPr="009672B5">
        <w:t>; and</w:t>
      </w:r>
    </w:p>
    <w:p w:rsidR="005F1741" w:rsidRPr="009672B5" w:rsidRDefault="00081AF5" w:rsidP="00BB68CD">
      <w:pPr>
        <w:numPr>
          <w:ilvl w:val="0"/>
          <w:numId w:val="3"/>
        </w:numPr>
        <w:spacing w:before="0" w:after="120"/>
        <w:ind w:left="993" w:hanging="284"/>
        <w:jc w:val="both"/>
      </w:pPr>
      <w:r w:rsidRPr="009672B5">
        <w:t xml:space="preserve">approximately </w:t>
      </w:r>
      <w:r w:rsidR="0092728B">
        <w:rPr>
          <w:noProof/>
          <w:color w:val="000000"/>
          <w:highlight w:val="black"/>
        </w:rPr>
        <w:t>''''''</w:t>
      </w:r>
      <w:r w:rsidRPr="009672B5">
        <w:t xml:space="preserve"> additional patients would have a BASDAI 50 response over a maximum duration of exposure of 16 weeks</w:t>
      </w:r>
      <w:r w:rsidR="005F1741" w:rsidRPr="009672B5">
        <w:t>.</w:t>
      </w:r>
    </w:p>
    <w:p w:rsidR="00DA064C" w:rsidRPr="009672B5" w:rsidRDefault="007B6397" w:rsidP="00BB68CD">
      <w:pPr>
        <w:numPr>
          <w:ilvl w:val="1"/>
          <w:numId w:val="1"/>
        </w:numPr>
        <w:spacing w:before="0" w:after="120"/>
        <w:jc w:val="both"/>
      </w:pPr>
      <w:r w:rsidRPr="009672B5">
        <w:t xml:space="preserve">The ESC noted </w:t>
      </w:r>
      <w:r w:rsidR="00F9334F" w:rsidRPr="009672B5">
        <w:t>no statistically significant differences were observed for any of the reported adverse events between golimumab and placebo during the randomised phase of the GO-AHEAD trial,</w:t>
      </w:r>
      <w:r w:rsidRPr="009672B5">
        <w:t xml:space="preserve"> but considered that given GO-AHEAD excluded patients with a history of infections, and its short duration (16 weeks), the </w:t>
      </w:r>
      <w:r w:rsidR="00CA7293" w:rsidRPr="009672B5">
        <w:t xml:space="preserve">possibility </w:t>
      </w:r>
      <w:r w:rsidRPr="009672B5">
        <w:t xml:space="preserve">remained </w:t>
      </w:r>
      <w:r w:rsidR="009220D7" w:rsidRPr="009672B5">
        <w:t xml:space="preserve">of </w:t>
      </w:r>
      <w:r w:rsidRPr="009672B5">
        <w:t xml:space="preserve">an </w:t>
      </w:r>
      <w:r w:rsidR="00CA7293" w:rsidRPr="009672B5">
        <w:t xml:space="preserve">increased risk of infection with golimumab </w:t>
      </w:r>
      <w:r w:rsidR="009220D7" w:rsidRPr="009672B5">
        <w:t xml:space="preserve">that </w:t>
      </w:r>
      <w:r w:rsidR="00CA7293" w:rsidRPr="009672B5">
        <w:t>would not be detected</w:t>
      </w:r>
      <w:r w:rsidR="009220D7" w:rsidRPr="009672B5">
        <w:t xml:space="preserve"> within the trial</w:t>
      </w:r>
      <w:r w:rsidRPr="009672B5">
        <w:t xml:space="preserve">. </w:t>
      </w:r>
    </w:p>
    <w:p w:rsidR="005F1741" w:rsidRPr="009672B5" w:rsidRDefault="005F1741" w:rsidP="002B0C11">
      <w:pPr>
        <w:pStyle w:val="Heading2"/>
        <w:rPr>
          <w:i w:val="0"/>
        </w:rPr>
      </w:pPr>
      <w:bookmarkStart w:id="14" w:name="_Toc492522247"/>
      <w:r w:rsidRPr="009672B5">
        <w:rPr>
          <w:i w:val="0"/>
        </w:rPr>
        <w:t>Interpretation of clinical evidence</w:t>
      </w:r>
      <w:bookmarkEnd w:id="14"/>
    </w:p>
    <w:p w:rsidR="005F1741" w:rsidRPr="009672B5" w:rsidRDefault="005F1741" w:rsidP="00BB68CD">
      <w:pPr>
        <w:numPr>
          <w:ilvl w:val="1"/>
          <w:numId w:val="1"/>
        </w:numPr>
        <w:spacing w:before="0" w:after="0"/>
        <w:ind w:left="578" w:hanging="578"/>
        <w:jc w:val="both"/>
      </w:pPr>
      <w:r w:rsidRPr="009672B5">
        <w:t xml:space="preserve">The submission described </w:t>
      </w:r>
      <w:r w:rsidR="00DA064C" w:rsidRPr="009672B5">
        <w:t xml:space="preserve">golimumab </w:t>
      </w:r>
      <w:r w:rsidRPr="009672B5">
        <w:t xml:space="preserve">as superior in terms of comparative effectiveness and non-inferior in terms of comparative safety compared to placebo. </w:t>
      </w:r>
      <w:r w:rsidR="007A7F6D" w:rsidRPr="009672B5">
        <w:rPr>
          <w:rFonts w:cs="Calibri"/>
          <w:iCs/>
          <w:lang w:eastAsia="en-AU"/>
        </w:rPr>
        <w:t xml:space="preserve">The ESC considered that there was evidence of superiority in effectiveness within the </w:t>
      </w:r>
      <w:r w:rsidR="007A7F6D" w:rsidRPr="009672B5">
        <w:rPr>
          <w:rFonts w:cs="Calibri"/>
          <w:iCs/>
          <w:lang w:eastAsia="en-AU"/>
        </w:rPr>
        <w:lastRenderedPageBreak/>
        <w:t>randomi</w:t>
      </w:r>
      <w:r w:rsidR="002F7EEC" w:rsidRPr="009672B5">
        <w:rPr>
          <w:rFonts w:cs="Calibri"/>
          <w:iCs/>
          <w:lang w:eastAsia="en-AU"/>
        </w:rPr>
        <w:t>s</w:t>
      </w:r>
      <w:r w:rsidR="007A7F6D" w:rsidRPr="009672B5">
        <w:rPr>
          <w:rFonts w:cs="Calibri"/>
          <w:iCs/>
          <w:lang w:eastAsia="en-AU"/>
        </w:rPr>
        <w:t xml:space="preserve">ed trial period, but no </w:t>
      </w:r>
      <w:r w:rsidR="008A06CE" w:rsidRPr="009672B5">
        <w:rPr>
          <w:rFonts w:cs="Calibri"/>
          <w:iCs/>
          <w:lang w:eastAsia="en-AU"/>
        </w:rPr>
        <w:t xml:space="preserve">comparative </w:t>
      </w:r>
      <w:r w:rsidR="007A7F6D" w:rsidRPr="009672B5">
        <w:rPr>
          <w:rFonts w:cs="Calibri"/>
          <w:iCs/>
          <w:lang w:eastAsia="en-AU"/>
        </w:rPr>
        <w:t>evidence was presented to support the claim over the longer term, and that golimumab has an inferior safety profile</w:t>
      </w:r>
      <w:r w:rsidR="007B6397" w:rsidRPr="009672B5">
        <w:rPr>
          <w:rFonts w:cs="Calibri"/>
          <w:iCs/>
          <w:lang w:eastAsia="en-AU"/>
        </w:rPr>
        <w:t>. The</w:t>
      </w:r>
      <w:r w:rsidR="00767E97">
        <w:rPr>
          <w:rFonts w:cs="Calibri"/>
          <w:iCs/>
          <w:lang w:eastAsia="en-AU"/>
        </w:rPr>
        <w:t xml:space="preserve"> ESC considered the</w:t>
      </w:r>
      <w:r w:rsidR="007B6397" w:rsidRPr="009672B5">
        <w:rPr>
          <w:rFonts w:cs="Calibri"/>
          <w:iCs/>
          <w:lang w:eastAsia="en-AU"/>
        </w:rPr>
        <w:t xml:space="preserve"> clinical claim</w:t>
      </w:r>
      <w:r w:rsidR="008A06CE" w:rsidRPr="009672B5">
        <w:rPr>
          <w:rFonts w:cs="Calibri"/>
          <w:iCs/>
          <w:lang w:eastAsia="en-AU"/>
        </w:rPr>
        <w:t xml:space="preserve"> in the submission was inadequately supported for</w:t>
      </w:r>
      <w:r w:rsidR="009F0323" w:rsidRPr="009672B5">
        <w:rPr>
          <w:rFonts w:cs="Calibri"/>
          <w:iCs/>
          <w:lang w:eastAsia="en-AU"/>
        </w:rPr>
        <w:t xml:space="preserve"> the</w:t>
      </w:r>
      <w:r w:rsidR="008A06CE" w:rsidRPr="009672B5">
        <w:rPr>
          <w:rFonts w:cs="Calibri"/>
          <w:iCs/>
          <w:lang w:eastAsia="en-AU"/>
        </w:rPr>
        <w:t xml:space="preserve"> following reasons:</w:t>
      </w:r>
    </w:p>
    <w:p w:rsidR="005F1741" w:rsidRPr="009672B5" w:rsidRDefault="005F1741" w:rsidP="008C7FD4">
      <w:pPr>
        <w:numPr>
          <w:ilvl w:val="0"/>
          <w:numId w:val="3"/>
        </w:numPr>
        <w:spacing w:before="0" w:after="120"/>
        <w:ind w:left="993" w:hanging="284"/>
        <w:contextualSpacing/>
        <w:jc w:val="both"/>
      </w:pPr>
      <w:r w:rsidRPr="009672B5">
        <w:t>The analysis for the OSI population, while it was pre-specified, was a subgroup ana</w:t>
      </w:r>
      <w:r w:rsidR="00081AF5" w:rsidRPr="009672B5">
        <w:t>l</w:t>
      </w:r>
      <w:r w:rsidRPr="009672B5">
        <w:t xml:space="preserve">ysis and there was some </w:t>
      </w:r>
      <w:r w:rsidR="00DA064C" w:rsidRPr="009672B5">
        <w:t xml:space="preserve">uncertainty </w:t>
      </w:r>
      <w:r w:rsidRPr="009672B5">
        <w:t xml:space="preserve">over whether OSI </w:t>
      </w:r>
      <w:r w:rsidR="00DA064C" w:rsidRPr="009672B5">
        <w:t>wa</w:t>
      </w:r>
      <w:r w:rsidRPr="009672B5">
        <w:t>s a treatment effect modifier.</w:t>
      </w:r>
    </w:p>
    <w:p w:rsidR="007F545B" w:rsidRPr="007F545B" w:rsidRDefault="005F1741" w:rsidP="00F86063">
      <w:pPr>
        <w:numPr>
          <w:ilvl w:val="0"/>
          <w:numId w:val="3"/>
        </w:numPr>
        <w:spacing w:before="0" w:after="120"/>
        <w:ind w:left="993" w:hanging="284"/>
        <w:contextualSpacing/>
        <w:jc w:val="both"/>
      </w:pPr>
      <w:r w:rsidRPr="009672B5">
        <w:t>The randomised phase of the trial was only 16 weeks in duration and this was not sufficient to determine incremental benefit over a longer period of time</w:t>
      </w:r>
      <w:r w:rsidR="007F545B">
        <w:t xml:space="preserve"> </w:t>
      </w:r>
      <w:r w:rsidR="00840292">
        <w:t>or long enough</w:t>
      </w:r>
      <w:r w:rsidR="007F545B" w:rsidRPr="007F545B">
        <w:t xml:space="preserve"> to allow adequate comparative assessment of safety.</w:t>
      </w:r>
    </w:p>
    <w:p w:rsidR="005F1741" w:rsidRPr="009672B5" w:rsidRDefault="005F1741" w:rsidP="008C7FD4">
      <w:pPr>
        <w:numPr>
          <w:ilvl w:val="0"/>
          <w:numId w:val="3"/>
        </w:numPr>
        <w:spacing w:before="0" w:after="120"/>
        <w:ind w:left="993" w:hanging="284"/>
        <w:contextualSpacing/>
        <w:jc w:val="both"/>
      </w:pPr>
      <w:r w:rsidRPr="009672B5">
        <w:t xml:space="preserve">The trial outcomes did not report on whether golimumab might have an incremental benefit over placebo on disease progression or structural damage. </w:t>
      </w:r>
    </w:p>
    <w:p w:rsidR="005F1741" w:rsidRDefault="005F1741" w:rsidP="008C7FD4">
      <w:pPr>
        <w:numPr>
          <w:ilvl w:val="0"/>
          <w:numId w:val="3"/>
        </w:numPr>
        <w:spacing w:before="0" w:after="120"/>
        <w:ind w:left="993" w:hanging="284"/>
        <w:contextualSpacing/>
        <w:jc w:val="both"/>
      </w:pPr>
      <w:r w:rsidRPr="009672B5">
        <w:t>While the GO-AHEAD trial did not show golimumab to be inferior to placebo in terms of safety, this was not the same as demonstrating non-inferiority. With the trial excluding patients with a history of infections, and with the randomised phase of the trial being limited to 16 weeks, there was the possibility that increased risk of infection with golimumab would not be detected. As the risk of serious infection was identified in the extended assessment of comparative harms a claim of inferior safety was considered to be more appropriate.</w:t>
      </w:r>
    </w:p>
    <w:p w:rsidR="002A13C6" w:rsidRPr="00F80313" w:rsidRDefault="002A13C6" w:rsidP="008C7FD4">
      <w:pPr>
        <w:numPr>
          <w:ilvl w:val="0"/>
          <w:numId w:val="3"/>
        </w:numPr>
        <w:spacing w:before="0" w:after="120"/>
        <w:ind w:left="993" w:hanging="284"/>
        <w:jc w:val="both"/>
      </w:pPr>
      <w:r>
        <w:t>T</w:t>
      </w:r>
      <w:r w:rsidRPr="002A13C6">
        <w:t xml:space="preserve">he efficacy reported in the GO-AHEAD trial </w:t>
      </w:r>
      <w:r>
        <w:t>may not</w:t>
      </w:r>
      <w:r w:rsidRPr="002A13C6">
        <w:t xml:space="preserve"> be representative of the efficacy in the proposed PBS population given that in the OSI subgroup (</w:t>
      </w:r>
      <w:r>
        <w:t xml:space="preserve">i.e. the </w:t>
      </w:r>
      <w:r w:rsidR="008E3038">
        <w:t>sub</w:t>
      </w:r>
      <w:r>
        <w:t>group that the clinical claim was based on</w:t>
      </w:r>
      <w:r w:rsidRPr="002A13C6">
        <w:t xml:space="preserve">), only </w:t>
      </w:r>
      <w:r w:rsidR="0092728B">
        <w:rPr>
          <w:noProof/>
          <w:color w:val="000000"/>
          <w:highlight w:val="black"/>
        </w:rPr>
        <w:t>''''''''</w:t>
      </w:r>
      <w:r w:rsidRPr="002A13C6">
        <w:t xml:space="preserve">% patients met the </w:t>
      </w:r>
      <w:r w:rsidRPr="00F80313">
        <w:t>proposed PBS restriction criteria of failing two or more NSAIDs.</w:t>
      </w:r>
    </w:p>
    <w:p w:rsidR="00BB68CD" w:rsidRPr="009A036F" w:rsidRDefault="00F80313" w:rsidP="008C7FD4">
      <w:pPr>
        <w:numPr>
          <w:ilvl w:val="1"/>
          <w:numId w:val="1"/>
        </w:numPr>
        <w:spacing w:before="0" w:after="120"/>
        <w:ind w:left="578" w:hanging="578"/>
        <w:jc w:val="both"/>
        <w:rPr>
          <w:rFonts w:cs="Arial"/>
          <w:snapToGrid w:val="0"/>
          <w:szCs w:val="20"/>
        </w:rPr>
      </w:pPr>
      <w:r w:rsidRPr="009A036F">
        <w:rPr>
          <w:rFonts w:cs="Arial"/>
          <w:snapToGrid w:val="0"/>
          <w:szCs w:val="20"/>
        </w:rPr>
        <w:t>The PBAC considered that the claim of superior comparative effectiveness was reasonable</w:t>
      </w:r>
      <w:r w:rsidR="005933F1" w:rsidRPr="009A036F">
        <w:rPr>
          <w:rFonts w:cs="Arial"/>
          <w:snapToGrid w:val="0"/>
          <w:szCs w:val="20"/>
        </w:rPr>
        <w:t>, but the magnitude of the incremental benefit was not well-supported due to</w:t>
      </w:r>
      <w:r>
        <w:rPr>
          <w:rFonts w:cs="Arial"/>
          <w:snapToGrid w:val="0"/>
          <w:szCs w:val="20"/>
        </w:rPr>
        <w:t>:</w:t>
      </w:r>
      <w:r w:rsidR="005933F1" w:rsidRPr="009A036F">
        <w:rPr>
          <w:rFonts w:cs="Arial"/>
          <w:snapToGrid w:val="0"/>
          <w:szCs w:val="20"/>
        </w:rPr>
        <w:t xml:space="preserve"> the </w:t>
      </w:r>
      <w:r>
        <w:rPr>
          <w:rFonts w:cs="Arial"/>
          <w:snapToGrid w:val="0"/>
          <w:szCs w:val="20"/>
        </w:rPr>
        <w:t xml:space="preserve">reliance on data from a </w:t>
      </w:r>
      <w:r w:rsidR="005933F1" w:rsidRPr="009A036F">
        <w:rPr>
          <w:rFonts w:cs="Arial"/>
          <w:snapToGrid w:val="0"/>
          <w:szCs w:val="20"/>
        </w:rPr>
        <w:t>subgroup</w:t>
      </w:r>
      <w:r>
        <w:rPr>
          <w:rFonts w:cs="Arial"/>
          <w:snapToGrid w:val="0"/>
          <w:szCs w:val="20"/>
        </w:rPr>
        <w:t xml:space="preserve"> of the total trial population; the</w:t>
      </w:r>
      <w:r w:rsidR="005933F1" w:rsidRPr="009A036F">
        <w:rPr>
          <w:rFonts w:cs="Arial"/>
          <w:snapToGrid w:val="0"/>
          <w:szCs w:val="20"/>
        </w:rPr>
        <w:t xml:space="preserve"> short duration of the randomised </w:t>
      </w:r>
      <w:r>
        <w:rPr>
          <w:rFonts w:cs="Arial"/>
          <w:snapToGrid w:val="0"/>
          <w:szCs w:val="20"/>
        </w:rPr>
        <w:t xml:space="preserve">trial </w:t>
      </w:r>
      <w:r w:rsidR="005933F1" w:rsidRPr="009A036F">
        <w:rPr>
          <w:rFonts w:cs="Arial"/>
          <w:snapToGrid w:val="0"/>
          <w:szCs w:val="20"/>
        </w:rPr>
        <w:t xml:space="preserve">for a long-term treatment; and </w:t>
      </w:r>
      <w:r>
        <w:rPr>
          <w:rFonts w:cs="Arial"/>
          <w:snapToGrid w:val="0"/>
          <w:szCs w:val="20"/>
        </w:rPr>
        <w:t xml:space="preserve">the lack of applicability to the requested restriction given that </w:t>
      </w:r>
      <w:r w:rsidR="005933F1" w:rsidRPr="009A036F">
        <w:rPr>
          <w:rFonts w:cs="Arial"/>
          <w:snapToGrid w:val="0"/>
          <w:szCs w:val="20"/>
        </w:rPr>
        <w:t xml:space="preserve">only </w:t>
      </w:r>
      <w:r w:rsidR="0092728B">
        <w:rPr>
          <w:rFonts w:cs="Arial"/>
          <w:noProof/>
          <w:snapToGrid w:val="0"/>
          <w:color w:val="000000"/>
          <w:szCs w:val="20"/>
          <w:highlight w:val="black"/>
        </w:rPr>
        <w:t>''''''''</w:t>
      </w:r>
      <w:r w:rsidR="005933F1" w:rsidRPr="009A036F">
        <w:rPr>
          <w:rFonts w:cs="Arial"/>
          <w:snapToGrid w:val="0"/>
          <w:szCs w:val="20"/>
        </w:rPr>
        <w:t xml:space="preserve">% of the trial population </w:t>
      </w:r>
      <w:r>
        <w:rPr>
          <w:rFonts w:cs="Arial"/>
          <w:snapToGrid w:val="0"/>
          <w:szCs w:val="20"/>
        </w:rPr>
        <w:t>had</w:t>
      </w:r>
      <w:r w:rsidR="005933F1" w:rsidRPr="009A036F">
        <w:rPr>
          <w:rFonts w:cs="Arial"/>
          <w:snapToGrid w:val="0"/>
          <w:szCs w:val="20"/>
        </w:rPr>
        <w:t xml:space="preserve"> failed two or more NSAIDs.</w:t>
      </w:r>
    </w:p>
    <w:p w:rsidR="00F80313" w:rsidRPr="00F80313" w:rsidRDefault="00F80313" w:rsidP="00F80313">
      <w:pPr>
        <w:numPr>
          <w:ilvl w:val="1"/>
          <w:numId w:val="1"/>
        </w:numPr>
        <w:spacing w:before="0" w:after="120"/>
        <w:ind w:left="578" w:hanging="578"/>
        <w:jc w:val="both"/>
        <w:rPr>
          <w:rFonts w:cs="Arial"/>
          <w:snapToGrid w:val="0"/>
          <w:szCs w:val="20"/>
        </w:rPr>
      </w:pPr>
      <w:bookmarkStart w:id="15" w:name="_Toc413139282"/>
      <w:bookmarkStart w:id="16" w:name="_Toc492522248"/>
      <w:r w:rsidRPr="00F80313">
        <w:rPr>
          <w:rFonts w:cs="Arial"/>
          <w:snapToGrid w:val="0"/>
          <w:szCs w:val="20"/>
        </w:rPr>
        <w:t>The PBAC considered that the claim of non-inferior comparative safety was not adequately supported by the data as the longer term risk</w:t>
      </w:r>
      <w:r w:rsidR="00A75FE7">
        <w:rPr>
          <w:rFonts w:cs="Arial"/>
          <w:snapToGrid w:val="0"/>
          <w:szCs w:val="20"/>
        </w:rPr>
        <w:t>s</w:t>
      </w:r>
      <w:r w:rsidRPr="00F80313">
        <w:rPr>
          <w:rFonts w:cs="Arial"/>
          <w:snapToGrid w:val="0"/>
          <w:szCs w:val="20"/>
        </w:rPr>
        <w:t xml:space="preserve"> in clinical practice w</w:t>
      </w:r>
      <w:r w:rsidR="00A75FE7">
        <w:rPr>
          <w:rFonts w:cs="Arial"/>
          <w:snapToGrid w:val="0"/>
          <w:szCs w:val="20"/>
        </w:rPr>
        <w:t>ere</w:t>
      </w:r>
      <w:r w:rsidRPr="00F80313">
        <w:rPr>
          <w:rFonts w:cs="Arial"/>
          <w:snapToGrid w:val="0"/>
          <w:szCs w:val="20"/>
        </w:rPr>
        <w:t xml:space="preserve"> not known.</w:t>
      </w:r>
    </w:p>
    <w:p w:rsidR="00C317F3" w:rsidRPr="009672B5" w:rsidRDefault="00C317F3" w:rsidP="00772501">
      <w:pPr>
        <w:pStyle w:val="Heading2"/>
        <w:rPr>
          <w:i w:val="0"/>
        </w:rPr>
      </w:pPr>
      <w:r w:rsidRPr="00F80313">
        <w:rPr>
          <w:i w:val="0"/>
        </w:rPr>
        <w:t>Economic analysis</w:t>
      </w:r>
      <w:bookmarkEnd w:id="15"/>
      <w:bookmarkEnd w:id="16"/>
    </w:p>
    <w:p w:rsidR="00C317F3" w:rsidRPr="009672B5" w:rsidRDefault="00B326CD" w:rsidP="00BB68CD">
      <w:pPr>
        <w:pStyle w:val="ListParagraph"/>
        <w:numPr>
          <w:ilvl w:val="1"/>
          <w:numId w:val="1"/>
        </w:numPr>
        <w:spacing w:before="0" w:after="120"/>
        <w:jc w:val="both"/>
      </w:pPr>
      <w:r w:rsidRPr="009672B5">
        <w:t xml:space="preserve">A </w:t>
      </w:r>
      <w:r w:rsidR="00C838AA" w:rsidRPr="009672B5">
        <w:t xml:space="preserve">stepped economic evaluation based on </w:t>
      </w:r>
      <w:r w:rsidR="001B69B9" w:rsidRPr="009672B5">
        <w:t>the</w:t>
      </w:r>
      <w:r w:rsidR="00C838AA" w:rsidRPr="009672B5">
        <w:t xml:space="preserve"> 16 week direct randomised trial </w:t>
      </w:r>
      <w:r w:rsidR="001B69B9" w:rsidRPr="009672B5">
        <w:t xml:space="preserve">(GO-AHEAD Part I) </w:t>
      </w:r>
      <w:r w:rsidR="00C838AA" w:rsidRPr="009672B5">
        <w:t>comparing golimumab</w:t>
      </w:r>
      <w:r w:rsidR="00137049" w:rsidRPr="009672B5">
        <w:t xml:space="preserve"> </w:t>
      </w:r>
      <w:r w:rsidR="00C838AA" w:rsidRPr="009672B5">
        <w:t>+</w:t>
      </w:r>
      <w:r w:rsidR="00137049" w:rsidRPr="009672B5">
        <w:t xml:space="preserve"> CC </w:t>
      </w:r>
      <w:r w:rsidR="00C838AA" w:rsidRPr="009672B5">
        <w:t>versus placebo</w:t>
      </w:r>
      <w:r w:rsidR="00137049" w:rsidRPr="009672B5">
        <w:t xml:space="preserve"> </w:t>
      </w:r>
      <w:r w:rsidR="00C838AA" w:rsidRPr="009672B5">
        <w:t>+</w:t>
      </w:r>
      <w:r w:rsidR="00137049" w:rsidRPr="009672B5">
        <w:t xml:space="preserve"> CC</w:t>
      </w:r>
      <w:r w:rsidR="00C838AA" w:rsidRPr="009672B5">
        <w:t xml:space="preserve"> </w:t>
      </w:r>
      <w:r w:rsidR="00137049" w:rsidRPr="009672B5">
        <w:t>in nr-axSpA patients</w:t>
      </w:r>
      <w:r w:rsidR="00137049" w:rsidRPr="009672B5">
        <w:rPr>
          <w:rFonts w:cs="Calibri"/>
          <w:lang w:eastAsia="en-AU"/>
        </w:rPr>
        <w:t xml:space="preserve"> who have </w:t>
      </w:r>
      <w:r w:rsidR="001B69B9" w:rsidRPr="009672B5">
        <w:rPr>
          <w:rFonts w:cs="Calibri"/>
          <w:lang w:eastAsia="en-AU"/>
        </w:rPr>
        <w:t>OSI</w:t>
      </w:r>
      <w:r w:rsidR="009220D7" w:rsidRPr="009672B5">
        <w:rPr>
          <w:rFonts w:cs="Calibri"/>
          <w:lang w:eastAsia="en-AU"/>
        </w:rPr>
        <w:t>,</w:t>
      </w:r>
      <w:r w:rsidR="001B69B9" w:rsidRPr="009672B5">
        <w:rPr>
          <w:rFonts w:cs="Calibri"/>
          <w:lang w:eastAsia="en-AU"/>
        </w:rPr>
        <w:t xml:space="preserve"> </w:t>
      </w:r>
      <w:r w:rsidR="00137049" w:rsidRPr="009672B5">
        <w:t>and</w:t>
      </w:r>
      <w:r w:rsidR="00C838AA" w:rsidRPr="009672B5">
        <w:t xml:space="preserve"> a modelled economic evaluation based on </w:t>
      </w:r>
      <w:r w:rsidR="001B69B9" w:rsidRPr="009672B5">
        <w:t>the</w:t>
      </w:r>
      <w:r w:rsidR="00C838AA" w:rsidRPr="009672B5">
        <w:t xml:space="preserve"> 52 week open-label extension of the trial </w:t>
      </w:r>
      <w:r w:rsidR="001B69B9" w:rsidRPr="009672B5">
        <w:t xml:space="preserve">(GO-AHEAD Part II) </w:t>
      </w:r>
      <w:r w:rsidR="00C838AA" w:rsidRPr="009672B5">
        <w:t>was conducted</w:t>
      </w:r>
      <w:r w:rsidR="00137049" w:rsidRPr="009672B5">
        <w:t>.</w:t>
      </w:r>
    </w:p>
    <w:p w:rsidR="00DE4795" w:rsidRPr="009672B5" w:rsidRDefault="00D57166" w:rsidP="00BB68CD">
      <w:pPr>
        <w:pStyle w:val="ListParagraph"/>
        <w:numPr>
          <w:ilvl w:val="1"/>
          <w:numId w:val="1"/>
        </w:numPr>
        <w:spacing w:before="0" w:after="120"/>
        <w:jc w:val="both"/>
      </w:pPr>
      <w:r w:rsidRPr="009672B5">
        <w:t>The ESC noted that while the initial period of the model was based on data from the GO-AHEAD trial, m</w:t>
      </w:r>
      <w:r w:rsidR="00DE4795" w:rsidRPr="009672B5">
        <w:t xml:space="preserve">uch of the model structure and assumptions, and some data inputs </w:t>
      </w:r>
      <w:r w:rsidR="00373938" w:rsidRPr="009672B5">
        <w:t xml:space="preserve">were </w:t>
      </w:r>
      <w:r w:rsidR="00DE4795" w:rsidRPr="009672B5">
        <w:t>based on a 2016 NICE de-novo model assessing the cost-effectiveness of TFN-α-inhibitors in AS and nr-axSpA populations</w:t>
      </w:r>
      <w:r w:rsidR="00EE180E" w:rsidRPr="009672B5">
        <w:t xml:space="preserve"> (Corbett, 2016)</w:t>
      </w:r>
      <w:r w:rsidR="00DE4795" w:rsidRPr="009672B5">
        <w:t xml:space="preserve">, which was identified in </w:t>
      </w:r>
      <w:r w:rsidR="00373938" w:rsidRPr="009672B5">
        <w:t xml:space="preserve">a </w:t>
      </w:r>
      <w:r w:rsidR="00DE4795" w:rsidRPr="009672B5">
        <w:t>literature search and modified for this submission.</w:t>
      </w:r>
      <w:r w:rsidRPr="009672B5">
        <w:t xml:space="preserve"> The ESC was concerned that the use of this model and its applicability to the clinical context for the treatment of nr-axSpA patients on the PBS was not well justified in the submission.</w:t>
      </w:r>
    </w:p>
    <w:p w:rsidR="00C317F3" w:rsidRPr="009672B5" w:rsidRDefault="00C317F3" w:rsidP="00772501">
      <w:pPr>
        <w:pStyle w:val="TableHeading0"/>
      </w:pPr>
      <w:r w:rsidRPr="009672B5">
        <w:lastRenderedPageBreak/>
        <w:t xml:space="preserve">Table </w:t>
      </w:r>
      <w:r w:rsidR="00137049" w:rsidRPr="009672B5">
        <w:t>8</w:t>
      </w:r>
      <w:r w:rsidRPr="009672B5">
        <w:t>: Summary of model structure</w:t>
      </w:r>
      <w:r w:rsidR="0046542B" w:rsidRPr="009672B5">
        <w:t xml:space="preserve">, </w:t>
      </w:r>
      <w:r w:rsidRPr="009672B5">
        <w:t>rationale</w:t>
      </w:r>
      <w:r w:rsidR="0046542B" w:rsidRPr="009672B5">
        <w:t xml:space="preserve"> and comments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66"/>
        <w:gridCol w:w="7516"/>
      </w:tblGrid>
      <w:tr w:rsidR="00C317F3" w:rsidRPr="009672B5" w:rsidTr="003961E5">
        <w:trPr>
          <w:tblHeader/>
        </w:trPr>
        <w:tc>
          <w:tcPr>
            <w:tcW w:w="862" w:type="pct"/>
            <w:shd w:val="clear" w:color="auto" w:fill="auto"/>
            <w:vAlign w:val="center"/>
          </w:tcPr>
          <w:p w:rsidR="00C317F3" w:rsidRPr="009672B5" w:rsidRDefault="00C317F3" w:rsidP="000A49C9">
            <w:pPr>
              <w:spacing w:before="40" w:after="40"/>
              <w:rPr>
                <w:rFonts w:ascii="Arial Narrow" w:hAnsi="Arial Narrow"/>
                <w:b/>
                <w:sz w:val="20"/>
                <w:szCs w:val="20"/>
              </w:rPr>
            </w:pPr>
            <w:r w:rsidRPr="009672B5">
              <w:rPr>
                <w:rFonts w:ascii="Arial Narrow" w:hAnsi="Arial Narrow"/>
                <w:b/>
                <w:sz w:val="20"/>
                <w:szCs w:val="20"/>
              </w:rPr>
              <w:t>Component</w:t>
            </w:r>
          </w:p>
        </w:tc>
        <w:tc>
          <w:tcPr>
            <w:tcW w:w="4138" w:type="pct"/>
            <w:shd w:val="clear" w:color="auto" w:fill="auto"/>
            <w:vAlign w:val="center"/>
          </w:tcPr>
          <w:p w:rsidR="00C317F3" w:rsidRPr="009672B5" w:rsidRDefault="00C317F3" w:rsidP="000A49C9">
            <w:pPr>
              <w:spacing w:before="40" w:after="40"/>
              <w:rPr>
                <w:rFonts w:ascii="Arial Narrow" w:hAnsi="Arial Narrow"/>
                <w:b/>
                <w:sz w:val="20"/>
                <w:szCs w:val="20"/>
              </w:rPr>
            </w:pPr>
            <w:r w:rsidRPr="009672B5">
              <w:rPr>
                <w:rFonts w:ascii="Arial Narrow" w:hAnsi="Arial Narrow"/>
                <w:b/>
                <w:sz w:val="20"/>
                <w:szCs w:val="20"/>
              </w:rPr>
              <w:t>Summary</w:t>
            </w:r>
          </w:p>
        </w:tc>
      </w:tr>
      <w:tr w:rsidR="00C317F3" w:rsidRPr="009672B5" w:rsidTr="003961E5">
        <w:trPr>
          <w:trHeight w:val="1343"/>
        </w:trPr>
        <w:tc>
          <w:tcPr>
            <w:tcW w:w="862" w:type="pct"/>
            <w:shd w:val="clear" w:color="auto" w:fill="auto"/>
            <w:vAlign w:val="center"/>
          </w:tcPr>
          <w:p w:rsidR="00C317F3" w:rsidRPr="009672B5" w:rsidRDefault="00C317F3" w:rsidP="000A49C9">
            <w:pPr>
              <w:spacing w:before="40" w:after="40"/>
              <w:rPr>
                <w:rFonts w:ascii="Arial Narrow" w:hAnsi="Arial Narrow"/>
                <w:sz w:val="20"/>
                <w:szCs w:val="20"/>
              </w:rPr>
            </w:pPr>
            <w:r w:rsidRPr="009672B5">
              <w:rPr>
                <w:rFonts w:ascii="Arial Narrow" w:hAnsi="Arial Narrow"/>
                <w:sz w:val="20"/>
                <w:szCs w:val="20"/>
              </w:rPr>
              <w:t>Time horizon</w:t>
            </w:r>
          </w:p>
        </w:tc>
        <w:tc>
          <w:tcPr>
            <w:tcW w:w="4138" w:type="pct"/>
            <w:shd w:val="clear" w:color="auto" w:fill="auto"/>
            <w:vAlign w:val="center"/>
          </w:tcPr>
          <w:p w:rsidR="00C317F3" w:rsidRDefault="00B326CD" w:rsidP="000A49C9">
            <w:pPr>
              <w:spacing w:before="40" w:after="40"/>
              <w:rPr>
                <w:rFonts w:ascii="Arial Narrow" w:hAnsi="Arial Narrow"/>
                <w:sz w:val="20"/>
                <w:szCs w:val="20"/>
              </w:rPr>
            </w:pPr>
            <w:r w:rsidRPr="009672B5">
              <w:rPr>
                <w:rFonts w:ascii="Arial Narrow" w:hAnsi="Arial Narrow"/>
                <w:sz w:val="20"/>
                <w:szCs w:val="20"/>
              </w:rPr>
              <w:t>30</w:t>
            </w:r>
            <w:r w:rsidR="00C317F3" w:rsidRPr="009672B5">
              <w:rPr>
                <w:rFonts w:ascii="Arial Narrow" w:hAnsi="Arial Narrow"/>
                <w:sz w:val="20"/>
                <w:szCs w:val="20"/>
              </w:rPr>
              <w:t xml:space="preserve"> years in the model base case versus </w:t>
            </w:r>
            <w:r w:rsidRPr="009672B5">
              <w:rPr>
                <w:rFonts w:ascii="Arial Narrow" w:hAnsi="Arial Narrow"/>
                <w:sz w:val="20"/>
                <w:szCs w:val="20"/>
              </w:rPr>
              <w:t xml:space="preserve">16 </w:t>
            </w:r>
            <w:r w:rsidR="00C317F3" w:rsidRPr="009672B5">
              <w:rPr>
                <w:rFonts w:ascii="Arial Narrow" w:hAnsi="Arial Narrow"/>
                <w:sz w:val="20"/>
                <w:szCs w:val="20"/>
              </w:rPr>
              <w:t xml:space="preserve">weeks </w:t>
            </w:r>
            <w:r w:rsidR="001B69B9" w:rsidRPr="009672B5">
              <w:rPr>
                <w:rFonts w:ascii="Arial Narrow" w:hAnsi="Arial Narrow"/>
                <w:sz w:val="20"/>
                <w:szCs w:val="20"/>
              </w:rPr>
              <w:t xml:space="preserve">randomised data </w:t>
            </w:r>
            <w:r w:rsidR="00C317F3" w:rsidRPr="009672B5">
              <w:rPr>
                <w:rFonts w:ascii="Arial Narrow" w:hAnsi="Arial Narrow"/>
                <w:sz w:val="20"/>
                <w:szCs w:val="20"/>
              </w:rPr>
              <w:t>in</w:t>
            </w:r>
            <w:r w:rsidR="001B69B9" w:rsidRPr="009672B5">
              <w:rPr>
                <w:rFonts w:ascii="Arial Narrow" w:hAnsi="Arial Narrow"/>
                <w:sz w:val="20"/>
                <w:szCs w:val="20"/>
              </w:rPr>
              <w:t xml:space="preserve"> the</w:t>
            </w:r>
            <w:r w:rsidR="00C317F3" w:rsidRPr="009672B5">
              <w:rPr>
                <w:rFonts w:ascii="Arial Narrow" w:hAnsi="Arial Narrow"/>
                <w:sz w:val="20"/>
                <w:szCs w:val="20"/>
              </w:rPr>
              <w:t xml:space="preserve"> trial</w:t>
            </w:r>
            <w:r w:rsidR="00020FCF" w:rsidRPr="009672B5">
              <w:rPr>
                <w:rFonts w:ascii="Arial Narrow" w:hAnsi="Arial Narrow"/>
                <w:sz w:val="20"/>
                <w:szCs w:val="20"/>
              </w:rPr>
              <w:t xml:space="preserve">. </w:t>
            </w:r>
            <w:r w:rsidR="00137049" w:rsidRPr="009672B5">
              <w:rPr>
                <w:rFonts w:ascii="Arial Narrow" w:hAnsi="Arial Narrow"/>
                <w:sz w:val="20"/>
                <w:szCs w:val="20"/>
              </w:rPr>
              <w:t xml:space="preserve">A lifetime horizon based on 52 weeks of </w:t>
            </w:r>
            <w:r w:rsidR="00A142F4" w:rsidRPr="009672B5">
              <w:rPr>
                <w:rFonts w:ascii="Arial Narrow" w:hAnsi="Arial Narrow"/>
                <w:sz w:val="20"/>
                <w:szCs w:val="20"/>
              </w:rPr>
              <w:t xml:space="preserve">open-label extension </w:t>
            </w:r>
            <w:r w:rsidR="00137049" w:rsidRPr="009672B5">
              <w:rPr>
                <w:rFonts w:ascii="Arial Narrow" w:hAnsi="Arial Narrow"/>
                <w:sz w:val="20"/>
                <w:szCs w:val="20"/>
              </w:rPr>
              <w:t xml:space="preserve">data requires consideration, particularly as the randomised data </w:t>
            </w:r>
            <w:r w:rsidR="00373938" w:rsidRPr="009672B5">
              <w:rPr>
                <w:rFonts w:ascii="Arial Narrow" w:hAnsi="Arial Narrow"/>
                <w:sz w:val="20"/>
                <w:szCs w:val="20"/>
              </w:rPr>
              <w:t xml:space="preserve">were </w:t>
            </w:r>
            <w:r w:rsidR="00137049" w:rsidRPr="009672B5">
              <w:rPr>
                <w:rFonts w:ascii="Arial Narrow" w:hAnsi="Arial Narrow"/>
                <w:sz w:val="20"/>
                <w:szCs w:val="20"/>
              </w:rPr>
              <w:t>limited to 16 weeks. Additionally, there are issues in the extrapolation of data to inform this time horizon.</w:t>
            </w:r>
            <w:r w:rsidR="00042998" w:rsidRPr="009672B5">
              <w:rPr>
                <w:rFonts w:ascii="Arial Narrow" w:hAnsi="Arial Narrow"/>
                <w:sz w:val="20"/>
                <w:szCs w:val="20"/>
              </w:rPr>
              <w:t xml:space="preserve"> Similarly, in its consideration of the etanercept submission in March 2016, the PBAC considered that “</w:t>
            </w:r>
            <w:r w:rsidR="00D045D1" w:rsidRPr="009672B5">
              <w:rPr>
                <w:rFonts w:ascii="Arial Narrow" w:hAnsi="Arial Narrow"/>
                <w:sz w:val="20"/>
                <w:szCs w:val="20"/>
              </w:rPr>
              <w:t xml:space="preserve">… </w:t>
            </w:r>
            <w:r w:rsidR="00042998" w:rsidRPr="009672B5">
              <w:rPr>
                <w:rFonts w:ascii="Arial Narrow" w:hAnsi="Arial Narrow"/>
                <w:sz w:val="20"/>
                <w:szCs w:val="20"/>
              </w:rPr>
              <w:t>the 10-year time horizon is still short in the context of the indication. However, the absence of long-term clinical evidence poses challenges of extrapolation to a 10-year time horizon”.</w:t>
            </w:r>
          </w:p>
          <w:p w:rsidR="00641653" w:rsidRPr="009672B5" w:rsidRDefault="006D6969" w:rsidP="00EC5B28">
            <w:pPr>
              <w:spacing w:before="40" w:after="40"/>
              <w:rPr>
                <w:rFonts w:ascii="Arial Narrow" w:eastAsia="Times New Roman" w:hAnsi="Arial Narrow" w:cs="Times New Roman"/>
                <w:sz w:val="20"/>
                <w:szCs w:val="20"/>
              </w:rPr>
            </w:pPr>
            <w:r>
              <w:rPr>
                <w:rFonts w:ascii="Arial Narrow" w:hAnsi="Arial Narrow"/>
                <w:sz w:val="20"/>
                <w:szCs w:val="20"/>
              </w:rPr>
              <w:t xml:space="preserve">The Pre-PBAC Response stated that the 30-year time horizon had only a moderate impact on the ICER (as many patients </w:t>
            </w:r>
            <w:r w:rsidR="00E63844">
              <w:rPr>
                <w:rFonts w:ascii="Arial Narrow" w:hAnsi="Arial Narrow"/>
                <w:sz w:val="20"/>
                <w:szCs w:val="20"/>
              </w:rPr>
              <w:t xml:space="preserve">would </w:t>
            </w:r>
            <w:r>
              <w:rPr>
                <w:rFonts w:ascii="Arial Narrow" w:hAnsi="Arial Narrow"/>
                <w:sz w:val="20"/>
                <w:szCs w:val="20"/>
              </w:rPr>
              <w:t>have discontinued golimumab by ten years</w:t>
            </w:r>
            <w:r w:rsidR="00E63844">
              <w:rPr>
                <w:rFonts w:ascii="Arial Narrow" w:hAnsi="Arial Narrow"/>
                <w:sz w:val="20"/>
                <w:szCs w:val="20"/>
              </w:rPr>
              <w:t xml:space="preserve"> in the model</w:t>
            </w:r>
            <w:r>
              <w:rPr>
                <w:rFonts w:ascii="Arial Narrow" w:hAnsi="Arial Narrow"/>
                <w:sz w:val="20"/>
                <w:szCs w:val="20"/>
              </w:rPr>
              <w:t>)</w:t>
            </w:r>
            <w:r w:rsidR="00A75FE7">
              <w:rPr>
                <w:rFonts w:ascii="Arial Narrow" w:hAnsi="Arial Narrow"/>
                <w:sz w:val="20"/>
                <w:szCs w:val="20"/>
              </w:rPr>
              <w:t>;</w:t>
            </w:r>
            <w:r>
              <w:rPr>
                <w:rFonts w:ascii="Arial Narrow" w:hAnsi="Arial Narrow"/>
                <w:sz w:val="20"/>
                <w:szCs w:val="20"/>
              </w:rPr>
              <w:t xml:space="preserve"> a sensitivity analysis using a 10 year time horizon resulted in an ICER of $</w:t>
            </w:r>
            <w:r w:rsidR="00EC5B28">
              <w:rPr>
                <w:rFonts w:ascii="Arial Narrow" w:hAnsi="Arial Narrow"/>
                <w:sz w:val="20"/>
                <w:szCs w:val="20"/>
              </w:rPr>
              <w:t>15,000/QLY - $45,000</w:t>
            </w:r>
            <w:r w:rsidRPr="00F01A40">
              <w:rPr>
                <w:rFonts w:ascii="Arial Narrow" w:hAnsi="Arial Narrow"/>
                <w:sz w:val="20"/>
                <w:szCs w:val="20"/>
              </w:rPr>
              <w:t>/QALY</w:t>
            </w:r>
            <w:r>
              <w:rPr>
                <w:rFonts w:ascii="Arial Narrow" w:hAnsi="Arial Narrow"/>
                <w:sz w:val="20"/>
                <w:szCs w:val="20"/>
              </w:rPr>
              <w:t xml:space="preserve">).  </w:t>
            </w:r>
          </w:p>
        </w:tc>
      </w:tr>
      <w:tr w:rsidR="00C317F3" w:rsidRPr="009672B5" w:rsidTr="003961E5">
        <w:tc>
          <w:tcPr>
            <w:tcW w:w="862" w:type="pct"/>
            <w:shd w:val="clear" w:color="auto" w:fill="auto"/>
            <w:vAlign w:val="center"/>
          </w:tcPr>
          <w:p w:rsidR="00C317F3" w:rsidRPr="009672B5" w:rsidRDefault="00C317F3" w:rsidP="000A49C9">
            <w:pPr>
              <w:spacing w:before="40" w:after="40"/>
              <w:rPr>
                <w:rFonts w:ascii="Arial Narrow" w:eastAsia="Times New Roman" w:hAnsi="Arial Narrow" w:cs="Times New Roman"/>
                <w:sz w:val="20"/>
                <w:szCs w:val="20"/>
              </w:rPr>
            </w:pPr>
            <w:r w:rsidRPr="009672B5">
              <w:rPr>
                <w:rFonts w:ascii="Arial Narrow" w:hAnsi="Arial Narrow"/>
                <w:sz w:val="20"/>
                <w:szCs w:val="20"/>
              </w:rPr>
              <w:t>Outcomes</w:t>
            </w:r>
          </w:p>
        </w:tc>
        <w:tc>
          <w:tcPr>
            <w:tcW w:w="4138" w:type="pct"/>
            <w:shd w:val="clear" w:color="auto" w:fill="auto"/>
            <w:vAlign w:val="center"/>
          </w:tcPr>
          <w:p w:rsidR="00C317F3" w:rsidRPr="009672B5" w:rsidRDefault="001023B1" w:rsidP="00396584">
            <w:pPr>
              <w:spacing w:before="40" w:after="40"/>
              <w:rPr>
                <w:rFonts w:ascii="Arial Narrow" w:eastAsia="Times New Roman" w:hAnsi="Arial Narrow" w:cs="Times New Roman"/>
                <w:sz w:val="20"/>
                <w:szCs w:val="20"/>
              </w:rPr>
            </w:pPr>
            <w:r w:rsidRPr="009672B5">
              <w:rPr>
                <w:rFonts w:ascii="Arial Narrow" w:hAnsi="Arial Narrow"/>
                <w:sz w:val="20"/>
                <w:szCs w:val="20"/>
              </w:rPr>
              <w:t>LYs and QALYs</w:t>
            </w:r>
            <w:r w:rsidR="00137049" w:rsidRPr="009672B5">
              <w:rPr>
                <w:rFonts w:ascii="Arial Narrow" w:hAnsi="Arial Narrow"/>
                <w:sz w:val="20"/>
                <w:szCs w:val="20"/>
              </w:rPr>
              <w:t>. Mortality-rates were assumed to be equal in both arms, therefore LYs were also equal in both arms. QALYs were not based on ‘responder’ or non-responder’ status, rather on BASDAI and BAFSI scores within the ‘responder’ or non-responder’ health states</w:t>
            </w:r>
            <w:r w:rsidR="00D045D1" w:rsidRPr="009672B5">
              <w:rPr>
                <w:rFonts w:ascii="Arial Narrow" w:hAnsi="Arial Narrow"/>
                <w:sz w:val="20"/>
                <w:szCs w:val="20"/>
              </w:rPr>
              <w:t>, with the exception of baseline utilities</w:t>
            </w:r>
            <w:r w:rsidR="008A5C17" w:rsidRPr="009672B5">
              <w:rPr>
                <w:rFonts w:ascii="Arial Narrow" w:hAnsi="Arial Narrow"/>
                <w:sz w:val="20"/>
                <w:szCs w:val="20"/>
              </w:rPr>
              <w:t xml:space="preserve"> (see below)</w:t>
            </w:r>
            <w:r w:rsidR="00D045D1" w:rsidRPr="009672B5">
              <w:rPr>
                <w:rFonts w:ascii="Arial Narrow" w:hAnsi="Arial Narrow"/>
                <w:sz w:val="20"/>
                <w:szCs w:val="20"/>
              </w:rPr>
              <w:t xml:space="preserve">. </w:t>
            </w:r>
            <w:r w:rsidR="008A5C17" w:rsidRPr="009672B5">
              <w:rPr>
                <w:rFonts w:ascii="Arial Narrow" w:hAnsi="Arial Narrow"/>
                <w:sz w:val="20"/>
                <w:szCs w:val="20"/>
              </w:rPr>
              <w:t xml:space="preserve"> </w:t>
            </w:r>
          </w:p>
        </w:tc>
      </w:tr>
      <w:tr w:rsidR="00C317F3" w:rsidRPr="009672B5" w:rsidTr="003961E5">
        <w:tc>
          <w:tcPr>
            <w:tcW w:w="862" w:type="pct"/>
            <w:shd w:val="clear" w:color="auto" w:fill="auto"/>
            <w:vAlign w:val="center"/>
          </w:tcPr>
          <w:p w:rsidR="00C317F3" w:rsidRPr="009672B5" w:rsidRDefault="00C317F3" w:rsidP="000A49C9">
            <w:pPr>
              <w:spacing w:before="40" w:after="40"/>
              <w:rPr>
                <w:rFonts w:ascii="Arial Narrow" w:eastAsia="Times New Roman" w:hAnsi="Arial Narrow" w:cs="Times New Roman"/>
                <w:sz w:val="20"/>
                <w:szCs w:val="20"/>
              </w:rPr>
            </w:pPr>
            <w:r w:rsidRPr="009672B5">
              <w:rPr>
                <w:rFonts w:ascii="Arial Narrow" w:hAnsi="Arial Narrow"/>
                <w:sz w:val="20"/>
                <w:szCs w:val="20"/>
              </w:rPr>
              <w:t>Methods used to generate results</w:t>
            </w:r>
          </w:p>
        </w:tc>
        <w:tc>
          <w:tcPr>
            <w:tcW w:w="4138" w:type="pct"/>
            <w:shd w:val="clear" w:color="auto" w:fill="auto"/>
            <w:vAlign w:val="center"/>
          </w:tcPr>
          <w:p w:rsidR="00C317F3" w:rsidRPr="009672B5" w:rsidRDefault="009A79B1" w:rsidP="000A49C9">
            <w:pPr>
              <w:spacing w:before="40" w:after="40"/>
              <w:rPr>
                <w:rFonts w:ascii="Arial Narrow" w:eastAsia="Times New Roman" w:hAnsi="Arial Narrow" w:cs="Times New Roman"/>
                <w:sz w:val="20"/>
                <w:szCs w:val="20"/>
              </w:rPr>
            </w:pPr>
            <w:r w:rsidRPr="009672B5">
              <w:rPr>
                <w:rFonts w:ascii="Arial Narrow" w:hAnsi="Arial Narrow"/>
                <w:sz w:val="20"/>
                <w:szCs w:val="20"/>
              </w:rPr>
              <w:t>Markov cohort analysis</w:t>
            </w:r>
          </w:p>
        </w:tc>
      </w:tr>
      <w:tr w:rsidR="00C317F3" w:rsidRPr="009672B5" w:rsidTr="003961E5">
        <w:tc>
          <w:tcPr>
            <w:tcW w:w="862" w:type="pct"/>
            <w:shd w:val="clear" w:color="auto" w:fill="auto"/>
            <w:vAlign w:val="center"/>
          </w:tcPr>
          <w:p w:rsidR="00C317F3" w:rsidRPr="009672B5" w:rsidRDefault="00C317F3" w:rsidP="000A49C9">
            <w:pPr>
              <w:spacing w:before="40" w:after="40"/>
              <w:rPr>
                <w:rFonts w:ascii="Arial Narrow" w:eastAsia="Times New Roman" w:hAnsi="Arial Narrow" w:cs="Times New Roman"/>
                <w:sz w:val="20"/>
                <w:szCs w:val="20"/>
              </w:rPr>
            </w:pPr>
            <w:r w:rsidRPr="009672B5">
              <w:rPr>
                <w:rFonts w:ascii="Arial Narrow" w:hAnsi="Arial Narrow"/>
                <w:sz w:val="20"/>
                <w:szCs w:val="20"/>
              </w:rPr>
              <w:t>Health states</w:t>
            </w:r>
          </w:p>
        </w:tc>
        <w:tc>
          <w:tcPr>
            <w:tcW w:w="4138" w:type="pct"/>
            <w:shd w:val="clear" w:color="auto" w:fill="auto"/>
            <w:vAlign w:val="center"/>
          </w:tcPr>
          <w:p w:rsidR="006A4E50" w:rsidRPr="009672B5" w:rsidRDefault="006A4E50" w:rsidP="000A49C9">
            <w:pPr>
              <w:spacing w:before="40" w:after="40"/>
              <w:rPr>
                <w:rFonts w:ascii="Arial Narrow" w:hAnsi="Arial Narrow"/>
                <w:sz w:val="20"/>
                <w:szCs w:val="20"/>
              </w:rPr>
            </w:pPr>
            <w:r w:rsidRPr="009672B5">
              <w:rPr>
                <w:rFonts w:ascii="Arial Narrow" w:hAnsi="Arial Narrow"/>
                <w:sz w:val="20"/>
                <w:szCs w:val="20"/>
              </w:rPr>
              <w:t>Three</w:t>
            </w:r>
            <w:r w:rsidR="004E628A" w:rsidRPr="009672B5">
              <w:rPr>
                <w:rFonts w:ascii="Arial Narrow" w:hAnsi="Arial Narrow"/>
                <w:sz w:val="20"/>
                <w:szCs w:val="20"/>
              </w:rPr>
              <w:t xml:space="preserve"> </w:t>
            </w:r>
            <w:r w:rsidR="00137049" w:rsidRPr="009672B5">
              <w:rPr>
                <w:rFonts w:ascii="Arial Narrow" w:hAnsi="Arial Narrow"/>
                <w:sz w:val="20"/>
                <w:szCs w:val="20"/>
              </w:rPr>
              <w:t>golimumab</w:t>
            </w:r>
            <w:r w:rsidR="004E628A" w:rsidRPr="009672B5">
              <w:rPr>
                <w:rFonts w:ascii="Arial Narrow" w:hAnsi="Arial Narrow"/>
                <w:sz w:val="20"/>
                <w:szCs w:val="20"/>
              </w:rPr>
              <w:t xml:space="preserve"> and </w:t>
            </w:r>
            <w:r w:rsidRPr="009672B5">
              <w:rPr>
                <w:rFonts w:ascii="Arial Narrow" w:hAnsi="Arial Narrow"/>
                <w:sz w:val="20"/>
                <w:szCs w:val="20"/>
              </w:rPr>
              <w:t>two</w:t>
            </w:r>
            <w:r w:rsidR="004E628A" w:rsidRPr="009672B5">
              <w:rPr>
                <w:rFonts w:ascii="Arial Narrow" w:hAnsi="Arial Narrow"/>
                <w:sz w:val="20"/>
                <w:szCs w:val="20"/>
              </w:rPr>
              <w:t xml:space="preserve"> </w:t>
            </w:r>
            <w:r w:rsidR="00137049" w:rsidRPr="009672B5">
              <w:rPr>
                <w:rFonts w:ascii="Arial Narrow" w:hAnsi="Arial Narrow"/>
                <w:sz w:val="20"/>
                <w:szCs w:val="20"/>
              </w:rPr>
              <w:t>conventional care</w:t>
            </w:r>
            <w:r w:rsidR="00E81D30" w:rsidRPr="009672B5">
              <w:rPr>
                <w:rFonts w:ascii="Arial Narrow" w:hAnsi="Arial Narrow"/>
                <w:sz w:val="20"/>
                <w:szCs w:val="20"/>
              </w:rPr>
              <w:t xml:space="preserve"> living</w:t>
            </w:r>
            <w:r w:rsidR="004E628A" w:rsidRPr="009672B5">
              <w:rPr>
                <w:rFonts w:ascii="Arial Narrow" w:hAnsi="Arial Narrow"/>
                <w:sz w:val="20"/>
                <w:szCs w:val="20"/>
              </w:rPr>
              <w:t xml:space="preserve"> health states in </w:t>
            </w:r>
            <w:r w:rsidRPr="009672B5">
              <w:rPr>
                <w:rFonts w:ascii="Arial Narrow" w:hAnsi="Arial Narrow"/>
                <w:sz w:val="20"/>
                <w:szCs w:val="20"/>
              </w:rPr>
              <w:t xml:space="preserve">the </w:t>
            </w:r>
            <w:r w:rsidR="004E628A" w:rsidRPr="009672B5">
              <w:rPr>
                <w:rFonts w:ascii="Arial Narrow" w:hAnsi="Arial Narrow"/>
                <w:sz w:val="20"/>
                <w:szCs w:val="20"/>
              </w:rPr>
              <w:t xml:space="preserve">base-case. </w:t>
            </w:r>
            <w:r w:rsidR="00D045D1" w:rsidRPr="009672B5">
              <w:rPr>
                <w:rFonts w:ascii="Arial Narrow" w:hAnsi="Arial Narrow"/>
                <w:sz w:val="20"/>
                <w:szCs w:val="20"/>
              </w:rPr>
              <w:t>These health states are largely appropriate given the decision-context of the economic evaluation and the available evidence, however the model stratifies each arm by response status at the beginning of the model as opposed to when response is measured in the GO-AHEAD trial (16 weeks) for the purposes of applying utilities and costs (see below).</w:t>
            </w:r>
            <w:r w:rsidR="000A49C9" w:rsidRPr="009672B5">
              <w:rPr>
                <w:rFonts w:ascii="Arial Narrow" w:hAnsi="Arial Narrow"/>
                <w:sz w:val="20"/>
                <w:szCs w:val="20"/>
              </w:rPr>
              <w:t xml:space="preserve"> Additionally, all conventional care responders at Week 16 (</w:t>
            </w:r>
            <w:r w:rsidR="0092728B">
              <w:rPr>
                <w:rFonts w:ascii="Arial Narrow" w:hAnsi="Arial Narrow"/>
                <w:noProof/>
                <w:color w:val="000000"/>
                <w:sz w:val="20"/>
                <w:szCs w:val="20"/>
                <w:highlight w:val="black"/>
              </w:rPr>
              <w:t>''''''''''</w:t>
            </w:r>
            <w:r w:rsidR="000A49C9" w:rsidRPr="009672B5">
              <w:rPr>
                <w:rFonts w:ascii="Arial Narrow" w:hAnsi="Arial Narrow"/>
                <w:sz w:val="20"/>
                <w:szCs w:val="20"/>
              </w:rPr>
              <w:t xml:space="preserve">%) are assumed to be non-responders by Week 32, thus no </w:t>
            </w:r>
            <w:r w:rsidR="004821FE" w:rsidRPr="009672B5">
              <w:rPr>
                <w:rFonts w:ascii="Arial Narrow" w:hAnsi="Arial Narrow"/>
                <w:sz w:val="20"/>
                <w:szCs w:val="20"/>
              </w:rPr>
              <w:t>potential placebo effect</w:t>
            </w:r>
            <w:r w:rsidR="000A49C9" w:rsidRPr="009672B5">
              <w:rPr>
                <w:rFonts w:ascii="Arial Narrow" w:hAnsi="Arial Narrow"/>
                <w:sz w:val="20"/>
                <w:szCs w:val="20"/>
              </w:rPr>
              <w:t xml:space="preserve"> was incorporated in the model beyond 32 weeks.</w:t>
            </w:r>
          </w:p>
          <w:p w:rsidR="00505C54" w:rsidRPr="009672B5" w:rsidRDefault="00E81D30" w:rsidP="000A49C9">
            <w:pPr>
              <w:spacing w:before="40" w:after="40"/>
              <w:rPr>
                <w:rFonts w:ascii="Arial Narrow" w:hAnsi="Arial Narrow"/>
                <w:sz w:val="20"/>
                <w:szCs w:val="20"/>
              </w:rPr>
            </w:pPr>
            <w:r w:rsidRPr="009672B5">
              <w:rPr>
                <w:rFonts w:ascii="Arial Narrow" w:hAnsi="Arial Narrow"/>
                <w:sz w:val="20"/>
                <w:szCs w:val="20"/>
              </w:rPr>
              <w:t xml:space="preserve">Living health-states </w:t>
            </w:r>
            <w:r w:rsidR="00D4448E" w:rsidRPr="009672B5">
              <w:rPr>
                <w:rFonts w:ascii="Arial Narrow" w:hAnsi="Arial Narrow"/>
                <w:sz w:val="20"/>
                <w:szCs w:val="20"/>
              </w:rPr>
              <w:t xml:space="preserve">were </w:t>
            </w:r>
            <w:r w:rsidRPr="009672B5">
              <w:rPr>
                <w:rFonts w:ascii="Arial Narrow" w:hAnsi="Arial Narrow"/>
                <w:sz w:val="20"/>
                <w:szCs w:val="20"/>
              </w:rPr>
              <w:t>based on ‘BASDAI 50’ response</w:t>
            </w:r>
            <w:r w:rsidR="00D4448E" w:rsidRPr="009672B5">
              <w:rPr>
                <w:rFonts w:ascii="Arial Narrow" w:hAnsi="Arial Narrow"/>
                <w:sz w:val="20"/>
                <w:szCs w:val="20"/>
              </w:rPr>
              <w:t>.</w:t>
            </w:r>
            <w:r w:rsidRPr="009672B5">
              <w:rPr>
                <w:rFonts w:ascii="Arial Narrow" w:hAnsi="Arial Narrow"/>
                <w:sz w:val="20"/>
                <w:szCs w:val="20"/>
              </w:rPr>
              <w:t xml:space="preserve"> </w:t>
            </w:r>
            <w:r w:rsidR="003B32F5" w:rsidRPr="009672B5">
              <w:rPr>
                <w:rFonts w:ascii="Arial Narrow" w:hAnsi="Arial Narrow"/>
                <w:sz w:val="20"/>
                <w:szCs w:val="20"/>
              </w:rPr>
              <w:t xml:space="preserve">The choice of response outcome (over other potential outcomes from the GO-AHEAD trial, such as ASAS 20) may have influenced the model outcomes. </w:t>
            </w:r>
            <w:r w:rsidR="000A49C9" w:rsidRPr="009672B5">
              <w:rPr>
                <w:rFonts w:ascii="Arial Narrow" w:hAnsi="Arial Narrow"/>
                <w:sz w:val="20"/>
                <w:szCs w:val="20"/>
              </w:rPr>
              <w:t>D</w:t>
            </w:r>
            <w:r w:rsidR="00A8193B" w:rsidRPr="009672B5">
              <w:rPr>
                <w:rFonts w:ascii="Arial Narrow" w:hAnsi="Arial Narrow"/>
                <w:sz w:val="20"/>
                <w:szCs w:val="20"/>
              </w:rPr>
              <w:t xml:space="preserve">iscontinuation </w:t>
            </w:r>
            <w:r w:rsidR="000A49C9" w:rsidRPr="009672B5">
              <w:rPr>
                <w:rFonts w:ascii="Arial Narrow" w:hAnsi="Arial Narrow"/>
                <w:sz w:val="20"/>
                <w:szCs w:val="20"/>
              </w:rPr>
              <w:t xml:space="preserve">rates </w:t>
            </w:r>
            <w:r w:rsidR="00A8193B" w:rsidRPr="009672B5">
              <w:rPr>
                <w:rFonts w:ascii="Arial Narrow" w:hAnsi="Arial Narrow"/>
                <w:sz w:val="20"/>
                <w:szCs w:val="20"/>
              </w:rPr>
              <w:t xml:space="preserve">and </w:t>
            </w:r>
            <w:r w:rsidR="00D045D1" w:rsidRPr="009672B5">
              <w:rPr>
                <w:rFonts w:ascii="Arial Narrow" w:hAnsi="Arial Narrow"/>
                <w:sz w:val="20"/>
                <w:szCs w:val="20"/>
              </w:rPr>
              <w:t xml:space="preserve">underlying changes in BASDAI and BAFSI scores </w:t>
            </w:r>
            <w:r w:rsidR="00A8193B" w:rsidRPr="009672B5">
              <w:rPr>
                <w:rFonts w:ascii="Arial Narrow" w:hAnsi="Arial Narrow"/>
                <w:sz w:val="20"/>
                <w:szCs w:val="20"/>
              </w:rPr>
              <w:t>within ‘responder’ and ‘non-responder’ health states</w:t>
            </w:r>
            <w:r w:rsidR="000A49C9" w:rsidRPr="009672B5">
              <w:rPr>
                <w:rFonts w:ascii="Arial Narrow" w:hAnsi="Arial Narrow"/>
                <w:sz w:val="20"/>
                <w:szCs w:val="20"/>
              </w:rPr>
              <w:t xml:space="preserve"> </w:t>
            </w:r>
            <w:r w:rsidR="00D4448E" w:rsidRPr="009672B5">
              <w:rPr>
                <w:rFonts w:ascii="Arial Narrow" w:hAnsi="Arial Narrow"/>
                <w:sz w:val="20"/>
                <w:szCs w:val="20"/>
              </w:rPr>
              <w:t xml:space="preserve">were </w:t>
            </w:r>
            <w:r w:rsidR="000A49C9" w:rsidRPr="009672B5">
              <w:rPr>
                <w:rFonts w:ascii="Arial Narrow" w:hAnsi="Arial Narrow"/>
                <w:sz w:val="20"/>
                <w:szCs w:val="20"/>
              </w:rPr>
              <w:t>used for applying utilities and costs</w:t>
            </w:r>
            <w:r w:rsidR="00DA705F" w:rsidRPr="009672B5">
              <w:rPr>
                <w:rFonts w:ascii="Arial Narrow" w:hAnsi="Arial Narrow"/>
                <w:sz w:val="20"/>
                <w:szCs w:val="20"/>
              </w:rPr>
              <w:t xml:space="preserve">. </w:t>
            </w:r>
          </w:p>
          <w:p w:rsidR="00505C54" w:rsidRPr="0019026F" w:rsidRDefault="00505C54" w:rsidP="000A49C9">
            <w:pPr>
              <w:spacing w:before="40" w:after="40"/>
              <w:rPr>
                <w:rFonts w:ascii="Arial Narrow" w:hAnsi="Arial Narrow"/>
                <w:sz w:val="20"/>
                <w:szCs w:val="20"/>
              </w:rPr>
            </w:pPr>
            <w:r w:rsidRPr="009672B5">
              <w:rPr>
                <w:rFonts w:ascii="Arial Narrow" w:hAnsi="Arial Narrow"/>
                <w:sz w:val="20"/>
                <w:szCs w:val="20"/>
              </w:rPr>
              <w:t>No discontinu</w:t>
            </w:r>
            <w:r w:rsidR="003961E5" w:rsidRPr="009672B5">
              <w:rPr>
                <w:rFonts w:ascii="Arial Narrow" w:hAnsi="Arial Narrow"/>
                <w:sz w:val="20"/>
                <w:szCs w:val="20"/>
              </w:rPr>
              <w:t>ation from golimumab treatment wa</w:t>
            </w:r>
            <w:r w:rsidRPr="009672B5">
              <w:rPr>
                <w:rFonts w:ascii="Arial Narrow" w:hAnsi="Arial Narrow"/>
                <w:sz w:val="20"/>
                <w:szCs w:val="20"/>
              </w:rPr>
              <w:t>s assumed in the first year of the model</w:t>
            </w:r>
            <w:r w:rsidR="00641653">
              <w:t xml:space="preserve"> </w:t>
            </w:r>
            <w:r w:rsidR="00641653" w:rsidRPr="00641653">
              <w:rPr>
                <w:rFonts w:ascii="Arial Narrow" w:hAnsi="Arial Narrow"/>
                <w:sz w:val="20"/>
                <w:szCs w:val="20"/>
              </w:rPr>
              <w:t xml:space="preserve">other than amongst non-responders (noting that </w:t>
            </w:r>
            <w:r w:rsidR="0092728B">
              <w:rPr>
                <w:rFonts w:ascii="Arial Narrow" w:hAnsi="Arial Narrow"/>
                <w:noProof/>
                <w:color w:val="000000"/>
                <w:sz w:val="20"/>
                <w:szCs w:val="20"/>
                <w:highlight w:val="black"/>
              </w:rPr>
              <w:t>''''''''</w:t>
            </w:r>
            <w:r w:rsidR="00641653" w:rsidRPr="00641653">
              <w:rPr>
                <w:rFonts w:ascii="Arial Narrow" w:hAnsi="Arial Narrow"/>
                <w:sz w:val="20"/>
                <w:szCs w:val="20"/>
              </w:rPr>
              <w:t>% of responders were assumed to become non-responsive at the end of Year 1/start of Year 2)</w:t>
            </w:r>
            <w:r w:rsidRPr="00A14787">
              <w:rPr>
                <w:rFonts w:ascii="Arial Narrow" w:hAnsi="Arial Narrow"/>
                <w:sz w:val="20"/>
                <w:szCs w:val="20"/>
              </w:rPr>
              <w:t xml:space="preserve">. This may not be appropriate, as although </w:t>
            </w:r>
            <w:r w:rsidR="0092728B">
              <w:rPr>
                <w:rFonts w:ascii="Arial Narrow" w:hAnsi="Arial Narrow"/>
                <w:noProof/>
                <w:color w:val="000000"/>
                <w:sz w:val="20"/>
                <w:szCs w:val="20"/>
                <w:highlight w:val="black"/>
              </w:rPr>
              <w:t>''''''''''</w:t>
            </w:r>
            <w:r w:rsidRPr="00A14787">
              <w:rPr>
                <w:rFonts w:ascii="Arial Narrow" w:hAnsi="Arial Narrow"/>
                <w:sz w:val="20"/>
                <w:szCs w:val="20"/>
              </w:rPr>
              <w:t xml:space="preserve">% of responders at Week 16 remain responders at Week 52, responders at Week 20 decreased to </w:t>
            </w:r>
            <w:r w:rsidR="0092728B">
              <w:rPr>
                <w:rFonts w:ascii="Arial Narrow" w:hAnsi="Arial Narrow"/>
                <w:noProof/>
                <w:color w:val="000000"/>
                <w:sz w:val="20"/>
                <w:szCs w:val="20"/>
                <w:highlight w:val="black"/>
              </w:rPr>
              <w:t>''''''''''</w:t>
            </w:r>
            <w:r w:rsidRPr="00A14787">
              <w:rPr>
                <w:rFonts w:ascii="Arial Narrow" w:hAnsi="Arial Narrow"/>
                <w:sz w:val="20"/>
                <w:szCs w:val="20"/>
              </w:rPr>
              <w:t>% (see Table 6). Discontinuation in the model was fixed at 6.0% after 52 weeks as applied in th</w:t>
            </w:r>
            <w:r w:rsidRPr="0019026F">
              <w:rPr>
                <w:rFonts w:ascii="Arial Narrow" w:hAnsi="Arial Narrow"/>
                <w:sz w:val="20"/>
                <w:szCs w:val="20"/>
              </w:rPr>
              <w:t>e model reported by Corbett (2016).</w:t>
            </w:r>
            <w:r w:rsidRPr="00A14787">
              <w:rPr>
                <w:rFonts w:ascii="Arial Narrow" w:hAnsi="Arial Narrow"/>
                <w:sz w:val="20"/>
                <w:szCs w:val="20"/>
              </w:rPr>
              <w:t xml:space="preserve"> This value could not be validated and was inconsistent with the discontinuation criteria specified in the requested restriction which requires an ‘adequate response’ defined as reduction in the BASDAI score by 2 or more</w:t>
            </w:r>
            <w:r w:rsidRPr="0019026F">
              <w:rPr>
                <w:rFonts w:ascii="Arial Narrow" w:hAnsi="Arial Narrow"/>
                <w:sz w:val="20"/>
                <w:szCs w:val="20"/>
              </w:rPr>
              <w:t xml:space="preserve"> units.</w:t>
            </w:r>
          </w:p>
          <w:p w:rsidR="00473AB5" w:rsidRPr="00A14787" w:rsidRDefault="00DA705F" w:rsidP="000A49C9">
            <w:pPr>
              <w:spacing w:before="40" w:after="40"/>
              <w:rPr>
                <w:rFonts w:ascii="Arial Narrow" w:hAnsi="Arial Narrow"/>
                <w:sz w:val="20"/>
                <w:szCs w:val="20"/>
              </w:rPr>
            </w:pPr>
            <w:r w:rsidRPr="006127CA">
              <w:rPr>
                <w:rFonts w:ascii="Arial Narrow" w:hAnsi="Arial Narrow"/>
                <w:sz w:val="20"/>
                <w:szCs w:val="20"/>
              </w:rPr>
              <w:t xml:space="preserve">The same BASDAI and BASFI annual score-change rate extrapolations as </w:t>
            </w:r>
            <w:r w:rsidR="00EE180E" w:rsidRPr="006127CA">
              <w:rPr>
                <w:rFonts w:ascii="Arial Narrow" w:hAnsi="Arial Narrow"/>
                <w:sz w:val="20"/>
                <w:szCs w:val="20"/>
              </w:rPr>
              <w:t xml:space="preserve">in the </w:t>
            </w:r>
            <w:r w:rsidRPr="006127CA">
              <w:rPr>
                <w:rFonts w:ascii="Arial Narrow" w:hAnsi="Arial Narrow"/>
                <w:sz w:val="20"/>
                <w:szCs w:val="20"/>
              </w:rPr>
              <w:t xml:space="preserve">NICE model (Corbett 2016). </w:t>
            </w:r>
            <w:r w:rsidR="004B0B7E" w:rsidRPr="006127CA">
              <w:rPr>
                <w:rFonts w:ascii="Arial Narrow" w:hAnsi="Arial Narrow"/>
                <w:sz w:val="20"/>
                <w:szCs w:val="20"/>
              </w:rPr>
              <w:t xml:space="preserve">Neither </w:t>
            </w:r>
            <w:r w:rsidRPr="00593896">
              <w:rPr>
                <w:rFonts w:ascii="Arial Narrow" w:hAnsi="Arial Narrow"/>
                <w:sz w:val="20"/>
                <w:szCs w:val="20"/>
              </w:rPr>
              <w:t xml:space="preserve">the submission </w:t>
            </w:r>
            <w:r w:rsidR="005238B9" w:rsidRPr="00581E8D">
              <w:rPr>
                <w:rFonts w:ascii="Arial Narrow" w:hAnsi="Arial Narrow"/>
                <w:sz w:val="20"/>
                <w:szCs w:val="20"/>
              </w:rPr>
              <w:t xml:space="preserve">nor Corbett (2016) </w:t>
            </w:r>
            <w:r w:rsidRPr="00581E8D">
              <w:rPr>
                <w:rFonts w:ascii="Arial Narrow" w:hAnsi="Arial Narrow"/>
                <w:sz w:val="20"/>
                <w:szCs w:val="20"/>
              </w:rPr>
              <w:t xml:space="preserve">provide a clear explanation of how the </w:t>
            </w:r>
            <w:r w:rsidR="004B0B7E" w:rsidRPr="00581E8D">
              <w:rPr>
                <w:rFonts w:ascii="Arial Narrow" w:hAnsi="Arial Narrow"/>
                <w:sz w:val="20"/>
                <w:szCs w:val="20"/>
              </w:rPr>
              <w:t xml:space="preserve">BASDAI and </w:t>
            </w:r>
            <w:r w:rsidRPr="00043719">
              <w:rPr>
                <w:rFonts w:ascii="Arial Narrow" w:hAnsi="Arial Narrow"/>
                <w:sz w:val="20"/>
                <w:szCs w:val="20"/>
              </w:rPr>
              <w:t>BASFI annual rate of score-progression was derived, n</w:t>
            </w:r>
            <w:r w:rsidRPr="00EB18EB">
              <w:rPr>
                <w:rFonts w:ascii="Arial Narrow" w:hAnsi="Arial Narrow"/>
                <w:sz w:val="20"/>
                <w:szCs w:val="20"/>
              </w:rPr>
              <w:t xml:space="preserve">or how the reduced annual rate of score-progression for golimumab-responders after four years on treatment was derived. As such, while applying the same </w:t>
            </w:r>
            <w:r w:rsidR="004B0B7E" w:rsidRPr="004F6657">
              <w:rPr>
                <w:rFonts w:ascii="Arial Narrow" w:hAnsi="Arial Narrow"/>
                <w:sz w:val="20"/>
                <w:szCs w:val="20"/>
              </w:rPr>
              <w:t xml:space="preserve">BASDAI and </w:t>
            </w:r>
            <w:r w:rsidRPr="004F6657">
              <w:rPr>
                <w:rFonts w:ascii="Arial Narrow" w:hAnsi="Arial Narrow"/>
                <w:sz w:val="20"/>
                <w:szCs w:val="20"/>
              </w:rPr>
              <w:t>BASFI score trajectory in both arms and groups between 52 weeks and 4 years is conservative,</w:t>
            </w:r>
            <w:r w:rsidRPr="0030713F">
              <w:rPr>
                <w:rFonts w:ascii="Arial Narrow" w:hAnsi="Arial Narrow"/>
                <w:sz w:val="20"/>
                <w:szCs w:val="20"/>
              </w:rPr>
              <w:t xml:space="preserve"> it is unclear whether the reduced rate of BASFI score-progression in </w:t>
            </w:r>
            <w:r w:rsidRPr="009672B5">
              <w:rPr>
                <w:rFonts w:ascii="Arial Narrow" w:hAnsi="Arial Narrow"/>
                <w:sz w:val="20"/>
                <w:szCs w:val="20"/>
              </w:rPr>
              <w:t xml:space="preserve">golimumab responders after four years is accurate. Varying the BASFI-score progression in golimumab responders after four years in sensitivity analyses would have been </w:t>
            </w:r>
            <w:r w:rsidR="00D4448E" w:rsidRPr="009672B5">
              <w:rPr>
                <w:rFonts w:ascii="Arial Narrow" w:hAnsi="Arial Narrow"/>
                <w:sz w:val="20"/>
                <w:szCs w:val="20"/>
              </w:rPr>
              <w:t>informative</w:t>
            </w:r>
            <w:r w:rsidRPr="009672B5">
              <w:rPr>
                <w:rFonts w:ascii="Arial Narrow" w:hAnsi="Arial Narrow"/>
                <w:sz w:val="20"/>
                <w:szCs w:val="20"/>
              </w:rPr>
              <w:t>.</w:t>
            </w:r>
            <w:r w:rsidR="00BB295C">
              <w:rPr>
                <w:rFonts w:ascii="Arial Narrow" w:hAnsi="Arial Narrow"/>
                <w:sz w:val="20"/>
                <w:szCs w:val="20"/>
              </w:rPr>
              <w:t xml:space="preserve"> The Pre-PBAC Response stated that removing the assumption about the reduced rate of BASFI progression had </w:t>
            </w:r>
            <w:r w:rsidR="00A75FE7">
              <w:rPr>
                <w:rFonts w:ascii="Arial Narrow" w:hAnsi="Arial Narrow"/>
                <w:sz w:val="20"/>
                <w:szCs w:val="20"/>
              </w:rPr>
              <w:t xml:space="preserve">only a </w:t>
            </w:r>
            <w:r w:rsidR="00BB295C">
              <w:rPr>
                <w:rFonts w:ascii="Arial Narrow" w:hAnsi="Arial Narrow"/>
                <w:sz w:val="20"/>
                <w:szCs w:val="20"/>
              </w:rPr>
              <w:t>limited effect on the ICER ($</w:t>
            </w:r>
            <w:r w:rsidR="00EC5B28">
              <w:rPr>
                <w:rFonts w:ascii="Arial Narrow" w:hAnsi="Arial Narrow"/>
                <w:sz w:val="20"/>
                <w:szCs w:val="20"/>
              </w:rPr>
              <w:t>15,000/QLY - $45,000</w:t>
            </w:r>
            <w:r w:rsidR="00BB295C">
              <w:rPr>
                <w:rFonts w:ascii="Arial Narrow" w:hAnsi="Arial Narrow"/>
                <w:sz w:val="20"/>
                <w:szCs w:val="20"/>
              </w:rPr>
              <w:t xml:space="preserve">/QALY). </w:t>
            </w:r>
          </w:p>
          <w:p w:rsidR="00C317F3" w:rsidRPr="004F6657" w:rsidRDefault="0038164F" w:rsidP="0046542B">
            <w:pPr>
              <w:spacing w:before="40" w:after="40"/>
              <w:rPr>
                <w:rFonts w:ascii="Arial Narrow" w:eastAsia="Times New Roman" w:hAnsi="Arial Narrow" w:cs="Times New Roman"/>
                <w:sz w:val="20"/>
                <w:szCs w:val="20"/>
              </w:rPr>
            </w:pPr>
            <w:r w:rsidRPr="0019026F">
              <w:rPr>
                <w:rFonts w:ascii="Arial Narrow" w:hAnsi="Arial Narrow"/>
                <w:sz w:val="20"/>
                <w:szCs w:val="20"/>
              </w:rPr>
              <w:t xml:space="preserve">Scenario analysis included which allows transitions to </w:t>
            </w:r>
            <w:r w:rsidR="00020FCF" w:rsidRPr="006127CA">
              <w:rPr>
                <w:rFonts w:ascii="Arial Narrow" w:hAnsi="Arial Narrow"/>
                <w:sz w:val="20"/>
                <w:szCs w:val="20"/>
              </w:rPr>
              <w:t>AS</w:t>
            </w:r>
            <w:r w:rsidRPr="006127CA">
              <w:rPr>
                <w:rFonts w:ascii="Arial Narrow" w:hAnsi="Arial Narrow"/>
                <w:sz w:val="20"/>
                <w:szCs w:val="20"/>
              </w:rPr>
              <w:t xml:space="preserve"> health states. </w:t>
            </w:r>
            <w:r w:rsidR="00A8193B" w:rsidRPr="006127CA">
              <w:rPr>
                <w:rFonts w:ascii="Arial Narrow" w:hAnsi="Arial Narrow"/>
                <w:sz w:val="20"/>
                <w:szCs w:val="20"/>
              </w:rPr>
              <w:t>This was appropriate given the progressive nature of the disease, but issues exist in assumptions used in this analysis</w:t>
            </w:r>
            <w:r w:rsidR="0046542B" w:rsidRPr="006127CA">
              <w:rPr>
                <w:rFonts w:ascii="Arial Narrow" w:hAnsi="Arial Narrow"/>
                <w:sz w:val="20"/>
                <w:szCs w:val="20"/>
              </w:rPr>
              <w:t>, particularly as the annual transition rate was based on the pr</w:t>
            </w:r>
            <w:r w:rsidR="0046542B" w:rsidRPr="00581E8D">
              <w:rPr>
                <w:rFonts w:ascii="Arial Narrow" w:hAnsi="Arial Narrow"/>
                <w:sz w:val="20"/>
                <w:szCs w:val="20"/>
              </w:rPr>
              <w:t>ogression of 16 patients to AS at 5, 10 and 15 years in an epidemiological study</w:t>
            </w:r>
            <w:r w:rsidR="00A8193B" w:rsidRPr="00581E8D">
              <w:rPr>
                <w:rFonts w:ascii="Arial Narrow" w:hAnsi="Arial Narrow"/>
                <w:sz w:val="20"/>
                <w:szCs w:val="20"/>
              </w:rPr>
              <w:t>.</w:t>
            </w:r>
            <w:r w:rsidR="001D3340" w:rsidRPr="00581E8D">
              <w:rPr>
                <w:rFonts w:ascii="Arial Narrow" w:hAnsi="Arial Narrow"/>
                <w:sz w:val="20"/>
                <w:szCs w:val="20"/>
              </w:rPr>
              <w:t xml:space="preserve"> The ESC noted that there were no dat</w:t>
            </w:r>
            <w:r w:rsidR="009220D7" w:rsidRPr="00043719">
              <w:rPr>
                <w:rFonts w:ascii="Arial Narrow" w:hAnsi="Arial Narrow"/>
                <w:sz w:val="20"/>
                <w:szCs w:val="20"/>
              </w:rPr>
              <w:t>a</w:t>
            </w:r>
            <w:r w:rsidR="001D3340" w:rsidRPr="00EB18EB">
              <w:rPr>
                <w:rFonts w:ascii="Arial Narrow" w:hAnsi="Arial Narrow"/>
                <w:sz w:val="20"/>
                <w:szCs w:val="20"/>
              </w:rPr>
              <w:t xml:space="preserve"> presented on the impact of golimumab in delaying progression to AS but such an effect was biologically plausible.</w:t>
            </w:r>
          </w:p>
        </w:tc>
      </w:tr>
      <w:tr w:rsidR="003A537E" w:rsidRPr="009672B5" w:rsidTr="003961E5">
        <w:tc>
          <w:tcPr>
            <w:tcW w:w="862" w:type="pct"/>
            <w:shd w:val="clear" w:color="auto" w:fill="auto"/>
            <w:vAlign w:val="center"/>
          </w:tcPr>
          <w:p w:rsidR="003A537E" w:rsidRPr="009672B5" w:rsidRDefault="003A537E" w:rsidP="000A49C9">
            <w:pPr>
              <w:spacing w:before="40" w:after="40"/>
              <w:rPr>
                <w:rFonts w:ascii="Arial Narrow" w:eastAsia="Times New Roman" w:hAnsi="Arial Narrow" w:cs="Times New Roman"/>
                <w:sz w:val="20"/>
                <w:szCs w:val="20"/>
              </w:rPr>
            </w:pPr>
            <w:r w:rsidRPr="009672B5">
              <w:rPr>
                <w:rFonts w:ascii="Arial Narrow" w:hAnsi="Arial Narrow"/>
                <w:sz w:val="20"/>
                <w:szCs w:val="20"/>
              </w:rPr>
              <w:t>Utilities</w:t>
            </w:r>
          </w:p>
        </w:tc>
        <w:tc>
          <w:tcPr>
            <w:tcW w:w="4138" w:type="pct"/>
            <w:shd w:val="clear" w:color="auto" w:fill="auto"/>
            <w:vAlign w:val="center"/>
          </w:tcPr>
          <w:p w:rsidR="00A8193B" w:rsidRPr="00A14787" w:rsidRDefault="004B0B7E" w:rsidP="000A49C9">
            <w:pPr>
              <w:spacing w:before="40" w:after="40"/>
              <w:rPr>
                <w:rFonts w:ascii="Arial Narrow" w:hAnsi="Arial Narrow"/>
                <w:sz w:val="20"/>
                <w:szCs w:val="20"/>
              </w:rPr>
            </w:pPr>
            <w:r w:rsidRPr="009672B5">
              <w:rPr>
                <w:rFonts w:ascii="Arial Narrow" w:hAnsi="Arial Narrow"/>
                <w:sz w:val="20"/>
                <w:szCs w:val="20"/>
              </w:rPr>
              <w:t>As patients were stratified into ‘responders’ and ‘non-responders’ at baseline in the model, t</w:t>
            </w:r>
            <w:r w:rsidR="00A8193B" w:rsidRPr="009672B5">
              <w:rPr>
                <w:rFonts w:ascii="Arial Narrow" w:hAnsi="Arial Narrow"/>
                <w:sz w:val="20"/>
                <w:szCs w:val="20"/>
              </w:rPr>
              <w:t xml:space="preserve">he baseline utilities were derived from </w:t>
            </w:r>
            <w:r w:rsidR="008A5C17" w:rsidRPr="009672B5">
              <w:rPr>
                <w:rFonts w:ascii="Arial Narrow" w:hAnsi="Arial Narrow"/>
                <w:sz w:val="20"/>
                <w:szCs w:val="20"/>
              </w:rPr>
              <w:t xml:space="preserve">individual patient data from the </w:t>
            </w:r>
            <w:r w:rsidR="00A8193B" w:rsidRPr="009672B5">
              <w:rPr>
                <w:rFonts w:ascii="Arial Narrow" w:hAnsi="Arial Narrow"/>
                <w:sz w:val="20"/>
                <w:szCs w:val="20"/>
              </w:rPr>
              <w:t>GO-AHEAD trial, where mean utilities at baseline were estimated for the subgroups who became BASDAI 50 ‘responders’ or ‘non-responders’ to golimumab or placebo at Week 16.</w:t>
            </w:r>
            <w:r w:rsidR="008A5C17" w:rsidRPr="009672B5">
              <w:rPr>
                <w:rFonts w:ascii="Arial Narrow" w:hAnsi="Arial Narrow"/>
                <w:sz w:val="20"/>
                <w:szCs w:val="20"/>
              </w:rPr>
              <w:t xml:space="preserve"> These utility values could not be verified. </w:t>
            </w:r>
            <w:r w:rsidR="003B32F5" w:rsidRPr="009672B5">
              <w:rPr>
                <w:rFonts w:ascii="Arial Narrow" w:hAnsi="Arial Narrow"/>
                <w:sz w:val="20"/>
                <w:szCs w:val="20"/>
              </w:rPr>
              <w:t xml:space="preserve">The trial based utilities at baseline for </w:t>
            </w:r>
            <w:r w:rsidR="008A5C17" w:rsidRPr="009672B5">
              <w:rPr>
                <w:rFonts w:ascii="Arial Narrow" w:hAnsi="Arial Narrow"/>
                <w:sz w:val="20"/>
                <w:szCs w:val="20"/>
              </w:rPr>
              <w:t>‘responder</w:t>
            </w:r>
            <w:r w:rsidR="003B32F5" w:rsidRPr="009672B5">
              <w:rPr>
                <w:rFonts w:ascii="Arial Narrow" w:hAnsi="Arial Narrow"/>
                <w:sz w:val="20"/>
                <w:szCs w:val="20"/>
              </w:rPr>
              <w:t>s</w:t>
            </w:r>
            <w:r w:rsidR="008A5C17" w:rsidRPr="009672B5">
              <w:rPr>
                <w:rFonts w:ascii="Arial Narrow" w:hAnsi="Arial Narrow"/>
                <w:sz w:val="20"/>
                <w:szCs w:val="20"/>
              </w:rPr>
              <w:t>’ were different for those treated with golimumab (</w:t>
            </w:r>
            <w:r w:rsidR="0092728B">
              <w:rPr>
                <w:rFonts w:ascii="Arial Narrow" w:hAnsi="Arial Narrow"/>
                <w:noProof/>
                <w:color w:val="000000"/>
                <w:sz w:val="20"/>
                <w:szCs w:val="20"/>
                <w:highlight w:val="black"/>
              </w:rPr>
              <w:t>''''''''''''</w:t>
            </w:r>
            <w:r w:rsidR="008A5C17" w:rsidRPr="009672B5">
              <w:rPr>
                <w:rFonts w:ascii="Arial Narrow" w:hAnsi="Arial Narrow"/>
                <w:sz w:val="20"/>
                <w:szCs w:val="20"/>
              </w:rPr>
              <w:t xml:space="preserve">) </w:t>
            </w:r>
            <w:r w:rsidR="008A5C17" w:rsidRPr="009672B5">
              <w:rPr>
                <w:rFonts w:ascii="Arial Narrow" w:hAnsi="Arial Narrow"/>
                <w:sz w:val="20"/>
                <w:szCs w:val="20"/>
              </w:rPr>
              <w:lastRenderedPageBreak/>
              <w:t>versus placebo (</w:t>
            </w:r>
            <w:r w:rsidR="0092728B">
              <w:rPr>
                <w:rFonts w:ascii="Arial Narrow" w:hAnsi="Arial Narrow"/>
                <w:noProof/>
                <w:color w:val="000000"/>
                <w:sz w:val="20"/>
                <w:szCs w:val="20"/>
                <w:highlight w:val="black"/>
              </w:rPr>
              <w:t>'''''''''''</w:t>
            </w:r>
            <w:r w:rsidR="008A5C17" w:rsidRPr="009672B5">
              <w:rPr>
                <w:rFonts w:ascii="Arial Narrow" w:hAnsi="Arial Narrow"/>
                <w:sz w:val="20"/>
                <w:szCs w:val="20"/>
              </w:rPr>
              <w:t>)</w:t>
            </w:r>
            <w:r w:rsidR="008A5C17" w:rsidRPr="00A14787">
              <w:rPr>
                <w:rFonts w:ascii="Arial Narrow" w:hAnsi="Arial Narrow"/>
                <w:sz w:val="20"/>
                <w:szCs w:val="20"/>
              </w:rPr>
              <w:t>, but co</w:t>
            </w:r>
            <w:r w:rsidR="008A5C17" w:rsidRPr="0019026F">
              <w:rPr>
                <w:rFonts w:ascii="Arial Narrow" w:hAnsi="Arial Narrow"/>
                <w:sz w:val="20"/>
                <w:szCs w:val="20"/>
              </w:rPr>
              <w:t>mparable for ‘non-responders’ for those treated with golimumab (</w:t>
            </w:r>
            <w:r w:rsidR="0092728B">
              <w:rPr>
                <w:rFonts w:ascii="Arial Narrow" w:hAnsi="Arial Narrow"/>
                <w:noProof/>
                <w:color w:val="000000"/>
                <w:sz w:val="20"/>
                <w:szCs w:val="20"/>
                <w:highlight w:val="black"/>
              </w:rPr>
              <w:t>''''''''''</w:t>
            </w:r>
            <w:r w:rsidR="008A5C17" w:rsidRPr="0019026F">
              <w:rPr>
                <w:rFonts w:ascii="Arial Narrow" w:hAnsi="Arial Narrow"/>
                <w:sz w:val="20"/>
                <w:szCs w:val="20"/>
              </w:rPr>
              <w:t>) and placebo (</w:t>
            </w:r>
            <w:r w:rsidR="0092728B">
              <w:rPr>
                <w:rFonts w:ascii="Arial Narrow" w:hAnsi="Arial Narrow"/>
                <w:noProof/>
                <w:color w:val="000000"/>
                <w:sz w:val="20"/>
                <w:szCs w:val="20"/>
                <w:highlight w:val="black"/>
              </w:rPr>
              <w:t>''''''''''</w:t>
            </w:r>
            <w:r w:rsidR="008A5C17" w:rsidRPr="0019026F">
              <w:rPr>
                <w:rFonts w:ascii="Arial Narrow" w:hAnsi="Arial Narrow"/>
                <w:sz w:val="20"/>
                <w:szCs w:val="20"/>
              </w:rPr>
              <w:t>).</w:t>
            </w:r>
            <w:r w:rsidR="003B32F5" w:rsidRPr="006127CA">
              <w:rPr>
                <w:rFonts w:ascii="Arial Narrow" w:hAnsi="Arial Narrow"/>
                <w:sz w:val="20"/>
                <w:szCs w:val="20"/>
              </w:rPr>
              <w:t xml:space="preserve"> </w:t>
            </w:r>
            <w:r w:rsidR="0083572D" w:rsidRPr="008C7FD4">
              <w:rPr>
                <w:rFonts w:ascii="Arial Narrow" w:hAnsi="Arial Narrow"/>
                <w:sz w:val="20"/>
                <w:szCs w:val="20"/>
              </w:rPr>
              <w:t>While this was not explained in the submission, it</w:t>
            </w:r>
            <w:r w:rsidR="003B32F5" w:rsidRPr="008C7FD4">
              <w:rPr>
                <w:rFonts w:ascii="Arial Narrow" w:hAnsi="Arial Narrow"/>
                <w:sz w:val="20"/>
                <w:szCs w:val="20"/>
              </w:rPr>
              <w:t xml:space="preserve"> is likely to be an artefact of the </w:t>
            </w:r>
            <w:r w:rsidR="0083572D" w:rsidRPr="008C7FD4">
              <w:rPr>
                <w:rFonts w:ascii="Arial Narrow" w:hAnsi="Arial Narrow"/>
                <w:sz w:val="20"/>
                <w:szCs w:val="20"/>
              </w:rPr>
              <w:t xml:space="preserve">extent to which those with more severe baseline symptoms (and hence worse utility) have the capacity to benefit and demonstrate response </w:t>
            </w:r>
            <w:r w:rsidR="009220D7" w:rsidRPr="008C7FD4">
              <w:rPr>
                <w:rFonts w:ascii="Arial Narrow" w:hAnsi="Arial Narrow"/>
                <w:sz w:val="20"/>
                <w:szCs w:val="20"/>
              </w:rPr>
              <w:t>using</w:t>
            </w:r>
            <w:r w:rsidR="0083572D" w:rsidRPr="008C7FD4">
              <w:rPr>
                <w:rFonts w:ascii="Arial Narrow" w:hAnsi="Arial Narrow"/>
                <w:sz w:val="20"/>
                <w:szCs w:val="20"/>
              </w:rPr>
              <w:t xml:space="preserve"> a clinical symptom score such as the BASDAI.</w:t>
            </w:r>
          </w:p>
          <w:p w:rsidR="003A537E" w:rsidRPr="004F6657" w:rsidRDefault="00635165" w:rsidP="0046542B">
            <w:pPr>
              <w:spacing w:before="40" w:after="40"/>
              <w:rPr>
                <w:rFonts w:ascii="Arial Narrow" w:eastAsia="Times New Roman" w:hAnsi="Arial Narrow" w:cs="Times New Roman"/>
                <w:sz w:val="20"/>
                <w:szCs w:val="20"/>
              </w:rPr>
            </w:pPr>
            <w:r w:rsidRPr="0019026F">
              <w:rPr>
                <w:rFonts w:ascii="Arial Narrow" w:hAnsi="Arial Narrow"/>
                <w:sz w:val="20"/>
                <w:szCs w:val="20"/>
              </w:rPr>
              <w:t>Regression equation from a separate study used with BASDAI/BASFI terms (from trial and extrapolations) to estimate and assign utilities.</w:t>
            </w:r>
            <w:r w:rsidR="00B80B83" w:rsidRPr="006127CA">
              <w:rPr>
                <w:rFonts w:ascii="Arial Narrow" w:hAnsi="Arial Narrow"/>
                <w:sz w:val="20"/>
                <w:szCs w:val="20"/>
              </w:rPr>
              <w:t xml:space="preserve"> </w:t>
            </w:r>
            <w:r w:rsidR="0083572D" w:rsidRPr="006127CA">
              <w:rPr>
                <w:rFonts w:ascii="Arial Narrow" w:hAnsi="Arial Narrow"/>
                <w:sz w:val="20"/>
                <w:szCs w:val="20"/>
              </w:rPr>
              <w:t>T</w:t>
            </w:r>
            <w:r w:rsidR="004821FE" w:rsidRPr="006127CA">
              <w:rPr>
                <w:rFonts w:ascii="Arial Narrow" w:hAnsi="Arial Narrow"/>
                <w:sz w:val="20"/>
                <w:szCs w:val="20"/>
              </w:rPr>
              <w:t>his overall approach was considered reasonable and the regression equation used in the base case analysis was the most appropriate of the four identified by the submission given it was based on patients in the GO-AHEAD trial (used in a submission to the Scottish Medicines Consortium, SMC)</w:t>
            </w:r>
            <w:r w:rsidR="0083572D" w:rsidRPr="00593896">
              <w:rPr>
                <w:rFonts w:ascii="Arial Narrow" w:hAnsi="Arial Narrow"/>
                <w:sz w:val="20"/>
                <w:szCs w:val="20"/>
              </w:rPr>
              <w:t>. However,</w:t>
            </w:r>
            <w:r w:rsidR="004821FE" w:rsidRPr="00581E8D">
              <w:rPr>
                <w:rFonts w:ascii="Arial Narrow" w:hAnsi="Arial Narrow"/>
                <w:sz w:val="20"/>
                <w:szCs w:val="20"/>
              </w:rPr>
              <w:t xml:space="preserve"> the derivation of the regression equation could not be </w:t>
            </w:r>
            <w:r w:rsidR="00020FCF" w:rsidRPr="00581E8D">
              <w:rPr>
                <w:rFonts w:ascii="Arial Narrow" w:hAnsi="Arial Narrow"/>
                <w:sz w:val="20"/>
                <w:szCs w:val="20"/>
              </w:rPr>
              <w:t>validated</w:t>
            </w:r>
            <w:r w:rsidR="004821FE" w:rsidRPr="00581E8D">
              <w:rPr>
                <w:rFonts w:ascii="Arial Narrow" w:hAnsi="Arial Narrow"/>
                <w:sz w:val="20"/>
                <w:szCs w:val="20"/>
              </w:rPr>
              <w:t xml:space="preserve"> in terms of whether the model was appropriately specified and whether an appropriate model type for the EQ-5D was used</w:t>
            </w:r>
            <w:r w:rsidR="00020FCF" w:rsidRPr="00043719">
              <w:rPr>
                <w:rFonts w:ascii="Arial Narrow" w:hAnsi="Arial Narrow"/>
                <w:sz w:val="20"/>
                <w:szCs w:val="20"/>
              </w:rPr>
              <w:t>.</w:t>
            </w:r>
            <w:r w:rsidR="008A6B15" w:rsidRPr="00EB18EB">
              <w:rPr>
                <w:rFonts w:ascii="Arial Narrow" w:hAnsi="Arial Narrow"/>
                <w:sz w:val="20"/>
                <w:szCs w:val="20"/>
              </w:rPr>
              <w:t xml:space="preserve"> </w:t>
            </w:r>
            <w:r w:rsidR="004821FE" w:rsidRPr="00EB18EB">
              <w:rPr>
                <w:rFonts w:ascii="Arial Narrow" w:hAnsi="Arial Narrow"/>
                <w:sz w:val="20"/>
                <w:szCs w:val="20"/>
              </w:rPr>
              <w:t xml:space="preserve">Moreover, it was not clear that the </w:t>
            </w:r>
            <w:r w:rsidR="004821FE" w:rsidRPr="004F6657">
              <w:rPr>
                <w:rFonts w:ascii="Arial Narrow" w:hAnsi="Arial Narrow"/>
                <w:sz w:val="20"/>
                <w:szCs w:val="20"/>
              </w:rPr>
              <w:t>same regression equation would be relevant over a 30-year time horizon and applicable to the scenario analysis where patients were able to transition to AS. The model was demonstrated to be sensitive to the utility regression equation applied.</w:t>
            </w:r>
          </w:p>
        </w:tc>
      </w:tr>
      <w:tr w:rsidR="00D045D1" w:rsidRPr="009672B5" w:rsidTr="003961E5">
        <w:tc>
          <w:tcPr>
            <w:tcW w:w="862" w:type="pct"/>
            <w:shd w:val="clear" w:color="auto" w:fill="auto"/>
            <w:vAlign w:val="center"/>
          </w:tcPr>
          <w:p w:rsidR="00D045D1" w:rsidRPr="009672B5" w:rsidRDefault="00D045D1" w:rsidP="000A49C9">
            <w:pPr>
              <w:spacing w:before="40" w:after="40"/>
              <w:rPr>
                <w:rFonts w:ascii="Arial Narrow" w:hAnsi="Arial Narrow"/>
                <w:sz w:val="20"/>
                <w:szCs w:val="20"/>
              </w:rPr>
            </w:pPr>
            <w:r w:rsidRPr="009672B5">
              <w:rPr>
                <w:rFonts w:ascii="Arial Narrow" w:hAnsi="Arial Narrow"/>
                <w:sz w:val="20"/>
                <w:szCs w:val="20"/>
              </w:rPr>
              <w:lastRenderedPageBreak/>
              <w:t xml:space="preserve">Costs </w:t>
            </w:r>
          </w:p>
        </w:tc>
        <w:tc>
          <w:tcPr>
            <w:tcW w:w="4138" w:type="pct"/>
            <w:shd w:val="clear" w:color="auto" w:fill="auto"/>
            <w:vAlign w:val="center"/>
          </w:tcPr>
          <w:p w:rsidR="0046542B" w:rsidRPr="009672B5" w:rsidRDefault="0046542B" w:rsidP="000A49C9">
            <w:pPr>
              <w:spacing w:before="40" w:after="40"/>
              <w:rPr>
                <w:rFonts w:ascii="Arial Narrow" w:hAnsi="Arial Narrow"/>
                <w:sz w:val="20"/>
                <w:szCs w:val="20"/>
              </w:rPr>
            </w:pPr>
            <w:r w:rsidRPr="009672B5">
              <w:rPr>
                <w:rFonts w:ascii="Arial Narrow" w:hAnsi="Arial Narrow"/>
                <w:sz w:val="20"/>
                <w:szCs w:val="20"/>
              </w:rPr>
              <w:t>The costs for golimumab were applied every 4 weeks for the first year of the model (which was inconsistent with the TGA-approved dosing of once per month), however costs relevant to 12 doses were appropriately applied in every year thereafter.</w:t>
            </w:r>
          </w:p>
          <w:p w:rsidR="00D045D1" w:rsidRPr="009672B5" w:rsidRDefault="009220D7" w:rsidP="00647592">
            <w:pPr>
              <w:spacing w:before="40" w:after="40"/>
              <w:rPr>
                <w:rFonts w:ascii="Arial Narrow" w:hAnsi="Arial Narrow"/>
                <w:sz w:val="20"/>
                <w:szCs w:val="20"/>
              </w:rPr>
            </w:pPr>
            <w:r w:rsidRPr="009672B5">
              <w:rPr>
                <w:rFonts w:ascii="Arial Narrow" w:hAnsi="Arial Narrow"/>
                <w:sz w:val="20"/>
                <w:szCs w:val="20"/>
              </w:rPr>
              <w:t>A r</w:t>
            </w:r>
            <w:r w:rsidR="00A8193B" w:rsidRPr="009672B5">
              <w:rPr>
                <w:rFonts w:ascii="Arial Narrow" w:hAnsi="Arial Narrow"/>
                <w:sz w:val="20"/>
                <w:szCs w:val="20"/>
              </w:rPr>
              <w:t xml:space="preserve">egression equation from a separate study (Tilden 2004) </w:t>
            </w:r>
            <w:r w:rsidRPr="009672B5">
              <w:rPr>
                <w:rFonts w:ascii="Arial Narrow" w:hAnsi="Arial Narrow"/>
                <w:sz w:val="20"/>
                <w:szCs w:val="20"/>
              </w:rPr>
              <w:t xml:space="preserve">was </w:t>
            </w:r>
            <w:r w:rsidR="00A8193B" w:rsidRPr="009672B5">
              <w:rPr>
                <w:rFonts w:ascii="Arial Narrow" w:hAnsi="Arial Narrow"/>
                <w:sz w:val="20"/>
                <w:szCs w:val="20"/>
              </w:rPr>
              <w:t xml:space="preserve">used with BASFI </w:t>
            </w:r>
            <w:r w:rsidRPr="009672B5">
              <w:rPr>
                <w:rFonts w:ascii="Arial Narrow" w:hAnsi="Arial Narrow"/>
                <w:sz w:val="20"/>
                <w:szCs w:val="20"/>
              </w:rPr>
              <w:t xml:space="preserve">status </w:t>
            </w:r>
            <w:r w:rsidR="00A8193B" w:rsidRPr="009672B5">
              <w:rPr>
                <w:rFonts w:ascii="Arial Narrow" w:hAnsi="Arial Narrow"/>
                <w:sz w:val="20"/>
                <w:szCs w:val="20"/>
              </w:rPr>
              <w:t xml:space="preserve">to estimate and assign disease-management costs in the base case. Although it may be appropriate to assume an Australian AS </w:t>
            </w:r>
            <w:r w:rsidR="00A43E8D" w:rsidRPr="009672B5">
              <w:rPr>
                <w:rFonts w:ascii="Arial Narrow" w:hAnsi="Arial Narrow"/>
                <w:sz w:val="20"/>
                <w:szCs w:val="20"/>
              </w:rPr>
              <w:t>cost of illness (</w:t>
            </w:r>
            <w:r w:rsidR="00A8193B" w:rsidRPr="009672B5">
              <w:rPr>
                <w:rFonts w:ascii="Arial Narrow" w:hAnsi="Arial Narrow"/>
                <w:sz w:val="20"/>
                <w:szCs w:val="20"/>
              </w:rPr>
              <w:t>COI</w:t>
            </w:r>
            <w:r w:rsidR="00A43E8D" w:rsidRPr="009672B5">
              <w:rPr>
                <w:rFonts w:ascii="Arial Narrow" w:hAnsi="Arial Narrow"/>
                <w:sz w:val="20"/>
                <w:szCs w:val="20"/>
              </w:rPr>
              <w:t>)</w:t>
            </w:r>
            <w:r w:rsidR="00A8193B" w:rsidRPr="009672B5">
              <w:rPr>
                <w:rFonts w:ascii="Arial Narrow" w:hAnsi="Arial Narrow"/>
                <w:sz w:val="20"/>
                <w:szCs w:val="20"/>
              </w:rPr>
              <w:t xml:space="preserve"> study is appropriate for an nr-axSpA population given the diseases are clinically believed to be on the same spectrum, there are major issues associated with the application of this disease-management cost regression equation in the model. The original COI study (Tilden 2004) provides no detailed information on the methodology of the study (for example, the healthcare resource-use questions included in the survey, the characteristics of the sample population and whether any eligibility criteria were applied)</w:t>
            </w:r>
            <w:r w:rsidR="004821FE" w:rsidRPr="009672B5">
              <w:rPr>
                <w:rFonts w:ascii="Arial Narrow" w:hAnsi="Arial Narrow"/>
                <w:sz w:val="20"/>
                <w:szCs w:val="20"/>
              </w:rPr>
              <w:t xml:space="preserve"> nor does it provide information on the specific costs included other than specifying ‘categories’ of costs</w:t>
            </w:r>
            <w:r w:rsidR="00A8193B" w:rsidRPr="009672B5">
              <w:rPr>
                <w:rFonts w:ascii="Arial Narrow" w:hAnsi="Arial Narrow"/>
                <w:sz w:val="20"/>
                <w:szCs w:val="20"/>
              </w:rPr>
              <w:t xml:space="preserve">. As such, the validity of this regression equation in predicting nr-axSpA disease-management costs </w:t>
            </w:r>
            <w:r w:rsidR="0046542B" w:rsidRPr="009672B5">
              <w:rPr>
                <w:rFonts w:ascii="Arial Narrow" w:hAnsi="Arial Narrow"/>
                <w:sz w:val="20"/>
                <w:szCs w:val="20"/>
              </w:rPr>
              <w:t>wa</w:t>
            </w:r>
            <w:r w:rsidR="00A8193B" w:rsidRPr="009672B5">
              <w:rPr>
                <w:rFonts w:ascii="Arial Narrow" w:hAnsi="Arial Narrow"/>
                <w:sz w:val="20"/>
                <w:szCs w:val="20"/>
              </w:rPr>
              <w:t>s unclear. A sensitivity analysis was provided that estimated disease-management costs based on both BASDAI/BAFSI (reportedly used in the Infliximab for AS submission considered in 2004), which slightly reduced the ICER</w:t>
            </w:r>
            <w:r w:rsidR="0046542B" w:rsidRPr="009672B5">
              <w:rPr>
                <w:rFonts w:ascii="Arial Narrow" w:hAnsi="Arial Narrow"/>
                <w:sz w:val="20"/>
                <w:szCs w:val="20"/>
              </w:rPr>
              <w:t>, similar issues existed with the derivation of costs as those described for the base case</w:t>
            </w:r>
            <w:r w:rsidR="00A8193B" w:rsidRPr="009672B5">
              <w:rPr>
                <w:rFonts w:ascii="Arial Narrow" w:hAnsi="Arial Narrow"/>
                <w:sz w:val="20"/>
                <w:szCs w:val="20"/>
              </w:rPr>
              <w:t>.</w:t>
            </w:r>
            <w:r w:rsidR="00E41742" w:rsidRPr="009672B5">
              <w:rPr>
                <w:rFonts w:ascii="Arial Narrow" w:hAnsi="Arial Narrow"/>
                <w:sz w:val="20"/>
                <w:szCs w:val="20"/>
              </w:rPr>
              <w:t xml:space="preserve"> The ESC noted an analysis provided in the PSCR </w:t>
            </w:r>
            <w:r w:rsidR="00600270" w:rsidRPr="009672B5">
              <w:rPr>
                <w:rFonts w:ascii="Arial Narrow" w:hAnsi="Arial Narrow"/>
                <w:sz w:val="20"/>
                <w:szCs w:val="20"/>
              </w:rPr>
              <w:t xml:space="preserve">(p3) </w:t>
            </w:r>
            <w:r w:rsidR="00E41742" w:rsidRPr="009672B5">
              <w:rPr>
                <w:rFonts w:ascii="Arial Narrow" w:hAnsi="Arial Narrow"/>
                <w:sz w:val="20"/>
                <w:szCs w:val="20"/>
              </w:rPr>
              <w:t>which showed that excluding disease treatment costs would increase the ICER to $</w:t>
            </w:r>
            <w:r w:rsidR="00EC5B28">
              <w:rPr>
                <w:rFonts w:ascii="Arial Narrow" w:hAnsi="Arial Narrow"/>
                <w:sz w:val="20"/>
                <w:szCs w:val="20"/>
              </w:rPr>
              <w:t>15,000/QLY - $45,000/</w:t>
            </w:r>
            <w:r w:rsidR="00E41742" w:rsidRPr="009672B5">
              <w:rPr>
                <w:rFonts w:ascii="Arial Narrow" w:hAnsi="Arial Narrow"/>
                <w:sz w:val="20"/>
                <w:szCs w:val="20"/>
              </w:rPr>
              <w:t>QALY gained.</w:t>
            </w:r>
          </w:p>
        </w:tc>
      </w:tr>
      <w:tr w:rsidR="00C317F3" w:rsidRPr="009672B5" w:rsidTr="003961E5">
        <w:tc>
          <w:tcPr>
            <w:tcW w:w="862" w:type="pct"/>
            <w:shd w:val="clear" w:color="auto" w:fill="auto"/>
            <w:vAlign w:val="center"/>
          </w:tcPr>
          <w:p w:rsidR="00C317F3" w:rsidRPr="009672B5" w:rsidRDefault="00C317F3" w:rsidP="000A49C9">
            <w:pPr>
              <w:spacing w:before="40" w:after="40"/>
              <w:rPr>
                <w:rFonts w:ascii="Arial Narrow" w:eastAsia="Times New Roman" w:hAnsi="Arial Narrow" w:cs="Times New Roman"/>
                <w:sz w:val="20"/>
                <w:szCs w:val="20"/>
              </w:rPr>
            </w:pPr>
            <w:r w:rsidRPr="009672B5">
              <w:rPr>
                <w:rFonts w:ascii="Arial Narrow" w:hAnsi="Arial Narrow"/>
                <w:sz w:val="20"/>
                <w:szCs w:val="20"/>
              </w:rPr>
              <w:t>Cycle length</w:t>
            </w:r>
          </w:p>
        </w:tc>
        <w:tc>
          <w:tcPr>
            <w:tcW w:w="4138" w:type="pct"/>
            <w:shd w:val="clear" w:color="auto" w:fill="auto"/>
            <w:vAlign w:val="center"/>
          </w:tcPr>
          <w:p w:rsidR="00C317F3" w:rsidRPr="009672B5" w:rsidRDefault="008D14F4" w:rsidP="000A49C9">
            <w:pPr>
              <w:spacing w:before="40" w:after="40"/>
              <w:rPr>
                <w:rFonts w:ascii="Arial Narrow" w:hAnsi="Arial Narrow"/>
                <w:sz w:val="20"/>
                <w:szCs w:val="20"/>
              </w:rPr>
            </w:pPr>
            <w:r w:rsidRPr="009672B5">
              <w:rPr>
                <w:rFonts w:ascii="Arial Narrow" w:hAnsi="Arial Narrow"/>
                <w:sz w:val="20"/>
                <w:szCs w:val="20"/>
              </w:rPr>
              <w:t xml:space="preserve">Weekly for </w:t>
            </w:r>
            <w:r w:rsidR="00137049" w:rsidRPr="009672B5">
              <w:rPr>
                <w:rFonts w:ascii="Arial Narrow" w:hAnsi="Arial Narrow"/>
                <w:sz w:val="20"/>
                <w:szCs w:val="20"/>
              </w:rPr>
              <w:t xml:space="preserve">first </w:t>
            </w:r>
            <w:r w:rsidRPr="009672B5">
              <w:rPr>
                <w:rFonts w:ascii="Arial Narrow" w:hAnsi="Arial Narrow"/>
                <w:sz w:val="20"/>
                <w:szCs w:val="20"/>
              </w:rPr>
              <w:t xml:space="preserve">year, annual </w:t>
            </w:r>
            <w:r w:rsidR="00137049" w:rsidRPr="009672B5">
              <w:rPr>
                <w:rFonts w:ascii="Arial Narrow" w:hAnsi="Arial Narrow"/>
                <w:sz w:val="20"/>
                <w:szCs w:val="20"/>
              </w:rPr>
              <w:t>thereafter</w:t>
            </w:r>
            <w:r w:rsidRPr="009672B5">
              <w:rPr>
                <w:rFonts w:ascii="Arial Narrow" w:hAnsi="Arial Narrow"/>
                <w:sz w:val="20"/>
                <w:szCs w:val="20"/>
              </w:rPr>
              <w:t>.</w:t>
            </w:r>
          </w:p>
          <w:p w:rsidR="001578EC" w:rsidRPr="009672B5" w:rsidRDefault="001578EC" w:rsidP="001578EC">
            <w:pPr>
              <w:spacing w:before="40" w:after="40"/>
              <w:rPr>
                <w:rFonts w:ascii="Arial Narrow" w:eastAsia="Times New Roman" w:hAnsi="Arial Narrow" w:cs="Times New Roman"/>
                <w:sz w:val="20"/>
                <w:szCs w:val="20"/>
              </w:rPr>
            </w:pPr>
            <w:r w:rsidRPr="009672B5">
              <w:rPr>
                <w:rFonts w:ascii="Arial Narrow" w:hAnsi="Arial Narrow"/>
                <w:sz w:val="20"/>
                <w:szCs w:val="20"/>
              </w:rPr>
              <w:t>Cycle lengths were reasonable, however the lack of half-cycle corrections in the annual cycles likely resulted in inaccurate accrual of costs and benefits.</w:t>
            </w:r>
          </w:p>
        </w:tc>
      </w:tr>
      <w:tr w:rsidR="00C317F3" w:rsidRPr="009672B5" w:rsidTr="003961E5">
        <w:tc>
          <w:tcPr>
            <w:tcW w:w="862" w:type="pct"/>
            <w:shd w:val="clear" w:color="auto" w:fill="auto"/>
            <w:vAlign w:val="center"/>
          </w:tcPr>
          <w:p w:rsidR="00C317F3" w:rsidRPr="009672B5" w:rsidRDefault="00C317F3" w:rsidP="000A49C9">
            <w:pPr>
              <w:spacing w:before="40" w:after="40"/>
              <w:rPr>
                <w:rFonts w:ascii="Arial Narrow" w:eastAsia="Times New Roman" w:hAnsi="Arial Narrow" w:cs="Times New Roman"/>
                <w:sz w:val="20"/>
                <w:szCs w:val="20"/>
              </w:rPr>
            </w:pPr>
            <w:r w:rsidRPr="009672B5">
              <w:rPr>
                <w:rFonts w:ascii="Arial Narrow" w:hAnsi="Arial Narrow"/>
                <w:sz w:val="20"/>
                <w:szCs w:val="20"/>
              </w:rPr>
              <w:t>Transition probabilities</w:t>
            </w:r>
          </w:p>
        </w:tc>
        <w:tc>
          <w:tcPr>
            <w:tcW w:w="4138" w:type="pct"/>
            <w:shd w:val="clear" w:color="auto" w:fill="auto"/>
            <w:vAlign w:val="center"/>
          </w:tcPr>
          <w:p w:rsidR="00C317F3" w:rsidRPr="009672B5" w:rsidRDefault="008B0A84" w:rsidP="003E1A68">
            <w:pPr>
              <w:spacing w:before="40" w:after="40"/>
              <w:rPr>
                <w:rFonts w:ascii="Arial Narrow" w:eastAsia="Times New Roman" w:hAnsi="Arial Narrow" w:cs="Times New Roman"/>
                <w:sz w:val="20"/>
                <w:szCs w:val="20"/>
              </w:rPr>
            </w:pPr>
            <w:r w:rsidRPr="009672B5">
              <w:rPr>
                <w:rFonts w:ascii="Arial Narrow" w:hAnsi="Arial Narrow"/>
                <w:sz w:val="20"/>
                <w:szCs w:val="20"/>
              </w:rPr>
              <w:t>Derived from trial data through to week 16, from open-label study data to week 52 for golimumab responders</w:t>
            </w:r>
            <w:r w:rsidR="008D5C8D" w:rsidRPr="009672B5">
              <w:rPr>
                <w:rFonts w:ascii="Arial Narrow" w:hAnsi="Arial Narrow"/>
                <w:sz w:val="20"/>
                <w:szCs w:val="20"/>
              </w:rPr>
              <w:t xml:space="preserve">, sponsor assumptions and assumptions from a separate model. There are issues with some transition probabilities, </w:t>
            </w:r>
            <w:r w:rsidR="005845D4" w:rsidRPr="009672B5">
              <w:rPr>
                <w:rFonts w:ascii="Arial Narrow" w:hAnsi="Arial Narrow"/>
                <w:sz w:val="20"/>
                <w:szCs w:val="20"/>
              </w:rPr>
              <w:t>especially</w:t>
            </w:r>
            <w:r w:rsidR="008D5C8D" w:rsidRPr="009672B5">
              <w:rPr>
                <w:rFonts w:ascii="Arial Narrow" w:hAnsi="Arial Narrow"/>
                <w:sz w:val="20"/>
                <w:szCs w:val="20"/>
              </w:rPr>
              <w:t xml:space="preserve"> the assumption that </w:t>
            </w:r>
            <w:r w:rsidR="00895D3E" w:rsidRPr="009672B5">
              <w:rPr>
                <w:rFonts w:ascii="Arial Narrow" w:hAnsi="Arial Narrow"/>
                <w:sz w:val="20"/>
                <w:szCs w:val="20"/>
              </w:rPr>
              <w:t xml:space="preserve">the </w:t>
            </w:r>
            <w:r w:rsidR="008D5C8D" w:rsidRPr="009672B5">
              <w:rPr>
                <w:rFonts w:ascii="Arial Narrow" w:hAnsi="Arial Narrow"/>
                <w:sz w:val="20"/>
                <w:szCs w:val="20"/>
              </w:rPr>
              <w:t>comparator-arm responders all transition to non-responders at week 32.</w:t>
            </w:r>
            <w:r w:rsidRPr="009672B5">
              <w:rPr>
                <w:rFonts w:ascii="Arial Narrow" w:hAnsi="Arial Narrow"/>
                <w:sz w:val="20"/>
                <w:szCs w:val="20"/>
              </w:rPr>
              <w:t xml:space="preserve"> </w:t>
            </w:r>
            <w:r w:rsidR="00D57166" w:rsidRPr="009672B5">
              <w:rPr>
                <w:rFonts w:ascii="Arial Narrow" w:hAnsi="Arial Narrow"/>
                <w:sz w:val="20"/>
                <w:szCs w:val="20"/>
              </w:rPr>
              <w:t>The ESC was also concerned that the transition probabilities were effectively constant throughout the duration of the model</w:t>
            </w:r>
            <w:r w:rsidR="00940043" w:rsidRPr="009672B5">
              <w:rPr>
                <w:rFonts w:ascii="Arial Narrow" w:hAnsi="Arial Narrow"/>
                <w:sz w:val="20"/>
                <w:szCs w:val="20"/>
              </w:rPr>
              <w:t>, as can be observed from the resulting Markov traces</w:t>
            </w:r>
            <w:r w:rsidR="00D57166" w:rsidRPr="009672B5">
              <w:rPr>
                <w:rFonts w:ascii="Arial Narrow" w:hAnsi="Arial Narrow"/>
                <w:sz w:val="20"/>
                <w:szCs w:val="20"/>
              </w:rPr>
              <w:t xml:space="preserve"> (see Figure </w:t>
            </w:r>
            <w:r w:rsidR="003E1A68">
              <w:rPr>
                <w:rFonts w:ascii="Arial Narrow" w:hAnsi="Arial Narrow"/>
                <w:sz w:val="20"/>
                <w:szCs w:val="20"/>
              </w:rPr>
              <w:t>3</w:t>
            </w:r>
            <w:r w:rsidR="00D57166" w:rsidRPr="009672B5">
              <w:rPr>
                <w:rFonts w:ascii="Arial Narrow" w:hAnsi="Arial Narrow"/>
                <w:sz w:val="20"/>
                <w:szCs w:val="20"/>
              </w:rPr>
              <w:t xml:space="preserve">). This was not well justified and did not </w:t>
            </w:r>
            <w:r w:rsidR="00940043" w:rsidRPr="009672B5">
              <w:rPr>
                <w:rFonts w:ascii="Arial Narrow" w:hAnsi="Arial Narrow"/>
                <w:sz w:val="20"/>
                <w:szCs w:val="20"/>
              </w:rPr>
              <w:t>appear to represent the natural course of nr-axSpA or its treatment with golimumab.</w:t>
            </w:r>
          </w:p>
        </w:tc>
      </w:tr>
    </w:tbl>
    <w:p w:rsidR="00321CEA" w:rsidRDefault="00321CEA" w:rsidP="00772501">
      <w:pPr>
        <w:pStyle w:val="TableFooter"/>
      </w:pPr>
      <w:r>
        <w:t>QALY: quality-adjusted life year</w:t>
      </w:r>
    </w:p>
    <w:p w:rsidR="00C317F3" w:rsidRPr="009672B5" w:rsidRDefault="00C317F3" w:rsidP="00772501">
      <w:pPr>
        <w:pStyle w:val="TableFooter"/>
      </w:pPr>
      <w:r w:rsidRPr="009672B5">
        <w:t xml:space="preserve">Source: </w:t>
      </w:r>
      <w:r w:rsidR="004157B9" w:rsidRPr="009672B5">
        <w:t>Sections 3.1-3.5 of the submission</w:t>
      </w:r>
    </w:p>
    <w:p w:rsidR="00940043" w:rsidRPr="009672B5" w:rsidRDefault="00940043" w:rsidP="00772501">
      <w:pPr>
        <w:pStyle w:val="TableFooter"/>
      </w:pPr>
    </w:p>
    <w:p w:rsidR="00940043" w:rsidRPr="009672B5" w:rsidRDefault="00940043" w:rsidP="00600270">
      <w:pPr>
        <w:pStyle w:val="TableHeading0"/>
      </w:pPr>
      <w:r w:rsidRPr="009672B5">
        <w:lastRenderedPageBreak/>
        <w:t xml:space="preserve">Figure </w:t>
      </w:r>
      <w:r w:rsidR="003E1A68">
        <w:t>3</w:t>
      </w:r>
      <w:r w:rsidRPr="009672B5">
        <w:t>: Markov traces of key model outcomes</w:t>
      </w:r>
    </w:p>
    <w:p w:rsidR="00940043" w:rsidRPr="009672B5" w:rsidRDefault="0092728B" w:rsidP="00772501">
      <w:pPr>
        <w:pStyle w:val="TableFooter"/>
      </w:pPr>
      <w:r>
        <w:rPr>
          <w:noProof/>
          <w:snapToGrid/>
          <w:lang w:eastAsia="en-AU"/>
        </w:rPr>
        <w:drawing>
          <wp:inline distT="0" distB="0" distL="0" distR="0">
            <wp:extent cx="6300470" cy="3415030"/>
            <wp:effectExtent l="0" t="0" r="508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300470" cy="3415030"/>
                    </a:xfrm>
                    <a:prstGeom prst="rect">
                      <a:avLst/>
                    </a:prstGeom>
                  </pic:spPr>
                </pic:pic>
              </a:graphicData>
            </a:graphic>
          </wp:inline>
        </w:drawing>
      </w:r>
    </w:p>
    <w:p w:rsidR="00940043" w:rsidRPr="009672B5" w:rsidRDefault="00C2663B" w:rsidP="00772501">
      <w:pPr>
        <w:pStyle w:val="TableFooter"/>
      </w:pPr>
      <w:r w:rsidRPr="009672B5">
        <w:t xml:space="preserve">Source: </w:t>
      </w:r>
      <w:r w:rsidR="00600270" w:rsidRPr="009672B5">
        <w:t>Figure 3.7.1, p170 of the submission</w:t>
      </w:r>
      <w:r w:rsidRPr="009672B5">
        <w:t>.</w:t>
      </w:r>
    </w:p>
    <w:p w:rsidR="00E37424" w:rsidRPr="009672B5" w:rsidRDefault="00137049" w:rsidP="00BB68CD">
      <w:pPr>
        <w:pStyle w:val="ListParagraph"/>
        <w:numPr>
          <w:ilvl w:val="1"/>
          <w:numId w:val="1"/>
        </w:numPr>
        <w:spacing w:before="0" w:after="120"/>
        <w:jc w:val="both"/>
      </w:pPr>
      <w:r w:rsidRPr="009672B5">
        <w:t>The key drivers of the model are presented in Table 9.</w:t>
      </w:r>
    </w:p>
    <w:p w:rsidR="00E37424" w:rsidRPr="009672B5" w:rsidRDefault="00E37424" w:rsidP="00772501">
      <w:pPr>
        <w:pStyle w:val="TableHeading0"/>
      </w:pPr>
      <w:r w:rsidRPr="009672B5">
        <w:t xml:space="preserve">Table </w:t>
      </w:r>
      <w:r w:rsidR="00137049" w:rsidRPr="009672B5">
        <w:t>9</w:t>
      </w:r>
      <w:r w:rsidRPr="009672B5">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0"/>
        <w:gridCol w:w="5353"/>
        <w:gridCol w:w="2449"/>
      </w:tblGrid>
      <w:tr w:rsidR="00E37424" w:rsidRPr="009672B5" w:rsidTr="0071766F">
        <w:trPr>
          <w:trHeight w:val="70"/>
          <w:tblHeader/>
        </w:trPr>
        <w:tc>
          <w:tcPr>
            <w:tcW w:w="705" w:type="pct"/>
            <w:shd w:val="clear" w:color="auto" w:fill="auto"/>
            <w:vAlign w:val="center"/>
          </w:tcPr>
          <w:p w:rsidR="00E37424" w:rsidRPr="009672B5" w:rsidRDefault="00E37424" w:rsidP="00772501">
            <w:pPr>
              <w:pStyle w:val="TableText"/>
              <w:rPr>
                <w:b/>
              </w:rPr>
            </w:pPr>
            <w:r w:rsidRPr="009672B5">
              <w:rPr>
                <w:b/>
              </w:rPr>
              <w:t>Description</w:t>
            </w:r>
          </w:p>
        </w:tc>
        <w:tc>
          <w:tcPr>
            <w:tcW w:w="2947" w:type="pct"/>
            <w:shd w:val="clear" w:color="auto" w:fill="auto"/>
            <w:vAlign w:val="center"/>
          </w:tcPr>
          <w:p w:rsidR="00E37424" w:rsidRPr="009672B5" w:rsidRDefault="00E37424" w:rsidP="00772501">
            <w:pPr>
              <w:pStyle w:val="TableText"/>
              <w:rPr>
                <w:b/>
              </w:rPr>
            </w:pPr>
            <w:r w:rsidRPr="009672B5">
              <w:rPr>
                <w:b/>
              </w:rPr>
              <w:t>Method/Value</w:t>
            </w:r>
          </w:p>
        </w:tc>
        <w:tc>
          <w:tcPr>
            <w:tcW w:w="1348" w:type="pct"/>
            <w:shd w:val="clear" w:color="auto" w:fill="auto"/>
            <w:vAlign w:val="center"/>
          </w:tcPr>
          <w:p w:rsidR="00E37424" w:rsidRPr="009672B5" w:rsidRDefault="00E37424" w:rsidP="00772501">
            <w:pPr>
              <w:pStyle w:val="TableText"/>
              <w:rPr>
                <w:b/>
              </w:rPr>
            </w:pPr>
            <w:r w:rsidRPr="009672B5">
              <w:rPr>
                <w:b/>
              </w:rPr>
              <w:t>Impact</w:t>
            </w:r>
          </w:p>
        </w:tc>
      </w:tr>
      <w:tr w:rsidR="00E37424" w:rsidRPr="009672B5" w:rsidTr="0071766F">
        <w:tc>
          <w:tcPr>
            <w:tcW w:w="705" w:type="pct"/>
            <w:shd w:val="clear" w:color="auto" w:fill="auto"/>
            <w:vAlign w:val="center"/>
          </w:tcPr>
          <w:p w:rsidR="00E37424" w:rsidRPr="009672B5" w:rsidRDefault="00200296" w:rsidP="00772501">
            <w:pPr>
              <w:pStyle w:val="TableText"/>
            </w:pPr>
            <w:r w:rsidRPr="009672B5">
              <w:t>Extrapolation</w:t>
            </w:r>
          </w:p>
        </w:tc>
        <w:tc>
          <w:tcPr>
            <w:tcW w:w="2947" w:type="pct"/>
            <w:shd w:val="clear" w:color="auto" w:fill="auto"/>
            <w:vAlign w:val="center"/>
          </w:tcPr>
          <w:p w:rsidR="00012EF7" w:rsidRPr="009672B5" w:rsidRDefault="00012EF7" w:rsidP="00EB376B">
            <w:pPr>
              <w:pStyle w:val="TableText"/>
            </w:pPr>
            <w:r w:rsidRPr="009672B5">
              <w:t>CC-responders assumed to lose all response from baseline by Week 32.</w:t>
            </w:r>
          </w:p>
          <w:p w:rsidR="00200296" w:rsidRPr="009672B5" w:rsidRDefault="00012EF7">
            <w:pPr>
              <w:pStyle w:val="TableText"/>
            </w:pPr>
            <w:r w:rsidRPr="009672B5">
              <w:t>BASFI score trajectory rate applied to health-states after trial/open-label data</w:t>
            </w:r>
          </w:p>
        </w:tc>
        <w:tc>
          <w:tcPr>
            <w:tcW w:w="1348" w:type="pct"/>
            <w:shd w:val="clear" w:color="auto" w:fill="auto"/>
          </w:tcPr>
          <w:p w:rsidR="00E37424" w:rsidRPr="009672B5" w:rsidRDefault="009A0FBA" w:rsidP="00EB376B">
            <w:pPr>
              <w:pStyle w:val="TableText"/>
            </w:pPr>
            <w:r w:rsidRPr="009672B5">
              <w:t>High (favours golimumab)</w:t>
            </w:r>
            <w:r w:rsidR="0071766F" w:rsidRPr="009672B5">
              <w:br/>
            </w:r>
            <w:r w:rsidRPr="009672B5">
              <w:t>Unclear</w:t>
            </w:r>
            <w:r w:rsidR="0071766F" w:rsidRPr="009672B5">
              <w:br/>
            </w:r>
          </w:p>
        </w:tc>
      </w:tr>
      <w:tr w:rsidR="00200296" w:rsidRPr="009672B5" w:rsidTr="0071766F">
        <w:tc>
          <w:tcPr>
            <w:tcW w:w="705" w:type="pct"/>
            <w:shd w:val="clear" w:color="auto" w:fill="auto"/>
            <w:vAlign w:val="center"/>
          </w:tcPr>
          <w:p w:rsidR="00200296" w:rsidRPr="009672B5" w:rsidRDefault="00200296" w:rsidP="00772501">
            <w:pPr>
              <w:pStyle w:val="TableText"/>
            </w:pPr>
            <w:r w:rsidRPr="009672B5">
              <w:t>Utilities</w:t>
            </w:r>
          </w:p>
        </w:tc>
        <w:tc>
          <w:tcPr>
            <w:tcW w:w="2947" w:type="pct"/>
            <w:shd w:val="clear" w:color="auto" w:fill="auto"/>
            <w:vAlign w:val="center"/>
          </w:tcPr>
          <w:p w:rsidR="00200296" w:rsidRPr="009672B5" w:rsidRDefault="00012EF7" w:rsidP="00772501">
            <w:pPr>
              <w:pStyle w:val="TableText"/>
            </w:pPr>
            <w:r w:rsidRPr="009672B5">
              <w:t>Utility values estimated from a regression equation that could not be validated</w:t>
            </w:r>
          </w:p>
        </w:tc>
        <w:tc>
          <w:tcPr>
            <w:tcW w:w="1348" w:type="pct"/>
            <w:shd w:val="clear" w:color="auto" w:fill="auto"/>
            <w:vAlign w:val="center"/>
          </w:tcPr>
          <w:p w:rsidR="00200296" w:rsidRPr="009672B5" w:rsidRDefault="00137049" w:rsidP="00772501">
            <w:pPr>
              <w:pStyle w:val="TableText"/>
            </w:pPr>
            <w:r w:rsidRPr="009672B5">
              <w:t>High (base case values favour golimumab)</w:t>
            </w:r>
          </w:p>
        </w:tc>
      </w:tr>
    </w:tbl>
    <w:p w:rsidR="00E37424" w:rsidRPr="009672B5" w:rsidRDefault="00E37424" w:rsidP="00772501">
      <w:pPr>
        <w:pStyle w:val="TableFooter"/>
      </w:pPr>
      <w:r w:rsidRPr="009672B5">
        <w:t>Source: compiled during the evaluation</w:t>
      </w:r>
      <w:r w:rsidR="00B80B83" w:rsidRPr="009672B5">
        <w:t xml:space="preserve"> </w:t>
      </w:r>
    </w:p>
    <w:p w:rsidR="00C317F3" w:rsidRPr="009672B5" w:rsidRDefault="00137049" w:rsidP="00BB68CD">
      <w:pPr>
        <w:pStyle w:val="ListParagraph"/>
        <w:numPr>
          <w:ilvl w:val="1"/>
          <w:numId w:val="1"/>
        </w:numPr>
        <w:spacing w:before="0" w:after="120"/>
        <w:jc w:val="both"/>
      </w:pPr>
      <w:r w:rsidRPr="009672B5">
        <w:t>Table 10 presents the results of the economic evaluation.</w:t>
      </w:r>
    </w:p>
    <w:p w:rsidR="00C317F3" w:rsidRPr="009672B5" w:rsidRDefault="00C317F3" w:rsidP="00772501">
      <w:pPr>
        <w:pStyle w:val="TableHeading0"/>
      </w:pPr>
      <w:r w:rsidRPr="009672B5">
        <w:t xml:space="preserve">Table </w:t>
      </w:r>
      <w:r w:rsidR="000A6383" w:rsidRPr="009672B5">
        <w:t>10</w:t>
      </w:r>
      <w:r w:rsidRPr="009672B5">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23"/>
        <w:gridCol w:w="1856"/>
        <w:gridCol w:w="1856"/>
        <w:gridCol w:w="1947"/>
      </w:tblGrid>
      <w:tr w:rsidR="00C317F3" w:rsidRPr="009672B5" w:rsidTr="000A6383">
        <w:trPr>
          <w:tblHeader/>
        </w:trPr>
        <w:tc>
          <w:tcPr>
            <w:tcW w:w="1884" w:type="pct"/>
            <w:vAlign w:val="center"/>
          </w:tcPr>
          <w:p w:rsidR="00C317F3" w:rsidRPr="009672B5" w:rsidRDefault="00C317F3" w:rsidP="00772501">
            <w:pPr>
              <w:pStyle w:val="TableText"/>
              <w:rPr>
                <w:b/>
              </w:rPr>
            </w:pPr>
            <w:r w:rsidRPr="009672B5">
              <w:rPr>
                <w:b/>
              </w:rPr>
              <w:t>Step and component</w:t>
            </w:r>
          </w:p>
        </w:tc>
        <w:tc>
          <w:tcPr>
            <w:tcW w:w="1022" w:type="pct"/>
            <w:vAlign w:val="center"/>
          </w:tcPr>
          <w:p w:rsidR="00C317F3" w:rsidRPr="009672B5" w:rsidRDefault="00D667E1" w:rsidP="000A6383">
            <w:pPr>
              <w:pStyle w:val="TableText"/>
              <w:jc w:val="center"/>
              <w:rPr>
                <w:b/>
              </w:rPr>
            </w:pPr>
            <w:r w:rsidRPr="009672B5">
              <w:rPr>
                <w:b/>
              </w:rPr>
              <w:t>Golimumab + conventional care</w:t>
            </w:r>
          </w:p>
        </w:tc>
        <w:tc>
          <w:tcPr>
            <w:tcW w:w="1022" w:type="pct"/>
            <w:vAlign w:val="center"/>
          </w:tcPr>
          <w:p w:rsidR="00C317F3" w:rsidRPr="009672B5" w:rsidRDefault="00D667E1" w:rsidP="000A6383">
            <w:pPr>
              <w:pStyle w:val="TableText"/>
              <w:jc w:val="center"/>
              <w:rPr>
                <w:b/>
              </w:rPr>
            </w:pPr>
            <w:r w:rsidRPr="009672B5">
              <w:rPr>
                <w:b/>
              </w:rPr>
              <w:t>Conventional care</w:t>
            </w:r>
          </w:p>
        </w:tc>
        <w:tc>
          <w:tcPr>
            <w:tcW w:w="1072" w:type="pct"/>
            <w:vAlign w:val="center"/>
          </w:tcPr>
          <w:p w:rsidR="00C317F3" w:rsidRPr="009672B5" w:rsidRDefault="00C317F3" w:rsidP="000A6383">
            <w:pPr>
              <w:pStyle w:val="TableText"/>
              <w:jc w:val="center"/>
              <w:rPr>
                <w:b/>
              </w:rPr>
            </w:pPr>
            <w:r w:rsidRPr="009672B5">
              <w:rPr>
                <w:b/>
              </w:rPr>
              <w:t>Increment</w:t>
            </w:r>
          </w:p>
        </w:tc>
      </w:tr>
      <w:tr w:rsidR="00C317F3" w:rsidRPr="009672B5" w:rsidTr="00DF16C0">
        <w:tc>
          <w:tcPr>
            <w:tcW w:w="5000" w:type="pct"/>
            <w:gridSpan w:val="4"/>
            <w:vAlign w:val="center"/>
          </w:tcPr>
          <w:p w:rsidR="00C317F3" w:rsidRPr="009672B5" w:rsidRDefault="00C317F3">
            <w:pPr>
              <w:pStyle w:val="TableText"/>
              <w:rPr>
                <w:b/>
                <w:snapToGrid w:val="0"/>
              </w:rPr>
            </w:pPr>
            <w:r w:rsidRPr="009672B5">
              <w:rPr>
                <w:b/>
                <w:snapToGrid w:val="0"/>
              </w:rPr>
              <w:t xml:space="preserve">Step 1: </w:t>
            </w:r>
            <w:r w:rsidR="00D667E1" w:rsidRPr="009672B5">
              <w:rPr>
                <w:b/>
              </w:rPr>
              <w:t>Trial</w:t>
            </w:r>
            <w:r w:rsidR="00D36027" w:rsidRPr="009672B5">
              <w:rPr>
                <w:b/>
              </w:rPr>
              <w:t>-based analysis [16 weeks</w:t>
            </w:r>
            <w:r w:rsidR="00D667E1" w:rsidRPr="009672B5">
              <w:rPr>
                <w:b/>
              </w:rPr>
              <w:t>; costs/outcomes undiscounted]</w:t>
            </w:r>
          </w:p>
        </w:tc>
      </w:tr>
      <w:tr w:rsidR="00E37BD2" w:rsidRPr="009672B5" w:rsidTr="000A6383">
        <w:tc>
          <w:tcPr>
            <w:tcW w:w="1884" w:type="pct"/>
            <w:vAlign w:val="center"/>
          </w:tcPr>
          <w:p w:rsidR="00E37BD2" w:rsidRPr="009672B5" w:rsidRDefault="00E37BD2" w:rsidP="00E37BD2">
            <w:pPr>
              <w:pStyle w:val="TableText"/>
              <w:rPr>
                <w:rFonts w:ascii="Times" w:eastAsia="Times New Roman" w:hAnsi="Times" w:cs="Times New Roman"/>
              </w:rPr>
            </w:pPr>
            <w:r w:rsidRPr="009672B5">
              <w:t>Costs = golimumab, administration, treatment initiation, non-serious infection management</w:t>
            </w:r>
          </w:p>
        </w:tc>
        <w:tc>
          <w:tcPr>
            <w:tcW w:w="1022" w:type="pct"/>
            <w:vAlign w:val="center"/>
          </w:tcPr>
          <w:p w:rsidR="00E37BD2" w:rsidRPr="009672B5" w:rsidRDefault="00E37BD2" w:rsidP="000A6383">
            <w:pPr>
              <w:pStyle w:val="TableText"/>
              <w:jc w:val="center"/>
              <w:rPr>
                <w:rFonts w:ascii="Times" w:eastAsia="Times New Roman" w:hAnsi="Times" w:cs="Times New Roman"/>
              </w:rPr>
            </w:pPr>
            <w:r w:rsidRPr="009672B5">
              <w:t>$</w:t>
            </w:r>
            <w:r w:rsidR="0092728B">
              <w:rPr>
                <w:noProof/>
                <w:color w:val="000000"/>
                <w:highlight w:val="black"/>
              </w:rPr>
              <w:t>''''''''''''</w:t>
            </w:r>
          </w:p>
        </w:tc>
        <w:tc>
          <w:tcPr>
            <w:tcW w:w="1022" w:type="pct"/>
            <w:vAlign w:val="center"/>
          </w:tcPr>
          <w:p w:rsidR="00E37BD2" w:rsidRPr="009672B5" w:rsidRDefault="00E37BD2" w:rsidP="000A6383">
            <w:pPr>
              <w:pStyle w:val="TableText"/>
              <w:jc w:val="center"/>
              <w:rPr>
                <w:rFonts w:ascii="Times" w:eastAsia="Times New Roman" w:hAnsi="Times" w:cs="Times New Roman"/>
              </w:rPr>
            </w:pPr>
            <w:r w:rsidRPr="009672B5">
              <w:t>$</w:t>
            </w:r>
            <w:r w:rsidR="0092728B">
              <w:rPr>
                <w:noProof/>
                <w:color w:val="000000"/>
                <w:highlight w:val="black"/>
              </w:rPr>
              <w:t>''''''</w:t>
            </w:r>
          </w:p>
        </w:tc>
        <w:tc>
          <w:tcPr>
            <w:tcW w:w="1072" w:type="pct"/>
            <w:vAlign w:val="center"/>
          </w:tcPr>
          <w:p w:rsidR="00E37BD2" w:rsidRPr="009672B5" w:rsidRDefault="00E37BD2" w:rsidP="000A6383">
            <w:pPr>
              <w:pStyle w:val="TableText"/>
              <w:jc w:val="center"/>
              <w:rPr>
                <w:rFonts w:ascii="Times" w:eastAsia="Times New Roman" w:hAnsi="Times" w:cs="Times New Roman"/>
              </w:rPr>
            </w:pPr>
            <w:r w:rsidRPr="009672B5">
              <w:t>$</w:t>
            </w:r>
            <w:r w:rsidR="0092728B">
              <w:rPr>
                <w:noProof/>
                <w:color w:val="000000"/>
                <w:highlight w:val="black"/>
              </w:rPr>
              <w:t>'''''''''''''</w:t>
            </w:r>
          </w:p>
        </w:tc>
      </w:tr>
      <w:tr w:rsidR="00E37BD2" w:rsidRPr="009672B5" w:rsidTr="000A6383">
        <w:tc>
          <w:tcPr>
            <w:tcW w:w="1884" w:type="pct"/>
            <w:vAlign w:val="center"/>
          </w:tcPr>
          <w:p w:rsidR="00E37BD2" w:rsidRPr="009672B5" w:rsidRDefault="00E37BD2" w:rsidP="00E37BD2">
            <w:pPr>
              <w:pStyle w:val="TableText"/>
              <w:rPr>
                <w:rFonts w:ascii="Times" w:eastAsia="Times New Roman" w:hAnsi="Times" w:cs="Times New Roman"/>
              </w:rPr>
            </w:pPr>
            <w:r w:rsidRPr="009672B5">
              <w:t>Outcome = BASDAI 50 responder rate</w:t>
            </w:r>
          </w:p>
        </w:tc>
        <w:tc>
          <w:tcPr>
            <w:tcW w:w="1022" w:type="pct"/>
            <w:vAlign w:val="center"/>
          </w:tcPr>
          <w:p w:rsidR="00E37BD2" w:rsidRPr="0092728B" w:rsidRDefault="0092728B" w:rsidP="000A6383">
            <w:pPr>
              <w:pStyle w:val="TableText"/>
              <w:jc w:val="center"/>
              <w:rPr>
                <w:rFonts w:ascii="Times" w:eastAsia="Times New Roman" w:hAnsi="Times" w:cs="Times New Roman"/>
                <w:highlight w:val="black"/>
              </w:rPr>
            </w:pPr>
            <w:r>
              <w:rPr>
                <w:noProof/>
                <w:color w:val="000000"/>
                <w:highlight w:val="black"/>
              </w:rPr>
              <w:t>''''''''''''''</w:t>
            </w:r>
          </w:p>
        </w:tc>
        <w:tc>
          <w:tcPr>
            <w:tcW w:w="1022" w:type="pct"/>
            <w:vAlign w:val="center"/>
          </w:tcPr>
          <w:p w:rsidR="00E37BD2" w:rsidRPr="0092728B" w:rsidRDefault="0092728B" w:rsidP="000A6383">
            <w:pPr>
              <w:pStyle w:val="TableText"/>
              <w:jc w:val="center"/>
              <w:rPr>
                <w:rFonts w:ascii="Times" w:eastAsia="Times New Roman" w:hAnsi="Times" w:cs="Times New Roman"/>
                <w:highlight w:val="black"/>
              </w:rPr>
            </w:pPr>
            <w:r>
              <w:rPr>
                <w:noProof/>
                <w:color w:val="000000"/>
                <w:highlight w:val="black"/>
              </w:rPr>
              <w:t>'''''''''''''''</w:t>
            </w:r>
          </w:p>
        </w:tc>
        <w:tc>
          <w:tcPr>
            <w:tcW w:w="1072" w:type="pct"/>
            <w:vAlign w:val="center"/>
          </w:tcPr>
          <w:p w:rsidR="00E37BD2" w:rsidRPr="0092728B" w:rsidRDefault="0092728B" w:rsidP="000A6383">
            <w:pPr>
              <w:pStyle w:val="TableText"/>
              <w:jc w:val="center"/>
              <w:rPr>
                <w:highlight w:val="black"/>
              </w:rPr>
            </w:pPr>
            <w:r>
              <w:rPr>
                <w:noProof/>
                <w:color w:val="000000"/>
                <w:highlight w:val="black"/>
              </w:rPr>
              <w:t>''''''''''''''''</w:t>
            </w:r>
          </w:p>
        </w:tc>
      </w:tr>
      <w:tr w:rsidR="00E37BD2" w:rsidRPr="009672B5" w:rsidTr="000A6383">
        <w:tc>
          <w:tcPr>
            <w:tcW w:w="3928" w:type="pct"/>
            <w:gridSpan w:val="3"/>
            <w:vAlign w:val="center"/>
          </w:tcPr>
          <w:p w:rsidR="00E37BD2" w:rsidRPr="009672B5" w:rsidRDefault="00E37BD2">
            <w:pPr>
              <w:pStyle w:val="TableText"/>
              <w:rPr>
                <w:rFonts w:ascii="Times" w:eastAsia="Times New Roman" w:hAnsi="Times" w:cs="Times New Roman"/>
                <w:snapToGrid w:val="0"/>
              </w:rPr>
            </w:pPr>
            <w:r w:rsidRPr="009672B5">
              <w:t>Incremental cost/additional responder</w:t>
            </w:r>
          </w:p>
        </w:tc>
        <w:tc>
          <w:tcPr>
            <w:tcW w:w="1072" w:type="pct"/>
            <w:vAlign w:val="center"/>
          </w:tcPr>
          <w:p w:rsidR="00E37BD2" w:rsidRPr="009672B5" w:rsidRDefault="00CF41ED" w:rsidP="000A6383">
            <w:pPr>
              <w:pStyle w:val="TableText"/>
              <w:jc w:val="center"/>
              <w:rPr>
                <w:rFonts w:ascii="Times" w:eastAsia="Times New Roman" w:hAnsi="Times" w:cs="Times New Roman"/>
              </w:rPr>
            </w:pPr>
            <w:r w:rsidRPr="009672B5">
              <w:t>$</w:t>
            </w:r>
            <w:r w:rsidR="0092728B">
              <w:rPr>
                <w:noProof/>
                <w:color w:val="000000"/>
                <w:highlight w:val="black"/>
              </w:rPr>
              <w:t>''''''''''''''''</w:t>
            </w:r>
          </w:p>
        </w:tc>
      </w:tr>
      <w:tr w:rsidR="00E37BD2" w:rsidRPr="009672B5" w:rsidTr="00DF16C0">
        <w:tc>
          <w:tcPr>
            <w:tcW w:w="5000" w:type="pct"/>
            <w:gridSpan w:val="4"/>
            <w:vAlign w:val="center"/>
          </w:tcPr>
          <w:p w:rsidR="00E37BD2" w:rsidRPr="009672B5" w:rsidRDefault="00E37BD2">
            <w:pPr>
              <w:pStyle w:val="TableText"/>
              <w:rPr>
                <w:b/>
                <w:snapToGrid w:val="0"/>
              </w:rPr>
            </w:pPr>
            <w:r w:rsidRPr="009672B5">
              <w:rPr>
                <w:b/>
                <w:snapToGrid w:val="0"/>
              </w:rPr>
              <w:t xml:space="preserve">Step 2: </w:t>
            </w:r>
            <w:r w:rsidR="00CF41ED" w:rsidRPr="009672B5">
              <w:rPr>
                <w:b/>
              </w:rPr>
              <w:t>Model-based analysis [30 years; discount at 5% annual rate]</w:t>
            </w:r>
          </w:p>
        </w:tc>
      </w:tr>
      <w:tr w:rsidR="00EE76E0" w:rsidRPr="009672B5" w:rsidTr="000A6383">
        <w:tc>
          <w:tcPr>
            <w:tcW w:w="1884" w:type="pct"/>
            <w:vAlign w:val="center"/>
          </w:tcPr>
          <w:p w:rsidR="00EE76E0" w:rsidRPr="009672B5" w:rsidRDefault="00EE76E0" w:rsidP="00EE76E0">
            <w:pPr>
              <w:pStyle w:val="TableText"/>
              <w:rPr>
                <w:rFonts w:ascii="Times" w:eastAsia="Times New Roman" w:hAnsi="Times" w:cs="Times New Roman"/>
              </w:rPr>
            </w:pPr>
            <w:r w:rsidRPr="009672B5">
              <w:t>Costs = all extrapolated costs</w:t>
            </w:r>
          </w:p>
        </w:tc>
        <w:tc>
          <w:tcPr>
            <w:tcW w:w="1022" w:type="pct"/>
            <w:vAlign w:val="center"/>
          </w:tcPr>
          <w:p w:rsidR="00EE76E0" w:rsidRPr="009672B5" w:rsidRDefault="00EE76E0" w:rsidP="000A6383">
            <w:pPr>
              <w:pStyle w:val="TableText"/>
              <w:jc w:val="center"/>
              <w:rPr>
                <w:rFonts w:ascii="Times" w:eastAsia="Times New Roman" w:hAnsi="Times" w:cs="Times New Roman"/>
              </w:rPr>
            </w:pPr>
            <w:r w:rsidRPr="009672B5">
              <w:t>$</w:t>
            </w:r>
            <w:r w:rsidR="0092728B">
              <w:rPr>
                <w:noProof/>
                <w:color w:val="000000"/>
                <w:highlight w:val="black"/>
              </w:rPr>
              <w:t>'''''''''''''''''''</w:t>
            </w:r>
          </w:p>
        </w:tc>
        <w:tc>
          <w:tcPr>
            <w:tcW w:w="1022" w:type="pct"/>
            <w:vAlign w:val="center"/>
          </w:tcPr>
          <w:p w:rsidR="00EE76E0" w:rsidRPr="009672B5" w:rsidRDefault="00EE76E0" w:rsidP="000A6383">
            <w:pPr>
              <w:pStyle w:val="TableText"/>
              <w:jc w:val="center"/>
              <w:rPr>
                <w:rFonts w:ascii="Times" w:eastAsia="Times New Roman" w:hAnsi="Times" w:cs="Times New Roman"/>
              </w:rPr>
            </w:pPr>
            <w:r w:rsidRPr="009672B5">
              <w:t>$</w:t>
            </w:r>
            <w:r w:rsidR="0092728B">
              <w:rPr>
                <w:noProof/>
                <w:color w:val="000000"/>
                <w:highlight w:val="black"/>
              </w:rPr>
              <w:t>'''''''''''''''''''</w:t>
            </w:r>
          </w:p>
        </w:tc>
        <w:tc>
          <w:tcPr>
            <w:tcW w:w="1072" w:type="pct"/>
            <w:vAlign w:val="center"/>
          </w:tcPr>
          <w:p w:rsidR="00EE76E0" w:rsidRPr="009672B5" w:rsidRDefault="00EE76E0" w:rsidP="000A6383">
            <w:pPr>
              <w:pStyle w:val="TableText"/>
              <w:jc w:val="center"/>
              <w:rPr>
                <w:rFonts w:ascii="Times" w:eastAsia="Times New Roman" w:hAnsi="Times" w:cs="Times New Roman"/>
              </w:rPr>
            </w:pPr>
            <w:r w:rsidRPr="009672B5">
              <w:t>$</w:t>
            </w:r>
            <w:r w:rsidR="0092728B">
              <w:rPr>
                <w:noProof/>
                <w:color w:val="000000"/>
                <w:highlight w:val="black"/>
              </w:rPr>
              <w:t>'''''''''''''''</w:t>
            </w:r>
          </w:p>
        </w:tc>
      </w:tr>
      <w:tr w:rsidR="00EE76E0" w:rsidRPr="009672B5" w:rsidTr="000A6383">
        <w:tc>
          <w:tcPr>
            <w:tcW w:w="1884" w:type="pct"/>
            <w:vAlign w:val="center"/>
          </w:tcPr>
          <w:p w:rsidR="00EE76E0" w:rsidRPr="009672B5" w:rsidRDefault="00EE76E0">
            <w:pPr>
              <w:pStyle w:val="TableText"/>
              <w:rPr>
                <w:rFonts w:ascii="Times" w:eastAsia="Times New Roman" w:hAnsi="Times" w:cs="Times New Roman"/>
              </w:rPr>
            </w:pPr>
            <w:r w:rsidRPr="009672B5">
              <w:t>Outcome = QALYs</w:t>
            </w:r>
          </w:p>
        </w:tc>
        <w:tc>
          <w:tcPr>
            <w:tcW w:w="1022" w:type="pct"/>
            <w:vAlign w:val="center"/>
          </w:tcPr>
          <w:p w:rsidR="00EE76E0" w:rsidRPr="0092728B" w:rsidRDefault="0092728B" w:rsidP="000A6383">
            <w:pPr>
              <w:pStyle w:val="TableText"/>
              <w:jc w:val="center"/>
              <w:rPr>
                <w:rFonts w:ascii="Times" w:eastAsia="Times New Roman" w:hAnsi="Times" w:cs="Times New Roman"/>
                <w:highlight w:val="black"/>
              </w:rPr>
            </w:pPr>
            <w:r>
              <w:rPr>
                <w:noProof/>
                <w:color w:val="000000"/>
                <w:highlight w:val="black"/>
              </w:rPr>
              <w:t>'''''''''''</w:t>
            </w:r>
          </w:p>
        </w:tc>
        <w:tc>
          <w:tcPr>
            <w:tcW w:w="1022" w:type="pct"/>
            <w:vAlign w:val="center"/>
          </w:tcPr>
          <w:p w:rsidR="00EE76E0" w:rsidRPr="0092728B" w:rsidRDefault="0092728B" w:rsidP="000A6383">
            <w:pPr>
              <w:pStyle w:val="TableText"/>
              <w:jc w:val="center"/>
              <w:rPr>
                <w:rFonts w:ascii="Times" w:eastAsia="Times New Roman" w:hAnsi="Times" w:cs="Times New Roman"/>
                <w:highlight w:val="black"/>
              </w:rPr>
            </w:pPr>
            <w:r>
              <w:rPr>
                <w:noProof/>
                <w:color w:val="000000"/>
                <w:highlight w:val="black"/>
              </w:rPr>
              <w:t>''''''''''''</w:t>
            </w:r>
          </w:p>
        </w:tc>
        <w:tc>
          <w:tcPr>
            <w:tcW w:w="1072" w:type="pct"/>
            <w:vAlign w:val="center"/>
          </w:tcPr>
          <w:p w:rsidR="00EE76E0" w:rsidRPr="0092728B" w:rsidRDefault="0092728B" w:rsidP="000A6383">
            <w:pPr>
              <w:pStyle w:val="TableText"/>
              <w:jc w:val="center"/>
              <w:rPr>
                <w:highlight w:val="black"/>
              </w:rPr>
            </w:pPr>
            <w:r>
              <w:rPr>
                <w:noProof/>
                <w:color w:val="000000"/>
                <w:highlight w:val="black"/>
              </w:rPr>
              <w:t>'''''''''''</w:t>
            </w:r>
          </w:p>
        </w:tc>
      </w:tr>
      <w:tr w:rsidR="00EE76E0" w:rsidRPr="009672B5" w:rsidTr="000A6383">
        <w:tc>
          <w:tcPr>
            <w:tcW w:w="3928" w:type="pct"/>
            <w:gridSpan w:val="3"/>
            <w:vAlign w:val="center"/>
          </w:tcPr>
          <w:p w:rsidR="00EE76E0" w:rsidRPr="009672B5" w:rsidRDefault="00EE76E0">
            <w:pPr>
              <w:pStyle w:val="TableText"/>
              <w:rPr>
                <w:rFonts w:ascii="Times" w:eastAsia="Times New Roman" w:hAnsi="Times" w:cs="Times New Roman"/>
                <w:snapToGrid w:val="0"/>
              </w:rPr>
            </w:pPr>
            <w:r w:rsidRPr="009672B5">
              <w:t>Incremental cost/</w:t>
            </w:r>
            <w:r w:rsidR="00236013" w:rsidRPr="009672B5">
              <w:t>/QALY</w:t>
            </w:r>
          </w:p>
        </w:tc>
        <w:tc>
          <w:tcPr>
            <w:tcW w:w="1072" w:type="pct"/>
            <w:vAlign w:val="center"/>
          </w:tcPr>
          <w:p w:rsidR="00EE76E0" w:rsidRPr="009672B5" w:rsidRDefault="00EE76E0" w:rsidP="000A6383">
            <w:pPr>
              <w:pStyle w:val="TableText"/>
              <w:jc w:val="center"/>
              <w:rPr>
                <w:rFonts w:ascii="Times" w:eastAsia="Times New Roman" w:hAnsi="Times" w:cs="Times New Roman"/>
                <w:b/>
              </w:rPr>
            </w:pPr>
            <w:r w:rsidRPr="009672B5">
              <w:rPr>
                <w:b/>
              </w:rPr>
              <w:t>$</w:t>
            </w:r>
            <w:r w:rsidR="0092728B">
              <w:rPr>
                <w:b/>
                <w:noProof/>
                <w:color w:val="000000"/>
                <w:highlight w:val="black"/>
              </w:rPr>
              <w:t>'''''''''''''</w:t>
            </w:r>
          </w:p>
        </w:tc>
      </w:tr>
    </w:tbl>
    <w:p w:rsidR="00C317F3" w:rsidRPr="009672B5" w:rsidRDefault="00C317F3" w:rsidP="00772501">
      <w:pPr>
        <w:pStyle w:val="TableFooter"/>
      </w:pPr>
      <w:r w:rsidRPr="009672B5">
        <w:t xml:space="preserve">Source: </w:t>
      </w:r>
      <w:r w:rsidR="0077276F" w:rsidRPr="009672B5">
        <w:t>Table 3.8.1, p173 of the submission</w:t>
      </w:r>
      <w:r w:rsidR="0077276F" w:rsidRPr="009672B5" w:rsidDel="0077276F">
        <w:t xml:space="preserve"> </w:t>
      </w:r>
    </w:p>
    <w:p w:rsidR="000A6383" w:rsidRPr="006127CA" w:rsidRDefault="000A6383" w:rsidP="00BB68CD">
      <w:pPr>
        <w:pStyle w:val="ListParagraph"/>
        <w:numPr>
          <w:ilvl w:val="1"/>
          <w:numId w:val="1"/>
        </w:numPr>
        <w:spacing w:before="0" w:after="120"/>
        <w:jc w:val="both"/>
      </w:pPr>
      <w:r w:rsidRPr="00641653">
        <w:t xml:space="preserve">Both the trial-based assessment and the modelled economic evaluation presented in the submission allocated only </w:t>
      </w:r>
      <w:r w:rsidR="009E62E4" w:rsidRPr="00641653">
        <w:t xml:space="preserve">16 </w:t>
      </w:r>
      <w:r w:rsidRPr="00641653">
        <w:t xml:space="preserve">weeks </w:t>
      </w:r>
      <w:r w:rsidR="00414C95">
        <w:t xml:space="preserve">(four scripts: initial script plus three repeats) </w:t>
      </w:r>
      <w:r w:rsidRPr="00641653">
        <w:lastRenderedPageBreak/>
        <w:t xml:space="preserve">of golimumab treatment prior to response assessment which is inconsistent with the requested listing of </w:t>
      </w:r>
      <w:r w:rsidR="009E62E4" w:rsidRPr="00641653">
        <w:t xml:space="preserve">20 </w:t>
      </w:r>
      <w:r w:rsidRPr="00641653">
        <w:t xml:space="preserve">weeks of </w:t>
      </w:r>
      <w:r w:rsidR="00EE13B6" w:rsidRPr="00641653">
        <w:t xml:space="preserve">initial </w:t>
      </w:r>
      <w:r w:rsidRPr="00641653">
        <w:t xml:space="preserve">treatment. </w:t>
      </w:r>
      <w:r w:rsidR="009B2E78" w:rsidRPr="00641653">
        <w:t xml:space="preserve">The Pre-PBAC </w:t>
      </w:r>
      <w:r w:rsidR="00414C95">
        <w:t>R</w:t>
      </w:r>
      <w:r w:rsidR="009B2E78" w:rsidRPr="00641653">
        <w:t xml:space="preserve">esponse stated that the ICER increased to </w:t>
      </w:r>
      <w:r w:rsidR="00934FC1">
        <w:t>$15,000/QALY - $45,000/QALY</w:t>
      </w:r>
      <w:r w:rsidR="009B2E78" w:rsidRPr="00641653">
        <w:t xml:space="preserve"> when all patients </w:t>
      </w:r>
      <w:r w:rsidR="00E63844" w:rsidRPr="00641653">
        <w:t>received</w:t>
      </w:r>
      <w:r w:rsidR="009B2E78" w:rsidRPr="00641653">
        <w:t xml:space="preserve"> </w:t>
      </w:r>
      <w:r w:rsidR="00414C95">
        <w:t xml:space="preserve">20 weeks (five scripts: initial plus four repeats) </w:t>
      </w:r>
      <w:r w:rsidR="009B2E78" w:rsidRPr="00641653">
        <w:t>of treatment.</w:t>
      </w:r>
      <w:r w:rsidR="00414C95">
        <w:t xml:space="preserve"> </w:t>
      </w:r>
      <w:r w:rsidR="00582412" w:rsidRPr="00641653">
        <w:t>Notwithstanding this</w:t>
      </w:r>
      <w:r w:rsidRPr="00641653">
        <w:t>, 16-week</w:t>
      </w:r>
      <w:r w:rsidRPr="006127CA">
        <w:t xml:space="preserve"> rather than 12-week BASDAI responder rates </w:t>
      </w:r>
      <w:r w:rsidR="00582412">
        <w:t>we</w:t>
      </w:r>
      <w:r w:rsidR="00582412" w:rsidRPr="006127CA">
        <w:t xml:space="preserve">re </w:t>
      </w:r>
      <w:r w:rsidRPr="006127CA">
        <w:t>assumed</w:t>
      </w:r>
      <w:r w:rsidR="00582412">
        <w:t>, which</w:t>
      </w:r>
      <w:r w:rsidRPr="006127CA">
        <w:t xml:space="preserve"> would underestimate the ICERs.</w:t>
      </w:r>
    </w:p>
    <w:p w:rsidR="000A6383" w:rsidRPr="004F6657" w:rsidRDefault="000A6383" w:rsidP="00BB68CD">
      <w:pPr>
        <w:pStyle w:val="ListParagraph"/>
        <w:numPr>
          <w:ilvl w:val="1"/>
          <w:numId w:val="1"/>
        </w:numPr>
        <w:spacing w:before="0" w:after="120"/>
        <w:jc w:val="both"/>
      </w:pPr>
      <w:r w:rsidRPr="006127CA">
        <w:t xml:space="preserve">A </w:t>
      </w:r>
      <w:r w:rsidR="0071766F" w:rsidRPr="00593896">
        <w:t xml:space="preserve">trial-based </w:t>
      </w:r>
      <w:r w:rsidRPr="00581E8D">
        <w:t>cost per responder</w:t>
      </w:r>
      <w:r w:rsidR="0071766F" w:rsidRPr="00581E8D">
        <w:t xml:space="preserve"> analysis</w:t>
      </w:r>
      <w:r w:rsidRPr="00581E8D">
        <w:t xml:space="preserve"> assuming </w:t>
      </w:r>
      <w:r w:rsidR="00AD7033" w:rsidRPr="00043719">
        <w:t xml:space="preserve">20 </w:t>
      </w:r>
      <w:r w:rsidRPr="00EB18EB">
        <w:t>weeks of initial treatment was conducted during the evaluation which resulted in an ICER of $</w:t>
      </w:r>
      <w:r w:rsidR="00934FC1">
        <w:t>$15,000/responder - $45,000/responder</w:t>
      </w:r>
      <w:r w:rsidRPr="004F6657">
        <w:t>.</w:t>
      </w:r>
    </w:p>
    <w:p w:rsidR="007B6397" w:rsidRDefault="007B6397" w:rsidP="00BB68CD">
      <w:pPr>
        <w:pStyle w:val="ListParagraph"/>
        <w:numPr>
          <w:ilvl w:val="1"/>
          <w:numId w:val="1"/>
        </w:numPr>
        <w:spacing w:before="0" w:after="120"/>
        <w:jc w:val="both"/>
      </w:pPr>
      <w:r w:rsidRPr="0030713F">
        <w:t>The ESC considered that the model structure which stratified patients into responders and non-responders at baseline was unusual as it implied that patients’ response status could be prospectively identified. However, the model results were not over</w:t>
      </w:r>
      <w:r w:rsidRPr="009672B5">
        <w:t xml:space="preserve">ly sensitive to this stratification; </w:t>
      </w:r>
      <w:r w:rsidR="00E41742" w:rsidRPr="009672B5">
        <w:t>as noted in the PSCR</w:t>
      </w:r>
      <w:r w:rsidR="0077546F" w:rsidRPr="009672B5">
        <w:t xml:space="preserve"> (p2)</w:t>
      </w:r>
      <w:r w:rsidR="00E41742" w:rsidRPr="009672B5">
        <w:t xml:space="preserve">, applying mean treatment group symptom score changes (rather than responder classified) increased the ICER to </w:t>
      </w:r>
      <w:r w:rsidR="00934FC1">
        <w:t>$15,000/QALY - $45,000/QALY</w:t>
      </w:r>
      <w:r w:rsidR="00934FC1" w:rsidRPr="00641653">
        <w:t xml:space="preserve"> </w:t>
      </w:r>
      <w:r w:rsidR="00E41742" w:rsidRPr="009672B5">
        <w:t xml:space="preserve">gained from </w:t>
      </w:r>
      <w:r w:rsidR="00934FC1">
        <w:t>$15,000/QALY - $45,000/QALY</w:t>
      </w:r>
      <w:r w:rsidR="00934FC1" w:rsidRPr="00641653">
        <w:t xml:space="preserve"> </w:t>
      </w:r>
      <w:r w:rsidR="00E41742" w:rsidRPr="009672B5">
        <w:t>gained.</w:t>
      </w:r>
    </w:p>
    <w:p w:rsidR="00335A25" w:rsidRDefault="00335A25" w:rsidP="00D940C9">
      <w:pPr>
        <w:pStyle w:val="ListParagraph"/>
        <w:numPr>
          <w:ilvl w:val="1"/>
          <w:numId w:val="1"/>
        </w:numPr>
        <w:spacing w:before="0" w:after="120"/>
        <w:jc w:val="both"/>
      </w:pPr>
      <w:r>
        <w:t xml:space="preserve">The ESC </w:t>
      </w:r>
      <w:r w:rsidR="000B2435">
        <w:t xml:space="preserve">also </w:t>
      </w:r>
      <w:r>
        <w:t>raised the following issues with the economic model:</w:t>
      </w:r>
    </w:p>
    <w:p w:rsidR="00A75FE7" w:rsidRDefault="0094510C" w:rsidP="008C7FD4">
      <w:pPr>
        <w:numPr>
          <w:ilvl w:val="0"/>
          <w:numId w:val="3"/>
        </w:numPr>
        <w:spacing w:before="0" w:after="0"/>
        <w:ind w:left="993" w:hanging="284"/>
        <w:jc w:val="both"/>
      </w:pPr>
      <w:r w:rsidRPr="0094510C">
        <w:t xml:space="preserve">The submission extrapolated to a 30-year time horizon, while the randomised data were limited to 16 weeks. </w:t>
      </w:r>
    </w:p>
    <w:p w:rsidR="0094510C" w:rsidRDefault="00A75FE7" w:rsidP="008C7FD4">
      <w:pPr>
        <w:numPr>
          <w:ilvl w:val="0"/>
          <w:numId w:val="3"/>
        </w:numPr>
        <w:spacing w:before="0" w:after="0"/>
        <w:ind w:left="993" w:hanging="284"/>
        <w:jc w:val="both"/>
      </w:pPr>
      <w:r>
        <w:t>B</w:t>
      </w:r>
      <w:r w:rsidR="0094510C" w:rsidRPr="0094510C">
        <w:t xml:space="preserve">eyond the study period (16 weeks for the comparator arm and 52 weeks for golimumab including the open-label period) application and extrapolation of key outcomes </w:t>
      </w:r>
      <w:r w:rsidR="00321CEA">
        <w:t>(</w:t>
      </w:r>
      <w:r w:rsidR="0094510C" w:rsidRPr="0094510C">
        <w:t xml:space="preserve">BASDAI </w:t>
      </w:r>
      <w:r w:rsidR="00321CEA">
        <w:t xml:space="preserve">and </w:t>
      </w:r>
      <w:r w:rsidR="0094510C" w:rsidRPr="0094510C">
        <w:t>BASFI) were not based directly on the GO-AHEAD data but rather drew on assumptions and parameters imported from a NICE evidence synthesis (Corbett 2016). The applicability of this evidence to the Australian setting was unclear and was not adequately justified.</w:t>
      </w:r>
    </w:p>
    <w:p w:rsidR="00335A25" w:rsidRDefault="00335A25" w:rsidP="008C7FD4">
      <w:pPr>
        <w:numPr>
          <w:ilvl w:val="0"/>
          <w:numId w:val="3"/>
        </w:numPr>
        <w:spacing w:before="0" w:after="0"/>
        <w:ind w:left="993" w:hanging="284"/>
        <w:jc w:val="both"/>
      </w:pPr>
      <w:r>
        <w:t>The transition parameters used in the model were largely fixed over the course of the model (30 years). This was not well justified and did not appear to represent the clinical course of nr-axSpA or the use of golimumab.</w:t>
      </w:r>
    </w:p>
    <w:p w:rsidR="00AC0BBC" w:rsidRPr="00A75FE7" w:rsidRDefault="00335A25" w:rsidP="009A036F">
      <w:pPr>
        <w:numPr>
          <w:ilvl w:val="0"/>
          <w:numId w:val="3"/>
        </w:numPr>
        <w:spacing w:before="0" w:after="0"/>
        <w:ind w:left="993" w:hanging="284"/>
        <w:jc w:val="both"/>
      </w:pPr>
      <w:r>
        <w:t>The trial-based baseline utility for responders was considerably lower in the golimumab (</w:t>
      </w:r>
      <w:r w:rsidR="0092728B">
        <w:rPr>
          <w:noProof/>
          <w:color w:val="000000"/>
          <w:highlight w:val="black"/>
        </w:rPr>
        <w:t>'''''''''</w:t>
      </w:r>
      <w:r>
        <w:t>) than the conventional care arm (</w:t>
      </w:r>
      <w:r w:rsidR="0092728B">
        <w:rPr>
          <w:noProof/>
          <w:color w:val="000000"/>
          <w:highlight w:val="black"/>
        </w:rPr>
        <w:t>'''''''''</w:t>
      </w:r>
      <w:r>
        <w:t xml:space="preserve">). The PSCR provided background for the source of this difference. The ESC considered that given the nature of the BASDAI assessment criterion (a percentage change in symptom score), more severe disease at baseline in golimumab responders (indicated by worse baseline utility values) is likely to reflect the capacity to demonstrate response in that group. </w:t>
      </w:r>
      <w:r w:rsidR="00AC0BBC">
        <w:t>T</w:t>
      </w:r>
      <w:r w:rsidR="00AC0BBC" w:rsidRPr="007713E1">
        <w:t>he PBAC noted that</w:t>
      </w:r>
      <w:r w:rsidR="00AC0BBC">
        <w:t xml:space="preserve"> </w:t>
      </w:r>
      <w:r w:rsidR="00AC0BBC" w:rsidRPr="007713E1">
        <w:t>patients</w:t>
      </w:r>
      <w:r w:rsidR="00AC0BBC">
        <w:t xml:space="preserve"> who achieved a BASDAI 50 response (“responder”) experienced </w:t>
      </w:r>
      <w:r w:rsidR="00A75FE7">
        <w:t>a greater</w:t>
      </w:r>
      <w:r w:rsidR="00AC0BBC">
        <w:t xml:space="preserve"> </w:t>
      </w:r>
      <w:r w:rsidR="00414C95">
        <w:t xml:space="preserve">incremental </w:t>
      </w:r>
      <w:r w:rsidR="00AC0BBC">
        <w:t>u</w:t>
      </w:r>
      <w:r w:rsidR="00AC0BBC" w:rsidRPr="007713E1">
        <w:t>tility</w:t>
      </w:r>
      <w:r w:rsidR="00AC0BBC">
        <w:t xml:space="preserve"> gain</w:t>
      </w:r>
      <w:r w:rsidR="00AC0BBC" w:rsidRPr="007713E1">
        <w:t xml:space="preserve"> </w:t>
      </w:r>
      <w:r w:rsidR="00AC0BBC">
        <w:t>(</w:t>
      </w:r>
      <w:r w:rsidR="00AC0BBC" w:rsidRPr="007713E1">
        <w:t>from baseline to Week 16</w:t>
      </w:r>
      <w:r w:rsidR="00AC0BBC">
        <w:t>)</w:t>
      </w:r>
      <w:r w:rsidR="00AC0BBC" w:rsidRPr="007713E1">
        <w:t xml:space="preserve"> </w:t>
      </w:r>
      <w:r w:rsidR="00AC0BBC">
        <w:t>in the golimumab arm than the placebo arm, despite both groups being classified as “responders”</w:t>
      </w:r>
      <w:r w:rsidR="00AC0BBC" w:rsidRPr="00A75FE7">
        <w:t xml:space="preserve">. </w:t>
      </w:r>
    </w:p>
    <w:p w:rsidR="00335A25" w:rsidRDefault="00335A25" w:rsidP="008C7FD4">
      <w:pPr>
        <w:numPr>
          <w:ilvl w:val="0"/>
          <w:numId w:val="3"/>
        </w:numPr>
        <w:spacing w:before="0" w:after="0"/>
        <w:ind w:left="993" w:hanging="284"/>
        <w:jc w:val="both"/>
      </w:pPr>
      <w:r>
        <w:t>Utility weights in the model were estimated using a mapping function which estimated EQ-5D utility values based on baseline utility, demographics and disease symptom scores (BASDAI and BASFI). However, the validity of this approach could not be verified as insufficient information had been provided regarding the mapping algorithm. The ESC noted that the ICER was highly sensitive to the choice of utility mapping approach.</w:t>
      </w:r>
    </w:p>
    <w:p w:rsidR="00335A25" w:rsidRDefault="00335A25" w:rsidP="008C7FD4">
      <w:pPr>
        <w:numPr>
          <w:ilvl w:val="0"/>
          <w:numId w:val="3"/>
        </w:numPr>
        <w:spacing w:before="0" w:after="0"/>
        <w:ind w:left="993" w:hanging="284"/>
        <w:jc w:val="both"/>
      </w:pPr>
      <w:r>
        <w:lastRenderedPageBreak/>
        <w:t>The costs of disease management were based on the Tilden (2004) study which had a number of applicability and methodological issues. As demonstrated in the PSCR (p4), the ICER was moderately sensitive to altering this input parameter.</w:t>
      </w:r>
    </w:p>
    <w:p w:rsidR="00335A25" w:rsidRDefault="00335A25" w:rsidP="008C7FD4">
      <w:pPr>
        <w:numPr>
          <w:ilvl w:val="0"/>
          <w:numId w:val="3"/>
        </w:numPr>
        <w:spacing w:before="0" w:after="0"/>
        <w:ind w:left="993" w:hanging="284"/>
        <w:jc w:val="both"/>
      </w:pPr>
      <w:r>
        <w:t>No discontinuation from golimumab treatment was assumed in the first year of the model, other than amongst non-responders</w:t>
      </w:r>
      <w:r w:rsidR="00641653">
        <w:t xml:space="preserve"> (noting that </w:t>
      </w:r>
      <w:r w:rsidR="0092728B">
        <w:rPr>
          <w:noProof/>
          <w:color w:val="000000"/>
          <w:highlight w:val="black"/>
        </w:rPr>
        <w:t>''''''</w:t>
      </w:r>
      <w:r w:rsidR="00641653">
        <w:t xml:space="preserve">% of responders were assumed to become non-responsive </w:t>
      </w:r>
      <w:r w:rsidR="00416BCE">
        <w:t>in</w:t>
      </w:r>
      <w:r w:rsidR="00641653">
        <w:t xml:space="preserve"> </w:t>
      </w:r>
      <w:r w:rsidR="00416BCE">
        <w:t>Week 52</w:t>
      </w:r>
      <w:r w:rsidR="00641653">
        <w:t>)</w:t>
      </w:r>
      <w:r>
        <w:t>. Thereafter, it was fixed at 6% per year. It was unclear whether this rate was relevant to golimumab and if it was consistent with the discontinuation criteria specified in the requested restriction which requires an ‘adequate response’ defined as a reduction in the BASDAI score by 2 or more units.</w:t>
      </w:r>
    </w:p>
    <w:p w:rsidR="00AC22FA" w:rsidRDefault="00AC22FA" w:rsidP="009A036F">
      <w:pPr>
        <w:numPr>
          <w:ilvl w:val="0"/>
          <w:numId w:val="3"/>
        </w:numPr>
        <w:spacing w:before="0" w:after="0"/>
        <w:ind w:left="993" w:hanging="284"/>
        <w:jc w:val="both"/>
      </w:pPr>
      <w:r>
        <w:t>A</w:t>
      </w:r>
      <w:r w:rsidRPr="00AC22FA">
        <w:t>ll conventional care responders at Week 16 (</w:t>
      </w:r>
      <w:r w:rsidR="0092728B">
        <w:rPr>
          <w:noProof/>
          <w:color w:val="000000"/>
          <w:highlight w:val="black"/>
        </w:rPr>
        <w:t>'''''''''</w:t>
      </w:r>
      <w:r w:rsidRPr="00AC22FA">
        <w:t xml:space="preserve">%) </w:t>
      </w:r>
      <w:r>
        <w:t>we</w:t>
      </w:r>
      <w:r w:rsidRPr="00AC22FA">
        <w:t>re assumed to be non-responders by Week 32, thus no potential placebo effect was incorporated in the model beyond 32 weeks.</w:t>
      </w:r>
    </w:p>
    <w:p w:rsidR="00AC0359" w:rsidRDefault="00FB3D81" w:rsidP="009A036F">
      <w:pPr>
        <w:numPr>
          <w:ilvl w:val="0"/>
          <w:numId w:val="3"/>
        </w:numPr>
        <w:spacing w:before="0" w:after="120"/>
        <w:ind w:left="993" w:hanging="284"/>
        <w:contextualSpacing/>
        <w:jc w:val="both"/>
      </w:pPr>
      <w:r>
        <w:t>Th</w:t>
      </w:r>
      <w:r w:rsidR="00AC0359">
        <w:t xml:space="preserve">e model </w:t>
      </w:r>
      <w:r w:rsidR="00AC0359" w:rsidRPr="00AC0359">
        <w:t xml:space="preserve">incorporated costs for </w:t>
      </w:r>
      <w:r>
        <w:t xml:space="preserve">treating </w:t>
      </w:r>
      <w:r w:rsidR="00AC0359" w:rsidRPr="00AC0359">
        <w:t>infection</w:t>
      </w:r>
      <w:r>
        <w:t>s</w:t>
      </w:r>
      <w:r w:rsidR="00AC0359" w:rsidRPr="00AC0359">
        <w:t xml:space="preserve"> </w:t>
      </w:r>
      <w:r>
        <w:t xml:space="preserve">in the golimumab arm. However, </w:t>
      </w:r>
      <w:r w:rsidRPr="00FB3D81">
        <w:t xml:space="preserve">there may be risks associated with the long-term use of golimumab </w:t>
      </w:r>
      <w:r w:rsidR="00E23FAE">
        <w:t>(</w:t>
      </w:r>
      <w:r w:rsidRPr="00FB3D81">
        <w:t>such as serious infection</w:t>
      </w:r>
      <w:r w:rsidR="00E23FAE">
        <w:t xml:space="preserve">) </w:t>
      </w:r>
      <w:r w:rsidRPr="00FB3D81">
        <w:t xml:space="preserve">that </w:t>
      </w:r>
      <w:r w:rsidR="00E23FAE">
        <w:t>would not</w:t>
      </w:r>
      <w:r w:rsidRPr="00FB3D81">
        <w:t xml:space="preserve"> be detected in </w:t>
      </w:r>
      <w:r w:rsidR="00E23FAE">
        <w:t xml:space="preserve">a relatively short-term </w:t>
      </w:r>
      <w:r w:rsidRPr="00FB3D81">
        <w:t xml:space="preserve">trial </w:t>
      </w:r>
      <w:r w:rsidR="00E23FAE">
        <w:t>that</w:t>
      </w:r>
      <w:r w:rsidRPr="00FB3D81">
        <w:t xml:space="preserve"> excluded patient</w:t>
      </w:r>
      <w:r w:rsidR="00E23FAE">
        <w:t>s</w:t>
      </w:r>
      <w:r w:rsidRPr="00FB3D81">
        <w:t xml:space="preserve"> with a history of infection </w:t>
      </w:r>
      <w:r w:rsidR="00E23FAE">
        <w:t>or</w:t>
      </w:r>
      <w:r w:rsidRPr="00FB3D81">
        <w:t xml:space="preserve"> malignancy</w:t>
      </w:r>
      <w:r w:rsidR="00E23FAE">
        <w:t>.</w:t>
      </w:r>
      <w:r>
        <w:t xml:space="preserve"> The PBAC noted this would be associated with subsequent costs and </w:t>
      </w:r>
      <w:r w:rsidR="00AC0359" w:rsidRPr="00AC0359">
        <w:t xml:space="preserve">disutilities </w:t>
      </w:r>
      <w:r>
        <w:t xml:space="preserve">for the golimumab arm. </w:t>
      </w:r>
    </w:p>
    <w:p w:rsidR="005E4189" w:rsidRPr="009672B5" w:rsidRDefault="001A30C2" w:rsidP="00BB68CD">
      <w:pPr>
        <w:pStyle w:val="ListParagraph"/>
        <w:numPr>
          <w:ilvl w:val="1"/>
          <w:numId w:val="1"/>
        </w:numPr>
        <w:spacing w:before="0" w:after="120"/>
        <w:jc w:val="both"/>
      </w:pPr>
      <w:r>
        <w:t>A</w:t>
      </w:r>
      <w:r w:rsidR="0077546F" w:rsidRPr="009672B5">
        <w:t xml:space="preserve"> </w:t>
      </w:r>
      <w:r w:rsidR="005E4189" w:rsidRPr="009672B5">
        <w:t xml:space="preserve">scenario </w:t>
      </w:r>
      <w:r w:rsidR="004630C9" w:rsidRPr="009672B5">
        <w:t>analys</w:t>
      </w:r>
      <w:r w:rsidR="0077546F" w:rsidRPr="009672B5">
        <w:t>i</w:t>
      </w:r>
      <w:r w:rsidR="004630C9" w:rsidRPr="009672B5">
        <w:t>s</w:t>
      </w:r>
      <w:r w:rsidR="005E4189" w:rsidRPr="009672B5">
        <w:t xml:space="preserve">, where transitions to AS are incorporated </w:t>
      </w:r>
      <w:r w:rsidR="008A6B15" w:rsidRPr="009672B5">
        <w:t xml:space="preserve">in the model </w:t>
      </w:r>
      <w:r w:rsidR="005E4189" w:rsidRPr="009672B5">
        <w:t xml:space="preserve">(assuming </w:t>
      </w:r>
      <w:r w:rsidR="0092728B">
        <w:rPr>
          <w:noProof/>
          <w:color w:val="000000"/>
          <w:highlight w:val="black"/>
        </w:rPr>
        <w:t>''''''</w:t>
      </w:r>
      <w:r w:rsidR="005E4189" w:rsidRPr="009672B5">
        <w:t>% per year after 156 weeks</w:t>
      </w:r>
      <w:r w:rsidR="001C347D">
        <w:t>)</w:t>
      </w:r>
      <w:r w:rsidR="005E4189" w:rsidRPr="009672B5">
        <w:t xml:space="preserve"> </w:t>
      </w:r>
      <w:r w:rsidR="001C347D">
        <w:t>had</w:t>
      </w:r>
      <w:r w:rsidR="005E4189" w:rsidRPr="009672B5">
        <w:t xml:space="preserve"> minimal impact on the ICER </w:t>
      </w:r>
      <w:r w:rsidR="00934FC1">
        <w:t>$15,000/QALY - $45,000/QALY</w:t>
      </w:r>
      <w:r w:rsidR="005E4189" w:rsidRPr="009672B5">
        <w:t xml:space="preserve">, assuming the relative risk for responders and non-responders are equal (1.0) or </w:t>
      </w:r>
      <w:r w:rsidR="00934FC1">
        <w:t>$15,000/QALY - $45,000/QALY</w:t>
      </w:r>
      <w:r w:rsidR="005E4189" w:rsidRPr="009672B5">
        <w:t xml:space="preserve">, assuming the relative risk for responders is half of that for non-responders (0.5)). </w:t>
      </w:r>
      <w:r w:rsidR="00372CB0" w:rsidRPr="009672B5">
        <w:t xml:space="preserve">No assumptions regarding the possibility of remission were incorporated. </w:t>
      </w:r>
      <w:r w:rsidR="005E4189" w:rsidRPr="009672B5">
        <w:t xml:space="preserve">The </w:t>
      </w:r>
      <w:r w:rsidR="0083572D" w:rsidRPr="009672B5">
        <w:t xml:space="preserve">ESC noted that </w:t>
      </w:r>
      <w:r w:rsidR="0067126D" w:rsidRPr="009672B5">
        <w:t xml:space="preserve">while there </w:t>
      </w:r>
      <w:r w:rsidR="0083572D" w:rsidRPr="009672B5">
        <w:t xml:space="preserve">were </w:t>
      </w:r>
      <w:r w:rsidR="0067126D" w:rsidRPr="009672B5">
        <w:t>questions regarding the methods applied in this scenario analysis, it had minimal the impact on the ICER.</w:t>
      </w:r>
      <w:r w:rsidR="00335A25">
        <w:t xml:space="preserve"> The PBAC considered that it would be reasonable for the base case to include transitions to AS, but acknowledged there were limited reliable data to inform the rate of progression to AS. </w:t>
      </w:r>
    </w:p>
    <w:p w:rsidR="00C317F3" w:rsidRPr="009672B5" w:rsidRDefault="004630C9" w:rsidP="00BB68CD">
      <w:pPr>
        <w:pStyle w:val="ListParagraph"/>
        <w:numPr>
          <w:ilvl w:val="1"/>
          <w:numId w:val="1"/>
        </w:numPr>
        <w:spacing w:before="0" w:after="120"/>
        <w:jc w:val="both"/>
      </w:pPr>
      <w:r w:rsidRPr="009672B5">
        <w:t>Overall, t</w:t>
      </w:r>
      <w:r w:rsidR="002A2E5C" w:rsidRPr="009672B5">
        <w:t>he</w:t>
      </w:r>
      <w:r w:rsidR="00BC7535" w:rsidRPr="009672B5">
        <w:t xml:space="preserve"> modelled</w:t>
      </w:r>
      <w:r w:rsidR="002A2E5C" w:rsidRPr="009672B5">
        <w:t xml:space="preserve"> ICER is associated with uncertainty</w:t>
      </w:r>
      <w:r w:rsidR="00D519EC" w:rsidRPr="009672B5">
        <w:t xml:space="preserve"> due to</w:t>
      </w:r>
      <w:r w:rsidR="00587F69" w:rsidRPr="009672B5">
        <w:t>:</w:t>
      </w:r>
      <w:r w:rsidR="0031353C" w:rsidRPr="009672B5">
        <w:t xml:space="preserve"> the extrapolation of 16/52 week trial/open-label data</w:t>
      </w:r>
      <w:r w:rsidR="00587F69" w:rsidRPr="009672B5">
        <w:t xml:space="preserve"> to 30 years;</w:t>
      </w:r>
      <w:r w:rsidR="00633B88" w:rsidRPr="009672B5">
        <w:t xml:space="preserve"> the assumption that CC-responders lose all response at week 32; the BASFI-score change rate applied in the extrapolation; and the regression equations used to estimate utilities and disease-costs</w:t>
      </w:r>
      <w:r w:rsidR="00335A25">
        <w:t xml:space="preserve"> (which could not be validated)</w:t>
      </w:r>
      <w:r w:rsidR="006A4E50" w:rsidRPr="009672B5">
        <w:t>.</w:t>
      </w:r>
    </w:p>
    <w:p w:rsidR="00C317F3" w:rsidRPr="009672B5" w:rsidRDefault="00261205" w:rsidP="00BB68CD">
      <w:pPr>
        <w:pStyle w:val="ListParagraph"/>
        <w:numPr>
          <w:ilvl w:val="1"/>
          <w:numId w:val="1"/>
        </w:numPr>
        <w:spacing w:before="0" w:after="120"/>
        <w:jc w:val="both"/>
      </w:pPr>
      <w:r w:rsidRPr="009672B5">
        <w:t xml:space="preserve">Univariate sensitivity analyses </w:t>
      </w:r>
      <w:r w:rsidR="00FD65C4" w:rsidRPr="009672B5">
        <w:t xml:space="preserve">(SA) </w:t>
      </w:r>
      <w:r w:rsidR="009042F9" w:rsidRPr="009672B5">
        <w:t>we</w:t>
      </w:r>
      <w:r w:rsidRPr="009672B5">
        <w:t>re conducted</w:t>
      </w:r>
      <w:r w:rsidR="009042F9" w:rsidRPr="009672B5">
        <w:t>. The ICER wa</w:t>
      </w:r>
      <w:r w:rsidR="00414EE6" w:rsidRPr="009672B5">
        <w:t xml:space="preserve">s sensitive to the utility regression equation (ICER range: </w:t>
      </w:r>
      <w:r w:rsidR="00934FC1">
        <w:t>$15,000/QALY - $45,000/QALY</w:t>
      </w:r>
      <w:r w:rsidR="00934FC1" w:rsidRPr="00641653">
        <w:t xml:space="preserve"> </w:t>
      </w:r>
      <w:r w:rsidR="00414EE6" w:rsidRPr="009672B5">
        <w:t xml:space="preserve">in </w:t>
      </w:r>
      <w:r w:rsidR="0067126D" w:rsidRPr="009672B5">
        <w:t xml:space="preserve">the </w:t>
      </w:r>
      <w:r w:rsidR="00414EE6" w:rsidRPr="009672B5">
        <w:t xml:space="preserve">base-case to </w:t>
      </w:r>
      <w:r w:rsidR="00934FC1">
        <w:t>$45,000/QALY - $75,000/QALY</w:t>
      </w:r>
      <w:r w:rsidR="00FD65C4" w:rsidRPr="009672B5">
        <w:t xml:space="preserve"> in </w:t>
      </w:r>
      <w:r w:rsidR="0067126D" w:rsidRPr="009672B5">
        <w:t xml:space="preserve">the </w:t>
      </w:r>
      <w:r w:rsidR="00FD65C4" w:rsidRPr="009672B5">
        <w:t xml:space="preserve">least-optimistic </w:t>
      </w:r>
      <w:r w:rsidR="009042F9" w:rsidRPr="009672B5">
        <w:t>sensitivity analysis</w:t>
      </w:r>
      <w:r w:rsidR="00FD65C4" w:rsidRPr="009672B5">
        <w:t>)</w:t>
      </w:r>
      <w:r w:rsidR="00B72C9A" w:rsidRPr="009672B5">
        <w:t xml:space="preserve"> and to the annual disease cost estimation (ICER range: </w:t>
      </w:r>
      <w:r w:rsidR="00934FC1">
        <w:t>$15,000/QALY - $45,000/QALY</w:t>
      </w:r>
      <w:r w:rsidR="0067126D" w:rsidRPr="009672B5">
        <w:t xml:space="preserve"> </w:t>
      </w:r>
      <w:r w:rsidR="00B72C9A" w:rsidRPr="009672B5">
        <w:t xml:space="preserve">in </w:t>
      </w:r>
      <w:r w:rsidR="0067126D" w:rsidRPr="009672B5">
        <w:t xml:space="preserve">the </w:t>
      </w:r>
      <w:r w:rsidR="00B72C9A" w:rsidRPr="009672B5">
        <w:t>most-optimistic SA</w:t>
      </w:r>
      <w:r w:rsidR="00B7744F" w:rsidRPr="009672B5">
        <w:t xml:space="preserve"> to </w:t>
      </w:r>
      <w:r w:rsidR="00934FC1">
        <w:t>$15,000/QALY - $45,000/QALY</w:t>
      </w:r>
      <w:r w:rsidR="00934FC1" w:rsidRPr="009672B5">
        <w:t xml:space="preserve"> </w:t>
      </w:r>
      <w:r w:rsidR="00B7744F" w:rsidRPr="009672B5">
        <w:t xml:space="preserve">in </w:t>
      </w:r>
      <w:r w:rsidR="00D57166" w:rsidRPr="009672B5">
        <w:t xml:space="preserve">the </w:t>
      </w:r>
      <w:r w:rsidR="00B7744F" w:rsidRPr="009672B5">
        <w:t xml:space="preserve">least-optimistic </w:t>
      </w:r>
      <w:r w:rsidR="001A30C2">
        <w:t>SA</w:t>
      </w:r>
      <w:r w:rsidR="00B7744F" w:rsidRPr="009672B5">
        <w:t>)</w:t>
      </w:r>
      <w:r w:rsidR="00FD65C4" w:rsidRPr="009672B5">
        <w:t>.</w:t>
      </w:r>
    </w:p>
    <w:p w:rsidR="00C317F3" w:rsidRPr="009672B5" w:rsidRDefault="00C317F3" w:rsidP="00772501">
      <w:pPr>
        <w:pStyle w:val="Heading2"/>
        <w:rPr>
          <w:i w:val="0"/>
        </w:rPr>
      </w:pPr>
      <w:bookmarkStart w:id="17" w:name="_Toc413139283"/>
      <w:bookmarkStart w:id="18" w:name="_Toc492522249"/>
      <w:r w:rsidRPr="009672B5">
        <w:rPr>
          <w:i w:val="0"/>
        </w:rPr>
        <w:t>Drug cost/patient/year</w:t>
      </w:r>
      <w:bookmarkEnd w:id="17"/>
      <w:r w:rsidR="006A4E50" w:rsidRPr="009672B5">
        <w:rPr>
          <w:i w:val="0"/>
        </w:rPr>
        <w:t xml:space="preserve"> is $</w:t>
      </w:r>
      <w:bookmarkEnd w:id="18"/>
      <w:r w:rsidR="0092728B">
        <w:rPr>
          <w:i w:val="0"/>
          <w:noProof/>
          <w:color w:val="000000"/>
          <w:highlight w:val="black"/>
        </w:rPr>
        <w:t>'''''''''''</w:t>
      </w:r>
      <w:r w:rsidR="00247038">
        <w:rPr>
          <w:i w:val="0"/>
        </w:rPr>
        <w:t xml:space="preserve"> (for responders)</w:t>
      </w:r>
    </w:p>
    <w:p w:rsidR="00C317F3" w:rsidRPr="009672B5" w:rsidRDefault="006A4E50" w:rsidP="00BB68CD">
      <w:pPr>
        <w:pStyle w:val="ListParagraph"/>
        <w:numPr>
          <w:ilvl w:val="1"/>
          <w:numId w:val="1"/>
        </w:numPr>
        <w:spacing w:before="0" w:after="120"/>
        <w:jc w:val="both"/>
      </w:pPr>
      <w:r w:rsidRPr="009672B5">
        <w:t>Based on a DPMQ of $</w:t>
      </w:r>
      <w:r w:rsidR="0092728B">
        <w:rPr>
          <w:noProof/>
          <w:color w:val="000000"/>
          <w:highlight w:val="black"/>
        </w:rPr>
        <w:t>''''''''''''''''</w:t>
      </w:r>
      <w:r w:rsidRPr="009672B5">
        <w:t xml:space="preserve"> and 12 scripts per year (dosing on the same date each month). </w:t>
      </w:r>
    </w:p>
    <w:p w:rsidR="00C317F3" w:rsidRPr="009672B5" w:rsidRDefault="00C317F3" w:rsidP="00772501">
      <w:pPr>
        <w:pStyle w:val="Heading2"/>
        <w:rPr>
          <w:i w:val="0"/>
        </w:rPr>
      </w:pPr>
      <w:bookmarkStart w:id="19" w:name="_Toc413139284"/>
      <w:bookmarkStart w:id="20" w:name="_Toc492522250"/>
      <w:r w:rsidRPr="009672B5">
        <w:rPr>
          <w:i w:val="0"/>
        </w:rPr>
        <w:lastRenderedPageBreak/>
        <w:t>Estimated PBS usage &amp; financial implications</w:t>
      </w:r>
      <w:bookmarkEnd w:id="19"/>
      <w:bookmarkEnd w:id="20"/>
    </w:p>
    <w:p w:rsidR="00BB68CD" w:rsidRPr="009672B5" w:rsidRDefault="00BB68CD" w:rsidP="00BB68CD">
      <w:pPr>
        <w:pStyle w:val="ListParagraph"/>
        <w:numPr>
          <w:ilvl w:val="1"/>
          <w:numId w:val="1"/>
        </w:numPr>
        <w:spacing w:before="0" w:after="120"/>
        <w:jc w:val="both"/>
      </w:pPr>
      <w:r w:rsidRPr="009672B5">
        <w:t>The submission appropriately use</w:t>
      </w:r>
      <w:r w:rsidR="0073388F">
        <w:t>d</w:t>
      </w:r>
      <w:r w:rsidRPr="009672B5">
        <w:t xml:space="preserve"> an epidemiological approach to estimate the financial implications of listing golimumab on the PBS for patients with nr-axSpA with OSI.  </w:t>
      </w:r>
    </w:p>
    <w:p w:rsidR="00BB68CD" w:rsidRPr="009672B5" w:rsidRDefault="00BB68CD" w:rsidP="00BB68CD">
      <w:pPr>
        <w:pStyle w:val="ListParagraph"/>
        <w:numPr>
          <w:ilvl w:val="1"/>
          <w:numId w:val="1"/>
        </w:numPr>
        <w:spacing w:before="0" w:after="120"/>
        <w:jc w:val="both"/>
      </w:pPr>
      <w:r w:rsidRPr="009672B5">
        <w:t>Table 11 summarises the estimated use and financial implications.</w:t>
      </w:r>
    </w:p>
    <w:p w:rsidR="00BB68CD" w:rsidRPr="009672B5" w:rsidRDefault="00BB68CD" w:rsidP="00BB68CD">
      <w:pPr>
        <w:keepNext/>
        <w:spacing w:before="0" w:after="60"/>
        <w:rPr>
          <w:rFonts w:ascii="Arial Narrow" w:eastAsia="Calibri" w:hAnsi="Arial Narrow" w:cs="Arial"/>
          <w:b/>
          <w:sz w:val="20"/>
        </w:rPr>
      </w:pPr>
      <w:r w:rsidRPr="009672B5">
        <w:rPr>
          <w:rFonts w:ascii="Arial Narrow" w:eastAsia="Calibri" w:hAnsi="Arial Narrow" w:cs="Arial"/>
          <w:b/>
          <w:sz w:val="20"/>
        </w:rPr>
        <w:t>Table 11: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76"/>
        <w:gridCol w:w="1122"/>
        <w:gridCol w:w="1122"/>
        <w:gridCol w:w="1122"/>
        <w:gridCol w:w="1122"/>
        <w:gridCol w:w="1122"/>
        <w:gridCol w:w="1118"/>
      </w:tblGrid>
      <w:tr w:rsidR="00BB68CD" w:rsidRPr="009672B5" w:rsidTr="00D32A3D">
        <w:trPr>
          <w:tblHeader/>
        </w:trPr>
        <w:tc>
          <w:tcPr>
            <w:tcW w:w="1264" w:type="pct"/>
            <w:shd w:val="clear" w:color="auto" w:fill="auto"/>
            <w:vAlign w:val="center"/>
          </w:tcPr>
          <w:p w:rsidR="00BB68CD" w:rsidRPr="009672B5" w:rsidRDefault="00BB68CD" w:rsidP="00BB68CD">
            <w:pPr>
              <w:keepNext/>
              <w:spacing w:before="40" w:after="40"/>
              <w:rPr>
                <w:rFonts w:ascii="Arial Narrow" w:eastAsia="Calibri" w:hAnsi="Arial Narrow" w:cs="Arial"/>
                <w:sz w:val="20"/>
              </w:rPr>
            </w:pPr>
          </w:p>
        </w:tc>
        <w:tc>
          <w:tcPr>
            <w:tcW w:w="623" w:type="pct"/>
            <w:shd w:val="clear" w:color="auto" w:fill="auto"/>
            <w:vAlign w:val="center"/>
          </w:tcPr>
          <w:p w:rsidR="00BB68CD" w:rsidRPr="009672B5" w:rsidRDefault="00BB68CD" w:rsidP="00BB68CD">
            <w:pPr>
              <w:keepNext/>
              <w:spacing w:before="40" w:after="40"/>
              <w:jc w:val="center"/>
              <w:rPr>
                <w:rFonts w:ascii="Arial Narrow" w:eastAsia="Calibri" w:hAnsi="Arial Narrow" w:cs="Arial"/>
                <w:b/>
                <w:sz w:val="20"/>
              </w:rPr>
            </w:pPr>
            <w:r w:rsidRPr="009672B5">
              <w:rPr>
                <w:rFonts w:ascii="Arial Narrow" w:eastAsia="Calibri" w:hAnsi="Arial Narrow" w:cs="Arial"/>
                <w:b/>
                <w:sz w:val="20"/>
              </w:rPr>
              <w:t>Year 1</w:t>
            </w:r>
          </w:p>
        </w:tc>
        <w:tc>
          <w:tcPr>
            <w:tcW w:w="623" w:type="pct"/>
            <w:shd w:val="clear" w:color="auto" w:fill="auto"/>
            <w:vAlign w:val="center"/>
          </w:tcPr>
          <w:p w:rsidR="00BB68CD" w:rsidRPr="009672B5" w:rsidRDefault="00BB68CD" w:rsidP="00BB68CD">
            <w:pPr>
              <w:keepNext/>
              <w:spacing w:before="40" w:after="40"/>
              <w:jc w:val="center"/>
              <w:rPr>
                <w:rFonts w:ascii="Arial Narrow" w:eastAsia="Calibri" w:hAnsi="Arial Narrow" w:cs="Arial"/>
                <w:b/>
                <w:sz w:val="20"/>
              </w:rPr>
            </w:pPr>
            <w:r w:rsidRPr="009672B5">
              <w:rPr>
                <w:rFonts w:ascii="Arial Narrow" w:eastAsia="Calibri" w:hAnsi="Arial Narrow" w:cs="Arial"/>
                <w:b/>
                <w:sz w:val="20"/>
              </w:rPr>
              <w:t>Year 2</w:t>
            </w:r>
          </w:p>
        </w:tc>
        <w:tc>
          <w:tcPr>
            <w:tcW w:w="623" w:type="pct"/>
            <w:shd w:val="clear" w:color="auto" w:fill="auto"/>
            <w:vAlign w:val="center"/>
          </w:tcPr>
          <w:p w:rsidR="00BB68CD" w:rsidRPr="009672B5" w:rsidRDefault="00BB68CD" w:rsidP="00BB68CD">
            <w:pPr>
              <w:keepNext/>
              <w:spacing w:before="40" w:after="40"/>
              <w:jc w:val="center"/>
              <w:rPr>
                <w:rFonts w:ascii="Arial Narrow" w:eastAsia="Calibri" w:hAnsi="Arial Narrow" w:cs="Arial"/>
                <w:b/>
                <w:sz w:val="20"/>
              </w:rPr>
            </w:pPr>
            <w:r w:rsidRPr="009672B5">
              <w:rPr>
                <w:rFonts w:ascii="Arial Narrow" w:eastAsia="Calibri" w:hAnsi="Arial Narrow" w:cs="Arial"/>
                <w:b/>
                <w:sz w:val="20"/>
              </w:rPr>
              <w:t>Year 3</w:t>
            </w:r>
          </w:p>
        </w:tc>
        <w:tc>
          <w:tcPr>
            <w:tcW w:w="623" w:type="pct"/>
            <w:shd w:val="clear" w:color="auto" w:fill="auto"/>
            <w:vAlign w:val="center"/>
          </w:tcPr>
          <w:p w:rsidR="00BB68CD" w:rsidRPr="009672B5" w:rsidRDefault="00BB68CD" w:rsidP="00BB68CD">
            <w:pPr>
              <w:keepNext/>
              <w:spacing w:before="40" w:after="40"/>
              <w:jc w:val="center"/>
              <w:rPr>
                <w:rFonts w:ascii="Arial Narrow" w:eastAsia="Calibri" w:hAnsi="Arial Narrow" w:cs="Arial"/>
                <w:b/>
                <w:sz w:val="20"/>
              </w:rPr>
            </w:pPr>
            <w:r w:rsidRPr="009672B5">
              <w:rPr>
                <w:rFonts w:ascii="Arial Narrow" w:eastAsia="Calibri" w:hAnsi="Arial Narrow" w:cs="Arial"/>
                <w:b/>
                <w:sz w:val="20"/>
              </w:rPr>
              <w:t>Year 4</w:t>
            </w:r>
          </w:p>
        </w:tc>
        <w:tc>
          <w:tcPr>
            <w:tcW w:w="623" w:type="pct"/>
            <w:shd w:val="clear" w:color="auto" w:fill="auto"/>
            <w:vAlign w:val="center"/>
          </w:tcPr>
          <w:p w:rsidR="00BB68CD" w:rsidRPr="009672B5" w:rsidRDefault="00BB68CD" w:rsidP="00BB68CD">
            <w:pPr>
              <w:keepNext/>
              <w:spacing w:before="40" w:after="40"/>
              <w:jc w:val="center"/>
              <w:rPr>
                <w:rFonts w:ascii="Arial Narrow" w:eastAsia="Calibri" w:hAnsi="Arial Narrow" w:cs="Arial"/>
                <w:b/>
                <w:sz w:val="20"/>
              </w:rPr>
            </w:pPr>
            <w:r w:rsidRPr="009672B5">
              <w:rPr>
                <w:rFonts w:ascii="Arial Narrow" w:eastAsia="Calibri" w:hAnsi="Arial Narrow" w:cs="Arial"/>
                <w:b/>
                <w:sz w:val="20"/>
              </w:rPr>
              <w:t>Year 5</w:t>
            </w:r>
          </w:p>
        </w:tc>
        <w:tc>
          <w:tcPr>
            <w:tcW w:w="621" w:type="pct"/>
          </w:tcPr>
          <w:p w:rsidR="00BB68CD" w:rsidRPr="009672B5" w:rsidRDefault="00BB68CD" w:rsidP="00BB68CD">
            <w:pPr>
              <w:keepNext/>
              <w:spacing w:before="40" w:after="40"/>
              <w:jc w:val="center"/>
              <w:rPr>
                <w:rFonts w:ascii="Arial Narrow" w:eastAsia="Calibri" w:hAnsi="Arial Narrow" w:cs="Arial"/>
                <w:b/>
                <w:sz w:val="20"/>
              </w:rPr>
            </w:pPr>
            <w:r w:rsidRPr="009672B5">
              <w:rPr>
                <w:rFonts w:ascii="Arial Narrow" w:eastAsia="Calibri" w:hAnsi="Arial Narrow" w:cs="Arial"/>
                <w:b/>
                <w:sz w:val="20"/>
              </w:rPr>
              <w:t>Year 6</w:t>
            </w:r>
          </w:p>
        </w:tc>
      </w:tr>
      <w:tr w:rsidR="00BB68CD" w:rsidRPr="009672B5" w:rsidTr="00D32A3D">
        <w:tc>
          <w:tcPr>
            <w:tcW w:w="5000" w:type="pct"/>
            <w:gridSpan w:val="7"/>
            <w:shd w:val="clear" w:color="auto" w:fill="auto"/>
            <w:vAlign w:val="center"/>
          </w:tcPr>
          <w:p w:rsidR="00BB68CD" w:rsidRPr="009672B5" w:rsidRDefault="00BB68CD" w:rsidP="00BB68CD">
            <w:pPr>
              <w:keepNext/>
              <w:spacing w:before="40" w:after="40"/>
              <w:rPr>
                <w:rFonts w:ascii="Arial Narrow" w:eastAsia="Calibri" w:hAnsi="Arial Narrow" w:cs="Arial"/>
                <w:b/>
                <w:bCs/>
                <w:color w:val="000000"/>
                <w:sz w:val="20"/>
              </w:rPr>
            </w:pPr>
            <w:r w:rsidRPr="009672B5">
              <w:rPr>
                <w:rFonts w:ascii="Arial Narrow" w:eastAsia="Calibri" w:hAnsi="Arial Narrow" w:cs="Arial"/>
                <w:b/>
                <w:bCs/>
                <w:color w:val="000000"/>
                <w:sz w:val="20"/>
              </w:rPr>
              <w:t>Estimated extent of use</w:t>
            </w:r>
          </w:p>
        </w:tc>
      </w:tr>
      <w:tr w:rsidR="00BB68CD" w:rsidRPr="009672B5" w:rsidTr="00D32A3D">
        <w:tc>
          <w:tcPr>
            <w:tcW w:w="1264" w:type="pct"/>
            <w:shd w:val="clear" w:color="auto" w:fill="auto"/>
            <w:vAlign w:val="center"/>
          </w:tcPr>
          <w:p w:rsidR="00BB68CD" w:rsidRPr="009672B5" w:rsidRDefault="00BB68CD" w:rsidP="00BB68CD">
            <w:pPr>
              <w:keepNext/>
              <w:spacing w:before="40" w:after="40"/>
              <w:rPr>
                <w:rFonts w:ascii="Arial Narrow" w:eastAsia="Calibri" w:hAnsi="Arial Narrow" w:cs="Arial"/>
                <w:sz w:val="20"/>
              </w:rPr>
            </w:pPr>
            <w:r w:rsidRPr="009672B5">
              <w:rPr>
                <w:rFonts w:ascii="Arial Narrow" w:eastAsia="Calibri" w:hAnsi="Arial Narrow" w:cs="Arial"/>
                <w:sz w:val="20"/>
              </w:rPr>
              <w:t>Number of patients treated</w:t>
            </w:r>
          </w:p>
          <w:p w:rsidR="00BB68CD" w:rsidRPr="009672B5" w:rsidRDefault="00BB68CD" w:rsidP="00BB68CD">
            <w:pPr>
              <w:keepNext/>
              <w:tabs>
                <w:tab w:val="left" w:pos="267"/>
              </w:tabs>
              <w:spacing w:before="40" w:after="40"/>
              <w:rPr>
                <w:rFonts w:ascii="Arial Narrow" w:eastAsia="Calibri" w:hAnsi="Arial Narrow" w:cs="Arial"/>
                <w:sz w:val="20"/>
              </w:rPr>
            </w:pPr>
            <w:r w:rsidRPr="009672B5">
              <w:rPr>
                <w:rFonts w:ascii="Arial Narrow" w:eastAsia="Calibri" w:hAnsi="Arial Narrow" w:cs="Arial"/>
                <w:sz w:val="20"/>
              </w:rPr>
              <w:tab/>
              <w:t>New patients each year</w:t>
            </w:r>
          </w:p>
          <w:p w:rsidR="00BB68CD" w:rsidRPr="009672B5" w:rsidRDefault="00BB68CD" w:rsidP="00BB68CD">
            <w:pPr>
              <w:keepNext/>
              <w:tabs>
                <w:tab w:val="left" w:pos="267"/>
              </w:tabs>
              <w:spacing w:before="40" w:after="40"/>
              <w:rPr>
                <w:rFonts w:ascii="Times" w:eastAsia="Times New Roman" w:hAnsi="Times" w:cs="Times New Roman"/>
                <w:sz w:val="20"/>
                <w:vertAlign w:val="superscript"/>
              </w:rPr>
            </w:pPr>
            <w:r w:rsidRPr="009672B5">
              <w:rPr>
                <w:rFonts w:ascii="Arial Narrow" w:eastAsia="Calibri" w:hAnsi="Arial Narrow" w:cs="Arial"/>
                <w:sz w:val="20"/>
              </w:rPr>
              <w:tab/>
              <w:t>Cumulative continuers</w:t>
            </w:r>
            <w:r w:rsidRPr="009672B5">
              <w:rPr>
                <w:rFonts w:ascii="Arial Narrow" w:eastAsia="Calibri" w:hAnsi="Arial Narrow" w:cs="Arial"/>
                <w:sz w:val="20"/>
                <w:vertAlign w:val="superscript"/>
              </w:rPr>
              <w:t>a</w:t>
            </w:r>
          </w:p>
        </w:tc>
        <w:tc>
          <w:tcPr>
            <w:tcW w:w="623" w:type="pct"/>
            <w:shd w:val="clear" w:color="auto" w:fill="auto"/>
            <w:vAlign w:val="center"/>
          </w:tcPr>
          <w:p w:rsidR="00BB68CD" w:rsidRPr="0092728B" w:rsidRDefault="00BB68CD" w:rsidP="00BB68CD">
            <w:pPr>
              <w:keepNext/>
              <w:spacing w:before="40" w:after="40"/>
              <w:jc w:val="center"/>
              <w:rPr>
                <w:rFonts w:ascii="Arial Narrow" w:eastAsia="Calibri" w:hAnsi="Arial Narrow" w:cs="Arial"/>
                <w:sz w:val="20"/>
              </w:rPr>
            </w:pPr>
          </w:p>
          <w:p w:rsidR="00BB68CD" w:rsidRPr="0092728B" w:rsidRDefault="0092728B" w:rsidP="00BB68CD">
            <w:pPr>
              <w:keepNext/>
              <w:spacing w:before="40" w:after="40"/>
              <w:jc w:val="center"/>
              <w:rPr>
                <w:rFonts w:ascii="Arial Narrow" w:eastAsia="Calibri" w:hAnsi="Arial Narrow" w:cs="Arial"/>
                <w:sz w:val="20"/>
                <w:highlight w:val="black"/>
              </w:rPr>
            </w:pPr>
            <w:r>
              <w:rPr>
                <w:rFonts w:ascii="Arial Narrow" w:eastAsia="Calibri" w:hAnsi="Arial Narrow" w:cs="Arial"/>
                <w:noProof/>
                <w:color w:val="000000"/>
                <w:sz w:val="20"/>
                <w:highlight w:val="black"/>
              </w:rPr>
              <w:t>''''''''''''''</w:t>
            </w:r>
          </w:p>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BB68CD" w:rsidP="00BB68CD">
            <w:pPr>
              <w:keepNext/>
              <w:spacing w:before="40" w:after="40"/>
              <w:jc w:val="center"/>
              <w:rPr>
                <w:rFonts w:ascii="Arial Narrow" w:eastAsia="Calibri" w:hAnsi="Arial Narrow" w:cs="Arial"/>
                <w:sz w:val="20"/>
              </w:rPr>
            </w:pPr>
          </w:p>
          <w:p w:rsidR="00BB68CD" w:rsidRPr="0092728B" w:rsidRDefault="0092728B" w:rsidP="00BB68CD">
            <w:pPr>
              <w:keepNext/>
              <w:spacing w:before="40" w:after="40"/>
              <w:jc w:val="center"/>
              <w:rPr>
                <w:rFonts w:ascii="Arial Narrow" w:eastAsia="Calibri" w:hAnsi="Arial Narrow" w:cs="Arial"/>
                <w:sz w:val="20"/>
                <w:highlight w:val="black"/>
              </w:rPr>
            </w:pPr>
            <w:r>
              <w:rPr>
                <w:rFonts w:ascii="Arial Narrow" w:eastAsia="Calibri" w:hAnsi="Arial Narrow" w:cs="Arial"/>
                <w:noProof/>
                <w:color w:val="000000"/>
                <w:sz w:val="20"/>
                <w:highlight w:val="black"/>
              </w:rPr>
              <w:t>''''''''''''</w:t>
            </w:r>
          </w:p>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BB68CD" w:rsidP="00BB68CD">
            <w:pPr>
              <w:keepNext/>
              <w:spacing w:before="40" w:after="40"/>
              <w:jc w:val="center"/>
              <w:rPr>
                <w:rFonts w:ascii="Arial Narrow" w:eastAsia="Calibri" w:hAnsi="Arial Narrow" w:cs="Arial"/>
                <w:sz w:val="20"/>
              </w:rPr>
            </w:pPr>
          </w:p>
          <w:p w:rsidR="00BB68CD" w:rsidRPr="0092728B" w:rsidRDefault="0092728B" w:rsidP="00BB68CD">
            <w:pPr>
              <w:keepNext/>
              <w:spacing w:before="40" w:after="40"/>
              <w:jc w:val="center"/>
              <w:rPr>
                <w:rFonts w:ascii="Arial Narrow" w:eastAsia="Calibri" w:hAnsi="Arial Narrow" w:cs="Arial"/>
                <w:sz w:val="20"/>
                <w:highlight w:val="black"/>
              </w:rPr>
            </w:pPr>
            <w:r>
              <w:rPr>
                <w:rFonts w:ascii="Arial Narrow" w:eastAsia="Calibri" w:hAnsi="Arial Narrow" w:cs="Arial"/>
                <w:noProof/>
                <w:color w:val="000000"/>
                <w:sz w:val="20"/>
                <w:highlight w:val="black"/>
              </w:rPr>
              <w:t>'''''''''''''''</w:t>
            </w:r>
          </w:p>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BB68CD" w:rsidP="00BB68CD">
            <w:pPr>
              <w:keepNext/>
              <w:spacing w:before="40" w:after="40"/>
              <w:jc w:val="center"/>
              <w:rPr>
                <w:rFonts w:ascii="Arial Narrow" w:eastAsia="Calibri" w:hAnsi="Arial Narrow" w:cs="Arial"/>
                <w:sz w:val="20"/>
              </w:rPr>
            </w:pPr>
          </w:p>
          <w:p w:rsidR="00BB68CD" w:rsidRPr="0092728B" w:rsidRDefault="0092728B" w:rsidP="00BB68CD">
            <w:pPr>
              <w:keepNext/>
              <w:spacing w:before="40" w:after="40"/>
              <w:jc w:val="center"/>
              <w:rPr>
                <w:rFonts w:ascii="Arial Narrow" w:eastAsia="Calibri" w:hAnsi="Arial Narrow" w:cs="Arial"/>
                <w:sz w:val="20"/>
                <w:highlight w:val="black"/>
              </w:rPr>
            </w:pPr>
            <w:r>
              <w:rPr>
                <w:rFonts w:ascii="Arial Narrow" w:eastAsia="Calibri" w:hAnsi="Arial Narrow" w:cs="Arial"/>
                <w:noProof/>
                <w:color w:val="000000"/>
                <w:sz w:val="20"/>
                <w:highlight w:val="black"/>
              </w:rPr>
              <w:t>''''''''''</w:t>
            </w:r>
          </w:p>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BB68CD" w:rsidP="00BB68CD">
            <w:pPr>
              <w:keepNext/>
              <w:spacing w:before="40" w:after="40"/>
              <w:jc w:val="center"/>
              <w:rPr>
                <w:rFonts w:ascii="Arial Narrow" w:eastAsia="Calibri" w:hAnsi="Arial Narrow" w:cs="Arial"/>
                <w:sz w:val="20"/>
              </w:rPr>
            </w:pPr>
          </w:p>
          <w:p w:rsidR="00BB68CD" w:rsidRPr="0092728B" w:rsidRDefault="0092728B" w:rsidP="00BB68CD">
            <w:pPr>
              <w:keepNext/>
              <w:spacing w:before="40" w:after="40"/>
              <w:jc w:val="center"/>
              <w:rPr>
                <w:rFonts w:ascii="Arial Narrow" w:eastAsia="Calibri" w:hAnsi="Arial Narrow" w:cs="Arial"/>
                <w:sz w:val="20"/>
                <w:highlight w:val="black"/>
              </w:rPr>
            </w:pPr>
            <w:r>
              <w:rPr>
                <w:rFonts w:ascii="Arial Narrow" w:eastAsia="Calibri" w:hAnsi="Arial Narrow" w:cs="Arial"/>
                <w:noProof/>
                <w:color w:val="000000"/>
                <w:sz w:val="20"/>
                <w:highlight w:val="black"/>
              </w:rPr>
              <w:t>'''''''''</w:t>
            </w:r>
          </w:p>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1" w:type="pct"/>
            <w:vAlign w:val="center"/>
          </w:tcPr>
          <w:p w:rsidR="00BB68CD" w:rsidRPr="0092728B" w:rsidRDefault="00BB68CD" w:rsidP="00BB68CD">
            <w:pPr>
              <w:keepNext/>
              <w:spacing w:before="40" w:after="40"/>
              <w:jc w:val="center"/>
              <w:rPr>
                <w:rFonts w:ascii="Arial Narrow" w:eastAsia="Calibri" w:hAnsi="Arial Narrow" w:cs="Arial"/>
                <w:sz w:val="20"/>
              </w:rPr>
            </w:pPr>
          </w:p>
          <w:p w:rsidR="00BB68CD" w:rsidRPr="0092728B" w:rsidRDefault="0092728B" w:rsidP="00BB68CD">
            <w:pPr>
              <w:keepNext/>
              <w:spacing w:before="40" w:after="40"/>
              <w:jc w:val="center"/>
              <w:rPr>
                <w:rFonts w:ascii="Arial Narrow" w:eastAsia="Calibri" w:hAnsi="Arial Narrow" w:cs="Arial"/>
                <w:sz w:val="20"/>
                <w:highlight w:val="black"/>
              </w:rPr>
            </w:pPr>
            <w:r>
              <w:rPr>
                <w:rFonts w:ascii="Arial Narrow" w:eastAsia="Calibri" w:hAnsi="Arial Narrow" w:cs="Arial"/>
                <w:noProof/>
                <w:color w:val="000000"/>
                <w:sz w:val="20"/>
                <w:highlight w:val="black"/>
              </w:rPr>
              <w:t>''''''''</w:t>
            </w:r>
          </w:p>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r>
      <w:tr w:rsidR="00BB68CD" w:rsidRPr="009672B5" w:rsidTr="00D32A3D">
        <w:tc>
          <w:tcPr>
            <w:tcW w:w="1264" w:type="pct"/>
            <w:shd w:val="clear" w:color="auto" w:fill="auto"/>
            <w:vAlign w:val="center"/>
          </w:tcPr>
          <w:p w:rsidR="00BB68CD" w:rsidRPr="009672B5" w:rsidRDefault="00BB68CD" w:rsidP="00BB68CD">
            <w:pPr>
              <w:keepNext/>
              <w:spacing w:before="40" w:after="40"/>
              <w:rPr>
                <w:rFonts w:ascii="Times" w:eastAsia="Times New Roman" w:hAnsi="Times" w:cs="Times New Roman"/>
                <w:sz w:val="20"/>
              </w:rPr>
            </w:pPr>
            <w:r w:rsidRPr="009672B5">
              <w:rPr>
                <w:rFonts w:ascii="Arial Narrow" w:eastAsia="Calibri" w:hAnsi="Arial Narrow" w:cs="Arial"/>
                <w:sz w:val="20"/>
              </w:rPr>
              <w:t>Number of scripts dispensed</w:t>
            </w:r>
            <w:r w:rsidRPr="009672B5">
              <w:rPr>
                <w:rFonts w:ascii="Arial Narrow" w:eastAsia="Calibri" w:hAnsi="Arial Narrow" w:cs="Arial"/>
                <w:sz w:val="20"/>
                <w:vertAlign w:val="superscript"/>
              </w:rPr>
              <w:t>b</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1" w:type="pct"/>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r>
      <w:tr w:rsidR="00BB68CD" w:rsidRPr="009672B5" w:rsidTr="00D32A3D">
        <w:tc>
          <w:tcPr>
            <w:tcW w:w="5000" w:type="pct"/>
            <w:gridSpan w:val="7"/>
            <w:shd w:val="clear" w:color="auto" w:fill="auto"/>
            <w:vAlign w:val="center"/>
          </w:tcPr>
          <w:p w:rsidR="00BB68CD" w:rsidRPr="009672B5" w:rsidRDefault="00BB68CD" w:rsidP="00BB68CD">
            <w:pPr>
              <w:keepNext/>
              <w:spacing w:before="40" w:after="40"/>
              <w:rPr>
                <w:rFonts w:ascii="Arial Narrow" w:eastAsia="Calibri" w:hAnsi="Arial Narrow" w:cs="Arial"/>
                <w:b/>
                <w:bCs/>
                <w:color w:val="000000"/>
                <w:sz w:val="20"/>
              </w:rPr>
            </w:pPr>
            <w:r w:rsidRPr="009672B5">
              <w:rPr>
                <w:rFonts w:ascii="Arial Narrow" w:eastAsia="Calibri" w:hAnsi="Arial Narrow" w:cs="Arial"/>
                <w:b/>
                <w:bCs/>
                <w:color w:val="000000"/>
                <w:sz w:val="20"/>
              </w:rPr>
              <w:t>Estimated financial implications of golimumab</w:t>
            </w:r>
          </w:p>
        </w:tc>
      </w:tr>
      <w:tr w:rsidR="00BB68CD" w:rsidRPr="009672B5" w:rsidTr="00D32A3D">
        <w:tc>
          <w:tcPr>
            <w:tcW w:w="1264" w:type="pct"/>
            <w:shd w:val="clear" w:color="auto" w:fill="auto"/>
            <w:vAlign w:val="center"/>
          </w:tcPr>
          <w:p w:rsidR="00BB68CD" w:rsidRPr="009672B5" w:rsidRDefault="00BB68CD" w:rsidP="00BB68CD">
            <w:pPr>
              <w:keepNext/>
              <w:spacing w:before="40" w:after="40"/>
              <w:rPr>
                <w:rFonts w:ascii="Times" w:eastAsia="Times New Roman" w:hAnsi="Times" w:cs="Times New Roman"/>
                <w:sz w:val="20"/>
              </w:rPr>
            </w:pPr>
            <w:r w:rsidRPr="009672B5">
              <w:rPr>
                <w:rFonts w:ascii="Arial Narrow" w:eastAsia="Calibri" w:hAnsi="Arial Narrow" w:cs="Arial"/>
                <w:sz w:val="19"/>
                <w:szCs w:val="19"/>
              </w:rPr>
              <w:t>Cost to PBS/RPBS</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1" w:type="pct"/>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r>
      <w:tr w:rsidR="00BB68CD" w:rsidRPr="009672B5" w:rsidTr="00D32A3D">
        <w:tc>
          <w:tcPr>
            <w:tcW w:w="1264" w:type="pct"/>
            <w:shd w:val="clear" w:color="auto" w:fill="auto"/>
            <w:vAlign w:val="center"/>
          </w:tcPr>
          <w:p w:rsidR="00BB68CD" w:rsidRPr="009672B5" w:rsidRDefault="00BB68CD" w:rsidP="00BB68CD">
            <w:pPr>
              <w:keepNext/>
              <w:spacing w:before="40" w:after="40"/>
              <w:rPr>
                <w:rFonts w:ascii="Arial Narrow" w:eastAsia="Calibri" w:hAnsi="Arial Narrow" w:cs="Arial"/>
                <w:sz w:val="19"/>
                <w:szCs w:val="19"/>
              </w:rPr>
            </w:pPr>
            <w:r w:rsidRPr="009672B5">
              <w:rPr>
                <w:rFonts w:ascii="Arial Narrow" w:eastAsia="Calibri" w:hAnsi="Arial Narrow" w:cs="Arial"/>
                <w:sz w:val="19"/>
                <w:szCs w:val="19"/>
              </w:rPr>
              <w:t>Copayments</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1" w:type="pct"/>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r>
      <w:tr w:rsidR="00BB68CD" w:rsidRPr="009672B5" w:rsidTr="00D32A3D">
        <w:tc>
          <w:tcPr>
            <w:tcW w:w="1264" w:type="pct"/>
            <w:shd w:val="clear" w:color="auto" w:fill="auto"/>
            <w:vAlign w:val="center"/>
          </w:tcPr>
          <w:p w:rsidR="00BB68CD" w:rsidRPr="009672B5" w:rsidRDefault="00BB68CD" w:rsidP="00BB68CD">
            <w:pPr>
              <w:keepNext/>
              <w:spacing w:before="40" w:after="40"/>
              <w:rPr>
                <w:rFonts w:ascii="Arial Narrow" w:eastAsia="Calibri" w:hAnsi="Arial Narrow" w:cs="Arial"/>
                <w:sz w:val="19"/>
                <w:szCs w:val="19"/>
              </w:rPr>
            </w:pPr>
            <w:r w:rsidRPr="009672B5">
              <w:rPr>
                <w:rFonts w:ascii="Arial Narrow" w:eastAsia="Calibri" w:hAnsi="Arial Narrow" w:cs="Arial"/>
                <w:sz w:val="19"/>
                <w:szCs w:val="19"/>
              </w:rPr>
              <w:t>Cost to PBS/RPBS less copayments</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1" w:type="pct"/>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r>
      <w:tr w:rsidR="00BB68CD" w:rsidRPr="009672B5" w:rsidTr="00D32A3D">
        <w:tc>
          <w:tcPr>
            <w:tcW w:w="5000" w:type="pct"/>
            <w:gridSpan w:val="7"/>
            <w:shd w:val="clear" w:color="auto" w:fill="auto"/>
            <w:vAlign w:val="center"/>
          </w:tcPr>
          <w:p w:rsidR="00BB68CD" w:rsidRPr="009672B5" w:rsidRDefault="00BB68CD" w:rsidP="00BB68CD">
            <w:pPr>
              <w:keepNext/>
              <w:spacing w:before="40" w:after="40"/>
              <w:rPr>
                <w:rFonts w:ascii="Arial Narrow" w:eastAsia="Calibri" w:hAnsi="Arial Narrow" w:cs="Arial"/>
                <w:bCs/>
                <w:color w:val="000000"/>
                <w:sz w:val="20"/>
              </w:rPr>
            </w:pPr>
            <w:r w:rsidRPr="009672B5">
              <w:rPr>
                <w:rFonts w:ascii="Arial Narrow" w:eastAsia="Calibri" w:hAnsi="Arial Narrow" w:cs="Arial"/>
                <w:b/>
                <w:bCs/>
                <w:color w:val="000000"/>
                <w:sz w:val="20"/>
              </w:rPr>
              <w:t>Estimated financial implications for other medicines (amoxycillin for serious infections and medicines used in the treatment of nr-axSpA; aggregated)</w:t>
            </w:r>
          </w:p>
        </w:tc>
      </w:tr>
      <w:tr w:rsidR="00BB68CD" w:rsidRPr="009672B5" w:rsidTr="00D32A3D">
        <w:tc>
          <w:tcPr>
            <w:tcW w:w="1264" w:type="pct"/>
            <w:shd w:val="clear" w:color="auto" w:fill="auto"/>
            <w:vAlign w:val="center"/>
          </w:tcPr>
          <w:p w:rsidR="00BB68CD" w:rsidRPr="009672B5" w:rsidRDefault="00BB68CD" w:rsidP="00BB68CD">
            <w:pPr>
              <w:keepNext/>
              <w:spacing w:before="40" w:after="40"/>
              <w:rPr>
                <w:rFonts w:ascii="Arial Narrow" w:eastAsia="Calibri" w:hAnsi="Arial Narrow" w:cs="Arial"/>
                <w:sz w:val="19"/>
                <w:szCs w:val="19"/>
              </w:rPr>
            </w:pPr>
            <w:r w:rsidRPr="009672B5">
              <w:rPr>
                <w:rFonts w:ascii="Arial Narrow" w:eastAsia="Calibri" w:hAnsi="Arial Narrow" w:cs="Arial"/>
                <w:sz w:val="19"/>
                <w:szCs w:val="19"/>
              </w:rPr>
              <w:t>Cost to PBS/RPBS less copayments</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1" w:type="pct"/>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r>
      <w:tr w:rsidR="00BB68CD" w:rsidRPr="009672B5" w:rsidTr="00D32A3D">
        <w:tc>
          <w:tcPr>
            <w:tcW w:w="5000" w:type="pct"/>
            <w:gridSpan w:val="7"/>
            <w:shd w:val="clear" w:color="auto" w:fill="auto"/>
            <w:vAlign w:val="center"/>
          </w:tcPr>
          <w:p w:rsidR="00BB68CD" w:rsidRPr="009672B5" w:rsidRDefault="00BB68CD" w:rsidP="00BB68CD">
            <w:pPr>
              <w:keepNext/>
              <w:spacing w:before="40" w:after="40"/>
              <w:rPr>
                <w:rFonts w:ascii="Arial Narrow" w:eastAsia="Calibri" w:hAnsi="Arial Narrow" w:cs="Arial"/>
                <w:b/>
                <w:bCs/>
                <w:color w:val="000000"/>
                <w:sz w:val="20"/>
              </w:rPr>
            </w:pPr>
            <w:r w:rsidRPr="009672B5">
              <w:rPr>
                <w:rFonts w:ascii="Arial Narrow" w:eastAsia="Calibri" w:hAnsi="Arial Narrow" w:cs="Arial"/>
                <w:b/>
                <w:bCs/>
                <w:color w:val="000000"/>
                <w:sz w:val="20"/>
              </w:rPr>
              <w:t>Net financial implications</w:t>
            </w:r>
            <w:r w:rsidRPr="009672B5">
              <w:rPr>
                <w:rFonts w:ascii="Arial Narrow" w:eastAsia="Calibri" w:hAnsi="Arial Narrow" w:cs="Arial"/>
                <w:b/>
                <w:bCs/>
                <w:color w:val="4472C4"/>
                <w:sz w:val="20"/>
              </w:rPr>
              <w:t xml:space="preserve"> </w:t>
            </w:r>
          </w:p>
        </w:tc>
      </w:tr>
      <w:tr w:rsidR="00BB68CD" w:rsidRPr="009672B5" w:rsidTr="00D32A3D">
        <w:tc>
          <w:tcPr>
            <w:tcW w:w="1264" w:type="pct"/>
            <w:shd w:val="clear" w:color="auto" w:fill="auto"/>
            <w:vAlign w:val="center"/>
          </w:tcPr>
          <w:p w:rsidR="00BB68CD" w:rsidRPr="009672B5" w:rsidRDefault="00BB68CD" w:rsidP="00BB68CD">
            <w:pPr>
              <w:keepNext/>
              <w:spacing w:before="40" w:after="40"/>
              <w:rPr>
                <w:rFonts w:ascii="Arial Narrow" w:eastAsia="Calibri" w:hAnsi="Arial Narrow" w:cs="Arial"/>
                <w:sz w:val="19"/>
                <w:szCs w:val="19"/>
              </w:rPr>
            </w:pPr>
            <w:r w:rsidRPr="009672B5">
              <w:rPr>
                <w:rFonts w:ascii="Arial Narrow" w:eastAsia="Calibri" w:hAnsi="Arial Narrow" w:cs="Arial"/>
                <w:sz w:val="19"/>
                <w:szCs w:val="19"/>
              </w:rPr>
              <w:t>Net cost to PBS/RPBS</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1" w:type="pct"/>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r>
      <w:tr w:rsidR="00BB68CD" w:rsidRPr="009672B5" w:rsidTr="00D32A3D">
        <w:tc>
          <w:tcPr>
            <w:tcW w:w="1264" w:type="pct"/>
            <w:shd w:val="clear" w:color="auto" w:fill="auto"/>
            <w:vAlign w:val="center"/>
          </w:tcPr>
          <w:p w:rsidR="00BB68CD" w:rsidRPr="009672B5" w:rsidRDefault="00BB68CD" w:rsidP="00BB68CD">
            <w:pPr>
              <w:keepNext/>
              <w:spacing w:before="40" w:after="40"/>
              <w:rPr>
                <w:rFonts w:ascii="Times" w:eastAsia="Times New Roman" w:hAnsi="Times" w:cs="Times New Roman"/>
                <w:sz w:val="20"/>
              </w:rPr>
            </w:pPr>
            <w:r w:rsidRPr="009672B5">
              <w:rPr>
                <w:rFonts w:ascii="Arial Narrow" w:eastAsia="Calibri" w:hAnsi="Arial Narrow" w:cs="Arial"/>
                <w:sz w:val="19"/>
                <w:szCs w:val="19"/>
              </w:rPr>
              <w:t>Net cost to MBS</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1" w:type="pct"/>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r>
      <w:tr w:rsidR="00BB68CD" w:rsidRPr="009672B5" w:rsidTr="00D32A3D">
        <w:tc>
          <w:tcPr>
            <w:tcW w:w="1264" w:type="pct"/>
            <w:shd w:val="clear" w:color="auto" w:fill="auto"/>
            <w:vAlign w:val="center"/>
          </w:tcPr>
          <w:p w:rsidR="00BB68CD" w:rsidRPr="009672B5" w:rsidRDefault="00BB68CD" w:rsidP="00BB68CD">
            <w:pPr>
              <w:keepNext/>
              <w:spacing w:before="40" w:after="40"/>
              <w:rPr>
                <w:rFonts w:ascii="Arial Narrow" w:eastAsia="Calibri" w:hAnsi="Arial Narrow" w:cs="Arial"/>
                <w:sz w:val="19"/>
                <w:szCs w:val="19"/>
              </w:rPr>
            </w:pPr>
            <w:r w:rsidRPr="009672B5">
              <w:rPr>
                <w:rFonts w:ascii="Arial Narrow" w:eastAsia="Calibri" w:hAnsi="Arial Narrow" w:cs="Arial"/>
                <w:sz w:val="19"/>
                <w:szCs w:val="19"/>
              </w:rPr>
              <w:t xml:space="preserve">Net cost to hospitals </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c>
          <w:tcPr>
            <w:tcW w:w="621" w:type="pct"/>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bCs/>
                <w:noProof/>
                <w:color w:val="000000"/>
                <w:sz w:val="20"/>
                <w:highlight w:val="black"/>
              </w:rPr>
              <w:t>'''''''''''''''''''''''''''''''''</w:t>
            </w:r>
          </w:p>
        </w:tc>
      </w:tr>
      <w:tr w:rsidR="00BB68CD" w:rsidRPr="009672B5" w:rsidTr="00D32A3D">
        <w:tc>
          <w:tcPr>
            <w:tcW w:w="1264" w:type="pct"/>
            <w:shd w:val="clear" w:color="auto" w:fill="auto"/>
            <w:vAlign w:val="center"/>
          </w:tcPr>
          <w:p w:rsidR="00BB68CD" w:rsidRPr="009672B5" w:rsidRDefault="00BB68CD" w:rsidP="00BB68CD">
            <w:pPr>
              <w:keepNext/>
              <w:spacing w:before="40" w:after="40"/>
              <w:rPr>
                <w:rFonts w:ascii="Arial Narrow" w:eastAsia="Calibri" w:hAnsi="Arial Narrow" w:cs="Arial"/>
                <w:sz w:val="19"/>
                <w:szCs w:val="19"/>
              </w:rPr>
            </w:pPr>
            <w:r w:rsidRPr="009672B5">
              <w:rPr>
                <w:rFonts w:ascii="Arial Narrow" w:eastAsia="Calibri" w:hAnsi="Arial Narrow" w:cs="Arial"/>
                <w:sz w:val="19"/>
                <w:szCs w:val="19"/>
              </w:rPr>
              <w:t>Net cost to PBS/RPBS/MBS/ hospitals</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3" w:type="pct"/>
            <w:shd w:val="clear" w:color="auto" w:fill="auto"/>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21" w:type="pct"/>
            <w:vAlign w:val="center"/>
          </w:tcPr>
          <w:p w:rsidR="00BB68CD" w:rsidRPr="0092728B" w:rsidRDefault="0092728B" w:rsidP="00BB68CD">
            <w:pPr>
              <w:keepNext/>
              <w:spacing w:before="40" w:after="40"/>
              <w:jc w:val="center"/>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r>
    </w:tbl>
    <w:p w:rsidR="00BB68CD" w:rsidRPr="009672B5" w:rsidRDefault="00BB68CD" w:rsidP="00BB68CD">
      <w:pPr>
        <w:widowControl w:val="0"/>
        <w:tabs>
          <w:tab w:val="left" w:pos="284"/>
        </w:tabs>
        <w:spacing w:before="0" w:after="120"/>
        <w:ind w:left="284" w:hanging="284"/>
        <w:contextualSpacing/>
        <w:jc w:val="both"/>
        <w:rPr>
          <w:rFonts w:ascii="Arial Narrow" w:eastAsia="Times New Roman" w:hAnsi="Arial Narrow" w:cs="Arial"/>
          <w:snapToGrid w:val="0"/>
          <w:sz w:val="18"/>
          <w:szCs w:val="20"/>
          <w:vertAlign w:val="superscript"/>
        </w:rPr>
      </w:pPr>
      <w:r w:rsidRPr="009672B5">
        <w:rPr>
          <w:rFonts w:ascii="Arial Narrow" w:eastAsia="Times New Roman" w:hAnsi="Arial Narrow" w:cs="Arial"/>
          <w:snapToGrid w:val="0"/>
          <w:sz w:val="18"/>
          <w:szCs w:val="18"/>
          <w:vertAlign w:val="superscript"/>
        </w:rPr>
        <w:t>a</w:t>
      </w:r>
      <w:r w:rsidRPr="009672B5">
        <w:rPr>
          <w:rFonts w:ascii="Arial Narrow" w:eastAsia="Times New Roman" w:hAnsi="Arial Narrow" w:cs="Arial"/>
          <w:snapToGrid w:val="0"/>
          <w:sz w:val="18"/>
          <w:szCs w:val="18"/>
        </w:rPr>
        <w:tab/>
        <w:t xml:space="preserve">assume that the proportion remaining on treatment was </w:t>
      </w:r>
      <w:r w:rsidR="0092728B">
        <w:rPr>
          <w:rFonts w:ascii="Arial Narrow" w:eastAsia="Times New Roman" w:hAnsi="Arial Narrow" w:cs="Arial"/>
          <w:noProof/>
          <w:snapToGrid w:val="0"/>
          <w:color w:val="000000"/>
          <w:sz w:val="18"/>
          <w:szCs w:val="18"/>
          <w:highlight w:val="black"/>
        </w:rPr>
        <w:t>''''''''''''''</w:t>
      </w:r>
      <w:r w:rsidRPr="009672B5">
        <w:rPr>
          <w:rFonts w:ascii="Arial Narrow" w:eastAsia="Times New Roman" w:hAnsi="Arial Narrow" w:cs="Arial"/>
          <w:snapToGrid w:val="0"/>
          <w:sz w:val="18"/>
          <w:szCs w:val="18"/>
        </w:rPr>
        <w:t xml:space="preserve">%, </w:t>
      </w:r>
      <w:r w:rsidR="0092728B">
        <w:rPr>
          <w:rFonts w:ascii="Arial Narrow" w:eastAsia="Times New Roman" w:hAnsi="Arial Narrow" w:cs="Arial"/>
          <w:noProof/>
          <w:snapToGrid w:val="0"/>
          <w:color w:val="000000"/>
          <w:sz w:val="18"/>
          <w:szCs w:val="18"/>
          <w:highlight w:val="black"/>
        </w:rPr>
        <w:t>'''''''''''''</w:t>
      </w:r>
      <w:r w:rsidRPr="009672B5">
        <w:rPr>
          <w:rFonts w:ascii="Arial Narrow" w:eastAsia="Times New Roman" w:hAnsi="Arial Narrow" w:cs="Arial"/>
          <w:snapToGrid w:val="0"/>
          <w:sz w:val="18"/>
          <w:szCs w:val="18"/>
        </w:rPr>
        <w:t xml:space="preserve">%, </w:t>
      </w:r>
      <w:r w:rsidR="0092728B">
        <w:rPr>
          <w:rFonts w:ascii="Arial Narrow" w:eastAsia="Times New Roman" w:hAnsi="Arial Narrow" w:cs="Arial"/>
          <w:noProof/>
          <w:snapToGrid w:val="0"/>
          <w:color w:val="000000"/>
          <w:sz w:val="18"/>
          <w:szCs w:val="18"/>
          <w:highlight w:val="black"/>
        </w:rPr>
        <w:t>''''''''''''</w:t>
      </w:r>
      <w:r w:rsidRPr="009672B5">
        <w:rPr>
          <w:rFonts w:ascii="Arial Narrow" w:eastAsia="Times New Roman" w:hAnsi="Arial Narrow" w:cs="Arial"/>
          <w:snapToGrid w:val="0"/>
          <w:sz w:val="18"/>
          <w:szCs w:val="18"/>
        </w:rPr>
        <w:t xml:space="preserve">%, </w:t>
      </w:r>
      <w:r w:rsidR="0092728B">
        <w:rPr>
          <w:rFonts w:ascii="Arial Narrow" w:eastAsia="Times New Roman" w:hAnsi="Arial Narrow" w:cs="Arial"/>
          <w:noProof/>
          <w:snapToGrid w:val="0"/>
          <w:color w:val="000000"/>
          <w:sz w:val="18"/>
          <w:szCs w:val="18"/>
          <w:highlight w:val="black"/>
        </w:rPr>
        <w:t>''''''''''''''</w:t>
      </w:r>
      <w:r w:rsidRPr="009672B5">
        <w:rPr>
          <w:rFonts w:ascii="Arial Narrow" w:eastAsia="Times New Roman" w:hAnsi="Arial Narrow" w:cs="Arial"/>
          <w:snapToGrid w:val="0"/>
          <w:sz w:val="18"/>
          <w:szCs w:val="18"/>
        </w:rPr>
        <w:t xml:space="preserve">%, </w:t>
      </w:r>
      <w:r w:rsidR="0092728B">
        <w:rPr>
          <w:rFonts w:ascii="Arial Narrow" w:eastAsia="Times New Roman" w:hAnsi="Arial Narrow" w:cs="Arial"/>
          <w:noProof/>
          <w:snapToGrid w:val="0"/>
          <w:color w:val="000000"/>
          <w:sz w:val="18"/>
          <w:szCs w:val="18"/>
          <w:highlight w:val="black"/>
        </w:rPr>
        <w:t>'''''''''''''''</w:t>
      </w:r>
      <w:r w:rsidRPr="009672B5">
        <w:rPr>
          <w:rFonts w:ascii="Arial Narrow" w:eastAsia="Times New Roman" w:hAnsi="Arial Narrow" w:cs="Arial"/>
          <w:snapToGrid w:val="0"/>
          <w:sz w:val="18"/>
          <w:szCs w:val="18"/>
        </w:rPr>
        <w:t xml:space="preserve">% and </w:t>
      </w:r>
      <w:r w:rsidR="0092728B">
        <w:rPr>
          <w:rFonts w:ascii="Arial Narrow" w:eastAsia="Times New Roman" w:hAnsi="Arial Narrow" w:cs="Arial"/>
          <w:noProof/>
          <w:snapToGrid w:val="0"/>
          <w:color w:val="000000"/>
          <w:sz w:val="18"/>
          <w:szCs w:val="18"/>
          <w:highlight w:val="black"/>
        </w:rPr>
        <w:t>''''''''''''''</w:t>
      </w:r>
      <w:r w:rsidRPr="009672B5">
        <w:rPr>
          <w:rFonts w:ascii="Arial Narrow" w:eastAsia="Times New Roman" w:hAnsi="Arial Narrow" w:cs="Arial"/>
          <w:snapToGrid w:val="0"/>
          <w:sz w:val="18"/>
          <w:szCs w:val="18"/>
        </w:rPr>
        <w:t>% after 1, 2, 3, 4, 5 and 6 years from treatment initiation</w:t>
      </w:r>
    </w:p>
    <w:p w:rsidR="00BB68CD" w:rsidRPr="009672B5" w:rsidRDefault="00BB68CD" w:rsidP="00BB68CD">
      <w:pPr>
        <w:widowControl w:val="0"/>
        <w:tabs>
          <w:tab w:val="left" w:pos="284"/>
        </w:tabs>
        <w:spacing w:before="0" w:after="120"/>
        <w:ind w:left="284" w:hanging="284"/>
        <w:contextualSpacing/>
        <w:jc w:val="both"/>
        <w:rPr>
          <w:rFonts w:ascii="Arial Narrow" w:eastAsia="Times New Roman" w:hAnsi="Arial Narrow" w:cs="Arial"/>
          <w:snapToGrid w:val="0"/>
          <w:sz w:val="18"/>
          <w:szCs w:val="20"/>
        </w:rPr>
      </w:pPr>
      <w:r w:rsidRPr="009672B5">
        <w:rPr>
          <w:rFonts w:ascii="Arial Narrow" w:eastAsia="Times New Roman" w:hAnsi="Arial Narrow" w:cs="Arial"/>
          <w:snapToGrid w:val="0"/>
          <w:sz w:val="18"/>
          <w:szCs w:val="20"/>
          <w:vertAlign w:val="superscript"/>
        </w:rPr>
        <w:t>b</w:t>
      </w:r>
      <w:r w:rsidRPr="009672B5">
        <w:rPr>
          <w:rFonts w:ascii="Arial Narrow" w:eastAsia="Times New Roman" w:hAnsi="Arial Narrow" w:cs="Arial"/>
          <w:snapToGrid w:val="0"/>
          <w:sz w:val="18"/>
          <w:szCs w:val="20"/>
        </w:rPr>
        <w:tab/>
        <w:t>Assuming 9.90, 6.18, 5.80, 5.45, 5.11, 4.80 scripts per year in Years 1-6, respectively as estimated by the submission. These script numbers account for proportion of responders each year and discontinuation from treatment</w:t>
      </w:r>
    </w:p>
    <w:p w:rsidR="00BB68CD" w:rsidRPr="009672B5" w:rsidRDefault="00BB68CD" w:rsidP="00B7462A">
      <w:pPr>
        <w:widowControl w:val="0"/>
        <w:spacing w:before="0" w:after="120"/>
        <w:contextualSpacing/>
        <w:jc w:val="both"/>
        <w:rPr>
          <w:rFonts w:ascii="Arial Narrow" w:eastAsia="Times New Roman" w:hAnsi="Arial Narrow" w:cs="Arial"/>
          <w:snapToGrid w:val="0"/>
          <w:sz w:val="18"/>
          <w:szCs w:val="20"/>
        </w:rPr>
      </w:pPr>
      <w:r w:rsidRPr="009672B5">
        <w:rPr>
          <w:rFonts w:ascii="Arial Narrow" w:eastAsia="Times New Roman" w:hAnsi="Arial Narrow" w:cs="Arial"/>
          <w:snapToGrid w:val="0"/>
          <w:sz w:val="18"/>
          <w:szCs w:val="20"/>
        </w:rPr>
        <w:t>Source: Table 4.2.4 p186; of the submission</w:t>
      </w:r>
    </w:p>
    <w:p w:rsidR="00934FC1" w:rsidRDefault="00934FC1" w:rsidP="00934FC1">
      <w:pPr>
        <w:spacing w:before="0" w:after="0"/>
        <w:ind w:left="578"/>
        <w:jc w:val="both"/>
        <w:rPr>
          <w:rFonts w:ascii="Calibri" w:eastAsia="Calibri" w:hAnsi="Calibri" w:cs="Arial"/>
        </w:rPr>
      </w:pPr>
    </w:p>
    <w:p w:rsidR="00934FC1" w:rsidRDefault="00934FC1" w:rsidP="00934FC1">
      <w:pPr>
        <w:spacing w:before="0" w:after="0"/>
        <w:ind w:left="578"/>
        <w:jc w:val="both"/>
        <w:rPr>
          <w:rFonts w:ascii="Calibri" w:eastAsia="Calibri" w:hAnsi="Calibri" w:cs="Arial"/>
        </w:rPr>
      </w:pPr>
      <w:r w:rsidRPr="00070622">
        <w:rPr>
          <w:color w:val="000000" w:themeColor="text1"/>
        </w:rPr>
        <w:t xml:space="preserve">The redacted table shows that at year 5, the estimated number of patients was less than 10,000 per year and the net </w:t>
      </w:r>
      <w:r w:rsidR="00EC5B28">
        <w:rPr>
          <w:color w:val="000000" w:themeColor="text1"/>
        </w:rPr>
        <w:t>cost</w:t>
      </w:r>
      <w:r w:rsidRPr="00070622">
        <w:rPr>
          <w:color w:val="000000" w:themeColor="text1"/>
        </w:rPr>
        <w:t xml:space="preserve"> to </w:t>
      </w:r>
      <w:r>
        <w:rPr>
          <w:color w:val="000000" w:themeColor="text1"/>
        </w:rPr>
        <w:t>Government</w:t>
      </w:r>
      <w:r w:rsidRPr="00070622">
        <w:rPr>
          <w:color w:val="000000" w:themeColor="text1"/>
        </w:rPr>
        <w:t xml:space="preserve"> would be </w:t>
      </w:r>
      <w:r>
        <w:rPr>
          <w:color w:val="000000" w:themeColor="text1"/>
        </w:rPr>
        <w:t>$60 - $100 million</w:t>
      </w:r>
      <w:r w:rsidRPr="00070622">
        <w:rPr>
          <w:color w:val="000000" w:themeColor="text1"/>
        </w:rPr>
        <w:t xml:space="preserve"> per year.</w:t>
      </w:r>
    </w:p>
    <w:p w:rsidR="00934FC1" w:rsidRDefault="00934FC1" w:rsidP="00934FC1">
      <w:pPr>
        <w:spacing w:before="0" w:after="0"/>
        <w:ind w:left="578"/>
        <w:jc w:val="both"/>
        <w:rPr>
          <w:rFonts w:ascii="Calibri" w:eastAsia="Calibri" w:hAnsi="Calibri" w:cs="Arial"/>
        </w:rPr>
      </w:pPr>
    </w:p>
    <w:p w:rsidR="00BB68CD" w:rsidRPr="009672B5" w:rsidRDefault="00BB68CD" w:rsidP="00BB68CD">
      <w:pPr>
        <w:numPr>
          <w:ilvl w:val="1"/>
          <w:numId w:val="1"/>
        </w:numPr>
        <w:spacing w:before="0" w:after="0"/>
        <w:ind w:left="578" w:hanging="578"/>
        <w:jc w:val="both"/>
        <w:rPr>
          <w:rFonts w:ascii="Calibri" w:eastAsia="Calibri" w:hAnsi="Calibri" w:cs="Arial"/>
        </w:rPr>
      </w:pPr>
      <w:r w:rsidRPr="009672B5">
        <w:rPr>
          <w:rFonts w:ascii="Calibri" w:eastAsia="Calibri" w:hAnsi="Calibri" w:cs="Arial"/>
        </w:rPr>
        <w:t>The</w:t>
      </w:r>
      <w:r w:rsidR="0073388F">
        <w:rPr>
          <w:rFonts w:ascii="Calibri" w:eastAsia="Calibri" w:hAnsi="Calibri" w:cs="Arial"/>
        </w:rPr>
        <w:t xml:space="preserve"> evaluation considered that the</w:t>
      </w:r>
      <w:r w:rsidRPr="009672B5">
        <w:rPr>
          <w:rFonts w:ascii="Calibri" w:eastAsia="Calibri" w:hAnsi="Calibri" w:cs="Arial"/>
        </w:rPr>
        <w:t xml:space="preserve"> accuracy of the estimates </w:t>
      </w:r>
      <w:r w:rsidR="0073388F">
        <w:rPr>
          <w:rFonts w:ascii="Calibri" w:eastAsia="Calibri" w:hAnsi="Calibri" w:cs="Arial"/>
        </w:rPr>
        <w:t>was</w:t>
      </w:r>
      <w:r w:rsidR="0073388F" w:rsidRPr="009672B5">
        <w:rPr>
          <w:rFonts w:ascii="Calibri" w:eastAsia="Calibri" w:hAnsi="Calibri" w:cs="Arial"/>
        </w:rPr>
        <w:t xml:space="preserve"> </w:t>
      </w:r>
      <w:r w:rsidRPr="009672B5">
        <w:rPr>
          <w:rFonts w:ascii="Calibri" w:eastAsia="Calibri" w:hAnsi="Calibri" w:cs="Arial"/>
        </w:rPr>
        <w:t>unclear due to:</w:t>
      </w:r>
    </w:p>
    <w:p w:rsidR="00BB68CD" w:rsidRPr="009672B5" w:rsidRDefault="00BB68CD" w:rsidP="008C7FD4">
      <w:pPr>
        <w:numPr>
          <w:ilvl w:val="0"/>
          <w:numId w:val="10"/>
        </w:numPr>
        <w:spacing w:before="0" w:after="0"/>
        <w:ind w:left="851" w:hanging="284"/>
        <w:jc w:val="both"/>
        <w:rPr>
          <w:rFonts w:ascii="Calibri" w:eastAsia="Calibri" w:hAnsi="Calibri" w:cs="Arial"/>
        </w:rPr>
      </w:pPr>
      <w:r w:rsidRPr="009672B5">
        <w:rPr>
          <w:rFonts w:ascii="Calibri" w:eastAsia="Calibri" w:hAnsi="Calibri" w:cs="Arial"/>
        </w:rPr>
        <w:t xml:space="preserve">only 18-44 year olds </w:t>
      </w:r>
      <w:r w:rsidR="00701DC7">
        <w:rPr>
          <w:rFonts w:ascii="Calibri" w:eastAsia="Calibri" w:hAnsi="Calibri" w:cs="Arial"/>
        </w:rPr>
        <w:t xml:space="preserve">were </w:t>
      </w:r>
      <w:r w:rsidRPr="009672B5">
        <w:rPr>
          <w:rFonts w:ascii="Calibri" w:eastAsia="Calibri" w:hAnsi="Calibri" w:cs="Arial"/>
        </w:rPr>
        <w:t xml:space="preserve">considered; with no consideration of use in patients 45 years </w:t>
      </w:r>
      <w:r w:rsidR="00155552">
        <w:rPr>
          <w:rFonts w:ascii="Calibri" w:eastAsia="Calibri" w:hAnsi="Calibri" w:cs="Arial"/>
        </w:rPr>
        <w:t>or</w:t>
      </w:r>
      <w:r w:rsidR="00155552" w:rsidRPr="009672B5">
        <w:rPr>
          <w:rFonts w:ascii="Calibri" w:eastAsia="Calibri" w:hAnsi="Calibri" w:cs="Arial"/>
        </w:rPr>
        <w:t xml:space="preserve"> </w:t>
      </w:r>
      <w:r w:rsidRPr="009672B5">
        <w:rPr>
          <w:rFonts w:ascii="Calibri" w:eastAsia="Calibri" w:hAnsi="Calibri" w:cs="Arial"/>
        </w:rPr>
        <w:t>older who may have been diagnosed aged &lt;45 years (under-estimate)</w:t>
      </w:r>
      <w:r w:rsidR="00BF49AA">
        <w:rPr>
          <w:rFonts w:ascii="Calibri" w:eastAsia="Calibri" w:hAnsi="Calibri" w:cs="Arial"/>
        </w:rPr>
        <w:t xml:space="preserve">. </w:t>
      </w:r>
      <w:r w:rsidR="00BF49AA" w:rsidRPr="00BF49AA">
        <w:rPr>
          <w:rFonts w:ascii="Calibri" w:eastAsia="Calibri" w:hAnsi="Calibri" w:cs="Arial"/>
        </w:rPr>
        <w:t xml:space="preserve">DUSC </w:t>
      </w:r>
      <w:r w:rsidR="00247038" w:rsidRPr="00247038">
        <w:rPr>
          <w:rFonts w:ascii="Calibri" w:eastAsia="Calibri" w:hAnsi="Calibri" w:cs="Arial"/>
        </w:rPr>
        <w:t xml:space="preserve">agreed with the </w:t>
      </w:r>
      <w:r w:rsidR="00247038">
        <w:rPr>
          <w:rFonts w:ascii="Calibri" w:eastAsia="Calibri" w:hAnsi="Calibri" w:cs="Arial"/>
        </w:rPr>
        <w:t>evaluation</w:t>
      </w:r>
      <w:r w:rsidR="00247038" w:rsidRPr="00247038">
        <w:rPr>
          <w:rFonts w:ascii="Calibri" w:eastAsia="Calibri" w:hAnsi="Calibri" w:cs="Arial"/>
        </w:rPr>
        <w:t xml:space="preserve"> </w:t>
      </w:r>
      <w:r w:rsidR="00247038">
        <w:rPr>
          <w:rFonts w:ascii="Calibri" w:eastAsia="Calibri" w:hAnsi="Calibri" w:cs="Arial"/>
        </w:rPr>
        <w:t xml:space="preserve">and </w:t>
      </w:r>
      <w:r w:rsidR="00BF49AA">
        <w:rPr>
          <w:rFonts w:ascii="Calibri" w:eastAsia="Calibri" w:hAnsi="Calibri" w:cs="Arial"/>
        </w:rPr>
        <w:t>considered</w:t>
      </w:r>
      <w:r w:rsidR="00BF49AA" w:rsidRPr="00BF49AA">
        <w:rPr>
          <w:rFonts w:ascii="Calibri" w:eastAsia="Calibri" w:hAnsi="Calibri" w:cs="Arial"/>
        </w:rPr>
        <w:t xml:space="preserve"> that patients 45 years or older who were diagnosed before the age of 45 should be included in the estimated patient numbers.</w:t>
      </w:r>
      <w:r w:rsidR="00BF49AA">
        <w:rPr>
          <w:rFonts w:ascii="Calibri" w:eastAsia="Calibri" w:hAnsi="Calibri" w:cs="Arial"/>
        </w:rPr>
        <w:t xml:space="preserve"> DUSC considered that the magnitude of this was unclear but likely sizeable</w:t>
      </w:r>
      <w:r w:rsidRPr="009672B5">
        <w:rPr>
          <w:rFonts w:ascii="Calibri" w:eastAsia="Calibri" w:hAnsi="Calibri" w:cs="Arial"/>
        </w:rPr>
        <w:t>;</w:t>
      </w:r>
    </w:p>
    <w:p w:rsidR="00BB68CD" w:rsidRPr="009672B5" w:rsidRDefault="00701DC7" w:rsidP="00BB68CD">
      <w:pPr>
        <w:numPr>
          <w:ilvl w:val="0"/>
          <w:numId w:val="10"/>
        </w:numPr>
        <w:spacing w:before="0" w:after="0"/>
        <w:ind w:left="851" w:hanging="284"/>
        <w:jc w:val="both"/>
        <w:rPr>
          <w:rFonts w:ascii="Calibri" w:eastAsia="Calibri" w:hAnsi="Calibri" w:cs="Arial"/>
        </w:rPr>
      </w:pPr>
      <w:r>
        <w:rPr>
          <w:rFonts w:ascii="Calibri" w:eastAsia="Calibri" w:hAnsi="Calibri" w:cs="Arial"/>
        </w:rPr>
        <w:t xml:space="preserve">many of the assumptions (the </w:t>
      </w:r>
      <w:r w:rsidR="00BB68CD" w:rsidRPr="009672B5">
        <w:rPr>
          <w:rFonts w:ascii="Calibri" w:eastAsia="Calibri" w:hAnsi="Calibri" w:cs="Arial"/>
        </w:rPr>
        <w:t xml:space="preserve">prevalence of axSpA (0.70%), axSpA cases diagnosed (76%), prevalence of nr-axSpA (50%), prevalence nr-axSpA cases diagnosed with </w:t>
      </w:r>
      <w:r w:rsidR="00BB68CD" w:rsidRPr="009672B5">
        <w:rPr>
          <w:rFonts w:ascii="Calibri" w:eastAsia="Calibri" w:hAnsi="Calibri" w:cs="Arial"/>
        </w:rPr>
        <w:lastRenderedPageBreak/>
        <w:t>complete radiographic data (88.6%)</w:t>
      </w:r>
      <w:r>
        <w:rPr>
          <w:rFonts w:ascii="Calibri" w:eastAsia="Calibri" w:hAnsi="Calibri" w:cs="Arial"/>
        </w:rPr>
        <w:t>)</w:t>
      </w:r>
      <w:r w:rsidR="00BB68CD" w:rsidRPr="009672B5">
        <w:rPr>
          <w:rFonts w:ascii="Calibri" w:eastAsia="Calibri" w:hAnsi="Calibri" w:cs="Arial"/>
        </w:rPr>
        <w:t xml:space="preserve"> </w:t>
      </w:r>
      <w:r>
        <w:rPr>
          <w:rFonts w:ascii="Calibri" w:eastAsia="Calibri" w:hAnsi="Calibri" w:cs="Arial"/>
        </w:rPr>
        <w:t xml:space="preserve">were </w:t>
      </w:r>
      <w:r w:rsidR="00BB68CD" w:rsidRPr="009672B5">
        <w:rPr>
          <w:rFonts w:ascii="Calibri" w:eastAsia="Calibri" w:hAnsi="Calibri" w:cs="Arial"/>
        </w:rPr>
        <w:t xml:space="preserve">derived from </w:t>
      </w:r>
      <w:r>
        <w:rPr>
          <w:rFonts w:ascii="Calibri" w:eastAsia="Calibri" w:hAnsi="Calibri" w:cs="Arial"/>
        </w:rPr>
        <w:t xml:space="preserve">a </w:t>
      </w:r>
      <w:r w:rsidR="00BB68CD" w:rsidRPr="009672B5">
        <w:rPr>
          <w:rFonts w:ascii="Calibri" w:eastAsia="Calibri" w:hAnsi="Calibri" w:cs="Arial"/>
        </w:rPr>
        <w:t xml:space="preserve">US study, </w:t>
      </w:r>
      <w:r>
        <w:rPr>
          <w:rFonts w:ascii="Calibri" w:eastAsia="Calibri" w:hAnsi="Calibri" w:cs="Arial"/>
        </w:rPr>
        <w:t xml:space="preserve">and it was </w:t>
      </w:r>
      <w:r w:rsidR="00BB68CD" w:rsidRPr="009672B5">
        <w:rPr>
          <w:rFonts w:ascii="Calibri" w:eastAsia="Calibri" w:hAnsi="Calibri" w:cs="Arial"/>
        </w:rPr>
        <w:t xml:space="preserve">unclear whether these estimates </w:t>
      </w:r>
      <w:r>
        <w:rPr>
          <w:rFonts w:ascii="Calibri" w:eastAsia="Calibri" w:hAnsi="Calibri" w:cs="Arial"/>
        </w:rPr>
        <w:t>we</w:t>
      </w:r>
      <w:r w:rsidR="00BB68CD" w:rsidRPr="009672B5">
        <w:rPr>
          <w:rFonts w:ascii="Calibri" w:eastAsia="Calibri" w:hAnsi="Calibri" w:cs="Arial"/>
        </w:rPr>
        <w:t xml:space="preserve">re relevant to </w:t>
      </w:r>
      <w:r>
        <w:rPr>
          <w:rFonts w:ascii="Calibri" w:eastAsia="Calibri" w:hAnsi="Calibri" w:cs="Arial"/>
        </w:rPr>
        <w:t xml:space="preserve">the </w:t>
      </w:r>
      <w:r w:rsidR="00BB68CD" w:rsidRPr="009672B5">
        <w:rPr>
          <w:rFonts w:ascii="Calibri" w:eastAsia="Calibri" w:hAnsi="Calibri" w:cs="Arial"/>
        </w:rPr>
        <w:t>Australian population;</w:t>
      </w:r>
    </w:p>
    <w:p w:rsidR="00BB68CD" w:rsidRPr="009672B5" w:rsidRDefault="00701DC7" w:rsidP="009A036F">
      <w:pPr>
        <w:numPr>
          <w:ilvl w:val="0"/>
          <w:numId w:val="10"/>
        </w:numPr>
        <w:spacing w:before="0" w:after="0"/>
        <w:ind w:left="851" w:hanging="284"/>
        <w:jc w:val="both"/>
        <w:rPr>
          <w:rFonts w:ascii="Calibri" w:eastAsia="Calibri" w:hAnsi="Calibri" w:cs="Arial"/>
        </w:rPr>
      </w:pPr>
      <w:r>
        <w:rPr>
          <w:rFonts w:ascii="Calibri" w:eastAsia="Calibri" w:hAnsi="Calibri" w:cs="Arial"/>
        </w:rPr>
        <w:t xml:space="preserve">the </w:t>
      </w:r>
      <w:r w:rsidR="00BB68CD" w:rsidRPr="009672B5">
        <w:rPr>
          <w:rFonts w:ascii="Calibri" w:eastAsia="Calibri" w:hAnsi="Calibri" w:cs="Arial"/>
        </w:rPr>
        <w:t>assum</w:t>
      </w:r>
      <w:r>
        <w:rPr>
          <w:rFonts w:ascii="Calibri" w:eastAsia="Calibri" w:hAnsi="Calibri" w:cs="Arial"/>
        </w:rPr>
        <w:t>ption that</w:t>
      </w:r>
      <w:r w:rsidR="00BB68CD" w:rsidRPr="009672B5">
        <w:rPr>
          <w:rFonts w:ascii="Calibri" w:eastAsia="Calibri" w:hAnsi="Calibri" w:cs="Arial"/>
        </w:rPr>
        <w:t xml:space="preserve"> </w:t>
      </w:r>
      <w:r w:rsidR="0092728B">
        <w:rPr>
          <w:rFonts w:ascii="Calibri" w:eastAsia="Calibri" w:hAnsi="Calibri" w:cs="Arial"/>
          <w:noProof/>
          <w:color w:val="000000"/>
          <w:highlight w:val="black"/>
        </w:rPr>
        <w:t>''''''''</w:t>
      </w:r>
      <w:r w:rsidR="00BB68CD" w:rsidRPr="009672B5">
        <w:rPr>
          <w:rFonts w:ascii="Calibri" w:eastAsia="Calibri" w:hAnsi="Calibri" w:cs="Arial"/>
        </w:rPr>
        <w:t xml:space="preserve">% of nr-axSpA patients would be eligible for treatment </w:t>
      </w:r>
      <w:r>
        <w:rPr>
          <w:rFonts w:ascii="Calibri" w:eastAsia="Calibri" w:hAnsi="Calibri" w:cs="Arial"/>
        </w:rPr>
        <w:t xml:space="preserve">may not have been accurate </w:t>
      </w:r>
      <w:r w:rsidR="00BB68CD" w:rsidRPr="009672B5">
        <w:rPr>
          <w:rFonts w:ascii="Calibri" w:eastAsia="Calibri" w:hAnsi="Calibri" w:cs="Arial"/>
        </w:rPr>
        <w:t xml:space="preserve">as the value </w:t>
      </w:r>
      <w:r>
        <w:rPr>
          <w:rFonts w:ascii="Calibri" w:eastAsia="Calibri" w:hAnsi="Calibri" w:cs="Arial"/>
        </w:rPr>
        <w:t>wa</w:t>
      </w:r>
      <w:r w:rsidR="00BB68CD" w:rsidRPr="009672B5">
        <w:rPr>
          <w:rFonts w:ascii="Calibri" w:eastAsia="Calibri" w:hAnsi="Calibri" w:cs="Arial"/>
        </w:rPr>
        <w:t xml:space="preserve">s derived from countries where </w:t>
      </w:r>
      <w:r w:rsidR="00BF49AA" w:rsidRPr="009672B5">
        <w:rPr>
          <w:rFonts w:ascii="Calibri" w:eastAsia="Calibri" w:hAnsi="Calibri" w:cs="Arial"/>
        </w:rPr>
        <w:t>nr-axSpA</w:t>
      </w:r>
      <w:r w:rsidR="00BB68CD" w:rsidRPr="009672B5">
        <w:rPr>
          <w:rFonts w:ascii="Calibri" w:eastAsia="Calibri" w:hAnsi="Calibri" w:cs="Arial"/>
        </w:rPr>
        <w:t xml:space="preserve"> is classified without formal criteria</w:t>
      </w:r>
      <w:r w:rsidR="00247038">
        <w:rPr>
          <w:rFonts w:ascii="Calibri" w:eastAsia="Calibri" w:hAnsi="Calibri" w:cs="Arial"/>
        </w:rPr>
        <w:t xml:space="preserve">. </w:t>
      </w:r>
      <w:r w:rsidR="00247038" w:rsidRPr="00247038">
        <w:rPr>
          <w:rFonts w:ascii="Calibri" w:eastAsia="Calibri" w:hAnsi="Calibri" w:cs="Arial"/>
        </w:rPr>
        <w:t xml:space="preserve">DUSC agreed with the </w:t>
      </w:r>
      <w:r w:rsidR="00247038">
        <w:rPr>
          <w:rFonts w:ascii="Calibri" w:eastAsia="Calibri" w:hAnsi="Calibri" w:cs="Arial"/>
        </w:rPr>
        <w:t>evaluation</w:t>
      </w:r>
      <w:r w:rsidR="00247038" w:rsidRPr="00247038">
        <w:rPr>
          <w:rFonts w:ascii="Calibri" w:eastAsia="Calibri" w:hAnsi="Calibri" w:cs="Arial"/>
        </w:rPr>
        <w:t xml:space="preserve"> that the applicability of this rate to the likely Australian population was unclear</w:t>
      </w:r>
      <w:r w:rsidR="00BB68CD" w:rsidRPr="009672B5">
        <w:rPr>
          <w:rFonts w:ascii="Calibri" w:eastAsia="Calibri" w:hAnsi="Calibri" w:cs="Arial"/>
        </w:rPr>
        <w:t>;</w:t>
      </w:r>
    </w:p>
    <w:p w:rsidR="00BB68CD" w:rsidRPr="009672B5" w:rsidRDefault="00D30A88" w:rsidP="00BB68CD">
      <w:pPr>
        <w:numPr>
          <w:ilvl w:val="0"/>
          <w:numId w:val="10"/>
        </w:numPr>
        <w:spacing w:before="0" w:after="0"/>
        <w:ind w:left="851" w:hanging="284"/>
        <w:jc w:val="both"/>
        <w:rPr>
          <w:rFonts w:ascii="Calibri" w:eastAsia="Calibri" w:hAnsi="Calibri" w:cs="Arial"/>
        </w:rPr>
      </w:pPr>
      <w:r>
        <w:rPr>
          <w:rFonts w:ascii="Calibri" w:eastAsia="Calibri" w:hAnsi="Calibri" w:cs="Arial"/>
        </w:rPr>
        <w:t xml:space="preserve">the submission provided no details as to how the </w:t>
      </w:r>
      <w:r w:rsidR="00BB68CD" w:rsidRPr="009672B5">
        <w:rPr>
          <w:rFonts w:ascii="Calibri" w:eastAsia="Calibri" w:hAnsi="Calibri" w:cs="Arial"/>
        </w:rPr>
        <w:t xml:space="preserve">uptake rates </w:t>
      </w:r>
      <w:r>
        <w:rPr>
          <w:rFonts w:ascii="Calibri" w:eastAsia="Calibri" w:hAnsi="Calibri" w:cs="Arial"/>
        </w:rPr>
        <w:t>(</w:t>
      </w:r>
      <w:r w:rsidR="00BB68CD" w:rsidRPr="009672B5">
        <w:rPr>
          <w:rFonts w:ascii="Calibri" w:eastAsia="Calibri" w:hAnsi="Calibri" w:cs="Arial"/>
        </w:rPr>
        <w:t xml:space="preserve">of </w:t>
      </w:r>
      <w:r w:rsidR="0092728B">
        <w:rPr>
          <w:rFonts w:ascii="Calibri" w:eastAsia="Calibri" w:hAnsi="Calibri" w:cs="Arial"/>
          <w:noProof/>
          <w:color w:val="000000"/>
          <w:highlight w:val="black"/>
        </w:rPr>
        <w:t>'''''</w:t>
      </w:r>
      <w:r w:rsidR="00BB68CD" w:rsidRPr="009672B5">
        <w:rPr>
          <w:rFonts w:ascii="Calibri" w:eastAsia="Calibri" w:hAnsi="Calibri" w:cs="Arial"/>
        </w:rPr>
        <w:t xml:space="preserve">%, </w:t>
      </w:r>
      <w:r w:rsidR="0092728B">
        <w:rPr>
          <w:rFonts w:ascii="Calibri" w:eastAsia="Calibri" w:hAnsi="Calibri" w:cs="Arial"/>
          <w:noProof/>
          <w:color w:val="000000"/>
          <w:highlight w:val="black"/>
        </w:rPr>
        <w:t>'''''</w:t>
      </w:r>
      <w:r w:rsidR="00BB68CD" w:rsidRPr="009672B5">
        <w:rPr>
          <w:rFonts w:ascii="Calibri" w:eastAsia="Calibri" w:hAnsi="Calibri" w:cs="Arial"/>
        </w:rPr>
        <w:t xml:space="preserve">%, </w:t>
      </w:r>
      <w:r w:rsidR="0092728B">
        <w:rPr>
          <w:rFonts w:ascii="Calibri" w:eastAsia="Calibri" w:hAnsi="Calibri" w:cs="Arial"/>
          <w:noProof/>
          <w:color w:val="000000"/>
          <w:highlight w:val="black"/>
        </w:rPr>
        <w:t>''''''</w:t>
      </w:r>
      <w:r w:rsidR="00BB68CD" w:rsidRPr="009672B5">
        <w:rPr>
          <w:rFonts w:ascii="Calibri" w:eastAsia="Calibri" w:hAnsi="Calibri" w:cs="Arial"/>
        </w:rPr>
        <w:t xml:space="preserve">%, </w:t>
      </w:r>
      <w:r w:rsidR="0092728B">
        <w:rPr>
          <w:rFonts w:ascii="Calibri" w:eastAsia="Calibri" w:hAnsi="Calibri" w:cs="Arial"/>
          <w:noProof/>
          <w:color w:val="000000"/>
          <w:highlight w:val="black"/>
        </w:rPr>
        <w:t>'''''</w:t>
      </w:r>
      <w:r w:rsidR="00BB68CD" w:rsidRPr="009672B5">
        <w:rPr>
          <w:rFonts w:ascii="Calibri" w:eastAsia="Calibri" w:hAnsi="Calibri" w:cs="Arial"/>
        </w:rPr>
        <w:t xml:space="preserve">%, </w:t>
      </w:r>
      <w:r w:rsidR="0092728B">
        <w:rPr>
          <w:rFonts w:ascii="Calibri" w:eastAsia="Calibri" w:hAnsi="Calibri" w:cs="Arial"/>
          <w:noProof/>
          <w:color w:val="000000"/>
          <w:highlight w:val="black"/>
        </w:rPr>
        <w:t>'''''</w:t>
      </w:r>
      <w:r w:rsidR="00BB68CD" w:rsidRPr="009672B5">
        <w:rPr>
          <w:rFonts w:ascii="Calibri" w:eastAsia="Calibri" w:hAnsi="Calibri" w:cs="Arial"/>
        </w:rPr>
        <w:t xml:space="preserve">% and </w:t>
      </w:r>
      <w:r w:rsidR="0092728B">
        <w:rPr>
          <w:rFonts w:ascii="Calibri" w:eastAsia="Calibri" w:hAnsi="Calibri" w:cs="Arial"/>
          <w:noProof/>
          <w:color w:val="000000"/>
          <w:highlight w:val="black"/>
        </w:rPr>
        <w:t>'''''</w:t>
      </w:r>
      <w:r w:rsidR="00BB68CD" w:rsidRPr="009672B5">
        <w:rPr>
          <w:rFonts w:ascii="Calibri" w:eastAsia="Calibri" w:hAnsi="Calibri" w:cs="Arial"/>
        </w:rPr>
        <w:t>% in Years 1-6</w:t>
      </w:r>
      <w:r>
        <w:rPr>
          <w:rFonts w:ascii="Calibri" w:eastAsia="Calibri" w:hAnsi="Calibri" w:cs="Arial"/>
        </w:rPr>
        <w:t xml:space="preserve">) were derived. </w:t>
      </w:r>
      <w:r w:rsidR="009A036F">
        <w:rPr>
          <w:rFonts w:ascii="Calibri" w:eastAsia="Calibri" w:hAnsi="Calibri" w:cs="Arial"/>
        </w:rPr>
        <w:t>Further, t</w:t>
      </w:r>
      <w:r>
        <w:rPr>
          <w:rFonts w:ascii="Calibri" w:eastAsia="Calibri" w:hAnsi="Calibri" w:cs="Arial"/>
        </w:rPr>
        <w:t xml:space="preserve">he DUSC </w:t>
      </w:r>
      <w:r w:rsidR="009A036F">
        <w:rPr>
          <w:rFonts w:ascii="Calibri" w:eastAsia="Calibri" w:hAnsi="Calibri" w:cs="Arial"/>
        </w:rPr>
        <w:t xml:space="preserve">noted that </w:t>
      </w:r>
      <w:r>
        <w:rPr>
          <w:rFonts w:ascii="Calibri" w:eastAsia="Calibri" w:hAnsi="Calibri" w:cs="Arial"/>
        </w:rPr>
        <w:t xml:space="preserve">two separate uptake rates </w:t>
      </w:r>
      <w:r w:rsidR="009A036F">
        <w:rPr>
          <w:rFonts w:ascii="Calibri" w:eastAsia="Calibri" w:hAnsi="Calibri" w:cs="Arial"/>
        </w:rPr>
        <w:t xml:space="preserve">were included and considered that this </w:t>
      </w:r>
      <w:r>
        <w:rPr>
          <w:rFonts w:ascii="Calibri" w:eastAsia="Calibri" w:hAnsi="Calibri" w:cs="Arial"/>
        </w:rPr>
        <w:t>likely underestimated the number of treated patients</w:t>
      </w:r>
      <w:r w:rsidR="00BB68CD" w:rsidRPr="009672B5">
        <w:rPr>
          <w:rFonts w:ascii="Calibri" w:eastAsia="Calibri" w:hAnsi="Calibri" w:cs="Arial"/>
        </w:rPr>
        <w:t>;</w:t>
      </w:r>
    </w:p>
    <w:p w:rsidR="00BB68CD" w:rsidRPr="009672B5" w:rsidRDefault="00BB68CD" w:rsidP="00BB68CD">
      <w:pPr>
        <w:numPr>
          <w:ilvl w:val="0"/>
          <w:numId w:val="10"/>
        </w:numPr>
        <w:spacing w:before="0" w:after="0"/>
        <w:ind w:left="851" w:hanging="284"/>
        <w:jc w:val="both"/>
        <w:rPr>
          <w:rFonts w:ascii="Calibri" w:eastAsia="Calibri" w:hAnsi="Calibri" w:cs="Arial"/>
        </w:rPr>
      </w:pPr>
      <w:r w:rsidRPr="009672B5">
        <w:rPr>
          <w:rFonts w:ascii="Calibri" w:eastAsia="Calibri" w:hAnsi="Calibri" w:cs="Arial"/>
        </w:rPr>
        <w:t xml:space="preserve">the estimates only account for 16 weeks of initial treatment which </w:t>
      </w:r>
      <w:r w:rsidR="009A036F">
        <w:rPr>
          <w:rFonts w:ascii="Calibri" w:eastAsia="Calibri" w:hAnsi="Calibri" w:cs="Arial"/>
        </w:rPr>
        <w:t>wa</w:t>
      </w:r>
      <w:r w:rsidRPr="009672B5">
        <w:rPr>
          <w:rFonts w:ascii="Calibri" w:eastAsia="Calibri" w:hAnsi="Calibri" w:cs="Arial"/>
        </w:rPr>
        <w:t xml:space="preserve">s inconsistent with the requested listing of 20 weeks (under-estimate); </w:t>
      </w:r>
    </w:p>
    <w:p w:rsidR="00BB68CD" w:rsidRPr="009672B5" w:rsidRDefault="00BB68CD" w:rsidP="00BB68CD">
      <w:pPr>
        <w:numPr>
          <w:ilvl w:val="0"/>
          <w:numId w:val="10"/>
        </w:numPr>
        <w:spacing w:before="0" w:after="0"/>
        <w:ind w:left="851" w:hanging="284"/>
        <w:jc w:val="both"/>
        <w:rPr>
          <w:rFonts w:ascii="Calibri" w:eastAsia="Calibri" w:hAnsi="Calibri" w:cs="Arial"/>
        </w:rPr>
      </w:pPr>
      <w:r w:rsidRPr="009672B5">
        <w:rPr>
          <w:rFonts w:ascii="Calibri" w:eastAsia="Calibri" w:hAnsi="Calibri" w:cs="Arial"/>
        </w:rPr>
        <w:t>the estimated cost-offsets to the PBS in terms of nr-axSpA treatment medications are derived from an Australian cost of illness study (Tilden 2004) for AS. The publication provides no detailed information on the methodology of the study (for example, the healthcare resource-use questions included in the survey, the characteristics of the sample population and whether any eligibility criteria were applied) nor details of the specific costs included. The costs are applied based on BASFI scores and its associated regression equation within the ‘responder’ and ‘non-responder’ health states of the modelled economic evaluation to estimate costs;</w:t>
      </w:r>
    </w:p>
    <w:p w:rsidR="00BB68CD" w:rsidRPr="009672B5" w:rsidRDefault="00BB68CD" w:rsidP="00BB68CD">
      <w:pPr>
        <w:numPr>
          <w:ilvl w:val="0"/>
          <w:numId w:val="10"/>
        </w:numPr>
        <w:spacing w:before="0" w:after="0"/>
        <w:ind w:left="851" w:hanging="284"/>
        <w:jc w:val="both"/>
        <w:rPr>
          <w:rFonts w:ascii="Calibri" w:eastAsia="Calibri" w:hAnsi="Calibri" w:cs="Arial"/>
        </w:rPr>
      </w:pPr>
      <w:r w:rsidRPr="009672B5">
        <w:rPr>
          <w:rFonts w:ascii="Calibri" w:eastAsia="Calibri" w:hAnsi="Calibri" w:cs="Arial"/>
        </w:rPr>
        <w:t>whether any costs applicable to hospitals represent a real cost-offset (may lead to under-estimate of net cost to Government); and</w:t>
      </w:r>
    </w:p>
    <w:p w:rsidR="008C7FD4" w:rsidRPr="008C7FD4" w:rsidRDefault="008C7FD4" w:rsidP="009A036F">
      <w:pPr>
        <w:numPr>
          <w:ilvl w:val="0"/>
          <w:numId w:val="10"/>
        </w:numPr>
        <w:spacing w:before="0" w:after="120"/>
        <w:ind w:left="851" w:hanging="284"/>
        <w:jc w:val="both"/>
        <w:rPr>
          <w:rFonts w:ascii="Calibri" w:eastAsia="Calibri" w:hAnsi="Calibri" w:cs="Arial"/>
        </w:rPr>
      </w:pPr>
      <w:r w:rsidRPr="008C7FD4">
        <w:rPr>
          <w:rFonts w:ascii="Calibri" w:eastAsia="Calibri" w:hAnsi="Calibri" w:cs="Arial"/>
        </w:rPr>
        <w:t>there was potential for considerable use outside of the proposed PBS indication, in particular in patients with non-specific back pain without OSI.</w:t>
      </w:r>
    </w:p>
    <w:p w:rsidR="00BB68CD" w:rsidRPr="009672B5" w:rsidRDefault="00BB68CD" w:rsidP="009A036F">
      <w:pPr>
        <w:numPr>
          <w:ilvl w:val="1"/>
          <w:numId w:val="1"/>
        </w:numPr>
        <w:spacing w:before="0" w:after="0"/>
        <w:ind w:left="578" w:hanging="578"/>
        <w:jc w:val="both"/>
        <w:rPr>
          <w:szCs w:val="24"/>
        </w:rPr>
      </w:pPr>
      <w:r w:rsidRPr="009672B5">
        <w:rPr>
          <w:szCs w:val="24"/>
        </w:rPr>
        <w:t>DUSC considered the estimates presented in the submission to be underestimated. The main issues were:</w:t>
      </w:r>
    </w:p>
    <w:p w:rsidR="00BB68CD" w:rsidRPr="009672B5" w:rsidRDefault="00BB68CD" w:rsidP="008C7FD4">
      <w:pPr>
        <w:numPr>
          <w:ilvl w:val="0"/>
          <w:numId w:val="10"/>
        </w:numPr>
        <w:spacing w:before="0" w:after="0"/>
        <w:ind w:left="851" w:hanging="284"/>
        <w:jc w:val="both"/>
        <w:rPr>
          <w:rFonts w:cs="Arial"/>
          <w:szCs w:val="24"/>
        </w:rPr>
      </w:pPr>
      <w:r w:rsidRPr="009672B5">
        <w:rPr>
          <w:rFonts w:cs="Arial"/>
          <w:szCs w:val="24"/>
        </w:rPr>
        <w:t>The prevalence of nr-axSpA in Australia is unknown and the use of US prevalence data introduces uncertainty to the estimates.</w:t>
      </w:r>
    </w:p>
    <w:p w:rsidR="00BB68CD" w:rsidRPr="009672B5" w:rsidRDefault="00BB68CD" w:rsidP="008C7FD4">
      <w:pPr>
        <w:numPr>
          <w:ilvl w:val="0"/>
          <w:numId w:val="10"/>
        </w:numPr>
        <w:spacing w:before="0" w:after="0"/>
        <w:ind w:left="851" w:hanging="284"/>
        <w:jc w:val="both"/>
        <w:rPr>
          <w:rFonts w:cs="Arial"/>
          <w:szCs w:val="24"/>
        </w:rPr>
      </w:pPr>
      <w:r w:rsidRPr="009672B5">
        <w:rPr>
          <w:rFonts w:cs="Arial"/>
          <w:szCs w:val="24"/>
        </w:rPr>
        <w:t>The submission estimates were unnecessarily complicated, mainly due to the linkage to and from the economic evaluation provided in the submission.</w:t>
      </w:r>
    </w:p>
    <w:p w:rsidR="00BB68CD" w:rsidRDefault="00BB68CD" w:rsidP="009A036F">
      <w:pPr>
        <w:numPr>
          <w:ilvl w:val="0"/>
          <w:numId w:val="10"/>
        </w:numPr>
        <w:spacing w:before="0" w:after="120"/>
        <w:ind w:left="851" w:hanging="284"/>
        <w:jc w:val="both"/>
        <w:rPr>
          <w:rFonts w:cs="Arial"/>
          <w:szCs w:val="24"/>
        </w:rPr>
      </w:pPr>
      <w:r w:rsidRPr="009672B5">
        <w:rPr>
          <w:rFonts w:cs="Arial"/>
          <w:szCs w:val="24"/>
        </w:rPr>
        <w:t xml:space="preserve">The estimates have been artificially reduced through the inclusion of several unnecessary modelling steps, including applying diagnosis rates and separate prevalence rates for axSpA and nr-axSpA. </w:t>
      </w:r>
    </w:p>
    <w:p w:rsidR="00BB68CD" w:rsidRPr="008C7FD4" w:rsidRDefault="00BB68CD" w:rsidP="00BB68CD">
      <w:pPr>
        <w:keepNext/>
        <w:keepLines/>
        <w:spacing w:before="240" w:after="120"/>
        <w:outlineLvl w:val="1"/>
        <w:rPr>
          <w:rFonts w:ascii="Calibri" w:eastAsia="Times New Roman" w:hAnsi="Calibri" w:cs="Times New Roman"/>
          <w:b/>
          <w:sz w:val="28"/>
          <w:szCs w:val="28"/>
        </w:rPr>
      </w:pPr>
      <w:bookmarkStart w:id="21" w:name="_Toc413139285"/>
      <w:bookmarkStart w:id="22" w:name="_Toc492522251"/>
      <w:r w:rsidRPr="008C7FD4">
        <w:rPr>
          <w:rFonts w:ascii="Calibri" w:eastAsia="Times New Roman" w:hAnsi="Calibri" w:cs="Times New Roman"/>
          <w:b/>
          <w:sz w:val="28"/>
          <w:szCs w:val="28"/>
        </w:rPr>
        <w:t>Quality use of medicines</w:t>
      </w:r>
      <w:bookmarkEnd w:id="21"/>
      <w:bookmarkEnd w:id="22"/>
    </w:p>
    <w:p w:rsidR="00BB68CD" w:rsidRPr="00A14787" w:rsidRDefault="00BB68CD" w:rsidP="00BB68CD">
      <w:pPr>
        <w:numPr>
          <w:ilvl w:val="1"/>
          <w:numId w:val="1"/>
        </w:numPr>
        <w:spacing w:before="0" w:after="120"/>
        <w:jc w:val="both"/>
        <w:rPr>
          <w:rFonts w:ascii="Calibri" w:eastAsia="Calibri" w:hAnsi="Calibri" w:cs="Arial"/>
        </w:rPr>
      </w:pPr>
      <w:r w:rsidRPr="00A14787">
        <w:rPr>
          <w:rFonts w:ascii="Calibri" w:eastAsia="Calibri" w:hAnsi="Calibri" w:cs="Arial"/>
        </w:rPr>
        <w:t>None addressed.</w:t>
      </w:r>
    </w:p>
    <w:p w:rsidR="00BB68CD" w:rsidRPr="008C7FD4" w:rsidRDefault="00BB68CD" w:rsidP="00BB68CD">
      <w:pPr>
        <w:keepNext/>
        <w:keepLines/>
        <w:spacing w:before="240" w:after="120"/>
        <w:outlineLvl w:val="1"/>
        <w:rPr>
          <w:rFonts w:ascii="Calibri" w:eastAsia="Times New Roman" w:hAnsi="Calibri" w:cs="Times New Roman"/>
          <w:b/>
          <w:sz w:val="28"/>
          <w:szCs w:val="28"/>
        </w:rPr>
      </w:pPr>
      <w:bookmarkStart w:id="23" w:name="_Toc413139286"/>
      <w:bookmarkStart w:id="24" w:name="_Toc492522252"/>
      <w:r w:rsidRPr="008C7FD4">
        <w:rPr>
          <w:rFonts w:ascii="Calibri" w:eastAsia="Times New Roman" w:hAnsi="Calibri" w:cs="Times New Roman"/>
          <w:b/>
          <w:sz w:val="28"/>
          <w:szCs w:val="28"/>
        </w:rPr>
        <w:t>Financial management – risk sharing arrangements</w:t>
      </w:r>
      <w:bookmarkEnd w:id="23"/>
      <w:bookmarkEnd w:id="24"/>
    </w:p>
    <w:p w:rsidR="00BB68CD" w:rsidRPr="00A14787" w:rsidRDefault="00247038" w:rsidP="00BB68CD">
      <w:pPr>
        <w:numPr>
          <w:ilvl w:val="1"/>
          <w:numId w:val="1"/>
        </w:numPr>
        <w:spacing w:before="0" w:after="120"/>
        <w:jc w:val="both"/>
        <w:rPr>
          <w:rFonts w:ascii="Calibri" w:eastAsia="Calibri" w:hAnsi="Calibri" w:cs="Arial"/>
        </w:rPr>
      </w:pPr>
      <w:r>
        <w:rPr>
          <w:rFonts w:ascii="Calibri" w:eastAsia="Calibri" w:hAnsi="Calibri" w:cs="Arial"/>
        </w:rPr>
        <w:t>To address the potential for use outside the proposed PBS indication, t</w:t>
      </w:r>
      <w:r w:rsidR="00F72EA0">
        <w:rPr>
          <w:rFonts w:ascii="Calibri" w:eastAsia="Calibri" w:hAnsi="Calibri" w:cs="Arial"/>
        </w:rPr>
        <w:t>he Pre-PBAC Response stated that the sponsor would be willing to enter into a risk sharing arrangement, however no details were provided.</w:t>
      </w:r>
    </w:p>
    <w:p w:rsidR="00FA095A" w:rsidRPr="009A036F" w:rsidRDefault="00FA095A" w:rsidP="00FB30F8">
      <w:pPr>
        <w:pStyle w:val="ListParagraph"/>
        <w:ind w:left="576"/>
        <w:rPr>
          <w:i/>
        </w:rPr>
      </w:pPr>
      <w:r w:rsidRPr="009A036F">
        <w:rPr>
          <w:i/>
        </w:rPr>
        <w:t>For more detail on PBAC’s view, see section 7 PBAC outcome.</w:t>
      </w:r>
    </w:p>
    <w:p w:rsidR="00BB68CD" w:rsidRPr="00A14787" w:rsidRDefault="00BB68CD" w:rsidP="00BB68CD">
      <w:pPr>
        <w:pStyle w:val="Heading1"/>
      </w:pPr>
      <w:r w:rsidRPr="00A14787">
        <w:lastRenderedPageBreak/>
        <w:t>PBAC Outcome</w:t>
      </w:r>
    </w:p>
    <w:p w:rsidR="00742C0F" w:rsidRDefault="00E400C6" w:rsidP="009A036F">
      <w:pPr>
        <w:numPr>
          <w:ilvl w:val="1"/>
          <w:numId w:val="1"/>
        </w:numPr>
        <w:spacing w:before="0" w:after="120"/>
        <w:ind w:left="578" w:hanging="578"/>
        <w:jc w:val="both"/>
        <w:rPr>
          <w:bCs/>
          <w:lang w:val="en-GB"/>
        </w:rPr>
      </w:pPr>
      <w:r w:rsidRPr="00742C0F">
        <w:rPr>
          <w:bCs/>
          <w:lang w:val="en-GB"/>
        </w:rPr>
        <w:t xml:space="preserve">The PBAC decided not to recommend the listing of golimumab </w:t>
      </w:r>
      <w:r w:rsidR="00235238" w:rsidRPr="00742C0F">
        <w:rPr>
          <w:bCs/>
          <w:lang w:val="en-GB"/>
        </w:rPr>
        <w:t xml:space="preserve">for </w:t>
      </w:r>
      <w:r w:rsidR="00742C0F" w:rsidRPr="001A4753">
        <w:t>non-radiographic axial spondyloarthritis (nr-axSpA)</w:t>
      </w:r>
      <w:r w:rsidR="00235238" w:rsidRPr="00742C0F">
        <w:rPr>
          <w:bCs/>
          <w:lang w:val="en-GB"/>
        </w:rPr>
        <w:t xml:space="preserve"> </w:t>
      </w:r>
      <w:r w:rsidRPr="00742C0F">
        <w:rPr>
          <w:bCs/>
          <w:lang w:val="en-GB"/>
        </w:rPr>
        <w:t xml:space="preserve">on the basis </w:t>
      </w:r>
      <w:r w:rsidR="00365F8F" w:rsidRPr="00742C0F">
        <w:rPr>
          <w:bCs/>
          <w:lang w:val="en-GB"/>
        </w:rPr>
        <w:t xml:space="preserve">of </w:t>
      </w:r>
      <w:r w:rsidR="009528AD" w:rsidRPr="00742C0F">
        <w:rPr>
          <w:bCs/>
          <w:lang w:val="en-GB"/>
        </w:rPr>
        <w:t>an uncertain ICER</w:t>
      </w:r>
      <w:r w:rsidR="009528AD">
        <w:rPr>
          <w:bCs/>
          <w:lang w:val="en-GB"/>
        </w:rPr>
        <w:t xml:space="preserve"> and </w:t>
      </w:r>
      <w:r w:rsidR="003E1A68">
        <w:rPr>
          <w:bCs/>
          <w:lang w:val="en-GB"/>
        </w:rPr>
        <w:t xml:space="preserve">the </w:t>
      </w:r>
      <w:r w:rsidR="003E1A68" w:rsidRPr="002363FB">
        <w:t>significant opportunity cost of</w:t>
      </w:r>
      <w:r w:rsidR="003E1A68">
        <w:t xml:space="preserve"> the proposed listing in the context of</w:t>
      </w:r>
      <w:r w:rsidR="003E1A68" w:rsidRPr="00742C0F">
        <w:rPr>
          <w:bCs/>
          <w:lang w:val="en-GB"/>
        </w:rPr>
        <w:t xml:space="preserve"> </w:t>
      </w:r>
      <w:r w:rsidR="00365F8F" w:rsidRPr="00742C0F">
        <w:rPr>
          <w:bCs/>
          <w:lang w:val="en-GB"/>
        </w:rPr>
        <w:t>a poorly defined patient population</w:t>
      </w:r>
      <w:r w:rsidR="00235238" w:rsidRPr="00742C0F">
        <w:rPr>
          <w:bCs/>
          <w:lang w:val="en-GB"/>
        </w:rPr>
        <w:t xml:space="preserve">. </w:t>
      </w:r>
      <w:r w:rsidR="00742C0F" w:rsidRPr="00742C0F">
        <w:rPr>
          <w:bCs/>
          <w:lang w:val="en-GB"/>
        </w:rPr>
        <w:t>The PBAC also considered that the long-term incremental outcomes were uncertain, in the context of a chronic therapy.</w:t>
      </w:r>
      <w:r w:rsidR="00742C0F">
        <w:rPr>
          <w:bCs/>
          <w:lang w:val="en-GB"/>
        </w:rPr>
        <w:t xml:space="preserve"> </w:t>
      </w:r>
    </w:p>
    <w:p w:rsidR="001754A9" w:rsidRPr="00742C0F" w:rsidRDefault="009D28B9" w:rsidP="00742C0F">
      <w:pPr>
        <w:numPr>
          <w:ilvl w:val="1"/>
          <w:numId w:val="1"/>
        </w:numPr>
        <w:spacing w:before="0" w:after="120"/>
        <w:ind w:left="578" w:hanging="578"/>
        <w:jc w:val="both"/>
        <w:rPr>
          <w:bCs/>
          <w:lang w:val="en-GB"/>
        </w:rPr>
      </w:pPr>
      <w:r w:rsidRPr="00742C0F">
        <w:rPr>
          <w:bCs/>
          <w:lang w:val="en-GB"/>
        </w:rPr>
        <w:t xml:space="preserve">The PBAC </w:t>
      </w:r>
      <w:r w:rsidR="00B03578">
        <w:rPr>
          <w:bCs/>
          <w:lang w:val="en-GB"/>
        </w:rPr>
        <w:t xml:space="preserve">noted the consumer comments and </w:t>
      </w:r>
      <w:r w:rsidRPr="00742C0F">
        <w:rPr>
          <w:bCs/>
          <w:lang w:val="en-GB"/>
        </w:rPr>
        <w:t xml:space="preserve">considered </w:t>
      </w:r>
      <w:r w:rsidR="00155552" w:rsidRPr="00742C0F">
        <w:rPr>
          <w:bCs/>
          <w:lang w:val="en-GB"/>
        </w:rPr>
        <w:t xml:space="preserve">that </w:t>
      </w:r>
      <w:r w:rsidRPr="00742C0F">
        <w:rPr>
          <w:bCs/>
          <w:lang w:val="en-GB"/>
        </w:rPr>
        <w:t xml:space="preserve">there is a clinical need for effective subsidised therapy for </w:t>
      </w:r>
      <w:r w:rsidR="00155552" w:rsidRPr="00742C0F">
        <w:rPr>
          <w:bCs/>
          <w:lang w:val="en-GB"/>
        </w:rPr>
        <w:t xml:space="preserve">nr-axSpA </w:t>
      </w:r>
      <w:r w:rsidRPr="00742C0F">
        <w:rPr>
          <w:bCs/>
          <w:lang w:val="en-GB"/>
        </w:rPr>
        <w:t xml:space="preserve">but </w:t>
      </w:r>
      <w:r w:rsidR="00235238" w:rsidRPr="00742C0F">
        <w:rPr>
          <w:bCs/>
          <w:lang w:val="en-GB"/>
        </w:rPr>
        <w:t xml:space="preserve">that treatment should </w:t>
      </w:r>
      <w:r w:rsidRPr="00742C0F">
        <w:rPr>
          <w:bCs/>
          <w:lang w:val="en-GB"/>
        </w:rPr>
        <w:t xml:space="preserve">target patients </w:t>
      </w:r>
      <w:r w:rsidR="00464DDC" w:rsidRPr="00742C0F">
        <w:rPr>
          <w:bCs/>
          <w:lang w:val="en-GB"/>
        </w:rPr>
        <w:t xml:space="preserve">who would benefit </w:t>
      </w:r>
      <w:r w:rsidR="00235238" w:rsidRPr="00742C0F">
        <w:rPr>
          <w:bCs/>
          <w:lang w:val="en-GB"/>
        </w:rPr>
        <w:t xml:space="preserve">the </w:t>
      </w:r>
      <w:r w:rsidR="00464DDC" w:rsidRPr="00742C0F">
        <w:rPr>
          <w:bCs/>
          <w:lang w:val="en-GB"/>
        </w:rPr>
        <w:t>most</w:t>
      </w:r>
      <w:r w:rsidR="00155552" w:rsidRPr="00742C0F">
        <w:rPr>
          <w:bCs/>
          <w:lang w:val="en-GB"/>
        </w:rPr>
        <w:t xml:space="preserve"> from biologic therapy</w:t>
      </w:r>
      <w:r w:rsidR="00742C0F">
        <w:rPr>
          <w:bCs/>
          <w:lang w:val="en-GB"/>
        </w:rPr>
        <w:t>,</w:t>
      </w:r>
      <w:r w:rsidR="00235238" w:rsidRPr="00742C0F">
        <w:rPr>
          <w:bCs/>
          <w:lang w:val="en-GB"/>
        </w:rPr>
        <w:t xml:space="preserve"> </w:t>
      </w:r>
      <w:r w:rsidR="00C0015B" w:rsidRPr="00742C0F">
        <w:rPr>
          <w:bCs/>
          <w:lang w:val="en-GB"/>
        </w:rPr>
        <w:t>particular</w:t>
      </w:r>
      <w:r w:rsidR="00303E7E" w:rsidRPr="00742C0F">
        <w:rPr>
          <w:bCs/>
          <w:lang w:val="en-GB"/>
        </w:rPr>
        <w:t>ly</w:t>
      </w:r>
      <w:r w:rsidR="00C0015B" w:rsidRPr="00742C0F">
        <w:rPr>
          <w:bCs/>
          <w:lang w:val="en-GB"/>
        </w:rPr>
        <w:t xml:space="preserve"> those at greatest risk of progression to AS. The PBAC </w:t>
      </w:r>
      <w:r w:rsidR="00365F8F" w:rsidRPr="00742C0F">
        <w:rPr>
          <w:bCs/>
          <w:lang w:val="en-GB"/>
        </w:rPr>
        <w:t>considered that the evidence suggest</w:t>
      </w:r>
      <w:r w:rsidR="00595033" w:rsidRPr="00742C0F">
        <w:rPr>
          <w:bCs/>
          <w:lang w:val="en-GB"/>
        </w:rPr>
        <w:t>s</w:t>
      </w:r>
      <w:r w:rsidR="00365F8F" w:rsidRPr="00742C0F">
        <w:rPr>
          <w:bCs/>
          <w:lang w:val="en-GB"/>
        </w:rPr>
        <w:t xml:space="preserve"> that </w:t>
      </w:r>
      <w:r w:rsidR="00595033" w:rsidRPr="00742C0F">
        <w:rPr>
          <w:bCs/>
          <w:lang w:val="en-GB"/>
        </w:rPr>
        <w:t xml:space="preserve">the </w:t>
      </w:r>
      <w:r w:rsidR="00365F8F" w:rsidRPr="00742C0F">
        <w:rPr>
          <w:bCs/>
          <w:lang w:val="en-GB"/>
        </w:rPr>
        <w:t xml:space="preserve">strongest predictors of progression to AS appear to be </w:t>
      </w:r>
      <w:r w:rsidR="001754A9" w:rsidRPr="00742C0F">
        <w:rPr>
          <w:bCs/>
          <w:lang w:val="en-GB"/>
        </w:rPr>
        <w:t xml:space="preserve">elevated CRP </w:t>
      </w:r>
      <w:r w:rsidR="00365F8F" w:rsidRPr="00742C0F">
        <w:rPr>
          <w:bCs/>
          <w:lang w:val="en-GB"/>
        </w:rPr>
        <w:t>at baseline and baseline inflammation on MRI.</w:t>
      </w:r>
      <w:r w:rsidR="00595033" w:rsidRPr="00742C0F">
        <w:rPr>
          <w:bCs/>
          <w:lang w:val="en-GB"/>
        </w:rPr>
        <w:t xml:space="preserve"> </w:t>
      </w:r>
    </w:p>
    <w:p w:rsidR="009D28B9" w:rsidRPr="006127CA" w:rsidRDefault="00595033" w:rsidP="009A036F">
      <w:pPr>
        <w:numPr>
          <w:ilvl w:val="1"/>
          <w:numId w:val="1"/>
        </w:numPr>
        <w:spacing w:before="0" w:after="120"/>
        <w:ind w:left="578" w:hanging="578"/>
        <w:jc w:val="both"/>
        <w:rPr>
          <w:bCs/>
          <w:lang w:val="en-GB"/>
        </w:rPr>
      </w:pPr>
      <w:r>
        <w:rPr>
          <w:bCs/>
          <w:lang w:val="en-GB"/>
        </w:rPr>
        <w:t>Furthermore, t</w:t>
      </w:r>
      <w:r w:rsidR="009D28B9" w:rsidRPr="009672B5">
        <w:rPr>
          <w:bCs/>
          <w:lang w:val="en-GB"/>
        </w:rPr>
        <w:t xml:space="preserve">he PBAC noted that golimumab appeared to </w:t>
      </w:r>
      <w:r w:rsidR="009528AD">
        <w:t>be most efficacious</w:t>
      </w:r>
      <w:r w:rsidR="009528AD" w:rsidRPr="009672B5" w:rsidDel="009528AD">
        <w:rPr>
          <w:bCs/>
          <w:lang w:val="en-GB"/>
        </w:rPr>
        <w:t xml:space="preserve"> </w:t>
      </w:r>
      <w:r w:rsidR="009D28B9" w:rsidRPr="009672B5">
        <w:rPr>
          <w:bCs/>
          <w:lang w:val="en-GB"/>
        </w:rPr>
        <w:t xml:space="preserve">in the </w:t>
      </w:r>
      <w:r>
        <w:rPr>
          <w:bCs/>
          <w:lang w:val="en-GB"/>
        </w:rPr>
        <w:t>sub</w:t>
      </w:r>
      <w:r w:rsidR="009D28B9" w:rsidRPr="009672B5">
        <w:rPr>
          <w:bCs/>
          <w:lang w:val="en-GB"/>
        </w:rPr>
        <w:t>group</w:t>
      </w:r>
      <w:r>
        <w:rPr>
          <w:bCs/>
          <w:lang w:val="en-GB"/>
        </w:rPr>
        <w:t>s</w:t>
      </w:r>
      <w:r w:rsidR="009D28B9" w:rsidRPr="009672B5">
        <w:rPr>
          <w:bCs/>
          <w:lang w:val="en-GB"/>
        </w:rPr>
        <w:t xml:space="preserve"> of patients </w:t>
      </w:r>
      <w:r w:rsidR="00155552">
        <w:rPr>
          <w:bCs/>
          <w:lang w:val="en-GB"/>
        </w:rPr>
        <w:t xml:space="preserve">with </w:t>
      </w:r>
      <w:r w:rsidRPr="00043719">
        <w:rPr>
          <w:bCs/>
          <w:lang w:val="en-GB"/>
        </w:rPr>
        <w:t xml:space="preserve">elevated CRP </w:t>
      </w:r>
      <w:r w:rsidR="009D28B9" w:rsidRPr="009672B5">
        <w:rPr>
          <w:bCs/>
          <w:lang w:val="en-GB"/>
        </w:rPr>
        <w:t xml:space="preserve">and MRI changes, which was a subset of the requested PBS population. </w:t>
      </w:r>
      <w:r w:rsidR="009D28B9" w:rsidRPr="006127CA">
        <w:rPr>
          <w:bCs/>
          <w:lang w:val="en-GB"/>
        </w:rPr>
        <w:t xml:space="preserve">However, the PBAC acknowledged that the </w:t>
      </w:r>
      <w:r w:rsidR="00266B95">
        <w:rPr>
          <w:bCs/>
          <w:lang w:val="en-GB"/>
        </w:rPr>
        <w:t>key</w:t>
      </w:r>
      <w:r>
        <w:rPr>
          <w:bCs/>
          <w:lang w:val="en-GB"/>
        </w:rPr>
        <w:t xml:space="preserve"> </w:t>
      </w:r>
      <w:r w:rsidR="009D28B9" w:rsidRPr="006127CA">
        <w:rPr>
          <w:bCs/>
          <w:lang w:val="en-GB"/>
        </w:rPr>
        <w:t xml:space="preserve">trial </w:t>
      </w:r>
      <w:r>
        <w:rPr>
          <w:bCs/>
          <w:lang w:val="en-GB"/>
        </w:rPr>
        <w:t xml:space="preserve">(GO-AHEAD) </w:t>
      </w:r>
      <w:r w:rsidR="009D28B9" w:rsidRPr="006127CA">
        <w:rPr>
          <w:bCs/>
          <w:lang w:val="en-GB"/>
        </w:rPr>
        <w:t>was not powered for th</w:t>
      </w:r>
      <w:r w:rsidR="00155552">
        <w:rPr>
          <w:bCs/>
          <w:lang w:val="en-GB"/>
        </w:rPr>
        <w:t>e</w:t>
      </w:r>
      <w:r w:rsidR="009D28B9" w:rsidRPr="006127CA">
        <w:rPr>
          <w:bCs/>
          <w:lang w:val="en-GB"/>
        </w:rPr>
        <w:t>s</w:t>
      </w:r>
      <w:r w:rsidR="00155552">
        <w:rPr>
          <w:bCs/>
          <w:lang w:val="en-GB"/>
        </w:rPr>
        <w:t>e</w:t>
      </w:r>
      <w:r w:rsidR="009D28B9" w:rsidRPr="006127CA">
        <w:rPr>
          <w:bCs/>
          <w:lang w:val="en-GB"/>
        </w:rPr>
        <w:t xml:space="preserve"> subgroup</w:t>
      </w:r>
      <w:r w:rsidR="00155552">
        <w:rPr>
          <w:bCs/>
          <w:lang w:val="en-GB"/>
        </w:rPr>
        <w:t xml:space="preserve"> analyses</w:t>
      </w:r>
      <w:r w:rsidR="009D28B9" w:rsidRPr="006127CA">
        <w:rPr>
          <w:bCs/>
          <w:lang w:val="en-GB"/>
        </w:rPr>
        <w:t>.</w:t>
      </w:r>
    </w:p>
    <w:p w:rsidR="001754A9" w:rsidRPr="009672B5" w:rsidRDefault="00595033" w:rsidP="009A036F">
      <w:pPr>
        <w:numPr>
          <w:ilvl w:val="1"/>
          <w:numId w:val="1"/>
        </w:numPr>
        <w:spacing w:before="0" w:after="120"/>
        <w:contextualSpacing/>
        <w:jc w:val="both"/>
        <w:rPr>
          <w:bCs/>
          <w:lang w:val="en-GB"/>
        </w:rPr>
      </w:pPr>
      <w:r>
        <w:rPr>
          <w:bCs/>
          <w:lang w:val="en-GB"/>
        </w:rPr>
        <w:t xml:space="preserve">To better target </w:t>
      </w:r>
      <w:r w:rsidR="001754A9" w:rsidRPr="009672B5">
        <w:rPr>
          <w:bCs/>
          <w:lang w:val="en-GB"/>
        </w:rPr>
        <w:t xml:space="preserve">patients with </w:t>
      </w:r>
      <w:r w:rsidR="008C7FD4">
        <w:rPr>
          <w:bCs/>
          <w:lang w:val="en-GB"/>
        </w:rPr>
        <w:t xml:space="preserve">the highest </w:t>
      </w:r>
      <w:r w:rsidR="001754A9" w:rsidRPr="009672B5">
        <w:rPr>
          <w:bCs/>
          <w:lang w:val="en-GB"/>
        </w:rPr>
        <w:t>clinical need</w:t>
      </w:r>
      <w:r w:rsidR="008C7FD4">
        <w:rPr>
          <w:bCs/>
          <w:lang w:val="en-GB"/>
        </w:rPr>
        <w:t xml:space="preserve"> and </w:t>
      </w:r>
      <w:r w:rsidR="0057415A">
        <w:rPr>
          <w:bCs/>
          <w:lang w:val="en-GB"/>
        </w:rPr>
        <w:t xml:space="preserve">those </w:t>
      </w:r>
      <w:r w:rsidR="008C7FD4">
        <w:rPr>
          <w:bCs/>
          <w:lang w:val="en-GB"/>
        </w:rPr>
        <w:t xml:space="preserve">who would benefit </w:t>
      </w:r>
      <w:r w:rsidR="00155552">
        <w:rPr>
          <w:bCs/>
          <w:lang w:val="en-GB"/>
        </w:rPr>
        <w:t xml:space="preserve">the </w:t>
      </w:r>
      <w:r w:rsidR="008C7FD4">
        <w:rPr>
          <w:bCs/>
          <w:lang w:val="en-GB"/>
        </w:rPr>
        <w:t>most, the PBAC considered that the restriction should</w:t>
      </w:r>
      <w:r w:rsidR="001754A9" w:rsidRPr="009672B5">
        <w:rPr>
          <w:bCs/>
          <w:lang w:val="en-GB"/>
        </w:rPr>
        <w:t xml:space="preserve">: </w:t>
      </w:r>
    </w:p>
    <w:p w:rsidR="00780382" w:rsidRDefault="00651D8B" w:rsidP="009A036F">
      <w:pPr>
        <w:numPr>
          <w:ilvl w:val="0"/>
          <w:numId w:val="10"/>
        </w:numPr>
        <w:spacing w:before="0" w:after="120"/>
        <w:contextualSpacing/>
        <w:jc w:val="both"/>
        <w:rPr>
          <w:rFonts w:ascii="Calibri" w:eastAsia="Calibri" w:hAnsi="Calibri" w:cs="Arial"/>
        </w:rPr>
      </w:pPr>
      <w:r>
        <w:rPr>
          <w:bCs/>
          <w:lang w:val="en-GB"/>
        </w:rPr>
        <w:t>limit use to patients with</w:t>
      </w:r>
      <w:r w:rsidRPr="0057415A">
        <w:rPr>
          <w:rFonts w:ascii="Calibri" w:eastAsia="Calibri" w:hAnsi="Calibri" w:cs="Arial"/>
        </w:rPr>
        <w:t xml:space="preserve"> </w:t>
      </w:r>
      <w:r w:rsidR="0057415A" w:rsidRPr="0057415A">
        <w:rPr>
          <w:rFonts w:ascii="Calibri" w:eastAsia="Calibri" w:hAnsi="Calibri" w:cs="Arial"/>
        </w:rPr>
        <w:t>elevated CRP</w:t>
      </w:r>
      <w:r w:rsidR="00780382">
        <w:rPr>
          <w:rFonts w:ascii="Calibri" w:eastAsia="Calibri" w:hAnsi="Calibri" w:cs="Arial"/>
        </w:rPr>
        <w:t xml:space="preserve"> and positive MRI;</w:t>
      </w:r>
      <w:r w:rsidR="0057415A" w:rsidRPr="0057415A">
        <w:rPr>
          <w:rFonts w:ascii="Calibri" w:eastAsia="Calibri" w:hAnsi="Calibri" w:cs="Arial"/>
        </w:rPr>
        <w:t xml:space="preserve"> </w:t>
      </w:r>
    </w:p>
    <w:p w:rsidR="00464DDC" w:rsidRPr="008C7FD4" w:rsidRDefault="00780382" w:rsidP="009A036F">
      <w:pPr>
        <w:numPr>
          <w:ilvl w:val="0"/>
          <w:numId w:val="10"/>
        </w:numPr>
        <w:spacing w:before="0" w:after="120"/>
        <w:contextualSpacing/>
        <w:jc w:val="both"/>
        <w:rPr>
          <w:rFonts w:ascii="Calibri" w:eastAsia="Calibri" w:hAnsi="Calibri" w:cs="Arial"/>
        </w:rPr>
      </w:pPr>
      <w:r>
        <w:rPr>
          <w:rFonts w:ascii="Calibri" w:eastAsia="Calibri" w:hAnsi="Calibri" w:cs="Arial"/>
        </w:rPr>
        <w:t>for the elevated CRP, there should be</w:t>
      </w:r>
      <w:r w:rsidR="0057415A">
        <w:rPr>
          <w:rFonts w:ascii="Calibri" w:eastAsia="Calibri" w:hAnsi="Calibri" w:cs="Arial"/>
        </w:rPr>
        <w:t xml:space="preserve"> </w:t>
      </w:r>
      <w:r w:rsidR="0057415A" w:rsidRPr="0057415A">
        <w:rPr>
          <w:rFonts w:ascii="Calibri" w:eastAsia="Calibri" w:hAnsi="Calibri" w:cs="Arial"/>
        </w:rPr>
        <w:t xml:space="preserve">no allowance made for patients currently on </w:t>
      </w:r>
      <w:r w:rsidR="00750734">
        <w:rPr>
          <w:rFonts w:ascii="Calibri" w:eastAsia="Calibri" w:hAnsi="Calibri" w:cs="Arial"/>
        </w:rPr>
        <w:t>cortico</w:t>
      </w:r>
      <w:r w:rsidR="0057415A" w:rsidRPr="0057415A">
        <w:rPr>
          <w:rFonts w:ascii="Calibri" w:eastAsia="Calibri" w:hAnsi="Calibri" w:cs="Arial"/>
        </w:rPr>
        <w:t>steroids with normal inflammatory markers</w:t>
      </w:r>
      <w:r>
        <w:rPr>
          <w:rFonts w:ascii="Calibri" w:eastAsia="Calibri" w:hAnsi="Calibri" w:cs="Arial"/>
        </w:rPr>
        <w:t>;</w:t>
      </w:r>
      <w:r w:rsidR="0057415A" w:rsidRPr="0057415A">
        <w:rPr>
          <w:rFonts w:ascii="Calibri" w:eastAsia="Calibri" w:hAnsi="Calibri" w:cs="Arial"/>
        </w:rPr>
        <w:t xml:space="preserve"> </w:t>
      </w:r>
    </w:p>
    <w:p w:rsidR="00780382" w:rsidRPr="00241FA2" w:rsidRDefault="00780382" w:rsidP="009A036F">
      <w:pPr>
        <w:numPr>
          <w:ilvl w:val="0"/>
          <w:numId w:val="10"/>
        </w:numPr>
        <w:spacing w:before="0" w:after="120"/>
        <w:contextualSpacing/>
        <w:jc w:val="both"/>
        <w:rPr>
          <w:rFonts w:ascii="Calibri" w:eastAsia="Calibri" w:hAnsi="Calibri" w:cs="Arial"/>
        </w:rPr>
      </w:pPr>
      <w:r w:rsidRPr="0057415A">
        <w:rPr>
          <w:rFonts w:ascii="Calibri" w:eastAsia="Calibri" w:hAnsi="Calibri" w:cs="Arial"/>
        </w:rPr>
        <w:t xml:space="preserve">for the </w:t>
      </w:r>
      <w:r>
        <w:rPr>
          <w:rFonts w:ascii="Calibri" w:eastAsia="Calibri" w:hAnsi="Calibri" w:cs="Arial"/>
        </w:rPr>
        <w:t xml:space="preserve">positive </w:t>
      </w:r>
      <w:r w:rsidRPr="0057415A">
        <w:rPr>
          <w:rFonts w:ascii="Calibri" w:eastAsia="Calibri" w:hAnsi="Calibri" w:cs="Arial"/>
        </w:rPr>
        <w:t>MRI there should be independent reading and confirmation of sacroil</w:t>
      </w:r>
      <w:r w:rsidR="00B7462A">
        <w:rPr>
          <w:rFonts w:ascii="Calibri" w:eastAsia="Calibri" w:hAnsi="Calibri" w:cs="Arial"/>
        </w:rPr>
        <w:t>i</w:t>
      </w:r>
      <w:r w:rsidRPr="0057415A">
        <w:rPr>
          <w:rFonts w:ascii="Calibri" w:eastAsia="Calibri" w:hAnsi="Calibri" w:cs="Arial"/>
        </w:rPr>
        <w:t xml:space="preserve">itis by radiologists who are blinded to the patient’s history, as the diagnosis of </w:t>
      </w:r>
      <w:r w:rsidRPr="00241FA2">
        <w:rPr>
          <w:rFonts w:ascii="Calibri" w:eastAsia="Calibri" w:hAnsi="Calibri" w:cs="Arial"/>
        </w:rPr>
        <w:t>sacro</w:t>
      </w:r>
      <w:r w:rsidR="00EB7933">
        <w:rPr>
          <w:rFonts w:ascii="Calibri" w:eastAsia="Calibri" w:hAnsi="Calibri" w:cs="Arial"/>
        </w:rPr>
        <w:t>il</w:t>
      </w:r>
      <w:r w:rsidRPr="00241FA2">
        <w:rPr>
          <w:rFonts w:ascii="Calibri" w:eastAsia="Calibri" w:hAnsi="Calibri" w:cs="Arial"/>
        </w:rPr>
        <w:t>iitis on MRI can be subjective, especially earlier in the course of the disease.</w:t>
      </w:r>
    </w:p>
    <w:p w:rsidR="00464DDC" w:rsidRPr="008C7FD4" w:rsidRDefault="00651D8B" w:rsidP="009A036F">
      <w:pPr>
        <w:numPr>
          <w:ilvl w:val="0"/>
          <w:numId w:val="10"/>
        </w:numPr>
        <w:spacing w:before="0" w:after="120"/>
        <w:contextualSpacing/>
        <w:jc w:val="both"/>
        <w:rPr>
          <w:rFonts w:ascii="Calibri" w:eastAsia="Calibri" w:hAnsi="Calibri" w:cs="Arial"/>
        </w:rPr>
      </w:pPr>
      <w:r>
        <w:rPr>
          <w:bCs/>
          <w:lang w:val="en-GB"/>
        </w:rPr>
        <w:t>limit use to</w:t>
      </w:r>
      <w:r>
        <w:rPr>
          <w:rFonts w:ascii="Calibri" w:eastAsia="Calibri" w:hAnsi="Calibri" w:cs="Arial"/>
        </w:rPr>
        <w:t xml:space="preserve"> </w:t>
      </w:r>
      <w:r w:rsidR="00456150">
        <w:rPr>
          <w:rFonts w:ascii="Calibri" w:eastAsia="Calibri" w:hAnsi="Calibri" w:cs="Arial"/>
        </w:rPr>
        <w:t xml:space="preserve">patients with an age of onset </w:t>
      </w:r>
      <w:r w:rsidRPr="008C7FD4">
        <w:rPr>
          <w:rFonts w:ascii="Calibri" w:eastAsia="Calibri" w:hAnsi="Calibri" w:cs="Arial"/>
        </w:rPr>
        <w:t>of back pain</w:t>
      </w:r>
      <w:r>
        <w:rPr>
          <w:rFonts w:ascii="Calibri" w:eastAsia="Calibri" w:hAnsi="Calibri" w:cs="Arial"/>
        </w:rPr>
        <w:t xml:space="preserve"> </w:t>
      </w:r>
      <w:r w:rsidR="00456150">
        <w:rPr>
          <w:rFonts w:ascii="Calibri" w:eastAsia="Calibri" w:hAnsi="Calibri" w:cs="Arial"/>
        </w:rPr>
        <w:t>of 45 years or less</w:t>
      </w:r>
      <w:r>
        <w:rPr>
          <w:rFonts w:ascii="Calibri" w:eastAsia="Calibri" w:hAnsi="Calibri" w:cs="Arial"/>
        </w:rPr>
        <w:t>,</w:t>
      </w:r>
      <w:r w:rsidR="00456150">
        <w:rPr>
          <w:rFonts w:ascii="Calibri" w:eastAsia="Calibri" w:hAnsi="Calibri" w:cs="Arial"/>
        </w:rPr>
        <w:t xml:space="preserve"> per the GO-AHEAD</w:t>
      </w:r>
      <w:r>
        <w:rPr>
          <w:rFonts w:ascii="Calibri" w:eastAsia="Calibri" w:hAnsi="Calibri" w:cs="Arial"/>
        </w:rPr>
        <w:t xml:space="preserve"> trial</w:t>
      </w:r>
      <w:r w:rsidR="00780382">
        <w:rPr>
          <w:rFonts w:ascii="Calibri" w:eastAsia="Calibri" w:hAnsi="Calibri" w:cs="Arial"/>
        </w:rPr>
        <w:t>;</w:t>
      </w:r>
    </w:p>
    <w:p w:rsidR="0057415A" w:rsidRDefault="00651D8B" w:rsidP="009A036F">
      <w:pPr>
        <w:numPr>
          <w:ilvl w:val="0"/>
          <w:numId w:val="10"/>
        </w:numPr>
        <w:spacing w:before="0" w:after="120"/>
        <w:contextualSpacing/>
        <w:jc w:val="both"/>
        <w:rPr>
          <w:rFonts w:ascii="Calibri" w:eastAsia="Calibri" w:hAnsi="Calibri" w:cs="Arial"/>
        </w:rPr>
      </w:pPr>
      <w:r>
        <w:rPr>
          <w:bCs/>
          <w:lang w:val="en-GB"/>
        </w:rPr>
        <w:t>limit use to</w:t>
      </w:r>
      <w:r>
        <w:rPr>
          <w:rFonts w:ascii="Calibri" w:eastAsia="Calibri" w:hAnsi="Calibri" w:cs="Arial"/>
        </w:rPr>
        <w:t xml:space="preserve"> patients with a </w:t>
      </w:r>
      <w:r w:rsidR="0057415A" w:rsidRPr="0057415A">
        <w:rPr>
          <w:rFonts w:ascii="Calibri" w:eastAsia="Calibri" w:hAnsi="Calibri" w:cs="Arial"/>
        </w:rPr>
        <w:t xml:space="preserve">symptom duration </w:t>
      </w:r>
      <w:r>
        <w:rPr>
          <w:rFonts w:ascii="Calibri" w:eastAsia="Calibri" w:hAnsi="Calibri" w:cs="Arial"/>
        </w:rPr>
        <w:t>of</w:t>
      </w:r>
      <w:r w:rsidR="0057415A" w:rsidRPr="0057415A">
        <w:rPr>
          <w:rFonts w:ascii="Calibri" w:eastAsia="Calibri" w:hAnsi="Calibri" w:cs="Arial"/>
        </w:rPr>
        <w:t xml:space="preserve"> </w:t>
      </w:r>
      <w:r w:rsidR="0057415A">
        <w:rPr>
          <w:rFonts w:ascii="Calibri" w:eastAsia="Calibri" w:hAnsi="Calibri" w:cs="Arial"/>
        </w:rPr>
        <w:t>less than five</w:t>
      </w:r>
      <w:r w:rsidR="0057415A" w:rsidRPr="0057415A">
        <w:rPr>
          <w:rFonts w:ascii="Calibri" w:eastAsia="Calibri" w:hAnsi="Calibri" w:cs="Arial"/>
        </w:rPr>
        <w:t xml:space="preserve"> years</w:t>
      </w:r>
      <w:r>
        <w:rPr>
          <w:rFonts w:ascii="Calibri" w:eastAsia="Calibri" w:hAnsi="Calibri" w:cs="Arial"/>
        </w:rPr>
        <w:t>, per the GO-AHEAD trial</w:t>
      </w:r>
      <w:r w:rsidR="0057415A" w:rsidRPr="0057415A">
        <w:rPr>
          <w:rFonts w:ascii="Calibri" w:eastAsia="Calibri" w:hAnsi="Calibri" w:cs="Arial"/>
        </w:rPr>
        <w:t>;</w:t>
      </w:r>
      <w:r w:rsidR="00155552">
        <w:rPr>
          <w:rFonts w:ascii="Calibri" w:eastAsia="Calibri" w:hAnsi="Calibri" w:cs="Arial"/>
        </w:rPr>
        <w:t xml:space="preserve"> and</w:t>
      </w:r>
    </w:p>
    <w:p w:rsidR="00241FA2" w:rsidRPr="00241FA2" w:rsidRDefault="00651D8B" w:rsidP="009A036F">
      <w:pPr>
        <w:numPr>
          <w:ilvl w:val="0"/>
          <w:numId w:val="10"/>
        </w:numPr>
        <w:spacing w:before="0" w:after="120"/>
        <w:contextualSpacing/>
        <w:jc w:val="both"/>
        <w:rPr>
          <w:bCs/>
          <w:lang w:val="en-GB"/>
        </w:rPr>
      </w:pPr>
      <w:r w:rsidRPr="00241FA2">
        <w:rPr>
          <w:rFonts w:ascii="Calibri" w:eastAsia="Calibri" w:hAnsi="Calibri" w:cs="Arial"/>
        </w:rPr>
        <w:t xml:space="preserve">include a </w:t>
      </w:r>
      <w:r w:rsidR="001754A9" w:rsidRPr="00241FA2">
        <w:rPr>
          <w:rFonts w:ascii="Calibri" w:eastAsia="Calibri" w:hAnsi="Calibri" w:cs="Arial"/>
        </w:rPr>
        <w:t>stopping rule</w:t>
      </w:r>
      <w:r w:rsidRPr="00241FA2">
        <w:rPr>
          <w:rFonts w:ascii="Calibri" w:eastAsia="Calibri" w:hAnsi="Calibri" w:cs="Arial"/>
        </w:rPr>
        <w:t>, whereby patients must cease treatment after a certain time period</w:t>
      </w:r>
      <w:r w:rsidR="00E63844">
        <w:rPr>
          <w:rFonts w:ascii="Calibri" w:eastAsia="Calibri" w:hAnsi="Calibri" w:cs="Arial"/>
        </w:rPr>
        <w:t xml:space="preserve">. </w:t>
      </w:r>
      <w:r w:rsidR="00241FA2" w:rsidRPr="00241FA2">
        <w:rPr>
          <w:rFonts w:ascii="Calibri" w:eastAsia="Calibri" w:hAnsi="Calibri" w:cs="Arial"/>
        </w:rPr>
        <w:t xml:space="preserve">Patients could re-commence if they relapse. </w:t>
      </w:r>
      <w:r w:rsidR="00E63844">
        <w:rPr>
          <w:rFonts w:ascii="Calibri" w:eastAsia="Calibri" w:hAnsi="Calibri" w:cs="Arial"/>
        </w:rPr>
        <w:t xml:space="preserve">This was based on the lack of long-term data for golimumab, and supported by a study that showed that </w:t>
      </w:r>
      <w:r w:rsidR="00E63844" w:rsidRPr="008103ED">
        <w:t xml:space="preserve">some </w:t>
      </w:r>
      <w:r w:rsidR="00E63844">
        <w:t xml:space="preserve">patients </w:t>
      </w:r>
      <w:r w:rsidR="00E63844" w:rsidRPr="008103ED">
        <w:t xml:space="preserve">maintain </w:t>
      </w:r>
      <w:r w:rsidR="00E63844">
        <w:t>their</w:t>
      </w:r>
      <w:r w:rsidR="00E63844" w:rsidRPr="008103ED">
        <w:t xml:space="preserve"> response</w:t>
      </w:r>
      <w:r w:rsidR="00E63844" w:rsidRPr="008D7F8E">
        <w:t xml:space="preserve"> </w:t>
      </w:r>
      <w:r w:rsidR="00E63844" w:rsidRPr="008C7FD4">
        <w:t xml:space="preserve">after discontinuing </w:t>
      </w:r>
      <w:r w:rsidR="00E63844" w:rsidRPr="009F13A7">
        <w:t>biologic therapy</w:t>
      </w:r>
      <w:r w:rsidR="002E1CB4" w:rsidRPr="009F13A7">
        <w:rPr>
          <w:rFonts w:ascii="Calibri" w:eastAsia="Calibri" w:hAnsi="Calibri" w:cs="Arial"/>
        </w:rPr>
        <w:t xml:space="preserve"> </w:t>
      </w:r>
      <w:r w:rsidR="00E63844" w:rsidRPr="009F13A7">
        <w:rPr>
          <w:rFonts w:ascii="Calibri" w:eastAsia="Calibri" w:hAnsi="Calibri" w:cs="Arial"/>
        </w:rPr>
        <w:t>(refer to Paragraph 6.</w:t>
      </w:r>
      <w:r w:rsidR="002A05DA" w:rsidRPr="009F13A7">
        <w:rPr>
          <w:rFonts w:ascii="Calibri" w:eastAsia="Calibri" w:hAnsi="Calibri" w:cs="Arial"/>
        </w:rPr>
        <w:t>26</w:t>
      </w:r>
      <w:r w:rsidR="00E63844" w:rsidRPr="009F13A7">
        <w:rPr>
          <w:rFonts w:ascii="Calibri" w:eastAsia="Calibri" w:hAnsi="Calibri" w:cs="Arial"/>
        </w:rPr>
        <w:t>).</w:t>
      </w:r>
    </w:p>
    <w:p w:rsidR="00595033" w:rsidRDefault="0057415A" w:rsidP="009A036F">
      <w:pPr>
        <w:spacing w:before="0" w:after="120"/>
        <w:ind w:left="567"/>
        <w:jc w:val="both"/>
        <w:rPr>
          <w:bCs/>
          <w:lang w:val="en-GB"/>
        </w:rPr>
      </w:pPr>
      <w:r w:rsidRPr="00241FA2">
        <w:rPr>
          <w:rFonts w:ascii="Calibri" w:eastAsia="Calibri" w:hAnsi="Calibri" w:cs="Arial"/>
        </w:rPr>
        <w:t>The PBAC considered that some of these factors would be difficult to address adequately with</w:t>
      </w:r>
      <w:r w:rsidR="00780382">
        <w:rPr>
          <w:rFonts w:ascii="Calibri" w:eastAsia="Calibri" w:hAnsi="Calibri" w:cs="Arial"/>
        </w:rPr>
        <w:t>in</w:t>
      </w:r>
      <w:r w:rsidRPr="00241FA2">
        <w:rPr>
          <w:rFonts w:ascii="Calibri" w:eastAsia="Calibri" w:hAnsi="Calibri" w:cs="Arial"/>
        </w:rPr>
        <w:t xml:space="preserve"> a PBS restriction and </w:t>
      </w:r>
      <w:r w:rsidR="00155552">
        <w:rPr>
          <w:rFonts w:ascii="Calibri" w:eastAsia="Calibri" w:hAnsi="Calibri" w:cs="Arial"/>
        </w:rPr>
        <w:t>that</w:t>
      </w:r>
      <w:r w:rsidRPr="00241FA2">
        <w:rPr>
          <w:rFonts w:ascii="Calibri" w:eastAsia="Calibri" w:hAnsi="Calibri" w:cs="Arial"/>
        </w:rPr>
        <w:t xml:space="preserve"> a high risk of use outside the </w:t>
      </w:r>
      <w:r w:rsidR="00595033">
        <w:rPr>
          <w:rFonts w:ascii="Calibri" w:eastAsia="Calibri" w:hAnsi="Calibri" w:cs="Arial"/>
        </w:rPr>
        <w:t xml:space="preserve">intended </w:t>
      </w:r>
      <w:r w:rsidRPr="00241FA2">
        <w:rPr>
          <w:rFonts w:ascii="Calibri" w:eastAsia="Calibri" w:hAnsi="Calibri" w:cs="Arial"/>
        </w:rPr>
        <w:t>patient</w:t>
      </w:r>
      <w:r w:rsidR="00595033">
        <w:rPr>
          <w:rFonts w:ascii="Calibri" w:eastAsia="Calibri" w:hAnsi="Calibri" w:cs="Arial"/>
        </w:rPr>
        <w:t xml:space="preserve"> group</w:t>
      </w:r>
      <w:r w:rsidR="00155552">
        <w:rPr>
          <w:rFonts w:ascii="Calibri" w:eastAsia="Calibri" w:hAnsi="Calibri" w:cs="Arial"/>
        </w:rPr>
        <w:t xml:space="preserve"> would remain</w:t>
      </w:r>
      <w:r w:rsidR="00595033">
        <w:rPr>
          <w:rFonts w:ascii="Calibri" w:eastAsia="Calibri" w:hAnsi="Calibri" w:cs="Arial"/>
        </w:rPr>
        <w:t xml:space="preserve">. </w:t>
      </w:r>
    </w:p>
    <w:p w:rsidR="009D2A59" w:rsidRDefault="009309D6" w:rsidP="009A036F">
      <w:pPr>
        <w:numPr>
          <w:ilvl w:val="1"/>
          <w:numId w:val="1"/>
        </w:numPr>
        <w:spacing w:before="0" w:after="120"/>
        <w:contextualSpacing/>
        <w:jc w:val="both"/>
        <w:rPr>
          <w:bCs/>
          <w:lang w:val="en-GB"/>
        </w:rPr>
      </w:pPr>
      <w:r w:rsidRPr="006127CA">
        <w:rPr>
          <w:bCs/>
          <w:lang w:val="en-GB"/>
        </w:rPr>
        <w:t xml:space="preserve">The </w:t>
      </w:r>
      <w:r w:rsidR="007F545B">
        <w:rPr>
          <w:bCs/>
          <w:lang w:val="en-GB"/>
        </w:rPr>
        <w:t xml:space="preserve">PBAC considered that the </w:t>
      </w:r>
      <w:r w:rsidRPr="006127CA">
        <w:rPr>
          <w:bCs/>
          <w:lang w:val="en-GB"/>
        </w:rPr>
        <w:t xml:space="preserve">claim of </w:t>
      </w:r>
      <w:r w:rsidRPr="00581E8D">
        <w:rPr>
          <w:bCs/>
          <w:lang w:val="en-GB"/>
        </w:rPr>
        <w:t xml:space="preserve">superior comparative efficacy was supported </w:t>
      </w:r>
      <w:r w:rsidR="007F545B">
        <w:rPr>
          <w:bCs/>
          <w:lang w:val="en-GB"/>
        </w:rPr>
        <w:t xml:space="preserve">but the magnitude of the incremental benefit was difficult to determine because: </w:t>
      </w:r>
    </w:p>
    <w:p w:rsidR="009D2A59" w:rsidRPr="008C7FD4" w:rsidRDefault="009D2A59" w:rsidP="009A036F">
      <w:pPr>
        <w:numPr>
          <w:ilvl w:val="0"/>
          <w:numId w:val="10"/>
        </w:numPr>
        <w:spacing w:before="0" w:after="120"/>
        <w:contextualSpacing/>
        <w:jc w:val="both"/>
        <w:rPr>
          <w:rFonts w:ascii="Calibri" w:eastAsia="Calibri" w:hAnsi="Calibri" w:cs="Arial"/>
        </w:rPr>
      </w:pPr>
      <w:r w:rsidRPr="008C7FD4">
        <w:rPr>
          <w:rFonts w:ascii="Calibri" w:eastAsia="Calibri" w:hAnsi="Calibri" w:cs="Arial"/>
        </w:rPr>
        <w:t xml:space="preserve">the randomised phase </w:t>
      </w:r>
      <w:r w:rsidR="00936484">
        <w:rPr>
          <w:rFonts w:ascii="Calibri" w:eastAsia="Calibri" w:hAnsi="Calibri" w:cs="Arial"/>
        </w:rPr>
        <w:t xml:space="preserve">of the </w:t>
      </w:r>
      <w:r w:rsidR="00266B95">
        <w:rPr>
          <w:rFonts w:ascii="Calibri" w:eastAsia="Calibri" w:hAnsi="Calibri" w:cs="Arial"/>
        </w:rPr>
        <w:t>GO-AHEAD</w:t>
      </w:r>
      <w:r w:rsidR="00936484">
        <w:rPr>
          <w:rFonts w:ascii="Calibri" w:eastAsia="Calibri" w:hAnsi="Calibri" w:cs="Arial"/>
        </w:rPr>
        <w:t xml:space="preserve"> trial </w:t>
      </w:r>
      <w:r w:rsidRPr="008C7FD4">
        <w:rPr>
          <w:rFonts w:ascii="Calibri" w:eastAsia="Calibri" w:hAnsi="Calibri" w:cs="Arial"/>
        </w:rPr>
        <w:t xml:space="preserve">(16 weeks) was </w:t>
      </w:r>
      <w:r w:rsidR="005A1E48">
        <w:rPr>
          <w:rFonts w:ascii="Calibri" w:eastAsia="Calibri" w:hAnsi="Calibri" w:cs="Arial"/>
        </w:rPr>
        <w:t xml:space="preserve">of </w:t>
      </w:r>
      <w:r w:rsidR="00595033">
        <w:rPr>
          <w:rFonts w:ascii="Calibri" w:eastAsia="Calibri" w:hAnsi="Calibri" w:cs="Arial"/>
        </w:rPr>
        <w:t>in</w:t>
      </w:r>
      <w:r w:rsidR="005A1E48">
        <w:rPr>
          <w:rFonts w:ascii="Calibri" w:eastAsia="Calibri" w:hAnsi="Calibri" w:cs="Arial"/>
        </w:rPr>
        <w:t>sufficient duration</w:t>
      </w:r>
      <w:r w:rsidRPr="008C7FD4">
        <w:rPr>
          <w:rFonts w:ascii="Calibri" w:eastAsia="Calibri" w:hAnsi="Calibri" w:cs="Arial"/>
        </w:rPr>
        <w:t xml:space="preserve"> to accurately assess the long-term benefit</w:t>
      </w:r>
      <w:r w:rsidR="00936484">
        <w:rPr>
          <w:rFonts w:ascii="Calibri" w:eastAsia="Calibri" w:hAnsi="Calibri" w:cs="Arial"/>
        </w:rPr>
        <w:t>s</w:t>
      </w:r>
      <w:r w:rsidR="00595033">
        <w:rPr>
          <w:rFonts w:ascii="Calibri" w:eastAsia="Calibri" w:hAnsi="Calibri" w:cs="Arial"/>
        </w:rPr>
        <w:t>;</w:t>
      </w:r>
      <w:r w:rsidRPr="008C7FD4">
        <w:rPr>
          <w:rFonts w:ascii="Calibri" w:eastAsia="Calibri" w:hAnsi="Calibri" w:cs="Arial"/>
        </w:rPr>
        <w:t xml:space="preserve"> </w:t>
      </w:r>
    </w:p>
    <w:p w:rsidR="009D2A59" w:rsidRPr="008C7FD4" w:rsidRDefault="007F545B" w:rsidP="009A036F">
      <w:pPr>
        <w:numPr>
          <w:ilvl w:val="0"/>
          <w:numId w:val="10"/>
        </w:numPr>
        <w:spacing w:before="0" w:after="120"/>
        <w:contextualSpacing/>
        <w:jc w:val="both"/>
        <w:rPr>
          <w:rFonts w:ascii="Calibri" w:eastAsia="Calibri" w:hAnsi="Calibri" w:cs="Arial"/>
        </w:rPr>
      </w:pPr>
      <w:r w:rsidRPr="008C7FD4">
        <w:rPr>
          <w:rFonts w:ascii="Calibri" w:eastAsia="Calibri" w:hAnsi="Calibri" w:cs="Arial"/>
        </w:rPr>
        <w:t>it relied on a (pre-specified) subgroup (those with OSI) of the key trial;</w:t>
      </w:r>
      <w:r w:rsidR="00595033">
        <w:rPr>
          <w:rFonts w:ascii="Calibri" w:eastAsia="Calibri" w:hAnsi="Calibri" w:cs="Arial"/>
        </w:rPr>
        <w:t xml:space="preserve"> and</w:t>
      </w:r>
    </w:p>
    <w:p w:rsidR="004E7E88" w:rsidRDefault="009D2A59" w:rsidP="009A036F">
      <w:pPr>
        <w:numPr>
          <w:ilvl w:val="0"/>
          <w:numId w:val="10"/>
        </w:numPr>
        <w:spacing w:before="0" w:after="120"/>
        <w:contextualSpacing/>
        <w:jc w:val="both"/>
      </w:pPr>
      <w:r w:rsidRPr="008C7FD4">
        <w:rPr>
          <w:rFonts w:ascii="Calibri" w:eastAsia="Calibri" w:hAnsi="Calibri" w:cs="Arial"/>
        </w:rPr>
        <w:lastRenderedPageBreak/>
        <w:t>the</w:t>
      </w:r>
      <w:r>
        <w:rPr>
          <w:bCs/>
          <w:lang w:val="en-GB"/>
        </w:rPr>
        <w:t xml:space="preserve"> </w:t>
      </w:r>
      <w:r w:rsidR="00936484">
        <w:rPr>
          <w:bCs/>
          <w:lang w:val="en-GB"/>
        </w:rPr>
        <w:t xml:space="preserve">OSI </w:t>
      </w:r>
      <w:r w:rsidR="004E7E88">
        <w:rPr>
          <w:bCs/>
          <w:lang w:val="en-GB"/>
        </w:rPr>
        <w:t xml:space="preserve">subgroup may not be representative of the proposed PBS population as only </w:t>
      </w:r>
      <w:r w:rsidR="0092728B">
        <w:rPr>
          <w:bCs/>
          <w:noProof/>
          <w:color w:val="000000"/>
          <w:highlight w:val="black"/>
          <w:lang w:val="en-GB"/>
        </w:rPr>
        <w:t>''''''''</w:t>
      </w:r>
      <w:r w:rsidR="004E7E88">
        <w:rPr>
          <w:bCs/>
          <w:lang w:val="en-GB"/>
        </w:rPr>
        <w:t xml:space="preserve">% of patients in the subgroup </w:t>
      </w:r>
      <w:r w:rsidR="004E7E88" w:rsidRPr="002A13C6">
        <w:t>met the proposed PBS criteria of failing two or more NSAIDs</w:t>
      </w:r>
      <w:r w:rsidR="004E7E88">
        <w:t>.</w:t>
      </w:r>
    </w:p>
    <w:p w:rsidR="009309D6" w:rsidRPr="004F6657" w:rsidRDefault="004E7E88" w:rsidP="009A036F">
      <w:pPr>
        <w:spacing w:before="0" w:after="120"/>
        <w:ind w:left="851"/>
        <w:contextualSpacing/>
        <w:jc w:val="both"/>
        <w:rPr>
          <w:bCs/>
          <w:lang w:val="en-GB"/>
        </w:rPr>
      </w:pPr>
      <w:r>
        <w:rPr>
          <w:bCs/>
          <w:lang w:val="en-GB"/>
        </w:rPr>
        <w:t>O</w:t>
      </w:r>
      <w:r w:rsidR="005A1E48">
        <w:rPr>
          <w:bCs/>
          <w:lang w:val="en-GB"/>
        </w:rPr>
        <w:t>v</w:t>
      </w:r>
      <w:r>
        <w:rPr>
          <w:bCs/>
          <w:lang w:val="en-GB"/>
        </w:rPr>
        <w:t>erall the</w:t>
      </w:r>
      <w:r w:rsidR="00464DDC" w:rsidRPr="004F6657">
        <w:rPr>
          <w:bCs/>
          <w:lang w:val="en-GB"/>
        </w:rPr>
        <w:t xml:space="preserve"> </w:t>
      </w:r>
      <w:r>
        <w:rPr>
          <w:bCs/>
          <w:lang w:val="en-GB"/>
        </w:rPr>
        <w:t xml:space="preserve">PBAC considered that it was unclear whether the </w:t>
      </w:r>
      <w:r w:rsidR="00464DDC" w:rsidRPr="004F6657">
        <w:rPr>
          <w:bCs/>
          <w:lang w:val="en-GB"/>
        </w:rPr>
        <w:t xml:space="preserve">incremental benefit </w:t>
      </w:r>
      <w:r>
        <w:rPr>
          <w:bCs/>
          <w:lang w:val="en-GB"/>
        </w:rPr>
        <w:t>would be</w:t>
      </w:r>
      <w:r w:rsidR="00464DDC" w:rsidRPr="004F6657">
        <w:rPr>
          <w:bCs/>
          <w:lang w:val="en-GB"/>
        </w:rPr>
        <w:t xml:space="preserve"> sustained long-term. </w:t>
      </w:r>
    </w:p>
    <w:p w:rsidR="009309D6" w:rsidRPr="009F13A7" w:rsidRDefault="005933F1" w:rsidP="009A036F">
      <w:pPr>
        <w:numPr>
          <w:ilvl w:val="1"/>
          <w:numId w:val="1"/>
        </w:numPr>
        <w:spacing w:before="0" w:after="120"/>
        <w:contextualSpacing/>
        <w:jc w:val="both"/>
        <w:rPr>
          <w:bCs/>
          <w:lang w:val="en-GB"/>
        </w:rPr>
      </w:pPr>
      <w:r w:rsidRPr="005933F1">
        <w:rPr>
          <w:bCs/>
          <w:lang w:val="en-GB"/>
        </w:rPr>
        <w:t xml:space="preserve">The PBAC </w:t>
      </w:r>
      <w:r>
        <w:rPr>
          <w:bCs/>
          <w:lang w:val="en-GB"/>
        </w:rPr>
        <w:t xml:space="preserve">considered </w:t>
      </w:r>
      <w:r w:rsidRPr="005933F1">
        <w:rPr>
          <w:bCs/>
          <w:lang w:val="en-GB"/>
        </w:rPr>
        <w:t>th</w:t>
      </w:r>
      <w:r w:rsidR="004E7E88">
        <w:rPr>
          <w:bCs/>
          <w:lang w:val="en-GB"/>
        </w:rPr>
        <w:t>e trial duration</w:t>
      </w:r>
      <w:r w:rsidRPr="005933F1">
        <w:rPr>
          <w:bCs/>
          <w:lang w:val="en-GB"/>
        </w:rPr>
        <w:t xml:space="preserve"> was not sufficient to determ</w:t>
      </w:r>
      <w:r>
        <w:rPr>
          <w:bCs/>
          <w:lang w:val="en-GB"/>
        </w:rPr>
        <w:t>ine comparative</w:t>
      </w:r>
      <w:r w:rsidRPr="005933F1">
        <w:rPr>
          <w:bCs/>
          <w:lang w:val="en-GB"/>
        </w:rPr>
        <w:t xml:space="preserve"> safety over a</w:t>
      </w:r>
      <w:r w:rsidR="005A1E48">
        <w:rPr>
          <w:bCs/>
          <w:lang w:val="en-GB"/>
        </w:rPr>
        <w:t>n extended</w:t>
      </w:r>
      <w:r w:rsidRPr="005933F1">
        <w:rPr>
          <w:bCs/>
          <w:lang w:val="en-GB"/>
        </w:rPr>
        <w:t xml:space="preserve"> time</w:t>
      </w:r>
      <w:r w:rsidR="005A1E48">
        <w:rPr>
          <w:bCs/>
          <w:lang w:val="en-GB"/>
        </w:rPr>
        <w:t>frame</w:t>
      </w:r>
      <w:r>
        <w:rPr>
          <w:bCs/>
          <w:lang w:val="en-GB"/>
        </w:rPr>
        <w:t>.</w:t>
      </w:r>
      <w:r w:rsidR="009D2A59">
        <w:rPr>
          <w:bCs/>
          <w:lang w:val="en-GB"/>
        </w:rPr>
        <w:t xml:space="preserve"> </w:t>
      </w:r>
      <w:r w:rsidR="005A1E48">
        <w:rPr>
          <w:bCs/>
          <w:lang w:val="en-GB"/>
        </w:rPr>
        <w:t>In particular, t</w:t>
      </w:r>
      <w:r w:rsidR="009D2A59">
        <w:rPr>
          <w:bCs/>
          <w:lang w:val="en-GB"/>
        </w:rPr>
        <w:t xml:space="preserve">he </w:t>
      </w:r>
      <w:r>
        <w:rPr>
          <w:bCs/>
          <w:lang w:val="en-GB"/>
        </w:rPr>
        <w:t xml:space="preserve">PBAC considered that the long-term risk of infections was not known in the broader population of patients who would be treated in Australian clinical practice. </w:t>
      </w:r>
      <w:r w:rsidR="00595033">
        <w:rPr>
          <w:bCs/>
          <w:lang w:val="en-GB"/>
        </w:rPr>
        <w:t>Thus</w:t>
      </w:r>
      <w:r>
        <w:rPr>
          <w:bCs/>
          <w:lang w:val="en-GB"/>
        </w:rPr>
        <w:t>, the PBAC considered that the claim of non-</w:t>
      </w:r>
      <w:r w:rsidRPr="009F13A7">
        <w:rPr>
          <w:bCs/>
          <w:lang w:val="en-GB"/>
        </w:rPr>
        <w:t xml:space="preserve">inferior comparative safety was not adequately supported by the data. </w:t>
      </w:r>
    </w:p>
    <w:p w:rsidR="00FB3D81" w:rsidRPr="005A1E48" w:rsidRDefault="000B2435" w:rsidP="00936484">
      <w:pPr>
        <w:pStyle w:val="ListParagraph"/>
        <w:numPr>
          <w:ilvl w:val="1"/>
          <w:numId w:val="1"/>
        </w:numPr>
        <w:spacing w:before="0" w:after="0"/>
        <w:ind w:left="578" w:hanging="578"/>
        <w:contextualSpacing/>
        <w:jc w:val="both"/>
        <w:rPr>
          <w:bCs/>
          <w:lang w:val="en-GB"/>
        </w:rPr>
      </w:pPr>
      <w:r w:rsidRPr="009F13A7">
        <w:t xml:space="preserve">The PBAC agreed with the concerns raised by the ESC regarding the economic model </w:t>
      </w:r>
      <w:r w:rsidRPr="009F13A7">
        <w:rPr>
          <w:bCs/>
          <w:lang w:val="en-GB"/>
        </w:rPr>
        <w:t>(see Table 8 and paragraph 6.4</w:t>
      </w:r>
      <w:r w:rsidR="009F13A7" w:rsidRPr="009F13A7">
        <w:rPr>
          <w:bCs/>
          <w:lang w:val="en-GB"/>
        </w:rPr>
        <w:t>5</w:t>
      </w:r>
      <w:r w:rsidRPr="009F13A7">
        <w:rPr>
          <w:bCs/>
          <w:lang w:val="en-GB"/>
        </w:rPr>
        <w:t xml:space="preserve"> above) and considered </w:t>
      </w:r>
      <w:r w:rsidRPr="009F13A7">
        <w:t xml:space="preserve">that overall the economic model was not transparent and was unnecessarily complicated in relation to </w:t>
      </w:r>
      <w:r w:rsidR="00030A4D" w:rsidRPr="009F13A7">
        <w:t xml:space="preserve">assignment of </w:t>
      </w:r>
      <w:r w:rsidRPr="009F13A7">
        <w:t>utilities and costs</w:t>
      </w:r>
      <w:r>
        <w:t xml:space="preserve"> to health states, the extrapolation of incremental outcomes from the 16 week trial data and the use of external data sources</w:t>
      </w:r>
      <w:r w:rsidR="005A1E48" w:rsidRPr="005A1E48">
        <w:rPr>
          <w:bCs/>
          <w:lang w:val="en-GB"/>
        </w:rPr>
        <w:t xml:space="preserve">. </w:t>
      </w:r>
      <w:r w:rsidR="00FB3D81" w:rsidRPr="005A1E48">
        <w:rPr>
          <w:bCs/>
          <w:lang w:val="en-GB"/>
        </w:rPr>
        <w:t xml:space="preserve">In </w:t>
      </w:r>
      <w:r>
        <w:rPr>
          <w:bCs/>
          <w:lang w:val="en-GB"/>
        </w:rPr>
        <w:t>particular</w:t>
      </w:r>
      <w:r w:rsidR="00FB3D81" w:rsidRPr="005A1E48">
        <w:rPr>
          <w:bCs/>
          <w:lang w:val="en-GB"/>
        </w:rPr>
        <w:t>, the PBAC</w:t>
      </w:r>
      <w:r w:rsidR="00E23FAE">
        <w:rPr>
          <w:bCs/>
          <w:lang w:val="en-GB"/>
        </w:rPr>
        <w:t>:</w:t>
      </w:r>
    </w:p>
    <w:p w:rsidR="00141C6B" w:rsidRPr="00141C6B" w:rsidRDefault="00141C6B" w:rsidP="00595033">
      <w:pPr>
        <w:numPr>
          <w:ilvl w:val="0"/>
          <w:numId w:val="10"/>
        </w:numPr>
        <w:spacing w:before="0" w:after="120"/>
        <w:contextualSpacing/>
        <w:jc w:val="both"/>
        <w:rPr>
          <w:rFonts w:ascii="Calibri" w:eastAsia="Calibri" w:hAnsi="Calibri" w:cs="Arial"/>
        </w:rPr>
      </w:pPr>
      <w:r w:rsidRPr="00141C6B">
        <w:rPr>
          <w:rFonts w:ascii="Calibri" w:eastAsia="Calibri" w:hAnsi="Calibri" w:cs="Arial"/>
        </w:rPr>
        <w:t xml:space="preserve">considered there were a lack of long-term data to inform the model </w:t>
      </w:r>
      <w:r w:rsidR="00595033">
        <w:rPr>
          <w:rFonts w:ascii="Calibri" w:eastAsia="Calibri" w:hAnsi="Calibri" w:cs="Arial"/>
        </w:rPr>
        <w:t xml:space="preserve">(i.e. the reliability of the model was </w:t>
      </w:r>
      <w:r w:rsidR="00F06757">
        <w:rPr>
          <w:rFonts w:ascii="Calibri" w:eastAsia="Calibri" w:hAnsi="Calibri" w:cs="Arial"/>
        </w:rPr>
        <w:t xml:space="preserve">limited </w:t>
      </w:r>
      <w:r w:rsidR="00595033">
        <w:rPr>
          <w:rFonts w:ascii="Calibri" w:eastAsia="Calibri" w:hAnsi="Calibri" w:cs="Arial"/>
        </w:rPr>
        <w:t>by the</w:t>
      </w:r>
      <w:r w:rsidRPr="00141C6B">
        <w:rPr>
          <w:rFonts w:ascii="Calibri" w:eastAsia="Calibri" w:hAnsi="Calibri" w:cs="Arial"/>
        </w:rPr>
        <w:t xml:space="preserve"> extrapolation </w:t>
      </w:r>
      <w:r w:rsidR="00936484">
        <w:rPr>
          <w:rFonts w:ascii="Calibri" w:eastAsia="Calibri" w:hAnsi="Calibri" w:cs="Arial"/>
        </w:rPr>
        <w:t>of</w:t>
      </w:r>
      <w:r w:rsidRPr="00141C6B">
        <w:rPr>
          <w:rFonts w:ascii="Calibri" w:eastAsia="Calibri" w:hAnsi="Calibri" w:cs="Arial"/>
        </w:rPr>
        <w:t xml:space="preserve"> 16 weeks of randomised trial data and 52 weeks of open-label data</w:t>
      </w:r>
      <w:r w:rsidR="00936484">
        <w:rPr>
          <w:rFonts w:ascii="Calibri" w:eastAsia="Calibri" w:hAnsi="Calibri" w:cs="Arial"/>
        </w:rPr>
        <w:t xml:space="preserve"> to a 30 year time horizon</w:t>
      </w:r>
      <w:r w:rsidR="00595033">
        <w:rPr>
          <w:rFonts w:ascii="Calibri" w:eastAsia="Calibri" w:hAnsi="Calibri" w:cs="Arial"/>
        </w:rPr>
        <w:t>)</w:t>
      </w:r>
      <w:r w:rsidRPr="00141C6B">
        <w:t xml:space="preserve">; </w:t>
      </w:r>
    </w:p>
    <w:p w:rsidR="009309D6" w:rsidRPr="00141C6B" w:rsidRDefault="00E23FAE" w:rsidP="00595033">
      <w:pPr>
        <w:numPr>
          <w:ilvl w:val="0"/>
          <w:numId w:val="10"/>
        </w:numPr>
        <w:spacing w:before="0" w:after="120"/>
        <w:contextualSpacing/>
        <w:jc w:val="both"/>
        <w:rPr>
          <w:rFonts w:ascii="Calibri" w:eastAsia="Calibri" w:hAnsi="Calibri" w:cs="Arial"/>
        </w:rPr>
      </w:pPr>
      <w:r w:rsidRPr="00AC0BBC">
        <w:rPr>
          <w:rFonts w:ascii="Calibri" w:eastAsia="Calibri" w:hAnsi="Calibri" w:cs="Arial"/>
        </w:rPr>
        <w:t xml:space="preserve">noted that patients who achieved a BASDAI 50 response experienced a </w:t>
      </w:r>
      <w:r w:rsidR="00141C6B">
        <w:rPr>
          <w:rFonts w:ascii="Calibri" w:eastAsia="Calibri" w:hAnsi="Calibri" w:cs="Arial"/>
        </w:rPr>
        <w:t xml:space="preserve">greater incremental </w:t>
      </w:r>
      <w:r w:rsidRPr="00AC0BBC">
        <w:rPr>
          <w:rFonts w:ascii="Calibri" w:eastAsia="Calibri" w:hAnsi="Calibri" w:cs="Arial"/>
        </w:rPr>
        <w:t xml:space="preserve">utility gain (from baseline to Week 16) in the golimumab arm than the placebo arm (utility gain of </w:t>
      </w:r>
      <w:r w:rsidR="0092728B">
        <w:rPr>
          <w:rFonts w:ascii="Calibri" w:eastAsia="Calibri" w:hAnsi="Calibri" w:cs="Arial"/>
          <w:noProof/>
          <w:color w:val="000000"/>
          <w:highlight w:val="black"/>
        </w:rPr>
        <w:t>''''''''</w:t>
      </w:r>
      <w:r w:rsidRPr="00AC0BBC">
        <w:rPr>
          <w:rFonts w:ascii="Calibri" w:eastAsia="Calibri" w:hAnsi="Calibri" w:cs="Arial"/>
        </w:rPr>
        <w:t xml:space="preserve"> versus </w:t>
      </w:r>
      <w:r w:rsidR="0092728B">
        <w:rPr>
          <w:rFonts w:ascii="Calibri" w:eastAsia="Calibri" w:hAnsi="Calibri" w:cs="Arial"/>
          <w:noProof/>
          <w:color w:val="000000"/>
          <w:highlight w:val="black"/>
        </w:rPr>
        <w:t>'''''''''</w:t>
      </w:r>
      <w:r w:rsidRPr="00AC0BBC">
        <w:rPr>
          <w:rFonts w:ascii="Calibri" w:eastAsia="Calibri" w:hAnsi="Calibri" w:cs="Arial"/>
        </w:rPr>
        <w:t>, respectively</w:t>
      </w:r>
      <w:r>
        <w:rPr>
          <w:rFonts w:ascii="Calibri" w:eastAsia="Calibri" w:hAnsi="Calibri" w:cs="Arial"/>
        </w:rPr>
        <w:t xml:space="preserve">). The PBAC considered this would </w:t>
      </w:r>
      <w:r w:rsidRPr="00AC22FA">
        <w:rPr>
          <w:rFonts w:ascii="Calibri" w:eastAsia="Calibri" w:hAnsi="Calibri" w:cs="Arial"/>
        </w:rPr>
        <w:t xml:space="preserve">only </w:t>
      </w:r>
      <w:r>
        <w:rPr>
          <w:rFonts w:ascii="Calibri" w:eastAsia="Calibri" w:hAnsi="Calibri" w:cs="Arial"/>
        </w:rPr>
        <w:t xml:space="preserve">be </w:t>
      </w:r>
      <w:r w:rsidRPr="00AC22FA">
        <w:rPr>
          <w:rFonts w:ascii="Calibri" w:eastAsia="Calibri" w:hAnsi="Calibri" w:cs="Arial"/>
        </w:rPr>
        <w:t xml:space="preserve">reasonable if the </w:t>
      </w:r>
      <w:r>
        <w:rPr>
          <w:rFonts w:ascii="Calibri" w:eastAsia="Calibri" w:hAnsi="Calibri" w:cs="Arial"/>
        </w:rPr>
        <w:t xml:space="preserve">PBS restriction could confine use to </w:t>
      </w:r>
      <w:r w:rsidRPr="00AC22FA">
        <w:rPr>
          <w:rFonts w:ascii="Calibri" w:eastAsia="Calibri" w:hAnsi="Calibri" w:cs="Arial"/>
        </w:rPr>
        <w:t>patients w</w:t>
      </w:r>
      <w:r>
        <w:rPr>
          <w:rFonts w:ascii="Calibri" w:eastAsia="Calibri" w:hAnsi="Calibri" w:cs="Arial"/>
        </w:rPr>
        <w:t xml:space="preserve">ho were likely to achieve a </w:t>
      </w:r>
      <w:r w:rsidRPr="00AC22FA">
        <w:rPr>
          <w:rFonts w:ascii="Calibri" w:eastAsia="Calibri" w:hAnsi="Calibri" w:cs="Arial"/>
        </w:rPr>
        <w:t xml:space="preserve">very </w:t>
      </w:r>
      <w:r>
        <w:rPr>
          <w:rFonts w:ascii="Calibri" w:eastAsia="Calibri" w:hAnsi="Calibri" w:cs="Arial"/>
        </w:rPr>
        <w:t xml:space="preserve">high level of </w:t>
      </w:r>
      <w:r w:rsidRPr="00141C6B">
        <w:rPr>
          <w:rFonts w:ascii="Calibri" w:eastAsia="Calibri" w:hAnsi="Calibri" w:cs="Arial"/>
        </w:rPr>
        <w:t>response</w:t>
      </w:r>
      <w:r w:rsidR="00595033">
        <w:rPr>
          <w:rFonts w:ascii="Calibri" w:eastAsia="Calibri" w:hAnsi="Calibri" w:cs="Arial"/>
        </w:rPr>
        <w:t>;</w:t>
      </w:r>
      <w:r w:rsidRPr="00141C6B">
        <w:rPr>
          <w:rFonts w:ascii="Calibri" w:eastAsia="Calibri" w:hAnsi="Calibri" w:cs="Arial"/>
        </w:rPr>
        <w:t xml:space="preserve"> </w:t>
      </w:r>
    </w:p>
    <w:p w:rsidR="00AC22FA" w:rsidRPr="00141C6B" w:rsidRDefault="00141C6B" w:rsidP="00C841E7">
      <w:pPr>
        <w:numPr>
          <w:ilvl w:val="0"/>
          <w:numId w:val="10"/>
        </w:numPr>
        <w:spacing w:before="0" w:after="120"/>
        <w:contextualSpacing/>
        <w:jc w:val="both"/>
        <w:rPr>
          <w:rFonts w:ascii="Calibri" w:eastAsia="Calibri" w:hAnsi="Calibri" w:cs="Arial"/>
        </w:rPr>
      </w:pPr>
      <w:r w:rsidRPr="00141C6B">
        <w:rPr>
          <w:rFonts w:ascii="Calibri" w:eastAsia="Calibri" w:hAnsi="Calibri" w:cs="Arial"/>
        </w:rPr>
        <w:t xml:space="preserve">considered that the </w:t>
      </w:r>
      <w:r w:rsidR="009309D6" w:rsidRPr="00141C6B">
        <w:rPr>
          <w:rFonts w:ascii="Calibri" w:eastAsia="Calibri" w:hAnsi="Calibri" w:cs="Arial"/>
        </w:rPr>
        <w:t xml:space="preserve">assumption that </w:t>
      </w:r>
      <w:r w:rsidR="00AC22FA" w:rsidRPr="00141C6B">
        <w:rPr>
          <w:rFonts w:ascii="Calibri" w:eastAsia="Calibri" w:hAnsi="Calibri" w:cs="Arial"/>
        </w:rPr>
        <w:t>all conventional care responders at Week 16 (</w:t>
      </w:r>
      <w:r w:rsidR="0092728B">
        <w:rPr>
          <w:rFonts w:ascii="Calibri" w:eastAsia="Calibri" w:hAnsi="Calibri" w:cs="Arial"/>
          <w:noProof/>
          <w:color w:val="000000"/>
          <w:highlight w:val="black"/>
        </w:rPr>
        <w:t>'''''''''</w:t>
      </w:r>
      <w:r w:rsidR="00AC22FA" w:rsidRPr="00141C6B">
        <w:rPr>
          <w:rFonts w:ascii="Calibri" w:eastAsia="Calibri" w:hAnsi="Calibri" w:cs="Arial"/>
        </w:rPr>
        <w:t>%) were assumed</w:t>
      </w:r>
      <w:r w:rsidR="00416BCE" w:rsidRPr="00141C6B">
        <w:rPr>
          <w:rFonts w:ascii="Calibri" w:eastAsia="Calibri" w:hAnsi="Calibri" w:cs="Arial"/>
        </w:rPr>
        <w:t xml:space="preserve"> to</w:t>
      </w:r>
      <w:r w:rsidR="00AC22FA" w:rsidRPr="00141C6B">
        <w:rPr>
          <w:rFonts w:ascii="Calibri" w:eastAsia="Calibri" w:hAnsi="Calibri" w:cs="Arial"/>
        </w:rPr>
        <w:t xml:space="preserve"> </w:t>
      </w:r>
      <w:r w:rsidR="00335A25" w:rsidRPr="00141C6B">
        <w:rPr>
          <w:rFonts w:ascii="Calibri" w:eastAsia="Calibri" w:hAnsi="Calibri" w:cs="Arial"/>
        </w:rPr>
        <w:t xml:space="preserve">lose </w:t>
      </w:r>
      <w:r w:rsidR="00AC22FA" w:rsidRPr="00141C6B">
        <w:rPr>
          <w:rFonts w:ascii="Calibri" w:eastAsia="Calibri" w:hAnsi="Calibri" w:cs="Arial"/>
        </w:rPr>
        <w:t xml:space="preserve">their </w:t>
      </w:r>
      <w:r w:rsidR="00335A25" w:rsidRPr="00141C6B">
        <w:rPr>
          <w:rFonts w:ascii="Calibri" w:eastAsia="Calibri" w:hAnsi="Calibri" w:cs="Arial"/>
        </w:rPr>
        <w:t xml:space="preserve">response </w:t>
      </w:r>
      <w:r w:rsidR="00AC22FA" w:rsidRPr="00141C6B">
        <w:rPr>
          <w:rFonts w:ascii="Calibri" w:eastAsia="Calibri" w:hAnsi="Calibri" w:cs="Arial"/>
        </w:rPr>
        <w:t>(revert to non-responder)</w:t>
      </w:r>
      <w:r w:rsidR="00AC22FA" w:rsidRPr="00141C6B" w:rsidDel="00AC22FA">
        <w:rPr>
          <w:rFonts w:ascii="Calibri" w:eastAsia="Calibri" w:hAnsi="Calibri" w:cs="Arial"/>
        </w:rPr>
        <w:t xml:space="preserve"> </w:t>
      </w:r>
      <w:r w:rsidR="00AC22FA" w:rsidRPr="00141C6B">
        <w:rPr>
          <w:rFonts w:ascii="Calibri" w:eastAsia="Calibri" w:hAnsi="Calibri" w:cs="Arial"/>
        </w:rPr>
        <w:t>by Week 32</w:t>
      </w:r>
      <w:r w:rsidR="009309D6" w:rsidRPr="00141C6B">
        <w:rPr>
          <w:rFonts w:ascii="Calibri" w:eastAsia="Calibri" w:hAnsi="Calibri" w:cs="Arial"/>
        </w:rPr>
        <w:t xml:space="preserve"> was not appropriate</w:t>
      </w:r>
      <w:r w:rsidR="00936484">
        <w:rPr>
          <w:rFonts w:ascii="Calibri" w:eastAsia="Calibri" w:hAnsi="Calibri" w:cs="Arial"/>
        </w:rPr>
        <w:t>;</w:t>
      </w:r>
      <w:r w:rsidR="009309D6" w:rsidRPr="00141C6B">
        <w:rPr>
          <w:rFonts w:ascii="Calibri" w:eastAsia="Calibri" w:hAnsi="Calibri" w:cs="Arial"/>
        </w:rPr>
        <w:t xml:space="preserve"> </w:t>
      </w:r>
    </w:p>
    <w:p w:rsidR="009309D6" w:rsidRPr="000B2435" w:rsidRDefault="00141C6B" w:rsidP="00B5166B">
      <w:pPr>
        <w:numPr>
          <w:ilvl w:val="0"/>
          <w:numId w:val="10"/>
        </w:numPr>
        <w:spacing w:before="0" w:after="120"/>
        <w:ind w:left="1293" w:hanging="357"/>
        <w:contextualSpacing/>
        <w:jc w:val="both"/>
        <w:rPr>
          <w:rFonts w:ascii="Calibri" w:eastAsia="Calibri" w:hAnsi="Calibri" w:cs="Arial"/>
        </w:rPr>
      </w:pPr>
      <w:r w:rsidRPr="00B5166B">
        <w:rPr>
          <w:rFonts w:ascii="Calibri" w:eastAsia="Calibri" w:hAnsi="Calibri" w:cs="Arial"/>
        </w:rPr>
        <w:t xml:space="preserve">considered that </w:t>
      </w:r>
      <w:r w:rsidR="00416BCE" w:rsidRPr="00B5166B">
        <w:rPr>
          <w:rFonts w:ascii="Calibri" w:eastAsia="Calibri" w:hAnsi="Calibri" w:cs="Arial"/>
        </w:rPr>
        <w:t xml:space="preserve">the assumptions around </w:t>
      </w:r>
      <w:r w:rsidR="00335A25" w:rsidRPr="00B5166B">
        <w:rPr>
          <w:rFonts w:ascii="Calibri" w:eastAsia="Calibri" w:hAnsi="Calibri" w:cs="Arial"/>
        </w:rPr>
        <w:t>discontinuation rates</w:t>
      </w:r>
      <w:r w:rsidR="00416BCE" w:rsidRPr="00C72881">
        <w:rPr>
          <w:rFonts w:ascii="Calibri" w:eastAsia="Calibri" w:hAnsi="Calibri" w:cs="Arial"/>
        </w:rPr>
        <w:t xml:space="preserve"> may not have </w:t>
      </w:r>
      <w:r w:rsidR="00C841E7" w:rsidRPr="00C72881">
        <w:rPr>
          <w:rFonts w:ascii="Calibri" w:eastAsia="Calibri" w:hAnsi="Calibri" w:cs="Arial"/>
        </w:rPr>
        <w:t xml:space="preserve">been applicable to </w:t>
      </w:r>
      <w:r w:rsidR="00416BCE" w:rsidRPr="000B2435">
        <w:rPr>
          <w:rFonts w:ascii="Calibri" w:eastAsia="Calibri" w:hAnsi="Calibri" w:cs="Arial"/>
        </w:rPr>
        <w:t>golimumab and the requested restriction</w:t>
      </w:r>
      <w:r w:rsidR="00C841E7" w:rsidRPr="000B2435">
        <w:rPr>
          <w:rFonts w:ascii="Calibri" w:eastAsia="Calibri" w:hAnsi="Calibri" w:cs="Arial"/>
        </w:rPr>
        <w:t>;</w:t>
      </w:r>
      <w:r w:rsidR="00464DDC" w:rsidRPr="000B2435">
        <w:rPr>
          <w:rFonts w:ascii="Calibri" w:eastAsia="Calibri" w:hAnsi="Calibri" w:cs="Arial"/>
        </w:rPr>
        <w:t xml:space="preserve"> </w:t>
      </w:r>
    </w:p>
    <w:p w:rsidR="0073388F" w:rsidRPr="00141C6B" w:rsidRDefault="0073388F" w:rsidP="009A036F">
      <w:pPr>
        <w:numPr>
          <w:ilvl w:val="0"/>
          <w:numId w:val="10"/>
        </w:numPr>
        <w:spacing w:before="0" w:after="120"/>
        <w:ind w:left="1293" w:hanging="357"/>
        <w:contextualSpacing/>
        <w:jc w:val="both"/>
        <w:rPr>
          <w:rFonts w:ascii="Calibri" w:eastAsia="Calibri" w:hAnsi="Calibri" w:cs="Arial"/>
        </w:rPr>
      </w:pPr>
      <w:r w:rsidRPr="00141C6B">
        <w:rPr>
          <w:rFonts w:ascii="Calibri" w:eastAsia="Calibri" w:hAnsi="Calibri" w:cs="Arial"/>
        </w:rPr>
        <w:t>that it would have been reasonable for the base case to include transitions to AS, but acknowledged there were limited reliable data to inform the rate of progression to AS</w:t>
      </w:r>
      <w:r w:rsidR="00C841E7">
        <w:rPr>
          <w:rFonts w:ascii="Calibri" w:eastAsia="Calibri" w:hAnsi="Calibri" w:cs="Arial"/>
        </w:rPr>
        <w:t>; and</w:t>
      </w:r>
      <w:r w:rsidRPr="00141C6B">
        <w:rPr>
          <w:rFonts w:ascii="Calibri" w:eastAsia="Calibri" w:hAnsi="Calibri" w:cs="Arial"/>
        </w:rPr>
        <w:t xml:space="preserve"> </w:t>
      </w:r>
    </w:p>
    <w:p w:rsidR="009309D6" w:rsidRPr="00141C6B" w:rsidRDefault="005A1E48" w:rsidP="009A036F">
      <w:pPr>
        <w:numPr>
          <w:ilvl w:val="0"/>
          <w:numId w:val="10"/>
        </w:numPr>
        <w:spacing w:before="0" w:after="120"/>
        <w:ind w:left="1293" w:hanging="357"/>
        <w:contextualSpacing/>
        <w:jc w:val="both"/>
        <w:rPr>
          <w:rFonts w:ascii="Calibri" w:eastAsia="Calibri" w:hAnsi="Calibri" w:cs="Arial"/>
        </w:rPr>
      </w:pPr>
      <w:r w:rsidRPr="00141C6B">
        <w:rPr>
          <w:rFonts w:ascii="Calibri" w:eastAsia="Calibri" w:hAnsi="Calibri" w:cs="Arial"/>
        </w:rPr>
        <w:t xml:space="preserve">the model should have included </w:t>
      </w:r>
      <w:r w:rsidR="00E23FAE" w:rsidRPr="00141C6B">
        <w:rPr>
          <w:rFonts w:ascii="Calibri" w:eastAsia="Calibri" w:hAnsi="Calibri" w:cs="Arial"/>
        </w:rPr>
        <w:t xml:space="preserve">costs and disutilities to address the long-term safety of golimumab, acknowledging that such adverse events were unknown. </w:t>
      </w:r>
    </w:p>
    <w:p w:rsidR="009309D6" w:rsidRPr="00141C6B" w:rsidRDefault="009309D6" w:rsidP="009A036F">
      <w:pPr>
        <w:pStyle w:val="ListParagraph"/>
        <w:numPr>
          <w:ilvl w:val="1"/>
          <w:numId w:val="1"/>
        </w:numPr>
        <w:spacing w:before="0" w:after="120"/>
        <w:contextualSpacing/>
        <w:jc w:val="both"/>
        <w:rPr>
          <w:bCs/>
          <w:lang w:val="en-GB"/>
        </w:rPr>
      </w:pPr>
      <w:r w:rsidRPr="00141C6B">
        <w:rPr>
          <w:bCs/>
          <w:lang w:val="en-GB"/>
        </w:rPr>
        <w:t xml:space="preserve">The PBAC considered that the drug cost per patient was substantial, particularly in the context of a treatment </w:t>
      </w:r>
      <w:r w:rsidR="00FB30F8">
        <w:rPr>
          <w:bCs/>
          <w:lang w:val="en-GB"/>
        </w:rPr>
        <w:t xml:space="preserve">where it will be </w:t>
      </w:r>
      <w:r w:rsidR="00FB30F8">
        <w:t>difficult to contain use to those would most need and benefit from bDMARD therapy,</w:t>
      </w:r>
      <w:r w:rsidR="00FB30F8" w:rsidRPr="00141C6B">
        <w:rPr>
          <w:bCs/>
          <w:lang w:val="en-GB"/>
        </w:rPr>
        <w:t xml:space="preserve"> </w:t>
      </w:r>
      <w:r w:rsidRPr="00141C6B">
        <w:rPr>
          <w:bCs/>
          <w:lang w:val="en-GB"/>
        </w:rPr>
        <w:t xml:space="preserve">with a high continuation rate </w:t>
      </w:r>
      <w:r w:rsidR="00141C6B" w:rsidRPr="00141C6B">
        <w:rPr>
          <w:bCs/>
          <w:lang w:val="en-GB"/>
        </w:rPr>
        <w:t>and uncertain long-term outcomes</w:t>
      </w:r>
      <w:r w:rsidR="00FB30F8">
        <w:rPr>
          <w:bCs/>
          <w:lang w:val="en-GB"/>
        </w:rPr>
        <w:t>,</w:t>
      </w:r>
      <w:r w:rsidR="00141C6B" w:rsidRPr="00141C6B">
        <w:rPr>
          <w:bCs/>
          <w:lang w:val="en-GB"/>
        </w:rPr>
        <w:t xml:space="preserve">. </w:t>
      </w:r>
    </w:p>
    <w:p w:rsidR="00464DDC" w:rsidRPr="009672B5" w:rsidRDefault="00247038" w:rsidP="009A036F">
      <w:pPr>
        <w:numPr>
          <w:ilvl w:val="1"/>
          <w:numId w:val="1"/>
        </w:numPr>
        <w:spacing w:before="0" w:after="120"/>
        <w:ind w:left="578" w:hanging="578"/>
        <w:jc w:val="both"/>
        <w:rPr>
          <w:bCs/>
          <w:lang w:val="en-GB"/>
        </w:rPr>
      </w:pPr>
      <w:r w:rsidRPr="00141C6B">
        <w:rPr>
          <w:bCs/>
          <w:lang w:val="en-GB"/>
        </w:rPr>
        <w:t xml:space="preserve">The PBAC considered that the </w:t>
      </w:r>
      <w:r w:rsidR="00141C6B">
        <w:rPr>
          <w:rFonts w:ascii="Calibri" w:eastAsia="Calibri" w:hAnsi="Calibri" w:cs="Arial"/>
        </w:rPr>
        <w:t xml:space="preserve">financial impact </w:t>
      </w:r>
      <w:r w:rsidR="00141C6B" w:rsidRPr="00141C6B">
        <w:rPr>
          <w:bCs/>
          <w:lang w:val="en-GB"/>
        </w:rPr>
        <w:t>w</w:t>
      </w:r>
      <w:r w:rsidR="00141C6B">
        <w:rPr>
          <w:rFonts w:ascii="Calibri" w:eastAsia="Calibri" w:hAnsi="Calibri" w:cs="Arial"/>
        </w:rPr>
        <w:t>a</w:t>
      </w:r>
      <w:r w:rsidR="00141C6B" w:rsidRPr="00141C6B">
        <w:rPr>
          <w:bCs/>
          <w:lang w:val="en-GB"/>
        </w:rPr>
        <w:t>s</w:t>
      </w:r>
      <w:r w:rsidR="00141C6B">
        <w:rPr>
          <w:rFonts w:ascii="Calibri" w:eastAsia="Calibri" w:hAnsi="Calibri" w:cs="Arial"/>
        </w:rPr>
        <w:t xml:space="preserve"> high</w:t>
      </w:r>
      <w:r w:rsidR="00141C6B" w:rsidRPr="00141C6B">
        <w:rPr>
          <w:bCs/>
          <w:lang w:val="en-GB"/>
        </w:rPr>
        <w:t xml:space="preserve"> </w:t>
      </w:r>
      <w:r w:rsidR="00141C6B">
        <w:rPr>
          <w:bCs/>
          <w:lang w:val="en-GB"/>
        </w:rPr>
        <w:t>and</w:t>
      </w:r>
      <w:r w:rsidR="006A6BF3" w:rsidRPr="00141C6B">
        <w:rPr>
          <w:bCs/>
          <w:lang w:val="en-GB"/>
        </w:rPr>
        <w:t xml:space="preserve"> highly uncertain</w:t>
      </w:r>
      <w:r w:rsidR="00141C6B">
        <w:rPr>
          <w:bCs/>
          <w:lang w:val="en-GB"/>
        </w:rPr>
        <w:t>. K</w:t>
      </w:r>
      <w:r w:rsidR="00464DDC" w:rsidRPr="009672B5">
        <w:rPr>
          <w:bCs/>
          <w:lang w:val="en-GB"/>
        </w:rPr>
        <w:t>ey issues</w:t>
      </w:r>
      <w:r w:rsidR="00D30A88">
        <w:rPr>
          <w:bCs/>
          <w:lang w:val="en-GB"/>
        </w:rPr>
        <w:t xml:space="preserve"> included</w:t>
      </w:r>
      <w:r w:rsidR="00464DDC" w:rsidRPr="009672B5">
        <w:rPr>
          <w:bCs/>
          <w:lang w:val="en-GB"/>
        </w:rPr>
        <w:t>:</w:t>
      </w:r>
    </w:p>
    <w:p w:rsidR="00B84AE5" w:rsidRDefault="00141C6B" w:rsidP="00595033">
      <w:pPr>
        <w:pStyle w:val="ListParagraph"/>
        <w:numPr>
          <w:ilvl w:val="0"/>
          <w:numId w:val="10"/>
        </w:numPr>
        <w:spacing w:before="0" w:after="120"/>
        <w:contextualSpacing/>
        <w:jc w:val="both"/>
        <w:rPr>
          <w:rFonts w:ascii="Calibri" w:eastAsia="Calibri" w:hAnsi="Calibri" w:cs="Arial"/>
        </w:rPr>
      </w:pPr>
      <w:r>
        <w:rPr>
          <w:rFonts w:ascii="Calibri" w:eastAsia="Calibri" w:hAnsi="Calibri" w:cs="Arial"/>
        </w:rPr>
        <w:t>the</w:t>
      </w:r>
      <w:r w:rsidR="00D30A88">
        <w:rPr>
          <w:rFonts w:ascii="Calibri" w:eastAsia="Calibri" w:hAnsi="Calibri" w:cs="Arial"/>
        </w:rPr>
        <w:t xml:space="preserve"> number of eligible patients w</w:t>
      </w:r>
      <w:r>
        <w:rPr>
          <w:rFonts w:ascii="Calibri" w:eastAsia="Calibri" w:hAnsi="Calibri" w:cs="Arial"/>
        </w:rPr>
        <w:t xml:space="preserve">as estimated </w:t>
      </w:r>
      <w:r w:rsidR="00D30A88">
        <w:rPr>
          <w:rFonts w:ascii="Calibri" w:eastAsia="Calibri" w:hAnsi="Calibri" w:cs="Arial"/>
        </w:rPr>
        <w:t xml:space="preserve">based on studies that were not directly relevant to the Australian population, particularly the use of </w:t>
      </w:r>
      <w:r w:rsidR="00464DDC" w:rsidRPr="008C7FD4">
        <w:rPr>
          <w:rFonts w:ascii="Calibri" w:eastAsia="Calibri" w:hAnsi="Calibri" w:cs="Arial"/>
        </w:rPr>
        <w:t>US prevalence</w:t>
      </w:r>
      <w:r w:rsidR="00D30A88">
        <w:rPr>
          <w:rFonts w:ascii="Calibri" w:eastAsia="Calibri" w:hAnsi="Calibri" w:cs="Arial"/>
        </w:rPr>
        <w:t xml:space="preserve"> rates</w:t>
      </w:r>
      <w:r w:rsidR="00C841E7">
        <w:rPr>
          <w:rFonts w:ascii="Calibri" w:eastAsia="Calibri" w:hAnsi="Calibri" w:cs="Arial"/>
        </w:rPr>
        <w:t>;</w:t>
      </w:r>
    </w:p>
    <w:p w:rsidR="00464DDC" w:rsidRDefault="00B84AE5" w:rsidP="00595033">
      <w:pPr>
        <w:pStyle w:val="ListParagraph"/>
        <w:numPr>
          <w:ilvl w:val="0"/>
          <w:numId w:val="10"/>
        </w:numPr>
        <w:spacing w:before="0" w:after="120"/>
        <w:contextualSpacing/>
        <w:jc w:val="both"/>
        <w:rPr>
          <w:rFonts w:ascii="Calibri" w:eastAsia="Calibri" w:hAnsi="Calibri" w:cs="Arial"/>
        </w:rPr>
      </w:pPr>
      <w:r w:rsidRPr="00B84AE5">
        <w:rPr>
          <w:rFonts w:ascii="Calibri" w:eastAsia="Calibri" w:hAnsi="Calibri" w:cs="Arial"/>
        </w:rPr>
        <w:lastRenderedPageBreak/>
        <w:t xml:space="preserve">patients 45 years or older who were diagnosed before the age of 45 should </w:t>
      </w:r>
      <w:r w:rsidR="00141C6B">
        <w:rPr>
          <w:rFonts w:ascii="Calibri" w:eastAsia="Calibri" w:hAnsi="Calibri" w:cs="Arial"/>
        </w:rPr>
        <w:t xml:space="preserve">have </w:t>
      </w:r>
      <w:r w:rsidRPr="00B84AE5">
        <w:rPr>
          <w:rFonts w:ascii="Calibri" w:eastAsia="Calibri" w:hAnsi="Calibri" w:cs="Arial"/>
        </w:rPr>
        <w:t>be</w:t>
      </w:r>
      <w:r w:rsidR="00141C6B">
        <w:rPr>
          <w:rFonts w:ascii="Calibri" w:eastAsia="Calibri" w:hAnsi="Calibri" w:cs="Arial"/>
        </w:rPr>
        <w:t>en</w:t>
      </w:r>
      <w:r w:rsidRPr="00B84AE5">
        <w:rPr>
          <w:rFonts w:ascii="Calibri" w:eastAsia="Calibri" w:hAnsi="Calibri" w:cs="Arial"/>
        </w:rPr>
        <w:t xml:space="preserve"> included in the estimated patient numbers</w:t>
      </w:r>
      <w:r w:rsidR="00C841E7">
        <w:rPr>
          <w:rFonts w:ascii="Calibri" w:eastAsia="Calibri" w:hAnsi="Calibri" w:cs="Arial"/>
        </w:rPr>
        <w:t>;</w:t>
      </w:r>
    </w:p>
    <w:p w:rsidR="00B84AE5" w:rsidRDefault="00B84AE5" w:rsidP="00595033">
      <w:pPr>
        <w:pStyle w:val="ListParagraph"/>
        <w:numPr>
          <w:ilvl w:val="0"/>
          <w:numId w:val="10"/>
        </w:numPr>
        <w:spacing w:before="0" w:after="120"/>
        <w:contextualSpacing/>
        <w:jc w:val="both"/>
        <w:rPr>
          <w:rFonts w:ascii="Calibri" w:eastAsia="Calibri" w:hAnsi="Calibri" w:cs="Arial"/>
        </w:rPr>
      </w:pPr>
      <w:r w:rsidRPr="009672B5">
        <w:rPr>
          <w:rFonts w:ascii="Calibri" w:eastAsia="Calibri" w:hAnsi="Calibri" w:cs="Arial"/>
        </w:rPr>
        <w:t>the estimates only account</w:t>
      </w:r>
      <w:r w:rsidR="00141C6B">
        <w:rPr>
          <w:rFonts w:ascii="Calibri" w:eastAsia="Calibri" w:hAnsi="Calibri" w:cs="Arial"/>
        </w:rPr>
        <w:t>ed</w:t>
      </w:r>
      <w:r w:rsidRPr="009672B5">
        <w:rPr>
          <w:rFonts w:ascii="Calibri" w:eastAsia="Calibri" w:hAnsi="Calibri" w:cs="Arial"/>
        </w:rPr>
        <w:t xml:space="preserve"> for 16 weeks of initial treatment which </w:t>
      </w:r>
      <w:r w:rsidR="00141C6B">
        <w:rPr>
          <w:rFonts w:ascii="Calibri" w:eastAsia="Calibri" w:hAnsi="Calibri" w:cs="Arial"/>
        </w:rPr>
        <w:t>wa</w:t>
      </w:r>
      <w:r w:rsidRPr="009672B5">
        <w:rPr>
          <w:rFonts w:ascii="Calibri" w:eastAsia="Calibri" w:hAnsi="Calibri" w:cs="Arial"/>
        </w:rPr>
        <w:t>s inconsistent with the requested listing of 20 weeks</w:t>
      </w:r>
      <w:r w:rsidR="00C841E7">
        <w:rPr>
          <w:rFonts w:ascii="Calibri" w:eastAsia="Calibri" w:hAnsi="Calibri" w:cs="Arial"/>
        </w:rPr>
        <w:t>;</w:t>
      </w:r>
      <w:r w:rsidRPr="009672B5">
        <w:rPr>
          <w:rFonts w:ascii="Calibri" w:eastAsia="Calibri" w:hAnsi="Calibri" w:cs="Arial"/>
        </w:rPr>
        <w:t xml:space="preserve"> </w:t>
      </w:r>
    </w:p>
    <w:p w:rsidR="00B84AE5" w:rsidRDefault="00B84AE5" w:rsidP="00595033">
      <w:pPr>
        <w:pStyle w:val="ListParagraph"/>
        <w:numPr>
          <w:ilvl w:val="0"/>
          <w:numId w:val="10"/>
        </w:numPr>
        <w:spacing w:before="0" w:after="120"/>
        <w:contextualSpacing/>
        <w:jc w:val="both"/>
        <w:rPr>
          <w:rFonts w:ascii="Calibri" w:eastAsia="Calibri" w:hAnsi="Calibri" w:cs="Arial"/>
        </w:rPr>
      </w:pPr>
      <w:r>
        <w:rPr>
          <w:rFonts w:ascii="Calibri" w:eastAsia="Calibri" w:hAnsi="Calibri" w:cs="Arial"/>
        </w:rPr>
        <w:t xml:space="preserve">uptake rates </w:t>
      </w:r>
      <w:r w:rsidR="001833D9">
        <w:rPr>
          <w:rFonts w:ascii="Calibri" w:eastAsia="Calibri" w:hAnsi="Calibri" w:cs="Arial"/>
        </w:rPr>
        <w:t xml:space="preserve">and continuation rates </w:t>
      </w:r>
      <w:r>
        <w:rPr>
          <w:rFonts w:ascii="Calibri" w:eastAsia="Calibri" w:hAnsi="Calibri" w:cs="Arial"/>
        </w:rPr>
        <w:t xml:space="preserve">may be higher than estimated in the submission </w:t>
      </w:r>
      <w:r w:rsidR="001833D9">
        <w:rPr>
          <w:rFonts w:ascii="Calibri" w:eastAsia="Calibri" w:hAnsi="Calibri" w:cs="Arial"/>
        </w:rPr>
        <w:t>due to the high unmet clinical need and ease of use of the drug</w:t>
      </w:r>
      <w:r w:rsidR="00C841E7">
        <w:rPr>
          <w:rFonts w:ascii="Calibri" w:eastAsia="Calibri" w:hAnsi="Calibri" w:cs="Arial"/>
        </w:rPr>
        <w:t>; and</w:t>
      </w:r>
      <w:r w:rsidR="001833D9">
        <w:rPr>
          <w:rFonts w:ascii="Calibri" w:eastAsia="Calibri" w:hAnsi="Calibri" w:cs="Arial"/>
        </w:rPr>
        <w:t xml:space="preserve"> </w:t>
      </w:r>
    </w:p>
    <w:p w:rsidR="00B84AE5" w:rsidRPr="00C841E7" w:rsidRDefault="00B84AE5" w:rsidP="00936484">
      <w:pPr>
        <w:pStyle w:val="ListParagraph"/>
        <w:numPr>
          <w:ilvl w:val="0"/>
          <w:numId w:val="10"/>
        </w:numPr>
        <w:spacing w:before="0" w:after="120"/>
        <w:ind w:left="1293" w:hanging="357"/>
        <w:jc w:val="both"/>
        <w:rPr>
          <w:rFonts w:ascii="Calibri" w:eastAsia="Calibri" w:hAnsi="Calibri" w:cs="Arial"/>
        </w:rPr>
      </w:pPr>
      <w:r w:rsidRPr="00B84AE5">
        <w:rPr>
          <w:rFonts w:ascii="Calibri" w:eastAsia="Calibri" w:hAnsi="Calibri" w:cs="Arial"/>
        </w:rPr>
        <w:t>the</w:t>
      </w:r>
      <w:r w:rsidR="006A6BF3">
        <w:rPr>
          <w:rFonts w:ascii="Calibri" w:eastAsia="Calibri" w:hAnsi="Calibri" w:cs="Arial"/>
        </w:rPr>
        <w:t xml:space="preserve"> PBAC considered that there was high likelihood of substantial leakage </w:t>
      </w:r>
      <w:r w:rsidRPr="00C841E7">
        <w:rPr>
          <w:rFonts w:ascii="Calibri" w:eastAsia="Calibri" w:hAnsi="Calibri" w:cs="Arial"/>
        </w:rPr>
        <w:t xml:space="preserve">beyond the proposed population </w:t>
      </w:r>
      <w:r w:rsidR="006A6BF3" w:rsidRPr="00C841E7">
        <w:rPr>
          <w:rFonts w:ascii="Calibri" w:eastAsia="Calibri" w:hAnsi="Calibri" w:cs="Arial"/>
        </w:rPr>
        <w:t>(</w:t>
      </w:r>
      <w:r w:rsidRPr="00C841E7">
        <w:rPr>
          <w:rFonts w:ascii="Calibri" w:eastAsia="Calibri" w:hAnsi="Calibri" w:cs="Arial"/>
        </w:rPr>
        <w:t>in those with chronic back pain</w:t>
      </w:r>
      <w:r w:rsidR="006A6BF3" w:rsidRPr="00C841E7">
        <w:rPr>
          <w:rFonts w:ascii="Calibri" w:eastAsia="Calibri" w:hAnsi="Calibri" w:cs="Arial"/>
        </w:rPr>
        <w:t>)</w:t>
      </w:r>
      <w:r w:rsidR="00C841E7">
        <w:rPr>
          <w:rFonts w:ascii="Calibri" w:eastAsia="Calibri" w:hAnsi="Calibri" w:cs="Arial"/>
        </w:rPr>
        <w:t>.</w:t>
      </w:r>
    </w:p>
    <w:p w:rsidR="001833D9" w:rsidRPr="009A036F" w:rsidRDefault="00FB30F8" w:rsidP="00936484">
      <w:pPr>
        <w:pStyle w:val="ListParagraph"/>
        <w:numPr>
          <w:ilvl w:val="1"/>
          <w:numId w:val="1"/>
        </w:numPr>
        <w:spacing w:after="120"/>
        <w:ind w:left="578" w:hanging="578"/>
        <w:jc w:val="both"/>
        <w:rPr>
          <w:bCs/>
          <w:lang w:val="en-GB"/>
        </w:rPr>
      </w:pPr>
      <w:r>
        <w:t>The PBAC considered a</w:t>
      </w:r>
      <w:r w:rsidR="00CE54C3">
        <w:t>ny future</w:t>
      </w:r>
      <w:r>
        <w:t xml:space="preserve"> submission for a bDMARD for this condition would need to consider ways of</w:t>
      </w:r>
      <w:r w:rsidR="001833D9" w:rsidRPr="009A036F">
        <w:rPr>
          <w:rFonts w:ascii="Calibri" w:eastAsia="Calibri" w:hAnsi="Calibri" w:cs="Arial"/>
        </w:rPr>
        <w:t xml:space="preserve"> </w:t>
      </w:r>
      <w:r w:rsidR="00141C6B" w:rsidRPr="009A036F">
        <w:rPr>
          <w:rFonts w:ascii="Calibri" w:eastAsia="Calibri" w:hAnsi="Calibri" w:cs="Arial"/>
        </w:rPr>
        <w:t>restrict</w:t>
      </w:r>
      <w:r>
        <w:rPr>
          <w:rFonts w:ascii="Calibri" w:eastAsia="Calibri" w:hAnsi="Calibri" w:cs="Arial"/>
        </w:rPr>
        <w:t>ing</w:t>
      </w:r>
      <w:r w:rsidR="00141C6B" w:rsidRPr="009A036F">
        <w:rPr>
          <w:rFonts w:ascii="Calibri" w:eastAsia="Calibri" w:hAnsi="Calibri" w:cs="Arial"/>
        </w:rPr>
        <w:t xml:space="preserve"> use to those</w:t>
      </w:r>
      <w:r w:rsidR="002E1CB4" w:rsidRPr="009A036F">
        <w:rPr>
          <w:rFonts w:ascii="Calibri" w:eastAsia="Calibri" w:hAnsi="Calibri" w:cs="Arial"/>
        </w:rPr>
        <w:t xml:space="preserve"> patients with the highest clinical need who are most likely to benefit</w:t>
      </w:r>
      <w:r w:rsidR="00CE54C3">
        <w:rPr>
          <w:rFonts w:ascii="Calibri" w:eastAsia="Calibri" w:hAnsi="Calibri" w:cs="Arial"/>
        </w:rPr>
        <w:t xml:space="preserve"> from </w:t>
      </w:r>
      <w:r w:rsidR="00813750">
        <w:rPr>
          <w:rFonts w:ascii="Calibri" w:eastAsia="Calibri" w:hAnsi="Calibri" w:cs="Arial"/>
        </w:rPr>
        <w:t>biological therapy</w:t>
      </w:r>
      <w:r w:rsidR="002E1CB4" w:rsidRPr="009A036F">
        <w:rPr>
          <w:rFonts w:ascii="Calibri" w:eastAsia="Calibri" w:hAnsi="Calibri" w:cs="Arial"/>
        </w:rPr>
        <w:t xml:space="preserve">, </w:t>
      </w:r>
      <w:r w:rsidR="00141C6B" w:rsidRPr="009A036F">
        <w:rPr>
          <w:rFonts w:ascii="Calibri" w:eastAsia="Calibri" w:hAnsi="Calibri" w:cs="Arial"/>
        </w:rPr>
        <w:t xml:space="preserve">propose a </w:t>
      </w:r>
      <w:r w:rsidR="002E1CB4" w:rsidRPr="009A036F">
        <w:rPr>
          <w:rFonts w:ascii="Calibri" w:eastAsia="Calibri" w:hAnsi="Calibri" w:cs="Arial"/>
        </w:rPr>
        <w:t xml:space="preserve">lower cost per patient in the context of the lack of long-term outcome data, </w:t>
      </w:r>
      <w:r w:rsidR="009F13A7" w:rsidRPr="009A036F">
        <w:rPr>
          <w:rFonts w:ascii="Calibri" w:eastAsia="Calibri" w:hAnsi="Calibri" w:cs="Arial"/>
        </w:rPr>
        <w:t xml:space="preserve">and address </w:t>
      </w:r>
      <w:r w:rsidR="009F13A7">
        <w:rPr>
          <w:rFonts w:ascii="Calibri" w:eastAsia="Calibri" w:hAnsi="Calibri" w:cs="Arial"/>
        </w:rPr>
        <w:t>uncertainty in the cost-effectiveness analysis and address the potential for use beyond the restriction</w:t>
      </w:r>
      <w:r w:rsidR="002E1CB4" w:rsidRPr="009A036F">
        <w:rPr>
          <w:rFonts w:ascii="Calibri" w:eastAsia="Calibri" w:hAnsi="Calibri" w:cs="Arial"/>
        </w:rPr>
        <w:t xml:space="preserve">. </w:t>
      </w:r>
      <w:r w:rsidR="001833D9" w:rsidRPr="009A036F">
        <w:rPr>
          <w:rFonts w:ascii="Calibri" w:eastAsia="Calibri" w:hAnsi="Calibri" w:cs="Arial"/>
        </w:rPr>
        <w:t xml:space="preserve">Any such submission would need to be a major submission. </w:t>
      </w:r>
    </w:p>
    <w:p w:rsidR="008B646A" w:rsidRPr="008B646A" w:rsidRDefault="00BB68CD" w:rsidP="009A036F">
      <w:pPr>
        <w:pStyle w:val="ListParagraph"/>
        <w:numPr>
          <w:ilvl w:val="1"/>
          <w:numId w:val="1"/>
        </w:numPr>
        <w:spacing w:before="0" w:after="120"/>
        <w:ind w:left="578" w:hanging="578"/>
        <w:jc w:val="both"/>
        <w:rPr>
          <w:b/>
          <w:bCs/>
          <w:lang w:val="en-GB"/>
        </w:rPr>
      </w:pPr>
      <w:r w:rsidRPr="00C841E7">
        <w:rPr>
          <w:rFonts w:ascii="Calibri" w:eastAsia="Calibri" w:hAnsi="Calibri" w:cs="Arial"/>
        </w:rPr>
        <w:t>The PBAC noted that</w:t>
      </w:r>
      <w:r w:rsidRPr="00C841E7">
        <w:rPr>
          <w:bCs/>
          <w:lang w:val="en-GB"/>
        </w:rPr>
        <w:t xml:space="preserve"> this submission</w:t>
      </w:r>
      <w:r w:rsidRPr="00141C6B">
        <w:rPr>
          <w:bCs/>
          <w:lang w:val="en-GB"/>
        </w:rPr>
        <w:t xml:space="preserve"> is</w:t>
      </w:r>
      <w:r w:rsidR="00141C6B">
        <w:rPr>
          <w:bCs/>
          <w:lang w:val="en-GB"/>
        </w:rPr>
        <w:t xml:space="preserve"> </w:t>
      </w:r>
      <w:r w:rsidRPr="00141C6B">
        <w:rPr>
          <w:bCs/>
          <w:lang w:val="en-GB"/>
        </w:rPr>
        <w:t>eligible for an Independent Review</w:t>
      </w:r>
      <w:r w:rsidR="008B646A">
        <w:rPr>
          <w:bCs/>
          <w:lang w:val="en-GB"/>
        </w:rPr>
        <w:t>.</w:t>
      </w:r>
    </w:p>
    <w:p w:rsidR="008B646A" w:rsidRDefault="008B646A" w:rsidP="008B646A">
      <w:pPr>
        <w:spacing w:before="0" w:after="120"/>
        <w:jc w:val="both"/>
        <w:rPr>
          <w:bCs/>
          <w:lang w:val="en-GB"/>
        </w:rPr>
      </w:pPr>
    </w:p>
    <w:p w:rsidR="00BB68CD" w:rsidRPr="00BB68CD" w:rsidRDefault="00BB68CD" w:rsidP="008B646A">
      <w:pPr>
        <w:spacing w:before="0" w:after="120"/>
        <w:jc w:val="both"/>
        <w:rPr>
          <w:b/>
          <w:bCs/>
          <w:lang w:val="en-GB"/>
        </w:rPr>
      </w:pPr>
      <w:r w:rsidRPr="00BB68CD">
        <w:rPr>
          <w:b/>
          <w:bCs/>
          <w:lang w:val="en-GB"/>
        </w:rPr>
        <w:t>Outcome:</w:t>
      </w:r>
    </w:p>
    <w:p w:rsidR="00BB68CD" w:rsidRPr="008B646A" w:rsidRDefault="00BB68CD" w:rsidP="008B646A">
      <w:pPr>
        <w:rPr>
          <w:bCs/>
          <w:lang w:val="en-GB"/>
        </w:rPr>
      </w:pPr>
      <w:r w:rsidRPr="008B646A">
        <w:rPr>
          <w:bCs/>
          <w:lang w:val="en-GB"/>
        </w:rPr>
        <w:t xml:space="preserve">Rejected </w:t>
      </w:r>
    </w:p>
    <w:p w:rsidR="008B646A" w:rsidRDefault="008B646A" w:rsidP="008B646A">
      <w:pPr>
        <w:rPr>
          <w:b/>
          <w:bCs/>
        </w:rPr>
      </w:pPr>
    </w:p>
    <w:p w:rsidR="00F01A40" w:rsidRPr="00F01A40" w:rsidRDefault="00F01A40" w:rsidP="00F01A40">
      <w:pPr>
        <w:keepNext/>
        <w:keepLines/>
        <w:numPr>
          <w:ilvl w:val="0"/>
          <w:numId w:val="1"/>
        </w:numPr>
        <w:spacing w:before="240" w:after="120"/>
        <w:jc w:val="both"/>
        <w:outlineLvl w:val="0"/>
        <w:rPr>
          <w:rFonts w:ascii="Calibri" w:eastAsia="SimSun" w:hAnsi="Calibri" w:cs="Times New Roman"/>
          <w:b/>
          <w:sz w:val="32"/>
          <w:szCs w:val="28"/>
        </w:rPr>
      </w:pPr>
      <w:r w:rsidRPr="00F01A40">
        <w:rPr>
          <w:rFonts w:ascii="Calibri" w:eastAsia="SimSun" w:hAnsi="Calibri" w:cs="Times New Roman"/>
          <w:b/>
          <w:sz w:val="32"/>
          <w:szCs w:val="28"/>
        </w:rPr>
        <w:t>Context for Decision</w:t>
      </w:r>
    </w:p>
    <w:p w:rsidR="00F01A40" w:rsidRPr="00F01A40" w:rsidRDefault="00F01A40" w:rsidP="00F01A40">
      <w:pPr>
        <w:spacing w:after="120"/>
        <w:jc w:val="both"/>
        <w:rPr>
          <w:rFonts w:ascii="Calibri" w:eastAsia="Calibri" w:hAnsi="Calibri" w:cs="Arial"/>
        </w:rPr>
      </w:pPr>
      <w:r w:rsidRPr="00F01A40">
        <w:rPr>
          <w:rFonts w:ascii="Calibri" w:eastAsia="Calibri" w:hAnsi="Calibr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01A40" w:rsidRPr="00F01A40" w:rsidRDefault="00F01A40" w:rsidP="00F01A40">
      <w:pPr>
        <w:keepNext/>
        <w:keepLines/>
        <w:numPr>
          <w:ilvl w:val="0"/>
          <w:numId w:val="1"/>
        </w:numPr>
        <w:spacing w:before="240" w:after="120"/>
        <w:ind w:left="709" w:hanging="709"/>
        <w:jc w:val="both"/>
        <w:outlineLvl w:val="0"/>
        <w:rPr>
          <w:rFonts w:ascii="Calibri" w:eastAsia="SimSun" w:hAnsi="Calibri" w:cs="Times New Roman"/>
          <w:b/>
          <w:sz w:val="32"/>
          <w:szCs w:val="32"/>
        </w:rPr>
      </w:pPr>
      <w:r w:rsidRPr="00F01A40">
        <w:rPr>
          <w:rFonts w:ascii="Calibri" w:eastAsia="SimSun" w:hAnsi="Calibri" w:cs="Times New Roman"/>
          <w:b/>
          <w:sz w:val="32"/>
          <w:szCs w:val="32"/>
        </w:rPr>
        <w:t>Sponsor’s Comment</w:t>
      </w:r>
    </w:p>
    <w:p w:rsidR="00163567" w:rsidRPr="00BB68CD" w:rsidRDefault="00163567" w:rsidP="00163567">
      <w:pPr>
        <w:jc w:val="both"/>
        <w:rPr>
          <w:lang w:val="en-GB"/>
        </w:rPr>
      </w:pPr>
      <w:r w:rsidRPr="008514C7">
        <w:rPr>
          <w:rFonts w:ascii="Calibri" w:eastAsia="Calibri" w:hAnsi="Calibri" w:cs="Arial"/>
          <w:snapToGrid w:val="0"/>
          <w:szCs w:val="20"/>
        </w:rPr>
        <w:t>Janssen will continue to work with the PBAC to make golimumab available</w:t>
      </w:r>
      <w:r>
        <w:rPr>
          <w:rFonts w:ascii="Calibri" w:eastAsia="Calibri" w:hAnsi="Calibri" w:cs="Arial"/>
          <w:snapToGrid w:val="0"/>
          <w:szCs w:val="20"/>
        </w:rPr>
        <w:t xml:space="preserve"> </w:t>
      </w:r>
      <w:r w:rsidRPr="008514C7">
        <w:rPr>
          <w:rFonts w:ascii="Calibri" w:eastAsia="Calibri" w:hAnsi="Calibri" w:cs="Arial"/>
          <w:snapToGrid w:val="0"/>
          <w:szCs w:val="20"/>
        </w:rPr>
        <w:t>to patients as soon as practical.</w:t>
      </w:r>
    </w:p>
    <w:p w:rsidR="00BB68CD" w:rsidRPr="00BB68CD" w:rsidRDefault="00BB68CD" w:rsidP="00BB68CD">
      <w:pPr>
        <w:pStyle w:val="ListParagraph"/>
        <w:spacing w:after="120"/>
        <w:ind w:left="576"/>
        <w:jc w:val="both"/>
        <w:rPr>
          <w:lang w:val="en-GB"/>
        </w:rPr>
      </w:pPr>
    </w:p>
    <w:sectPr w:rsidR="00BB68CD" w:rsidRPr="00BB68CD" w:rsidSect="001A3B1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1FF1EC" w15:done="0"/>
  <w15:commentEx w15:paraId="7E59A954" w15:done="0"/>
  <w15:commentEx w15:paraId="58126DD1" w15:done="0"/>
  <w15:commentEx w15:paraId="078A29AA" w15:done="0"/>
  <w15:commentEx w15:paraId="725A176A" w15:done="0"/>
  <w15:commentEx w15:paraId="1C4950AA" w15:done="0"/>
  <w15:commentEx w15:paraId="1F275047" w15:done="0"/>
  <w15:commentEx w15:paraId="4B8633A9" w15:done="0"/>
  <w15:commentEx w15:paraId="29BC2346" w15:done="0"/>
  <w15:commentEx w15:paraId="078EB417" w15:done="0"/>
  <w15:commentEx w15:paraId="436D65C8" w15:done="0"/>
  <w15:commentEx w15:paraId="0D8FD90B" w15:paraIdParent="436D65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A9EE11" w16cid:durableId="1D85AB4A"/>
  <w16cid:commentId w16cid:paraId="2B16072A" w16cid:durableId="1D772D2E"/>
  <w16cid:commentId w16cid:paraId="6B004BD6" w16cid:durableId="1D772D95"/>
  <w16cid:commentId w16cid:paraId="050AB939" w16cid:durableId="1D772DD7"/>
  <w16cid:commentId w16cid:paraId="39638DB9" w16cid:durableId="1D772DFF"/>
  <w16cid:commentId w16cid:paraId="61C75FFB" w16cid:durableId="1D85E100"/>
  <w16cid:commentId w16cid:paraId="3BDBEC95" w16cid:durableId="1D772E8E"/>
  <w16cid:commentId w16cid:paraId="1881D1FB" w16cid:durableId="1D85A7B0"/>
  <w16cid:commentId w16cid:paraId="53AE9336" w16cid:durableId="1D77319E"/>
  <w16cid:commentId w16cid:paraId="26692349" w16cid:durableId="1D85E2D8"/>
  <w16cid:commentId w16cid:paraId="363E4681" w16cid:durableId="1D7734FF"/>
  <w16cid:commentId w16cid:paraId="0176DFE5" w16cid:durableId="1D773642"/>
  <w16cid:commentId w16cid:paraId="342836A8" w16cid:durableId="1D774445"/>
  <w16cid:commentId w16cid:paraId="4A747A6E" w16cid:durableId="1D85D803"/>
  <w16cid:commentId w16cid:paraId="2B346221" w16cid:durableId="1D85BADF"/>
  <w16cid:commentId w16cid:paraId="61C231A3" w16cid:durableId="1D85B090"/>
  <w16cid:commentId w16cid:paraId="4B07E59E" w16cid:durableId="1D85B0A0"/>
  <w16cid:commentId w16cid:paraId="074C7FD3" w16cid:durableId="1D7749DA"/>
  <w16cid:commentId w16cid:paraId="19483A14" w16cid:durableId="1D774A93"/>
  <w16cid:commentId w16cid:paraId="1D484BFC" w16cid:durableId="1D85EF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28B" w:rsidRDefault="0092728B" w:rsidP="00BA3306">
      <w:pPr>
        <w:spacing w:before="0" w:after="0"/>
      </w:pPr>
      <w:r>
        <w:separator/>
      </w:r>
    </w:p>
  </w:endnote>
  <w:endnote w:type="continuationSeparator" w:id="0">
    <w:p w:rsidR="0092728B" w:rsidRDefault="0092728B"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28B" w:rsidRDefault="009272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ED" w:rsidRDefault="00440BED">
    <w:pPr>
      <w:pStyle w:val="Footer"/>
      <w:jc w:val="center"/>
      <w:rPr>
        <w:sz w:val="22"/>
      </w:rPr>
    </w:pPr>
  </w:p>
  <w:sdt>
    <w:sdtPr>
      <w:id w:val="909573086"/>
      <w:docPartObj>
        <w:docPartGallery w:val="Page Numbers (Bottom of Page)"/>
        <w:docPartUnique/>
      </w:docPartObj>
    </w:sdtPr>
    <w:sdtEndPr>
      <w:rPr>
        <w:b/>
        <w:noProof/>
      </w:rPr>
    </w:sdtEndPr>
    <w:sdtContent>
      <w:p w:rsidR="00440BED" w:rsidRDefault="00440BED">
        <w:pPr>
          <w:pStyle w:val="Footer"/>
          <w:jc w:val="center"/>
          <w:rPr>
            <w:b/>
            <w:noProof/>
          </w:rPr>
        </w:pPr>
        <w:r w:rsidRPr="005D3EA4">
          <w:rPr>
            <w:b/>
          </w:rPr>
          <w:fldChar w:fldCharType="begin"/>
        </w:r>
        <w:r w:rsidRPr="005D3EA4">
          <w:rPr>
            <w:b/>
          </w:rPr>
          <w:instrText xml:space="preserve"> PAGE   \* MERGEFORMAT </w:instrText>
        </w:r>
        <w:r w:rsidRPr="005D3EA4">
          <w:rPr>
            <w:b/>
          </w:rPr>
          <w:fldChar w:fldCharType="separate"/>
        </w:r>
        <w:r w:rsidR="0004564E">
          <w:rPr>
            <w:b/>
            <w:noProof/>
          </w:rPr>
          <w:t>1</w:t>
        </w:r>
        <w:r w:rsidRPr="005D3EA4">
          <w:rPr>
            <w:b/>
            <w:noProof/>
          </w:rPr>
          <w:fldChar w:fldCharType="end"/>
        </w:r>
      </w:p>
      <w:p w:rsidR="00440BED" w:rsidRPr="005D3EA4" w:rsidRDefault="0004564E">
        <w:pPr>
          <w:pStyle w:val="Footer"/>
          <w:jc w:val="center"/>
          <w:rPr>
            <w:b/>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28B" w:rsidRDefault="009272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28B" w:rsidRDefault="0092728B" w:rsidP="00BA3306">
      <w:pPr>
        <w:spacing w:before="0" w:after="0"/>
      </w:pPr>
      <w:r>
        <w:separator/>
      </w:r>
    </w:p>
  </w:footnote>
  <w:footnote w:type="continuationSeparator" w:id="0">
    <w:p w:rsidR="0092728B" w:rsidRDefault="0092728B" w:rsidP="00BA3306">
      <w:pPr>
        <w:spacing w:before="0" w:after="0"/>
      </w:pPr>
      <w:r>
        <w:continuationSeparator/>
      </w:r>
    </w:p>
  </w:footnote>
  <w:footnote w:id="1">
    <w:p w:rsidR="00440BED" w:rsidRDefault="00440BED">
      <w:pPr>
        <w:pStyle w:val="FootnoteText"/>
      </w:pPr>
      <w:r>
        <w:rPr>
          <w:rStyle w:val="FootnoteReference"/>
        </w:rPr>
        <w:footnoteRef/>
      </w:r>
      <w:r>
        <w:t xml:space="preserve"> </w:t>
      </w:r>
      <w:r w:rsidRPr="006127CA">
        <w:t xml:space="preserve">Poddubnyy D, Rudwaleit M, Haibel H, et al Rates and predictors of radiographic sacroiliitis progression over 2 years in patients with axial spondyloarthritis </w:t>
      </w:r>
      <w:r w:rsidRPr="008C7FD4">
        <w:rPr>
          <w:i/>
        </w:rPr>
        <w:t>Annals of the Rheumatic Diseases</w:t>
      </w:r>
      <w:r w:rsidRPr="006127CA">
        <w:t xml:space="preserve"> 2011;70:1369-1374.</w:t>
      </w:r>
    </w:p>
  </w:footnote>
  <w:footnote w:id="2">
    <w:p w:rsidR="00440BED" w:rsidRDefault="00440BED">
      <w:pPr>
        <w:pStyle w:val="FootnoteText"/>
      </w:pPr>
      <w:r>
        <w:rPr>
          <w:rStyle w:val="FootnoteReference"/>
        </w:rPr>
        <w:footnoteRef/>
      </w:r>
      <w:r>
        <w:t xml:space="preserve"> </w:t>
      </w:r>
      <w:r w:rsidRPr="00EB18EB">
        <w:t xml:space="preserve">Dougados M, Sepriano A, Molto A, et al Sacroiliac radiographic progression in recent onset axial spondyloarthritis: the 5-year data of the DESIR cohort </w:t>
      </w:r>
      <w:r w:rsidRPr="008C7FD4">
        <w:rPr>
          <w:i/>
        </w:rPr>
        <w:t>Annals of the Rheumatic Diseases</w:t>
      </w:r>
      <w:r w:rsidRPr="00EB18EB">
        <w:t xml:space="preserve"> Published Online: 06 July 2017. doi: 10.1136/annrheumdis-2017-211596</w:t>
      </w:r>
    </w:p>
  </w:footnote>
  <w:footnote w:id="3">
    <w:p w:rsidR="00440BED" w:rsidRDefault="00440BED" w:rsidP="002A05DA">
      <w:pPr>
        <w:pStyle w:val="FootnoteText"/>
      </w:pPr>
      <w:r>
        <w:rPr>
          <w:rStyle w:val="FootnoteReference"/>
        </w:rPr>
        <w:footnoteRef/>
      </w:r>
      <w:r>
        <w:t xml:space="preserve"> </w:t>
      </w:r>
      <w:r w:rsidRPr="0049592A">
        <w:t>Sieper J, Lenaerts J, Wollenhaupt J, et al Maintenance of biologic-free remission with naproxen or no treatment in patients with early, active axial spondyloarthritis: results from a 6-month, randomised, open-label follow-up study, INFAST Part 2 Annals of the Rheumatic Diseases 2014;73:108-113.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28B" w:rsidRDefault="009272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ED" w:rsidRPr="005D3EA4" w:rsidRDefault="00440BED" w:rsidP="009A036F">
    <w:pPr>
      <w:tabs>
        <w:tab w:val="center" w:pos="4153"/>
        <w:tab w:val="right" w:pos="8306"/>
      </w:tabs>
      <w:spacing w:before="0" w:after="0"/>
      <w:ind w:left="357"/>
      <w:jc w:val="center"/>
      <w:rPr>
        <w:rFonts w:ascii="Calibri" w:eastAsia="Times New Roman" w:hAnsi="Calibri" w:cs="Arial"/>
        <w:i/>
        <w:color w:val="808080"/>
        <w:sz w:val="22"/>
        <w:szCs w:val="24"/>
      </w:rPr>
    </w:pPr>
    <w:r>
      <w:rPr>
        <w:rFonts w:ascii="Calibri" w:eastAsia="Times New Roman" w:hAnsi="Calibri" w:cs="Arial"/>
        <w:i/>
        <w:color w:val="808080"/>
        <w:sz w:val="22"/>
        <w:szCs w:val="24"/>
      </w:rPr>
      <w:t xml:space="preserve">Public Summary Document </w:t>
    </w:r>
    <w:r w:rsidRPr="005D3EA4">
      <w:rPr>
        <w:rFonts w:ascii="Calibri" w:eastAsia="Times New Roman" w:hAnsi="Calibri" w:cs="Arial"/>
        <w:i/>
        <w:color w:val="808080"/>
        <w:sz w:val="22"/>
        <w:szCs w:val="24"/>
      </w:rPr>
      <w:t xml:space="preserve">– </w:t>
    </w:r>
    <w:r>
      <w:rPr>
        <w:rFonts w:ascii="Calibri" w:eastAsia="Times New Roman" w:hAnsi="Calibri" w:cs="Arial"/>
        <w:i/>
        <w:color w:val="808080"/>
        <w:sz w:val="22"/>
        <w:szCs w:val="24"/>
      </w:rPr>
      <w:t>November 2017</w:t>
    </w:r>
    <w:r w:rsidRPr="005D3EA4">
      <w:rPr>
        <w:rFonts w:ascii="Calibri" w:eastAsia="Times New Roman" w:hAnsi="Calibri" w:cs="Arial"/>
        <w:i/>
        <w:color w:val="808080"/>
        <w:sz w:val="22"/>
        <w:szCs w:val="24"/>
      </w:rPr>
      <w:t xml:space="preserve"> PBAC Meeting</w:t>
    </w:r>
  </w:p>
  <w:p w:rsidR="00440BED" w:rsidRDefault="00440BED" w:rsidP="00C317F3">
    <w:pPr>
      <w:pStyle w:val="Header"/>
      <w:tabs>
        <w:tab w:val="left" w:pos="1725"/>
        <w:tab w:val="left" w:pos="772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28B" w:rsidRDefault="009272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ABA83B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89301CC"/>
    <w:multiLevelType w:val="multilevel"/>
    <w:tmpl w:val="80E20026"/>
    <w:lvl w:ilvl="0">
      <w:start w:val="1"/>
      <w:numFmt w:val="decimal"/>
      <w:lvlText w:val="%1"/>
      <w:lvlJc w:val="left"/>
      <w:pPr>
        <w:ind w:left="720" w:hanging="720"/>
      </w:pPr>
      <w:rPr>
        <w:rFonts w:hint="default"/>
        <w:b/>
      </w:rPr>
    </w:lvl>
    <w:lvl w:ilvl="1">
      <w:start w:val="1"/>
      <w:numFmt w:val="decimal"/>
      <w:lvlText w:val="2.%2"/>
      <w:lvlJc w:val="left"/>
      <w:pPr>
        <w:ind w:left="720" w:hanging="720"/>
      </w:pPr>
      <w:rPr>
        <w:rFonts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DA75850"/>
    <w:multiLevelType w:val="hybridMultilevel"/>
    <w:tmpl w:val="90AC8758"/>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84E6825"/>
    <w:multiLevelType w:val="multilevel"/>
    <w:tmpl w:val="D2E64E2A"/>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0A13C2B"/>
    <w:multiLevelType w:val="hybridMultilevel"/>
    <w:tmpl w:val="D68C38E6"/>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1A256D5"/>
    <w:multiLevelType w:val="hybridMultilevel"/>
    <w:tmpl w:val="C5FA935E"/>
    <w:lvl w:ilvl="0" w:tplc="8156535A">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635B48"/>
    <w:multiLevelType w:val="hybridMultilevel"/>
    <w:tmpl w:val="72F0D7A0"/>
    <w:lvl w:ilvl="0" w:tplc="7E806B78">
      <w:start w:val="30"/>
      <w:numFmt w:val="bullet"/>
      <w:lvlText w:val="-"/>
      <w:lvlJc w:val="left"/>
      <w:pPr>
        <w:ind w:left="720" w:hanging="360"/>
      </w:pPr>
      <w:rPr>
        <w:rFonts w:ascii="Calibri" w:eastAsiaTheme="minorHAnsi" w:hAnsi="Calibri"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54801F8"/>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8974FF6"/>
    <w:multiLevelType w:val="hybridMultilevel"/>
    <w:tmpl w:val="924876D8"/>
    <w:lvl w:ilvl="0" w:tplc="994A4DD6">
      <w:start w:val="3"/>
      <w:numFmt w:val="bullet"/>
      <w:lvlText w:val="-"/>
      <w:lvlJc w:val="left"/>
      <w:pPr>
        <w:ind w:left="956" w:hanging="360"/>
      </w:pPr>
      <w:rPr>
        <w:rFonts w:ascii="Calibri" w:eastAsiaTheme="minorHAnsi" w:hAnsi="Calibri" w:cstheme="minorBidi" w:hint="default"/>
      </w:rPr>
    </w:lvl>
    <w:lvl w:ilvl="1" w:tplc="0C090003" w:tentative="1">
      <w:start w:val="1"/>
      <w:numFmt w:val="bullet"/>
      <w:lvlText w:val="o"/>
      <w:lvlJc w:val="left"/>
      <w:pPr>
        <w:ind w:left="1676" w:hanging="360"/>
      </w:pPr>
      <w:rPr>
        <w:rFonts w:ascii="Courier New" w:hAnsi="Courier New" w:cs="Courier New" w:hint="default"/>
      </w:rPr>
    </w:lvl>
    <w:lvl w:ilvl="2" w:tplc="0C090005" w:tentative="1">
      <w:start w:val="1"/>
      <w:numFmt w:val="bullet"/>
      <w:lvlText w:val=""/>
      <w:lvlJc w:val="left"/>
      <w:pPr>
        <w:ind w:left="2396" w:hanging="360"/>
      </w:pPr>
      <w:rPr>
        <w:rFonts w:ascii="Wingdings" w:hAnsi="Wingdings" w:hint="default"/>
      </w:rPr>
    </w:lvl>
    <w:lvl w:ilvl="3" w:tplc="0C090001" w:tentative="1">
      <w:start w:val="1"/>
      <w:numFmt w:val="bullet"/>
      <w:lvlText w:val=""/>
      <w:lvlJc w:val="left"/>
      <w:pPr>
        <w:ind w:left="3116" w:hanging="360"/>
      </w:pPr>
      <w:rPr>
        <w:rFonts w:ascii="Symbol" w:hAnsi="Symbol" w:hint="default"/>
      </w:rPr>
    </w:lvl>
    <w:lvl w:ilvl="4" w:tplc="0C090003" w:tentative="1">
      <w:start w:val="1"/>
      <w:numFmt w:val="bullet"/>
      <w:lvlText w:val="o"/>
      <w:lvlJc w:val="left"/>
      <w:pPr>
        <w:ind w:left="3836" w:hanging="360"/>
      </w:pPr>
      <w:rPr>
        <w:rFonts w:ascii="Courier New" w:hAnsi="Courier New" w:cs="Courier New" w:hint="default"/>
      </w:rPr>
    </w:lvl>
    <w:lvl w:ilvl="5" w:tplc="0C090005" w:tentative="1">
      <w:start w:val="1"/>
      <w:numFmt w:val="bullet"/>
      <w:lvlText w:val=""/>
      <w:lvlJc w:val="left"/>
      <w:pPr>
        <w:ind w:left="4556" w:hanging="360"/>
      </w:pPr>
      <w:rPr>
        <w:rFonts w:ascii="Wingdings" w:hAnsi="Wingdings" w:hint="default"/>
      </w:rPr>
    </w:lvl>
    <w:lvl w:ilvl="6" w:tplc="0C090001" w:tentative="1">
      <w:start w:val="1"/>
      <w:numFmt w:val="bullet"/>
      <w:lvlText w:val=""/>
      <w:lvlJc w:val="left"/>
      <w:pPr>
        <w:ind w:left="5276" w:hanging="360"/>
      </w:pPr>
      <w:rPr>
        <w:rFonts w:ascii="Symbol" w:hAnsi="Symbol" w:hint="default"/>
      </w:rPr>
    </w:lvl>
    <w:lvl w:ilvl="7" w:tplc="0C090003" w:tentative="1">
      <w:start w:val="1"/>
      <w:numFmt w:val="bullet"/>
      <w:lvlText w:val="o"/>
      <w:lvlJc w:val="left"/>
      <w:pPr>
        <w:ind w:left="5996" w:hanging="360"/>
      </w:pPr>
      <w:rPr>
        <w:rFonts w:ascii="Courier New" w:hAnsi="Courier New" w:cs="Courier New" w:hint="default"/>
      </w:rPr>
    </w:lvl>
    <w:lvl w:ilvl="8" w:tplc="0C090005" w:tentative="1">
      <w:start w:val="1"/>
      <w:numFmt w:val="bullet"/>
      <w:lvlText w:val=""/>
      <w:lvlJc w:val="left"/>
      <w:pPr>
        <w:ind w:left="6716" w:hanging="360"/>
      </w:pPr>
      <w:rPr>
        <w:rFonts w:ascii="Wingdings" w:hAnsi="Wingdings" w:hint="default"/>
      </w:rPr>
    </w:lvl>
  </w:abstractNum>
  <w:abstractNum w:abstractNumId="16">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C235AEF"/>
    <w:multiLevelType w:val="hybridMultilevel"/>
    <w:tmpl w:val="A374355C"/>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18">
    <w:nsid w:val="784D033C"/>
    <w:multiLevelType w:val="multilevel"/>
    <w:tmpl w:val="13CA770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2"/>
  </w:num>
  <w:num w:numId="4">
    <w:abstractNumId w:val="18"/>
  </w:num>
  <w:num w:numId="5">
    <w:abstractNumId w:val="8"/>
  </w:num>
  <w:num w:numId="6">
    <w:abstractNumId w:val="16"/>
  </w:num>
  <w:num w:numId="7">
    <w:abstractNumId w:val="14"/>
  </w:num>
  <w:num w:numId="8">
    <w:abstractNumId w:val="9"/>
  </w:num>
  <w:num w:numId="9">
    <w:abstractNumId w:val="0"/>
  </w:num>
  <w:num w:numId="10">
    <w:abstractNumId w:val="5"/>
  </w:num>
  <w:num w:numId="11">
    <w:abstractNumId w:val="10"/>
  </w:num>
  <w:num w:numId="12">
    <w:abstractNumId w:val="15"/>
  </w:num>
  <w:num w:numId="13">
    <w:abstractNumId w:val="17"/>
  </w:num>
  <w:num w:numId="14">
    <w:abstractNumId w:val="4"/>
  </w:num>
  <w:num w:numId="15">
    <w:abstractNumId w:val="13"/>
  </w:num>
  <w:num w:numId="16">
    <w:abstractNumId w:val="3"/>
  </w:num>
  <w:num w:numId="17">
    <w:abstractNumId w:val="1"/>
  </w:num>
  <w:num w:numId="18">
    <w:abstractNumId w:val="6"/>
  </w:num>
  <w:num w:numId="19">
    <w:abstractNumId w:val="11"/>
  </w:num>
  <w:num w:numId="20">
    <w:abstractNumId w:val="1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Etherton-Beer">
    <w15:presenceInfo w15:providerId="AD" w15:userId="S-1-5-21-905479342-1514983418-1536837410-193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0BC9"/>
    <w:rsid w:val="00001AB4"/>
    <w:rsid w:val="00003EE1"/>
    <w:rsid w:val="00004320"/>
    <w:rsid w:val="0001066F"/>
    <w:rsid w:val="00011865"/>
    <w:rsid w:val="00012EF7"/>
    <w:rsid w:val="00013222"/>
    <w:rsid w:val="00014586"/>
    <w:rsid w:val="0002095B"/>
    <w:rsid w:val="00020FCF"/>
    <w:rsid w:val="000247A6"/>
    <w:rsid w:val="00025790"/>
    <w:rsid w:val="00030A4D"/>
    <w:rsid w:val="00031B9D"/>
    <w:rsid w:val="00034404"/>
    <w:rsid w:val="00042998"/>
    <w:rsid w:val="00043719"/>
    <w:rsid w:val="0004564E"/>
    <w:rsid w:val="000461CF"/>
    <w:rsid w:val="00047DDE"/>
    <w:rsid w:val="000545EC"/>
    <w:rsid w:val="00057F71"/>
    <w:rsid w:val="00062067"/>
    <w:rsid w:val="0006390D"/>
    <w:rsid w:val="00063F7F"/>
    <w:rsid w:val="00065C62"/>
    <w:rsid w:val="00065CDE"/>
    <w:rsid w:val="00065F4A"/>
    <w:rsid w:val="0007653A"/>
    <w:rsid w:val="0008023C"/>
    <w:rsid w:val="00080649"/>
    <w:rsid w:val="00080FF3"/>
    <w:rsid w:val="00081AF5"/>
    <w:rsid w:val="000847FE"/>
    <w:rsid w:val="00085A86"/>
    <w:rsid w:val="00086133"/>
    <w:rsid w:val="000875CD"/>
    <w:rsid w:val="000940AD"/>
    <w:rsid w:val="000965A4"/>
    <w:rsid w:val="000A2694"/>
    <w:rsid w:val="000A2B8C"/>
    <w:rsid w:val="000A2EF1"/>
    <w:rsid w:val="000A46C9"/>
    <w:rsid w:val="000A49C9"/>
    <w:rsid w:val="000A6383"/>
    <w:rsid w:val="000A6FBD"/>
    <w:rsid w:val="000B06C0"/>
    <w:rsid w:val="000B0C0F"/>
    <w:rsid w:val="000B2435"/>
    <w:rsid w:val="000B3E93"/>
    <w:rsid w:val="000B4B85"/>
    <w:rsid w:val="000B56CD"/>
    <w:rsid w:val="000B696A"/>
    <w:rsid w:val="000B6B69"/>
    <w:rsid w:val="000C0142"/>
    <w:rsid w:val="000C6A40"/>
    <w:rsid w:val="000C6A75"/>
    <w:rsid w:val="000D0023"/>
    <w:rsid w:val="000D2E92"/>
    <w:rsid w:val="000D3F9B"/>
    <w:rsid w:val="000E2665"/>
    <w:rsid w:val="000F2534"/>
    <w:rsid w:val="000F3652"/>
    <w:rsid w:val="000F4AF7"/>
    <w:rsid w:val="000F6C32"/>
    <w:rsid w:val="001007A8"/>
    <w:rsid w:val="001023B1"/>
    <w:rsid w:val="00106C6B"/>
    <w:rsid w:val="0010747F"/>
    <w:rsid w:val="00116DB9"/>
    <w:rsid w:val="0011730C"/>
    <w:rsid w:val="001219E1"/>
    <w:rsid w:val="0012701F"/>
    <w:rsid w:val="0012724F"/>
    <w:rsid w:val="001279AE"/>
    <w:rsid w:val="0013092C"/>
    <w:rsid w:val="00136D17"/>
    <w:rsid w:val="00136E76"/>
    <w:rsid w:val="00137049"/>
    <w:rsid w:val="00137C47"/>
    <w:rsid w:val="00141C6B"/>
    <w:rsid w:val="001421D8"/>
    <w:rsid w:val="001468C6"/>
    <w:rsid w:val="00146C47"/>
    <w:rsid w:val="00146E3A"/>
    <w:rsid w:val="00147C39"/>
    <w:rsid w:val="00153197"/>
    <w:rsid w:val="00155552"/>
    <w:rsid w:val="001556FE"/>
    <w:rsid w:val="001578EC"/>
    <w:rsid w:val="00162E08"/>
    <w:rsid w:val="00163567"/>
    <w:rsid w:val="00165A49"/>
    <w:rsid w:val="00165C60"/>
    <w:rsid w:val="00165D91"/>
    <w:rsid w:val="00167AC0"/>
    <w:rsid w:val="001722AD"/>
    <w:rsid w:val="00173577"/>
    <w:rsid w:val="001754A9"/>
    <w:rsid w:val="0017638E"/>
    <w:rsid w:val="00176AA5"/>
    <w:rsid w:val="0017720E"/>
    <w:rsid w:val="00177893"/>
    <w:rsid w:val="00177CD2"/>
    <w:rsid w:val="001833D9"/>
    <w:rsid w:val="00183EDB"/>
    <w:rsid w:val="00184221"/>
    <w:rsid w:val="00186307"/>
    <w:rsid w:val="00186EBC"/>
    <w:rsid w:val="0019026F"/>
    <w:rsid w:val="00192C49"/>
    <w:rsid w:val="00195DA4"/>
    <w:rsid w:val="001A0142"/>
    <w:rsid w:val="001A02B2"/>
    <w:rsid w:val="001A0C87"/>
    <w:rsid w:val="001A30C2"/>
    <w:rsid w:val="001A3B19"/>
    <w:rsid w:val="001A4753"/>
    <w:rsid w:val="001A61C3"/>
    <w:rsid w:val="001A6FD2"/>
    <w:rsid w:val="001A7F53"/>
    <w:rsid w:val="001B00CE"/>
    <w:rsid w:val="001B0D97"/>
    <w:rsid w:val="001B14B7"/>
    <w:rsid w:val="001B1A20"/>
    <w:rsid w:val="001B6389"/>
    <w:rsid w:val="001B69B9"/>
    <w:rsid w:val="001C04CC"/>
    <w:rsid w:val="001C051E"/>
    <w:rsid w:val="001C347D"/>
    <w:rsid w:val="001D037C"/>
    <w:rsid w:val="001D3340"/>
    <w:rsid w:val="001D5DE3"/>
    <w:rsid w:val="001D694C"/>
    <w:rsid w:val="001E071A"/>
    <w:rsid w:val="001E0747"/>
    <w:rsid w:val="001E0FB8"/>
    <w:rsid w:val="001E4361"/>
    <w:rsid w:val="001E5918"/>
    <w:rsid w:val="001E6916"/>
    <w:rsid w:val="001F073C"/>
    <w:rsid w:val="001F0B15"/>
    <w:rsid w:val="001F1C62"/>
    <w:rsid w:val="001F2912"/>
    <w:rsid w:val="002001C6"/>
    <w:rsid w:val="00200296"/>
    <w:rsid w:val="00200D5E"/>
    <w:rsid w:val="002015C5"/>
    <w:rsid w:val="00201ADB"/>
    <w:rsid w:val="00201DC2"/>
    <w:rsid w:val="00205735"/>
    <w:rsid w:val="002058E5"/>
    <w:rsid w:val="00210FAA"/>
    <w:rsid w:val="00215177"/>
    <w:rsid w:val="002234A6"/>
    <w:rsid w:val="002330CD"/>
    <w:rsid w:val="00235238"/>
    <w:rsid w:val="00236013"/>
    <w:rsid w:val="00236105"/>
    <w:rsid w:val="00240E30"/>
    <w:rsid w:val="00241FA2"/>
    <w:rsid w:val="002425EA"/>
    <w:rsid w:val="00242EA0"/>
    <w:rsid w:val="00243685"/>
    <w:rsid w:val="00244757"/>
    <w:rsid w:val="00246679"/>
    <w:rsid w:val="00247038"/>
    <w:rsid w:val="00251D64"/>
    <w:rsid w:val="00252F24"/>
    <w:rsid w:val="00254448"/>
    <w:rsid w:val="0025613F"/>
    <w:rsid w:val="00261205"/>
    <w:rsid w:val="00261DC6"/>
    <w:rsid w:val="002639F9"/>
    <w:rsid w:val="00264623"/>
    <w:rsid w:val="00265776"/>
    <w:rsid w:val="00266B95"/>
    <w:rsid w:val="002700E5"/>
    <w:rsid w:val="00273C92"/>
    <w:rsid w:val="00280B5B"/>
    <w:rsid w:val="00282D1F"/>
    <w:rsid w:val="002836DF"/>
    <w:rsid w:val="002841D7"/>
    <w:rsid w:val="002928F4"/>
    <w:rsid w:val="002A05DA"/>
    <w:rsid w:val="002A13C6"/>
    <w:rsid w:val="002A2E5C"/>
    <w:rsid w:val="002A4503"/>
    <w:rsid w:val="002B0C11"/>
    <w:rsid w:val="002B18BF"/>
    <w:rsid w:val="002B22FD"/>
    <w:rsid w:val="002B3D19"/>
    <w:rsid w:val="002B4941"/>
    <w:rsid w:val="002B5D74"/>
    <w:rsid w:val="002B61DC"/>
    <w:rsid w:val="002B6972"/>
    <w:rsid w:val="002B7ADB"/>
    <w:rsid w:val="002C0656"/>
    <w:rsid w:val="002C1D2F"/>
    <w:rsid w:val="002C46FB"/>
    <w:rsid w:val="002C6575"/>
    <w:rsid w:val="002D2FCA"/>
    <w:rsid w:val="002D34C2"/>
    <w:rsid w:val="002D621D"/>
    <w:rsid w:val="002D7823"/>
    <w:rsid w:val="002E0F2E"/>
    <w:rsid w:val="002E10D6"/>
    <w:rsid w:val="002E1CB4"/>
    <w:rsid w:val="002E42FD"/>
    <w:rsid w:val="002E4C2D"/>
    <w:rsid w:val="002E5DEA"/>
    <w:rsid w:val="002E724A"/>
    <w:rsid w:val="002E76E9"/>
    <w:rsid w:val="002F0CC4"/>
    <w:rsid w:val="002F311E"/>
    <w:rsid w:val="002F33F4"/>
    <w:rsid w:val="002F3F6A"/>
    <w:rsid w:val="002F71B8"/>
    <w:rsid w:val="002F7EEC"/>
    <w:rsid w:val="0030057F"/>
    <w:rsid w:val="00301EA1"/>
    <w:rsid w:val="00302FCC"/>
    <w:rsid w:val="00303E7E"/>
    <w:rsid w:val="003045AB"/>
    <w:rsid w:val="00305B1F"/>
    <w:rsid w:val="003062AE"/>
    <w:rsid w:val="0030713F"/>
    <w:rsid w:val="00311AEE"/>
    <w:rsid w:val="0031353C"/>
    <w:rsid w:val="00315514"/>
    <w:rsid w:val="00315832"/>
    <w:rsid w:val="003160F8"/>
    <w:rsid w:val="00321759"/>
    <w:rsid w:val="00321CEA"/>
    <w:rsid w:val="00323CCC"/>
    <w:rsid w:val="00324E8A"/>
    <w:rsid w:val="00326678"/>
    <w:rsid w:val="003333B4"/>
    <w:rsid w:val="00334ACF"/>
    <w:rsid w:val="0033527F"/>
    <w:rsid w:val="00335A25"/>
    <w:rsid w:val="00336133"/>
    <w:rsid w:val="00340C3D"/>
    <w:rsid w:val="00341A14"/>
    <w:rsid w:val="00346013"/>
    <w:rsid w:val="00351381"/>
    <w:rsid w:val="0035187E"/>
    <w:rsid w:val="00351B5E"/>
    <w:rsid w:val="003530A6"/>
    <w:rsid w:val="00353627"/>
    <w:rsid w:val="00354740"/>
    <w:rsid w:val="00355DD0"/>
    <w:rsid w:val="00355F72"/>
    <w:rsid w:val="00357657"/>
    <w:rsid w:val="003639A6"/>
    <w:rsid w:val="00363BA0"/>
    <w:rsid w:val="00365F8F"/>
    <w:rsid w:val="003679AE"/>
    <w:rsid w:val="00371351"/>
    <w:rsid w:val="00372CB0"/>
    <w:rsid w:val="00373938"/>
    <w:rsid w:val="0038164F"/>
    <w:rsid w:val="0038281C"/>
    <w:rsid w:val="003851FE"/>
    <w:rsid w:val="00385A64"/>
    <w:rsid w:val="00386D1A"/>
    <w:rsid w:val="00390202"/>
    <w:rsid w:val="00391B19"/>
    <w:rsid w:val="00394AF5"/>
    <w:rsid w:val="00395410"/>
    <w:rsid w:val="003961E5"/>
    <w:rsid w:val="00396488"/>
    <w:rsid w:val="00396584"/>
    <w:rsid w:val="00397170"/>
    <w:rsid w:val="003A1A78"/>
    <w:rsid w:val="003A3433"/>
    <w:rsid w:val="003A537E"/>
    <w:rsid w:val="003A660F"/>
    <w:rsid w:val="003A7DCF"/>
    <w:rsid w:val="003B095E"/>
    <w:rsid w:val="003B32F5"/>
    <w:rsid w:val="003B5181"/>
    <w:rsid w:val="003C0BF9"/>
    <w:rsid w:val="003C0EAF"/>
    <w:rsid w:val="003C1A9F"/>
    <w:rsid w:val="003C256B"/>
    <w:rsid w:val="003C3409"/>
    <w:rsid w:val="003C4F71"/>
    <w:rsid w:val="003C5F28"/>
    <w:rsid w:val="003D11A9"/>
    <w:rsid w:val="003D240B"/>
    <w:rsid w:val="003D2A37"/>
    <w:rsid w:val="003D374A"/>
    <w:rsid w:val="003D4AF5"/>
    <w:rsid w:val="003D51F8"/>
    <w:rsid w:val="003D69EF"/>
    <w:rsid w:val="003D71E2"/>
    <w:rsid w:val="003D7F8C"/>
    <w:rsid w:val="003E0EDB"/>
    <w:rsid w:val="003E1A68"/>
    <w:rsid w:val="003E2965"/>
    <w:rsid w:val="003E5F58"/>
    <w:rsid w:val="003E6475"/>
    <w:rsid w:val="003F105A"/>
    <w:rsid w:val="003F18CC"/>
    <w:rsid w:val="003F283D"/>
    <w:rsid w:val="003F6199"/>
    <w:rsid w:val="004033BF"/>
    <w:rsid w:val="00403D1D"/>
    <w:rsid w:val="00414C95"/>
    <w:rsid w:val="00414EE6"/>
    <w:rsid w:val="004157B9"/>
    <w:rsid w:val="004158CF"/>
    <w:rsid w:val="004169F0"/>
    <w:rsid w:val="00416BCE"/>
    <w:rsid w:val="00416E49"/>
    <w:rsid w:val="00421450"/>
    <w:rsid w:val="00421498"/>
    <w:rsid w:val="00422245"/>
    <w:rsid w:val="0042473B"/>
    <w:rsid w:val="0042578D"/>
    <w:rsid w:val="0042778B"/>
    <w:rsid w:val="00427E55"/>
    <w:rsid w:val="0043234E"/>
    <w:rsid w:val="004336CA"/>
    <w:rsid w:val="00434E04"/>
    <w:rsid w:val="00437BB5"/>
    <w:rsid w:val="00437D50"/>
    <w:rsid w:val="00440BED"/>
    <w:rsid w:val="00441DCA"/>
    <w:rsid w:val="0044232F"/>
    <w:rsid w:val="00447DE5"/>
    <w:rsid w:val="00452DF3"/>
    <w:rsid w:val="00453BAE"/>
    <w:rsid w:val="00453C50"/>
    <w:rsid w:val="00453D59"/>
    <w:rsid w:val="00454493"/>
    <w:rsid w:val="00456150"/>
    <w:rsid w:val="004619BB"/>
    <w:rsid w:val="004630C9"/>
    <w:rsid w:val="00464DDC"/>
    <w:rsid w:val="0046542B"/>
    <w:rsid w:val="00465D3F"/>
    <w:rsid w:val="0046621E"/>
    <w:rsid w:val="00466248"/>
    <w:rsid w:val="00466446"/>
    <w:rsid w:val="00472D4D"/>
    <w:rsid w:val="004739E4"/>
    <w:rsid w:val="00473AB5"/>
    <w:rsid w:val="00476925"/>
    <w:rsid w:val="004821FE"/>
    <w:rsid w:val="004825A0"/>
    <w:rsid w:val="004826E6"/>
    <w:rsid w:val="004864ED"/>
    <w:rsid w:val="004919DD"/>
    <w:rsid w:val="00494F7C"/>
    <w:rsid w:val="0049592A"/>
    <w:rsid w:val="00495F3F"/>
    <w:rsid w:val="0049744F"/>
    <w:rsid w:val="004A2DF5"/>
    <w:rsid w:val="004A3304"/>
    <w:rsid w:val="004A4EF3"/>
    <w:rsid w:val="004B0B7E"/>
    <w:rsid w:val="004B3C00"/>
    <w:rsid w:val="004C0451"/>
    <w:rsid w:val="004C2968"/>
    <w:rsid w:val="004C6B36"/>
    <w:rsid w:val="004C72DE"/>
    <w:rsid w:val="004D1006"/>
    <w:rsid w:val="004D45DF"/>
    <w:rsid w:val="004E0C0B"/>
    <w:rsid w:val="004E2125"/>
    <w:rsid w:val="004E4711"/>
    <w:rsid w:val="004E628A"/>
    <w:rsid w:val="004E65F1"/>
    <w:rsid w:val="004E7E88"/>
    <w:rsid w:val="004F1C27"/>
    <w:rsid w:val="004F3688"/>
    <w:rsid w:val="004F3AAE"/>
    <w:rsid w:val="004F4415"/>
    <w:rsid w:val="004F4BDE"/>
    <w:rsid w:val="004F5EA5"/>
    <w:rsid w:val="004F6163"/>
    <w:rsid w:val="004F6657"/>
    <w:rsid w:val="004F7CAC"/>
    <w:rsid w:val="00504848"/>
    <w:rsid w:val="00505C54"/>
    <w:rsid w:val="00506215"/>
    <w:rsid w:val="005066B5"/>
    <w:rsid w:val="00507147"/>
    <w:rsid w:val="00507713"/>
    <w:rsid w:val="00511320"/>
    <w:rsid w:val="0051283B"/>
    <w:rsid w:val="00512D3E"/>
    <w:rsid w:val="005143F9"/>
    <w:rsid w:val="00516566"/>
    <w:rsid w:val="00517E5C"/>
    <w:rsid w:val="005218C3"/>
    <w:rsid w:val="005238B9"/>
    <w:rsid w:val="00525A34"/>
    <w:rsid w:val="00527776"/>
    <w:rsid w:val="00531C11"/>
    <w:rsid w:val="00531C80"/>
    <w:rsid w:val="00532F7C"/>
    <w:rsid w:val="00535C74"/>
    <w:rsid w:val="005361AB"/>
    <w:rsid w:val="00541D43"/>
    <w:rsid w:val="00541FDD"/>
    <w:rsid w:val="00542068"/>
    <w:rsid w:val="00543841"/>
    <w:rsid w:val="00543AF9"/>
    <w:rsid w:val="00550066"/>
    <w:rsid w:val="0055532F"/>
    <w:rsid w:val="005558A9"/>
    <w:rsid w:val="0055644C"/>
    <w:rsid w:val="00557DDB"/>
    <w:rsid w:val="00557EEA"/>
    <w:rsid w:val="00560E32"/>
    <w:rsid w:val="00561D24"/>
    <w:rsid w:val="005624E5"/>
    <w:rsid w:val="005725BE"/>
    <w:rsid w:val="0057415A"/>
    <w:rsid w:val="00575047"/>
    <w:rsid w:val="00576663"/>
    <w:rsid w:val="00576ADE"/>
    <w:rsid w:val="00577CFD"/>
    <w:rsid w:val="00577DEF"/>
    <w:rsid w:val="00581E8D"/>
    <w:rsid w:val="00582412"/>
    <w:rsid w:val="005845D4"/>
    <w:rsid w:val="0058682C"/>
    <w:rsid w:val="00586A64"/>
    <w:rsid w:val="00587023"/>
    <w:rsid w:val="00587F69"/>
    <w:rsid w:val="0059134A"/>
    <w:rsid w:val="005924A7"/>
    <w:rsid w:val="005933F1"/>
    <w:rsid w:val="00593896"/>
    <w:rsid w:val="005948F6"/>
    <w:rsid w:val="00595033"/>
    <w:rsid w:val="00595C84"/>
    <w:rsid w:val="00597972"/>
    <w:rsid w:val="005A1E48"/>
    <w:rsid w:val="005A33C4"/>
    <w:rsid w:val="005A4C01"/>
    <w:rsid w:val="005A7AED"/>
    <w:rsid w:val="005C0487"/>
    <w:rsid w:val="005C1F82"/>
    <w:rsid w:val="005C3BD2"/>
    <w:rsid w:val="005C569D"/>
    <w:rsid w:val="005C6285"/>
    <w:rsid w:val="005C6A6C"/>
    <w:rsid w:val="005D3EA4"/>
    <w:rsid w:val="005D5BA1"/>
    <w:rsid w:val="005D622E"/>
    <w:rsid w:val="005E4189"/>
    <w:rsid w:val="005E49B2"/>
    <w:rsid w:val="005F0AE8"/>
    <w:rsid w:val="005F1741"/>
    <w:rsid w:val="005F18DE"/>
    <w:rsid w:val="005F2A6B"/>
    <w:rsid w:val="005F40C1"/>
    <w:rsid w:val="00600270"/>
    <w:rsid w:val="006024D3"/>
    <w:rsid w:val="006033EB"/>
    <w:rsid w:val="00603444"/>
    <w:rsid w:val="00604104"/>
    <w:rsid w:val="00606BCA"/>
    <w:rsid w:val="00606EF9"/>
    <w:rsid w:val="0060706A"/>
    <w:rsid w:val="006070C4"/>
    <w:rsid w:val="00607758"/>
    <w:rsid w:val="00610D5E"/>
    <w:rsid w:val="006110E8"/>
    <w:rsid w:val="006127CA"/>
    <w:rsid w:val="00613467"/>
    <w:rsid w:val="00616E2A"/>
    <w:rsid w:val="00624315"/>
    <w:rsid w:val="0062545B"/>
    <w:rsid w:val="0062552A"/>
    <w:rsid w:val="00625569"/>
    <w:rsid w:val="0062591E"/>
    <w:rsid w:val="00627C25"/>
    <w:rsid w:val="00631AB6"/>
    <w:rsid w:val="006332BE"/>
    <w:rsid w:val="00633B88"/>
    <w:rsid w:val="00635165"/>
    <w:rsid w:val="006408C3"/>
    <w:rsid w:val="00641653"/>
    <w:rsid w:val="00643F08"/>
    <w:rsid w:val="006457CB"/>
    <w:rsid w:val="0064620D"/>
    <w:rsid w:val="00647592"/>
    <w:rsid w:val="0065091D"/>
    <w:rsid w:val="00651D8B"/>
    <w:rsid w:val="00657754"/>
    <w:rsid w:val="00657B0D"/>
    <w:rsid w:val="00660F6D"/>
    <w:rsid w:val="00661286"/>
    <w:rsid w:val="00662DFF"/>
    <w:rsid w:val="00664356"/>
    <w:rsid w:val="0066487B"/>
    <w:rsid w:val="0067126D"/>
    <w:rsid w:val="00672120"/>
    <w:rsid w:val="006805A3"/>
    <w:rsid w:val="00683ADE"/>
    <w:rsid w:val="00685BF1"/>
    <w:rsid w:val="00691913"/>
    <w:rsid w:val="00692FB3"/>
    <w:rsid w:val="00694F07"/>
    <w:rsid w:val="006A138B"/>
    <w:rsid w:val="006A4E50"/>
    <w:rsid w:val="006A6844"/>
    <w:rsid w:val="006A6BF3"/>
    <w:rsid w:val="006B140A"/>
    <w:rsid w:val="006B47A8"/>
    <w:rsid w:val="006B653E"/>
    <w:rsid w:val="006C4906"/>
    <w:rsid w:val="006C5CAC"/>
    <w:rsid w:val="006D0D1D"/>
    <w:rsid w:val="006D3271"/>
    <w:rsid w:val="006D3C1A"/>
    <w:rsid w:val="006D44F0"/>
    <w:rsid w:val="006D6969"/>
    <w:rsid w:val="006D7A3D"/>
    <w:rsid w:val="006E7302"/>
    <w:rsid w:val="006F094D"/>
    <w:rsid w:val="006F10DD"/>
    <w:rsid w:val="006F161E"/>
    <w:rsid w:val="006F210C"/>
    <w:rsid w:val="006F21CC"/>
    <w:rsid w:val="00701DC7"/>
    <w:rsid w:val="00704AC1"/>
    <w:rsid w:val="00705A3C"/>
    <w:rsid w:val="00705DE0"/>
    <w:rsid w:val="00707082"/>
    <w:rsid w:val="00712C73"/>
    <w:rsid w:val="0071766F"/>
    <w:rsid w:val="00723AB1"/>
    <w:rsid w:val="00723E1E"/>
    <w:rsid w:val="007252A0"/>
    <w:rsid w:val="00725579"/>
    <w:rsid w:val="00731F9A"/>
    <w:rsid w:val="0073388F"/>
    <w:rsid w:val="00735F1D"/>
    <w:rsid w:val="00740AC0"/>
    <w:rsid w:val="007419BA"/>
    <w:rsid w:val="00742C0F"/>
    <w:rsid w:val="00744938"/>
    <w:rsid w:val="0074660F"/>
    <w:rsid w:val="00746FA4"/>
    <w:rsid w:val="00747333"/>
    <w:rsid w:val="00750734"/>
    <w:rsid w:val="007509A6"/>
    <w:rsid w:val="00750B5A"/>
    <w:rsid w:val="00751466"/>
    <w:rsid w:val="00751984"/>
    <w:rsid w:val="00756332"/>
    <w:rsid w:val="00757839"/>
    <w:rsid w:val="00761F2E"/>
    <w:rsid w:val="007633B0"/>
    <w:rsid w:val="00763742"/>
    <w:rsid w:val="00767DE1"/>
    <w:rsid w:val="00767E97"/>
    <w:rsid w:val="007713E1"/>
    <w:rsid w:val="007715D2"/>
    <w:rsid w:val="00772501"/>
    <w:rsid w:val="0077276F"/>
    <w:rsid w:val="00772C70"/>
    <w:rsid w:val="00773336"/>
    <w:rsid w:val="0077546F"/>
    <w:rsid w:val="00775EC8"/>
    <w:rsid w:val="00780382"/>
    <w:rsid w:val="007847FA"/>
    <w:rsid w:val="00785681"/>
    <w:rsid w:val="007865AD"/>
    <w:rsid w:val="00790910"/>
    <w:rsid w:val="00791791"/>
    <w:rsid w:val="00791DE1"/>
    <w:rsid w:val="007A160A"/>
    <w:rsid w:val="007A1A66"/>
    <w:rsid w:val="007A3A8C"/>
    <w:rsid w:val="007A42B1"/>
    <w:rsid w:val="007A6648"/>
    <w:rsid w:val="007A75C6"/>
    <w:rsid w:val="007A7F6D"/>
    <w:rsid w:val="007B06E8"/>
    <w:rsid w:val="007B0E0C"/>
    <w:rsid w:val="007B6397"/>
    <w:rsid w:val="007B7828"/>
    <w:rsid w:val="007C2247"/>
    <w:rsid w:val="007C26E5"/>
    <w:rsid w:val="007C720A"/>
    <w:rsid w:val="007D0353"/>
    <w:rsid w:val="007D0919"/>
    <w:rsid w:val="007D1092"/>
    <w:rsid w:val="007D2118"/>
    <w:rsid w:val="007D2621"/>
    <w:rsid w:val="007D3C04"/>
    <w:rsid w:val="007D74EA"/>
    <w:rsid w:val="007D7E9F"/>
    <w:rsid w:val="007E3562"/>
    <w:rsid w:val="007F08CA"/>
    <w:rsid w:val="007F16D3"/>
    <w:rsid w:val="007F29E7"/>
    <w:rsid w:val="007F3B6E"/>
    <w:rsid w:val="007F545B"/>
    <w:rsid w:val="00801EA4"/>
    <w:rsid w:val="0080221B"/>
    <w:rsid w:val="008058E8"/>
    <w:rsid w:val="00806434"/>
    <w:rsid w:val="008073E8"/>
    <w:rsid w:val="00813288"/>
    <w:rsid w:val="0081349B"/>
    <w:rsid w:val="00813750"/>
    <w:rsid w:val="00814099"/>
    <w:rsid w:val="0081641C"/>
    <w:rsid w:val="00816D2F"/>
    <w:rsid w:val="00821A29"/>
    <w:rsid w:val="00823233"/>
    <w:rsid w:val="008239D7"/>
    <w:rsid w:val="00824426"/>
    <w:rsid w:val="00824C9F"/>
    <w:rsid w:val="008260D8"/>
    <w:rsid w:val="008278DC"/>
    <w:rsid w:val="00830E52"/>
    <w:rsid w:val="0083156D"/>
    <w:rsid w:val="008324E3"/>
    <w:rsid w:val="00834DD9"/>
    <w:rsid w:val="0083572D"/>
    <w:rsid w:val="00836E8D"/>
    <w:rsid w:val="00840292"/>
    <w:rsid w:val="00841326"/>
    <w:rsid w:val="00845946"/>
    <w:rsid w:val="00846BFF"/>
    <w:rsid w:val="008476A0"/>
    <w:rsid w:val="00847A7B"/>
    <w:rsid w:val="00852F38"/>
    <w:rsid w:val="00854C36"/>
    <w:rsid w:val="00856C34"/>
    <w:rsid w:val="00864BCC"/>
    <w:rsid w:val="008653D8"/>
    <w:rsid w:val="00865DC1"/>
    <w:rsid w:val="00870089"/>
    <w:rsid w:val="00871CB2"/>
    <w:rsid w:val="00872A57"/>
    <w:rsid w:val="0087301C"/>
    <w:rsid w:val="008750F9"/>
    <w:rsid w:val="00875341"/>
    <w:rsid w:val="0087536F"/>
    <w:rsid w:val="00880A40"/>
    <w:rsid w:val="00882082"/>
    <w:rsid w:val="008866BB"/>
    <w:rsid w:val="008869F4"/>
    <w:rsid w:val="00893EEF"/>
    <w:rsid w:val="00895D3E"/>
    <w:rsid w:val="008A06CE"/>
    <w:rsid w:val="008A3C58"/>
    <w:rsid w:val="008A4880"/>
    <w:rsid w:val="008A4940"/>
    <w:rsid w:val="008A52B1"/>
    <w:rsid w:val="008A5C17"/>
    <w:rsid w:val="008A5FC2"/>
    <w:rsid w:val="008A6B15"/>
    <w:rsid w:val="008B0A84"/>
    <w:rsid w:val="008B26B8"/>
    <w:rsid w:val="008B5442"/>
    <w:rsid w:val="008B5A9C"/>
    <w:rsid w:val="008B5B32"/>
    <w:rsid w:val="008B646A"/>
    <w:rsid w:val="008B77D7"/>
    <w:rsid w:val="008C289C"/>
    <w:rsid w:val="008C4D8A"/>
    <w:rsid w:val="008C7FD4"/>
    <w:rsid w:val="008D14F4"/>
    <w:rsid w:val="008D5C8D"/>
    <w:rsid w:val="008D78FF"/>
    <w:rsid w:val="008D7F8E"/>
    <w:rsid w:val="008E0F64"/>
    <w:rsid w:val="008E3038"/>
    <w:rsid w:val="008F031F"/>
    <w:rsid w:val="008F5779"/>
    <w:rsid w:val="008F5802"/>
    <w:rsid w:val="009025A0"/>
    <w:rsid w:val="00903676"/>
    <w:rsid w:val="009042F9"/>
    <w:rsid w:val="009059A3"/>
    <w:rsid w:val="009059F3"/>
    <w:rsid w:val="00910338"/>
    <w:rsid w:val="00911F97"/>
    <w:rsid w:val="0091217A"/>
    <w:rsid w:val="00914DA7"/>
    <w:rsid w:val="00915F63"/>
    <w:rsid w:val="009177E9"/>
    <w:rsid w:val="009220D7"/>
    <w:rsid w:val="009225CA"/>
    <w:rsid w:val="00925F17"/>
    <w:rsid w:val="0092606A"/>
    <w:rsid w:val="00926291"/>
    <w:rsid w:val="0092728B"/>
    <w:rsid w:val="009309D6"/>
    <w:rsid w:val="009331CF"/>
    <w:rsid w:val="009334AC"/>
    <w:rsid w:val="00934FC1"/>
    <w:rsid w:val="00935C82"/>
    <w:rsid w:val="00936484"/>
    <w:rsid w:val="00940043"/>
    <w:rsid w:val="00942010"/>
    <w:rsid w:val="00942F23"/>
    <w:rsid w:val="0094320A"/>
    <w:rsid w:val="00944747"/>
    <w:rsid w:val="0094510C"/>
    <w:rsid w:val="0094631F"/>
    <w:rsid w:val="0094702C"/>
    <w:rsid w:val="00950457"/>
    <w:rsid w:val="0095170D"/>
    <w:rsid w:val="00951B1D"/>
    <w:rsid w:val="009528AD"/>
    <w:rsid w:val="0095307F"/>
    <w:rsid w:val="00955526"/>
    <w:rsid w:val="00966C09"/>
    <w:rsid w:val="009672B5"/>
    <w:rsid w:val="00967EF2"/>
    <w:rsid w:val="00974C87"/>
    <w:rsid w:val="009813A5"/>
    <w:rsid w:val="00981EB9"/>
    <w:rsid w:val="00984441"/>
    <w:rsid w:val="009844CF"/>
    <w:rsid w:val="00984DD8"/>
    <w:rsid w:val="0099085F"/>
    <w:rsid w:val="00992375"/>
    <w:rsid w:val="009925DB"/>
    <w:rsid w:val="00992E68"/>
    <w:rsid w:val="00993CC9"/>
    <w:rsid w:val="009A036F"/>
    <w:rsid w:val="009A0FBA"/>
    <w:rsid w:val="009A1B4A"/>
    <w:rsid w:val="009A1F88"/>
    <w:rsid w:val="009A6F74"/>
    <w:rsid w:val="009A79B1"/>
    <w:rsid w:val="009B23D7"/>
    <w:rsid w:val="009B2E78"/>
    <w:rsid w:val="009B376D"/>
    <w:rsid w:val="009B5C03"/>
    <w:rsid w:val="009C11FD"/>
    <w:rsid w:val="009C4154"/>
    <w:rsid w:val="009D20CA"/>
    <w:rsid w:val="009D28B9"/>
    <w:rsid w:val="009D2A59"/>
    <w:rsid w:val="009D31F6"/>
    <w:rsid w:val="009D3628"/>
    <w:rsid w:val="009D49D7"/>
    <w:rsid w:val="009D4C2A"/>
    <w:rsid w:val="009D6914"/>
    <w:rsid w:val="009E1C22"/>
    <w:rsid w:val="009E2481"/>
    <w:rsid w:val="009E62E4"/>
    <w:rsid w:val="009F02A5"/>
    <w:rsid w:val="009F0323"/>
    <w:rsid w:val="009F13A7"/>
    <w:rsid w:val="009F1E4D"/>
    <w:rsid w:val="009F3631"/>
    <w:rsid w:val="009F3790"/>
    <w:rsid w:val="009F7CEB"/>
    <w:rsid w:val="00A00BF3"/>
    <w:rsid w:val="00A0143C"/>
    <w:rsid w:val="00A040FD"/>
    <w:rsid w:val="00A0426A"/>
    <w:rsid w:val="00A04C0D"/>
    <w:rsid w:val="00A07A7F"/>
    <w:rsid w:val="00A126DC"/>
    <w:rsid w:val="00A12983"/>
    <w:rsid w:val="00A12CD3"/>
    <w:rsid w:val="00A140C7"/>
    <w:rsid w:val="00A142F4"/>
    <w:rsid w:val="00A14787"/>
    <w:rsid w:val="00A2014B"/>
    <w:rsid w:val="00A20B1A"/>
    <w:rsid w:val="00A22A39"/>
    <w:rsid w:val="00A26838"/>
    <w:rsid w:val="00A27DBC"/>
    <w:rsid w:val="00A27E60"/>
    <w:rsid w:val="00A35AA0"/>
    <w:rsid w:val="00A41E5D"/>
    <w:rsid w:val="00A43E8D"/>
    <w:rsid w:val="00A449A5"/>
    <w:rsid w:val="00A44C76"/>
    <w:rsid w:val="00A535FB"/>
    <w:rsid w:val="00A53FBD"/>
    <w:rsid w:val="00A60E23"/>
    <w:rsid w:val="00A6374D"/>
    <w:rsid w:val="00A66A73"/>
    <w:rsid w:val="00A75A9B"/>
    <w:rsid w:val="00A75FE7"/>
    <w:rsid w:val="00A8193B"/>
    <w:rsid w:val="00A81C31"/>
    <w:rsid w:val="00A81F82"/>
    <w:rsid w:val="00A826DA"/>
    <w:rsid w:val="00A83C22"/>
    <w:rsid w:val="00A841B0"/>
    <w:rsid w:val="00A85A2B"/>
    <w:rsid w:val="00A8788A"/>
    <w:rsid w:val="00A90D4C"/>
    <w:rsid w:val="00A91031"/>
    <w:rsid w:val="00A927A5"/>
    <w:rsid w:val="00A93543"/>
    <w:rsid w:val="00A94EFC"/>
    <w:rsid w:val="00A9641C"/>
    <w:rsid w:val="00A97B2B"/>
    <w:rsid w:val="00AA1681"/>
    <w:rsid w:val="00AA1FB4"/>
    <w:rsid w:val="00AA2FA1"/>
    <w:rsid w:val="00AA51C1"/>
    <w:rsid w:val="00AA6156"/>
    <w:rsid w:val="00AA6A1D"/>
    <w:rsid w:val="00AA73AC"/>
    <w:rsid w:val="00AA7B77"/>
    <w:rsid w:val="00AA7C7D"/>
    <w:rsid w:val="00AB187A"/>
    <w:rsid w:val="00AB2D91"/>
    <w:rsid w:val="00AB514A"/>
    <w:rsid w:val="00AB6C8A"/>
    <w:rsid w:val="00AB7AE2"/>
    <w:rsid w:val="00AC0359"/>
    <w:rsid w:val="00AC0BBC"/>
    <w:rsid w:val="00AC22FA"/>
    <w:rsid w:val="00AC50E3"/>
    <w:rsid w:val="00AD0ACA"/>
    <w:rsid w:val="00AD51C9"/>
    <w:rsid w:val="00AD7033"/>
    <w:rsid w:val="00AE1DED"/>
    <w:rsid w:val="00AE2A68"/>
    <w:rsid w:val="00AE2F48"/>
    <w:rsid w:val="00AE3AA3"/>
    <w:rsid w:val="00AE513E"/>
    <w:rsid w:val="00AE7AA8"/>
    <w:rsid w:val="00AF0DF9"/>
    <w:rsid w:val="00AF4BE4"/>
    <w:rsid w:val="00B013A9"/>
    <w:rsid w:val="00B03578"/>
    <w:rsid w:val="00B05A6C"/>
    <w:rsid w:val="00B05D08"/>
    <w:rsid w:val="00B11EA0"/>
    <w:rsid w:val="00B14A55"/>
    <w:rsid w:val="00B176BF"/>
    <w:rsid w:val="00B17C75"/>
    <w:rsid w:val="00B17FDB"/>
    <w:rsid w:val="00B21BB1"/>
    <w:rsid w:val="00B25D68"/>
    <w:rsid w:val="00B2777B"/>
    <w:rsid w:val="00B31955"/>
    <w:rsid w:val="00B326CD"/>
    <w:rsid w:val="00B33923"/>
    <w:rsid w:val="00B33A45"/>
    <w:rsid w:val="00B44C63"/>
    <w:rsid w:val="00B5166B"/>
    <w:rsid w:val="00B51EF1"/>
    <w:rsid w:val="00B533D1"/>
    <w:rsid w:val="00B539FB"/>
    <w:rsid w:val="00B55A67"/>
    <w:rsid w:val="00B57FF7"/>
    <w:rsid w:val="00B6111C"/>
    <w:rsid w:val="00B6367E"/>
    <w:rsid w:val="00B63B06"/>
    <w:rsid w:val="00B66C37"/>
    <w:rsid w:val="00B67119"/>
    <w:rsid w:val="00B71675"/>
    <w:rsid w:val="00B71B62"/>
    <w:rsid w:val="00B72C9A"/>
    <w:rsid w:val="00B7462A"/>
    <w:rsid w:val="00B7489A"/>
    <w:rsid w:val="00B75BC0"/>
    <w:rsid w:val="00B7744F"/>
    <w:rsid w:val="00B7796D"/>
    <w:rsid w:val="00B80B83"/>
    <w:rsid w:val="00B813CA"/>
    <w:rsid w:val="00B81A5A"/>
    <w:rsid w:val="00B84626"/>
    <w:rsid w:val="00B84AE5"/>
    <w:rsid w:val="00B863A0"/>
    <w:rsid w:val="00B915D3"/>
    <w:rsid w:val="00B97CF0"/>
    <w:rsid w:val="00BA01AB"/>
    <w:rsid w:val="00BA02E5"/>
    <w:rsid w:val="00BA3306"/>
    <w:rsid w:val="00BA4021"/>
    <w:rsid w:val="00BA4C76"/>
    <w:rsid w:val="00BA5BC8"/>
    <w:rsid w:val="00BA73EE"/>
    <w:rsid w:val="00BB018E"/>
    <w:rsid w:val="00BB0A6C"/>
    <w:rsid w:val="00BB295C"/>
    <w:rsid w:val="00BB68CD"/>
    <w:rsid w:val="00BB74D4"/>
    <w:rsid w:val="00BC6E35"/>
    <w:rsid w:val="00BC7535"/>
    <w:rsid w:val="00BC7FCB"/>
    <w:rsid w:val="00BD03EC"/>
    <w:rsid w:val="00BD3845"/>
    <w:rsid w:val="00BD4730"/>
    <w:rsid w:val="00BD7C14"/>
    <w:rsid w:val="00BE3CAA"/>
    <w:rsid w:val="00BE3E5F"/>
    <w:rsid w:val="00BE583A"/>
    <w:rsid w:val="00BF3167"/>
    <w:rsid w:val="00BF49AA"/>
    <w:rsid w:val="00BF7A68"/>
    <w:rsid w:val="00C0015B"/>
    <w:rsid w:val="00C04144"/>
    <w:rsid w:val="00C05299"/>
    <w:rsid w:val="00C06418"/>
    <w:rsid w:val="00C07417"/>
    <w:rsid w:val="00C07BBA"/>
    <w:rsid w:val="00C104C2"/>
    <w:rsid w:val="00C11033"/>
    <w:rsid w:val="00C14578"/>
    <w:rsid w:val="00C15B77"/>
    <w:rsid w:val="00C1637E"/>
    <w:rsid w:val="00C22719"/>
    <w:rsid w:val="00C23FEA"/>
    <w:rsid w:val="00C2429F"/>
    <w:rsid w:val="00C2663B"/>
    <w:rsid w:val="00C317F3"/>
    <w:rsid w:val="00C44C37"/>
    <w:rsid w:val="00C46AE5"/>
    <w:rsid w:val="00C47654"/>
    <w:rsid w:val="00C52138"/>
    <w:rsid w:val="00C52ACF"/>
    <w:rsid w:val="00C53DB3"/>
    <w:rsid w:val="00C57E4D"/>
    <w:rsid w:val="00C626E2"/>
    <w:rsid w:val="00C628C8"/>
    <w:rsid w:val="00C64878"/>
    <w:rsid w:val="00C654D7"/>
    <w:rsid w:val="00C666CD"/>
    <w:rsid w:val="00C6759E"/>
    <w:rsid w:val="00C72881"/>
    <w:rsid w:val="00C7519E"/>
    <w:rsid w:val="00C7720B"/>
    <w:rsid w:val="00C81A12"/>
    <w:rsid w:val="00C82C22"/>
    <w:rsid w:val="00C838AA"/>
    <w:rsid w:val="00C841E7"/>
    <w:rsid w:val="00C846BE"/>
    <w:rsid w:val="00C87392"/>
    <w:rsid w:val="00C9409D"/>
    <w:rsid w:val="00C963DE"/>
    <w:rsid w:val="00CA0BFD"/>
    <w:rsid w:val="00CA0C26"/>
    <w:rsid w:val="00CA48D3"/>
    <w:rsid w:val="00CA7293"/>
    <w:rsid w:val="00CB07A8"/>
    <w:rsid w:val="00CB14A1"/>
    <w:rsid w:val="00CB5389"/>
    <w:rsid w:val="00CC10E1"/>
    <w:rsid w:val="00CC223C"/>
    <w:rsid w:val="00CC2AC4"/>
    <w:rsid w:val="00CC55DD"/>
    <w:rsid w:val="00CC68A5"/>
    <w:rsid w:val="00CD12E3"/>
    <w:rsid w:val="00CD1970"/>
    <w:rsid w:val="00CD6327"/>
    <w:rsid w:val="00CE2A73"/>
    <w:rsid w:val="00CE2B78"/>
    <w:rsid w:val="00CE2BE1"/>
    <w:rsid w:val="00CE4670"/>
    <w:rsid w:val="00CE54C3"/>
    <w:rsid w:val="00CE6E7D"/>
    <w:rsid w:val="00CE74A3"/>
    <w:rsid w:val="00CE7C5B"/>
    <w:rsid w:val="00CF41ED"/>
    <w:rsid w:val="00D030E1"/>
    <w:rsid w:val="00D034DD"/>
    <w:rsid w:val="00D03D0C"/>
    <w:rsid w:val="00D045D1"/>
    <w:rsid w:val="00D04952"/>
    <w:rsid w:val="00D06A16"/>
    <w:rsid w:val="00D1078F"/>
    <w:rsid w:val="00D10E60"/>
    <w:rsid w:val="00D12CD2"/>
    <w:rsid w:val="00D139AA"/>
    <w:rsid w:val="00D14D23"/>
    <w:rsid w:val="00D15D8B"/>
    <w:rsid w:val="00D17984"/>
    <w:rsid w:val="00D20CD5"/>
    <w:rsid w:val="00D24DAD"/>
    <w:rsid w:val="00D25916"/>
    <w:rsid w:val="00D27BD7"/>
    <w:rsid w:val="00D30A88"/>
    <w:rsid w:val="00D30E06"/>
    <w:rsid w:val="00D329E6"/>
    <w:rsid w:val="00D32A3D"/>
    <w:rsid w:val="00D36027"/>
    <w:rsid w:val="00D36397"/>
    <w:rsid w:val="00D3660E"/>
    <w:rsid w:val="00D36728"/>
    <w:rsid w:val="00D36920"/>
    <w:rsid w:val="00D37972"/>
    <w:rsid w:val="00D40896"/>
    <w:rsid w:val="00D41534"/>
    <w:rsid w:val="00D4448E"/>
    <w:rsid w:val="00D451FC"/>
    <w:rsid w:val="00D460B8"/>
    <w:rsid w:val="00D50C74"/>
    <w:rsid w:val="00D50D56"/>
    <w:rsid w:val="00D519EC"/>
    <w:rsid w:val="00D51F97"/>
    <w:rsid w:val="00D57166"/>
    <w:rsid w:val="00D57BB5"/>
    <w:rsid w:val="00D633DE"/>
    <w:rsid w:val="00D63885"/>
    <w:rsid w:val="00D63C48"/>
    <w:rsid w:val="00D64289"/>
    <w:rsid w:val="00D64740"/>
    <w:rsid w:val="00D6667B"/>
    <w:rsid w:val="00D667E1"/>
    <w:rsid w:val="00D71400"/>
    <w:rsid w:val="00D714FF"/>
    <w:rsid w:val="00D72992"/>
    <w:rsid w:val="00D72C23"/>
    <w:rsid w:val="00D73FB9"/>
    <w:rsid w:val="00D8435D"/>
    <w:rsid w:val="00D86D8E"/>
    <w:rsid w:val="00D940C9"/>
    <w:rsid w:val="00D95080"/>
    <w:rsid w:val="00D95394"/>
    <w:rsid w:val="00D969AB"/>
    <w:rsid w:val="00D970E7"/>
    <w:rsid w:val="00DA032B"/>
    <w:rsid w:val="00DA0456"/>
    <w:rsid w:val="00DA064C"/>
    <w:rsid w:val="00DA4456"/>
    <w:rsid w:val="00DA55BB"/>
    <w:rsid w:val="00DA59BD"/>
    <w:rsid w:val="00DA705F"/>
    <w:rsid w:val="00DA73EE"/>
    <w:rsid w:val="00DA7B52"/>
    <w:rsid w:val="00DB1978"/>
    <w:rsid w:val="00DB1AC6"/>
    <w:rsid w:val="00DC1743"/>
    <w:rsid w:val="00DC1B98"/>
    <w:rsid w:val="00DC1F73"/>
    <w:rsid w:val="00DC34D0"/>
    <w:rsid w:val="00DC4CC9"/>
    <w:rsid w:val="00DC7746"/>
    <w:rsid w:val="00DD3049"/>
    <w:rsid w:val="00DE30E2"/>
    <w:rsid w:val="00DE3A9A"/>
    <w:rsid w:val="00DE4795"/>
    <w:rsid w:val="00DE5F0C"/>
    <w:rsid w:val="00DE6421"/>
    <w:rsid w:val="00DE7388"/>
    <w:rsid w:val="00DF0568"/>
    <w:rsid w:val="00DF16C0"/>
    <w:rsid w:val="00DF548B"/>
    <w:rsid w:val="00E04A68"/>
    <w:rsid w:val="00E05FBC"/>
    <w:rsid w:val="00E065FA"/>
    <w:rsid w:val="00E10B7D"/>
    <w:rsid w:val="00E113E9"/>
    <w:rsid w:val="00E11AD2"/>
    <w:rsid w:val="00E16150"/>
    <w:rsid w:val="00E16F65"/>
    <w:rsid w:val="00E208EB"/>
    <w:rsid w:val="00E227EA"/>
    <w:rsid w:val="00E23660"/>
    <w:rsid w:val="00E23FAE"/>
    <w:rsid w:val="00E241E1"/>
    <w:rsid w:val="00E24460"/>
    <w:rsid w:val="00E26D91"/>
    <w:rsid w:val="00E2761D"/>
    <w:rsid w:val="00E31A1E"/>
    <w:rsid w:val="00E34484"/>
    <w:rsid w:val="00E3674F"/>
    <w:rsid w:val="00E37424"/>
    <w:rsid w:val="00E37BD2"/>
    <w:rsid w:val="00E400C6"/>
    <w:rsid w:val="00E4041E"/>
    <w:rsid w:val="00E41742"/>
    <w:rsid w:val="00E45180"/>
    <w:rsid w:val="00E45305"/>
    <w:rsid w:val="00E4634C"/>
    <w:rsid w:val="00E46AC9"/>
    <w:rsid w:val="00E53DB6"/>
    <w:rsid w:val="00E53FB9"/>
    <w:rsid w:val="00E54FB3"/>
    <w:rsid w:val="00E55904"/>
    <w:rsid w:val="00E55E72"/>
    <w:rsid w:val="00E56FED"/>
    <w:rsid w:val="00E63844"/>
    <w:rsid w:val="00E66614"/>
    <w:rsid w:val="00E707B2"/>
    <w:rsid w:val="00E707B4"/>
    <w:rsid w:val="00E7269C"/>
    <w:rsid w:val="00E773DF"/>
    <w:rsid w:val="00E81D30"/>
    <w:rsid w:val="00E820ED"/>
    <w:rsid w:val="00E8269B"/>
    <w:rsid w:val="00E870CE"/>
    <w:rsid w:val="00E930FA"/>
    <w:rsid w:val="00E94D4C"/>
    <w:rsid w:val="00E968B1"/>
    <w:rsid w:val="00EA1B29"/>
    <w:rsid w:val="00EA66E6"/>
    <w:rsid w:val="00EB18EB"/>
    <w:rsid w:val="00EB376B"/>
    <w:rsid w:val="00EB3F3E"/>
    <w:rsid w:val="00EB426B"/>
    <w:rsid w:val="00EB578E"/>
    <w:rsid w:val="00EB5E6D"/>
    <w:rsid w:val="00EB7431"/>
    <w:rsid w:val="00EB7933"/>
    <w:rsid w:val="00EC12FC"/>
    <w:rsid w:val="00EC418A"/>
    <w:rsid w:val="00EC5B28"/>
    <w:rsid w:val="00EC7ECB"/>
    <w:rsid w:val="00ED5892"/>
    <w:rsid w:val="00EE13B6"/>
    <w:rsid w:val="00EE180E"/>
    <w:rsid w:val="00EE52E8"/>
    <w:rsid w:val="00EE5ABD"/>
    <w:rsid w:val="00EE76E0"/>
    <w:rsid w:val="00EF3278"/>
    <w:rsid w:val="00EF3DE8"/>
    <w:rsid w:val="00EF4F1F"/>
    <w:rsid w:val="00F01A40"/>
    <w:rsid w:val="00F03E25"/>
    <w:rsid w:val="00F049EC"/>
    <w:rsid w:val="00F06757"/>
    <w:rsid w:val="00F07EC1"/>
    <w:rsid w:val="00F11582"/>
    <w:rsid w:val="00F2552F"/>
    <w:rsid w:val="00F26B4B"/>
    <w:rsid w:val="00F26B8A"/>
    <w:rsid w:val="00F2706C"/>
    <w:rsid w:val="00F3094A"/>
    <w:rsid w:val="00F31EE1"/>
    <w:rsid w:val="00F32D23"/>
    <w:rsid w:val="00F34717"/>
    <w:rsid w:val="00F419C5"/>
    <w:rsid w:val="00F4223D"/>
    <w:rsid w:val="00F43A03"/>
    <w:rsid w:val="00F44EFB"/>
    <w:rsid w:val="00F469F3"/>
    <w:rsid w:val="00F56314"/>
    <w:rsid w:val="00F6378F"/>
    <w:rsid w:val="00F66748"/>
    <w:rsid w:val="00F72563"/>
    <w:rsid w:val="00F72B42"/>
    <w:rsid w:val="00F72EA0"/>
    <w:rsid w:val="00F733F3"/>
    <w:rsid w:val="00F73A39"/>
    <w:rsid w:val="00F75D3A"/>
    <w:rsid w:val="00F80139"/>
    <w:rsid w:val="00F80313"/>
    <w:rsid w:val="00F86063"/>
    <w:rsid w:val="00F87C31"/>
    <w:rsid w:val="00F9023A"/>
    <w:rsid w:val="00F9212E"/>
    <w:rsid w:val="00F9334F"/>
    <w:rsid w:val="00F95708"/>
    <w:rsid w:val="00F9783F"/>
    <w:rsid w:val="00FA0329"/>
    <w:rsid w:val="00FA095A"/>
    <w:rsid w:val="00FA0E61"/>
    <w:rsid w:val="00FB0200"/>
    <w:rsid w:val="00FB30F8"/>
    <w:rsid w:val="00FB366A"/>
    <w:rsid w:val="00FB3D81"/>
    <w:rsid w:val="00FB57DB"/>
    <w:rsid w:val="00FB6238"/>
    <w:rsid w:val="00FC06E3"/>
    <w:rsid w:val="00FC22AB"/>
    <w:rsid w:val="00FC26D4"/>
    <w:rsid w:val="00FC594B"/>
    <w:rsid w:val="00FC75E5"/>
    <w:rsid w:val="00FD0DA5"/>
    <w:rsid w:val="00FD107A"/>
    <w:rsid w:val="00FD4930"/>
    <w:rsid w:val="00FD5875"/>
    <w:rsid w:val="00FD65C4"/>
    <w:rsid w:val="00FD7841"/>
    <w:rsid w:val="00FE2431"/>
    <w:rsid w:val="00FE4140"/>
    <w:rsid w:val="00FE4C58"/>
    <w:rsid w:val="00FE6746"/>
    <w:rsid w:val="00FF2550"/>
    <w:rsid w:val="00FF610D"/>
    <w:rsid w:val="00FF755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0"/>
    <w:lsdException w:name="caption" w:uiPriority="35" w:qFormat="1"/>
    <w:lsdException w:name="annotation reference" w:uiPriority="0" w:qFormat="1"/>
    <w:lsdException w:name="page number" w:uiPriority="0"/>
    <w:lsdException w:name="List Bullet 2" w:uiPriority="0"/>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978"/>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qFormat/>
    <w:rsid w:val="00BA3306"/>
    <w:rPr>
      <w:b w:val="0"/>
      <w:i/>
      <w:iCs/>
    </w:rPr>
  </w:style>
  <w:style w:type="character" w:styleId="CommentReference">
    <w:name w:val="annotation reference"/>
    <w:aliases w:val="Table Title"/>
    <w:basedOn w:val="DefaultParagraphFont"/>
    <w:unhideWhenUsed/>
    <w:qFormat/>
    <w:rsid w:val="004619BB"/>
    <w:rPr>
      <w:sz w:val="16"/>
      <w:szCs w:val="16"/>
    </w:rPr>
  </w:style>
  <w:style w:type="paragraph" w:styleId="CommentText">
    <w:name w:val="annotation text"/>
    <w:basedOn w:val="Normal"/>
    <w:link w:val="CommentTextChar"/>
    <w:unhideWhenUsed/>
    <w:rsid w:val="004619BB"/>
    <w:rPr>
      <w:sz w:val="20"/>
      <w:szCs w:val="20"/>
    </w:rPr>
  </w:style>
  <w:style w:type="character" w:customStyle="1" w:styleId="CommentTextChar">
    <w:name w:val="Comment Text Char"/>
    <w:basedOn w:val="DefaultParagraphFont"/>
    <w:link w:val="CommentText"/>
    <w:rsid w:val="004619BB"/>
    <w:rPr>
      <w:sz w:val="20"/>
      <w:szCs w:val="20"/>
    </w:rPr>
  </w:style>
  <w:style w:type="paragraph" w:styleId="CommentSubject">
    <w:name w:val="annotation subject"/>
    <w:basedOn w:val="CommentText"/>
    <w:next w:val="CommentText"/>
    <w:link w:val="CommentSubjectChar"/>
    <w:uiPriority w:val="99"/>
    <w:unhideWhenUsed/>
    <w:rsid w:val="004619BB"/>
    <w:rPr>
      <w:b/>
      <w:bCs/>
    </w:rPr>
  </w:style>
  <w:style w:type="character" w:customStyle="1" w:styleId="CommentSubjectChar">
    <w:name w:val="Comment Subject Char"/>
    <w:basedOn w:val="CommentTextChar"/>
    <w:link w:val="CommentSubject"/>
    <w:uiPriority w:val="99"/>
    <w:rsid w:val="004619BB"/>
    <w:rPr>
      <w:b/>
      <w:bCs/>
      <w:sz w:val="20"/>
      <w:szCs w:val="20"/>
    </w:rPr>
  </w:style>
  <w:style w:type="paragraph" w:styleId="BalloonText">
    <w:name w:val="Balloon Text"/>
    <w:basedOn w:val="Normal"/>
    <w:link w:val="BalloonTextChar"/>
    <w:uiPriority w:val="9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character" w:customStyle="1" w:styleId="TableTextChar">
    <w:name w:val="Table Text Char"/>
    <w:link w:val="TableText"/>
    <w:locked/>
    <w:rsid w:val="00C7720B"/>
    <w:rPr>
      <w:rFonts w:ascii="Arial Narrow" w:hAnsi="Arial Narrow"/>
      <w:sz w:val="20"/>
    </w:rPr>
  </w:style>
  <w:style w:type="paragraph" w:customStyle="1" w:styleId="CaptionTable">
    <w:name w:val="Caption Table"/>
    <w:basedOn w:val="Normal"/>
    <w:next w:val="Normal"/>
    <w:link w:val="CaptionTableChar"/>
    <w:autoRedefine/>
    <w:rsid w:val="00CE7C5B"/>
    <w:pPr>
      <w:keepNext/>
      <w:spacing w:before="0" w:after="0"/>
      <w:jc w:val="both"/>
    </w:pPr>
    <w:rPr>
      <w:rFonts w:ascii="Arial Narrow" w:eastAsia="Times New Roman" w:hAnsi="Arial Narrow" w:cs="Times New Roman"/>
      <w:b/>
      <w:bCs/>
      <w:sz w:val="20"/>
      <w:szCs w:val="20"/>
    </w:rPr>
  </w:style>
  <w:style w:type="character" w:customStyle="1" w:styleId="CaptionTableChar">
    <w:name w:val="Caption Table Char"/>
    <w:link w:val="CaptionTable"/>
    <w:rsid w:val="00CE7C5B"/>
    <w:rPr>
      <w:rFonts w:ascii="Arial Narrow" w:eastAsia="Times New Roman" w:hAnsi="Arial Narrow" w:cs="Times New Roman"/>
      <w:b/>
      <w:bCs/>
      <w:sz w:val="20"/>
      <w:szCs w:val="20"/>
    </w:rPr>
  </w:style>
  <w:style w:type="character" w:styleId="PageNumber">
    <w:name w:val="page number"/>
    <w:basedOn w:val="DefaultParagraphFont"/>
    <w:rsid w:val="001A3B19"/>
  </w:style>
  <w:style w:type="paragraph" w:customStyle="1" w:styleId="TableParagraph">
    <w:name w:val="Table Paragraph"/>
    <w:basedOn w:val="Normal"/>
    <w:uiPriority w:val="1"/>
    <w:qFormat/>
    <w:rsid w:val="001A3B19"/>
    <w:pPr>
      <w:widowControl w:val="0"/>
      <w:autoSpaceDE w:val="0"/>
      <w:autoSpaceDN w:val="0"/>
      <w:spacing w:before="9" w:after="0"/>
    </w:pPr>
    <w:rPr>
      <w:rFonts w:ascii="Times New Roman" w:eastAsia="Times New Roman" w:hAnsi="Times New Roman" w:cs="Times New Roman"/>
      <w:sz w:val="22"/>
      <w:lang w:val="en-US"/>
    </w:rPr>
  </w:style>
  <w:style w:type="numbering" w:customStyle="1" w:styleId="1ai1">
    <w:name w:val="1 / a / i1"/>
    <w:basedOn w:val="NoList"/>
    <w:next w:val="1ai"/>
    <w:rsid w:val="001A3B19"/>
    <w:pPr>
      <w:numPr>
        <w:numId w:val="7"/>
      </w:numPr>
    </w:pPr>
  </w:style>
  <w:style w:type="numbering" w:styleId="1ai">
    <w:name w:val="Outline List 1"/>
    <w:basedOn w:val="NoList"/>
    <w:uiPriority w:val="99"/>
    <w:semiHidden/>
    <w:unhideWhenUsed/>
    <w:rsid w:val="001A3B19"/>
  </w:style>
  <w:style w:type="paragraph" w:styleId="ListBullet2">
    <w:name w:val="List Bullet 2"/>
    <w:basedOn w:val="Normal"/>
    <w:autoRedefine/>
    <w:rsid w:val="001A3B19"/>
    <w:pPr>
      <w:numPr>
        <w:numId w:val="9"/>
      </w:numPr>
      <w:spacing w:before="0" w:after="120"/>
    </w:pPr>
    <w:rPr>
      <w:rFonts w:ascii="Times New Roman" w:eastAsia="Times New Roman" w:hAnsi="Times New Roman" w:cs="Times New Roman"/>
      <w:spacing w:val="-3"/>
      <w:szCs w:val="20"/>
      <w:lang w:val="en-GB"/>
    </w:rPr>
  </w:style>
  <w:style w:type="numbering" w:customStyle="1" w:styleId="NoList1">
    <w:name w:val="No List1"/>
    <w:next w:val="NoList"/>
    <w:uiPriority w:val="99"/>
    <w:semiHidden/>
    <w:unhideWhenUsed/>
    <w:rsid w:val="001A3B19"/>
  </w:style>
  <w:style w:type="table" w:customStyle="1" w:styleId="TableGridbeth1">
    <w:name w:val="Table Gridbeth1"/>
    <w:basedOn w:val="TableNormal"/>
    <w:next w:val="TableGrid"/>
    <w:uiPriority w:val="59"/>
    <w:rsid w:val="001A3B1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Light11">
    <w:name w:val="Table Grid Light11"/>
    <w:basedOn w:val="TableNormal"/>
    <w:uiPriority w:val="40"/>
    <w:rsid w:val="001A3B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1">
    <w:name w:val="Plain Table 211"/>
    <w:basedOn w:val="TableNormal"/>
    <w:uiPriority w:val="42"/>
    <w:rsid w:val="001A3B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ai2">
    <w:name w:val="1 / a / i2"/>
    <w:basedOn w:val="NoList"/>
    <w:next w:val="1ai"/>
    <w:uiPriority w:val="99"/>
    <w:semiHidden/>
    <w:unhideWhenUsed/>
    <w:rsid w:val="001A3B19"/>
  </w:style>
  <w:style w:type="numbering" w:customStyle="1" w:styleId="NoList11">
    <w:name w:val="No List11"/>
    <w:next w:val="NoList"/>
    <w:uiPriority w:val="99"/>
    <w:semiHidden/>
    <w:unhideWhenUsed/>
    <w:rsid w:val="001A3B19"/>
  </w:style>
  <w:style w:type="numbering" w:customStyle="1" w:styleId="1ai21">
    <w:name w:val="1 / a / i21"/>
    <w:basedOn w:val="NoList"/>
    <w:next w:val="1ai"/>
    <w:uiPriority w:val="99"/>
    <w:semiHidden/>
    <w:unhideWhenUsed/>
    <w:rsid w:val="001A3B19"/>
  </w:style>
  <w:style w:type="paragraph" w:customStyle="1" w:styleId="TableTextcentred">
    <w:name w:val="Table Text centred"/>
    <w:basedOn w:val="Normal"/>
    <w:link w:val="TableTextcentredChar"/>
    <w:autoRedefine/>
    <w:qFormat/>
    <w:rsid w:val="00E56FED"/>
    <w:pPr>
      <w:spacing w:before="0" w:after="0"/>
      <w:jc w:val="center"/>
    </w:pPr>
    <w:rPr>
      <w:rFonts w:ascii="Calibri" w:eastAsia="Times New Roman" w:hAnsi="Calibri" w:cs="Times New Roman"/>
      <w:sz w:val="18"/>
      <w:szCs w:val="20"/>
    </w:rPr>
  </w:style>
  <w:style w:type="character" w:customStyle="1" w:styleId="TableTextcentredChar">
    <w:name w:val="Table Text centred Char"/>
    <w:link w:val="TableTextcentred"/>
    <w:rsid w:val="00E56FED"/>
    <w:rPr>
      <w:rFonts w:ascii="Calibri" w:eastAsia="Times New Roman" w:hAnsi="Calibri" w:cs="Times New Roman"/>
      <w:sz w:val="18"/>
      <w:szCs w:val="20"/>
    </w:rPr>
  </w:style>
  <w:style w:type="paragraph" w:customStyle="1" w:styleId="CaptionStyle">
    <w:name w:val="Caption Style"/>
    <w:basedOn w:val="Normal"/>
    <w:next w:val="Normal"/>
    <w:link w:val="CaptionStyleChar"/>
    <w:autoRedefine/>
    <w:rsid w:val="00E56FED"/>
    <w:pPr>
      <w:keepNext/>
      <w:spacing w:before="0" w:after="0"/>
    </w:pPr>
    <w:rPr>
      <w:rFonts w:ascii="Calibri" w:eastAsia="Times New Roman" w:hAnsi="Calibri" w:cs="Times New Roman"/>
      <w:b/>
      <w:bCs/>
      <w:sz w:val="20"/>
      <w:szCs w:val="20"/>
    </w:rPr>
  </w:style>
  <w:style w:type="character" w:customStyle="1" w:styleId="CaptionStyleChar">
    <w:name w:val="Caption Style Char"/>
    <w:link w:val="CaptionStyle"/>
    <w:rsid w:val="00E56FED"/>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0"/>
    <w:lsdException w:name="caption" w:uiPriority="35" w:qFormat="1"/>
    <w:lsdException w:name="annotation reference" w:uiPriority="0" w:qFormat="1"/>
    <w:lsdException w:name="page number" w:uiPriority="0"/>
    <w:lsdException w:name="List Bullet 2" w:uiPriority="0"/>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978"/>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qFormat/>
    <w:rsid w:val="00BA3306"/>
    <w:rPr>
      <w:b w:val="0"/>
      <w:i/>
      <w:iCs/>
    </w:rPr>
  </w:style>
  <w:style w:type="character" w:styleId="CommentReference">
    <w:name w:val="annotation reference"/>
    <w:aliases w:val="Table Title"/>
    <w:basedOn w:val="DefaultParagraphFont"/>
    <w:unhideWhenUsed/>
    <w:qFormat/>
    <w:rsid w:val="004619BB"/>
    <w:rPr>
      <w:sz w:val="16"/>
      <w:szCs w:val="16"/>
    </w:rPr>
  </w:style>
  <w:style w:type="paragraph" w:styleId="CommentText">
    <w:name w:val="annotation text"/>
    <w:basedOn w:val="Normal"/>
    <w:link w:val="CommentTextChar"/>
    <w:unhideWhenUsed/>
    <w:rsid w:val="004619BB"/>
    <w:rPr>
      <w:sz w:val="20"/>
      <w:szCs w:val="20"/>
    </w:rPr>
  </w:style>
  <w:style w:type="character" w:customStyle="1" w:styleId="CommentTextChar">
    <w:name w:val="Comment Text Char"/>
    <w:basedOn w:val="DefaultParagraphFont"/>
    <w:link w:val="CommentText"/>
    <w:rsid w:val="004619BB"/>
    <w:rPr>
      <w:sz w:val="20"/>
      <w:szCs w:val="20"/>
    </w:rPr>
  </w:style>
  <w:style w:type="paragraph" w:styleId="CommentSubject">
    <w:name w:val="annotation subject"/>
    <w:basedOn w:val="CommentText"/>
    <w:next w:val="CommentText"/>
    <w:link w:val="CommentSubjectChar"/>
    <w:uiPriority w:val="99"/>
    <w:unhideWhenUsed/>
    <w:rsid w:val="004619BB"/>
    <w:rPr>
      <w:b/>
      <w:bCs/>
    </w:rPr>
  </w:style>
  <w:style w:type="character" w:customStyle="1" w:styleId="CommentSubjectChar">
    <w:name w:val="Comment Subject Char"/>
    <w:basedOn w:val="CommentTextChar"/>
    <w:link w:val="CommentSubject"/>
    <w:uiPriority w:val="99"/>
    <w:rsid w:val="004619BB"/>
    <w:rPr>
      <w:b/>
      <w:bCs/>
      <w:sz w:val="20"/>
      <w:szCs w:val="20"/>
    </w:rPr>
  </w:style>
  <w:style w:type="paragraph" w:styleId="BalloonText">
    <w:name w:val="Balloon Text"/>
    <w:basedOn w:val="Normal"/>
    <w:link w:val="BalloonTextChar"/>
    <w:uiPriority w:val="9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character" w:customStyle="1" w:styleId="TableTextChar">
    <w:name w:val="Table Text Char"/>
    <w:link w:val="TableText"/>
    <w:locked/>
    <w:rsid w:val="00C7720B"/>
    <w:rPr>
      <w:rFonts w:ascii="Arial Narrow" w:hAnsi="Arial Narrow"/>
      <w:sz w:val="20"/>
    </w:rPr>
  </w:style>
  <w:style w:type="paragraph" w:customStyle="1" w:styleId="CaptionTable">
    <w:name w:val="Caption Table"/>
    <w:basedOn w:val="Normal"/>
    <w:next w:val="Normal"/>
    <w:link w:val="CaptionTableChar"/>
    <w:autoRedefine/>
    <w:rsid w:val="00CE7C5B"/>
    <w:pPr>
      <w:keepNext/>
      <w:spacing w:before="0" w:after="0"/>
      <w:jc w:val="both"/>
    </w:pPr>
    <w:rPr>
      <w:rFonts w:ascii="Arial Narrow" w:eastAsia="Times New Roman" w:hAnsi="Arial Narrow" w:cs="Times New Roman"/>
      <w:b/>
      <w:bCs/>
      <w:sz w:val="20"/>
      <w:szCs w:val="20"/>
    </w:rPr>
  </w:style>
  <w:style w:type="character" w:customStyle="1" w:styleId="CaptionTableChar">
    <w:name w:val="Caption Table Char"/>
    <w:link w:val="CaptionTable"/>
    <w:rsid w:val="00CE7C5B"/>
    <w:rPr>
      <w:rFonts w:ascii="Arial Narrow" w:eastAsia="Times New Roman" w:hAnsi="Arial Narrow" w:cs="Times New Roman"/>
      <w:b/>
      <w:bCs/>
      <w:sz w:val="20"/>
      <w:szCs w:val="20"/>
    </w:rPr>
  </w:style>
  <w:style w:type="character" w:styleId="PageNumber">
    <w:name w:val="page number"/>
    <w:basedOn w:val="DefaultParagraphFont"/>
    <w:rsid w:val="001A3B19"/>
  </w:style>
  <w:style w:type="paragraph" w:customStyle="1" w:styleId="TableParagraph">
    <w:name w:val="Table Paragraph"/>
    <w:basedOn w:val="Normal"/>
    <w:uiPriority w:val="1"/>
    <w:qFormat/>
    <w:rsid w:val="001A3B19"/>
    <w:pPr>
      <w:widowControl w:val="0"/>
      <w:autoSpaceDE w:val="0"/>
      <w:autoSpaceDN w:val="0"/>
      <w:spacing w:before="9" w:after="0"/>
    </w:pPr>
    <w:rPr>
      <w:rFonts w:ascii="Times New Roman" w:eastAsia="Times New Roman" w:hAnsi="Times New Roman" w:cs="Times New Roman"/>
      <w:sz w:val="22"/>
      <w:lang w:val="en-US"/>
    </w:rPr>
  </w:style>
  <w:style w:type="numbering" w:customStyle="1" w:styleId="1ai1">
    <w:name w:val="1 / a / i1"/>
    <w:basedOn w:val="NoList"/>
    <w:next w:val="1ai"/>
    <w:rsid w:val="001A3B19"/>
    <w:pPr>
      <w:numPr>
        <w:numId w:val="7"/>
      </w:numPr>
    </w:pPr>
  </w:style>
  <w:style w:type="numbering" w:styleId="1ai">
    <w:name w:val="Outline List 1"/>
    <w:basedOn w:val="NoList"/>
    <w:uiPriority w:val="99"/>
    <w:semiHidden/>
    <w:unhideWhenUsed/>
    <w:rsid w:val="001A3B19"/>
  </w:style>
  <w:style w:type="paragraph" w:styleId="ListBullet2">
    <w:name w:val="List Bullet 2"/>
    <w:basedOn w:val="Normal"/>
    <w:autoRedefine/>
    <w:rsid w:val="001A3B19"/>
    <w:pPr>
      <w:numPr>
        <w:numId w:val="9"/>
      </w:numPr>
      <w:spacing w:before="0" w:after="120"/>
    </w:pPr>
    <w:rPr>
      <w:rFonts w:ascii="Times New Roman" w:eastAsia="Times New Roman" w:hAnsi="Times New Roman" w:cs="Times New Roman"/>
      <w:spacing w:val="-3"/>
      <w:szCs w:val="20"/>
      <w:lang w:val="en-GB"/>
    </w:rPr>
  </w:style>
  <w:style w:type="numbering" w:customStyle="1" w:styleId="NoList1">
    <w:name w:val="No List1"/>
    <w:next w:val="NoList"/>
    <w:uiPriority w:val="99"/>
    <w:semiHidden/>
    <w:unhideWhenUsed/>
    <w:rsid w:val="001A3B19"/>
  </w:style>
  <w:style w:type="table" w:customStyle="1" w:styleId="TableGridbeth1">
    <w:name w:val="Table Gridbeth1"/>
    <w:basedOn w:val="TableNormal"/>
    <w:next w:val="TableGrid"/>
    <w:uiPriority w:val="59"/>
    <w:rsid w:val="001A3B1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Light11">
    <w:name w:val="Table Grid Light11"/>
    <w:basedOn w:val="TableNormal"/>
    <w:uiPriority w:val="40"/>
    <w:rsid w:val="001A3B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1">
    <w:name w:val="Plain Table 211"/>
    <w:basedOn w:val="TableNormal"/>
    <w:uiPriority w:val="42"/>
    <w:rsid w:val="001A3B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ai2">
    <w:name w:val="1 / a / i2"/>
    <w:basedOn w:val="NoList"/>
    <w:next w:val="1ai"/>
    <w:uiPriority w:val="99"/>
    <w:semiHidden/>
    <w:unhideWhenUsed/>
    <w:rsid w:val="001A3B19"/>
  </w:style>
  <w:style w:type="numbering" w:customStyle="1" w:styleId="NoList11">
    <w:name w:val="No List11"/>
    <w:next w:val="NoList"/>
    <w:uiPriority w:val="99"/>
    <w:semiHidden/>
    <w:unhideWhenUsed/>
    <w:rsid w:val="001A3B19"/>
  </w:style>
  <w:style w:type="numbering" w:customStyle="1" w:styleId="1ai21">
    <w:name w:val="1 / a / i21"/>
    <w:basedOn w:val="NoList"/>
    <w:next w:val="1ai"/>
    <w:uiPriority w:val="99"/>
    <w:semiHidden/>
    <w:unhideWhenUsed/>
    <w:rsid w:val="001A3B19"/>
  </w:style>
  <w:style w:type="paragraph" w:customStyle="1" w:styleId="TableTextcentred">
    <w:name w:val="Table Text centred"/>
    <w:basedOn w:val="Normal"/>
    <w:link w:val="TableTextcentredChar"/>
    <w:autoRedefine/>
    <w:qFormat/>
    <w:rsid w:val="00E56FED"/>
    <w:pPr>
      <w:spacing w:before="0" w:after="0"/>
      <w:jc w:val="center"/>
    </w:pPr>
    <w:rPr>
      <w:rFonts w:ascii="Calibri" w:eastAsia="Times New Roman" w:hAnsi="Calibri" w:cs="Times New Roman"/>
      <w:sz w:val="18"/>
      <w:szCs w:val="20"/>
    </w:rPr>
  </w:style>
  <w:style w:type="character" w:customStyle="1" w:styleId="TableTextcentredChar">
    <w:name w:val="Table Text centred Char"/>
    <w:link w:val="TableTextcentred"/>
    <w:rsid w:val="00E56FED"/>
    <w:rPr>
      <w:rFonts w:ascii="Calibri" w:eastAsia="Times New Roman" w:hAnsi="Calibri" w:cs="Times New Roman"/>
      <w:sz w:val="18"/>
      <w:szCs w:val="20"/>
    </w:rPr>
  </w:style>
  <w:style w:type="paragraph" w:customStyle="1" w:styleId="CaptionStyle">
    <w:name w:val="Caption Style"/>
    <w:basedOn w:val="Normal"/>
    <w:next w:val="Normal"/>
    <w:link w:val="CaptionStyleChar"/>
    <w:autoRedefine/>
    <w:rsid w:val="00E56FED"/>
    <w:pPr>
      <w:keepNext/>
      <w:spacing w:before="0" w:after="0"/>
    </w:pPr>
    <w:rPr>
      <w:rFonts w:ascii="Calibri" w:eastAsia="Times New Roman" w:hAnsi="Calibri" w:cs="Times New Roman"/>
      <w:b/>
      <w:bCs/>
      <w:sz w:val="20"/>
      <w:szCs w:val="20"/>
    </w:rPr>
  </w:style>
  <w:style w:type="character" w:customStyle="1" w:styleId="CaptionStyleChar">
    <w:name w:val="Caption Style Char"/>
    <w:link w:val="CaptionStyle"/>
    <w:rsid w:val="00E56FED"/>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893348200">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199732760">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538082959">
      <w:bodyDiv w:val="1"/>
      <w:marLeft w:val="0"/>
      <w:marRight w:val="0"/>
      <w:marTop w:val="0"/>
      <w:marBottom w:val="0"/>
      <w:divBdr>
        <w:top w:val="none" w:sz="0" w:space="0" w:color="auto"/>
        <w:left w:val="none" w:sz="0" w:space="0" w:color="auto"/>
        <w:bottom w:val="none" w:sz="0" w:space="0" w:color="auto"/>
        <w:right w:val="none" w:sz="0" w:space="0" w:color="auto"/>
      </w:divBdr>
    </w:div>
    <w:div w:id="1999110416">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A7388-1F73-4C9D-A7A1-5738FF4C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10475</Words>
  <Characters>59708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2018-02-16T02:40:00Z</dcterms:created>
  <dcterms:modified xsi:type="dcterms:W3CDTF">2018-03-08T05:22:00Z</dcterms:modified>
</cp:coreProperties>
</file>