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F461D0" w:rsidRDefault="003730AF" w:rsidP="0077502A">
      <w:pPr>
        <w:pStyle w:val="Title"/>
        <w:spacing w:before="120" w:after="160"/>
        <w:ind w:left="720" w:hanging="720"/>
        <w:rPr>
          <w:rFonts w:asciiTheme="minorHAnsi" w:eastAsiaTheme="minorHAnsi" w:hAnsiTheme="minorHAnsi" w:cstheme="minorBidi"/>
          <w:spacing w:val="0"/>
          <w:kern w:val="0"/>
          <w:sz w:val="36"/>
          <w:szCs w:val="36"/>
          <w:lang w:eastAsia="en-US"/>
        </w:rPr>
      </w:pPr>
      <w:bookmarkStart w:id="0" w:name="_GoBack"/>
      <w:bookmarkEnd w:id="0"/>
      <w:r w:rsidRPr="00F461D0">
        <w:rPr>
          <w:rFonts w:asciiTheme="minorHAnsi" w:eastAsiaTheme="minorHAnsi" w:hAnsiTheme="minorHAnsi" w:cstheme="minorBidi"/>
          <w:spacing w:val="0"/>
          <w:kern w:val="0"/>
          <w:sz w:val="36"/>
          <w:szCs w:val="36"/>
          <w:lang w:eastAsia="en-US"/>
        </w:rPr>
        <w:t>5.20</w:t>
      </w:r>
      <w:r w:rsidR="007C0F57" w:rsidRPr="00F461D0">
        <w:rPr>
          <w:rFonts w:asciiTheme="minorHAnsi" w:eastAsiaTheme="minorHAnsi" w:hAnsiTheme="minorHAnsi" w:cstheme="minorBidi"/>
          <w:spacing w:val="0"/>
          <w:kern w:val="0"/>
          <w:sz w:val="36"/>
          <w:szCs w:val="36"/>
          <w:lang w:eastAsia="en-US"/>
        </w:rPr>
        <w:tab/>
      </w:r>
      <w:r w:rsidRPr="00F461D0">
        <w:rPr>
          <w:rFonts w:asciiTheme="minorHAnsi" w:eastAsiaTheme="minorHAnsi" w:hAnsiTheme="minorHAnsi" w:cstheme="minorBidi"/>
          <w:spacing w:val="0"/>
          <w:kern w:val="0"/>
          <w:sz w:val="36"/>
          <w:szCs w:val="36"/>
          <w:lang w:eastAsia="en-US"/>
        </w:rPr>
        <w:t>GLYCOMACROPEPTIDE AND ESSENTIAL AMINO ACIDS WITH VITAMINS AND MINERALS</w:t>
      </w:r>
      <w:r w:rsidR="00B64497" w:rsidRPr="00F461D0">
        <w:rPr>
          <w:rFonts w:asciiTheme="minorHAnsi" w:eastAsiaTheme="minorHAnsi" w:hAnsiTheme="minorHAnsi" w:cstheme="minorBidi"/>
          <w:spacing w:val="0"/>
          <w:kern w:val="0"/>
          <w:sz w:val="36"/>
          <w:szCs w:val="36"/>
          <w:lang w:eastAsia="en-US"/>
        </w:rPr>
        <w:br/>
      </w:r>
      <w:r w:rsidRPr="00F461D0">
        <w:rPr>
          <w:rFonts w:asciiTheme="minorHAnsi" w:eastAsiaTheme="minorHAnsi" w:hAnsiTheme="minorHAnsi" w:cstheme="minorBidi"/>
          <w:spacing w:val="0"/>
          <w:kern w:val="0"/>
          <w:sz w:val="36"/>
          <w:szCs w:val="36"/>
          <w:lang w:eastAsia="en-US"/>
        </w:rPr>
        <w:t>Sachets containing oral powder 16 g, 60 (PKU Build 10)</w:t>
      </w:r>
      <w:r w:rsidR="0077502A">
        <w:rPr>
          <w:rFonts w:asciiTheme="minorHAnsi" w:eastAsiaTheme="minorHAnsi" w:hAnsiTheme="minorHAnsi" w:cstheme="minorBidi"/>
          <w:spacing w:val="0"/>
          <w:kern w:val="0"/>
          <w:sz w:val="36"/>
          <w:szCs w:val="36"/>
          <w:lang w:eastAsia="en-US"/>
        </w:rPr>
        <w:br/>
      </w:r>
      <w:r w:rsidRPr="00F461D0">
        <w:rPr>
          <w:rFonts w:asciiTheme="minorHAnsi" w:eastAsiaTheme="minorHAnsi" w:hAnsiTheme="minorHAnsi" w:cstheme="minorBidi"/>
          <w:spacing w:val="0"/>
          <w:kern w:val="0"/>
          <w:sz w:val="36"/>
          <w:szCs w:val="36"/>
          <w:lang w:eastAsia="en-US"/>
        </w:rPr>
        <w:t>Sachets containing oral powder 32</w:t>
      </w:r>
      <w:r w:rsidR="0010483E" w:rsidRPr="00F461D0">
        <w:rPr>
          <w:rFonts w:asciiTheme="minorHAnsi" w:eastAsiaTheme="minorHAnsi" w:hAnsiTheme="minorHAnsi" w:cstheme="minorBidi"/>
          <w:spacing w:val="0"/>
          <w:kern w:val="0"/>
          <w:sz w:val="36"/>
          <w:szCs w:val="36"/>
          <w:lang w:eastAsia="en-US"/>
        </w:rPr>
        <w:t xml:space="preserve"> </w:t>
      </w:r>
      <w:r w:rsidRPr="00F461D0">
        <w:rPr>
          <w:rFonts w:asciiTheme="minorHAnsi" w:eastAsiaTheme="minorHAnsi" w:hAnsiTheme="minorHAnsi" w:cstheme="minorBidi"/>
          <w:spacing w:val="0"/>
          <w:kern w:val="0"/>
          <w:sz w:val="36"/>
          <w:szCs w:val="36"/>
          <w:lang w:eastAsia="en-US"/>
        </w:rPr>
        <w:t>g, 30 (PKU Build 20)</w:t>
      </w:r>
      <w:r w:rsidR="0077502A">
        <w:rPr>
          <w:rFonts w:asciiTheme="minorHAnsi" w:eastAsiaTheme="minorHAnsi" w:hAnsiTheme="minorHAnsi" w:cstheme="minorBidi"/>
          <w:spacing w:val="0"/>
          <w:kern w:val="0"/>
          <w:sz w:val="36"/>
          <w:szCs w:val="36"/>
          <w:lang w:eastAsia="en-US"/>
        </w:rPr>
        <w:br/>
      </w:r>
      <w:r w:rsidRPr="00F461D0">
        <w:rPr>
          <w:rFonts w:asciiTheme="minorHAnsi" w:eastAsiaTheme="minorHAnsi" w:hAnsiTheme="minorHAnsi" w:cstheme="minorBidi"/>
          <w:spacing w:val="0"/>
          <w:kern w:val="0"/>
          <w:sz w:val="36"/>
          <w:szCs w:val="36"/>
          <w:lang w:eastAsia="en-US"/>
        </w:rPr>
        <w:t>PKU Build 10®</w:t>
      </w:r>
      <w:r w:rsidR="00F461D0">
        <w:rPr>
          <w:rFonts w:asciiTheme="minorHAnsi" w:eastAsiaTheme="minorHAnsi" w:hAnsiTheme="minorHAnsi" w:cstheme="minorBidi"/>
          <w:spacing w:val="0"/>
          <w:kern w:val="0"/>
          <w:sz w:val="36"/>
          <w:szCs w:val="36"/>
          <w:lang w:eastAsia="en-US"/>
        </w:rPr>
        <w:t xml:space="preserve"> </w:t>
      </w:r>
      <w:r w:rsidR="0077502A">
        <w:rPr>
          <w:rFonts w:asciiTheme="minorHAnsi" w:eastAsiaTheme="minorHAnsi" w:hAnsiTheme="minorHAnsi" w:cstheme="minorBidi"/>
          <w:spacing w:val="0"/>
          <w:kern w:val="0"/>
          <w:sz w:val="36"/>
          <w:szCs w:val="36"/>
          <w:lang w:eastAsia="en-US"/>
        </w:rPr>
        <w:br/>
      </w:r>
      <w:r w:rsidRPr="00F461D0">
        <w:rPr>
          <w:rFonts w:asciiTheme="minorHAnsi" w:eastAsiaTheme="minorHAnsi" w:hAnsiTheme="minorHAnsi" w:cstheme="minorBidi"/>
          <w:spacing w:val="0"/>
          <w:kern w:val="0"/>
          <w:sz w:val="36"/>
          <w:szCs w:val="36"/>
          <w:lang w:eastAsia="en-US"/>
        </w:rPr>
        <w:t>PKU Build 20®, Cortex Health Pty Ltd</w:t>
      </w:r>
    </w:p>
    <w:p w:rsidR="006A12A5" w:rsidRPr="000D6C7C" w:rsidRDefault="00CE10C4" w:rsidP="00A313B4">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AC4AA5">
        <w:rPr>
          <w:rFonts w:asciiTheme="minorHAnsi" w:eastAsiaTheme="majorEastAsia" w:hAnsiTheme="minorHAnsi" w:cstheme="majorBidi"/>
          <w:sz w:val="32"/>
          <w:szCs w:val="28"/>
          <w:lang w:eastAsia="en-US"/>
        </w:rPr>
        <w:t xml:space="preserve">Purpose of </w:t>
      </w:r>
      <w:r w:rsidR="0004240E" w:rsidRPr="00AC4AA5">
        <w:rPr>
          <w:rFonts w:asciiTheme="minorHAnsi" w:eastAsiaTheme="majorEastAsia" w:hAnsiTheme="minorHAnsi" w:cstheme="majorBidi"/>
          <w:sz w:val="32"/>
          <w:szCs w:val="28"/>
          <w:lang w:eastAsia="en-US"/>
        </w:rPr>
        <w:t>Application</w:t>
      </w:r>
    </w:p>
    <w:p w:rsidR="006A12A5" w:rsidRPr="00A313B4" w:rsidRDefault="00EF44A0" w:rsidP="00A313B4">
      <w:pPr>
        <w:pStyle w:val="ListParagraph"/>
        <w:numPr>
          <w:ilvl w:val="1"/>
          <w:numId w:val="2"/>
        </w:numPr>
        <w:spacing w:before="120" w:after="160"/>
        <w:contextualSpacing w:val="0"/>
        <w:jc w:val="both"/>
        <w:rPr>
          <w:rFonts w:asciiTheme="minorHAnsi" w:hAnsiTheme="minorHAnsi"/>
          <w:b/>
        </w:rPr>
      </w:pPr>
      <w:r w:rsidRPr="00AC4AA5">
        <w:rPr>
          <w:rFonts w:asciiTheme="minorHAnsi" w:hAnsiTheme="minorHAnsi"/>
        </w:rPr>
        <w:t>The mi</w:t>
      </w:r>
      <w:r w:rsidR="00FF2801" w:rsidRPr="00AC4AA5">
        <w:rPr>
          <w:rFonts w:asciiTheme="minorHAnsi" w:hAnsiTheme="minorHAnsi"/>
        </w:rPr>
        <w:t>nor submission sought</w:t>
      </w:r>
      <w:r w:rsidR="004D1CCD" w:rsidRPr="004D1CCD">
        <w:t xml:space="preserve"> </w:t>
      </w:r>
      <w:r w:rsidR="004D1CCD" w:rsidRPr="004D1CCD">
        <w:rPr>
          <w:rFonts w:asciiTheme="minorHAnsi" w:hAnsiTheme="minorHAnsi"/>
        </w:rPr>
        <w:t>a Restricted Benefit listing</w:t>
      </w:r>
      <w:r w:rsidR="00801878">
        <w:rPr>
          <w:rFonts w:asciiTheme="minorHAnsi" w:hAnsiTheme="minorHAnsi"/>
        </w:rPr>
        <w:t xml:space="preserve"> of two</w:t>
      </w:r>
      <w:r w:rsidR="00310F2C">
        <w:rPr>
          <w:rFonts w:asciiTheme="minorHAnsi" w:hAnsiTheme="minorHAnsi"/>
        </w:rPr>
        <w:t xml:space="preserve"> new form</w:t>
      </w:r>
      <w:r w:rsidR="00801878">
        <w:rPr>
          <w:rFonts w:asciiTheme="minorHAnsi" w:hAnsiTheme="minorHAnsi"/>
        </w:rPr>
        <w:t>s</w:t>
      </w:r>
      <w:r w:rsidR="00310F2C">
        <w:rPr>
          <w:rFonts w:asciiTheme="minorHAnsi" w:hAnsiTheme="minorHAnsi"/>
        </w:rPr>
        <w:t xml:space="preserve"> of</w:t>
      </w:r>
      <w:r w:rsidR="00310F2C" w:rsidRPr="00310F2C">
        <w:t xml:space="preserve"> </w:t>
      </w:r>
      <w:r w:rsidR="00310F2C" w:rsidRPr="00310F2C">
        <w:rPr>
          <w:rFonts w:asciiTheme="minorHAnsi" w:hAnsiTheme="minorHAnsi"/>
        </w:rPr>
        <w:t xml:space="preserve">glycomacropeptide </w:t>
      </w:r>
      <w:r w:rsidR="003B5FBA">
        <w:rPr>
          <w:rFonts w:asciiTheme="minorHAnsi" w:hAnsiTheme="minorHAnsi"/>
        </w:rPr>
        <w:t xml:space="preserve">(GMP) </w:t>
      </w:r>
      <w:r w:rsidR="00310F2C" w:rsidRPr="00310F2C">
        <w:rPr>
          <w:rFonts w:asciiTheme="minorHAnsi" w:hAnsiTheme="minorHAnsi"/>
        </w:rPr>
        <w:t>and essential amino acids with vitamins and minerals</w:t>
      </w:r>
      <w:r w:rsidR="00310F2C">
        <w:rPr>
          <w:rFonts w:asciiTheme="minorHAnsi" w:hAnsiTheme="minorHAnsi"/>
        </w:rPr>
        <w:t xml:space="preserve"> for the treatment of </w:t>
      </w:r>
      <w:r w:rsidR="00310F2C" w:rsidRPr="00310F2C">
        <w:rPr>
          <w:rFonts w:asciiTheme="minorHAnsi" w:hAnsiTheme="minorHAnsi"/>
        </w:rPr>
        <w:t>Phenylketonuria</w:t>
      </w:r>
      <w:r w:rsidR="00310F2C">
        <w:rPr>
          <w:rFonts w:asciiTheme="minorHAnsi" w:hAnsiTheme="minorHAnsi"/>
        </w:rPr>
        <w:t>.</w:t>
      </w:r>
    </w:p>
    <w:p w:rsidR="00C94810" w:rsidRPr="00791BDB" w:rsidRDefault="00C94810" w:rsidP="00A313B4">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AC4AA5">
        <w:rPr>
          <w:rFonts w:asciiTheme="minorHAnsi" w:eastAsiaTheme="majorEastAsia" w:hAnsiTheme="minorHAnsi" w:cstheme="majorBidi"/>
          <w:sz w:val="32"/>
          <w:szCs w:val="28"/>
          <w:lang w:eastAsia="en-US"/>
        </w:rPr>
        <w:t>Requested Listing</w:t>
      </w:r>
    </w:p>
    <w:p w:rsidR="002D5C51" w:rsidRPr="009B03E9" w:rsidRDefault="00EF44A0" w:rsidP="00A313B4">
      <w:pPr>
        <w:pStyle w:val="ListParagraph"/>
        <w:numPr>
          <w:ilvl w:val="1"/>
          <w:numId w:val="2"/>
        </w:numPr>
        <w:spacing w:before="120" w:after="240"/>
        <w:contextualSpacing w:val="0"/>
        <w:jc w:val="both"/>
        <w:rPr>
          <w:rFonts w:asciiTheme="minorHAnsi" w:hAnsiTheme="minorHAnsi"/>
          <w:szCs w:val="22"/>
        </w:rPr>
      </w:pPr>
      <w:r w:rsidRPr="009B03E9">
        <w:rPr>
          <w:rFonts w:asciiTheme="minorHAnsi" w:hAnsiTheme="minorHAnsi"/>
          <w:szCs w:val="22"/>
        </w:rPr>
        <w:t xml:space="preserve">The submission </w:t>
      </w:r>
      <w:r w:rsidR="00FF2801" w:rsidRPr="009B03E9">
        <w:rPr>
          <w:rFonts w:asciiTheme="minorHAnsi" w:hAnsiTheme="minorHAnsi"/>
          <w:szCs w:val="22"/>
        </w:rPr>
        <w:t>requested</w:t>
      </w:r>
      <w:r w:rsidRPr="009B03E9">
        <w:rPr>
          <w:rFonts w:asciiTheme="minorHAnsi" w:hAnsiTheme="minorHAnsi"/>
          <w:szCs w:val="22"/>
        </w:rPr>
        <w:t xml:space="preserve"> the following </w:t>
      </w:r>
      <w:r w:rsidR="0076420C" w:rsidRPr="009B03E9">
        <w:rPr>
          <w:rFonts w:asciiTheme="minorHAnsi" w:hAnsiTheme="minorHAnsi"/>
          <w:szCs w:val="22"/>
        </w:rPr>
        <w:t xml:space="preserve">new </w:t>
      </w:r>
      <w:r w:rsidR="00431887">
        <w:rPr>
          <w:rFonts w:asciiTheme="minorHAnsi" w:hAnsiTheme="minorHAnsi"/>
          <w:szCs w:val="22"/>
        </w:rPr>
        <w:t>listing:</w:t>
      </w:r>
      <w:r w:rsidRPr="009B03E9">
        <w:rPr>
          <w:rFonts w:asciiTheme="minorHAnsi" w:hAnsiTheme="minorHAnsi"/>
          <w:szCs w:val="22"/>
        </w:rPr>
        <w:t xml:space="preserve"> </w:t>
      </w:r>
    </w:p>
    <w:tbl>
      <w:tblPr>
        <w:tblW w:w="4988" w:type="pct"/>
        <w:tblLook w:val="0000" w:firstRow="0" w:lastRow="0" w:firstColumn="0" w:lastColumn="0" w:noHBand="0" w:noVBand="0"/>
      </w:tblPr>
      <w:tblGrid>
        <w:gridCol w:w="2017"/>
        <w:gridCol w:w="1429"/>
        <w:gridCol w:w="9"/>
        <w:gridCol w:w="778"/>
        <w:gridCol w:w="52"/>
        <w:gridCol w:w="577"/>
        <w:gridCol w:w="312"/>
        <w:gridCol w:w="1418"/>
        <w:gridCol w:w="271"/>
        <w:gridCol w:w="2357"/>
      </w:tblGrid>
      <w:tr w:rsidR="00826F6D" w:rsidRPr="005A39D7" w:rsidTr="00FB5AE7">
        <w:trPr>
          <w:cantSplit/>
          <w:trHeight w:val="471"/>
        </w:trPr>
        <w:tc>
          <w:tcPr>
            <w:tcW w:w="1869" w:type="pct"/>
            <w:gridSpan w:val="2"/>
            <w:tcBorders>
              <w:bottom w:val="single" w:sz="4" w:space="0" w:color="auto"/>
            </w:tcBorders>
          </w:tcPr>
          <w:p w:rsidR="00826F6D" w:rsidRPr="005A39D7" w:rsidRDefault="00826F6D" w:rsidP="00A313B4">
            <w:pPr>
              <w:keepNext/>
              <w:spacing w:before="40" w:after="40"/>
              <w:ind w:left="-108"/>
              <w:jc w:val="both"/>
              <w:rPr>
                <w:rFonts w:ascii="Arial Narrow" w:hAnsi="Arial Narrow" w:cs="Arial"/>
                <w:b/>
                <w:sz w:val="20"/>
                <w:szCs w:val="20"/>
              </w:rPr>
            </w:pPr>
            <w:r w:rsidRPr="005A39D7">
              <w:rPr>
                <w:rFonts w:ascii="Arial Narrow" w:hAnsi="Arial Narrow" w:cs="Arial"/>
                <w:b/>
                <w:sz w:val="20"/>
                <w:szCs w:val="20"/>
              </w:rPr>
              <w:t>Name, Restriction,</w:t>
            </w:r>
          </w:p>
          <w:p w:rsidR="00826F6D" w:rsidRPr="005A39D7" w:rsidRDefault="00826F6D" w:rsidP="00A313B4">
            <w:pPr>
              <w:keepNext/>
              <w:spacing w:before="40" w:after="40"/>
              <w:ind w:left="-108"/>
              <w:jc w:val="both"/>
              <w:rPr>
                <w:rFonts w:ascii="Arial Narrow" w:hAnsi="Arial Narrow" w:cs="Arial"/>
                <w:b/>
                <w:sz w:val="20"/>
                <w:szCs w:val="20"/>
              </w:rPr>
            </w:pPr>
            <w:r w:rsidRPr="005A39D7">
              <w:rPr>
                <w:rFonts w:ascii="Arial Narrow" w:hAnsi="Arial Narrow" w:cs="Arial"/>
                <w:b/>
                <w:sz w:val="20"/>
                <w:szCs w:val="20"/>
              </w:rPr>
              <w:t>Manner of administration and form</w:t>
            </w:r>
          </w:p>
        </w:tc>
        <w:tc>
          <w:tcPr>
            <w:tcW w:w="427" w:type="pct"/>
            <w:gridSpan w:val="2"/>
            <w:tcBorders>
              <w:bottom w:val="single" w:sz="4" w:space="0" w:color="auto"/>
            </w:tcBorders>
          </w:tcPr>
          <w:p w:rsidR="00826F6D" w:rsidRPr="005A39D7" w:rsidRDefault="00826F6D" w:rsidP="00A313B4">
            <w:pPr>
              <w:keepNext/>
              <w:spacing w:before="40" w:after="40"/>
              <w:ind w:left="-108"/>
              <w:jc w:val="both"/>
              <w:rPr>
                <w:rFonts w:ascii="Arial Narrow" w:hAnsi="Arial Narrow" w:cs="Arial"/>
                <w:b/>
                <w:sz w:val="20"/>
                <w:szCs w:val="20"/>
              </w:rPr>
            </w:pPr>
            <w:r w:rsidRPr="005A39D7">
              <w:rPr>
                <w:rFonts w:ascii="Arial Narrow" w:hAnsi="Arial Narrow" w:cs="Arial"/>
                <w:b/>
                <w:sz w:val="20"/>
                <w:szCs w:val="20"/>
              </w:rPr>
              <w:t>Max.</w:t>
            </w:r>
          </w:p>
          <w:p w:rsidR="00826F6D" w:rsidRPr="005A39D7" w:rsidRDefault="00826F6D" w:rsidP="00A313B4">
            <w:pPr>
              <w:keepNext/>
              <w:spacing w:before="40" w:after="40"/>
              <w:ind w:left="-108"/>
              <w:jc w:val="both"/>
              <w:rPr>
                <w:rFonts w:ascii="Arial Narrow" w:hAnsi="Arial Narrow" w:cs="Arial"/>
                <w:b/>
                <w:sz w:val="20"/>
                <w:szCs w:val="20"/>
              </w:rPr>
            </w:pPr>
            <w:r w:rsidRPr="005A39D7">
              <w:rPr>
                <w:rFonts w:ascii="Arial Narrow" w:hAnsi="Arial Narrow" w:cs="Arial"/>
                <w:b/>
                <w:sz w:val="20"/>
                <w:szCs w:val="20"/>
              </w:rPr>
              <w:t>Qty</w:t>
            </w:r>
          </w:p>
        </w:tc>
        <w:tc>
          <w:tcPr>
            <w:tcW w:w="510" w:type="pct"/>
            <w:gridSpan w:val="3"/>
            <w:tcBorders>
              <w:bottom w:val="single" w:sz="4" w:space="0" w:color="auto"/>
            </w:tcBorders>
          </w:tcPr>
          <w:p w:rsidR="00826F6D" w:rsidRPr="005A39D7" w:rsidRDefault="00826F6D" w:rsidP="00A313B4">
            <w:pPr>
              <w:keepNext/>
              <w:spacing w:before="40" w:after="40"/>
              <w:ind w:left="-108"/>
              <w:jc w:val="both"/>
              <w:rPr>
                <w:rFonts w:ascii="Arial Narrow" w:hAnsi="Arial Narrow" w:cs="Arial"/>
                <w:b/>
                <w:sz w:val="20"/>
                <w:szCs w:val="20"/>
              </w:rPr>
            </w:pPr>
            <w:r w:rsidRPr="005A39D7">
              <w:rPr>
                <w:rFonts w:ascii="Arial Narrow" w:hAnsi="Arial Narrow" w:cs="Arial"/>
                <w:b/>
                <w:sz w:val="20"/>
                <w:szCs w:val="20"/>
              </w:rPr>
              <w:t>№.of</w:t>
            </w:r>
          </w:p>
          <w:p w:rsidR="00826F6D" w:rsidRPr="005A39D7" w:rsidRDefault="00826F6D" w:rsidP="00A313B4">
            <w:pPr>
              <w:keepNext/>
              <w:spacing w:before="40" w:after="40"/>
              <w:ind w:left="-108"/>
              <w:jc w:val="both"/>
              <w:rPr>
                <w:rFonts w:ascii="Arial Narrow" w:hAnsi="Arial Narrow" w:cs="Arial"/>
                <w:b/>
                <w:sz w:val="20"/>
                <w:szCs w:val="20"/>
              </w:rPr>
            </w:pPr>
            <w:r w:rsidRPr="005A39D7">
              <w:rPr>
                <w:rFonts w:ascii="Arial Narrow" w:hAnsi="Arial Narrow" w:cs="Arial"/>
                <w:b/>
                <w:sz w:val="20"/>
                <w:szCs w:val="20"/>
              </w:rPr>
              <w:t>Rpts</w:t>
            </w:r>
          </w:p>
        </w:tc>
        <w:tc>
          <w:tcPr>
            <w:tcW w:w="916" w:type="pct"/>
            <w:gridSpan w:val="2"/>
            <w:tcBorders>
              <w:bottom w:val="single" w:sz="4" w:space="0" w:color="auto"/>
            </w:tcBorders>
          </w:tcPr>
          <w:p w:rsidR="00826F6D" w:rsidRPr="005A39D7" w:rsidRDefault="00826F6D" w:rsidP="00A313B4">
            <w:pPr>
              <w:keepNext/>
              <w:spacing w:before="40" w:after="40"/>
              <w:ind w:left="-108"/>
              <w:jc w:val="both"/>
              <w:rPr>
                <w:rFonts w:ascii="Arial Narrow" w:hAnsi="Arial Narrow" w:cs="Arial"/>
                <w:b/>
                <w:sz w:val="20"/>
                <w:szCs w:val="20"/>
              </w:rPr>
            </w:pPr>
            <w:r w:rsidRPr="005A39D7">
              <w:rPr>
                <w:rFonts w:ascii="Arial Narrow" w:hAnsi="Arial Narrow" w:cs="Arial"/>
                <w:b/>
                <w:sz w:val="20"/>
                <w:szCs w:val="20"/>
              </w:rPr>
              <w:t>Dispensed Price for Max. Qty</w:t>
            </w:r>
          </w:p>
        </w:tc>
        <w:tc>
          <w:tcPr>
            <w:tcW w:w="1278" w:type="pct"/>
            <w:tcBorders>
              <w:bottom w:val="single" w:sz="4" w:space="0" w:color="auto"/>
            </w:tcBorders>
          </w:tcPr>
          <w:p w:rsidR="00826F6D" w:rsidRPr="005A39D7" w:rsidRDefault="00826F6D" w:rsidP="00A313B4">
            <w:pPr>
              <w:keepNext/>
              <w:spacing w:before="40" w:after="40"/>
              <w:jc w:val="both"/>
              <w:rPr>
                <w:rFonts w:ascii="Arial Narrow" w:hAnsi="Arial Narrow" w:cs="Arial"/>
                <w:b/>
                <w:sz w:val="20"/>
                <w:szCs w:val="20"/>
                <w:lang w:val="fr-FR"/>
              </w:rPr>
            </w:pPr>
            <w:r w:rsidRPr="005A39D7">
              <w:rPr>
                <w:rFonts w:ascii="Arial Narrow" w:hAnsi="Arial Narrow" w:cs="Arial"/>
                <w:b/>
                <w:sz w:val="20"/>
                <w:szCs w:val="20"/>
              </w:rPr>
              <w:t>Proprietary Name and Manufacturer</w:t>
            </w:r>
          </w:p>
        </w:tc>
      </w:tr>
      <w:tr w:rsidR="00D8601F" w:rsidTr="00921004">
        <w:tblPrEx>
          <w:tblLook w:val="04A0" w:firstRow="1" w:lastRow="0" w:firstColumn="1" w:lastColumn="0" w:noHBand="0" w:noVBand="1"/>
        </w:tblPrEx>
        <w:trPr>
          <w:trHeight w:val="577"/>
        </w:trPr>
        <w:tc>
          <w:tcPr>
            <w:tcW w:w="1874" w:type="pct"/>
            <w:gridSpan w:val="3"/>
            <w:hideMark/>
          </w:tcPr>
          <w:p w:rsidR="00D8601F" w:rsidRDefault="00D8601F" w:rsidP="00A313B4">
            <w:pPr>
              <w:keepNext/>
              <w:spacing w:before="40" w:after="40"/>
              <w:ind w:left="-108"/>
              <w:rPr>
                <w:rFonts w:ascii="Arial Narrow" w:hAnsi="Arial Narrow" w:cs="Arial"/>
                <w:sz w:val="20"/>
                <w:lang w:eastAsia="en-US"/>
              </w:rPr>
            </w:pPr>
            <w:r>
              <w:rPr>
                <w:rFonts w:ascii="Arial Narrow" w:hAnsi="Arial Narrow" w:cs="Arial"/>
                <w:sz w:val="20"/>
                <w:lang w:eastAsia="en-US"/>
              </w:rPr>
              <w:t xml:space="preserve">GLYCOMACROPEPTIDE AND ESSENTIAL AMINO ACIDS WITH VITAMINS AND MINERALS </w:t>
            </w:r>
          </w:p>
          <w:p w:rsidR="00D8601F" w:rsidRDefault="00D8601F" w:rsidP="00A313B4">
            <w:pPr>
              <w:keepNext/>
              <w:spacing w:before="40" w:after="40"/>
              <w:ind w:left="-108"/>
              <w:rPr>
                <w:rFonts w:ascii="Arial Narrow" w:hAnsi="Arial Narrow" w:cs="Arial"/>
                <w:sz w:val="20"/>
                <w:lang w:eastAsia="en-US"/>
              </w:rPr>
            </w:pPr>
            <w:r w:rsidRPr="00D16256">
              <w:rPr>
                <w:rFonts w:ascii="Arial Narrow" w:hAnsi="Arial Narrow" w:cs="Arial"/>
                <w:sz w:val="20"/>
                <w:lang w:eastAsia="en-US"/>
              </w:rPr>
              <w:t xml:space="preserve">containing </w:t>
            </w:r>
            <w:r>
              <w:rPr>
                <w:rFonts w:ascii="Arial Narrow" w:hAnsi="Arial Narrow" w:cs="Arial"/>
                <w:sz w:val="20"/>
                <w:lang w:eastAsia="en-US"/>
              </w:rPr>
              <w:t xml:space="preserve">10 g protein equivalent powder for oral liquid, 60 x 16 g sachets </w:t>
            </w:r>
          </w:p>
        </w:tc>
        <w:tc>
          <w:tcPr>
            <w:tcW w:w="450" w:type="pct"/>
            <w:gridSpan w:val="2"/>
            <w:hideMark/>
          </w:tcPr>
          <w:p w:rsidR="00D8601F" w:rsidRDefault="00D8601F" w:rsidP="00A313B4">
            <w:pPr>
              <w:keepNext/>
              <w:spacing w:before="40" w:after="40"/>
              <w:ind w:left="-108"/>
              <w:jc w:val="center"/>
              <w:rPr>
                <w:rFonts w:ascii="Arial Narrow" w:hAnsi="Arial Narrow" w:cs="Arial"/>
                <w:sz w:val="20"/>
                <w:lang w:eastAsia="en-US"/>
              </w:rPr>
            </w:pPr>
            <w:r>
              <w:rPr>
                <w:rFonts w:ascii="Arial Narrow" w:hAnsi="Arial Narrow" w:cs="Arial"/>
                <w:sz w:val="20"/>
                <w:lang w:eastAsia="en-US"/>
              </w:rPr>
              <w:t>2</w:t>
            </w:r>
          </w:p>
        </w:tc>
        <w:tc>
          <w:tcPr>
            <w:tcW w:w="313" w:type="pct"/>
            <w:hideMark/>
          </w:tcPr>
          <w:p w:rsidR="00D8601F" w:rsidRDefault="00D8601F" w:rsidP="00A313B4">
            <w:pPr>
              <w:keepNext/>
              <w:spacing w:before="40" w:after="40"/>
              <w:ind w:left="-108"/>
              <w:jc w:val="center"/>
              <w:rPr>
                <w:rFonts w:ascii="Arial Narrow" w:hAnsi="Arial Narrow" w:cs="Arial"/>
                <w:sz w:val="20"/>
                <w:lang w:eastAsia="en-US"/>
              </w:rPr>
            </w:pPr>
            <w:r>
              <w:rPr>
                <w:rFonts w:ascii="Arial Narrow" w:hAnsi="Arial Narrow" w:cs="Arial"/>
                <w:sz w:val="20"/>
                <w:lang w:eastAsia="en-US"/>
              </w:rPr>
              <w:t>5</w:t>
            </w:r>
          </w:p>
        </w:tc>
        <w:tc>
          <w:tcPr>
            <w:tcW w:w="938" w:type="pct"/>
            <w:gridSpan w:val="2"/>
            <w:hideMark/>
          </w:tcPr>
          <w:p w:rsidR="00D8601F" w:rsidRDefault="00D8601F" w:rsidP="00A313B4">
            <w:pPr>
              <w:keepNext/>
              <w:spacing w:before="40" w:after="40"/>
              <w:ind w:left="-108"/>
              <w:jc w:val="center"/>
              <w:rPr>
                <w:rFonts w:ascii="Arial Narrow" w:hAnsi="Arial Narrow" w:cs="Arial"/>
                <w:sz w:val="20"/>
                <w:lang w:eastAsia="en-US"/>
              </w:rPr>
            </w:pPr>
            <w:r>
              <w:rPr>
                <w:rFonts w:ascii="Arial Narrow" w:hAnsi="Arial Narrow" w:cs="Arial"/>
                <w:sz w:val="20"/>
                <w:lang w:eastAsia="en-US"/>
              </w:rPr>
              <w:t>$</w:t>
            </w:r>
            <w:r w:rsidR="007818AA">
              <w:rPr>
                <w:rFonts w:ascii="Arial Narrow" w:hAnsi="Arial Narrow" w:cs="Arial"/>
                <w:noProof/>
                <w:color w:val="000000"/>
                <w:sz w:val="20"/>
                <w:highlight w:val="black"/>
                <w:lang w:eastAsia="en-US"/>
              </w:rPr>
              <w:t>''''''''''''''''''''''</w:t>
            </w:r>
          </w:p>
        </w:tc>
        <w:tc>
          <w:tcPr>
            <w:tcW w:w="1425" w:type="pct"/>
            <w:gridSpan w:val="2"/>
            <w:hideMark/>
          </w:tcPr>
          <w:p w:rsidR="00D8601F" w:rsidRPr="00310F2C" w:rsidRDefault="00D8601F" w:rsidP="00A313B4">
            <w:pPr>
              <w:keepNext/>
              <w:spacing w:before="40" w:after="40"/>
              <w:jc w:val="center"/>
              <w:rPr>
                <w:rFonts w:ascii="Arial Narrow" w:hAnsi="Arial Narrow" w:cs="Arial"/>
                <w:sz w:val="20"/>
                <w:lang w:eastAsia="en-US"/>
              </w:rPr>
            </w:pPr>
            <w:r w:rsidRPr="00310F2C">
              <w:rPr>
                <w:rFonts w:ascii="Arial Narrow" w:hAnsi="Arial Narrow" w:cs="Arial"/>
                <w:sz w:val="20"/>
                <w:lang w:eastAsia="en-US"/>
              </w:rPr>
              <w:t>PKU Build 10</w:t>
            </w:r>
          </w:p>
          <w:p w:rsidR="00D8601F" w:rsidRDefault="00D8601F" w:rsidP="00A313B4">
            <w:pPr>
              <w:keepNext/>
              <w:spacing w:before="40" w:after="40"/>
              <w:jc w:val="center"/>
              <w:rPr>
                <w:rFonts w:ascii="Arial Narrow" w:hAnsi="Arial Narrow" w:cs="Arial"/>
                <w:sz w:val="20"/>
                <w:lang w:eastAsia="en-US"/>
              </w:rPr>
            </w:pPr>
            <w:r>
              <w:rPr>
                <w:rFonts w:ascii="Arial Narrow" w:hAnsi="Arial Narrow" w:cs="Arial"/>
                <w:sz w:val="20"/>
                <w:lang w:eastAsia="en-US"/>
              </w:rPr>
              <w:t>Cortex Health Pty Ltd</w:t>
            </w:r>
          </w:p>
        </w:tc>
      </w:tr>
      <w:tr w:rsidR="00826F6D" w:rsidRPr="005A39D7" w:rsidTr="00FB5AE7">
        <w:trPr>
          <w:cantSplit/>
          <w:trHeight w:val="360"/>
        </w:trPr>
        <w:tc>
          <w:tcPr>
            <w:tcW w:w="5000" w:type="pct"/>
            <w:gridSpan w:val="10"/>
            <w:tcBorders>
              <w:bottom w:val="single" w:sz="4" w:space="0" w:color="auto"/>
            </w:tcBorders>
          </w:tcPr>
          <w:p w:rsidR="00826F6D" w:rsidRPr="005A39D7" w:rsidRDefault="00826F6D" w:rsidP="00A313B4">
            <w:pPr>
              <w:spacing w:before="40" w:after="40"/>
              <w:jc w:val="both"/>
              <w:rPr>
                <w:rFonts w:ascii="Arial Narrow" w:hAnsi="Arial Narrow" w:cs="Arial"/>
                <w:sz w:val="20"/>
                <w:szCs w:val="20"/>
              </w:rPr>
            </w:pPr>
          </w:p>
        </w:tc>
      </w:tr>
      <w:tr w:rsidR="00826F6D" w:rsidRPr="005A39D7" w:rsidTr="00FB5AE7">
        <w:trPr>
          <w:cantSplit/>
          <w:trHeight w:val="360"/>
        </w:trPr>
        <w:tc>
          <w:tcPr>
            <w:tcW w:w="1094" w:type="pct"/>
            <w:tcBorders>
              <w:top w:val="single" w:sz="4" w:space="0" w:color="auto"/>
              <w:left w:val="single" w:sz="4" w:space="0" w:color="auto"/>
              <w:bottom w:val="single" w:sz="4" w:space="0" w:color="auto"/>
              <w:right w:val="single" w:sz="4" w:space="0" w:color="auto"/>
            </w:tcBorders>
          </w:tcPr>
          <w:p w:rsidR="00826F6D" w:rsidRPr="005A39D7" w:rsidRDefault="00826F6D" w:rsidP="00A313B4">
            <w:pPr>
              <w:spacing w:before="40" w:after="40"/>
              <w:jc w:val="both"/>
              <w:rPr>
                <w:rFonts w:ascii="Arial Narrow" w:hAnsi="Arial Narrow" w:cs="Arial"/>
                <w:b/>
                <w:sz w:val="20"/>
                <w:szCs w:val="20"/>
              </w:rPr>
            </w:pPr>
            <w:r w:rsidRPr="005A39D7">
              <w:rPr>
                <w:rFonts w:ascii="Arial Narrow" w:hAnsi="Arial Narrow" w:cs="Arial"/>
                <w:b/>
                <w:sz w:val="20"/>
                <w:szCs w:val="20"/>
              </w:rPr>
              <w:t xml:space="preserve">Category / </w:t>
            </w:r>
          </w:p>
          <w:p w:rsidR="00826F6D" w:rsidRPr="005A39D7" w:rsidRDefault="00826F6D" w:rsidP="00A313B4">
            <w:pPr>
              <w:spacing w:before="40" w:after="40"/>
              <w:jc w:val="both"/>
              <w:rPr>
                <w:rFonts w:ascii="Arial Narrow" w:hAnsi="Arial Narrow" w:cs="Arial"/>
                <w:b/>
                <w:sz w:val="20"/>
                <w:szCs w:val="20"/>
              </w:rPr>
            </w:pPr>
            <w:r w:rsidRPr="005A39D7">
              <w:rPr>
                <w:rFonts w:ascii="Arial Narrow" w:hAnsi="Arial Narrow" w:cs="Arial"/>
                <w:b/>
                <w:sz w:val="20"/>
                <w:szCs w:val="20"/>
              </w:rPr>
              <w:t>Program</w:t>
            </w:r>
          </w:p>
        </w:tc>
        <w:tc>
          <w:tcPr>
            <w:tcW w:w="3906" w:type="pct"/>
            <w:gridSpan w:val="9"/>
            <w:tcBorders>
              <w:top w:val="single" w:sz="4" w:space="0" w:color="auto"/>
              <w:left w:val="single" w:sz="4" w:space="0" w:color="auto"/>
              <w:bottom w:val="single" w:sz="4" w:space="0" w:color="auto"/>
              <w:right w:val="single" w:sz="4" w:space="0" w:color="auto"/>
            </w:tcBorders>
          </w:tcPr>
          <w:p w:rsidR="00826F6D" w:rsidRPr="005A39D7" w:rsidRDefault="00826F6D" w:rsidP="00A313B4">
            <w:pPr>
              <w:spacing w:before="40" w:after="40"/>
              <w:rPr>
                <w:rFonts w:ascii="Arial Narrow" w:hAnsi="Arial Narrow" w:cs="Arial"/>
                <w:sz w:val="20"/>
                <w:szCs w:val="20"/>
              </w:rPr>
            </w:pPr>
            <w:r w:rsidRPr="005A39D7">
              <w:rPr>
                <w:rFonts w:ascii="Arial Narrow" w:hAnsi="Arial Narrow" w:cs="Arial"/>
                <w:sz w:val="20"/>
                <w:szCs w:val="20"/>
              </w:rPr>
              <w:t>GENERAL – General Schedule (Code GE)</w:t>
            </w:r>
          </w:p>
          <w:p w:rsidR="00826F6D" w:rsidRPr="005A39D7" w:rsidRDefault="00826F6D" w:rsidP="00A313B4">
            <w:pPr>
              <w:spacing w:before="40" w:after="40"/>
              <w:rPr>
                <w:rFonts w:ascii="Arial Narrow" w:hAnsi="Arial Narrow" w:cs="Arial"/>
                <w:sz w:val="20"/>
                <w:szCs w:val="20"/>
              </w:rPr>
            </w:pPr>
          </w:p>
        </w:tc>
      </w:tr>
      <w:tr w:rsidR="00826F6D" w:rsidRPr="005A39D7" w:rsidTr="00FB5AE7">
        <w:trPr>
          <w:cantSplit/>
          <w:trHeight w:val="360"/>
        </w:trPr>
        <w:tc>
          <w:tcPr>
            <w:tcW w:w="1094" w:type="pct"/>
            <w:tcBorders>
              <w:top w:val="single" w:sz="4" w:space="0" w:color="auto"/>
              <w:left w:val="single" w:sz="4" w:space="0" w:color="auto"/>
              <w:bottom w:val="single" w:sz="4" w:space="0" w:color="auto"/>
              <w:right w:val="single" w:sz="4" w:space="0" w:color="auto"/>
            </w:tcBorders>
          </w:tcPr>
          <w:p w:rsidR="00826F6D" w:rsidRPr="005A39D7" w:rsidRDefault="00826F6D" w:rsidP="00A313B4">
            <w:pPr>
              <w:spacing w:before="40" w:after="40"/>
              <w:jc w:val="both"/>
              <w:rPr>
                <w:rFonts w:ascii="Arial Narrow" w:hAnsi="Arial Narrow" w:cs="Arial"/>
                <w:b/>
                <w:sz w:val="20"/>
                <w:szCs w:val="20"/>
              </w:rPr>
            </w:pPr>
            <w:r w:rsidRPr="005A39D7">
              <w:rPr>
                <w:rFonts w:ascii="Arial Narrow" w:hAnsi="Arial Narrow" w:cs="Arial"/>
                <w:b/>
                <w:sz w:val="20"/>
                <w:szCs w:val="20"/>
              </w:rPr>
              <w:t>Prescriber type:</w:t>
            </w:r>
          </w:p>
        </w:tc>
        <w:tc>
          <w:tcPr>
            <w:tcW w:w="3906" w:type="pct"/>
            <w:gridSpan w:val="9"/>
            <w:tcBorders>
              <w:top w:val="single" w:sz="4" w:space="0" w:color="auto"/>
              <w:left w:val="single" w:sz="4" w:space="0" w:color="auto"/>
              <w:bottom w:val="single" w:sz="4" w:space="0" w:color="auto"/>
              <w:right w:val="single" w:sz="4" w:space="0" w:color="auto"/>
            </w:tcBorders>
          </w:tcPr>
          <w:p w:rsidR="00826F6D" w:rsidRPr="005A39D7" w:rsidRDefault="00826F6D" w:rsidP="00A313B4">
            <w:pPr>
              <w:spacing w:before="40" w:after="40"/>
              <w:rPr>
                <w:rFonts w:ascii="Arial Narrow" w:hAnsi="Arial Narrow" w:cs="Arial"/>
                <w:sz w:val="20"/>
                <w:szCs w:val="20"/>
              </w:rPr>
            </w:pPr>
            <w:r w:rsidRPr="005A39D7">
              <w:rPr>
                <w:rFonts w:ascii="Arial Narrow" w:hAnsi="Arial Narrow" w:cs="Arial"/>
                <w:sz w:val="20"/>
                <w:szCs w:val="20"/>
              </w:rPr>
              <w:fldChar w:fldCharType="begin">
                <w:ffData>
                  <w:name w:val="Check1"/>
                  <w:enabled/>
                  <w:calcOnExit w:val="0"/>
                  <w:checkBox>
                    <w:sizeAuto/>
                    <w:default w:val="0"/>
                  </w:checkBox>
                </w:ffData>
              </w:fldChar>
            </w:r>
            <w:r w:rsidRPr="005A39D7">
              <w:rPr>
                <w:rFonts w:ascii="Arial Narrow" w:hAnsi="Arial Narrow" w:cs="Arial"/>
                <w:sz w:val="20"/>
                <w:szCs w:val="20"/>
              </w:rPr>
              <w:instrText xml:space="preserve"> FORMCHECKBOX </w:instrText>
            </w:r>
            <w:r w:rsidR="007818AA">
              <w:rPr>
                <w:rFonts w:ascii="Arial Narrow" w:hAnsi="Arial Narrow" w:cs="Arial"/>
                <w:sz w:val="20"/>
                <w:szCs w:val="20"/>
              </w:rPr>
            </w:r>
            <w:r w:rsidR="007818AA">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 xml:space="preserve">Dental  </w:t>
            </w:r>
            <w:r w:rsidR="00310F2C">
              <w:rPr>
                <w:rFonts w:ascii="Arial Narrow" w:hAnsi="Arial Narrow" w:cs="Arial"/>
                <w:sz w:val="20"/>
                <w:szCs w:val="20"/>
              </w:rPr>
              <w:fldChar w:fldCharType="begin">
                <w:ffData>
                  <w:name w:val=""/>
                  <w:enabled/>
                  <w:calcOnExit w:val="0"/>
                  <w:checkBox>
                    <w:sizeAuto/>
                    <w:default w:val="1"/>
                  </w:checkBox>
                </w:ffData>
              </w:fldChar>
            </w:r>
            <w:r w:rsidR="00310F2C">
              <w:rPr>
                <w:rFonts w:ascii="Arial Narrow" w:hAnsi="Arial Narrow" w:cs="Arial"/>
                <w:sz w:val="20"/>
                <w:szCs w:val="20"/>
              </w:rPr>
              <w:instrText xml:space="preserve"> FORMCHECKBOX </w:instrText>
            </w:r>
            <w:r w:rsidR="007818AA">
              <w:rPr>
                <w:rFonts w:ascii="Arial Narrow" w:hAnsi="Arial Narrow" w:cs="Arial"/>
                <w:sz w:val="20"/>
                <w:szCs w:val="20"/>
              </w:rPr>
            </w:r>
            <w:r w:rsidR="007818AA">
              <w:rPr>
                <w:rFonts w:ascii="Arial Narrow" w:hAnsi="Arial Narrow" w:cs="Arial"/>
                <w:sz w:val="20"/>
                <w:szCs w:val="20"/>
              </w:rPr>
              <w:fldChar w:fldCharType="separate"/>
            </w:r>
            <w:r w:rsidR="00310F2C">
              <w:rPr>
                <w:rFonts w:ascii="Arial Narrow" w:hAnsi="Arial Narrow" w:cs="Arial"/>
                <w:sz w:val="20"/>
                <w:szCs w:val="20"/>
              </w:rPr>
              <w:fldChar w:fldCharType="end"/>
            </w:r>
            <w:r w:rsidRPr="005A39D7">
              <w:rPr>
                <w:rFonts w:ascii="Arial Narrow" w:hAnsi="Arial Narrow" w:cs="Arial"/>
                <w:sz w:val="20"/>
                <w:szCs w:val="20"/>
              </w:rPr>
              <w:t xml:space="preserve">Medical Practitioners  </w:t>
            </w:r>
            <w:r w:rsidR="00310F2C">
              <w:rPr>
                <w:rFonts w:ascii="Arial Narrow" w:hAnsi="Arial Narrow" w:cs="Arial"/>
                <w:sz w:val="20"/>
                <w:szCs w:val="20"/>
              </w:rPr>
              <w:fldChar w:fldCharType="begin">
                <w:ffData>
                  <w:name w:val="Check3"/>
                  <w:enabled/>
                  <w:calcOnExit w:val="0"/>
                  <w:checkBox>
                    <w:sizeAuto/>
                    <w:default w:val="1"/>
                  </w:checkBox>
                </w:ffData>
              </w:fldChar>
            </w:r>
            <w:bookmarkStart w:id="1" w:name="Check3"/>
            <w:r w:rsidR="00310F2C">
              <w:rPr>
                <w:rFonts w:ascii="Arial Narrow" w:hAnsi="Arial Narrow" w:cs="Arial"/>
                <w:sz w:val="20"/>
                <w:szCs w:val="20"/>
              </w:rPr>
              <w:instrText xml:space="preserve"> FORMCHECKBOX </w:instrText>
            </w:r>
            <w:r w:rsidR="007818AA">
              <w:rPr>
                <w:rFonts w:ascii="Arial Narrow" w:hAnsi="Arial Narrow" w:cs="Arial"/>
                <w:sz w:val="20"/>
                <w:szCs w:val="20"/>
              </w:rPr>
            </w:r>
            <w:r w:rsidR="007818AA">
              <w:rPr>
                <w:rFonts w:ascii="Arial Narrow" w:hAnsi="Arial Narrow" w:cs="Arial"/>
                <w:sz w:val="20"/>
                <w:szCs w:val="20"/>
              </w:rPr>
              <w:fldChar w:fldCharType="separate"/>
            </w:r>
            <w:r w:rsidR="00310F2C">
              <w:rPr>
                <w:rFonts w:ascii="Arial Narrow" w:hAnsi="Arial Narrow" w:cs="Arial"/>
                <w:sz w:val="20"/>
                <w:szCs w:val="20"/>
              </w:rPr>
              <w:fldChar w:fldCharType="end"/>
            </w:r>
            <w:bookmarkEnd w:id="1"/>
            <w:r w:rsidRPr="005A39D7">
              <w:rPr>
                <w:rFonts w:ascii="Arial Narrow" w:hAnsi="Arial Narrow" w:cs="Arial"/>
                <w:sz w:val="20"/>
                <w:szCs w:val="20"/>
              </w:rPr>
              <w:t xml:space="preserve">Nurse practitioners  </w:t>
            </w:r>
            <w:r w:rsidRPr="005A39D7">
              <w:rPr>
                <w:rFonts w:ascii="Arial Narrow" w:hAnsi="Arial Narrow" w:cs="Arial"/>
                <w:sz w:val="20"/>
                <w:szCs w:val="20"/>
              </w:rPr>
              <w:fldChar w:fldCharType="begin">
                <w:ffData>
                  <w:name w:val=""/>
                  <w:enabled/>
                  <w:calcOnExit w:val="0"/>
                  <w:checkBox>
                    <w:sizeAuto/>
                    <w:default w:val="0"/>
                  </w:checkBox>
                </w:ffData>
              </w:fldChar>
            </w:r>
            <w:r w:rsidRPr="005A39D7">
              <w:rPr>
                <w:rFonts w:ascii="Arial Narrow" w:hAnsi="Arial Narrow" w:cs="Arial"/>
                <w:sz w:val="20"/>
                <w:szCs w:val="20"/>
              </w:rPr>
              <w:instrText xml:space="preserve"> FORMCHECKBOX </w:instrText>
            </w:r>
            <w:r w:rsidR="007818AA">
              <w:rPr>
                <w:rFonts w:ascii="Arial Narrow" w:hAnsi="Arial Narrow" w:cs="Arial"/>
                <w:sz w:val="20"/>
                <w:szCs w:val="20"/>
              </w:rPr>
            </w:r>
            <w:r w:rsidR="007818AA">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Optometrists</w:t>
            </w:r>
          </w:p>
          <w:p w:rsidR="00826F6D" w:rsidRPr="005A39D7" w:rsidRDefault="00826F6D" w:rsidP="00A313B4">
            <w:pPr>
              <w:spacing w:before="40" w:after="40"/>
              <w:rPr>
                <w:rFonts w:ascii="Arial Narrow" w:hAnsi="Arial Narrow" w:cs="Arial"/>
                <w:sz w:val="20"/>
                <w:szCs w:val="20"/>
              </w:rPr>
            </w:pPr>
            <w:r w:rsidRPr="005A39D7">
              <w:rPr>
                <w:rFonts w:ascii="Arial Narrow" w:hAnsi="Arial Narrow" w:cs="Arial"/>
                <w:sz w:val="20"/>
                <w:szCs w:val="20"/>
              </w:rPr>
              <w:fldChar w:fldCharType="begin">
                <w:ffData>
                  <w:name w:val="Check5"/>
                  <w:enabled/>
                  <w:calcOnExit w:val="0"/>
                  <w:checkBox>
                    <w:sizeAuto/>
                    <w:default w:val="0"/>
                  </w:checkBox>
                </w:ffData>
              </w:fldChar>
            </w:r>
            <w:r w:rsidRPr="005A39D7">
              <w:rPr>
                <w:rFonts w:ascii="Arial Narrow" w:hAnsi="Arial Narrow" w:cs="Arial"/>
                <w:sz w:val="20"/>
                <w:szCs w:val="20"/>
              </w:rPr>
              <w:instrText xml:space="preserve"> FORMCHECKBOX </w:instrText>
            </w:r>
            <w:r w:rsidR="007818AA">
              <w:rPr>
                <w:rFonts w:ascii="Arial Narrow" w:hAnsi="Arial Narrow" w:cs="Arial"/>
                <w:sz w:val="20"/>
                <w:szCs w:val="20"/>
              </w:rPr>
            </w:r>
            <w:r w:rsidR="007818AA">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Midwives</w:t>
            </w:r>
          </w:p>
        </w:tc>
      </w:tr>
      <w:tr w:rsidR="00826F6D" w:rsidRPr="005A39D7" w:rsidTr="00FB5AE7">
        <w:trPr>
          <w:cantSplit/>
          <w:trHeight w:val="360"/>
        </w:trPr>
        <w:tc>
          <w:tcPr>
            <w:tcW w:w="1094" w:type="pct"/>
            <w:tcBorders>
              <w:top w:val="single" w:sz="4" w:space="0" w:color="auto"/>
              <w:left w:val="single" w:sz="4" w:space="0" w:color="auto"/>
              <w:bottom w:val="single" w:sz="4" w:space="0" w:color="auto"/>
              <w:right w:val="single" w:sz="4" w:space="0" w:color="auto"/>
            </w:tcBorders>
          </w:tcPr>
          <w:p w:rsidR="00826F6D" w:rsidRPr="005A39D7" w:rsidRDefault="00826F6D" w:rsidP="00A313B4">
            <w:pPr>
              <w:spacing w:before="40" w:after="40"/>
              <w:jc w:val="both"/>
              <w:rPr>
                <w:rFonts w:ascii="Arial Narrow" w:hAnsi="Arial Narrow" w:cs="Arial"/>
                <w:b/>
                <w:sz w:val="20"/>
                <w:szCs w:val="20"/>
              </w:rPr>
            </w:pPr>
            <w:r w:rsidRPr="005A39D7">
              <w:rPr>
                <w:rFonts w:ascii="Arial Narrow" w:hAnsi="Arial Narrow" w:cs="Arial"/>
                <w:b/>
                <w:sz w:val="20"/>
                <w:szCs w:val="20"/>
              </w:rPr>
              <w:t>Condition:</w:t>
            </w:r>
          </w:p>
        </w:tc>
        <w:tc>
          <w:tcPr>
            <w:tcW w:w="3906" w:type="pct"/>
            <w:gridSpan w:val="9"/>
            <w:tcBorders>
              <w:top w:val="single" w:sz="4" w:space="0" w:color="auto"/>
              <w:left w:val="single" w:sz="4" w:space="0" w:color="auto"/>
              <w:bottom w:val="single" w:sz="4" w:space="0" w:color="auto"/>
              <w:right w:val="single" w:sz="4" w:space="0" w:color="auto"/>
            </w:tcBorders>
          </w:tcPr>
          <w:p w:rsidR="00826F6D" w:rsidRPr="005A39D7" w:rsidRDefault="00310F2C" w:rsidP="00A313B4">
            <w:pPr>
              <w:spacing w:before="40" w:after="40"/>
              <w:rPr>
                <w:rFonts w:ascii="Arial Narrow" w:hAnsi="Arial Narrow" w:cs="Arial"/>
                <w:sz w:val="20"/>
                <w:szCs w:val="20"/>
              </w:rPr>
            </w:pPr>
            <w:r>
              <w:rPr>
                <w:rFonts w:ascii="Arial Narrow" w:hAnsi="Arial Narrow"/>
                <w:sz w:val="20"/>
              </w:rPr>
              <w:t>Phenylketonuria</w:t>
            </w:r>
          </w:p>
        </w:tc>
      </w:tr>
      <w:tr w:rsidR="00826F6D" w:rsidRPr="005A39D7" w:rsidTr="00FB5AE7">
        <w:trPr>
          <w:cantSplit/>
          <w:trHeight w:val="360"/>
        </w:trPr>
        <w:tc>
          <w:tcPr>
            <w:tcW w:w="1094" w:type="pct"/>
            <w:tcBorders>
              <w:top w:val="single" w:sz="4" w:space="0" w:color="auto"/>
              <w:left w:val="single" w:sz="4" w:space="0" w:color="auto"/>
              <w:bottom w:val="single" w:sz="4" w:space="0" w:color="auto"/>
              <w:right w:val="single" w:sz="4" w:space="0" w:color="auto"/>
            </w:tcBorders>
          </w:tcPr>
          <w:p w:rsidR="00826F6D" w:rsidRPr="005A39D7" w:rsidRDefault="00826F6D" w:rsidP="00A313B4">
            <w:pPr>
              <w:spacing w:before="40" w:after="40"/>
              <w:jc w:val="both"/>
              <w:rPr>
                <w:rFonts w:ascii="Arial Narrow" w:hAnsi="Arial Narrow" w:cs="Arial"/>
                <w:b/>
                <w:sz w:val="20"/>
                <w:szCs w:val="20"/>
              </w:rPr>
            </w:pPr>
            <w:r w:rsidRPr="005A39D7">
              <w:rPr>
                <w:rFonts w:ascii="Arial Narrow" w:hAnsi="Arial Narrow" w:cs="Arial"/>
                <w:b/>
                <w:sz w:val="20"/>
                <w:szCs w:val="20"/>
              </w:rPr>
              <w:t>PBS Indication:</w:t>
            </w:r>
          </w:p>
        </w:tc>
        <w:tc>
          <w:tcPr>
            <w:tcW w:w="3906" w:type="pct"/>
            <w:gridSpan w:val="9"/>
            <w:tcBorders>
              <w:top w:val="single" w:sz="4" w:space="0" w:color="auto"/>
              <w:left w:val="single" w:sz="4" w:space="0" w:color="auto"/>
              <w:bottom w:val="single" w:sz="4" w:space="0" w:color="auto"/>
              <w:right w:val="single" w:sz="4" w:space="0" w:color="auto"/>
            </w:tcBorders>
          </w:tcPr>
          <w:p w:rsidR="00826F6D" w:rsidRPr="005A39D7" w:rsidRDefault="00310F2C" w:rsidP="00A313B4">
            <w:pPr>
              <w:spacing w:before="40" w:after="40"/>
              <w:rPr>
                <w:rFonts w:ascii="Arial Narrow" w:hAnsi="Arial Narrow" w:cs="Arial"/>
                <w:sz w:val="20"/>
                <w:szCs w:val="20"/>
              </w:rPr>
            </w:pPr>
            <w:r>
              <w:rPr>
                <w:rFonts w:ascii="Arial Narrow" w:hAnsi="Arial Narrow"/>
                <w:sz w:val="20"/>
              </w:rPr>
              <w:t>Phenylketonuria</w:t>
            </w:r>
          </w:p>
        </w:tc>
      </w:tr>
      <w:tr w:rsidR="00826F6D" w:rsidRPr="005A39D7" w:rsidTr="00FB5AE7">
        <w:trPr>
          <w:cantSplit/>
          <w:trHeight w:val="360"/>
        </w:trPr>
        <w:tc>
          <w:tcPr>
            <w:tcW w:w="1094" w:type="pct"/>
            <w:tcBorders>
              <w:top w:val="single" w:sz="4" w:space="0" w:color="auto"/>
              <w:left w:val="single" w:sz="4" w:space="0" w:color="auto"/>
              <w:bottom w:val="single" w:sz="4" w:space="0" w:color="auto"/>
              <w:right w:val="single" w:sz="4" w:space="0" w:color="auto"/>
            </w:tcBorders>
          </w:tcPr>
          <w:p w:rsidR="00826F6D" w:rsidRPr="005A39D7" w:rsidRDefault="00826F6D" w:rsidP="00A313B4">
            <w:pPr>
              <w:spacing w:before="40" w:after="40"/>
              <w:jc w:val="both"/>
              <w:rPr>
                <w:rFonts w:ascii="Arial Narrow" w:hAnsi="Arial Narrow" w:cs="Arial"/>
                <w:b/>
                <w:sz w:val="20"/>
                <w:szCs w:val="20"/>
              </w:rPr>
            </w:pPr>
            <w:r w:rsidRPr="005A39D7">
              <w:rPr>
                <w:rFonts w:ascii="Arial Narrow" w:hAnsi="Arial Narrow" w:cs="Arial"/>
                <w:b/>
                <w:sz w:val="20"/>
                <w:szCs w:val="20"/>
              </w:rPr>
              <w:t>Restriction Level / Method:</w:t>
            </w:r>
          </w:p>
          <w:p w:rsidR="00826F6D" w:rsidRPr="005A39D7" w:rsidRDefault="00826F6D" w:rsidP="00A313B4">
            <w:pPr>
              <w:spacing w:before="40" w:after="40"/>
              <w:rPr>
                <w:rFonts w:ascii="Arial Narrow" w:hAnsi="Arial Narrow" w:cs="Arial"/>
                <w:sz w:val="20"/>
                <w:szCs w:val="20"/>
              </w:rPr>
            </w:pPr>
          </w:p>
        </w:tc>
        <w:tc>
          <w:tcPr>
            <w:tcW w:w="3906" w:type="pct"/>
            <w:gridSpan w:val="9"/>
            <w:tcBorders>
              <w:top w:val="single" w:sz="4" w:space="0" w:color="auto"/>
              <w:left w:val="single" w:sz="4" w:space="0" w:color="auto"/>
              <w:bottom w:val="single" w:sz="4" w:space="0" w:color="auto"/>
              <w:right w:val="single" w:sz="4" w:space="0" w:color="auto"/>
            </w:tcBorders>
          </w:tcPr>
          <w:p w:rsidR="00826F6D" w:rsidRPr="005A39D7" w:rsidRDefault="00310F2C" w:rsidP="00A313B4">
            <w:pPr>
              <w:spacing w:before="40" w:after="40"/>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bookmarkStart w:id="2" w:name="Check1"/>
            <w:r>
              <w:rPr>
                <w:rFonts w:ascii="Arial Narrow" w:hAnsi="Arial Narrow" w:cs="Arial"/>
                <w:sz w:val="20"/>
                <w:szCs w:val="20"/>
              </w:rPr>
              <w:instrText xml:space="preserve"> FORMCHECKBOX </w:instrText>
            </w:r>
            <w:r w:rsidR="007818AA">
              <w:rPr>
                <w:rFonts w:ascii="Arial Narrow" w:hAnsi="Arial Narrow" w:cs="Arial"/>
                <w:sz w:val="20"/>
                <w:szCs w:val="20"/>
              </w:rPr>
            </w:r>
            <w:r w:rsidR="007818AA">
              <w:rPr>
                <w:rFonts w:ascii="Arial Narrow" w:hAnsi="Arial Narrow" w:cs="Arial"/>
                <w:sz w:val="20"/>
                <w:szCs w:val="20"/>
              </w:rPr>
              <w:fldChar w:fldCharType="separate"/>
            </w:r>
            <w:r>
              <w:rPr>
                <w:rFonts w:ascii="Arial Narrow" w:hAnsi="Arial Narrow" w:cs="Arial"/>
                <w:sz w:val="20"/>
                <w:szCs w:val="20"/>
              </w:rPr>
              <w:fldChar w:fldCharType="end"/>
            </w:r>
            <w:bookmarkEnd w:id="2"/>
            <w:r w:rsidR="00826F6D" w:rsidRPr="005A39D7">
              <w:rPr>
                <w:rFonts w:ascii="Arial Narrow" w:hAnsi="Arial Narrow" w:cs="Arial"/>
                <w:sz w:val="20"/>
                <w:szCs w:val="20"/>
              </w:rPr>
              <w:t>Restricted benefit</w:t>
            </w:r>
          </w:p>
          <w:p w:rsidR="000E3ABF" w:rsidRDefault="00826F6D" w:rsidP="000E3ABF">
            <w:pPr>
              <w:spacing w:before="40" w:after="40"/>
              <w:rPr>
                <w:rFonts w:ascii="Arial Narrow" w:hAnsi="Arial Narrow" w:cs="Arial"/>
                <w:sz w:val="20"/>
                <w:szCs w:val="20"/>
              </w:rPr>
            </w:pPr>
            <w:r w:rsidRPr="005A39D7">
              <w:rPr>
                <w:rFonts w:ascii="Arial Narrow" w:hAnsi="Arial Narrow" w:cs="Arial"/>
                <w:sz w:val="20"/>
                <w:szCs w:val="20"/>
              </w:rPr>
              <w:fldChar w:fldCharType="begin">
                <w:ffData>
                  <w:name w:val=""/>
                  <w:enabled/>
                  <w:calcOnExit w:val="0"/>
                  <w:checkBox>
                    <w:sizeAuto/>
                    <w:default w:val="0"/>
                  </w:checkBox>
                </w:ffData>
              </w:fldChar>
            </w:r>
            <w:r w:rsidRPr="005A39D7">
              <w:rPr>
                <w:rFonts w:ascii="Arial Narrow" w:hAnsi="Arial Narrow" w:cs="Arial"/>
                <w:sz w:val="20"/>
                <w:szCs w:val="20"/>
              </w:rPr>
              <w:instrText xml:space="preserve"> FORMCHECKBOX </w:instrText>
            </w:r>
            <w:r w:rsidR="007818AA">
              <w:rPr>
                <w:rFonts w:ascii="Arial Narrow" w:hAnsi="Arial Narrow" w:cs="Arial"/>
                <w:sz w:val="20"/>
                <w:szCs w:val="20"/>
              </w:rPr>
            </w:r>
            <w:r w:rsidR="007818AA">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 xml:space="preserve">Authority Required </w:t>
            </w:r>
          </w:p>
          <w:p w:rsidR="00826F6D" w:rsidRPr="005A39D7" w:rsidRDefault="00826F6D" w:rsidP="000E3ABF">
            <w:pPr>
              <w:spacing w:before="40" w:after="40"/>
              <w:rPr>
                <w:rFonts w:ascii="Arial Narrow" w:hAnsi="Arial Narrow" w:cs="Arial"/>
                <w:sz w:val="20"/>
                <w:szCs w:val="20"/>
              </w:rPr>
            </w:pPr>
            <w:r w:rsidRPr="005A39D7">
              <w:rPr>
                <w:rFonts w:ascii="Arial Narrow" w:hAnsi="Arial Narrow" w:cs="Arial"/>
                <w:sz w:val="20"/>
                <w:szCs w:val="20"/>
              </w:rPr>
              <w:fldChar w:fldCharType="begin">
                <w:ffData>
                  <w:name w:val="Check5"/>
                  <w:enabled/>
                  <w:calcOnExit w:val="0"/>
                  <w:checkBox>
                    <w:sizeAuto/>
                    <w:default w:val="0"/>
                  </w:checkBox>
                </w:ffData>
              </w:fldChar>
            </w:r>
            <w:r w:rsidRPr="005A39D7">
              <w:rPr>
                <w:rFonts w:ascii="Arial Narrow" w:hAnsi="Arial Narrow" w:cs="Arial"/>
                <w:sz w:val="20"/>
                <w:szCs w:val="20"/>
              </w:rPr>
              <w:instrText xml:space="preserve"> FORMCHECKBOX </w:instrText>
            </w:r>
            <w:r w:rsidR="007818AA">
              <w:rPr>
                <w:rFonts w:ascii="Arial Narrow" w:hAnsi="Arial Narrow" w:cs="Arial"/>
                <w:sz w:val="20"/>
                <w:szCs w:val="20"/>
              </w:rPr>
            </w:r>
            <w:r w:rsidR="007818AA">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Streamlined</w:t>
            </w:r>
          </w:p>
        </w:tc>
      </w:tr>
    </w:tbl>
    <w:p w:rsidR="0077502A" w:rsidRDefault="0077502A" w:rsidP="00826F6D">
      <w:pPr>
        <w:pStyle w:val="ListParagraph"/>
        <w:jc w:val="both"/>
        <w:rPr>
          <w:rFonts w:asciiTheme="minorHAnsi" w:hAnsiTheme="minorHAnsi"/>
          <w:sz w:val="22"/>
          <w:szCs w:val="22"/>
        </w:rPr>
      </w:pPr>
    </w:p>
    <w:p w:rsidR="0077502A" w:rsidRDefault="0077502A" w:rsidP="0077502A">
      <w:r>
        <w:br w:type="page"/>
      </w:r>
    </w:p>
    <w:p w:rsidR="00826F6D" w:rsidRDefault="00826F6D" w:rsidP="00826F6D">
      <w:pPr>
        <w:pStyle w:val="ListParagraph"/>
        <w:jc w:val="both"/>
        <w:rPr>
          <w:rFonts w:asciiTheme="minorHAnsi" w:hAnsiTheme="minorHAnsi"/>
          <w:sz w:val="22"/>
          <w:szCs w:val="22"/>
        </w:rPr>
      </w:pPr>
    </w:p>
    <w:tbl>
      <w:tblPr>
        <w:tblW w:w="4936" w:type="pct"/>
        <w:tblLook w:val="0000" w:firstRow="0" w:lastRow="0" w:firstColumn="0" w:lastColumn="0" w:noHBand="0" w:noVBand="0"/>
      </w:tblPr>
      <w:tblGrid>
        <w:gridCol w:w="1993"/>
        <w:gridCol w:w="1414"/>
        <w:gridCol w:w="6"/>
        <w:gridCol w:w="772"/>
        <w:gridCol w:w="47"/>
        <w:gridCol w:w="569"/>
        <w:gridCol w:w="308"/>
        <w:gridCol w:w="1398"/>
        <w:gridCol w:w="270"/>
        <w:gridCol w:w="2325"/>
        <w:gridCol w:w="22"/>
      </w:tblGrid>
      <w:tr w:rsidR="00310F2C" w:rsidRPr="005A39D7" w:rsidTr="00FB5AE7">
        <w:trPr>
          <w:cantSplit/>
          <w:trHeight w:val="471"/>
        </w:trPr>
        <w:tc>
          <w:tcPr>
            <w:tcW w:w="1867" w:type="pct"/>
            <w:gridSpan w:val="2"/>
            <w:tcBorders>
              <w:bottom w:val="single" w:sz="4" w:space="0" w:color="auto"/>
            </w:tcBorders>
          </w:tcPr>
          <w:p w:rsidR="00310F2C" w:rsidRPr="005A39D7" w:rsidRDefault="00310F2C" w:rsidP="00A313B4">
            <w:pPr>
              <w:keepNext/>
              <w:spacing w:before="40" w:after="40"/>
              <w:ind w:left="-108"/>
              <w:jc w:val="both"/>
              <w:rPr>
                <w:rFonts w:ascii="Arial Narrow" w:hAnsi="Arial Narrow" w:cs="Arial"/>
                <w:b/>
                <w:sz w:val="20"/>
                <w:szCs w:val="20"/>
              </w:rPr>
            </w:pPr>
            <w:r w:rsidRPr="005A39D7">
              <w:rPr>
                <w:rFonts w:ascii="Arial Narrow" w:hAnsi="Arial Narrow" w:cs="Arial"/>
                <w:b/>
                <w:sz w:val="20"/>
                <w:szCs w:val="20"/>
              </w:rPr>
              <w:t>Name, Restriction,</w:t>
            </w:r>
          </w:p>
          <w:p w:rsidR="00310F2C" w:rsidRPr="005A39D7" w:rsidRDefault="00310F2C" w:rsidP="00A313B4">
            <w:pPr>
              <w:keepNext/>
              <w:spacing w:before="40" w:after="40"/>
              <w:ind w:left="-108"/>
              <w:jc w:val="both"/>
              <w:rPr>
                <w:rFonts w:ascii="Arial Narrow" w:hAnsi="Arial Narrow" w:cs="Arial"/>
                <w:b/>
                <w:sz w:val="20"/>
                <w:szCs w:val="20"/>
              </w:rPr>
            </w:pPr>
            <w:r w:rsidRPr="005A39D7">
              <w:rPr>
                <w:rFonts w:ascii="Arial Narrow" w:hAnsi="Arial Narrow" w:cs="Arial"/>
                <w:b/>
                <w:sz w:val="20"/>
                <w:szCs w:val="20"/>
              </w:rPr>
              <w:t>Manner of administration and form</w:t>
            </w:r>
          </w:p>
        </w:tc>
        <w:tc>
          <w:tcPr>
            <w:tcW w:w="426" w:type="pct"/>
            <w:gridSpan w:val="2"/>
            <w:tcBorders>
              <w:bottom w:val="single" w:sz="4" w:space="0" w:color="auto"/>
            </w:tcBorders>
          </w:tcPr>
          <w:p w:rsidR="00310F2C" w:rsidRPr="005A39D7" w:rsidRDefault="00310F2C" w:rsidP="00A313B4">
            <w:pPr>
              <w:keepNext/>
              <w:spacing w:before="40" w:after="40"/>
              <w:ind w:left="-108"/>
              <w:jc w:val="both"/>
              <w:rPr>
                <w:rFonts w:ascii="Arial Narrow" w:hAnsi="Arial Narrow" w:cs="Arial"/>
                <w:b/>
                <w:sz w:val="20"/>
                <w:szCs w:val="20"/>
              </w:rPr>
            </w:pPr>
            <w:r w:rsidRPr="005A39D7">
              <w:rPr>
                <w:rFonts w:ascii="Arial Narrow" w:hAnsi="Arial Narrow" w:cs="Arial"/>
                <w:b/>
                <w:sz w:val="20"/>
                <w:szCs w:val="20"/>
              </w:rPr>
              <w:t>Max.</w:t>
            </w:r>
          </w:p>
          <w:p w:rsidR="00310F2C" w:rsidRPr="005A39D7" w:rsidRDefault="00310F2C" w:rsidP="00A313B4">
            <w:pPr>
              <w:keepNext/>
              <w:spacing w:before="40" w:after="40"/>
              <w:ind w:left="-108"/>
              <w:jc w:val="both"/>
              <w:rPr>
                <w:rFonts w:ascii="Arial Narrow" w:hAnsi="Arial Narrow" w:cs="Arial"/>
                <w:b/>
                <w:sz w:val="20"/>
                <w:szCs w:val="20"/>
              </w:rPr>
            </w:pPr>
            <w:r w:rsidRPr="005A39D7">
              <w:rPr>
                <w:rFonts w:ascii="Arial Narrow" w:hAnsi="Arial Narrow" w:cs="Arial"/>
                <w:b/>
                <w:sz w:val="20"/>
                <w:szCs w:val="20"/>
              </w:rPr>
              <w:t>Qty</w:t>
            </w:r>
          </w:p>
        </w:tc>
        <w:tc>
          <w:tcPr>
            <w:tcW w:w="507" w:type="pct"/>
            <w:gridSpan w:val="3"/>
            <w:tcBorders>
              <w:bottom w:val="single" w:sz="4" w:space="0" w:color="auto"/>
            </w:tcBorders>
          </w:tcPr>
          <w:p w:rsidR="00310F2C" w:rsidRPr="005A39D7" w:rsidRDefault="00310F2C" w:rsidP="00A313B4">
            <w:pPr>
              <w:keepNext/>
              <w:spacing w:before="40" w:after="40"/>
              <w:ind w:left="-108"/>
              <w:jc w:val="both"/>
              <w:rPr>
                <w:rFonts w:ascii="Arial Narrow" w:hAnsi="Arial Narrow" w:cs="Arial"/>
                <w:b/>
                <w:sz w:val="20"/>
                <w:szCs w:val="20"/>
              </w:rPr>
            </w:pPr>
            <w:r w:rsidRPr="005A39D7">
              <w:rPr>
                <w:rFonts w:ascii="Arial Narrow" w:hAnsi="Arial Narrow" w:cs="Arial"/>
                <w:b/>
                <w:sz w:val="20"/>
                <w:szCs w:val="20"/>
              </w:rPr>
              <w:t>№.of</w:t>
            </w:r>
          </w:p>
          <w:p w:rsidR="00310F2C" w:rsidRPr="005A39D7" w:rsidRDefault="00310F2C" w:rsidP="00A313B4">
            <w:pPr>
              <w:keepNext/>
              <w:spacing w:before="40" w:after="40"/>
              <w:ind w:left="-108"/>
              <w:jc w:val="both"/>
              <w:rPr>
                <w:rFonts w:ascii="Arial Narrow" w:hAnsi="Arial Narrow" w:cs="Arial"/>
                <w:b/>
                <w:sz w:val="20"/>
                <w:szCs w:val="20"/>
              </w:rPr>
            </w:pPr>
            <w:r w:rsidRPr="005A39D7">
              <w:rPr>
                <w:rFonts w:ascii="Arial Narrow" w:hAnsi="Arial Narrow" w:cs="Arial"/>
                <w:b/>
                <w:sz w:val="20"/>
                <w:szCs w:val="20"/>
              </w:rPr>
              <w:t>Rpts</w:t>
            </w:r>
          </w:p>
        </w:tc>
        <w:tc>
          <w:tcPr>
            <w:tcW w:w="914" w:type="pct"/>
            <w:gridSpan w:val="2"/>
            <w:tcBorders>
              <w:bottom w:val="single" w:sz="4" w:space="0" w:color="auto"/>
            </w:tcBorders>
          </w:tcPr>
          <w:p w:rsidR="00310F2C" w:rsidRPr="005A39D7" w:rsidRDefault="00310F2C" w:rsidP="00A313B4">
            <w:pPr>
              <w:keepNext/>
              <w:spacing w:before="40" w:after="40"/>
              <w:ind w:left="-108"/>
              <w:jc w:val="both"/>
              <w:rPr>
                <w:rFonts w:ascii="Arial Narrow" w:hAnsi="Arial Narrow" w:cs="Arial"/>
                <w:b/>
                <w:sz w:val="20"/>
                <w:szCs w:val="20"/>
              </w:rPr>
            </w:pPr>
            <w:r w:rsidRPr="005A39D7">
              <w:rPr>
                <w:rFonts w:ascii="Arial Narrow" w:hAnsi="Arial Narrow" w:cs="Arial"/>
                <w:b/>
                <w:sz w:val="20"/>
                <w:szCs w:val="20"/>
              </w:rPr>
              <w:t>Dispensed Price for Max. Qty</w:t>
            </w:r>
          </w:p>
        </w:tc>
        <w:tc>
          <w:tcPr>
            <w:tcW w:w="1286" w:type="pct"/>
            <w:gridSpan w:val="2"/>
            <w:tcBorders>
              <w:bottom w:val="single" w:sz="4" w:space="0" w:color="auto"/>
            </w:tcBorders>
          </w:tcPr>
          <w:p w:rsidR="00310F2C" w:rsidRPr="005A39D7" w:rsidRDefault="00310F2C" w:rsidP="00A313B4">
            <w:pPr>
              <w:keepNext/>
              <w:spacing w:before="40" w:after="40"/>
              <w:jc w:val="both"/>
              <w:rPr>
                <w:rFonts w:ascii="Arial Narrow" w:hAnsi="Arial Narrow" w:cs="Arial"/>
                <w:b/>
                <w:sz w:val="20"/>
                <w:szCs w:val="20"/>
                <w:lang w:val="fr-FR"/>
              </w:rPr>
            </w:pPr>
            <w:r w:rsidRPr="005A39D7">
              <w:rPr>
                <w:rFonts w:ascii="Arial Narrow" w:hAnsi="Arial Narrow" w:cs="Arial"/>
                <w:b/>
                <w:sz w:val="20"/>
                <w:szCs w:val="20"/>
              </w:rPr>
              <w:t>Proprietary Name and Manufacturer</w:t>
            </w:r>
          </w:p>
        </w:tc>
      </w:tr>
      <w:tr w:rsidR="00D8601F" w:rsidTr="00FB5AE7">
        <w:tblPrEx>
          <w:tblLook w:val="04A0" w:firstRow="1" w:lastRow="0" w:firstColumn="1" w:lastColumn="0" w:noHBand="0" w:noVBand="1"/>
        </w:tblPrEx>
        <w:trPr>
          <w:trHeight w:val="577"/>
        </w:trPr>
        <w:tc>
          <w:tcPr>
            <w:tcW w:w="1870" w:type="pct"/>
            <w:gridSpan w:val="3"/>
            <w:hideMark/>
          </w:tcPr>
          <w:p w:rsidR="00D8601F" w:rsidRDefault="00D8601F" w:rsidP="00A313B4">
            <w:pPr>
              <w:keepNext/>
              <w:spacing w:before="40" w:after="40"/>
              <w:ind w:left="-108"/>
              <w:rPr>
                <w:rFonts w:ascii="Arial Narrow" w:hAnsi="Arial Narrow" w:cs="Arial"/>
                <w:sz w:val="20"/>
                <w:lang w:eastAsia="en-US"/>
              </w:rPr>
            </w:pPr>
            <w:r>
              <w:rPr>
                <w:rFonts w:ascii="Arial Narrow" w:hAnsi="Arial Narrow" w:cs="Arial"/>
                <w:sz w:val="20"/>
                <w:lang w:eastAsia="en-US"/>
              </w:rPr>
              <w:t xml:space="preserve">GLYCOMACROPEPTIDE AND ESSENTIAL AMINO ACIDS WITH VITAMINS AND MINERALS </w:t>
            </w:r>
          </w:p>
          <w:p w:rsidR="00D8601F" w:rsidRDefault="00D8601F" w:rsidP="00A313B4">
            <w:pPr>
              <w:keepNext/>
              <w:spacing w:before="40" w:after="40"/>
              <w:ind w:left="-108"/>
              <w:rPr>
                <w:rFonts w:ascii="Arial Narrow" w:hAnsi="Arial Narrow" w:cs="Arial"/>
                <w:sz w:val="20"/>
                <w:lang w:eastAsia="en-US"/>
              </w:rPr>
            </w:pPr>
            <w:r w:rsidRPr="00431887">
              <w:rPr>
                <w:rFonts w:ascii="Arial Narrow" w:hAnsi="Arial Narrow" w:cs="Arial"/>
                <w:i/>
                <w:sz w:val="20"/>
                <w:lang w:eastAsia="en-US"/>
              </w:rPr>
              <w:t>containing</w:t>
            </w:r>
            <w:r>
              <w:rPr>
                <w:rFonts w:ascii="Arial Narrow" w:hAnsi="Arial Narrow" w:cs="Arial"/>
                <w:sz w:val="20"/>
                <w:lang w:eastAsia="en-US"/>
              </w:rPr>
              <w:t xml:space="preserve"> </w:t>
            </w:r>
            <w:r w:rsidRPr="00431887">
              <w:rPr>
                <w:rFonts w:ascii="Arial Narrow" w:hAnsi="Arial Narrow" w:cs="Arial"/>
                <w:strike/>
                <w:sz w:val="20"/>
                <w:lang w:eastAsia="en-US"/>
              </w:rPr>
              <w:t>15</w:t>
            </w:r>
            <w:r w:rsidRPr="00431887">
              <w:rPr>
                <w:rFonts w:ascii="Arial Narrow" w:hAnsi="Arial Narrow" w:cs="Arial"/>
                <w:i/>
                <w:sz w:val="20"/>
                <w:lang w:eastAsia="en-US"/>
              </w:rPr>
              <w:t>20</w:t>
            </w:r>
            <w:r>
              <w:rPr>
                <w:rFonts w:ascii="Arial Narrow" w:hAnsi="Arial Narrow" w:cs="Arial"/>
                <w:sz w:val="20"/>
                <w:lang w:eastAsia="en-US"/>
              </w:rPr>
              <w:t xml:space="preserve"> g protein equivalent powder for oral liquid, 30 x 32 g sachets </w:t>
            </w:r>
          </w:p>
        </w:tc>
        <w:tc>
          <w:tcPr>
            <w:tcW w:w="449" w:type="pct"/>
            <w:gridSpan w:val="2"/>
            <w:hideMark/>
          </w:tcPr>
          <w:p w:rsidR="00D8601F" w:rsidRDefault="00D8601F" w:rsidP="00A313B4">
            <w:pPr>
              <w:keepNext/>
              <w:spacing w:before="40" w:after="40"/>
              <w:ind w:left="-108"/>
              <w:jc w:val="center"/>
              <w:rPr>
                <w:rFonts w:ascii="Arial Narrow" w:hAnsi="Arial Narrow" w:cs="Arial"/>
                <w:sz w:val="20"/>
                <w:lang w:eastAsia="en-US"/>
              </w:rPr>
            </w:pPr>
            <w:r>
              <w:rPr>
                <w:rFonts w:ascii="Arial Narrow" w:hAnsi="Arial Narrow" w:cs="Arial"/>
                <w:sz w:val="20"/>
                <w:lang w:eastAsia="en-US"/>
              </w:rPr>
              <w:t>4</w:t>
            </w:r>
          </w:p>
        </w:tc>
        <w:tc>
          <w:tcPr>
            <w:tcW w:w="312" w:type="pct"/>
            <w:hideMark/>
          </w:tcPr>
          <w:p w:rsidR="00D8601F" w:rsidRDefault="00D8601F" w:rsidP="00A313B4">
            <w:pPr>
              <w:keepNext/>
              <w:spacing w:before="40" w:after="40"/>
              <w:ind w:left="-108"/>
              <w:jc w:val="center"/>
              <w:rPr>
                <w:rFonts w:ascii="Arial Narrow" w:hAnsi="Arial Narrow" w:cs="Arial"/>
                <w:sz w:val="20"/>
                <w:lang w:eastAsia="en-US"/>
              </w:rPr>
            </w:pPr>
            <w:r>
              <w:rPr>
                <w:rFonts w:ascii="Arial Narrow" w:hAnsi="Arial Narrow" w:cs="Arial"/>
                <w:sz w:val="20"/>
                <w:lang w:eastAsia="en-US"/>
              </w:rPr>
              <w:t>5</w:t>
            </w:r>
          </w:p>
        </w:tc>
        <w:tc>
          <w:tcPr>
            <w:tcW w:w="935" w:type="pct"/>
            <w:gridSpan w:val="2"/>
            <w:hideMark/>
          </w:tcPr>
          <w:p w:rsidR="00D8601F" w:rsidRDefault="00D8601F" w:rsidP="00A313B4">
            <w:pPr>
              <w:keepNext/>
              <w:spacing w:before="40" w:after="40"/>
              <w:ind w:left="-108"/>
              <w:jc w:val="center"/>
              <w:rPr>
                <w:rFonts w:ascii="Arial Narrow" w:hAnsi="Arial Narrow" w:cs="Arial"/>
                <w:sz w:val="20"/>
                <w:lang w:eastAsia="en-US"/>
              </w:rPr>
            </w:pPr>
            <w:r>
              <w:rPr>
                <w:rFonts w:ascii="Arial Narrow" w:hAnsi="Arial Narrow" w:cs="Arial"/>
                <w:sz w:val="20"/>
                <w:lang w:eastAsia="en-US"/>
              </w:rPr>
              <w:t>$</w:t>
            </w:r>
            <w:r w:rsidR="007818AA">
              <w:rPr>
                <w:rFonts w:ascii="Arial Narrow" w:hAnsi="Arial Narrow" w:cs="Arial"/>
                <w:noProof/>
                <w:color w:val="000000"/>
                <w:sz w:val="20"/>
                <w:highlight w:val="black"/>
                <w:lang w:eastAsia="en-US"/>
              </w:rPr>
              <w:t>''''''''''''''''''''''</w:t>
            </w:r>
          </w:p>
        </w:tc>
        <w:tc>
          <w:tcPr>
            <w:tcW w:w="1434" w:type="pct"/>
            <w:gridSpan w:val="3"/>
            <w:hideMark/>
          </w:tcPr>
          <w:p w:rsidR="00D8601F" w:rsidRPr="00310F2C" w:rsidRDefault="00D8601F" w:rsidP="00A313B4">
            <w:pPr>
              <w:keepNext/>
              <w:spacing w:before="40" w:after="40"/>
              <w:jc w:val="center"/>
              <w:rPr>
                <w:rFonts w:ascii="Arial Narrow" w:hAnsi="Arial Narrow" w:cs="Arial"/>
                <w:sz w:val="20"/>
                <w:lang w:eastAsia="en-US"/>
              </w:rPr>
            </w:pPr>
            <w:r>
              <w:rPr>
                <w:rFonts w:ascii="Arial Narrow" w:hAnsi="Arial Narrow" w:cs="Arial"/>
                <w:sz w:val="20"/>
                <w:lang w:eastAsia="en-US"/>
              </w:rPr>
              <w:t>PKU Build 2</w:t>
            </w:r>
            <w:r w:rsidRPr="00310F2C">
              <w:rPr>
                <w:rFonts w:ascii="Arial Narrow" w:hAnsi="Arial Narrow" w:cs="Arial"/>
                <w:sz w:val="20"/>
                <w:lang w:eastAsia="en-US"/>
              </w:rPr>
              <w:t>0</w:t>
            </w:r>
          </w:p>
          <w:p w:rsidR="00D8601F" w:rsidRDefault="00D8601F" w:rsidP="00A313B4">
            <w:pPr>
              <w:keepNext/>
              <w:spacing w:before="40" w:after="40"/>
              <w:jc w:val="center"/>
              <w:rPr>
                <w:rFonts w:ascii="Arial Narrow" w:hAnsi="Arial Narrow" w:cs="Arial"/>
                <w:sz w:val="20"/>
                <w:lang w:eastAsia="en-US"/>
              </w:rPr>
            </w:pPr>
            <w:r>
              <w:rPr>
                <w:rFonts w:ascii="Arial Narrow" w:hAnsi="Arial Narrow" w:cs="Arial"/>
                <w:sz w:val="20"/>
                <w:lang w:eastAsia="en-US"/>
              </w:rPr>
              <w:t>Cortex Health Pty Ltd</w:t>
            </w:r>
          </w:p>
        </w:tc>
      </w:tr>
      <w:tr w:rsidR="00310F2C" w:rsidRPr="005A39D7" w:rsidTr="00FB5AE7">
        <w:trPr>
          <w:gridAfter w:val="1"/>
          <w:wAfter w:w="12" w:type="pct"/>
          <w:cantSplit/>
          <w:trHeight w:val="360"/>
        </w:trPr>
        <w:tc>
          <w:tcPr>
            <w:tcW w:w="4988" w:type="pct"/>
            <w:gridSpan w:val="10"/>
            <w:tcBorders>
              <w:bottom w:val="single" w:sz="4" w:space="0" w:color="auto"/>
            </w:tcBorders>
          </w:tcPr>
          <w:p w:rsidR="00310F2C" w:rsidRPr="005A39D7" w:rsidRDefault="00310F2C" w:rsidP="00A313B4">
            <w:pPr>
              <w:spacing w:before="40" w:after="40"/>
              <w:jc w:val="both"/>
              <w:rPr>
                <w:rFonts w:ascii="Arial Narrow" w:hAnsi="Arial Narrow" w:cs="Arial"/>
                <w:sz w:val="20"/>
                <w:szCs w:val="20"/>
              </w:rPr>
            </w:pPr>
          </w:p>
        </w:tc>
      </w:tr>
      <w:tr w:rsidR="00310F2C" w:rsidRPr="005A39D7" w:rsidTr="00FB5AE7">
        <w:trPr>
          <w:gridAfter w:val="1"/>
          <w:wAfter w:w="12"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310F2C" w:rsidRPr="005A39D7" w:rsidRDefault="00310F2C" w:rsidP="00A313B4">
            <w:pPr>
              <w:spacing w:before="40" w:after="40"/>
              <w:jc w:val="both"/>
              <w:rPr>
                <w:rFonts w:ascii="Arial Narrow" w:hAnsi="Arial Narrow" w:cs="Arial"/>
                <w:b/>
                <w:sz w:val="20"/>
                <w:szCs w:val="20"/>
              </w:rPr>
            </w:pPr>
            <w:r w:rsidRPr="005A39D7">
              <w:rPr>
                <w:rFonts w:ascii="Arial Narrow" w:hAnsi="Arial Narrow" w:cs="Arial"/>
                <w:b/>
                <w:sz w:val="20"/>
                <w:szCs w:val="20"/>
              </w:rPr>
              <w:t xml:space="preserve">Category / </w:t>
            </w:r>
          </w:p>
          <w:p w:rsidR="00310F2C" w:rsidRPr="005A39D7" w:rsidRDefault="00310F2C" w:rsidP="00A313B4">
            <w:pPr>
              <w:spacing w:before="40" w:after="40"/>
              <w:jc w:val="both"/>
              <w:rPr>
                <w:rFonts w:ascii="Arial Narrow" w:hAnsi="Arial Narrow" w:cs="Arial"/>
                <w:b/>
                <w:sz w:val="20"/>
                <w:szCs w:val="20"/>
              </w:rPr>
            </w:pPr>
            <w:r w:rsidRPr="005A39D7">
              <w:rPr>
                <w:rFonts w:ascii="Arial Narrow" w:hAnsi="Arial Narrow" w:cs="Arial"/>
                <w:b/>
                <w:sz w:val="20"/>
                <w:szCs w:val="20"/>
              </w:rPr>
              <w:t>Program</w:t>
            </w:r>
          </w:p>
        </w:tc>
        <w:tc>
          <w:tcPr>
            <w:tcW w:w="3896" w:type="pct"/>
            <w:gridSpan w:val="9"/>
            <w:tcBorders>
              <w:top w:val="single" w:sz="4" w:space="0" w:color="auto"/>
              <w:left w:val="single" w:sz="4" w:space="0" w:color="auto"/>
              <w:bottom w:val="single" w:sz="4" w:space="0" w:color="auto"/>
              <w:right w:val="single" w:sz="4" w:space="0" w:color="auto"/>
            </w:tcBorders>
          </w:tcPr>
          <w:p w:rsidR="00310F2C" w:rsidRPr="005A39D7" w:rsidRDefault="00310F2C" w:rsidP="00A313B4">
            <w:pPr>
              <w:spacing w:before="40" w:after="40"/>
              <w:rPr>
                <w:rFonts w:ascii="Arial Narrow" w:hAnsi="Arial Narrow" w:cs="Arial"/>
                <w:sz w:val="20"/>
                <w:szCs w:val="20"/>
              </w:rPr>
            </w:pPr>
            <w:r w:rsidRPr="005A39D7">
              <w:rPr>
                <w:rFonts w:ascii="Arial Narrow" w:hAnsi="Arial Narrow" w:cs="Arial"/>
                <w:sz w:val="20"/>
                <w:szCs w:val="20"/>
              </w:rPr>
              <w:t>GENERAL – General Schedule (Code GE)</w:t>
            </w:r>
          </w:p>
          <w:p w:rsidR="00310F2C" w:rsidRPr="005A39D7" w:rsidRDefault="00310F2C" w:rsidP="00A313B4">
            <w:pPr>
              <w:spacing w:before="40" w:after="40"/>
              <w:rPr>
                <w:rFonts w:ascii="Arial Narrow" w:hAnsi="Arial Narrow" w:cs="Arial"/>
                <w:sz w:val="20"/>
                <w:szCs w:val="20"/>
              </w:rPr>
            </w:pPr>
          </w:p>
        </w:tc>
      </w:tr>
      <w:tr w:rsidR="00310F2C" w:rsidRPr="005A39D7" w:rsidTr="00FB5AE7">
        <w:trPr>
          <w:gridAfter w:val="1"/>
          <w:wAfter w:w="12"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310F2C" w:rsidRPr="005A39D7" w:rsidRDefault="00310F2C" w:rsidP="00A313B4">
            <w:pPr>
              <w:spacing w:before="40" w:after="40"/>
              <w:jc w:val="both"/>
              <w:rPr>
                <w:rFonts w:ascii="Arial Narrow" w:hAnsi="Arial Narrow" w:cs="Arial"/>
                <w:b/>
                <w:sz w:val="20"/>
                <w:szCs w:val="20"/>
              </w:rPr>
            </w:pPr>
            <w:r w:rsidRPr="005A39D7">
              <w:rPr>
                <w:rFonts w:ascii="Arial Narrow" w:hAnsi="Arial Narrow" w:cs="Arial"/>
                <w:b/>
                <w:sz w:val="20"/>
                <w:szCs w:val="20"/>
              </w:rPr>
              <w:t>Prescriber type:</w:t>
            </w:r>
          </w:p>
        </w:tc>
        <w:tc>
          <w:tcPr>
            <w:tcW w:w="3896" w:type="pct"/>
            <w:gridSpan w:val="9"/>
            <w:tcBorders>
              <w:top w:val="single" w:sz="4" w:space="0" w:color="auto"/>
              <w:left w:val="single" w:sz="4" w:space="0" w:color="auto"/>
              <w:bottom w:val="single" w:sz="4" w:space="0" w:color="auto"/>
              <w:right w:val="single" w:sz="4" w:space="0" w:color="auto"/>
            </w:tcBorders>
          </w:tcPr>
          <w:p w:rsidR="00310F2C" w:rsidRPr="005A39D7" w:rsidRDefault="00310F2C" w:rsidP="00A313B4">
            <w:pPr>
              <w:spacing w:before="40" w:after="40"/>
              <w:rPr>
                <w:rFonts w:ascii="Arial Narrow" w:hAnsi="Arial Narrow" w:cs="Arial"/>
                <w:sz w:val="20"/>
                <w:szCs w:val="20"/>
              </w:rPr>
            </w:pPr>
            <w:r w:rsidRPr="005A39D7">
              <w:rPr>
                <w:rFonts w:ascii="Arial Narrow" w:hAnsi="Arial Narrow" w:cs="Arial"/>
                <w:sz w:val="20"/>
                <w:szCs w:val="20"/>
              </w:rPr>
              <w:fldChar w:fldCharType="begin">
                <w:ffData>
                  <w:name w:val="Check1"/>
                  <w:enabled/>
                  <w:calcOnExit w:val="0"/>
                  <w:checkBox>
                    <w:sizeAuto/>
                    <w:default w:val="0"/>
                  </w:checkBox>
                </w:ffData>
              </w:fldChar>
            </w:r>
            <w:r w:rsidRPr="005A39D7">
              <w:rPr>
                <w:rFonts w:ascii="Arial Narrow" w:hAnsi="Arial Narrow" w:cs="Arial"/>
                <w:sz w:val="20"/>
                <w:szCs w:val="20"/>
              </w:rPr>
              <w:instrText xml:space="preserve"> FORMCHECKBOX </w:instrText>
            </w:r>
            <w:r w:rsidR="007818AA">
              <w:rPr>
                <w:rFonts w:ascii="Arial Narrow" w:hAnsi="Arial Narrow" w:cs="Arial"/>
                <w:sz w:val="20"/>
                <w:szCs w:val="20"/>
              </w:rPr>
            </w:r>
            <w:r w:rsidR="007818AA">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818AA">
              <w:rPr>
                <w:rFonts w:ascii="Arial Narrow" w:hAnsi="Arial Narrow" w:cs="Arial"/>
                <w:sz w:val="20"/>
                <w:szCs w:val="20"/>
              </w:rPr>
            </w:r>
            <w:r w:rsidR="007818AA">
              <w:rPr>
                <w:rFonts w:ascii="Arial Narrow" w:hAnsi="Arial Narrow" w:cs="Arial"/>
                <w:sz w:val="20"/>
                <w:szCs w:val="20"/>
              </w:rPr>
              <w:fldChar w:fldCharType="separate"/>
            </w:r>
            <w:r>
              <w:rPr>
                <w:rFonts w:ascii="Arial Narrow" w:hAnsi="Arial Narrow" w:cs="Arial"/>
                <w:sz w:val="20"/>
                <w:szCs w:val="20"/>
              </w:rPr>
              <w:fldChar w:fldCharType="end"/>
            </w:r>
            <w:r w:rsidRPr="005A39D7">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7818AA">
              <w:rPr>
                <w:rFonts w:ascii="Arial Narrow" w:hAnsi="Arial Narrow" w:cs="Arial"/>
                <w:sz w:val="20"/>
                <w:szCs w:val="20"/>
              </w:rPr>
            </w:r>
            <w:r w:rsidR="007818AA">
              <w:rPr>
                <w:rFonts w:ascii="Arial Narrow" w:hAnsi="Arial Narrow" w:cs="Arial"/>
                <w:sz w:val="20"/>
                <w:szCs w:val="20"/>
              </w:rPr>
              <w:fldChar w:fldCharType="separate"/>
            </w:r>
            <w:r>
              <w:rPr>
                <w:rFonts w:ascii="Arial Narrow" w:hAnsi="Arial Narrow" w:cs="Arial"/>
                <w:sz w:val="20"/>
                <w:szCs w:val="20"/>
              </w:rPr>
              <w:fldChar w:fldCharType="end"/>
            </w:r>
            <w:r w:rsidRPr="005A39D7">
              <w:rPr>
                <w:rFonts w:ascii="Arial Narrow" w:hAnsi="Arial Narrow" w:cs="Arial"/>
                <w:sz w:val="20"/>
                <w:szCs w:val="20"/>
              </w:rPr>
              <w:t xml:space="preserve">Nurse practitioners  </w:t>
            </w:r>
            <w:r w:rsidRPr="005A39D7">
              <w:rPr>
                <w:rFonts w:ascii="Arial Narrow" w:hAnsi="Arial Narrow" w:cs="Arial"/>
                <w:sz w:val="20"/>
                <w:szCs w:val="20"/>
              </w:rPr>
              <w:fldChar w:fldCharType="begin">
                <w:ffData>
                  <w:name w:val=""/>
                  <w:enabled/>
                  <w:calcOnExit w:val="0"/>
                  <w:checkBox>
                    <w:sizeAuto/>
                    <w:default w:val="0"/>
                  </w:checkBox>
                </w:ffData>
              </w:fldChar>
            </w:r>
            <w:r w:rsidRPr="005A39D7">
              <w:rPr>
                <w:rFonts w:ascii="Arial Narrow" w:hAnsi="Arial Narrow" w:cs="Arial"/>
                <w:sz w:val="20"/>
                <w:szCs w:val="20"/>
              </w:rPr>
              <w:instrText xml:space="preserve"> FORMCHECKBOX </w:instrText>
            </w:r>
            <w:r w:rsidR="007818AA">
              <w:rPr>
                <w:rFonts w:ascii="Arial Narrow" w:hAnsi="Arial Narrow" w:cs="Arial"/>
                <w:sz w:val="20"/>
                <w:szCs w:val="20"/>
              </w:rPr>
            </w:r>
            <w:r w:rsidR="007818AA">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Optometrists</w:t>
            </w:r>
          </w:p>
          <w:p w:rsidR="00310F2C" w:rsidRPr="005A39D7" w:rsidRDefault="00310F2C" w:rsidP="00A313B4">
            <w:pPr>
              <w:spacing w:before="40" w:after="40"/>
              <w:rPr>
                <w:rFonts w:ascii="Arial Narrow" w:hAnsi="Arial Narrow" w:cs="Arial"/>
                <w:sz w:val="20"/>
                <w:szCs w:val="20"/>
              </w:rPr>
            </w:pPr>
            <w:r w:rsidRPr="005A39D7">
              <w:rPr>
                <w:rFonts w:ascii="Arial Narrow" w:hAnsi="Arial Narrow" w:cs="Arial"/>
                <w:sz w:val="20"/>
                <w:szCs w:val="20"/>
              </w:rPr>
              <w:fldChar w:fldCharType="begin">
                <w:ffData>
                  <w:name w:val="Check5"/>
                  <w:enabled/>
                  <w:calcOnExit w:val="0"/>
                  <w:checkBox>
                    <w:sizeAuto/>
                    <w:default w:val="0"/>
                  </w:checkBox>
                </w:ffData>
              </w:fldChar>
            </w:r>
            <w:r w:rsidRPr="005A39D7">
              <w:rPr>
                <w:rFonts w:ascii="Arial Narrow" w:hAnsi="Arial Narrow" w:cs="Arial"/>
                <w:sz w:val="20"/>
                <w:szCs w:val="20"/>
              </w:rPr>
              <w:instrText xml:space="preserve"> FORMCHECKBOX </w:instrText>
            </w:r>
            <w:r w:rsidR="007818AA">
              <w:rPr>
                <w:rFonts w:ascii="Arial Narrow" w:hAnsi="Arial Narrow" w:cs="Arial"/>
                <w:sz w:val="20"/>
                <w:szCs w:val="20"/>
              </w:rPr>
            </w:r>
            <w:r w:rsidR="007818AA">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Midwives</w:t>
            </w:r>
          </w:p>
        </w:tc>
      </w:tr>
      <w:tr w:rsidR="00310F2C" w:rsidRPr="005A39D7" w:rsidTr="00FB5AE7">
        <w:trPr>
          <w:gridAfter w:val="1"/>
          <w:wAfter w:w="12"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310F2C" w:rsidRPr="005A39D7" w:rsidRDefault="00310F2C" w:rsidP="00A313B4">
            <w:pPr>
              <w:spacing w:before="40" w:after="40"/>
              <w:jc w:val="both"/>
              <w:rPr>
                <w:rFonts w:ascii="Arial Narrow" w:hAnsi="Arial Narrow" w:cs="Arial"/>
                <w:b/>
                <w:sz w:val="20"/>
                <w:szCs w:val="20"/>
              </w:rPr>
            </w:pPr>
            <w:r w:rsidRPr="005A39D7">
              <w:rPr>
                <w:rFonts w:ascii="Arial Narrow" w:hAnsi="Arial Narrow" w:cs="Arial"/>
                <w:b/>
                <w:sz w:val="20"/>
                <w:szCs w:val="20"/>
              </w:rPr>
              <w:t>Condition:</w:t>
            </w:r>
          </w:p>
        </w:tc>
        <w:tc>
          <w:tcPr>
            <w:tcW w:w="3896" w:type="pct"/>
            <w:gridSpan w:val="9"/>
            <w:tcBorders>
              <w:top w:val="single" w:sz="4" w:space="0" w:color="auto"/>
              <w:left w:val="single" w:sz="4" w:space="0" w:color="auto"/>
              <w:bottom w:val="single" w:sz="4" w:space="0" w:color="auto"/>
              <w:right w:val="single" w:sz="4" w:space="0" w:color="auto"/>
            </w:tcBorders>
          </w:tcPr>
          <w:p w:rsidR="00310F2C" w:rsidRPr="005A39D7" w:rsidRDefault="00310F2C" w:rsidP="00A313B4">
            <w:pPr>
              <w:spacing w:before="40" w:after="40"/>
              <w:rPr>
                <w:rFonts w:ascii="Arial Narrow" w:hAnsi="Arial Narrow" w:cs="Arial"/>
                <w:sz w:val="20"/>
                <w:szCs w:val="20"/>
              </w:rPr>
            </w:pPr>
            <w:r>
              <w:rPr>
                <w:rFonts w:ascii="Arial Narrow" w:hAnsi="Arial Narrow"/>
                <w:sz w:val="20"/>
              </w:rPr>
              <w:t>Phenylketonuria</w:t>
            </w:r>
          </w:p>
        </w:tc>
      </w:tr>
      <w:tr w:rsidR="00310F2C" w:rsidRPr="005A39D7" w:rsidTr="00FB5AE7">
        <w:trPr>
          <w:gridAfter w:val="1"/>
          <w:wAfter w:w="12"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310F2C" w:rsidRPr="005A39D7" w:rsidRDefault="00310F2C" w:rsidP="00A313B4">
            <w:pPr>
              <w:spacing w:before="40" w:after="40"/>
              <w:jc w:val="both"/>
              <w:rPr>
                <w:rFonts w:ascii="Arial Narrow" w:hAnsi="Arial Narrow" w:cs="Arial"/>
                <w:b/>
                <w:sz w:val="20"/>
                <w:szCs w:val="20"/>
              </w:rPr>
            </w:pPr>
            <w:r w:rsidRPr="005A39D7">
              <w:rPr>
                <w:rFonts w:ascii="Arial Narrow" w:hAnsi="Arial Narrow" w:cs="Arial"/>
                <w:b/>
                <w:sz w:val="20"/>
                <w:szCs w:val="20"/>
              </w:rPr>
              <w:t>PBS Indication:</w:t>
            </w:r>
          </w:p>
        </w:tc>
        <w:tc>
          <w:tcPr>
            <w:tcW w:w="3896" w:type="pct"/>
            <w:gridSpan w:val="9"/>
            <w:tcBorders>
              <w:top w:val="single" w:sz="4" w:space="0" w:color="auto"/>
              <w:left w:val="single" w:sz="4" w:space="0" w:color="auto"/>
              <w:bottom w:val="single" w:sz="4" w:space="0" w:color="auto"/>
              <w:right w:val="single" w:sz="4" w:space="0" w:color="auto"/>
            </w:tcBorders>
          </w:tcPr>
          <w:p w:rsidR="00310F2C" w:rsidRPr="005A39D7" w:rsidRDefault="00310F2C" w:rsidP="00A313B4">
            <w:pPr>
              <w:spacing w:before="40" w:after="40"/>
              <w:rPr>
                <w:rFonts w:ascii="Arial Narrow" w:hAnsi="Arial Narrow" w:cs="Arial"/>
                <w:sz w:val="20"/>
                <w:szCs w:val="20"/>
              </w:rPr>
            </w:pPr>
            <w:r>
              <w:rPr>
                <w:rFonts w:ascii="Arial Narrow" w:hAnsi="Arial Narrow"/>
                <w:sz w:val="20"/>
              </w:rPr>
              <w:t>Phenylketonuria</w:t>
            </w:r>
          </w:p>
        </w:tc>
      </w:tr>
      <w:tr w:rsidR="00310F2C" w:rsidRPr="005A39D7" w:rsidTr="00FB5AE7">
        <w:trPr>
          <w:gridAfter w:val="1"/>
          <w:wAfter w:w="12"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310F2C" w:rsidRPr="005A39D7" w:rsidRDefault="00310F2C" w:rsidP="00A313B4">
            <w:pPr>
              <w:spacing w:before="40" w:after="40"/>
              <w:jc w:val="both"/>
              <w:rPr>
                <w:rFonts w:ascii="Arial Narrow" w:hAnsi="Arial Narrow" w:cs="Arial"/>
                <w:b/>
                <w:sz w:val="20"/>
                <w:szCs w:val="20"/>
              </w:rPr>
            </w:pPr>
            <w:r w:rsidRPr="005A39D7">
              <w:rPr>
                <w:rFonts w:ascii="Arial Narrow" w:hAnsi="Arial Narrow" w:cs="Arial"/>
                <w:b/>
                <w:sz w:val="20"/>
                <w:szCs w:val="20"/>
              </w:rPr>
              <w:t>Restriction Level / Method:</w:t>
            </w:r>
          </w:p>
          <w:p w:rsidR="00310F2C" w:rsidRPr="005A39D7" w:rsidRDefault="00310F2C" w:rsidP="00A313B4">
            <w:pPr>
              <w:spacing w:before="40" w:after="40"/>
              <w:rPr>
                <w:rFonts w:ascii="Arial Narrow" w:hAnsi="Arial Narrow" w:cs="Arial"/>
                <w:sz w:val="20"/>
                <w:szCs w:val="20"/>
              </w:rPr>
            </w:pPr>
          </w:p>
        </w:tc>
        <w:tc>
          <w:tcPr>
            <w:tcW w:w="3896" w:type="pct"/>
            <w:gridSpan w:val="9"/>
            <w:tcBorders>
              <w:top w:val="single" w:sz="4" w:space="0" w:color="auto"/>
              <w:left w:val="single" w:sz="4" w:space="0" w:color="auto"/>
              <w:bottom w:val="single" w:sz="4" w:space="0" w:color="auto"/>
              <w:right w:val="single" w:sz="4" w:space="0" w:color="auto"/>
            </w:tcBorders>
          </w:tcPr>
          <w:p w:rsidR="00310F2C" w:rsidRPr="005A39D7" w:rsidRDefault="00310F2C" w:rsidP="00A313B4">
            <w:pPr>
              <w:spacing w:before="40" w:after="40"/>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7818AA">
              <w:rPr>
                <w:rFonts w:ascii="Arial Narrow" w:hAnsi="Arial Narrow" w:cs="Arial"/>
                <w:sz w:val="20"/>
                <w:szCs w:val="20"/>
              </w:rPr>
            </w:r>
            <w:r w:rsidR="007818AA">
              <w:rPr>
                <w:rFonts w:ascii="Arial Narrow" w:hAnsi="Arial Narrow" w:cs="Arial"/>
                <w:sz w:val="20"/>
                <w:szCs w:val="20"/>
              </w:rPr>
              <w:fldChar w:fldCharType="separate"/>
            </w:r>
            <w:r>
              <w:rPr>
                <w:rFonts w:ascii="Arial Narrow" w:hAnsi="Arial Narrow" w:cs="Arial"/>
                <w:sz w:val="20"/>
                <w:szCs w:val="20"/>
              </w:rPr>
              <w:fldChar w:fldCharType="end"/>
            </w:r>
            <w:r w:rsidRPr="005A39D7">
              <w:rPr>
                <w:rFonts w:ascii="Arial Narrow" w:hAnsi="Arial Narrow" w:cs="Arial"/>
                <w:sz w:val="20"/>
                <w:szCs w:val="20"/>
              </w:rPr>
              <w:t>Restricted benefit</w:t>
            </w:r>
          </w:p>
          <w:p w:rsidR="00310F2C" w:rsidRPr="005A39D7" w:rsidRDefault="00310F2C" w:rsidP="00A313B4">
            <w:pPr>
              <w:spacing w:before="40" w:after="40"/>
              <w:rPr>
                <w:rFonts w:ascii="Arial Narrow" w:hAnsi="Arial Narrow" w:cs="Arial"/>
                <w:sz w:val="20"/>
                <w:szCs w:val="20"/>
              </w:rPr>
            </w:pPr>
            <w:r w:rsidRPr="005A39D7">
              <w:rPr>
                <w:rFonts w:ascii="Arial Narrow" w:hAnsi="Arial Narrow" w:cs="Arial"/>
                <w:sz w:val="20"/>
                <w:szCs w:val="20"/>
              </w:rPr>
              <w:fldChar w:fldCharType="begin">
                <w:ffData>
                  <w:name w:val=""/>
                  <w:enabled/>
                  <w:calcOnExit w:val="0"/>
                  <w:checkBox>
                    <w:sizeAuto/>
                    <w:default w:val="0"/>
                  </w:checkBox>
                </w:ffData>
              </w:fldChar>
            </w:r>
            <w:r w:rsidRPr="005A39D7">
              <w:rPr>
                <w:rFonts w:ascii="Arial Narrow" w:hAnsi="Arial Narrow" w:cs="Arial"/>
                <w:sz w:val="20"/>
                <w:szCs w:val="20"/>
              </w:rPr>
              <w:instrText xml:space="preserve"> FORMCHECKBOX </w:instrText>
            </w:r>
            <w:r w:rsidR="007818AA">
              <w:rPr>
                <w:rFonts w:ascii="Arial Narrow" w:hAnsi="Arial Narrow" w:cs="Arial"/>
                <w:sz w:val="20"/>
                <w:szCs w:val="20"/>
              </w:rPr>
            </w:r>
            <w:r w:rsidR="007818AA">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Authority Required</w:t>
            </w:r>
          </w:p>
          <w:p w:rsidR="00310F2C" w:rsidRPr="005A39D7" w:rsidRDefault="00310F2C" w:rsidP="00A313B4">
            <w:pPr>
              <w:spacing w:before="40" w:after="40"/>
              <w:rPr>
                <w:rFonts w:ascii="Arial Narrow" w:hAnsi="Arial Narrow" w:cs="Arial"/>
                <w:sz w:val="20"/>
                <w:szCs w:val="20"/>
              </w:rPr>
            </w:pPr>
            <w:r w:rsidRPr="005A39D7">
              <w:rPr>
                <w:rFonts w:ascii="Arial Narrow" w:hAnsi="Arial Narrow" w:cs="Arial"/>
                <w:sz w:val="20"/>
                <w:szCs w:val="20"/>
              </w:rPr>
              <w:fldChar w:fldCharType="begin">
                <w:ffData>
                  <w:name w:val="Check5"/>
                  <w:enabled/>
                  <w:calcOnExit w:val="0"/>
                  <w:checkBox>
                    <w:sizeAuto/>
                    <w:default w:val="0"/>
                  </w:checkBox>
                </w:ffData>
              </w:fldChar>
            </w:r>
            <w:r w:rsidRPr="005A39D7">
              <w:rPr>
                <w:rFonts w:ascii="Arial Narrow" w:hAnsi="Arial Narrow" w:cs="Arial"/>
                <w:sz w:val="20"/>
                <w:szCs w:val="20"/>
              </w:rPr>
              <w:instrText xml:space="preserve"> FORMCHECKBOX </w:instrText>
            </w:r>
            <w:r w:rsidR="007818AA">
              <w:rPr>
                <w:rFonts w:ascii="Arial Narrow" w:hAnsi="Arial Narrow" w:cs="Arial"/>
                <w:sz w:val="20"/>
                <w:szCs w:val="20"/>
              </w:rPr>
            </w:r>
            <w:r w:rsidR="007818AA">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Streamlined</w:t>
            </w:r>
          </w:p>
        </w:tc>
      </w:tr>
    </w:tbl>
    <w:p w:rsidR="00C94810" w:rsidRPr="00791BDB" w:rsidRDefault="00C94810" w:rsidP="00A313B4">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AC4AA5">
        <w:rPr>
          <w:rFonts w:asciiTheme="minorHAnsi" w:eastAsiaTheme="majorEastAsia" w:hAnsiTheme="minorHAnsi" w:cstheme="majorBidi"/>
          <w:sz w:val="32"/>
          <w:szCs w:val="28"/>
          <w:lang w:eastAsia="en-US"/>
        </w:rPr>
        <w:t>Background</w:t>
      </w:r>
    </w:p>
    <w:p w:rsidR="00704DE3" w:rsidRPr="00AC4AA5" w:rsidRDefault="00704DE3" w:rsidP="00A313B4">
      <w:pPr>
        <w:pStyle w:val="ListParagraph"/>
        <w:numPr>
          <w:ilvl w:val="1"/>
          <w:numId w:val="2"/>
        </w:numPr>
        <w:spacing w:before="120" w:after="160"/>
        <w:contextualSpacing w:val="0"/>
        <w:jc w:val="both"/>
        <w:rPr>
          <w:rFonts w:asciiTheme="minorHAnsi" w:hAnsiTheme="minorHAnsi"/>
        </w:rPr>
      </w:pPr>
      <w:r w:rsidRPr="00AC4AA5">
        <w:rPr>
          <w:rFonts w:asciiTheme="minorHAnsi" w:hAnsiTheme="minorHAnsi"/>
        </w:rPr>
        <w:t xml:space="preserve">The sponsor </w:t>
      </w:r>
      <w:r w:rsidRPr="00603A52">
        <w:rPr>
          <w:rFonts w:asciiTheme="minorHAnsi" w:hAnsiTheme="minorHAnsi"/>
        </w:rPr>
        <w:t xml:space="preserve">of </w:t>
      </w:r>
      <w:r w:rsidR="00603A52" w:rsidRPr="00603A52">
        <w:rPr>
          <w:rFonts w:asciiTheme="minorHAnsi" w:hAnsiTheme="minorHAnsi"/>
        </w:rPr>
        <w:t>PKU Build 10® and PKU Build 20®</w:t>
      </w:r>
      <w:r w:rsidRPr="00AC4AA5">
        <w:rPr>
          <w:rFonts w:asciiTheme="minorHAnsi" w:hAnsiTheme="minorHAnsi"/>
        </w:rPr>
        <w:t xml:space="preserve"> confirms that </w:t>
      </w:r>
      <w:r w:rsidR="00603A52">
        <w:rPr>
          <w:rFonts w:asciiTheme="minorHAnsi" w:hAnsiTheme="minorHAnsi"/>
        </w:rPr>
        <w:t>they meet</w:t>
      </w:r>
      <w:r w:rsidRPr="00AC4AA5">
        <w:rPr>
          <w:rFonts w:asciiTheme="minorHAnsi" w:hAnsiTheme="minorHAnsi"/>
        </w:rPr>
        <w:t xml:space="preserve"> the requirements for foods that have medical purposes as set out under </w:t>
      </w:r>
      <w:r w:rsidRPr="00921004">
        <w:rPr>
          <w:rFonts w:asciiTheme="minorHAnsi" w:hAnsiTheme="minorHAnsi"/>
          <w:i/>
        </w:rPr>
        <w:t>The Australia New Zealand Food Standards Code — Standard 2.9.5: Food for Special Medical Purposes</w:t>
      </w:r>
      <w:r w:rsidR="0031239A" w:rsidRPr="00921004">
        <w:rPr>
          <w:rFonts w:asciiTheme="minorHAnsi" w:hAnsiTheme="minorHAnsi"/>
          <w:i/>
        </w:rPr>
        <w:t>.</w:t>
      </w:r>
    </w:p>
    <w:p w:rsidR="00326E79" w:rsidRDefault="00603A52" w:rsidP="00A313B4">
      <w:pPr>
        <w:pStyle w:val="ListParagraph"/>
        <w:numPr>
          <w:ilvl w:val="1"/>
          <w:numId w:val="2"/>
        </w:numPr>
        <w:spacing w:before="120" w:after="160"/>
        <w:contextualSpacing w:val="0"/>
        <w:jc w:val="both"/>
        <w:rPr>
          <w:rFonts w:asciiTheme="minorHAnsi" w:hAnsiTheme="minorHAnsi"/>
        </w:rPr>
      </w:pPr>
      <w:r>
        <w:rPr>
          <w:rFonts w:asciiTheme="minorHAnsi" w:hAnsiTheme="minorHAnsi"/>
        </w:rPr>
        <w:t>PKU Build 10 and 20® have</w:t>
      </w:r>
      <w:r w:rsidR="006A12A5" w:rsidRPr="00AC4AA5">
        <w:rPr>
          <w:rFonts w:asciiTheme="minorHAnsi" w:hAnsiTheme="minorHAnsi"/>
        </w:rPr>
        <w:t xml:space="preserve"> not</w:t>
      </w:r>
      <w:r>
        <w:rPr>
          <w:rFonts w:asciiTheme="minorHAnsi" w:hAnsiTheme="minorHAnsi"/>
        </w:rPr>
        <w:t xml:space="preserve"> been</w:t>
      </w:r>
      <w:r w:rsidR="006A12A5" w:rsidRPr="00AC4AA5">
        <w:rPr>
          <w:rFonts w:asciiTheme="minorHAnsi" w:hAnsiTheme="minorHAnsi"/>
        </w:rPr>
        <w:t xml:space="preserve"> considered by PBAC previously</w:t>
      </w:r>
      <w:r>
        <w:rPr>
          <w:rFonts w:asciiTheme="minorHAnsi" w:hAnsiTheme="minorHAnsi"/>
        </w:rPr>
        <w:t>.</w:t>
      </w:r>
    </w:p>
    <w:p w:rsidR="005A3173" w:rsidRPr="00791BDB" w:rsidRDefault="005A3173" w:rsidP="00A313B4">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AC4AA5">
        <w:rPr>
          <w:rFonts w:asciiTheme="minorHAnsi" w:eastAsiaTheme="majorEastAsia" w:hAnsiTheme="minorHAnsi" w:cstheme="majorBidi"/>
          <w:sz w:val="32"/>
          <w:szCs w:val="28"/>
          <w:lang w:eastAsia="en-US"/>
        </w:rPr>
        <w:t>Comparator</w:t>
      </w:r>
    </w:p>
    <w:p w:rsidR="00C35996" w:rsidRPr="00AC4AA5" w:rsidRDefault="00FF2801" w:rsidP="00A313B4">
      <w:pPr>
        <w:pStyle w:val="ListParagraph"/>
        <w:numPr>
          <w:ilvl w:val="1"/>
          <w:numId w:val="2"/>
        </w:numPr>
        <w:spacing w:before="120" w:after="160"/>
        <w:contextualSpacing w:val="0"/>
        <w:jc w:val="both"/>
        <w:rPr>
          <w:rFonts w:asciiTheme="minorHAnsi" w:hAnsiTheme="minorHAnsi"/>
        </w:rPr>
      </w:pPr>
      <w:r w:rsidRPr="00AC4AA5">
        <w:rPr>
          <w:rFonts w:asciiTheme="minorHAnsi" w:hAnsiTheme="minorHAnsi"/>
        </w:rPr>
        <w:t>The minor submission nominated</w:t>
      </w:r>
      <w:r w:rsidR="00506A87">
        <w:rPr>
          <w:rFonts w:asciiTheme="minorHAnsi" w:hAnsiTheme="minorHAnsi"/>
        </w:rPr>
        <w:t xml:space="preserve"> </w:t>
      </w:r>
      <w:r w:rsidR="00506A87" w:rsidRPr="00506A87">
        <w:rPr>
          <w:rFonts w:asciiTheme="minorHAnsi" w:hAnsiTheme="minorHAnsi"/>
        </w:rPr>
        <w:t xml:space="preserve">Camino Pro® Bettermilk and </w:t>
      </w:r>
      <w:r w:rsidR="0007671B">
        <w:rPr>
          <w:rFonts w:asciiTheme="minorHAnsi" w:hAnsiTheme="minorHAnsi"/>
        </w:rPr>
        <w:t xml:space="preserve">PKU </w:t>
      </w:r>
      <w:r w:rsidR="00506A87" w:rsidRPr="00506A87">
        <w:rPr>
          <w:rFonts w:asciiTheme="minorHAnsi" w:hAnsiTheme="minorHAnsi"/>
        </w:rPr>
        <w:t>Bettermilk Lite</w:t>
      </w:r>
      <w:r w:rsidR="0007671B">
        <w:rPr>
          <w:rFonts w:asciiTheme="minorHAnsi" w:hAnsiTheme="minorHAnsi"/>
        </w:rPr>
        <w:t>®</w:t>
      </w:r>
      <w:r w:rsidR="00506A87">
        <w:rPr>
          <w:rFonts w:asciiTheme="minorHAnsi" w:hAnsiTheme="minorHAnsi"/>
        </w:rPr>
        <w:t xml:space="preserve"> as comparators.</w:t>
      </w:r>
    </w:p>
    <w:p w:rsidR="008A1956" w:rsidRDefault="00506A87" w:rsidP="00A313B4">
      <w:pPr>
        <w:pStyle w:val="ListParagraph"/>
        <w:numPr>
          <w:ilvl w:val="1"/>
          <w:numId w:val="2"/>
        </w:numPr>
        <w:spacing w:before="120" w:after="160"/>
        <w:contextualSpacing w:val="0"/>
        <w:jc w:val="both"/>
        <w:rPr>
          <w:rFonts w:asciiTheme="minorHAnsi" w:hAnsiTheme="minorHAnsi"/>
        </w:rPr>
      </w:pPr>
      <w:r w:rsidRPr="00506A87">
        <w:rPr>
          <w:rFonts w:asciiTheme="minorHAnsi" w:hAnsiTheme="minorHAnsi"/>
        </w:rPr>
        <w:t xml:space="preserve">Camino Pro® Bettermilk and </w:t>
      </w:r>
      <w:r w:rsidR="0007671B">
        <w:rPr>
          <w:rFonts w:asciiTheme="minorHAnsi" w:hAnsiTheme="minorHAnsi"/>
        </w:rPr>
        <w:t>PKU</w:t>
      </w:r>
      <w:r w:rsidRPr="00506A87">
        <w:rPr>
          <w:rFonts w:asciiTheme="minorHAnsi" w:hAnsiTheme="minorHAnsi"/>
        </w:rPr>
        <w:t xml:space="preserve"> Bettermilk Lite</w:t>
      </w:r>
      <w:r w:rsidR="0007671B">
        <w:rPr>
          <w:rFonts w:asciiTheme="minorHAnsi" w:hAnsiTheme="minorHAnsi"/>
        </w:rPr>
        <w:t>®</w:t>
      </w:r>
      <w:r w:rsidRPr="00506A87">
        <w:rPr>
          <w:rFonts w:asciiTheme="minorHAnsi" w:hAnsiTheme="minorHAnsi"/>
        </w:rPr>
        <w:t xml:space="preserve"> </w:t>
      </w:r>
      <w:r>
        <w:rPr>
          <w:rFonts w:asciiTheme="minorHAnsi" w:hAnsiTheme="minorHAnsi"/>
        </w:rPr>
        <w:t>contain</w:t>
      </w:r>
      <w:r w:rsidR="00336991" w:rsidRPr="00AC4AA5">
        <w:rPr>
          <w:rFonts w:asciiTheme="minorHAnsi" w:hAnsiTheme="minorHAnsi"/>
        </w:rPr>
        <w:t xml:space="preserve"> </w:t>
      </w:r>
      <w:r>
        <w:rPr>
          <w:rFonts w:asciiTheme="minorHAnsi" w:hAnsiTheme="minorHAnsi"/>
        </w:rPr>
        <w:t>15</w:t>
      </w:r>
      <w:r w:rsidR="00336991" w:rsidRPr="00AC4AA5">
        <w:rPr>
          <w:rFonts w:asciiTheme="minorHAnsi" w:hAnsiTheme="minorHAnsi"/>
        </w:rPr>
        <w:t xml:space="preserve"> g </w:t>
      </w:r>
      <w:r>
        <w:rPr>
          <w:rFonts w:asciiTheme="minorHAnsi" w:hAnsiTheme="minorHAnsi"/>
        </w:rPr>
        <w:t>and 20g protein equivalents (PE) respectively compared to 10 g and 20 g PE for PKU Build 10® and PKU Build 20®</w:t>
      </w:r>
      <w:r w:rsidR="00336991" w:rsidRPr="00AC4AA5">
        <w:rPr>
          <w:rFonts w:asciiTheme="minorHAnsi" w:hAnsiTheme="minorHAnsi"/>
        </w:rPr>
        <w:t>.</w:t>
      </w:r>
    </w:p>
    <w:p w:rsidR="00BB7EC3" w:rsidRPr="00A8691F" w:rsidRDefault="008D7A41" w:rsidP="00A313B4">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85453C">
        <w:rPr>
          <w:rFonts w:asciiTheme="minorHAnsi" w:eastAsiaTheme="majorEastAsia" w:hAnsiTheme="minorHAnsi" w:cstheme="majorBidi"/>
          <w:sz w:val="32"/>
          <w:szCs w:val="28"/>
          <w:lang w:eastAsia="en-US"/>
        </w:rPr>
        <w:t>C</w:t>
      </w:r>
      <w:r w:rsidR="00D84934" w:rsidRPr="0085453C">
        <w:rPr>
          <w:rFonts w:asciiTheme="minorHAnsi" w:eastAsiaTheme="majorEastAsia" w:hAnsiTheme="minorHAnsi" w:cstheme="majorBidi"/>
          <w:sz w:val="32"/>
          <w:szCs w:val="28"/>
          <w:lang w:eastAsia="en-US"/>
        </w:rPr>
        <w:t>onsideration of the evidence</w:t>
      </w:r>
    </w:p>
    <w:p w:rsidR="00C37CF6" w:rsidRPr="00F461D0" w:rsidRDefault="00C37CF6" w:rsidP="00F461D0">
      <w:pPr>
        <w:pStyle w:val="Heading2"/>
        <w:keepLines/>
        <w:spacing w:before="240" w:after="120"/>
        <w:rPr>
          <w:rFonts w:asciiTheme="minorHAnsi" w:eastAsiaTheme="majorEastAsia" w:hAnsiTheme="minorHAnsi" w:cstheme="majorBidi"/>
          <w:sz w:val="28"/>
          <w:szCs w:val="28"/>
          <w:lang w:eastAsia="en-US"/>
        </w:rPr>
      </w:pPr>
      <w:r w:rsidRPr="00F461D0">
        <w:rPr>
          <w:rFonts w:asciiTheme="minorHAnsi" w:eastAsiaTheme="majorEastAsia" w:hAnsiTheme="minorHAnsi" w:cstheme="majorBidi"/>
          <w:sz w:val="28"/>
          <w:szCs w:val="28"/>
          <w:lang w:eastAsia="en-US"/>
        </w:rPr>
        <w:t>Sponsor hearing</w:t>
      </w:r>
    </w:p>
    <w:p w:rsidR="00C37CF6" w:rsidRPr="00D31ADF" w:rsidRDefault="00C37CF6" w:rsidP="00C37CF6">
      <w:pPr>
        <w:widowControl w:val="0"/>
        <w:numPr>
          <w:ilvl w:val="1"/>
          <w:numId w:val="2"/>
        </w:numPr>
        <w:spacing w:after="120"/>
        <w:jc w:val="both"/>
        <w:rPr>
          <w:rFonts w:asciiTheme="minorHAnsi" w:hAnsiTheme="minorHAnsi" w:cs="Arial"/>
          <w:bCs/>
          <w:snapToGrid w:val="0"/>
        </w:rPr>
      </w:pPr>
      <w:r w:rsidRPr="00D31ADF">
        <w:rPr>
          <w:rFonts w:asciiTheme="minorHAnsi" w:hAnsiTheme="minorHAnsi" w:cs="Arial"/>
          <w:bCs/>
          <w:snapToGrid w:val="0"/>
        </w:rPr>
        <w:t>There was no hearing for this item as it was a minor submission.</w:t>
      </w:r>
    </w:p>
    <w:p w:rsidR="00C37CF6" w:rsidRPr="00F461D0" w:rsidRDefault="00C37CF6" w:rsidP="00F461D0">
      <w:pPr>
        <w:pStyle w:val="Heading2"/>
        <w:keepLines/>
        <w:spacing w:before="240" w:after="120"/>
        <w:rPr>
          <w:rFonts w:asciiTheme="minorHAnsi" w:eastAsiaTheme="majorEastAsia" w:hAnsiTheme="minorHAnsi" w:cstheme="majorBidi"/>
          <w:sz w:val="28"/>
          <w:szCs w:val="28"/>
          <w:lang w:eastAsia="en-US"/>
        </w:rPr>
      </w:pPr>
      <w:r w:rsidRPr="00F461D0">
        <w:rPr>
          <w:rFonts w:asciiTheme="minorHAnsi" w:eastAsiaTheme="majorEastAsia" w:hAnsiTheme="minorHAnsi" w:cstheme="majorBidi"/>
          <w:sz w:val="28"/>
          <w:szCs w:val="28"/>
          <w:lang w:eastAsia="en-US"/>
        </w:rPr>
        <w:t>Consumer comments</w:t>
      </w:r>
    </w:p>
    <w:p w:rsidR="00C37CF6" w:rsidRPr="00D31ADF" w:rsidRDefault="00C37CF6" w:rsidP="00C37CF6">
      <w:pPr>
        <w:widowControl w:val="0"/>
        <w:numPr>
          <w:ilvl w:val="1"/>
          <w:numId w:val="2"/>
        </w:numPr>
        <w:spacing w:after="120"/>
        <w:jc w:val="both"/>
        <w:rPr>
          <w:rFonts w:asciiTheme="minorHAnsi" w:hAnsiTheme="minorHAnsi" w:cs="Arial"/>
          <w:bCs/>
          <w:snapToGrid w:val="0"/>
        </w:rPr>
      </w:pPr>
      <w:r w:rsidRPr="00D31ADF">
        <w:rPr>
          <w:rFonts w:asciiTheme="minorHAnsi" w:hAnsiTheme="minorHAnsi" w:cs="Arial"/>
          <w:bCs/>
          <w:snapToGrid w:val="0"/>
        </w:rPr>
        <w:t xml:space="preserve"> The PBAC noted that no consumer comments were received for this item. </w:t>
      </w:r>
    </w:p>
    <w:p w:rsidR="00D84934" w:rsidRPr="00234B51" w:rsidRDefault="00D84934" w:rsidP="00234B51">
      <w:pPr>
        <w:pStyle w:val="Heading2"/>
        <w:keepLines/>
        <w:spacing w:before="240" w:after="120"/>
        <w:rPr>
          <w:rFonts w:asciiTheme="minorHAnsi" w:eastAsiaTheme="majorEastAsia" w:hAnsiTheme="minorHAnsi" w:cstheme="majorBidi"/>
          <w:sz w:val="28"/>
          <w:szCs w:val="28"/>
          <w:lang w:eastAsia="en-US"/>
        </w:rPr>
      </w:pPr>
      <w:r w:rsidRPr="0085453C">
        <w:rPr>
          <w:rFonts w:asciiTheme="minorHAnsi" w:eastAsiaTheme="majorEastAsia" w:hAnsiTheme="minorHAnsi" w:cstheme="majorBidi"/>
          <w:sz w:val="28"/>
          <w:szCs w:val="28"/>
          <w:lang w:eastAsia="en-US"/>
        </w:rPr>
        <w:lastRenderedPageBreak/>
        <w:t>Clinical trials</w:t>
      </w:r>
    </w:p>
    <w:p w:rsidR="009F4E46" w:rsidRPr="00AC4AA5" w:rsidRDefault="009F4E46" w:rsidP="00A313B4">
      <w:pPr>
        <w:pStyle w:val="ListParagraph"/>
        <w:numPr>
          <w:ilvl w:val="1"/>
          <w:numId w:val="2"/>
        </w:numPr>
        <w:spacing w:before="120" w:after="160"/>
        <w:contextualSpacing w:val="0"/>
        <w:jc w:val="both"/>
        <w:rPr>
          <w:rFonts w:asciiTheme="minorHAnsi" w:hAnsiTheme="minorHAnsi"/>
        </w:rPr>
      </w:pPr>
      <w:r w:rsidRPr="00AC4AA5">
        <w:rPr>
          <w:rFonts w:asciiTheme="minorHAnsi" w:hAnsiTheme="minorHAnsi"/>
        </w:rPr>
        <w:t>The minor submission presented the following clinical trials:</w:t>
      </w:r>
    </w:p>
    <w:p w:rsidR="0076420C" w:rsidRPr="005A39D7" w:rsidRDefault="0076420C" w:rsidP="00A8691F">
      <w:pPr>
        <w:pStyle w:val="NoSpacing"/>
        <w:rPr>
          <w:rFonts w:ascii="Arial Narrow" w:hAnsi="Arial Narrow"/>
          <w:b/>
          <w:sz w:val="20"/>
        </w:rPr>
      </w:pPr>
      <w:r w:rsidRPr="005A39D7">
        <w:rPr>
          <w:rFonts w:ascii="Arial Narrow" w:hAnsi="Arial Narrow"/>
          <w:b/>
          <w:sz w:val="20"/>
        </w:rPr>
        <w:t>Trials and associated reports presented in the submission</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5498"/>
        <w:gridCol w:w="2138"/>
      </w:tblGrid>
      <w:tr w:rsidR="0076420C" w:rsidRPr="005A39D7" w:rsidTr="00547FCB">
        <w:trPr>
          <w:cantSplit/>
          <w:tblHeader/>
        </w:trPr>
        <w:tc>
          <w:tcPr>
            <w:tcW w:w="796" w:type="pct"/>
          </w:tcPr>
          <w:p w:rsidR="0076420C" w:rsidRPr="005A39D7" w:rsidRDefault="0076420C" w:rsidP="00D84934">
            <w:pPr>
              <w:pStyle w:val="NoSpacing"/>
              <w:rPr>
                <w:rFonts w:ascii="Arial Narrow" w:hAnsi="Arial Narrow"/>
                <w:b/>
                <w:sz w:val="20"/>
              </w:rPr>
            </w:pPr>
            <w:r w:rsidRPr="005A39D7">
              <w:rPr>
                <w:rFonts w:ascii="Arial Narrow" w:hAnsi="Arial Narrow"/>
                <w:b/>
                <w:sz w:val="20"/>
              </w:rPr>
              <w:t>Trial ID</w:t>
            </w:r>
          </w:p>
        </w:tc>
        <w:tc>
          <w:tcPr>
            <w:tcW w:w="3027" w:type="pct"/>
          </w:tcPr>
          <w:p w:rsidR="0076420C" w:rsidRPr="005A39D7" w:rsidRDefault="0076420C" w:rsidP="0062748A">
            <w:pPr>
              <w:keepNext/>
              <w:jc w:val="center"/>
              <w:rPr>
                <w:rFonts w:ascii="Arial Narrow" w:hAnsi="Arial Narrow"/>
                <w:b/>
                <w:sz w:val="20"/>
              </w:rPr>
            </w:pPr>
            <w:r w:rsidRPr="005A39D7">
              <w:rPr>
                <w:rFonts w:ascii="Arial Narrow" w:hAnsi="Arial Narrow"/>
                <w:b/>
                <w:sz w:val="20"/>
              </w:rPr>
              <w:t>Protocol title/ Publication title</w:t>
            </w:r>
          </w:p>
        </w:tc>
        <w:tc>
          <w:tcPr>
            <w:tcW w:w="1177" w:type="pct"/>
          </w:tcPr>
          <w:p w:rsidR="0076420C" w:rsidRPr="005A39D7" w:rsidRDefault="0076420C" w:rsidP="0062748A">
            <w:pPr>
              <w:keepNext/>
              <w:rPr>
                <w:rFonts w:ascii="Arial Narrow" w:hAnsi="Arial Narrow"/>
                <w:b/>
                <w:sz w:val="20"/>
              </w:rPr>
            </w:pPr>
            <w:r w:rsidRPr="005A39D7">
              <w:rPr>
                <w:rFonts w:ascii="Arial Narrow" w:hAnsi="Arial Narrow"/>
                <w:b/>
                <w:sz w:val="20"/>
              </w:rPr>
              <w:t>Publication citation</w:t>
            </w:r>
          </w:p>
        </w:tc>
      </w:tr>
      <w:tr w:rsidR="0076420C" w:rsidRPr="005A39D7" w:rsidTr="00547FCB">
        <w:trPr>
          <w:cantSplit/>
        </w:trPr>
        <w:tc>
          <w:tcPr>
            <w:tcW w:w="796" w:type="pct"/>
          </w:tcPr>
          <w:p w:rsidR="0076420C" w:rsidRPr="00A8691F" w:rsidRDefault="00EE6102" w:rsidP="00D84934">
            <w:pPr>
              <w:pStyle w:val="NoSpacing"/>
              <w:rPr>
                <w:rFonts w:ascii="Arial Narrow" w:hAnsi="Arial Narrow"/>
                <w:sz w:val="20"/>
              </w:rPr>
            </w:pPr>
            <w:r w:rsidRPr="00AD183E">
              <w:rPr>
                <w:rFonts w:ascii="Arial Narrow" w:hAnsi="Arial Narrow"/>
                <w:sz w:val="20"/>
              </w:rPr>
              <w:t>NCT01428258</w:t>
            </w:r>
          </w:p>
        </w:tc>
        <w:tc>
          <w:tcPr>
            <w:tcW w:w="3027" w:type="pct"/>
          </w:tcPr>
          <w:p w:rsidR="0076420C" w:rsidRPr="00547FCB" w:rsidRDefault="00EE6102" w:rsidP="00EE6102">
            <w:pPr>
              <w:keepNext/>
              <w:tabs>
                <w:tab w:val="left" w:pos="1890"/>
              </w:tabs>
              <w:rPr>
                <w:rFonts w:ascii="Arial Narrow" w:hAnsi="Arial Narrow"/>
                <w:sz w:val="20"/>
              </w:rPr>
            </w:pPr>
            <w:r w:rsidRPr="00EE6102">
              <w:rPr>
                <w:rFonts w:ascii="Arial Narrow" w:hAnsi="Arial Narrow"/>
                <w:sz w:val="20"/>
              </w:rPr>
              <w:t>Phase 2 study of glycomacropeptide versus amino acid diet for management of phenylketonuria</w:t>
            </w:r>
          </w:p>
        </w:tc>
        <w:tc>
          <w:tcPr>
            <w:tcW w:w="1177" w:type="pct"/>
          </w:tcPr>
          <w:p w:rsidR="0076420C" w:rsidRPr="00547FCB" w:rsidRDefault="00EE6102" w:rsidP="0062748A">
            <w:pPr>
              <w:keepNext/>
              <w:rPr>
                <w:rFonts w:ascii="Arial Narrow" w:hAnsi="Arial Narrow"/>
                <w:sz w:val="20"/>
              </w:rPr>
            </w:pPr>
            <w:r w:rsidRPr="00EE6102">
              <w:rPr>
                <w:rFonts w:ascii="Arial Narrow" w:hAnsi="Arial Narrow"/>
                <w:sz w:val="20"/>
              </w:rPr>
              <w:t>Ney, D.M., Stroup, B.M., et al. (2016).</w:t>
            </w:r>
            <w:r>
              <w:rPr>
                <w:rFonts w:ascii="Arial Narrow" w:hAnsi="Arial Narrow"/>
                <w:sz w:val="20"/>
              </w:rPr>
              <w:t xml:space="preserve"> </w:t>
            </w:r>
            <w:r w:rsidRPr="00EE6102">
              <w:rPr>
                <w:rFonts w:ascii="Arial Narrow" w:hAnsi="Arial Narrow"/>
                <w:sz w:val="20"/>
              </w:rPr>
              <w:t>Am J Clin Nutr 104(2): 334-345.</w:t>
            </w:r>
          </w:p>
        </w:tc>
      </w:tr>
      <w:tr w:rsidR="00EE6102" w:rsidRPr="005A39D7" w:rsidTr="00547FCB">
        <w:trPr>
          <w:cantSplit/>
        </w:trPr>
        <w:tc>
          <w:tcPr>
            <w:tcW w:w="796" w:type="pct"/>
          </w:tcPr>
          <w:p w:rsidR="00EE6102" w:rsidRPr="00AD183E" w:rsidRDefault="00EE6102" w:rsidP="00D84934">
            <w:pPr>
              <w:pStyle w:val="NoSpacing"/>
              <w:rPr>
                <w:rFonts w:ascii="Arial Narrow" w:hAnsi="Arial Narrow"/>
                <w:sz w:val="20"/>
              </w:rPr>
            </w:pPr>
          </w:p>
        </w:tc>
        <w:tc>
          <w:tcPr>
            <w:tcW w:w="3027" w:type="pct"/>
          </w:tcPr>
          <w:p w:rsidR="00EE6102" w:rsidRPr="00EE6102" w:rsidRDefault="00EE6102" w:rsidP="00EE6102">
            <w:pPr>
              <w:keepNext/>
              <w:tabs>
                <w:tab w:val="left" w:pos="1890"/>
              </w:tabs>
              <w:rPr>
                <w:rFonts w:ascii="Arial Narrow" w:hAnsi="Arial Narrow"/>
                <w:sz w:val="20"/>
              </w:rPr>
            </w:pPr>
            <w:r w:rsidRPr="003064BF">
              <w:rPr>
                <w:rFonts w:ascii="Arial Narrow" w:hAnsi="Arial Narrow"/>
                <w:sz w:val="20"/>
              </w:rPr>
              <w:t>Nutritional status in patients with phenylketonuria using glycomacropeptide as their major protein source.</w:t>
            </w:r>
          </w:p>
        </w:tc>
        <w:tc>
          <w:tcPr>
            <w:tcW w:w="1177" w:type="pct"/>
          </w:tcPr>
          <w:p w:rsidR="00EE6102" w:rsidRPr="00EE6102" w:rsidRDefault="005470D6" w:rsidP="0062748A">
            <w:pPr>
              <w:keepNext/>
              <w:rPr>
                <w:rFonts w:ascii="Arial Narrow" w:hAnsi="Arial Narrow"/>
                <w:sz w:val="20"/>
              </w:rPr>
            </w:pPr>
            <w:r w:rsidRPr="005470D6">
              <w:rPr>
                <w:rFonts w:ascii="Arial Narrow" w:hAnsi="Arial Narrow"/>
                <w:sz w:val="20"/>
              </w:rPr>
              <w:t>Pinto, A., Almeida, M.F., et al. (2017).</w:t>
            </w:r>
            <w:r>
              <w:t xml:space="preserve"> </w:t>
            </w:r>
            <w:r w:rsidRPr="005470D6">
              <w:rPr>
                <w:rFonts w:ascii="Arial Narrow" w:hAnsi="Arial Narrow"/>
                <w:sz w:val="20"/>
              </w:rPr>
              <w:t>Eur J Clin Nutr. DOI 10.1038/ejcn.2017.38</w:t>
            </w:r>
          </w:p>
        </w:tc>
      </w:tr>
    </w:tbl>
    <w:p w:rsidR="0076420C" w:rsidRPr="00A8691F" w:rsidRDefault="0076420C" w:rsidP="00A8691F">
      <w:pPr>
        <w:pStyle w:val="tablenotes"/>
        <w:rPr>
          <w:rFonts w:ascii="Arial Narrow" w:hAnsi="Arial Narrow"/>
          <w:sz w:val="18"/>
          <w:szCs w:val="18"/>
        </w:rPr>
      </w:pPr>
      <w:r w:rsidRPr="00A8691F">
        <w:rPr>
          <w:rFonts w:ascii="Arial Narrow" w:hAnsi="Arial Narrow"/>
          <w:sz w:val="18"/>
          <w:szCs w:val="18"/>
        </w:rPr>
        <w:t xml:space="preserve">Source: </w:t>
      </w:r>
      <w:r w:rsidR="00EB775B">
        <w:rPr>
          <w:rFonts w:ascii="Arial Narrow" w:hAnsi="Arial Narrow"/>
          <w:sz w:val="18"/>
          <w:szCs w:val="18"/>
        </w:rPr>
        <w:t>Submission</w:t>
      </w:r>
    </w:p>
    <w:p w:rsidR="003B5FBA" w:rsidRPr="00EB775B" w:rsidRDefault="003B5FBA" w:rsidP="00A313B4">
      <w:pPr>
        <w:pStyle w:val="ListParagraph"/>
        <w:numPr>
          <w:ilvl w:val="1"/>
          <w:numId w:val="2"/>
        </w:numPr>
        <w:spacing w:before="120" w:after="160"/>
        <w:contextualSpacing w:val="0"/>
        <w:jc w:val="both"/>
        <w:rPr>
          <w:rFonts w:asciiTheme="minorHAnsi" w:hAnsiTheme="minorHAnsi"/>
        </w:rPr>
      </w:pPr>
      <w:r w:rsidRPr="00EB775B">
        <w:rPr>
          <w:rFonts w:asciiTheme="minorHAnsi" w:hAnsiTheme="minorHAnsi"/>
        </w:rPr>
        <w:t>In a comparative crossover study in 30 patients investigated the impact of 3 weeks of GMP vs. Amino Acid medical food (AA MF) therapy (with a 3-week washout period between treatments).  The frequency of medical food intake was significantly higher with GMP compared with AA MFs (3.74 vs. 2.73 times/day, P=0.001).  Study patients rated GMP as more acceptable than AA formulas, noting improved GI symptoms and less hunger.  No statistically significant differences in plasma phenylalanine levels over time were noted between the GMP or AA treatments.</w:t>
      </w:r>
    </w:p>
    <w:p w:rsidR="003B5FBA" w:rsidRPr="00EB775B" w:rsidRDefault="003B5FBA" w:rsidP="00A313B4">
      <w:pPr>
        <w:pStyle w:val="ListParagraph"/>
        <w:numPr>
          <w:ilvl w:val="1"/>
          <w:numId w:val="2"/>
        </w:numPr>
        <w:spacing w:before="120" w:after="160"/>
        <w:contextualSpacing w:val="0"/>
        <w:jc w:val="both"/>
        <w:rPr>
          <w:rFonts w:asciiTheme="minorHAnsi" w:hAnsiTheme="minorHAnsi"/>
        </w:rPr>
      </w:pPr>
      <w:r w:rsidRPr="00EB775B">
        <w:rPr>
          <w:rFonts w:asciiTheme="minorHAnsi" w:hAnsiTheme="minorHAnsi"/>
        </w:rPr>
        <w:t>A retrospective review of long-term GMP use in 11 patients found adequate phenylalanine control, despite the small increase in</w:t>
      </w:r>
      <w:r w:rsidRPr="00EB775B">
        <w:t xml:space="preserve"> </w:t>
      </w:r>
      <w:r w:rsidRPr="00EB775B">
        <w:rPr>
          <w:rFonts w:asciiTheme="minorHAnsi" w:hAnsiTheme="minorHAnsi"/>
        </w:rPr>
        <w:t>phenylalanine consumed with GMP and improved phenylalanine/tyrosine ratios which may be associated with improved executive function.</w:t>
      </w:r>
    </w:p>
    <w:p w:rsidR="00A15C90" w:rsidRDefault="003B5FBA" w:rsidP="00A313B4">
      <w:pPr>
        <w:pStyle w:val="ListParagraph"/>
        <w:numPr>
          <w:ilvl w:val="1"/>
          <w:numId w:val="2"/>
        </w:numPr>
        <w:spacing w:before="120" w:after="160"/>
        <w:contextualSpacing w:val="0"/>
        <w:jc w:val="both"/>
        <w:rPr>
          <w:rFonts w:asciiTheme="minorHAnsi" w:hAnsiTheme="minorHAnsi"/>
        </w:rPr>
      </w:pPr>
      <w:r w:rsidRPr="00EB775B">
        <w:rPr>
          <w:rFonts w:asciiTheme="minorHAnsi" w:hAnsiTheme="minorHAnsi"/>
        </w:rPr>
        <w:t>In all the comparative clinical studies GMP was found to be effective at maintaining appropriate phenylalanine levels, while also improving protein synthesis and patient satiety.  Patients also reported better palatability of the GMP products</w:t>
      </w:r>
      <w:r w:rsidR="00B860C0">
        <w:rPr>
          <w:rFonts w:asciiTheme="minorHAnsi" w:hAnsiTheme="minorHAnsi"/>
        </w:rPr>
        <w:t>.</w:t>
      </w:r>
      <w:r w:rsidR="00EB2E81" w:rsidRPr="00EB775B">
        <w:rPr>
          <w:rFonts w:asciiTheme="minorHAnsi" w:hAnsiTheme="minorHAnsi"/>
        </w:rPr>
        <w:t xml:space="preserve">  </w:t>
      </w:r>
    </w:p>
    <w:p w:rsidR="005A3173" w:rsidRPr="00234B51" w:rsidRDefault="005A3173" w:rsidP="00234B51">
      <w:pPr>
        <w:pStyle w:val="Heading2"/>
        <w:keepLines/>
        <w:tabs>
          <w:tab w:val="right" w:pos="9026"/>
        </w:tabs>
        <w:spacing w:before="240" w:after="120"/>
        <w:rPr>
          <w:rFonts w:asciiTheme="minorHAnsi" w:eastAsiaTheme="majorEastAsia" w:hAnsiTheme="minorHAnsi" w:cstheme="majorBidi"/>
          <w:sz w:val="28"/>
          <w:szCs w:val="28"/>
          <w:lang w:eastAsia="en-US"/>
        </w:rPr>
      </w:pPr>
      <w:r w:rsidRPr="0085453C">
        <w:rPr>
          <w:rFonts w:asciiTheme="minorHAnsi" w:eastAsiaTheme="majorEastAsia" w:hAnsiTheme="minorHAnsi" w:cstheme="majorBidi"/>
          <w:sz w:val="28"/>
          <w:szCs w:val="28"/>
          <w:lang w:eastAsia="en-US"/>
        </w:rPr>
        <w:t>Estimated PBS usage &amp; financial implications</w:t>
      </w:r>
      <w:r w:rsidR="00E616B9">
        <w:rPr>
          <w:rFonts w:asciiTheme="minorHAnsi" w:eastAsiaTheme="majorEastAsia" w:hAnsiTheme="minorHAnsi" w:cstheme="majorBidi"/>
          <w:sz w:val="28"/>
          <w:szCs w:val="28"/>
          <w:lang w:eastAsia="en-US"/>
        </w:rPr>
        <w:tab/>
      </w:r>
    </w:p>
    <w:p w:rsidR="00336991" w:rsidRPr="00EB775B" w:rsidRDefault="00EB775B" w:rsidP="00A313B4">
      <w:pPr>
        <w:pStyle w:val="ListParagraph"/>
        <w:numPr>
          <w:ilvl w:val="1"/>
          <w:numId w:val="2"/>
        </w:numPr>
        <w:spacing w:before="120" w:after="160"/>
        <w:contextualSpacing w:val="0"/>
        <w:jc w:val="both"/>
        <w:rPr>
          <w:rFonts w:asciiTheme="minorHAnsi" w:hAnsiTheme="minorHAnsi"/>
          <w:b/>
        </w:rPr>
      </w:pPr>
      <w:r w:rsidRPr="00EB775B">
        <w:rPr>
          <w:rFonts w:asciiTheme="minorHAnsi" w:hAnsiTheme="minorHAnsi"/>
        </w:rPr>
        <w:t xml:space="preserve">The requested price </w:t>
      </w:r>
      <w:r w:rsidR="00807770">
        <w:rPr>
          <w:rFonts w:asciiTheme="minorHAnsi" w:hAnsiTheme="minorHAnsi"/>
        </w:rPr>
        <w:t>was</w:t>
      </w:r>
      <w:r w:rsidRPr="00EB775B">
        <w:rPr>
          <w:rFonts w:asciiTheme="minorHAnsi" w:hAnsiTheme="minorHAnsi"/>
        </w:rPr>
        <w:t xml:space="preserve"> ca</w:t>
      </w:r>
      <w:r w:rsidR="00807770">
        <w:rPr>
          <w:rFonts w:asciiTheme="minorHAnsi" w:hAnsiTheme="minorHAnsi"/>
        </w:rPr>
        <w:t>lculated based on a cost per g protein equivalents (PE)</w:t>
      </w:r>
      <w:r w:rsidRPr="00EB775B">
        <w:rPr>
          <w:rFonts w:asciiTheme="minorHAnsi" w:hAnsiTheme="minorHAnsi"/>
        </w:rPr>
        <w:t xml:space="preserve"> ($0.802/g PE) compared to the comparator products at the AEMP level.</w:t>
      </w:r>
      <w:r w:rsidR="00A15C90" w:rsidRPr="00EB775B">
        <w:rPr>
          <w:rFonts w:asciiTheme="minorHAnsi" w:hAnsiTheme="minorHAnsi"/>
        </w:rPr>
        <w:t xml:space="preserve"> </w:t>
      </w:r>
    </w:p>
    <w:p w:rsidR="00336991" w:rsidRDefault="00336991" w:rsidP="00A313B4">
      <w:pPr>
        <w:pStyle w:val="ListParagraph"/>
        <w:numPr>
          <w:ilvl w:val="1"/>
          <w:numId w:val="2"/>
        </w:numPr>
        <w:spacing w:before="120" w:after="160"/>
        <w:contextualSpacing w:val="0"/>
        <w:jc w:val="both"/>
        <w:rPr>
          <w:rFonts w:asciiTheme="minorHAnsi" w:hAnsiTheme="minorHAnsi"/>
        </w:rPr>
      </w:pPr>
      <w:r w:rsidRPr="00EB775B">
        <w:rPr>
          <w:rFonts w:asciiTheme="minorHAnsi" w:hAnsiTheme="minorHAnsi"/>
        </w:rPr>
        <w:t>The submission stated that the listing of</w:t>
      </w:r>
      <w:r w:rsidR="00EB775B" w:rsidRPr="00EB775B">
        <w:t xml:space="preserve"> </w:t>
      </w:r>
      <w:r w:rsidR="00EB775B" w:rsidRPr="00EB775B">
        <w:rPr>
          <w:rFonts w:asciiTheme="minorHAnsi" w:hAnsiTheme="minorHAnsi"/>
        </w:rPr>
        <w:t>PKU Build 10® and PKU Build 20®</w:t>
      </w:r>
      <w:r w:rsidRPr="00EB775B">
        <w:rPr>
          <w:rFonts w:asciiTheme="minorHAnsi" w:hAnsiTheme="minorHAnsi"/>
        </w:rPr>
        <w:t xml:space="preserve"> is expected to be cost neutral to the PBS as</w:t>
      </w:r>
      <w:r w:rsidR="00EB775B" w:rsidRPr="00EB775B">
        <w:rPr>
          <w:rFonts w:asciiTheme="minorHAnsi" w:hAnsiTheme="minorHAnsi"/>
        </w:rPr>
        <w:t xml:space="preserve"> it will directly substitute for other GMP containing products such as Camino Pro® Bettermilk and </w:t>
      </w:r>
      <w:r w:rsidR="0007671B">
        <w:rPr>
          <w:rFonts w:asciiTheme="minorHAnsi" w:hAnsiTheme="minorHAnsi"/>
        </w:rPr>
        <w:t>PKU</w:t>
      </w:r>
      <w:r w:rsidR="00EB775B" w:rsidRPr="00EB775B">
        <w:rPr>
          <w:rFonts w:asciiTheme="minorHAnsi" w:hAnsiTheme="minorHAnsi"/>
        </w:rPr>
        <w:t xml:space="preserve"> Bettermilk Lite</w:t>
      </w:r>
      <w:r w:rsidR="0007671B">
        <w:rPr>
          <w:rFonts w:asciiTheme="minorHAnsi" w:hAnsiTheme="minorHAnsi"/>
        </w:rPr>
        <w:t xml:space="preserve"> ®</w:t>
      </w:r>
      <w:r w:rsidR="00EB775B" w:rsidRPr="00EB775B">
        <w:rPr>
          <w:rFonts w:asciiTheme="minorHAnsi" w:hAnsiTheme="minorHAnsi"/>
        </w:rPr>
        <w:t>.</w:t>
      </w:r>
    </w:p>
    <w:p w:rsidR="0010483E" w:rsidRDefault="0010483E" w:rsidP="00A313B4">
      <w:pPr>
        <w:pStyle w:val="ListParagraph"/>
        <w:numPr>
          <w:ilvl w:val="1"/>
          <w:numId w:val="2"/>
        </w:numPr>
        <w:spacing w:before="120" w:after="160"/>
        <w:contextualSpacing w:val="0"/>
        <w:jc w:val="both"/>
        <w:rPr>
          <w:rFonts w:asciiTheme="minorHAnsi" w:hAnsiTheme="minorHAnsi"/>
        </w:rPr>
      </w:pPr>
      <w:r>
        <w:rPr>
          <w:rFonts w:asciiTheme="minorHAnsi" w:hAnsiTheme="minorHAnsi"/>
        </w:rPr>
        <w:t>In consideration of the submission, the Nutritional Products Working Party (NPWP) noted that:</w:t>
      </w:r>
    </w:p>
    <w:p w:rsidR="0010483E" w:rsidRPr="0010483E" w:rsidRDefault="0010483E" w:rsidP="0010483E">
      <w:pPr>
        <w:pStyle w:val="ListParagraph"/>
        <w:numPr>
          <w:ilvl w:val="0"/>
          <w:numId w:val="23"/>
        </w:numPr>
        <w:spacing w:before="120" w:after="160"/>
        <w:contextualSpacing w:val="0"/>
        <w:jc w:val="both"/>
        <w:rPr>
          <w:rFonts w:asciiTheme="minorHAnsi" w:hAnsiTheme="minorHAnsi"/>
        </w:rPr>
      </w:pPr>
      <w:r>
        <w:rPr>
          <w:rFonts w:asciiTheme="minorHAnsi" w:hAnsiTheme="minorHAnsi"/>
        </w:rPr>
        <w:t xml:space="preserve">The </w:t>
      </w:r>
      <w:r w:rsidRPr="0010483E">
        <w:rPr>
          <w:rFonts w:asciiTheme="minorHAnsi" w:hAnsiTheme="minorHAnsi"/>
        </w:rPr>
        <w:t xml:space="preserve">sponsor of PKU Build 10® and PKU Build 20® confirms that they meet the requirements for foods that have medical purposes as set out under </w:t>
      </w:r>
      <w:r w:rsidRPr="0010483E">
        <w:rPr>
          <w:rFonts w:asciiTheme="minorHAnsi" w:hAnsiTheme="minorHAnsi"/>
          <w:i/>
        </w:rPr>
        <w:t>The Australia New Zealand Food Standards Code — Standard 2.9.5: Food for Special Medical Purposes.</w:t>
      </w:r>
    </w:p>
    <w:p w:rsidR="0010483E" w:rsidRDefault="0010483E" w:rsidP="0010483E">
      <w:pPr>
        <w:pStyle w:val="ListParagraph"/>
        <w:numPr>
          <w:ilvl w:val="0"/>
          <w:numId w:val="23"/>
        </w:numPr>
        <w:spacing w:before="120" w:after="160"/>
        <w:contextualSpacing w:val="0"/>
        <w:jc w:val="both"/>
        <w:rPr>
          <w:rFonts w:asciiTheme="minorHAnsi" w:hAnsiTheme="minorHAnsi"/>
        </w:rPr>
      </w:pPr>
      <w:r>
        <w:rPr>
          <w:rFonts w:asciiTheme="minorHAnsi" w:hAnsiTheme="minorHAnsi"/>
        </w:rPr>
        <w:t xml:space="preserve">The levels of Vitamin D were high but below the upper limit specified in the NRV guidelines. </w:t>
      </w:r>
    </w:p>
    <w:p w:rsidR="0010483E" w:rsidRDefault="0010483E" w:rsidP="0010483E">
      <w:pPr>
        <w:pStyle w:val="ListParagraph"/>
        <w:numPr>
          <w:ilvl w:val="0"/>
          <w:numId w:val="23"/>
        </w:numPr>
        <w:spacing w:before="120" w:after="160"/>
        <w:contextualSpacing w:val="0"/>
        <w:jc w:val="both"/>
        <w:rPr>
          <w:rFonts w:asciiTheme="minorHAnsi" w:hAnsiTheme="minorHAnsi"/>
        </w:rPr>
      </w:pPr>
      <w:r w:rsidRPr="0010483E">
        <w:rPr>
          <w:rFonts w:asciiTheme="minorHAnsi" w:hAnsiTheme="minorHAnsi"/>
        </w:rPr>
        <w:t>PKU Build 10® and PKU Build 20® contains only 56% of the RDI of iron for children aged one to three years old. However, the NPWP considered that children over the age of one with PKU would be prescribed a greater quantity than specified in the appendix and therefore did not consider the amount of iron in these products was enough to not recommend the listing of the product.</w:t>
      </w:r>
    </w:p>
    <w:p w:rsidR="00012408" w:rsidRDefault="00012408" w:rsidP="00921004">
      <w:pPr>
        <w:spacing w:after="240"/>
        <w:ind w:left="709"/>
        <w:jc w:val="both"/>
        <w:rPr>
          <w:rFonts w:ascii="Calibri" w:hAnsi="Calibri" w:cs="Calibri"/>
        </w:rPr>
      </w:pPr>
      <w:r>
        <w:rPr>
          <w:rFonts w:ascii="Calibri" w:hAnsi="Calibri" w:cs="Calibri"/>
        </w:rPr>
        <w:t>The NPWP supported the Restricted Benefit listing of PKU Build 10® and PKU Build 20® on a cost-minimisation basis against Camino Pro® Bettermilk</w:t>
      </w:r>
      <w:r w:rsidRPr="00D13F89">
        <w:rPr>
          <w:rFonts w:ascii="Calibri" w:hAnsi="Calibri" w:cs="Calibri"/>
        </w:rPr>
        <w:t>®</w:t>
      </w:r>
      <w:r>
        <w:rPr>
          <w:rFonts w:ascii="Calibri" w:hAnsi="Calibri" w:cs="Calibri"/>
        </w:rPr>
        <w:t xml:space="preserve"> and Camino Pro® Bettermilk Lite</w:t>
      </w:r>
      <w:r w:rsidRPr="00D13F89">
        <w:rPr>
          <w:rFonts w:ascii="Calibri" w:hAnsi="Calibri" w:cs="Calibri"/>
        </w:rPr>
        <w:t>®</w:t>
      </w:r>
      <w:r>
        <w:rPr>
          <w:rFonts w:ascii="Calibri" w:hAnsi="Calibri" w:cs="Calibri"/>
        </w:rPr>
        <w:t xml:space="preserve"> for the treatment of Phenylketonuria. The NPWP noted that the level of Vitamin D is high, but did not exceed the upper limit. The NPWP also noted the low level of iron, but, considered that patients over the age of one year would be prescribed a higher intake than specified. </w:t>
      </w:r>
    </w:p>
    <w:p w:rsidR="00DB4D64" w:rsidRPr="00EB3307" w:rsidRDefault="00DB4D64" w:rsidP="00DB4D64">
      <w:pPr>
        <w:pStyle w:val="Heading1"/>
        <w:keepLines/>
        <w:numPr>
          <w:ilvl w:val="0"/>
          <w:numId w:val="2"/>
        </w:numPr>
        <w:spacing w:before="240" w:after="120"/>
        <w:ind w:left="709" w:hanging="709"/>
        <w:contextualSpacing w:val="0"/>
        <w:rPr>
          <w:rFonts w:asciiTheme="minorHAnsi" w:hAnsiTheme="minorHAnsi"/>
          <w:sz w:val="32"/>
          <w:szCs w:val="32"/>
        </w:rPr>
      </w:pPr>
      <w:r>
        <w:rPr>
          <w:rFonts w:asciiTheme="minorHAnsi" w:hAnsiTheme="minorHAnsi"/>
          <w:sz w:val="32"/>
          <w:szCs w:val="32"/>
        </w:rPr>
        <w:t>PBAC Outcome</w:t>
      </w:r>
    </w:p>
    <w:p w:rsidR="00DB4D64" w:rsidRDefault="00C85541" w:rsidP="00C85541">
      <w:pPr>
        <w:pStyle w:val="ListParagraph"/>
        <w:numPr>
          <w:ilvl w:val="1"/>
          <w:numId w:val="2"/>
        </w:numPr>
        <w:spacing w:before="120" w:after="160"/>
        <w:contextualSpacing w:val="0"/>
        <w:jc w:val="both"/>
        <w:rPr>
          <w:rFonts w:asciiTheme="minorHAnsi" w:hAnsiTheme="minorHAnsi"/>
        </w:rPr>
      </w:pPr>
      <w:r>
        <w:rPr>
          <w:rFonts w:asciiTheme="minorHAnsi" w:hAnsiTheme="minorHAnsi"/>
        </w:rPr>
        <w:t>The PBAC recommended the listing</w:t>
      </w:r>
      <w:r w:rsidR="0041237C">
        <w:rPr>
          <w:rFonts w:asciiTheme="minorHAnsi" w:hAnsiTheme="minorHAnsi"/>
        </w:rPr>
        <w:t>s</w:t>
      </w:r>
      <w:r>
        <w:rPr>
          <w:rFonts w:asciiTheme="minorHAnsi" w:hAnsiTheme="minorHAnsi"/>
        </w:rPr>
        <w:t xml:space="preserve"> of </w:t>
      </w:r>
      <w:r w:rsidRPr="00C85541">
        <w:rPr>
          <w:rFonts w:asciiTheme="minorHAnsi" w:hAnsiTheme="minorHAnsi"/>
        </w:rPr>
        <w:t>PKU Build 10®</w:t>
      </w:r>
      <w:r>
        <w:rPr>
          <w:rFonts w:asciiTheme="minorHAnsi" w:hAnsiTheme="minorHAnsi"/>
        </w:rPr>
        <w:t xml:space="preserve"> and PKU Build 2</w:t>
      </w:r>
      <w:r w:rsidRPr="00C85541">
        <w:rPr>
          <w:rFonts w:asciiTheme="minorHAnsi" w:hAnsiTheme="minorHAnsi"/>
        </w:rPr>
        <w:t>0®</w:t>
      </w:r>
      <w:r w:rsidR="0041237C">
        <w:rPr>
          <w:rFonts w:asciiTheme="minorHAnsi" w:hAnsiTheme="minorHAnsi"/>
        </w:rPr>
        <w:t xml:space="preserve"> as</w:t>
      </w:r>
      <w:r>
        <w:rPr>
          <w:rFonts w:asciiTheme="minorHAnsi" w:hAnsiTheme="minorHAnsi"/>
        </w:rPr>
        <w:t xml:space="preserve"> Restricted Benefit</w:t>
      </w:r>
      <w:r w:rsidR="0041237C">
        <w:rPr>
          <w:rFonts w:asciiTheme="minorHAnsi" w:hAnsiTheme="minorHAnsi"/>
        </w:rPr>
        <w:t>s</w:t>
      </w:r>
      <w:r>
        <w:rPr>
          <w:rFonts w:asciiTheme="minorHAnsi" w:hAnsiTheme="minorHAnsi"/>
        </w:rPr>
        <w:t xml:space="preserve"> for the treatment of Phenylketonuria, on a cost-minimisation basis against </w:t>
      </w:r>
      <w:r w:rsidRPr="00C85541">
        <w:rPr>
          <w:rFonts w:asciiTheme="minorHAnsi" w:hAnsiTheme="minorHAnsi"/>
        </w:rPr>
        <w:t>the nominated comparators Camino Pro® Bettermilk and PKU Bettermilk Lite®</w:t>
      </w:r>
      <w:r w:rsidR="00E607CE">
        <w:rPr>
          <w:rFonts w:asciiTheme="minorHAnsi" w:hAnsiTheme="minorHAnsi"/>
        </w:rPr>
        <w:t xml:space="preserve"> at</w:t>
      </w:r>
      <w:r>
        <w:rPr>
          <w:rFonts w:asciiTheme="minorHAnsi" w:hAnsiTheme="minorHAnsi"/>
        </w:rPr>
        <w:t xml:space="preserve"> </w:t>
      </w:r>
      <w:r w:rsidR="00E607CE">
        <w:rPr>
          <w:rFonts w:asciiTheme="minorHAnsi" w:hAnsiTheme="minorHAnsi"/>
        </w:rPr>
        <w:t>an equivalent price per g</w:t>
      </w:r>
      <w:r w:rsidR="00A758AE">
        <w:rPr>
          <w:rFonts w:asciiTheme="minorHAnsi" w:hAnsiTheme="minorHAnsi"/>
        </w:rPr>
        <w:t>ram of</w:t>
      </w:r>
      <w:r w:rsidR="00E607CE">
        <w:rPr>
          <w:rFonts w:asciiTheme="minorHAnsi" w:hAnsiTheme="minorHAnsi"/>
        </w:rPr>
        <w:t xml:space="preserve"> protein</w:t>
      </w:r>
      <w:r w:rsidR="00FB5AE7">
        <w:rPr>
          <w:rFonts w:asciiTheme="minorHAnsi" w:hAnsiTheme="minorHAnsi"/>
        </w:rPr>
        <w:t xml:space="preserve"> equivalent</w:t>
      </w:r>
      <w:r w:rsidR="00E607CE">
        <w:rPr>
          <w:rFonts w:asciiTheme="minorHAnsi" w:hAnsiTheme="minorHAnsi"/>
        </w:rPr>
        <w:t>.</w:t>
      </w:r>
    </w:p>
    <w:p w:rsidR="00C85541" w:rsidRDefault="00C85541" w:rsidP="00C85541">
      <w:pPr>
        <w:pStyle w:val="ListParagraph"/>
        <w:numPr>
          <w:ilvl w:val="1"/>
          <w:numId w:val="2"/>
        </w:numPr>
        <w:spacing w:before="120" w:after="160"/>
        <w:contextualSpacing w:val="0"/>
        <w:jc w:val="both"/>
        <w:rPr>
          <w:rFonts w:asciiTheme="minorHAnsi" w:hAnsiTheme="minorHAnsi"/>
        </w:rPr>
      </w:pPr>
      <w:r>
        <w:rPr>
          <w:rFonts w:asciiTheme="minorHAnsi" w:hAnsiTheme="minorHAnsi"/>
        </w:rPr>
        <w:t xml:space="preserve">The PBAC noted the advice of the NPWP </w:t>
      </w:r>
      <w:r w:rsidR="00172D29">
        <w:rPr>
          <w:rFonts w:asciiTheme="minorHAnsi" w:hAnsiTheme="minorHAnsi"/>
        </w:rPr>
        <w:t>supported</w:t>
      </w:r>
      <w:r w:rsidR="00702587">
        <w:rPr>
          <w:rFonts w:asciiTheme="minorHAnsi" w:hAnsiTheme="minorHAnsi"/>
        </w:rPr>
        <w:t xml:space="preserve"> the </w:t>
      </w:r>
      <w:r w:rsidR="00E607CE">
        <w:rPr>
          <w:rFonts w:asciiTheme="minorHAnsi" w:hAnsiTheme="minorHAnsi"/>
        </w:rPr>
        <w:t>listing</w:t>
      </w:r>
      <w:r w:rsidR="00172D29">
        <w:rPr>
          <w:rFonts w:asciiTheme="minorHAnsi" w:hAnsiTheme="minorHAnsi"/>
        </w:rPr>
        <w:t xml:space="preserve"> of </w:t>
      </w:r>
      <w:r w:rsidR="00172D29" w:rsidRPr="00C85541">
        <w:rPr>
          <w:rFonts w:asciiTheme="minorHAnsi" w:hAnsiTheme="minorHAnsi"/>
        </w:rPr>
        <w:t>PKU Build 10®</w:t>
      </w:r>
      <w:r w:rsidR="00172D29">
        <w:rPr>
          <w:rFonts w:asciiTheme="minorHAnsi" w:hAnsiTheme="minorHAnsi"/>
        </w:rPr>
        <w:t xml:space="preserve"> and PKU Build 2</w:t>
      </w:r>
      <w:r w:rsidR="00172D29" w:rsidRPr="00C85541">
        <w:rPr>
          <w:rFonts w:asciiTheme="minorHAnsi" w:hAnsiTheme="minorHAnsi"/>
        </w:rPr>
        <w:t>0®</w:t>
      </w:r>
      <w:r w:rsidR="00172D29">
        <w:rPr>
          <w:rFonts w:asciiTheme="minorHAnsi" w:hAnsiTheme="minorHAnsi"/>
        </w:rPr>
        <w:t xml:space="preserve"> on the PBS</w:t>
      </w:r>
      <w:r w:rsidR="00E607CE">
        <w:rPr>
          <w:rFonts w:asciiTheme="minorHAnsi" w:hAnsiTheme="minorHAnsi"/>
        </w:rPr>
        <w:t>.</w:t>
      </w:r>
    </w:p>
    <w:p w:rsidR="00172D29" w:rsidRDefault="00172D29" w:rsidP="00C85541">
      <w:pPr>
        <w:pStyle w:val="ListParagraph"/>
        <w:numPr>
          <w:ilvl w:val="1"/>
          <w:numId w:val="2"/>
        </w:numPr>
        <w:spacing w:before="120" w:after="160"/>
        <w:contextualSpacing w:val="0"/>
        <w:jc w:val="both"/>
        <w:rPr>
          <w:rFonts w:asciiTheme="minorHAnsi" w:hAnsiTheme="minorHAnsi"/>
        </w:rPr>
      </w:pPr>
      <w:r>
        <w:rPr>
          <w:rFonts w:asciiTheme="minorHAnsi" w:hAnsiTheme="minorHAnsi"/>
        </w:rPr>
        <w:t xml:space="preserve">The PBAC considered that </w:t>
      </w:r>
      <w:r w:rsidRPr="00C85541">
        <w:rPr>
          <w:rFonts w:asciiTheme="minorHAnsi" w:hAnsiTheme="minorHAnsi"/>
        </w:rPr>
        <w:t>Camino Pro® Bettermilk and PKU Bettermilk Lite®</w:t>
      </w:r>
      <w:r>
        <w:rPr>
          <w:rFonts w:asciiTheme="minorHAnsi" w:hAnsiTheme="minorHAnsi"/>
        </w:rPr>
        <w:t xml:space="preserve"> were the appropriate comparators</w:t>
      </w:r>
      <w:r w:rsidR="0041237C">
        <w:rPr>
          <w:rFonts w:asciiTheme="minorHAnsi" w:hAnsiTheme="minorHAnsi"/>
        </w:rPr>
        <w:t xml:space="preserve"> as they have a comparable amount of PE to PKU Build 10® and PKU Build 20®</w:t>
      </w:r>
      <w:r>
        <w:rPr>
          <w:rFonts w:asciiTheme="minorHAnsi" w:hAnsiTheme="minorHAnsi"/>
        </w:rPr>
        <w:t>.</w:t>
      </w:r>
    </w:p>
    <w:p w:rsidR="00172D29" w:rsidRDefault="00172D29" w:rsidP="00C85541">
      <w:pPr>
        <w:pStyle w:val="ListParagraph"/>
        <w:numPr>
          <w:ilvl w:val="1"/>
          <w:numId w:val="2"/>
        </w:numPr>
        <w:spacing w:before="120" w:after="160"/>
        <w:contextualSpacing w:val="0"/>
        <w:jc w:val="both"/>
        <w:rPr>
          <w:rFonts w:asciiTheme="minorHAnsi" w:hAnsiTheme="minorHAnsi"/>
        </w:rPr>
      </w:pPr>
      <w:r>
        <w:rPr>
          <w:rFonts w:asciiTheme="minorHAnsi" w:hAnsiTheme="minorHAnsi"/>
        </w:rPr>
        <w:t>The PBAC noted that the submission estimated a nil cost to the PBS as it is expected to substitute for other currently listed GMP containing products</w:t>
      </w:r>
      <w:r w:rsidR="00D46639">
        <w:rPr>
          <w:rFonts w:asciiTheme="minorHAnsi" w:hAnsiTheme="minorHAnsi"/>
        </w:rPr>
        <w:t xml:space="preserve"> on an equivalent cost per g</w:t>
      </w:r>
      <w:r w:rsidR="00A758AE">
        <w:rPr>
          <w:rFonts w:asciiTheme="minorHAnsi" w:hAnsiTheme="minorHAnsi"/>
        </w:rPr>
        <w:t>ram</w:t>
      </w:r>
      <w:r w:rsidR="00D46639">
        <w:rPr>
          <w:rFonts w:asciiTheme="minorHAnsi" w:hAnsiTheme="minorHAnsi"/>
        </w:rPr>
        <w:t xml:space="preserve"> </w:t>
      </w:r>
      <w:r w:rsidR="00A758AE">
        <w:rPr>
          <w:rFonts w:asciiTheme="minorHAnsi" w:hAnsiTheme="minorHAnsi"/>
        </w:rPr>
        <w:t xml:space="preserve">of </w:t>
      </w:r>
      <w:r w:rsidR="00D46639">
        <w:rPr>
          <w:rFonts w:asciiTheme="minorHAnsi" w:hAnsiTheme="minorHAnsi"/>
        </w:rPr>
        <w:t>protein</w:t>
      </w:r>
      <w:r>
        <w:rPr>
          <w:rFonts w:asciiTheme="minorHAnsi" w:hAnsiTheme="minorHAnsi"/>
        </w:rPr>
        <w:t>.</w:t>
      </w:r>
    </w:p>
    <w:p w:rsidR="00D46639" w:rsidRDefault="00D46639" w:rsidP="00C85541">
      <w:pPr>
        <w:pStyle w:val="ListParagraph"/>
        <w:numPr>
          <w:ilvl w:val="1"/>
          <w:numId w:val="2"/>
        </w:numPr>
        <w:spacing w:before="120" w:after="160"/>
        <w:contextualSpacing w:val="0"/>
        <w:jc w:val="both"/>
        <w:rPr>
          <w:rFonts w:asciiTheme="minorHAnsi" w:hAnsiTheme="minorHAnsi"/>
        </w:rPr>
      </w:pPr>
      <w:r>
        <w:rPr>
          <w:rFonts w:asciiTheme="minorHAnsi" w:hAnsiTheme="minorHAnsi"/>
        </w:rPr>
        <w:t xml:space="preserve">The PBAC advised that </w:t>
      </w:r>
      <w:r w:rsidRPr="00C85541">
        <w:rPr>
          <w:rFonts w:asciiTheme="minorHAnsi" w:hAnsiTheme="minorHAnsi"/>
        </w:rPr>
        <w:t>PKU Build 10®</w:t>
      </w:r>
      <w:r>
        <w:rPr>
          <w:rFonts w:asciiTheme="minorHAnsi" w:hAnsiTheme="minorHAnsi"/>
        </w:rPr>
        <w:t xml:space="preserve"> and PKU Build 2</w:t>
      </w:r>
      <w:r w:rsidRPr="00C85541">
        <w:rPr>
          <w:rFonts w:asciiTheme="minorHAnsi" w:hAnsiTheme="minorHAnsi"/>
        </w:rPr>
        <w:t>0®</w:t>
      </w:r>
      <w:r w:rsidR="0041237C">
        <w:rPr>
          <w:rFonts w:asciiTheme="minorHAnsi" w:hAnsiTheme="minorHAnsi"/>
        </w:rPr>
        <w:t xml:space="preserve"> are</w:t>
      </w:r>
      <w:r>
        <w:rPr>
          <w:rFonts w:asciiTheme="minorHAnsi" w:hAnsiTheme="minorHAnsi"/>
        </w:rPr>
        <w:t xml:space="preserve"> suitable for prescribing by nurse practitioners, as nutritional products are currently included for prescribing by nurse practitioners.</w:t>
      </w:r>
    </w:p>
    <w:p w:rsidR="00D46639" w:rsidRDefault="00D46639" w:rsidP="00C85541">
      <w:pPr>
        <w:pStyle w:val="ListParagraph"/>
        <w:numPr>
          <w:ilvl w:val="1"/>
          <w:numId w:val="2"/>
        </w:numPr>
        <w:spacing w:before="120" w:after="160"/>
        <w:contextualSpacing w:val="0"/>
        <w:jc w:val="both"/>
        <w:rPr>
          <w:rFonts w:asciiTheme="minorHAnsi" w:hAnsiTheme="minorHAnsi"/>
        </w:rPr>
      </w:pPr>
      <w:r>
        <w:rPr>
          <w:rFonts w:asciiTheme="minorHAnsi" w:hAnsiTheme="minorHAnsi"/>
        </w:rPr>
        <w:t>The PBAC recommended that the Safety Net 20 Day Rule should not apply as it has been the PBAC’s view that general nutrients should be exempt.</w:t>
      </w:r>
    </w:p>
    <w:p w:rsidR="00A758AE" w:rsidRPr="00A758AE" w:rsidRDefault="00A758AE" w:rsidP="00E15E30">
      <w:pPr>
        <w:jc w:val="both"/>
        <w:rPr>
          <w:rFonts w:asciiTheme="minorHAnsi" w:hAnsiTheme="minorHAnsi" w:cs="Arial"/>
          <w:b/>
          <w:bCs/>
          <w:snapToGrid w:val="0"/>
          <w:sz w:val="28"/>
          <w:lang w:val="en-GB" w:eastAsia="en-US"/>
        </w:rPr>
      </w:pPr>
      <w:r w:rsidRPr="00A758AE">
        <w:rPr>
          <w:rFonts w:asciiTheme="minorHAnsi" w:hAnsiTheme="minorHAnsi" w:cs="Arial"/>
          <w:b/>
          <w:bCs/>
          <w:snapToGrid w:val="0"/>
          <w:sz w:val="28"/>
          <w:lang w:val="en-GB" w:eastAsia="en-US"/>
        </w:rPr>
        <w:t>Outcome:</w:t>
      </w:r>
    </w:p>
    <w:p w:rsidR="00A758AE" w:rsidRDefault="00A758AE" w:rsidP="00E15E30">
      <w:pPr>
        <w:jc w:val="both"/>
        <w:rPr>
          <w:rFonts w:asciiTheme="minorHAnsi" w:hAnsiTheme="minorHAnsi" w:cs="Arial"/>
          <w:bCs/>
          <w:snapToGrid w:val="0"/>
          <w:lang w:val="en-GB" w:eastAsia="en-US"/>
        </w:rPr>
      </w:pPr>
      <w:r w:rsidRPr="00A758AE">
        <w:rPr>
          <w:rFonts w:asciiTheme="minorHAnsi" w:hAnsiTheme="minorHAnsi" w:cs="Arial"/>
          <w:bCs/>
          <w:snapToGrid w:val="0"/>
          <w:lang w:val="en-GB" w:eastAsia="en-US"/>
        </w:rPr>
        <w:t xml:space="preserve">Recommended </w:t>
      </w:r>
    </w:p>
    <w:p w:rsidR="00A758AE" w:rsidRPr="00F461D0" w:rsidRDefault="00A758AE" w:rsidP="00F461D0">
      <w:pPr>
        <w:pStyle w:val="Heading1"/>
        <w:keepLines/>
        <w:numPr>
          <w:ilvl w:val="0"/>
          <w:numId w:val="2"/>
        </w:numPr>
        <w:spacing w:before="240" w:after="120"/>
        <w:ind w:left="709" w:hanging="709"/>
        <w:contextualSpacing w:val="0"/>
        <w:rPr>
          <w:rFonts w:asciiTheme="minorHAnsi" w:hAnsiTheme="minorHAnsi"/>
          <w:sz w:val="32"/>
          <w:szCs w:val="32"/>
        </w:rPr>
      </w:pPr>
      <w:r w:rsidRPr="00F461D0">
        <w:rPr>
          <w:rFonts w:asciiTheme="minorHAnsi" w:hAnsiTheme="minorHAnsi"/>
          <w:sz w:val="32"/>
          <w:szCs w:val="32"/>
        </w:rPr>
        <w:t>Recommended listing</w:t>
      </w:r>
    </w:p>
    <w:p w:rsidR="00A758AE" w:rsidRPr="004C3F84" w:rsidRDefault="00A758AE" w:rsidP="00A758AE">
      <w:pPr>
        <w:widowControl w:val="0"/>
        <w:numPr>
          <w:ilvl w:val="1"/>
          <w:numId w:val="2"/>
        </w:numPr>
        <w:spacing w:after="120"/>
        <w:jc w:val="both"/>
        <w:rPr>
          <w:rFonts w:asciiTheme="minorHAnsi" w:hAnsiTheme="minorHAnsi" w:cs="Arial"/>
          <w:b/>
          <w:bCs/>
          <w:snapToGrid w:val="0"/>
          <w:lang w:eastAsia="en-US"/>
        </w:rPr>
      </w:pPr>
      <w:r w:rsidRPr="004C3F84">
        <w:rPr>
          <w:rFonts w:asciiTheme="minorHAnsi" w:hAnsiTheme="minorHAnsi" w:cs="Arial"/>
          <w:bCs/>
          <w:snapToGrid w:val="0"/>
          <w:lang w:eastAsia="en-US"/>
        </w:rPr>
        <w:t>Add new item:</w:t>
      </w:r>
    </w:p>
    <w:tbl>
      <w:tblPr>
        <w:tblW w:w="5087" w:type="pct"/>
        <w:tblLook w:val="0000" w:firstRow="0" w:lastRow="0" w:firstColumn="0" w:lastColumn="0" w:noHBand="0" w:noVBand="0"/>
      </w:tblPr>
      <w:tblGrid>
        <w:gridCol w:w="2020"/>
        <w:gridCol w:w="1916"/>
        <w:gridCol w:w="284"/>
        <w:gridCol w:w="237"/>
        <w:gridCol w:w="45"/>
        <w:gridCol w:w="122"/>
        <w:gridCol w:w="237"/>
        <w:gridCol w:w="68"/>
        <w:gridCol w:w="239"/>
        <w:gridCol w:w="472"/>
        <w:gridCol w:w="160"/>
        <w:gridCol w:w="1256"/>
        <w:gridCol w:w="160"/>
        <w:gridCol w:w="118"/>
        <w:gridCol w:w="8"/>
        <w:gridCol w:w="1881"/>
        <w:gridCol w:w="24"/>
        <w:gridCol w:w="156"/>
      </w:tblGrid>
      <w:tr w:rsidR="003A1224" w:rsidRPr="005A39D7" w:rsidTr="00E15E30">
        <w:trPr>
          <w:gridAfter w:val="1"/>
          <w:wAfter w:w="86" w:type="pct"/>
          <w:cantSplit/>
          <w:trHeight w:val="471"/>
        </w:trPr>
        <w:tc>
          <w:tcPr>
            <w:tcW w:w="2093" w:type="pct"/>
            <w:gridSpan w:val="2"/>
            <w:tcBorders>
              <w:bottom w:val="single" w:sz="4" w:space="0" w:color="auto"/>
            </w:tcBorders>
          </w:tcPr>
          <w:p w:rsidR="003A1224" w:rsidRPr="003A1224" w:rsidRDefault="003A1224" w:rsidP="003A1224">
            <w:pPr>
              <w:keepNext/>
              <w:spacing w:before="40" w:after="40"/>
              <w:jc w:val="both"/>
              <w:rPr>
                <w:rFonts w:ascii="Arial Narrow" w:hAnsi="Arial Narrow" w:cs="Arial"/>
                <w:b/>
                <w:sz w:val="20"/>
                <w:szCs w:val="20"/>
              </w:rPr>
            </w:pPr>
            <w:r w:rsidRPr="003A1224">
              <w:rPr>
                <w:rFonts w:ascii="Arial Narrow" w:hAnsi="Arial Narrow" w:cs="Arial"/>
                <w:b/>
                <w:sz w:val="20"/>
                <w:szCs w:val="20"/>
              </w:rPr>
              <w:t>Name, Restriction,</w:t>
            </w:r>
          </w:p>
          <w:p w:rsidR="003A1224" w:rsidRPr="003A1224" w:rsidRDefault="003A1224" w:rsidP="003A1224">
            <w:pPr>
              <w:keepNext/>
              <w:spacing w:before="40" w:after="40"/>
              <w:jc w:val="both"/>
              <w:rPr>
                <w:rFonts w:ascii="Arial Narrow" w:hAnsi="Arial Narrow" w:cs="Arial"/>
                <w:b/>
                <w:sz w:val="20"/>
                <w:szCs w:val="20"/>
              </w:rPr>
            </w:pPr>
            <w:r w:rsidRPr="003A1224">
              <w:rPr>
                <w:rFonts w:ascii="Arial Narrow" w:hAnsi="Arial Narrow" w:cs="Arial"/>
                <w:b/>
                <w:sz w:val="20"/>
                <w:szCs w:val="20"/>
              </w:rPr>
              <w:t>Manner of administration and form</w:t>
            </w:r>
          </w:p>
        </w:tc>
        <w:tc>
          <w:tcPr>
            <w:tcW w:w="301" w:type="pct"/>
            <w:gridSpan w:val="3"/>
            <w:tcBorders>
              <w:bottom w:val="single" w:sz="4" w:space="0" w:color="auto"/>
            </w:tcBorders>
          </w:tcPr>
          <w:p w:rsidR="003A1224" w:rsidRPr="005A39D7" w:rsidRDefault="003A1224" w:rsidP="002274A6">
            <w:pPr>
              <w:keepNext/>
              <w:spacing w:before="40" w:after="40"/>
              <w:ind w:left="-108"/>
              <w:jc w:val="both"/>
              <w:rPr>
                <w:rFonts w:ascii="Arial Narrow" w:hAnsi="Arial Narrow" w:cs="Arial"/>
                <w:b/>
                <w:sz w:val="20"/>
                <w:szCs w:val="20"/>
              </w:rPr>
            </w:pPr>
            <w:r w:rsidRPr="005A39D7">
              <w:rPr>
                <w:rFonts w:ascii="Arial Narrow" w:hAnsi="Arial Narrow" w:cs="Arial"/>
                <w:b/>
                <w:sz w:val="20"/>
                <w:szCs w:val="20"/>
              </w:rPr>
              <w:t>Max.</w:t>
            </w:r>
          </w:p>
          <w:p w:rsidR="003A1224" w:rsidRPr="005A39D7" w:rsidRDefault="003A1224" w:rsidP="002274A6">
            <w:pPr>
              <w:keepNext/>
              <w:spacing w:before="40" w:after="40"/>
              <w:ind w:left="-108"/>
              <w:jc w:val="both"/>
              <w:rPr>
                <w:rFonts w:ascii="Arial Narrow" w:hAnsi="Arial Narrow" w:cs="Arial"/>
                <w:b/>
                <w:sz w:val="20"/>
                <w:szCs w:val="20"/>
              </w:rPr>
            </w:pPr>
            <w:r w:rsidRPr="005A39D7">
              <w:rPr>
                <w:rFonts w:ascii="Arial Narrow" w:hAnsi="Arial Narrow" w:cs="Arial"/>
                <w:b/>
                <w:sz w:val="20"/>
                <w:szCs w:val="20"/>
              </w:rPr>
              <w:t>Qty</w:t>
            </w:r>
          </w:p>
        </w:tc>
        <w:tc>
          <w:tcPr>
            <w:tcW w:w="354" w:type="pct"/>
            <w:gridSpan w:val="4"/>
            <w:tcBorders>
              <w:bottom w:val="single" w:sz="4" w:space="0" w:color="auto"/>
            </w:tcBorders>
          </w:tcPr>
          <w:p w:rsidR="003A1224" w:rsidRPr="005A39D7" w:rsidRDefault="003A1224" w:rsidP="002274A6">
            <w:pPr>
              <w:keepNext/>
              <w:spacing w:before="40" w:after="40"/>
              <w:ind w:left="-108"/>
              <w:jc w:val="both"/>
              <w:rPr>
                <w:rFonts w:ascii="Arial Narrow" w:hAnsi="Arial Narrow" w:cs="Arial"/>
                <w:b/>
                <w:sz w:val="20"/>
                <w:szCs w:val="20"/>
              </w:rPr>
            </w:pPr>
            <w:r w:rsidRPr="005A39D7">
              <w:rPr>
                <w:rFonts w:ascii="Arial Narrow" w:hAnsi="Arial Narrow" w:cs="Arial"/>
                <w:b/>
                <w:sz w:val="20"/>
                <w:szCs w:val="20"/>
              </w:rPr>
              <w:t>№.of</w:t>
            </w:r>
          </w:p>
          <w:p w:rsidR="003A1224" w:rsidRPr="005A39D7" w:rsidRDefault="003A1224" w:rsidP="002274A6">
            <w:pPr>
              <w:keepNext/>
              <w:spacing w:before="40" w:after="40"/>
              <w:ind w:left="-108"/>
              <w:jc w:val="both"/>
              <w:rPr>
                <w:rFonts w:ascii="Arial Narrow" w:hAnsi="Arial Narrow" w:cs="Arial"/>
                <w:b/>
                <w:sz w:val="20"/>
                <w:szCs w:val="20"/>
              </w:rPr>
            </w:pPr>
            <w:r w:rsidRPr="005A39D7">
              <w:rPr>
                <w:rFonts w:ascii="Arial Narrow" w:hAnsi="Arial Narrow" w:cs="Arial"/>
                <w:b/>
                <w:sz w:val="20"/>
                <w:szCs w:val="20"/>
              </w:rPr>
              <w:t>Rpts</w:t>
            </w:r>
          </w:p>
        </w:tc>
        <w:tc>
          <w:tcPr>
            <w:tcW w:w="1152" w:type="pct"/>
            <w:gridSpan w:val="5"/>
            <w:tcBorders>
              <w:bottom w:val="single" w:sz="4" w:space="0" w:color="auto"/>
            </w:tcBorders>
          </w:tcPr>
          <w:p w:rsidR="003A1224" w:rsidRPr="005A39D7" w:rsidRDefault="00D16256" w:rsidP="00D16256">
            <w:pPr>
              <w:keepNext/>
              <w:spacing w:before="40" w:after="40"/>
              <w:ind w:left="-108"/>
              <w:jc w:val="both"/>
              <w:rPr>
                <w:rFonts w:ascii="Arial Narrow" w:hAnsi="Arial Narrow" w:cs="Arial"/>
                <w:b/>
                <w:sz w:val="20"/>
                <w:szCs w:val="20"/>
              </w:rPr>
            </w:pPr>
            <w:r w:rsidRPr="005A39D7">
              <w:rPr>
                <w:rFonts w:ascii="Arial Narrow" w:hAnsi="Arial Narrow" w:cs="Arial"/>
                <w:b/>
                <w:sz w:val="20"/>
                <w:szCs w:val="20"/>
              </w:rPr>
              <w:t xml:space="preserve">Proprietary Name </w:t>
            </w:r>
          </w:p>
        </w:tc>
        <w:tc>
          <w:tcPr>
            <w:tcW w:w="1014" w:type="pct"/>
            <w:gridSpan w:val="3"/>
            <w:tcBorders>
              <w:bottom w:val="single" w:sz="4" w:space="0" w:color="auto"/>
            </w:tcBorders>
          </w:tcPr>
          <w:p w:rsidR="003A1224" w:rsidRPr="005A39D7" w:rsidRDefault="00D16256" w:rsidP="002274A6">
            <w:pPr>
              <w:keepNext/>
              <w:spacing w:before="40" w:after="40"/>
              <w:jc w:val="both"/>
              <w:rPr>
                <w:rFonts w:ascii="Arial Narrow" w:hAnsi="Arial Narrow" w:cs="Arial"/>
                <w:b/>
                <w:sz w:val="20"/>
                <w:szCs w:val="20"/>
                <w:lang w:val="fr-FR"/>
              </w:rPr>
            </w:pPr>
            <w:r w:rsidRPr="005A39D7">
              <w:rPr>
                <w:rFonts w:ascii="Arial Narrow" w:hAnsi="Arial Narrow" w:cs="Arial"/>
                <w:b/>
                <w:sz w:val="20"/>
                <w:szCs w:val="20"/>
              </w:rPr>
              <w:t>Manufacturer</w:t>
            </w:r>
          </w:p>
        </w:tc>
      </w:tr>
      <w:tr w:rsidR="003A1224" w:rsidTr="00E15E30">
        <w:tblPrEx>
          <w:tblLook w:val="04A0" w:firstRow="1" w:lastRow="0" w:firstColumn="1" w:lastColumn="0" w:noHBand="0" w:noVBand="1"/>
        </w:tblPrEx>
        <w:trPr>
          <w:gridAfter w:val="1"/>
          <w:wAfter w:w="86" w:type="pct"/>
          <w:trHeight w:val="577"/>
        </w:trPr>
        <w:tc>
          <w:tcPr>
            <w:tcW w:w="2093" w:type="pct"/>
            <w:gridSpan w:val="2"/>
            <w:hideMark/>
          </w:tcPr>
          <w:p w:rsidR="003A1224" w:rsidRDefault="003A1224" w:rsidP="002274A6">
            <w:pPr>
              <w:keepNext/>
              <w:spacing w:before="40" w:after="40"/>
              <w:ind w:left="-108"/>
              <w:rPr>
                <w:rFonts w:ascii="Arial Narrow" w:hAnsi="Arial Narrow" w:cs="Arial"/>
                <w:sz w:val="20"/>
                <w:lang w:eastAsia="en-US"/>
              </w:rPr>
            </w:pPr>
            <w:r>
              <w:rPr>
                <w:rFonts w:ascii="Arial Narrow" w:hAnsi="Arial Narrow" w:cs="Arial"/>
                <w:sz w:val="20"/>
                <w:lang w:eastAsia="en-US"/>
              </w:rPr>
              <w:t xml:space="preserve">GLYCOMACROPEPTIDE AND ESSENTIAL AMINO ACIDS WITH VITAMINS AND MINERALS </w:t>
            </w:r>
          </w:p>
          <w:p w:rsidR="003A1224" w:rsidRDefault="003A1224" w:rsidP="002274A6">
            <w:pPr>
              <w:keepNext/>
              <w:spacing w:before="40" w:after="40"/>
              <w:ind w:left="-108"/>
              <w:rPr>
                <w:rFonts w:ascii="Arial Narrow" w:hAnsi="Arial Narrow" w:cs="Arial"/>
                <w:sz w:val="20"/>
                <w:lang w:eastAsia="en-US"/>
              </w:rPr>
            </w:pPr>
            <w:r w:rsidRPr="00E15E30">
              <w:rPr>
                <w:rFonts w:ascii="Arial Narrow" w:hAnsi="Arial Narrow" w:cs="Arial"/>
                <w:sz w:val="20"/>
                <w:lang w:eastAsia="en-US"/>
              </w:rPr>
              <w:t xml:space="preserve">containing </w:t>
            </w:r>
            <w:r>
              <w:rPr>
                <w:rFonts w:ascii="Arial Narrow" w:hAnsi="Arial Narrow" w:cs="Arial"/>
                <w:sz w:val="20"/>
                <w:lang w:eastAsia="en-US"/>
              </w:rPr>
              <w:t xml:space="preserve">10 g protein equivalent powder for oral liquid, 60 x 16 g sachets </w:t>
            </w:r>
          </w:p>
        </w:tc>
        <w:tc>
          <w:tcPr>
            <w:tcW w:w="366" w:type="pct"/>
            <w:gridSpan w:val="4"/>
            <w:hideMark/>
          </w:tcPr>
          <w:p w:rsidR="003A1224" w:rsidRDefault="003A1224" w:rsidP="002274A6">
            <w:pPr>
              <w:keepNext/>
              <w:spacing w:before="40" w:after="40"/>
              <w:ind w:left="-108"/>
              <w:jc w:val="center"/>
              <w:rPr>
                <w:rFonts w:ascii="Arial Narrow" w:hAnsi="Arial Narrow" w:cs="Arial"/>
                <w:sz w:val="20"/>
                <w:lang w:eastAsia="en-US"/>
              </w:rPr>
            </w:pPr>
            <w:r>
              <w:rPr>
                <w:rFonts w:ascii="Arial Narrow" w:hAnsi="Arial Narrow" w:cs="Arial"/>
                <w:sz w:val="20"/>
                <w:lang w:eastAsia="en-US"/>
              </w:rPr>
              <w:t>2</w:t>
            </w:r>
          </w:p>
        </w:tc>
        <w:tc>
          <w:tcPr>
            <w:tcW w:w="126" w:type="pct"/>
            <w:hideMark/>
          </w:tcPr>
          <w:p w:rsidR="003A1224" w:rsidRDefault="003A1224" w:rsidP="002274A6">
            <w:pPr>
              <w:keepNext/>
              <w:spacing w:before="40" w:after="40"/>
              <w:ind w:left="-108"/>
              <w:jc w:val="center"/>
              <w:rPr>
                <w:rFonts w:ascii="Arial Narrow" w:hAnsi="Arial Narrow" w:cs="Arial"/>
                <w:sz w:val="20"/>
                <w:lang w:eastAsia="en-US"/>
              </w:rPr>
            </w:pPr>
            <w:r>
              <w:rPr>
                <w:rFonts w:ascii="Arial Narrow" w:hAnsi="Arial Narrow" w:cs="Arial"/>
                <w:sz w:val="20"/>
                <w:lang w:eastAsia="en-US"/>
              </w:rPr>
              <w:t>5</w:t>
            </w:r>
          </w:p>
        </w:tc>
        <w:tc>
          <w:tcPr>
            <w:tcW w:w="1167" w:type="pct"/>
            <w:gridSpan w:val="5"/>
            <w:hideMark/>
          </w:tcPr>
          <w:p w:rsidR="00D16256" w:rsidRPr="00310F2C" w:rsidRDefault="00D16256" w:rsidP="00D16256">
            <w:pPr>
              <w:keepNext/>
              <w:spacing w:before="40" w:after="40"/>
              <w:jc w:val="center"/>
              <w:rPr>
                <w:rFonts w:ascii="Arial Narrow" w:hAnsi="Arial Narrow" w:cs="Arial"/>
                <w:sz w:val="20"/>
                <w:lang w:eastAsia="en-US"/>
              </w:rPr>
            </w:pPr>
            <w:r w:rsidRPr="00310F2C">
              <w:rPr>
                <w:rFonts w:ascii="Arial Narrow" w:hAnsi="Arial Narrow" w:cs="Arial"/>
                <w:sz w:val="20"/>
                <w:lang w:eastAsia="en-US"/>
              </w:rPr>
              <w:t>PKU Build 10</w:t>
            </w:r>
          </w:p>
          <w:p w:rsidR="003A1224" w:rsidRDefault="00D16256" w:rsidP="00D16256">
            <w:pPr>
              <w:keepNext/>
              <w:spacing w:before="40" w:after="40"/>
              <w:ind w:left="-108"/>
              <w:jc w:val="center"/>
              <w:rPr>
                <w:rFonts w:ascii="Arial Narrow" w:hAnsi="Arial Narrow" w:cs="Arial"/>
                <w:sz w:val="20"/>
                <w:lang w:eastAsia="en-US"/>
              </w:rPr>
            </w:pPr>
            <w:r>
              <w:rPr>
                <w:rFonts w:ascii="Arial Narrow" w:hAnsi="Arial Narrow" w:cs="Arial"/>
                <w:sz w:val="20"/>
                <w:lang w:eastAsia="en-US"/>
              </w:rPr>
              <w:t xml:space="preserve">       </w:t>
            </w:r>
          </w:p>
        </w:tc>
        <w:tc>
          <w:tcPr>
            <w:tcW w:w="1162" w:type="pct"/>
            <w:gridSpan w:val="5"/>
            <w:hideMark/>
          </w:tcPr>
          <w:p w:rsidR="003A1224" w:rsidRDefault="00D16256" w:rsidP="002274A6">
            <w:pPr>
              <w:keepNext/>
              <w:spacing w:before="40" w:after="40"/>
              <w:jc w:val="center"/>
              <w:rPr>
                <w:rFonts w:ascii="Arial Narrow" w:hAnsi="Arial Narrow" w:cs="Arial"/>
                <w:sz w:val="20"/>
                <w:lang w:eastAsia="en-US"/>
              </w:rPr>
            </w:pPr>
            <w:r>
              <w:rPr>
                <w:rFonts w:ascii="Arial Narrow" w:hAnsi="Arial Narrow" w:cs="Arial"/>
                <w:sz w:val="20"/>
                <w:lang w:eastAsia="en-US"/>
              </w:rPr>
              <w:t>Cortex Health Pty Ltd</w:t>
            </w:r>
          </w:p>
        </w:tc>
      </w:tr>
      <w:tr w:rsidR="003A1224" w:rsidRPr="005A39D7" w:rsidTr="00E15E30">
        <w:trPr>
          <w:gridAfter w:val="2"/>
          <w:wAfter w:w="97" w:type="pct"/>
          <w:cantSplit/>
          <w:trHeight w:val="360"/>
        </w:trPr>
        <w:tc>
          <w:tcPr>
            <w:tcW w:w="1073" w:type="pct"/>
            <w:tcBorders>
              <w:top w:val="single" w:sz="4" w:space="0" w:color="auto"/>
              <w:left w:val="single" w:sz="4" w:space="0" w:color="auto"/>
              <w:bottom w:val="single" w:sz="4" w:space="0" w:color="auto"/>
              <w:right w:val="single" w:sz="4" w:space="0" w:color="auto"/>
            </w:tcBorders>
          </w:tcPr>
          <w:p w:rsidR="003A1224" w:rsidRPr="005A39D7" w:rsidRDefault="003A1224" w:rsidP="002274A6">
            <w:pPr>
              <w:spacing w:before="40" w:after="40"/>
              <w:jc w:val="both"/>
              <w:rPr>
                <w:rFonts w:ascii="Arial Narrow" w:hAnsi="Arial Narrow" w:cs="Arial"/>
                <w:b/>
                <w:sz w:val="20"/>
                <w:szCs w:val="20"/>
              </w:rPr>
            </w:pPr>
            <w:r w:rsidRPr="005A39D7">
              <w:rPr>
                <w:rFonts w:ascii="Arial Narrow" w:hAnsi="Arial Narrow" w:cs="Arial"/>
                <w:b/>
                <w:sz w:val="20"/>
                <w:szCs w:val="20"/>
              </w:rPr>
              <w:t xml:space="preserve">Category / </w:t>
            </w:r>
          </w:p>
          <w:p w:rsidR="003A1224" w:rsidRPr="005A39D7" w:rsidRDefault="003A1224" w:rsidP="002274A6">
            <w:pPr>
              <w:spacing w:before="40" w:after="40"/>
              <w:jc w:val="both"/>
              <w:rPr>
                <w:rFonts w:ascii="Arial Narrow" w:hAnsi="Arial Narrow" w:cs="Arial"/>
                <w:b/>
                <w:sz w:val="20"/>
                <w:szCs w:val="20"/>
              </w:rPr>
            </w:pPr>
            <w:r w:rsidRPr="005A39D7">
              <w:rPr>
                <w:rFonts w:ascii="Arial Narrow" w:hAnsi="Arial Narrow" w:cs="Arial"/>
                <w:b/>
                <w:sz w:val="20"/>
                <w:szCs w:val="20"/>
              </w:rPr>
              <w:t>Program</w:t>
            </w:r>
          </w:p>
        </w:tc>
        <w:tc>
          <w:tcPr>
            <w:tcW w:w="3830" w:type="pct"/>
            <w:gridSpan w:val="15"/>
            <w:tcBorders>
              <w:top w:val="single" w:sz="4" w:space="0" w:color="auto"/>
              <w:left w:val="single" w:sz="4" w:space="0" w:color="auto"/>
              <w:bottom w:val="single" w:sz="4" w:space="0" w:color="auto"/>
              <w:right w:val="single" w:sz="4" w:space="0" w:color="auto"/>
            </w:tcBorders>
          </w:tcPr>
          <w:p w:rsidR="003A1224" w:rsidRPr="005A39D7" w:rsidRDefault="003A1224" w:rsidP="002274A6">
            <w:pPr>
              <w:spacing w:before="40" w:after="40"/>
              <w:rPr>
                <w:rFonts w:ascii="Arial Narrow" w:hAnsi="Arial Narrow" w:cs="Arial"/>
                <w:sz w:val="20"/>
                <w:szCs w:val="20"/>
              </w:rPr>
            </w:pPr>
            <w:r w:rsidRPr="005A39D7">
              <w:rPr>
                <w:rFonts w:ascii="Arial Narrow" w:hAnsi="Arial Narrow" w:cs="Arial"/>
                <w:sz w:val="20"/>
                <w:szCs w:val="20"/>
              </w:rPr>
              <w:t>GENERAL – General Schedule (Code GE)</w:t>
            </w:r>
          </w:p>
          <w:p w:rsidR="003A1224" w:rsidRPr="005A39D7" w:rsidRDefault="003A1224" w:rsidP="002274A6">
            <w:pPr>
              <w:spacing w:before="40" w:after="40"/>
              <w:rPr>
                <w:rFonts w:ascii="Arial Narrow" w:hAnsi="Arial Narrow" w:cs="Arial"/>
                <w:sz w:val="20"/>
                <w:szCs w:val="20"/>
              </w:rPr>
            </w:pPr>
          </w:p>
        </w:tc>
      </w:tr>
      <w:tr w:rsidR="003A1224" w:rsidRPr="005A39D7" w:rsidTr="00E15E30">
        <w:trPr>
          <w:gridAfter w:val="2"/>
          <w:wAfter w:w="97" w:type="pct"/>
          <w:cantSplit/>
          <w:trHeight w:val="360"/>
        </w:trPr>
        <w:tc>
          <w:tcPr>
            <w:tcW w:w="1073" w:type="pct"/>
            <w:tcBorders>
              <w:top w:val="single" w:sz="4" w:space="0" w:color="auto"/>
              <w:left w:val="single" w:sz="4" w:space="0" w:color="auto"/>
              <w:bottom w:val="single" w:sz="4" w:space="0" w:color="auto"/>
              <w:right w:val="single" w:sz="4" w:space="0" w:color="auto"/>
            </w:tcBorders>
          </w:tcPr>
          <w:p w:rsidR="003A1224" w:rsidRPr="005A39D7" w:rsidRDefault="003A1224" w:rsidP="002274A6">
            <w:pPr>
              <w:spacing w:before="40" w:after="40"/>
              <w:jc w:val="both"/>
              <w:rPr>
                <w:rFonts w:ascii="Arial Narrow" w:hAnsi="Arial Narrow" w:cs="Arial"/>
                <w:b/>
                <w:sz w:val="20"/>
                <w:szCs w:val="20"/>
              </w:rPr>
            </w:pPr>
            <w:r w:rsidRPr="005A39D7">
              <w:rPr>
                <w:rFonts w:ascii="Arial Narrow" w:hAnsi="Arial Narrow" w:cs="Arial"/>
                <w:b/>
                <w:sz w:val="20"/>
                <w:szCs w:val="20"/>
              </w:rPr>
              <w:t>Prescriber type:</w:t>
            </w:r>
          </w:p>
        </w:tc>
        <w:tc>
          <w:tcPr>
            <w:tcW w:w="3830" w:type="pct"/>
            <w:gridSpan w:val="15"/>
            <w:tcBorders>
              <w:top w:val="single" w:sz="4" w:space="0" w:color="auto"/>
              <w:left w:val="single" w:sz="4" w:space="0" w:color="auto"/>
              <w:bottom w:val="single" w:sz="4" w:space="0" w:color="auto"/>
              <w:right w:val="single" w:sz="4" w:space="0" w:color="auto"/>
            </w:tcBorders>
          </w:tcPr>
          <w:p w:rsidR="003A1224" w:rsidRPr="005A39D7" w:rsidRDefault="003A1224" w:rsidP="002274A6">
            <w:pPr>
              <w:spacing w:before="40" w:after="40"/>
              <w:rPr>
                <w:rFonts w:ascii="Arial Narrow" w:hAnsi="Arial Narrow" w:cs="Arial"/>
                <w:sz w:val="20"/>
                <w:szCs w:val="20"/>
              </w:rPr>
            </w:pPr>
            <w:r w:rsidRPr="005A39D7">
              <w:rPr>
                <w:rFonts w:ascii="Arial Narrow" w:hAnsi="Arial Narrow" w:cs="Arial"/>
                <w:sz w:val="20"/>
                <w:szCs w:val="20"/>
              </w:rPr>
              <w:fldChar w:fldCharType="begin">
                <w:ffData>
                  <w:name w:val="Check1"/>
                  <w:enabled/>
                  <w:calcOnExit w:val="0"/>
                  <w:checkBox>
                    <w:sizeAuto/>
                    <w:default w:val="0"/>
                  </w:checkBox>
                </w:ffData>
              </w:fldChar>
            </w:r>
            <w:r w:rsidRPr="005A39D7">
              <w:rPr>
                <w:rFonts w:ascii="Arial Narrow" w:hAnsi="Arial Narrow" w:cs="Arial"/>
                <w:sz w:val="20"/>
                <w:szCs w:val="20"/>
              </w:rPr>
              <w:instrText xml:space="preserve"> FORMCHECKBOX </w:instrText>
            </w:r>
            <w:r w:rsidR="007818AA">
              <w:rPr>
                <w:rFonts w:ascii="Arial Narrow" w:hAnsi="Arial Narrow" w:cs="Arial"/>
                <w:sz w:val="20"/>
                <w:szCs w:val="20"/>
              </w:rPr>
            </w:r>
            <w:r w:rsidR="007818AA">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818AA">
              <w:rPr>
                <w:rFonts w:ascii="Arial Narrow" w:hAnsi="Arial Narrow" w:cs="Arial"/>
                <w:sz w:val="20"/>
                <w:szCs w:val="20"/>
              </w:rPr>
            </w:r>
            <w:r w:rsidR="007818AA">
              <w:rPr>
                <w:rFonts w:ascii="Arial Narrow" w:hAnsi="Arial Narrow" w:cs="Arial"/>
                <w:sz w:val="20"/>
                <w:szCs w:val="20"/>
              </w:rPr>
              <w:fldChar w:fldCharType="separate"/>
            </w:r>
            <w:r>
              <w:rPr>
                <w:rFonts w:ascii="Arial Narrow" w:hAnsi="Arial Narrow" w:cs="Arial"/>
                <w:sz w:val="20"/>
                <w:szCs w:val="20"/>
              </w:rPr>
              <w:fldChar w:fldCharType="end"/>
            </w:r>
            <w:r w:rsidRPr="005A39D7">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7818AA">
              <w:rPr>
                <w:rFonts w:ascii="Arial Narrow" w:hAnsi="Arial Narrow" w:cs="Arial"/>
                <w:sz w:val="20"/>
                <w:szCs w:val="20"/>
              </w:rPr>
            </w:r>
            <w:r w:rsidR="007818AA">
              <w:rPr>
                <w:rFonts w:ascii="Arial Narrow" w:hAnsi="Arial Narrow" w:cs="Arial"/>
                <w:sz w:val="20"/>
                <w:szCs w:val="20"/>
              </w:rPr>
              <w:fldChar w:fldCharType="separate"/>
            </w:r>
            <w:r>
              <w:rPr>
                <w:rFonts w:ascii="Arial Narrow" w:hAnsi="Arial Narrow" w:cs="Arial"/>
                <w:sz w:val="20"/>
                <w:szCs w:val="20"/>
              </w:rPr>
              <w:fldChar w:fldCharType="end"/>
            </w:r>
            <w:r w:rsidRPr="005A39D7">
              <w:rPr>
                <w:rFonts w:ascii="Arial Narrow" w:hAnsi="Arial Narrow" w:cs="Arial"/>
                <w:sz w:val="20"/>
                <w:szCs w:val="20"/>
              </w:rPr>
              <w:t xml:space="preserve">Nurse practitioners  </w:t>
            </w:r>
            <w:r w:rsidRPr="005A39D7">
              <w:rPr>
                <w:rFonts w:ascii="Arial Narrow" w:hAnsi="Arial Narrow" w:cs="Arial"/>
                <w:sz w:val="20"/>
                <w:szCs w:val="20"/>
              </w:rPr>
              <w:fldChar w:fldCharType="begin">
                <w:ffData>
                  <w:name w:val=""/>
                  <w:enabled/>
                  <w:calcOnExit w:val="0"/>
                  <w:checkBox>
                    <w:sizeAuto/>
                    <w:default w:val="0"/>
                  </w:checkBox>
                </w:ffData>
              </w:fldChar>
            </w:r>
            <w:r w:rsidRPr="005A39D7">
              <w:rPr>
                <w:rFonts w:ascii="Arial Narrow" w:hAnsi="Arial Narrow" w:cs="Arial"/>
                <w:sz w:val="20"/>
                <w:szCs w:val="20"/>
              </w:rPr>
              <w:instrText xml:space="preserve"> FORMCHECKBOX </w:instrText>
            </w:r>
            <w:r w:rsidR="007818AA">
              <w:rPr>
                <w:rFonts w:ascii="Arial Narrow" w:hAnsi="Arial Narrow" w:cs="Arial"/>
                <w:sz w:val="20"/>
                <w:szCs w:val="20"/>
              </w:rPr>
            </w:r>
            <w:r w:rsidR="007818AA">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Optometrists</w:t>
            </w:r>
          </w:p>
          <w:p w:rsidR="003A1224" w:rsidRPr="005A39D7" w:rsidRDefault="003A1224" w:rsidP="002274A6">
            <w:pPr>
              <w:spacing w:before="40" w:after="40"/>
              <w:rPr>
                <w:rFonts w:ascii="Arial Narrow" w:hAnsi="Arial Narrow" w:cs="Arial"/>
                <w:sz w:val="20"/>
                <w:szCs w:val="20"/>
              </w:rPr>
            </w:pPr>
            <w:r w:rsidRPr="005A39D7">
              <w:rPr>
                <w:rFonts w:ascii="Arial Narrow" w:hAnsi="Arial Narrow" w:cs="Arial"/>
                <w:sz w:val="20"/>
                <w:szCs w:val="20"/>
              </w:rPr>
              <w:fldChar w:fldCharType="begin">
                <w:ffData>
                  <w:name w:val="Check5"/>
                  <w:enabled/>
                  <w:calcOnExit w:val="0"/>
                  <w:checkBox>
                    <w:sizeAuto/>
                    <w:default w:val="0"/>
                  </w:checkBox>
                </w:ffData>
              </w:fldChar>
            </w:r>
            <w:r w:rsidRPr="005A39D7">
              <w:rPr>
                <w:rFonts w:ascii="Arial Narrow" w:hAnsi="Arial Narrow" w:cs="Arial"/>
                <w:sz w:val="20"/>
                <w:szCs w:val="20"/>
              </w:rPr>
              <w:instrText xml:space="preserve"> FORMCHECKBOX </w:instrText>
            </w:r>
            <w:r w:rsidR="007818AA">
              <w:rPr>
                <w:rFonts w:ascii="Arial Narrow" w:hAnsi="Arial Narrow" w:cs="Arial"/>
                <w:sz w:val="20"/>
                <w:szCs w:val="20"/>
              </w:rPr>
            </w:r>
            <w:r w:rsidR="007818AA">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Midwives</w:t>
            </w:r>
          </w:p>
        </w:tc>
      </w:tr>
      <w:tr w:rsidR="003A1224" w:rsidRPr="005A39D7" w:rsidTr="00E15E30">
        <w:trPr>
          <w:gridAfter w:val="2"/>
          <w:wAfter w:w="97" w:type="pct"/>
          <w:cantSplit/>
          <w:trHeight w:val="360"/>
        </w:trPr>
        <w:tc>
          <w:tcPr>
            <w:tcW w:w="1073" w:type="pct"/>
            <w:tcBorders>
              <w:top w:val="single" w:sz="4" w:space="0" w:color="auto"/>
              <w:left w:val="single" w:sz="4" w:space="0" w:color="auto"/>
              <w:bottom w:val="single" w:sz="4" w:space="0" w:color="auto"/>
              <w:right w:val="single" w:sz="4" w:space="0" w:color="auto"/>
            </w:tcBorders>
          </w:tcPr>
          <w:p w:rsidR="003A1224" w:rsidRPr="005A39D7" w:rsidRDefault="003A1224" w:rsidP="002274A6">
            <w:pPr>
              <w:spacing w:before="40" w:after="40"/>
              <w:jc w:val="both"/>
              <w:rPr>
                <w:rFonts w:ascii="Arial Narrow" w:hAnsi="Arial Narrow" w:cs="Arial"/>
                <w:b/>
                <w:sz w:val="20"/>
                <w:szCs w:val="20"/>
              </w:rPr>
            </w:pPr>
            <w:r w:rsidRPr="005A39D7">
              <w:rPr>
                <w:rFonts w:ascii="Arial Narrow" w:hAnsi="Arial Narrow" w:cs="Arial"/>
                <w:b/>
                <w:sz w:val="20"/>
                <w:szCs w:val="20"/>
              </w:rPr>
              <w:t>Condition:</w:t>
            </w:r>
          </w:p>
        </w:tc>
        <w:tc>
          <w:tcPr>
            <w:tcW w:w="3830" w:type="pct"/>
            <w:gridSpan w:val="15"/>
            <w:tcBorders>
              <w:top w:val="single" w:sz="4" w:space="0" w:color="auto"/>
              <w:left w:val="single" w:sz="4" w:space="0" w:color="auto"/>
              <w:bottom w:val="single" w:sz="4" w:space="0" w:color="auto"/>
              <w:right w:val="single" w:sz="4" w:space="0" w:color="auto"/>
            </w:tcBorders>
          </w:tcPr>
          <w:p w:rsidR="003A1224" w:rsidRPr="005A39D7" w:rsidRDefault="003A1224" w:rsidP="002274A6">
            <w:pPr>
              <w:spacing w:before="40" w:after="40"/>
              <w:rPr>
                <w:rFonts w:ascii="Arial Narrow" w:hAnsi="Arial Narrow" w:cs="Arial"/>
                <w:sz w:val="20"/>
                <w:szCs w:val="20"/>
              </w:rPr>
            </w:pPr>
            <w:r>
              <w:rPr>
                <w:rFonts w:ascii="Arial Narrow" w:hAnsi="Arial Narrow"/>
                <w:sz w:val="20"/>
              </w:rPr>
              <w:t>Phenylketonuria</w:t>
            </w:r>
          </w:p>
        </w:tc>
      </w:tr>
      <w:tr w:rsidR="003A1224" w:rsidRPr="005A39D7" w:rsidTr="00E15E30">
        <w:trPr>
          <w:gridAfter w:val="2"/>
          <w:wAfter w:w="97" w:type="pct"/>
          <w:cantSplit/>
          <w:trHeight w:val="360"/>
        </w:trPr>
        <w:tc>
          <w:tcPr>
            <w:tcW w:w="1073" w:type="pct"/>
            <w:tcBorders>
              <w:top w:val="single" w:sz="4" w:space="0" w:color="auto"/>
              <w:left w:val="single" w:sz="4" w:space="0" w:color="auto"/>
              <w:bottom w:val="single" w:sz="4" w:space="0" w:color="auto"/>
              <w:right w:val="single" w:sz="4" w:space="0" w:color="auto"/>
            </w:tcBorders>
          </w:tcPr>
          <w:p w:rsidR="003A1224" w:rsidRPr="005A39D7" w:rsidRDefault="003A1224" w:rsidP="002274A6">
            <w:pPr>
              <w:spacing w:before="40" w:after="40"/>
              <w:jc w:val="both"/>
              <w:rPr>
                <w:rFonts w:ascii="Arial Narrow" w:hAnsi="Arial Narrow" w:cs="Arial"/>
                <w:b/>
                <w:sz w:val="20"/>
                <w:szCs w:val="20"/>
              </w:rPr>
            </w:pPr>
            <w:r w:rsidRPr="005A39D7">
              <w:rPr>
                <w:rFonts w:ascii="Arial Narrow" w:hAnsi="Arial Narrow" w:cs="Arial"/>
                <w:b/>
                <w:sz w:val="20"/>
                <w:szCs w:val="20"/>
              </w:rPr>
              <w:t>PBS Indication:</w:t>
            </w:r>
          </w:p>
        </w:tc>
        <w:tc>
          <w:tcPr>
            <w:tcW w:w="3830" w:type="pct"/>
            <w:gridSpan w:val="15"/>
            <w:tcBorders>
              <w:top w:val="single" w:sz="4" w:space="0" w:color="auto"/>
              <w:left w:val="single" w:sz="4" w:space="0" w:color="auto"/>
              <w:bottom w:val="single" w:sz="4" w:space="0" w:color="auto"/>
              <w:right w:val="single" w:sz="4" w:space="0" w:color="auto"/>
            </w:tcBorders>
          </w:tcPr>
          <w:p w:rsidR="003A1224" w:rsidRPr="005A39D7" w:rsidRDefault="003A1224" w:rsidP="002274A6">
            <w:pPr>
              <w:spacing w:before="40" w:after="40"/>
              <w:rPr>
                <w:rFonts w:ascii="Arial Narrow" w:hAnsi="Arial Narrow" w:cs="Arial"/>
                <w:sz w:val="20"/>
                <w:szCs w:val="20"/>
              </w:rPr>
            </w:pPr>
            <w:r>
              <w:rPr>
                <w:rFonts w:ascii="Arial Narrow" w:hAnsi="Arial Narrow"/>
                <w:sz w:val="20"/>
              </w:rPr>
              <w:t>Phenylketonuria</w:t>
            </w:r>
          </w:p>
        </w:tc>
      </w:tr>
      <w:tr w:rsidR="003A1224" w:rsidRPr="005A39D7" w:rsidTr="00E15E30">
        <w:trPr>
          <w:gridAfter w:val="2"/>
          <w:wAfter w:w="97" w:type="pct"/>
          <w:cantSplit/>
          <w:trHeight w:val="360"/>
        </w:trPr>
        <w:tc>
          <w:tcPr>
            <w:tcW w:w="1073" w:type="pct"/>
            <w:tcBorders>
              <w:top w:val="single" w:sz="4" w:space="0" w:color="auto"/>
              <w:left w:val="single" w:sz="4" w:space="0" w:color="auto"/>
              <w:bottom w:val="single" w:sz="4" w:space="0" w:color="auto"/>
              <w:right w:val="single" w:sz="4" w:space="0" w:color="auto"/>
            </w:tcBorders>
          </w:tcPr>
          <w:p w:rsidR="003A1224" w:rsidRPr="005A39D7" w:rsidRDefault="003A1224" w:rsidP="002274A6">
            <w:pPr>
              <w:spacing w:before="40" w:after="40"/>
              <w:jc w:val="both"/>
              <w:rPr>
                <w:rFonts w:ascii="Arial Narrow" w:hAnsi="Arial Narrow" w:cs="Arial"/>
                <w:b/>
                <w:sz w:val="20"/>
                <w:szCs w:val="20"/>
              </w:rPr>
            </w:pPr>
            <w:r w:rsidRPr="005A39D7">
              <w:rPr>
                <w:rFonts w:ascii="Arial Narrow" w:hAnsi="Arial Narrow" w:cs="Arial"/>
                <w:b/>
                <w:sz w:val="20"/>
                <w:szCs w:val="20"/>
              </w:rPr>
              <w:t>Restriction Level / Method:</w:t>
            </w:r>
          </w:p>
          <w:p w:rsidR="003A1224" w:rsidRPr="005A39D7" w:rsidRDefault="003A1224" w:rsidP="002274A6">
            <w:pPr>
              <w:spacing w:before="40" w:after="40"/>
              <w:rPr>
                <w:rFonts w:ascii="Arial Narrow" w:hAnsi="Arial Narrow" w:cs="Arial"/>
                <w:sz w:val="20"/>
                <w:szCs w:val="20"/>
              </w:rPr>
            </w:pPr>
          </w:p>
        </w:tc>
        <w:tc>
          <w:tcPr>
            <w:tcW w:w="3830" w:type="pct"/>
            <w:gridSpan w:val="15"/>
            <w:tcBorders>
              <w:top w:val="single" w:sz="4" w:space="0" w:color="auto"/>
              <w:left w:val="single" w:sz="4" w:space="0" w:color="auto"/>
              <w:bottom w:val="single" w:sz="4" w:space="0" w:color="auto"/>
              <w:right w:val="single" w:sz="4" w:space="0" w:color="auto"/>
            </w:tcBorders>
          </w:tcPr>
          <w:p w:rsidR="003A1224" w:rsidRPr="005A39D7" w:rsidRDefault="003A1224" w:rsidP="002274A6">
            <w:pPr>
              <w:spacing w:before="40" w:after="40"/>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7818AA">
              <w:rPr>
                <w:rFonts w:ascii="Arial Narrow" w:hAnsi="Arial Narrow" w:cs="Arial"/>
                <w:sz w:val="20"/>
                <w:szCs w:val="20"/>
              </w:rPr>
            </w:r>
            <w:r w:rsidR="007818AA">
              <w:rPr>
                <w:rFonts w:ascii="Arial Narrow" w:hAnsi="Arial Narrow" w:cs="Arial"/>
                <w:sz w:val="20"/>
                <w:szCs w:val="20"/>
              </w:rPr>
              <w:fldChar w:fldCharType="separate"/>
            </w:r>
            <w:r>
              <w:rPr>
                <w:rFonts w:ascii="Arial Narrow" w:hAnsi="Arial Narrow" w:cs="Arial"/>
                <w:sz w:val="20"/>
                <w:szCs w:val="20"/>
              </w:rPr>
              <w:fldChar w:fldCharType="end"/>
            </w:r>
            <w:r w:rsidRPr="005A39D7">
              <w:rPr>
                <w:rFonts w:ascii="Arial Narrow" w:hAnsi="Arial Narrow" w:cs="Arial"/>
                <w:sz w:val="20"/>
                <w:szCs w:val="20"/>
              </w:rPr>
              <w:t>Restricted benefit</w:t>
            </w:r>
          </w:p>
          <w:p w:rsidR="003A1224" w:rsidRDefault="003A1224" w:rsidP="002274A6">
            <w:pPr>
              <w:spacing w:before="40" w:after="40"/>
              <w:rPr>
                <w:rFonts w:ascii="Arial Narrow" w:hAnsi="Arial Narrow" w:cs="Arial"/>
                <w:sz w:val="20"/>
                <w:szCs w:val="20"/>
              </w:rPr>
            </w:pPr>
            <w:r w:rsidRPr="005A39D7">
              <w:rPr>
                <w:rFonts w:ascii="Arial Narrow" w:hAnsi="Arial Narrow" w:cs="Arial"/>
                <w:sz w:val="20"/>
                <w:szCs w:val="20"/>
              </w:rPr>
              <w:fldChar w:fldCharType="begin">
                <w:ffData>
                  <w:name w:val=""/>
                  <w:enabled/>
                  <w:calcOnExit w:val="0"/>
                  <w:checkBox>
                    <w:sizeAuto/>
                    <w:default w:val="0"/>
                  </w:checkBox>
                </w:ffData>
              </w:fldChar>
            </w:r>
            <w:r w:rsidRPr="005A39D7">
              <w:rPr>
                <w:rFonts w:ascii="Arial Narrow" w:hAnsi="Arial Narrow" w:cs="Arial"/>
                <w:sz w:val="20"/>
                <w:szCs w:val="20"/>
              </w:rPr>
              <w:instrText xml:space="preserve"> FORMCHECKBOX </w:instrText>
            </w:r>
            <w:r w:rsidR="007818AA">
              <w:rPr>
                <w:rFonts w:ascii="Arial Narrow" w:hAnsi="Arial Narrow" w:cs="Arial"/>
                <w:sz w:val="20"/>
                <w:szCs w:val="20"/>
              </w:rPr>
            </w:r>
            <w:r w:rsidR="007818AA">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 xml:space="preserve">Authority Required </w:t>
            </w:r>
          </w:p>
          <w:p w:rsidR="003A1224" w:rsidRPr="005A39D7" w:rsidRDefault="003A1224" w:rsidP="002274A6">
            <w:pPr>
              <w:spacing w:before="40" w:after="40"/>
              <w:rPr>
                <w:rFonts w:ascii="Arial Narrow" w:hAnsi="Arial Narrow" w:cs="Arial"/>
                <w:sz w:val="20"/>
                <w:szCs w:val="20"/>
              </w:rPr>
            </w:pPr>
            <w:r w:rsidRPr="005A39D7">
              <w:rPr>
                <w:rFonts w:ascii="Arial Narrow" w:hAnsi="Arial Narrow" w:cs="Arial"/>
                <w:sz w:val="20"/>
                <w:szCs w:val="20"/>
              </w:rPr>
              <w:fldChar w:fldCharType="begin">
                <w:ffData>
                  <w:name w:val="Check5"/>
                  <w:enabled/>
                  <w:calcOnExit w:val="0"/>
                  <w:checkBox>
                    <w:sizeAuto/>
                    <w:default w:val="0"/>
                  </w:checkBox>
                </w:ffData>
              </w:fldChar>
            </w:r>
            <w:r w:rsidRPr="005A39D7">
              <w:rPr>
                <w:rFonts w:ascii="Arial Narrow" w:hAnsi="Arial Narrow" w:cs="Arial"/>
                <w:sz w:val="20"/>
                <w:szCs w:val="20"/>
              </w:rPr>
              <w:instrText xml:space="preserve"> FORMCHECKBOX </w:instrText>
            </w:r>
            <w:r w:rsidR="007818AA">
              <w:rPr>
                <w:rFonts w:ascii="Arial Narrow" w:hAnsi="Arial Narrow" w:cs="Arial"/>
                <w:sz w:val="20"/>
                <w:szCs w:val="20"/>
              </w:rPr>
            </w:r>
            <w:r w:rsidR="007818AA">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Streamlined</w:t>
            </w:r>
          </w:p>
        </w:tc>
      </w:tr>
      <w:tr w:rsidR="003A1224" w:rsidRPr="005A39D7" w:rsidTr="00E15E30">
        <w:trPr>
          <w:gridAfter w:val="1"/>
          <w:wAfter w:w="83" w:type="pct"/>
          <w:cantSplit/>
          <w:trHeight w:val="471"/>
        </w:trPr>
        <w:tc>
          <w:tcPr>
            <w:tcW w:w="2244" w:type="pct"/>
            <w:gridSpan w:val="3"/>
            <w:tcBorders>
              <w:bottom w:val="single" w:sz="4" w:space="0" w:color="auto"/>
            </w:tcBorders>
          </w:tcPr>
          <w:p w:rsidR="003A1224" w:rsidRPr="005A39D7" w:rsidRDefault="003A1224" w:rsidP="002274A6">
            <w:pPr>
              <w:keepNext/>
              <w:spacing w:before="40" w:after="40"/>
              <w:ind w:left="-108"/>
              <w:jc w:val="both"/>
              <w:rPr>
                <w:rFonts w:ascii="Arial Narrow" w:hAnsi="Arial Narrow" w:cs="Arial"/>
                <w:b/>
                <w:sz w:val="20"/>
                <w:szCs w:val="20"/>
              </w:rPr>
            </w:pPr>
            <w:r w:rsidRPr="005A39D7">
              <w:rPr>
                <w:rFonts w:ascii="Arial Narrow" w:hAnsi="Arial Narrow" w:cs="Arial"/>
                <w:b/>
                <w:sz w:val="20"/>
                <w:szCs w:val="20"/>
              </w:rPr>
              <w:t>Name, Restriction,</w:t>
            </w:r>
          </w:p>
          <w:p w:rsidR="003A1224" w:rsidRPr="005A39D7" w:rsidRDefault="003A1224" w:rsidP="002274A6">
            <w:pPr>
              <w:keepNext/>
              <w:spacing w:before="40" w:after="40"/>
              <w:ind w:left="-108"/>
              <w:jc w:val="both"/>
              <w:rPr>
                <w:rFonts w:ascii="Arial Narrow" w:hAnsi="Arial Narrow" w:cs="Arial"/>
                <w:b/>
                <w:sz w:val="20"/>
                <w:szCs w:val="20"/>
              </w:rPr>
            </w:pPr>
            <w:r w:rsidRPr="005A39D7">
              <w:rPr>
                <w:rFonts w:ascii="Arial Narrow" w:hAnsi="Arial Narrow" w:cs="Arial"/>
                <w:b/>
                <w:sz w:val="20"/>
                <w:szCs w:val="20"/>
              </w:rPr>
              <w:t>Manner of administration and form</w:t>
            </w:r>
          </w:p>
        </w:tc>
        <w:tc>
          <w:tcPr>
            <w:tcW w:w="377" w:type="pct"/>
            <w:gridSpan w:val="5"/>
            <w:tcBorders>
              <w:bottom w:val="single" w:sz="4" w:space="0" w:color="auto"/>
            </w:tcBorders>
          </w:tcPr>
          <w:p w:rsidR="003A1224" w:rsidRPr="005A39D7" w:rsidRDefault="003A1224" w:rsidP="002274A6">
            <w:pPr>
              <w:keepNext/>
              <w:spacing w:before="40" w:after="40"/>
              <w:ind w:left="-108"/>
              <w:jc w:val="both"/>
              <w:rPr>
                <w:rFonts w:ascii="Arial Narrow" w:hAnsi="Arial Narrow" w:cs="Arial"/>
                <w:b/>
                <w:sz w:val="20"/>
                <w:szCs w:val="20"/>
              </w:rPr>
            </w:pPr>
            <w:r w:rsidRPr="005A39D7">
              <w:rPr>
                <w:rFonts w:ascii="Arial Narrow" w:hAnsi="Arial Narrow" w:cs="Arial"/>
                <w:b/>
                <w:sz w:val="20"/>
                <w:szCs w:val="20"/>
              </w:rPr>
              <w:t>Max.</w:t>
            </w:r>
          </w:p>
          <w:p w:rsidR="003A1224" w:rsidRPr="005A39D7" w:rsidRDefault="003A1224" w:rsidP="002274A6">
            <w:pPr>
              <w:keepNext/>
              <w:spacing w:before="40" w:after="40"/>
              <w:ind w:left="-108"/>
              <w:jc w:val="both"/>
              <w:rPr>
                <w:rFonts w:ascii="Arial Narrow" w:hAnsi="Arial Narrow" w:cs="Arial"/>
                <w:b/>
                <w:sz w:val="20"/>
                <w:szCs w:val="20"/>
              </w:rPr>
            </w:pPr>
            <w:r w:rsidRPr="005A39D7">
              <w:rPr>
                <w:rFonts w:ascii="Arial Narrow" w:hAnsi="Arial Narrow" w:cs="Arial"/>
                <w:b/>
                <w:sz w:val="20"/>
                <w:szCs w:val="20"/>
              </w:rPr>
              <w:t>Qty</w:t>
            </w:r>
          </w:p>
        </w:tc>
        <w:tc>
          <w:tcPr>
            <w:tcW w:w="378" w:type="pct"/>
            <w:gridSpan w:val="2"/>
            <w:tcBorders>
              <w:bottom w:val="single" w:sz="4" w:space="0" w:color="auto"/>
            </w:tcBorders>
          </w:tcPr>
          <w:p w:rsidR="003A1224" w:rsidRPr="005A39D7" w:rsidRDefault="003A1224" w:rsidP="002274A6">
            <w:pPr>
              <w:keepNext/>
              <w:spacing w:before="40" w:after="40"/>
              <w:ind w:left="-108"/>
              <w:jc w:val="both"/>
              <w:rPr>
                <w:rFonts w:ascii="Arial Narrow" w:hAnsi="Arial Narrow" w:cs="Arial"/>
                <w:b/>
                <w:sz w:val="20"/>
                <w:szCs w:val="20"/>
              </w:rPr>
            </w:pPr>
            <w:r w:rsidRPr="005A39D7">
              <w:rPr>
                <w:rFonts w:ascii="Arial Narrow" w:hAnsi="Arial Narrow" w:cs="Arial"/>
                <w:b/>
                <w:sz w:val="20"/>
                <w:szCs w:val="20"/>
              </w:rPr>
              <w:t>№.of</w:t>
            </w:r>
          </w:p>
          <w:p w:rsidR="003A1224" w:rsidRPr="005A39D7" w:rsidRDefault="003A1224" w:rsidP="002274A6">
            <w:pPr>
              <w:keepNext/>
              <w:spacing w:before="40" w:after="40"/>
              <w:ind w:left="-108"/>
              <w:jc w:val="both"/>
              <w:rPr>
                <w:rFonts w:ascii="Arial Narrow" w:hAnsi="Arial Narrow" w:cs="Arial"/>
                <w:b/>
                <w:sz w:val="20"/>
                <w:szCs w:val="20"/>
              </w:rPr>
            </w:pPr>
            <w:r w:rsidRPr="005A39D7">
              <w:rPr>
                <w:rFonts w:ascii="Arial Narrow" w:hAnsi="Arial Narrow" w:cs="Arial"/>
                <w:b/>
                <w:sz w:val="20"/>
                <w:szCs w:val="20"/>
              </w:rPr>
              <w:t>Rpts</w:t>
            </w:r>
          </w:p>
        </w:tc>
        <w:tc>
          <w:tcPr>
            <w:tcW w:w="905" w:type="pct"/>
            <w:gridSpan w:val="5"/>
            <w:tcBorders>
              <w:bottom w:val="single" w:sz="4" w:space="0" w:color="auto"/>
            </w:tcBorders>
          </w:tcPr>
          <w:p w:rsidR="003A1224" w:rsidRPr="005A39D7" w:rsidRDefault="00E15E30" w:rsidP="002274A6">
            <w:pPr>
              <w:keepNext/>
              <w:spacing w:before="40" w:after="40"/>
              <w:ind w:left="-108"/>
              <w:jc w:val="both"/>
              <w:rPr>
                <w:rFonts w:ascii="Arial Narrow" w:hAnsi="Arial Narrow" w:cs="Arial"/>
                <w:b/>
                <w:sz w:val="20"/>
                <w:szCs w:val="20"/>
              </w:rPr>
            </w:pPr>
            <w:r w:rsidRPr="005A39D7">
              <w:rPr>
                <w:rFonts w:ascii="Arial Narrow" w:hAnsi="Arial Narrow" w:cs="Arial"/>
                <w:b/>
                <w:sz w:val="20"/>
                <w:szCs w:val="20"/>
              </w:rPr>
              <w:t>Proprietary Name</w:t>
            </w:r>
          </w:p>
        </w:tc>
        <w:tc>
          <w:tcPr>
            <w:tcW w:w="1013" w:type="pct"/>
            <w:gridSpan w:val="2"/>
            <w:tcBorders>
              <w:bottom w:val="single" w:sz="4" w:space="0" w:color="auto"/>
            </w:tcBorders>
          </w:tcPr>
          <w:p w:rsidR="003A1224" w:rsidRPr="005A39D7" w:rsidRDefault="003A1224" w:rsidP="002274A6">
            <w:pPr>
              <w:keepNext/>
              <w:spacing w:before="40" w:after="40"/>
              <w:jc w:val="both"/>
              <w:rPr>
                <w:rFonts w:ascii="Arial Narrow" w:hAnsi="Arial Narrow" w:cs="Arial"/>
                <w:b/>
                <w:sz w:val="20"/>
                <w:szCs w:val="20"/>
                <w:lang w:val="fr-FR"/>
              </w:rPr>
            </w:pPr>
            <w:r w:rsidRPr="005A39D7">
              <w:rPr>
                <w:rFonts w:ascii="Arial Narrow" w:hAnsi="Arial Narrow" w:cs="Arial"/>
                <w:b/>
                <w:sz w:val="20"/>
                <w:szCs w:val="20"/>
              </w:rPr>
              <w:t>Manufacturer</w:t>
            </w:r>
          </w:p>
        </w:tc>
      </w:tr>
      <w:tr w:rsidR="003A1224" w:rsidTr="00E15E30">
        <w:tblPrEx>
          <w:tblLook w:val="04A0" w:firstRow="1" w:lastRow="0" w:firstColumn="1" w:lastColumn="0" w:noHBand="0" w:noVBand="1"/>
        </w:tblPrEx>
        <w:trPr>
          <w:trHeight w:val="577"/>
        </w:trPr>
        <w:tc>
          <w:tcPr>
            <w:tcW w:w="2244" w:type="pct"/>
            <w:gridSpan w:val="3"/>
            <w:hideMark/>
          </w:tcPr>
          <w:p w:rsidR="003A1224" w:rsidRDefault="003A1224" w:rsidP="002274A6">
            <w:pPr>
              <w:keepNext/>
              <w:spacing w:before="40" w:after="40"/>
              <w:ind w:left="-108"/>
              <w:rPr>
                <w:rFonts w:ascii="Arial Narrow" w:hAnsi="Arial Narrow" w:cs="Arial"/>
                <w:sz w:val="20"/>
                <w:lang w:eastAsia="en-US"/>
              </w:rPr>
            </w:pPr>
            <w:r>
              <w:rPr>
                <w:rFonts w:ascii="Arial Narrow" w:hAnsi="Arial Narrow" w:cs="Arial"/>
                <w:sz w:val="20"/>
                <w:lang w:eastAsia="en-US"/>
              </w:rPr>
              <w:t xml:space="preserve">GLYCOMACROPEPTIDE AND ESSENTIAL AMINO ACIDS WITH VITAMINS AND MINERALS </w:t>
            </w:r>
          </w:p>
          <w:p w:rsidR="003A1224" w:rsidRDefault="003A1224" w:rsidP="00054C2A">
            <w:pPr>
              <w:keepNext/>
              <w:spacing w:before="40" w:after="40"/>
              <w:ind w:left="-108"/>
              <w:rPr>
                <w:rFonts w:ascii="Arial Narrow" w:hAnsi="Arial Narrow" w:cs="Arial"/>
                <w:sz w:val="20"/>
                <w:lang w:eastAsia="en-US"/>
              </w:rPr>
            </w:pPr>
            <w:r w:rsidRPr="00054C2A">
              <w:rPr>
                <w:rFonts w:ascii="Arial Narrow" w:hAnsi="Arial Narrow" w:cs="Arial"/>
                <w:sz w:val="20"/>
                <w:lang w:eastAsia="en-US"/>
              </w:rPr>
              <w:t>containing 20 g</w:t>
            </w:r>
            <w:r>
              <w:rPr>
                <w:rFonts w:ascii="Arial Narrow" w:hAnsi="Arial Narrow" w:cs="Arial"/>
                <w:sz w:val="20"/>
                <w:lang w:eastAsia="en-US"/>
              </w:rPr>
              <w:t xml:space="preserve"> protein equivalent powder for oral liquid, 30 x 32 g sachets </w:t>
            </w:r>
          </w:p>
        </w:tc>
        <w:tc>
          <w:tcPr>
            <w:tcW w:w="126" w:type="pct"/>
            <w:hideMark/>
          </w:tcPr>
          <w:p w:rsidR="003A1224" w:rsidRDefault="003A1224" w:rsidP="002274A6">
            <w:pPr>
              <w:keepNext/>
              <w:spacing w:before="40" w:after="40"/>
              <w:ind w:left="-108"/>
              <w:jc w:val="center"/>
              <w:rPr>
                <w:rFonts w:ascii="Arial Narrow" w:hAnsi="Arial Narrow" w:cs="Arial"/>
                <w:sz w:val="20"/>
                <w:lang w:eastAsia="en-US"/>
              </w:rPr>
            </w:pPr>
            <w:r>
              <w:rPr>
                <w:rFonts w:ascii="Arial Narrow" w:hAnsi="Arial Narrow" w:cs="Arial"/>
                <w:sz w:val="20"/>
                <w:lang w:eastAsia="en-US"/>
              </w:rPr>
              <w:t>4</w:t>
            </w:r>
          </w:p>
        </w:tc>
        <w:tc>
          <w:tcPr>
            <w:tcW w:w="714" w:type="pct"/>
            <w:gridSpan w:val="7"/>
            <w:hideMark/>
          </w:tcPr>
          <w:p w:rsidR="003A1224" w:rsidRDefault="003A1224" w:rsidP="002274A6">
            <w:pPr>
              <w:keepNext/>
              <w:spacing w:before="40" w:after="40"/>
              <w:ind w:left="-108"/>
              <w:jc w:val="center"/>
              <w:rPr>
                <w:rFonts w:ascii="Arial Narrow" w:hAnsi="Arial Narrow" w:cs="Arial"/>
                <w:sz w:val="20"/>
                <w:lang w:eastAsia="en-US"/>
              </w:rPr>
            </w:pPr>
            <w:r>
              <w:rPr>
                <w:rFonts w:ascii="Arial Narrow" w:hAnsi="Arial Narrow" w:cs="Arial"/>
                <w:sz w:val="20"/>
                <w:lang w:eastAsia="en-US"/>
              </w:rPr>
              <w:t>5</w:t>
            </w:r>
          </w:p>
        </w:tc>
        <w:tc>
          <w:tcPr>
            <w:tcW w:w="753" w:type="pct"/>
            <w:gridSpan w:val="2"/>
            <w:hideMark/>
          </w:tcPr>
          <w:p w:rsidR="00E15E30" w:rsidRPr="00310F2C" w:rsidRDefault="00E15E30" w:rsidP="00E15E30">
            <w:pPr>
              <w:keepNext/>
              <w:spacing w:before="40" w:after="40"/>
              <w:jc w:val="center"/>
              <w:rPr>
                <w:rFonts w:ascii="Arial Narrow" w:hAnsi="Arial Narrow" w:cs="Arial"/>
                <w:sz w:val="20"/>
                <w:lang w:eastAsia="en-US"/>
              </w:rPr>
            </w:pPr>
            <w:r>
              <w:rPr>
                <w:rFonts w:ascii="Arial Narrow" w:hAnsi="Arial Narrow" w:cs="Arial"/>
                <w:sz w:val="20"/>
                <w:lang w:eastAsia="en-US"/>
              </w:rPr>
              <w:t>PKU Build 2</w:t>
            </w:r>
            <w:r w:rsidRPr="00310F2C">
              <w:rPr>
                <w:rFonts w:ascii="Arial Narrow" w:hAnsi="Arial Narrow" w:cs="Arial"/>
                <w:sz w:val="20"/>
                <w:lang w:eastAsia="en-US"/>
              </w:rPr>
              <w:t>0</w:t>
            </w:r>
          </w:p>
          <w:p w:rsidR="003A1224" w:rsidRDefault="003A1224" w:rsidP="002274A6">
            <w:pPr>
              <w:keepNext/>
              <w:spacing w:before="40" w:after="40"/>
              <w:ind w:left="-108"/>
              <w:jc w:val="center"/>
              <w:rPr>
                <w:rFonts w:ascii="Arial Narrow" w:hAnsi="Arial Narrow" w:cs="Arial"/>
                <w:sz w:val="20"/>
                <w:lang w:eastAsia="en-US"/>
              </w:rPr>
            </w:pPr>
          </w:p>
        </w:tc>
        <w:tc>
          <w:tcPr>
            <w:tcW w:w="1163" w:type="pct"/>
            <w:gridSpan w:val="5"/>
            <w:hideMark/>
          </w:tcPr>
          <w:p w:rsidR="003A1224" w:rsidRDefault="003A1224" w:rsidP="002274A6">
            <w:pPr>
              <w:keepNext/>
              <w:spacing w:before="40" w:after="40"/>
              <w:jc w:val="center"/>
              <w:rPr>
                <w:rFonts w:ascii="Arial Narrow" w:hAnsi="Arial Narrow" w:cs="Arial"/>
                <w:sz w:val="20"/>
                <w:lang w:eastAsia="en-US"/>
              </w:rPr>
            </w:pPr>
            <w:r>
              <w:rPr>
                <w:rFonts w:ascii="Arial Narrow" w:hAnsi="Arial Narrow" w:cs="Arial"/>
                <w:sz w:val="20"/>
                <w:lang w:eastAsia="en-US"/>
              </w:rPr>
              <w:t>Cortex Health Pty Ltd</w:t>
            </w:r>
          </w:p>
        </w:tc>
      </w:tr>
      <w:tr w:rsidR="003A1224" w:rsidRPr="005A39D7" w:rsidTr="00E15E30">
        <w:trPr>
          <w:gridAfter w:val="1"/>
          <w:wAfter w:w="83" w:type="pct"/>
          <w:cantSplit/>
          <w:trHeight w:val="360"/>
        </w:trPr>
        <w:tc>
          <w:tcPr>
            <w:tcW w:w="1074" w:type="pct"/>
            <w:tcBorders>
              <w:top w:val="single" w:sz="4" w:space="0" w:color="auto"/>
              <w:left w:val="single" w:sz="4" w:space="0" w:color="auto"/>
              <w:bottom w:val="single" w:sz="4" w:space="0" w:color="auto"/>
              <w:right w:val="single" w:sz="4" w:space="0" w:color="auto"/>
            </w:tcBorders>
          </w:tcPr>
          <w:p w:rsidR="003A1224" w:rsidRPr="005A39D7" w:rsidRDefault="003A1224" w:rsidP="002274A6">
            <w:pPr>
              <w:spacing w:before="40" w:after="40"/>
              <w:jc w:val="both"/>
              <w:rPr>
                <w:rFonts w:ascii="Arial Narrow" w:hAnsi="Arial Narrow" w:cs="Arial"/>
                <w:b/>
                <w:sz w:val="20"/>
                <w:szCs w:val="20"/>
              </w:rPr>
            </w:pPr>
            <w:r w:rsidRPr="005A39D7">
              <w:rPr>
                <w:rFonts w:ascii="Arial Narrow" w:hAnsi="Arial Narrow" w:cs="Arial"/>
                <w:b/>
                <w:sz w:val="20"/>
                <w:szCs w:val="20"/>
              </w:rPr>
              <w:t xml:space="preserve">Category / </w:t>
            </w:r>
          </w:p>
          <w:p w:rsidR="003A1224" w:rsidRPr="005A39D7" w:rsidRDefault="003A1224" w:rsidP="002274A6">
            <w:pPr>
              <w:spacing w:before="40" w:after="40"/>
              <w:jc w:val="both"/>
              <w:rPr>
                <w:rFonts w:ascii="Arial Narrow" w:hAnsi="Arial Narrow" w:cs="Arial"/>
                <w:b/>
                <w:sz w:val="20"/>
                <w:szCs w:val="20"/>
              </w:rPr>
            </w:pPr>
            <w:r w:rsidRPr="005A39D7">
              <w:rPr>
                <w:rFonts w:ascii="Arial Narrow" w:hAnsi="Arial Narrow" w:cs="Arial"/>
                <w:b/>
                <w:sz w:val="20"/>
                <w:szCs w:val="20"/>
              </w:rPr>
              <w:t>Program</w:t>
            </w:r>
          </w:p>
        </w:tc>
        <w:tc>
          <w:tcPr>
            <w:tcW w:w="3843" w:type="pct"/>
            <w:gridSpan w:val="16"/>
            <w:tcBorders>
              <w:top w:val="single" w:sz="4" w:space="0" w:color="auto"/>
              <w:left w:val="single" w:sz="4" w:space="0" w:color="auto"/>
              <w:bottom w:val="single" w:sz="4" w:space="0" w:color="auto"/>
              <w:right w:val="single" w:sz="4" w:space="0" w:color="auto"/>
            </w:tcBorders>
          </w:tcPr>
          <w:p w:rsidR="003A1224" w:rsidRPr="005A39D7" w:rsidRDefault="003A1224" w:rsidP="002274A6">
            <w:pPr>
              <w:spacing w:before="40" w:after="40"/>
              <w:rPr>
                <w:rFonts w:ascii="Arial Narrow" w:hAnsi="Arial Narrow" w:cs="Arial"/>
                <w:sz w:val="20"/>
                <w:szCs w:val="20"/>
              </w:rPr>
            </w:pPr>
            <w:r w:rsidRPr="005A39D7">
              <w:rPr>
                <w:rFonts w:ascii="Arial Narrow" w:hAnsi="Arial Narrow" w:cs="Arial"/>
                <w:sz w:val="20"/>
                <w:szCs w:val="20"/>
              </w:rPr>
              <w:t>GENERAL – General Schedule (Code GE)</w:t>
            </w:r>
          </w:p>
          <w:p w:rsidR="003A1224" w:rsidRPr="005A39D7" w:rsidRDefault="003A1224" w:rsidP="002274A6">
            <w:pPr>
              <w:spacing w:before="40" w:after="40"/>
              <w:rPr>
                <w:rFonts w:ascii="Arial Narrow" w:hAnsi="Arial Narrow" w:cs="Arial"/>
                <w:sz w:val="20"/>
                <w:szCs w:val="20"/>
              </w:rPr>
            </w:pPr>
          </w:p>
        </w:tc>
      </w:tr>
      <w:tr w:rsidR="003A1224" w:rsidRPr="005A39D7" w:rsidTr="00E15E30">
        <w:trPr>
          <w:gridAfter w:val="1"/>
          <w:wAfter w:w="83" w:type="pct"/>
          <w:cantSplit/>
          <w:trHeight w:val="360"/>
        </w:trPr>
        <w:tc>
          <w:tcPr>
            <w:tcW w:w="1074" w:type="pct"/>
            <w:tcBorders>
              <w:top w:val="single" w:sz="4" w:space="0" w:color="auto"/>
              <w:left w:val="single" w:sz="4" w:space="0" w:color="auto"/>
              <w:bottom w:val="single" w:sz="4" w:space="0" w:color="auto"/>
              <w:right w:val="single" w:sz="4" w:space="0" w:color="auto"/>
            </w:tcBorders>
          </w:tcPr>
          <w:p w:rsidR="003A1224" w:rsidRPr="005A39D7" w:rsidRDefault="003A1224" w:rsidP="002274A6">
            <w:pPr>
              <w:spacing w:before="40" w:after="40"/>
              <w:jc w:val="both"/>
              <w:rPr>
                <w:rFonts w:ascii="Arial Narrow" w:hAnsi="Arial Narrow" w:cs="Arial"/>
                <w:b/>
                <w:sz w:val="20"/>
                <w:szCs w:val="20"/>
              </w:rPr>
            </w:pPr>
            <w:r w:rsidRPr="005A39D7">
              <w:rPr>
                <w:rFonts w:ascii="Arial Narrow" w:hAnsi="Arial Narrow" w:cs="Arial"/>
                <w:b/>
                <w:sz w:val="20"/>
                <w:szCs w:val="20"/>
              </w:rPr>
              <w:t>Prescriber type:</w:t>
            </w:r>
          </w:p>
        </w:tc>
        <w:tc>
          <w:tcPr>
            <w:tcW w:w="3843" w:type="pct"/>
            <w:gridSpan w:val="16"/>
            <w:tcBorders>
              <w:top w:val="single" w:sz="4" w:space="0" w:color="auto"/>
              <w:left w:val="single" w:sz="4" w:space="0" w:color="auto"/>
              <w:bottom w:val="single" w:sz="4" w:space="0" w:color="auto"/>
              <w:right w:val="single" w:sz="4" w:space="0" w:color="auto"/>
            </w:tcBorders>
          </w:tcPr>
          <w:p w:rsidR="003A1224" w:rsidRPr="005A39D7" w:rsidRDefault="003A1224" w:rsidP="002274A6">
            <w:pPr>
              <w:spacing w:before="40" w:after="40"/>
              <w:rPr>
                <w:rFonts w:ascii="Arial Narrow" w:hAnsi="Arial Narrow" w:cs="Arial"/>
                <w:sz w:val="20"/>
                <w:szCs w:val="20"/>
              </w:rPr>
            </w:pPr>
            <w:r w:rsidRPr="005A39D7">
              <w:rPr>
                <w:rFonts w:ascii="Arial Narrow" w:hAnsi="Arial Narrow" w:cs="Arial"/>
                <w:sz w:val="20"/>
                <w:szCs w:val="20"/>
              </w:rPr>
              <w:fldChar w:fldCharType="begin">
                <w:ffData>
                  <w:name w:val="Check1"/>
                  <w:enabled/>
                  <w:calcOnExit w:val="0"/>
                  <w:checkBox>
                    <w:sizeAuto/>
                    <w:default w:val="0"/>
                  </w:checkBox>
                </w:ffData>
              </w:fldChar>
            </w:r>
            <w:r w:rsidRPr="005A39D7">
              <w:rPr>
                <w:rFonts w:ascii="Arial Narrow" w:hAnsi="Arial Narrow" w:cs="Arial"/>
                <w:sz w:val="20"/>
                <w:szCs w:val="20"/>
              </w:rPr>
              <w:instrText xml:space="preserve"> FORMCHECKBOX </w:instrText>
            </w:r>
            <w:r w:rsidR="007818AA">
              <w:rPr>
                <w:rFonts w:ascii="Arial Narrow" w:hAnsi="Arial Narrow" w:cs="Arial"/>
                <w:sz w:val="20"/>
                <w:szCs w:val="20"/>
              </w:rPr>
            </w:r>
            <w:r w:rsidR="007818AA">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818AA">
              <w:rPr>
                <w:rFonts w:ascii="Arial Narrow" w:hAnsi="Arial Narrow" w:cs="Arial"/>
                <w:sz w:val="20"/>
                <w:szCs w:val="20"/>
              </w:rPr>
            </w:r>
            <w:r w:rsidR="007818AA">
              <w:rPr>
                <w:rFonts w:ascii="Arial Narrow" w:hAnsi="Arial Narrow" w:cs="Arial"/>
                <w:sz w:val="20"/>
                <w:szCs w:val="20"/>
              </w:rPr>
              <w:fldChar w:fldCharType="separate"/>
            </w:r>
            <w:r>
              <w:rPr>
                <w:rFonts w:ascii="Arial Narrow" w:hAnsi="Arial Narrow" w:cs="Arial"/>
                <w:sz w:val="20"/>
                <w:szCs w:val="20"/>
              </w:rPr>
              <w:fldChar w:fldCharType="end"/>
            </w:r>
            <w:r w:rsidRPr="005A39D7">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7818AA">
              <w:rPr>
                <w:rFonts w:ascii="Arial Narrow" w:hAnsi="Arial Narrow" w:cs="Arial"/>
                <w:sz w:val="20"/>
                <w:szCs w:val="20"/>
              </w:rPr>
            </w:r>
            <w:r w:rsidR="007818AA">
              <w:rPr>
                <w:rFonts w:ascii="Arial Narrow" w:hAnsi="Arial Narrow" w:cs="Arial"/>
                <w:sz w:val="20"/>
                <w:szCs w:val="20"/>
              </w:rPr>
              <w:fldChar w:fldCharType="separate"/>
            </w:r>
            <w:r>
              <w:rPr>
                <w:rFonts w:ascii="Arial Narrow" w:hAnsi="Arial Narrow" w:cs="Arial"/>
                <w:sz w:val="20"/>
                <w:szCs w:val="20"/>
              </w:rPr>
              <w:fldChar w:fldCharType="end"/>
            </w:r>
            <w:r w:rsidRPr="005A39D7">
              <w:rPr>
                <w:rFonts w:ascii="Arial Narrow" w:hAnsi="Arial Narrow" w:cs="Arial"/>
                <w:sz w:val="20"/>
                <w:szCs w:val="20"/>
              </w:rPr>
              <w:t xml:space="preserve">Nurse practitioners  </w:t>
            </w:r>
            <w:r w:rsidRPr="005A39D7">
              <w:rPr>
                <w:rFonts w:ascii="Arial Narrow" w:hAnsi="Arial Narrow" w:cs="Arial"/>
                <w:sz w:val="20"/>
                <w:szCs w:val="20"/>
              </w:rPr>
              <w:fldChar w:fldCharType="begin">
                <w:ffData>
                  <w:name w:val=""/>
                  <w:enabled/>
                  <w:calcOnExit w:val="0"/>
                  <w:checkBox>
                    <w:sizeAuto/>
                    <w:default w:val="0"/>
                  </w:checkBox>
                </w:ffData>
              </w:fldChar>
            </w:r>
            <w:r w:rsidRPr="005A39D7">
              <w:rPr>
                <w:rFonts w:ascii="Arial Narrow" w:hAnsi="Arial Narrow" w:cs="Arial"/>
                <w:sz w:val="20"/>
                <w:szCs w:val="20"/>
              </w:rPr>
              <w:instrText xml:space="preserve"> FORMCHECKBOX </w:instrText>
            </w:r>
            <w:r w:rsidR="007818AA">
              <w:rPr>
                <w:rFonts w:ascii="Arial Narrow" w:hAnsi="Arial Narrow" w:cs="Arial"/>
                <w:sz w:val="20"/>
                <w:szCs w:val="20"/>
              </w:rPr>
            </w:r>
            <w:r w:rsidR="007818AA">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Optometrists</w:t>
            </w:r>
          </w:p>
          <w:p w:rsidR="003A1224" w:rsidRPr="005A39D7" w:rsidRDefault="003A1224" w:rsidP="002274A6">
            <w:pPr>
              <w:spacing w:before="40" w:after="40"/>
              <w:rPr>
                <w:rFonts w:ascii="Arial Narrow" w:hAnsi="Arial Narrow" w:cs="Arial"/>
                <w:sz w:val="20"/>
                <w:szCs w:val="20"/>
              </w:rPr>
            </w:pPr>
            <w:r w:rsidRPr="005A39D7">
              <w:rPr>
                <w:rFonts w:ascii="Arial Narrow" w:hAnsi="Arial Narrow" w:cs="Arial"/>
                <w:sz w:val="20"/>
                <w:szCs w:val="20"/>
              </w:rPr>
              <w:fldChar w:fldCharType="begin">
                <w:ffData>
                  <w:name w:val="Check5"/>
                  <w:enabled/>
                  <w:calcOnExit w:val="0"/>
                  <w:checkBox>
                    <w:sizeAuto/>
                    <w:default w:val="0"/>
                  </w:checkBox>
                </w:ffData>
              </w:fldChar>
            </w:r>
            <w:r w:rsidRPr="005A39D7">
              <w:rPr>
                <w:rFonts w:ascii="Arial Narrow" w:hAnsi="Arial Narrow" w:cs="Arial"/>
                <w:sz w:val="20"/>
                <w:szCs w:val="20"/>
              </w:rPr>
              <w:instrText xml:space="preserve"> FORMCHECKBOX </w:instrText>
            </w:r>
            <w:r w:rsidR="007818AA">
              <w:rPr>
                <w:rFonts w:ascii="Arial Narrow" w:hAnsi="Arial Narrow" w:cs="Arial"/>
                <w:sz w:val="20"/>
                <w:szCs w:val="20"/>
              </w:rPr>
            </w:r>
            <w:r w:rsidR="007818AA">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Midwives</w:t>
            </w:r>
          </w:p>
        </w:tc>
      </w:tr>
      <w:tr w:rsidR="003A1224" w:rsidRPr="005A39D7" w:rsidTr="00E15E30">
        <w:trPr>
          <w:gridAfter w:val="1"/>
          <w:wAfter w:w="83" w:type="pct"/>
          <w:cantSplit/>
          <w:trHeight w:val="360"/>
        </w:trPr>
        <w:tc>
          <w:tcPr>
            <w:tcW w:w="1074" w:type="pct"/>
            <w:tcBorders>
              <w:top w:val="single" w:sz="4" w:space="0" w:color="auto"/>
              <w:left w:val="single" w:sz="4" w:space="0" w:color="auto"/>
              <w:bottom w:val="single" w:sz="4" w:space="0" w:color="auto"/>
              <w:right w:val="single" w:sz="4" w:space="0" w:color="auto"/>
            </w:tcBorders>
          </w:tcPr>
          <w:p w:rsidR="003A1224" w:rsidRPr="005A39D7" w:rsidRDefault="003A1224" w:rsidP="002274A6">
            <w:pPr>
              <w:spacing w:before="40" w:after="40"/>
              <w:jc w:val="both"/>
              <w:rPr>
                <w:rFonts w:ascii="Arial Narrow" w:hAnsi="Arial Narrow" w:cs="Arial"/>
                <w:b/>
                <w:sz w:val="20"/>
                <w:szCs w:val="20"/>
              </w:rPr>
            </w:pPr>
            <w:r w:rsidRPr="005A39D7">
              <w:rPr>
                <w:rFonts w:ascii="Arial Narrow" w:hAnsi="Arial Narrow" w:cs="Arial"/>
                <w:b/>
                <w:sz w:val="20"/>
                <w:szCs w:val="20"/>
              </w:rPr>
              <w:t>Condition:</w:t>
            </w:r>
          </w:p>
        </w:tc>
        <w:tc>
          <w:tcPr>
            <w:tcW w:w="3843" w:type="pct"/>
            <w:gridSpan w:val="16"/>
            <w:tcBorders>
              <w:top w:val="single" w:sz="4" w:space="0" w:color="auto"/>
              <w:left w:val="single" w:sz="4" w:space="0" w:color="auto"/>
              <w:bottom w:val="single" w:sz="4" w:space="0" w:color="auto"/>
              <w:right w:val="single" w:sz="4" w:space="0" w:color="auto"/>
            </w:tcBorders>
          </w:tcPr>
          <w:p w:rsidR="003A1224" w:rsidRPr="005A39D7" w:rsidRDefault="003A1224" w:rsidP="002274A6">
            <w:pPr>
              <w:spacing w:before="40" w:after="40"/>
              <w:rPr>
                <w:rFonts w:ascii="Arial Narrow" w:hAnsi="Arial Narrow" w:cs="Arial"/>
                <w:sz w:val="20"/>
                <w:szCs w:val="20"/>
              </w:rPr>
            </w:pPr>
            <w:r>
              <w:rPr>
                <w:rFonts w:ascii="Arial Narrow" w:hAnsi="Arial Narrow"/>
                <w:sz w:val="20"/>
              </w:rPr>
              <w:t>Phenylketonuria</w:t>
            </w:r>
          </w:p>
        </w:tc>
      </w:tr>
      <w:tr w:rsidR="003A1224" w:rsidRPr="005A39D7" w:rsidTr="00E15E30">
        <w:trPr>
          <w:gridAfter w:val="1"/>
          <w:wAfter w:w="83" w:type="pct"/>
          <w:cantSplit/>
          <w:trHeight w:val="360"/>
        </w:trPr>
        <w:tc>
          <w:tcPr>
            <w:tcW w:w="1074" w:type="pct"/>
            <w:tcBorders>
              <w:top w:val="single" w:sz="4" w:space="0" w:color="auto"/>
              <w:left w:val="single" w:sz="4" w:space="0" w:color="auto"/>
              <w:bottom w:val="single" w:sz="4" w:space="0" w:color="auto"/>
              <w:right w:val="single" w:sz="4" w:space="0" w:color="auto"/>
            </w:tcBorders>
          </w:tcPr>
          <w:p w:rsidR="003A1224" w:rsidRPr="005A39D7" w:rsidRDefault="003A1224" w:rsidP="002274A6">
            <w:pPr>
              <w:spacing w:before="40" w:after="40"/>
              <w:jc w:val="both"/>
              <w:rPr>
                <w:rFonts w:ascii="Arial Narrow" w:hAnsi="Arial Narrow" w:cs="Arial"/>
                <w:b/>
                <w:sz w:val="20"/>
                <w:szCs w:val="20"/>
              </w:rPr>
            </w:pPr>
            <w:r w:rsidRPr="005A39D7">
              <w:rPr>
                <w:rFonts w:ascii="Arial Narrow" w:hAnsi="Arial Narrow" w:cs="Arial"/>
                <w:b/>
                <w:sz w:val="20"/>
                <w:szCs w:val="20"/>
              </w:rPr>
              <w:t>PBS Indication:</w:t>
            </w:r>
          </w:p>
        </w:tc>
        <w:tc>
          <w:tcPr>
            <w:tcW w:w="3843" w:type="pct"/>
            <w:gridSpan w:val="16"/>
            <w:tcBorders>
              <w:top w:val="single" w:sz="4" w:space="0" w:color="auto"/>
              <w:left w:val="single" w:sz="4" w:space="0" w:color="auto"/>
              <w:bottom w:val="single" w:sz="4" w:space="0" w:color="auto"/>
              <w:right w:val="single" w:sz="4" w:space="0" w:color="auto"/>
            </w:tcBorders>
          </w:tcPr>
          <w:p w:rsidR="003A1224" w:rsidRPr="005A39D7" w:rsidRDefault="003A1224" w:rsidP="002274A6">
            <w:pPr>
              <w:spacing w:before="40" w:after="40"/>
              <w:rPr>
                <w:rFonts w:ascii="Arial Narrow" w:hAnsi="Arial Narrow" w:cs="Arial"/>
                <w:sz w:val="20"/>
                <w:szCs w:val="20"/>
              </w:rPr>
            </w:pPr>
            <w:r>
              <w:rPr>
                <w:rFonts w:ascii="Arial Narrow" w:hAnsi="Arial Narrow"/>
                <w:sz w:val="20"/>
              </w:rPr>
              <w:t>Phenylketonuria</w:t>
            </w:r>
          </w:p>
        </w:tc>
      </w:tr>
      <w:tr w:rsidR="003A1224" w:rsidRPr="005A39D7" w:rsidTr="00E15E30">
        <w:trPr>
          <w:gridAfter w:val="1"/>
          <w:wAfter w:w="83" w:type="pct"/>
          <w:cantSplit/>
          <w:trHeight w:val="360"/>
        </w:trPr>
        <w:tc>
          <w:tcPr>
            <w:tcW w:w="1074" w:type="pct"/>
            <w:tcBorders>
              <w:top w:val="single" w:sz="4" w:space="0" w:color="auto"/>
              <w:left w:val="single" w:sz="4" w:space="0" w:color="auto"/>
              <w:bottom w:val="single" w:sz="4" w:space="0" w:color="auto"/>
              <w:right w:val="single" w:sz="4" w:space="0" w:color="auto"/>
            </w:tcBorders>
          </w:tcPr>
          <w:p w:rsidR="003A1224" w:rsidRPr="005A39D7" w:rsidRDefault="003A1224" w:rsidP="002274A6">
            <w:pPr>
              <w:spacing w:before="40" w:after="40"/>
              <w:jc w:val="both"/>
              <w:rPr>
                <w:rFonts w:ascii="Arial Narrow" w:hAnsi="Arial Narrow" w:cs="Arial"/>
                <w:b/>
                <w:sz w:val="20"/>
                <w:szCs w:val="20"/>
              </w:rPr>
            </w:pPr>
            <w:r w:rsidRPr="005A39D7">
              <w:rPr>
                <w:rFonts w:ascii="Arial Narrow" w:hAnsi="Arial Narrow" w:cs="Arial"/>
                <w:b/>
                <w:sz w:val="20"/>
                <w:szCs w:val="20"/>
              </w:rPr>
              <w:t>Restriction Level / Method:</w:t>
            </w:r>
          </w:p>
          <w:p w:rsidR="003A1224" w:rsidRPr="005A39D7" w:rsidRDefault="003A1224" w:rsidP="002274A6">
            <w:pPr>
              <w:spacing w:before="40" w:after="40"/>
              <w:rPr>
                <w:rFonts w:ascii="Arial Narrow" w:hAnsi="Arial Narrow" w:cs="Arial"/>
                <w:sz w:val="20"/>
                <w:szCs w:val="20"/>
              </w:rPr>
            </w:pPr>
          </w:p>
        </w:tc>
        <w:tc>
          <w:tcPr>
            <w:tcW w:w="3843" w:type="pct"/>
            <w:gridSpan w:val="16"/>
            <w:tcBorders>
              <w:top w:val="single" w:sz="4" w:space="0" w:color="auto"/>
              <w:left w:val="single" w:sz="4" w:space="0" w:color="auto"/>
              <w:bottom w:val="single" w:sz="4" w:space="0" w:color="auto"/>
              <w:right w:val="single" w:sz="4" w:space="0" w:color="auto"/>
            </w:tcBorders>
          </w:tcPr>
          <w:p w:rsidR="003A1224" w:rsidRPr="005A39D7" w:rsidRDefault="003A1224" w:rsidP="002274A6">
            <w:pPr>
              <w:spacing w:before="40" w:after="40"/>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7818AA">
              <w:rPr>
                <w:rFonts w:ascii="Arial Narrow" w:hAnsi="Arial Narrow" w:cs="Arial"/>
                <w:sz w:val="20"/>
                <w:szCs w:val="20"/>
              </w:rPr>
            </w:r>
            <w:r w:rsidR="007818AA">
              <w:rPr>
                <w:rFonts w:ascii="Arial Narrow" w:hAnsi="Arial Narrow" w:cs="Arial"/>
                <w:sz w:val="20"/>
                <w:szCs w:val="20"/>
              </w:rPr>
              <w:fldChar w:fldCharType="separate"/>
            </w:r>
            <w:r>
              <w:rPr>
                <w:rFonts w:ascii="Arial Narrow" w:hAnsi="Arial Narrow" w:cs="Arial"/>
                <w:sz w:val="20"/>
                <w:szCs w:val="20"/>
              </w:rPr>
              <w:fldChar w:fldCharType="end"/>
            </w:r>
            <w:r w:rsidRPr="005A39D7">
              <w:rPr>
                <w:rFonts w:ascii="Arial Narrow" w:hAnsi="Arial Narrow" w:cs="Arial"/>
                <w:sz w:val="20"/>
                <w:szCs w:val="20"/>
              </w:rPr>
              <w:t>Restricted benefit</w:t>
            </w:r>
          </w:p>
          <w:p w:rsidR="003A1224" w:rsidRPr="005A39D7" w:rsidRDefault="003A1224" w:rsidP="002274A6">
            <w:pPr>
              <w:spacing w:before="40" w:after="40"/>
              <w:rPr>
                <w:rFonts w:ascii="Arial Narrow" w:hAnsi="Arial Narrow" w:cs="Arial"/>
                <w:sz w:val="20"/>
                <w:szCs w:val="20"/>
              </w:rPr>
            </w:pPr>
            <w:r w:rsidRPr="005A39D7">
              <w:rPr>
                <w:rFonts w:ascii="Arial Narrow" w:hAnsi="Arial Narrow" w:cs="Arial"/>
                <w:sz w:val="20"/>
                <w:szCs w:val="20"/>
              </w:rPr>
              <w:fldChar w:fldCharType="begin">
                <w:ffData>
                  <w:name w:val=""/>
                  <w:enabled/>
                  <w:calcOnExit w:val="0"/>
                  <w:checkBox>
                    <w:sizeAuto/>
                    <w:default w:val="0"/>
                  </w:checkBox>
                </w:ffData>
              </w:fldChar>
            </w:r>
            <w:r w:rsidRPr="005A39D7">
              <w:rPr>
                <w:rFonts w:ascii="Arial Narrow" w:hAnsi="Arial Narrow" w:cs="Arial"/>
                <w:sz w:val="20"/>
                <w:szCs w:val="20"/>
              </w:rPr>
              <w:instrText xml:space="preserve"> FORMCHECKBOX </w:instrText>
            </w:r>
            <w:r w:rsidR="007818AA">
              <w:rPr>
                <w:rFonts w:ascii="Arial Narrow" w:hAnsi="Arial Narrow" w:cs="Arial"/>
                <w:sz w:val="20"/>
                <w:szCs w:val="20"/>
              </w:rPr>
            </w:r>
            <w:r w:rsidR="007818AA">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Authority Required</w:t>
            </w:r>
          </w:p>
          <w:p w:rsidR="003A1224" w:rsidRPr="005A39D7" w:rsidRDefault="003A1224" w:rsidP="002274A6">
            <w:pPr>
              <w:spacing w:before="40" w:after="40"/>
              <w:rPr>
                <w:rFonts w:ascii="Arial Narrow" w:hAnsi="Arial Narrow" w:cs="Arial"/>
                <w:sz w:val="20"/>
                <w:szCs w:val="20"/>
              </w:rPr>
            </w:pPr>
            <w:r w:rsidRPr="005A39D7">
              <w:rPr>
                <w:rFonts w:ascii="Arial Narrow" w:hAnsi="Arial Narrow" w:cs="Arial"/>
                <w:sz w:val="20"/>
                <w:szCs w:val="20"/>
              </w:rPr>
              <w:fldChar w:fldCharType="begin">
                <w:ffData>
                  <w:name w:val="Check5"/>
                  <w:enabled/>
                  <w:calcOnExit w:val="0"/>
                  <w:checkBox>
                    <w:sizeAuto/>
                    <w:default w:val="0"/>
                  </w:checkBox>
                </w:ffData>
              </w:fldChar>
            </w:r>
            <w:r w:rsidRPr="005A39D7">
              <w:rPr>
                <w:rFonts w:ascii="Arial Narrow" w:hAnsi="Arial Narrow" w:cs="Arial"/>
                <w:sz w:val="20"/>
                <w:szCs w:val="20"/>
              </w:rPr>
              <w:instrText xml:space="preserve"> FORMCHECKBOX </w:instrText>
            </w:r>
            <w:r w:rsidR="007818AA">
              <w:rPr>
                <w:rFonts w:ascii="Arial Narrow" w:hAnsi="Arial Narrow" w:cs="Arial"/>
                <w:sz w:val="20"/>
                <w:szCs w:val="20"/>
              </w:rPr>
            </w:r>
            <w:r w:rsidR="007818AA">
              <w:rPr>
                <w:rFonts w:ascii="Arial Narrow" w:hAnsi="Arial Narrow" w:cs="Arial"/>
                <w:sz w:val="20"/>
                <w:szCs w:val="20"/>
              </w:rPr>
              <w:fldChar w:fldCharType="separate"/>
            </w:r>
            <w:r w:rsidRPr="005A39D7">
              <w:rPr>
                <w:rFonts w:ascii="Arial Narrow" w:hAnsi="Arial Narrow" w:cs="Arial"/>
                <w:sz w:val="20"/>
                <w:szCs w:val="20"/>
              </w:rPr>
              <w:fldChar w:fldCharType="end"/>
            </w:r>
            <w:r w:rsidRPr="005A39D7">
              <w:rPr>
                <w:rFonts w:ascii="Arial Narrow" w:hAnsi="Arial Narrow" w:cs="Arial"/>
                <w:sz w:val="20"/>
                <w:szCs w:val="20"/>
              </w:rPr>
              <w:t>Streamlined</w:t>
            </w:r>
          </w:p>
        </w:tc>
      </w:tr>
    </w:tbl>
    <w:p w:rsidR="00921004" w:rsidRDefault="00921004" w:rsidP="002A00D3">
      <w:pPr>
        <w:contextualSpacing/>
        <w:rPr>
          <w:rFonts w:ascii="Calibri" w:hAnsi="Calibri" w:cs="Calibri"/>
        </w:rPr>
      </w:pPr>
    </w:p>
    <w:p w:rsidR="0077502A" w:rsidRPr="0077502A" w:rsidRDefault="0077502A" w:rsidP="0077502A">
      <w:pPr>
        <w:keepNext/>
        <w:keepLines/>
        <w:numPr>
          <w:ilvl w:val="0"/>
          <w:numId w:val="2"/>
        </w:numPr>
        <w:spacing w:before="240" w:after="120"/>
        <w:ind w:left="709" w:hanging="709"/>
        <w:outlineLvl w:val="0"/>
        <w:rPr>
          <w:rFonts w:ascii="Calibri" w:hAnsi="Calibri"/>
          <w:b/>
          <w:sz w:val="32"/>
          <w:szCs w:val="32"/>
          <w:lang w:eastAsia="en-US"/>
        </w:rPr>
      </w:pPr>
      <w:r w:rsidRPr="0077502A">
        <w:rPr>
          <w:rFonts w:ascii="Calibri" w:hAnsi="Calibri"/>
          <w:b/>
          <w:sz w:val="32"/>
          <w:szCs w:val="32"/>
          <w:lang w:eastAsia="en-US"/>
        </w:rPr>
        <w:t>Context for Decision</w:t>
      </w:r>
    </w:p>
    <w:p w:rsidR="0077502A" w:rsidRPr="0077502A" w:rsidRDefault="0077502A" w:rsidP="0077502A">
      <w:pPr>
        <w:spacing w:before="120" w:after="120"/>
        <w:rPr>
          <w:rFonts w:ascii="Calibri" w:eastAsia="Calibri" w:hAnsi="Calibri" w:cs="Arial"/>
          <w:szCs w:val="22"/>
          <w:lang w:eastAsia="en-US"/>
        </w:rPr>
      </w:pPr>
      <w:r w:rsidRPr="0077502A">
        <w:rPr>
          <w:rFonts w:ascii="Calibri" w:eastAsia="Calibri" w:hAnsi="Calibr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7502A" w:rsidRPr="00C72209" w:rsidRDefault="0077502A" w:rsidP="00C72209">
      <w:pPr>
        <w:keepNext/>
        <w:keepLines/>
        <w:numPr>
          <w:ilvl w:val="0"/>
          <w:numId w:val="2"/>
        </w:numPr>
        <w:spacing w:before="240" w:after="120"/>
        <w:ind w:left="709" w:hanging="709"/>
        <w:outlineLvl w:val="0"/>
        <w:rPr>
          <w:rFonts w:ascii="Calibri" w:hAnsi="Calibri"/>
          <w:b/>
          <w:sz w:val="32"/>
          <w:szCs w:val="32"/>
          <w:lang w:eastAsia="en-US"/>
        </w:rPr>
      </w:pPr>
      <w:r w:rsidRPr="0077502A">
        <w:rPr>
          <w:rFonts w:ascii="Calibri" w:hAnsi="Calibri"/>
          <w:b/>
          <w:sz w:val="32"/>
          <w:szCs w:val="32"/>
          <w:lang w:eastAsia="en-US"/>
        </w:rPr>
        <w:t>Sponsor’s Comment</w:t>
      </w:r>
    </w:p>
    <w:p w:rsidR="0077502A" w:rsidRPr="0077502A" w:rsidRDefault="0077502A" w:rsidP="0077502A">
      <w:pPr>
        <w:spacing w:before="120" w:after="160"/>
        <w:jc w:val="both"/>
        <w:rPr>
          <w:rFonts w:ascii="Calibri" w:eastAsia="Calibri" w:hAnsi="Calibri" w:cs="Arial"/>
          <w:snapToGrid w:val="0"/>
          <w:szCs w:val="20"/>
          <w:lang w:eastAsia="en-US"/>
        </w:rPr>
      </w:pPr>
      <w:r w:rsidRPr="0077502A">
        <w:rPr>
          <w:rFonts w:ascii="Calibri" w:eastAsia="Calibri" w:hAnsi="Calibri" w:cs="Arial"/>
          <w:snapToGrid w:val="0"/>
          <w:szCs w:val="20"/>
          <w:lang w:eastAsia="en-US"/>
        </w:rPr>
        <w:t>The sponsor had no comment.</w:t>
      </w:r>
    </w:p>
    <w:p w:rsidR="0077502A" w:rsidRDefault="0077502A" w:rsidP="002A00D3">
      <w:pPr>
        <w:contextualSpacing/>
        <w:rPr>
          <w:rFonts w:ascii="Calibri" w:hAnsi="Calibri" w:cs="Calibri"/>
        </w:rPr>
      </w:pPr>
    </w:p>
    <w:sectPr w:rsidR="0077502A" w:rsidSect="00F461D0">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8AA" w:rsidRDefault="007818AA">
      <w:r>
        <w:separator/>
      </w:r>
    </w:p>
    <w:p w:rsidR="007818AA" w:rsidRDefault="007818AA"/>
    <w:p w:rsidR="007818AA" w:rsidRDefault="007818AA"/>
  </w:endnote>
  <w:endnote w:type="continuationSeparator" w:id="0">
    <w:p w:rsidR="007818AA" w:rsidRDefault="007818AA">
      <w:r>
        <w:continuationSeparator/>
      </w:r>
    </w:p>
    <w:p w:rsidR="007818AA" w:rsidRDefault="007818AA"/>
    <w:p w:rsidR="007818AA" w:rsidRDefault="00781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p w:rsidR="00E4183E" w:rsidRDefault="00E418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099493"/>
      <w:docPartObj>
        <w:docPartGallery w:val="Page Numbers (Bottom of Page)"/>
        <w:docPartUnique/>
      </w:docPartObj>
    </w:sdtPr>
    <w:sdtEndPr>
      <w:rPr>
        <w:noProof/>
      </w:rPr>
    </w:sdtEndPr>
    <w:sdtContent>
      <w:p w:rsidR="000C2147" w:rsidRDefault="000C2147">
        <w:pPr>
          <w:pStyle w:val="Footer"/>
          <w:jc w:val="center"/>
        </w:pPr>
        <w:r w:rsidRPr="000C2147">
          <w:rPr>
            <w:rFonts w:asciiTheme="minorHAnsi" w:hAnsiTheme="minorHAnsi"/>
            <w:b/>
          </w:rPr>
          <w:fldChar w:fldCharType="begin"/>
        </w:r>
        <w:r w:rsidRPr="000C2147">
          <w:rPr>
            <w:rFonts w:asciiTheme="minorHAnsi" w:hAnsiTheme="minorHAnsi"/>
            <w:b/>
          </w:rPr>
          <w:instrText xml:space="preserve"> PAGE   \* MERGEFORMAT </w:instrText>
        </w:r>
        <w:r w:rsidRPr="000C2147">
          <w:rPr>
            <w:rFonts w:asciiTheme="minorHAnsi" w:hAnsiTheme="minorHAnsi"/>
            <w:b/>
          </w:rPr>
          <w:fldChar w:fldCharType="separate"/>
        </w:r>
        <w:r w:rsidR="007818AA">
          <w:rPr>
            <w:rFonts w:asciiTheme="minorHAnsi" w:hAnsiTheme="minorHAnsi"/>
            <w:b/>
            <w:noProof/>
          </w:rPr>
          <w:t>1</w:t>
        </w:r>
        <w:r w:rsidRPr="000C2147">
          <w:rPr>
            <w:rFonts w:asciiTheme="minorHAnsi" w:hAnsiTheme="minorHAnsi"/>
            <w:b/>
            <w:noProof/>
          </w:rPr>
          <w:fldChar w:fldCharType="end"/>
        </w:r>
      </w:p>
    </w:sdtContent>
  </w:sdt>
  <w:p w:rsidR="00E4183E" w:rsidRDefault="00E418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p w:rsidR="00E4183E" w:rsidRDefault="00E418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8AA" w:rsidRDefault="007818AA">
      <w:r>
        <w:separator/>
      </w:r>
    </w:p>
    <w:p w:rsidR="007818AA" w:rsidRDefault="007818AA"/>
    <w:p w:rsidR="007818AA" w:rsidRDefault="007818AA"/>
  </w:footnote>
  <w:footnote w:type="continuationSeparator" w:id="0">
    <w:p w:rsidR="007818AA" w:rsidRDefault="007818AA">
      <w:r>
        <w:continuationSeparator/>
      </w:r>
    </w:p>
    <w:p w:rsidR="007818AA" w:rsidRDefault="007818AA"/>
    <w:p w:rsidR="007818AA" w:rsidRDefault="007818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tbl>
  <w:p w:rsidR="0005154F" w:rsidRDefault="0005154F">
    <w:pPr>
      <w:pStyle w:val="Header"/>
    </w:pPr>
  </w:p>
  <w:p w:rsidR="0005154F" w:rsidRDefault="0005154F"/>
  <w:p w:rsidR="00E4183E" w:rsidRDefault="00E418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147" w:rsidRDefault="00F461D0" w:rsidP="000C2147">
    <w:pPr>
      <w:pStyle w:val="Header"/>
      <w:jc w:val="center"/>
      <w:rPr>
        <w:rFonts w:asciiTheme="minorHAnsi" w:hAnsiTheme="minorHAnsi" w:cs="Arial"/>
        <w:i/>
      </w:rPr>
    </w:pPr>
    <w:r>
      <w:rPr>
        <w:rFonts w:asciiTheme="minorHAnsi" w:hAnsiTheme="minorHAnsi" w:cs="Arial"/>
        <w:i/>
      </w:rPr>
      <w:t>Public Summary Document</w:t>
    </w:r>
    <w:r w:rsidR="000C2147">
      <w:rPr>
        <w:rFonts w:asciiTheme="minorHAnsi" w:hAnsiTheme="minorHAnsi" w:cs="Arial"/>
        <w:i/>
      </w:rPr>
      <w:t xml:space="preserve"> – November 2017 PBAC Meeting</w:t>
    </w:r>
  </w:p>
  <w:p w:rsidR="00E4183E" w:rsidRDefault="00E418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8AA" w:rsidRDefault="007818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280CAA0"/>
    <w:lvl w:ilvl="0">
      <w:start w:val="3"/>
      <w:numFmt w:val="decimal"/>
      <w:pStyle w:val="ListNumber2"/>
      <w:lvlText w:val="%1"/>
      <w:lvlJc w:val="left"/>
      <w:pPr>
        <w:tabs>
          <w:tab w:val="num" w:pos="643"/>
        </w:tabs>
        <w:ind w:left="643" w:hanging="360"/>
      </w:pPr>
      <w:rPr>
        <w:rFonts w:hint="default"/>
        <w:i w:val="0"/>
      </w:rPr>
    </w:lvl>
  </w:abstractNum>
  <w:abstractNum w:abstractNumId="1">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0040A2"/>
    <w:multiLevelType w:val="hybridMultilevel"/>
    <w:tmpl w:val="9B241A16"/>
    <w:lvl w:ilvl="0" w:tplc="536255D8">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nsid w:val="233F5BA4"/>
    <w:multiLevelType w:val="hybridMultilevel"/>
    <w:tmpl w:val="EFF050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B84324F"/>
    <w:multiLevelType w:val="hybridMultilevel"/>
    <w:tmpl w:val="26CA9150"/>
    <w:lvl w:ilvl="0" w:tplc="96B8BE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DC239E8"/>
    <w:multiLevelType w:val="hybridMultilevel"/>
    <w:tmpl w:val="929E2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1BF1E1F"/>
    <w:multiLevelType w:val="multilevel"/>
    <w:tmpl w:val="68FE478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3">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nsid w:val="3A7F6801"/>
    <w:multiLevelType w:val="hybridMultilevel"/>
    <w:tmpl w:val="7DDE2F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nsid w:val="48565691"/>
    <w:multiLevelType w:val="hybridMultilevel"/>
    <w:tmpl w:val="7C9CDA10"/>
    <w:lvl w:ilvl="0" w:tplc="F758B580">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9">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nsid w:val="784D033C"/>
    <w:multiLevelType w:val="multilevel"/>
    <w:tmpl w:val="EC9251D0"/>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E9E45F9"/>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1"/>
  </w:num>
  <w:num w:numId="3">
    <w:abstractNumId w:val="2"/>
  </w:num>
  <w:num w:numId="4">
    <w:abstractNumId w:val="19"/>
  </w:num>
  <w:num w:numId="5">
    <w:abstractNumId w:val="3"/>
  </w:num>
  <w:num w:numId="6">
    <w:abstractNumId w:val="8"/>
  </w:num>
  <w:num w:numId="7">
    <w:abstractNumId w:val="17"/>
  </w:num>
  <w:num w:numId="8">
    <w:abstractNumId w:val="12"/>
  </w:num>
  <w:num w:numId="9">
    <w:abstractNumId w:val="20"/>
  </w:num>
  <w:num w:numId="10">
    <w:abstractNumId w:val="18"/>
  </w:num>
  <w:num w:numId="11">
    <w:abstractNumId w:val="13"/>
  </w:num>
  <w:num w:numId="12">
    <w:abstractNumId w:val="15"/>
  </w:num>
  <w:num w:numId="13">
    <w:abstractNumId w:val="4"/>
  </w:num>
  <w:num w:numId="14">
    <w:abstractNumId w:val="1"/>
  </w:num>
  <w:num w:numId="15">
    <w:abstractNumId w:val="0"/>
  </w:num>
  <w:num w:numId="16">
    <w:abstractNumId w:val="9"/>
  </w:num>
  <w:num w:numId="17">
    <w:abstractNumId w:val="16"/>
  </w:num>
  <w:num w:numId="18">
    <w:abstractNumId w:val="5"/>
  </w:num>
  <w:num w:numId="19">
    <w:abstractNumId w:val="14"/>
  </w:num>
  <w:num w:numId="20">
    <w:abstractNumId w:val="10"/>
  </w:num>
  <w:num w:numId="21">
    <w:abstractNumId w:val="22"/>
  </w:num>
  <w:num w:numId="22">
    <w:abstractNumId w:val="11"/>
  </w:num>
  <w:num w:numId="2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2408"/>
    <w:rsid w:val="0002464A"/>
    <w:rsid w:val="0003106B"/>
    <w:rsid w:val="0003116E"/>
    <w:rsid w:val="000421A1"/>
    <w:rsid w:val="0004240E"/>
    <w:rsid w:val="00045E26"/>
    <w:rsid w:val="000514B5"/>
    <w:rsid w:val="0005154F"/>
    <w:rsid w:val="00054C2A"/>
    <w:rsid w:val="00060E64"/>
    <w:rsid w:val="00066755"/>
    <w:rsid w:val="00067955"/>
    <w:rsid w:val="00067964"/>
    <w:rsid w:val="0007671B"/>
    <w:rsid w:val="000969AD"/>
    <w:rsid w:val="00096ECB"/>
    <w:rsid w:val="000B558D"/>
    <w:rsid w:val="000C2147"/>
    <w:rsid w:val="000C6996"/>
    <w:rsid w:val="000D23BA"/>
    <w:rsid w:val="000D6C7C"/>
    <w:rsid w:val="000E3ABF"/>
    <w:rsid w:val="000E681E"/>
    <w:rsid w:val="000F4E6A"/>
    <w:rsid w:val="0010483E"/>
    <w:rsid w:val="001107BF"/>
    <w:rsid w:val="00116E34"/>
    <w:rsid w:val="0012417C"/>
    <w:rsid w:val="00142395"/>
    <w:rsid w:val="00142714"/>
    <w:rsid w:val="001452ED"/>
    <w:rsid w:val="0016410F"/>
    <w:rsid w:val="00171C36"/>
    <w:rsid w:val="00172D29"/>
    <w:rsid w:val="001830CE"/>
    <w:rsid w:val="00186090"/>
    <w:rsid w:val="00187CF9"/>
    <w:rsid w:val="00196307"/>
    <w:rsid w:val="001B017F"/>
    <w:rsid w:val="001B5129"/>
    <w:rsid w:val="001C1195"/>
    <w:rsid w:val="00203B36"/>
    <w:rsid w:val="00213CFB"/>
    <w:rsid w:val="00234B51"/>
    <w:rsid w:val="00271BA1"/>
    <w:rsid w:val="00277505"/>
    <w:rsid w:val="0029458F"/>
    <w:rsid w:val="002A00D3"/>
    <w:rsid w:val="002A104C"/>
    <w:rsid w:val="002A4960"/>
    <w:rsid w:val="002B1AE6"/>
    <w:rsid w:val="002B30F8"/>
    <w:rsid w:val="002B6795"/>
    <w:rsid w:val="002C14A4"/>
    <w:rsid w:val="002C212F"/>
    <w:rsid w:val="002D5C51"/>
    <w:rsid w:val="002E01CA"/>
    <w:rsid w:val="002E3153"/>
    <w:rsid w:val="002E72CA"/>
    <w:rsid w:val="00310F2C"/>
    <w:rsid w:val="0031239A"/>
    <w:rsid w:val="00326E79"/>
    <w:rsid w:val="003367EF"/>
    <w:rsid w:val="00336991"/>
    <w:rsid w:val="00341AE4"/>
    <w:rsid w:val="003730AF"/>
    <w:rsid w:val="003748F6"/>
    <w:rsid w:val="00377334"/>
    <w:rsid w:val="00385406"/>
    <w:rsid w:val="003872CF"/>
    <w:rsid w:val="0039302B"/>
    <w:rsid w:val="0039782C"/>
    <w:rsid w:val="003A1224"/>
    <w:rsid w:val="003A596A"/>
    <w:rsid w:val="003A5B4A"/>
    <w:rsid w:val="003A5FCF"/>
    <w:rsid w:val="003B23C5"/>
    <w:rsid w:val="003B2A75"/>
    <w:rsid w:val="003B5FBA"/>
    <w:rsid w:val="003D4AC4"/>
    <w:rsid w:val="003D63B7"/>
    <w:rsid w:val="003E468B"/>
    <w:rsid w:val="003F5C8C"/>
    <w:rsid w:val="003F6C85"/>
    <w:rsid w:val="004062F8"/>
    <w:rsid w:val="0041237C"/>
    <w:rsid w:val="00431887"/>
    <w:rsid w:val="004341D7"/>
    <w:rsid w:val="00437468"/>
    <w:rsid w:val="004465BD"/>
    <w:rsid w:val="00466ADA"/>
    <w:rsid w:val="00476245"/>
    <w:rsid w:val="00485940"/>
    <w:rsid w:val="0049407A"/>
    <w:rsid w:val="004A08DA"/>
    <w:rsid w:val="004A578B"/>
    <w:rsid w:val="004A5A85"/>
    <w:rsid w:val="004B5640"/>
    <w:rsid w:val="004C1BD7"/>
    <w:rsid w:val="004C691D"/>
    <w:rsid w:val="004D1CCD"/>
    <w:rsid w:val="004E692D"/>
    <w:rsid w:val="00501554"/>
    <w:rsid w:val="00506A87"/>
    <w:rsid w:val="00514CD7"/>
    <w:rsid w:val="005319B2"/>
    <w:rsid w:val="00532C74"/>
    <w:rsid w:val="00534E2E"/>
    <w:rsid w:val="00544552"/>
    <w:rsid w:val="005470D6"/>
    <w:rsid w:val="00547FCB"/>
    <w:rsid w:val="00567F99"/>
    <w:rsid w:val="00581932"/>
    <w:rsid w:val="00591733"/>
    <w:rsid w:val="005963BB"/>
    <w:rsid w:val="005A3173"/>
    <w:rsid w:val="005A3223"/>
    <w:rsid w:val="005A39D7"/>
    <w:rsid w:val="005A3DA3"/>
    <w:rsid w:val="005A52C4"/>
    <w:rsid w:val="005B2207"/>
    <w:rsid w:val="005D03AB"/>
    <w:rsid w:val="005D5017"/>
    <w:rsid w:val="00601A91"/>
    <w:rsid w:val="00602BA3"/>
    <w:rsid w:val="00603A52"/>
    <w:rsid w:val="00614159"/>
    <w:rsid w:val="00615966"/>
    <w:rsid w:val="00617C00"/>
    <w:rsid w:val="006263BF"/>
    <w:rsid w:val="0062748A"/>
    <w:rsid w:val="00630A2C"/>
    <w:rsid w:val="00635B9A"/>
    <w:rsid w:val="00651169"/>
    <w:rsid w:val="00653D69"/>
    <w:rsid w:val="00670A76"/>
    <w:rsid w:val="006711AA"/>
    <w:rsid w:val="00672B57"/>
    <w:rsid w:val="00675622"/>
    <w:rsid w:val="00680B43"/>
    <w:rsid w:val="00680E9E"/>
    <w:rsid w:val="006856CD"/>
    <w:rsid w:val="006906DB"/>
    <w:rsid w:val="00692ACF"/>
    <w:rsid w:val="006A12A5"/>
    <w:rsid w:val="006A37C1"/>
    <w:rsid w:val="006A7812"/>
    <w:rsid w:val="006B0D94"/>
    <w:rsid w:val="006B485D"/>
    <w:rsid w:val="006B559E"/>
    <w:rsid w:val="006C42DF"/>
    <w:rsid w:val="006C708E"/>
    <w:rsid w:val="006D22A0"/>
    <w:rsid w:val="006D6EC7"/>
    <w:rsid w:val="006F5125"/>
    <w:rsid w:val="00702587"/>
    <w:rsid w:val="00704DE3"/>
    <w:rsid w:val="00713A79"/>
    <w:rsid w:val="007174BB"/>
    <w:rsid w:val="00730056"/>
    <w:rsid w:val="007378D1"/>
    <w:rsid w:val="007461DB"/>
    <w:rsid w:val="0076420C"/>
    <w:rsid w:val="0077502A"/>
    <w:rsid w:val="007753C2"/>
    <w:rsid w:val="007818AA"/>
    <w:rsid w:val="007838B8"/>
    <w:rsid w:val="00791BDB"/>
    <w:rsid w:val="007A2B91"/>
    <w:rsid w:val="007C065B"/>
    <w:rsid w:val="007C0F57"/>
    <w:rsid w:val="007C40B6"/>
    <w:rsid w:val="007C729F"/>
    <w:rsid w:val="007E1D28"/>
    <w:rsid w:val="007F2641"/>
    <w:rsid w:val="007F7C36"/>
    <w:rsid w:val="0080128E"/>
    <w:rsid w:val="00801878"/>
    <w:rsid w:val="00805D2B"/>
    <w:rsid w:val="00806796"/>
    <w:rsid w:val="00807770"/>
    <w:rsid w:val="00826F6D"/>
    <w:rsid w:val="0085453C"/>
    <w:rsid w:val="00856DDD"/>
    <w:rsid w:val="00863E68"/>
    <w:rsid w:val="00873C89"/>
    <w:rsid w:val="00882085"/>
    <w:rsid w:val="00883188"/>
    <w:rsid w:val="00897D58"/>
    <w:rsid w:val="008A1956"/>
    <w:rsid w:val="008A4937"/>
    <w:rsid w:val="008B58E0"/>
    <w:rsid w:val="008C2E00"/>
    <w:rsid w:val="008C4C93"/>
    <w:rsid w:val="008D3C82"/>
    <w:rsid w:val="008D447E"/>
    <w:rsid w:val="008D7A41"/>
    <w:rsid w:val="008E3680"/>
    <w:rsid w:val="008E5870"/>
    <w:rsid w:val="008E5EC7"/>
    <w:rsid w:val="008F1434"/>
    <w:rsid w:val="008F7355"/>
    <w:rsid w:val="009067B7"/>
    <w:rsid w:val="00921004"/>
    <w:rsid w:val="00930937"/>
    <w:rsid w:val="00933E6C"/>
    <w:rsid w:val="00933FE3"/>
    <w:rsid w:val="00942160"/>
    <w:rsid w:val="00946C55"/>
    <w:rsid w:val="009602C5"/>
    <w:rsid w:val="00964C23"/>
    <w:rsid w:val="00974C21"/>
    <w:rsid w:val="00993940"/>
    <w:rsid w:val="009B03E9"/>
    <w:rsid w:val="009B0F67"/>
    <w:rsid w:val="009C703C"/>
    <w:rsid w:val="009D3CAA"/>
    <w:rsid w:val="009F4E46"/>
    <w:rsid w:val="009F5B65"/>
    <w:rsid w:val="009F5F2E"/>
    <w:rsid w:val="00A06225"/>
    <w:rsid w:val="00A07E26"/>
    <w:rsid w:val="00A128E6"/>
    <w:rsid w:val="00A15C90"/>
    <w:rsid w:val="00A21683"/>
    <w:rsid w:val="00A313B4"/>
    <w:rsid w:val="00A3715D"/>
    <w:rsid w:val="00A37C8D"/>
    <w:rsid w:val="00A46B49"/>
    <w:rsid w:val="00A51804"/>
    <w:rsid w:val="00A5273B"/>
    <w:rsid w:val="00A53A9D"/>
    <w:rsid w:val="00A55D8F"/>
    <w:rsid w:val="00A55FEE"/>
    <w:rsid w:val="00A62C1A"/>
    <w:rsid w:val="00A6426D"/>
    <w:rsid w:val="00A70622"/>
    <w:rsid w:val="00A70977"/>
    <w:rsid w:val="00A758AE"/>
    <w:rsid w:val="00A8390C"/>
    <w:rsid w:val="00A8691F"/>
    <w:rsid w:val="00A928BD"/>
    <w:rsid w:val="00AA4D1C"/>
    <w:rsid w:val="00AB1F97"/>
    <w:rsid w:val="00AC4AA5"/>
    <w:rsid w:val="00AC5206"/>
    <w:rsid w:val="00AE11A5"/>
    <w:rsid w:val="00AE13E2"/>
    <w:rsid w:val="00AF01EB"/>
    <w:rsid w:val="00AF68CC"/>
    <w:rsid w:val="00AF79B7"/>
    <w:rsid w:val="00B205AA"/>
    <w:rsid w:val="00B22E84"/>
    <w:rsid w:val="00B25F75"/>
    <w:rsid w:val="00B43B7E"/>
    <w:rsid w:val="00B43E90"/>
    <w:rsid w:val="00B56118"/>
    <w:rsid w:val="00B64497"/>
    <w:rsid w:val="00B6773F"/>
    <w:rsid w:val="00B801BA"/>
    <w:rsid w:val="00B858B3"/>
    <w:rsid w:val="00B860C0"/>
    <w:rsid w:val="00B8744A"/>
    <w:rsid w:val="00BB69F5"/>
    <w:rsid w:val="00BB7EC3"/>
    <w:rsid w:val="00BC4B9A"/>
    <w:rsid w:val="00BD589B"/>
    <w:rsid w:val="00BD784C"/>
    <w:rsid w:val="00BE4594"/>
    <w:rsid w:val="00BE5ABB"/>
    <w:rsid w:val="00BF4CB6"/>
    <w:rsid w:val="00C00DA7"/>
    <w:rsid w:val="00C06339"/>
    <w:rsid w:val="00C12768"/>
    <w:rsid w:val="00C23549"/>
    <w:rsid w:val="00C27B58"/>
    <w:rsid w:val="00C31B24"/>
    <w:rsid w:val="00C35996"/>
    <w:rsid w:val="00C37CF6"/>
    <w:rsid w:val="00C5342C"/>
    <w:rsid w:val="00C6256A"/>
    <w:rsid w:val="00C72209"/>
    <w:rsid w:val="00C7792B"/>
    <w:rsid w:val="00C85541"/>
    <w:rsid w:val="00C91449"/>
    <w:rsid w:val="00C92D10"/>
    <w:rsid w:val="00C94810"/>
    <w:rsid w:val="00CA08D1"/>
    <w:rsid w:val="00CA3B47"/>
    <w:rsid w:val="00CD1FFC"/>
    <w:rsid w:val="00CE10C4"/>
    <w:rsid w:val="00CE27B5"/>
    <w:rsid w:val="00CE508D"/>
    <w:rsid w:val="00D0321E"/>
    <w:rsid w:val="00D046D8"/>
    <w:rsid w:val="00D1455A"/>
    <w:rsid w:val="00D16256"/>
    <w:rsid w:val="00D3280C"/>
    <w:rsid w:val="00D329EA"/>
    <w:rsid w:val="00D3406A"/>
    <w:rsid w:val="00D46639"/>
    <w:rsid w:val="00D469B2"/>
    <w:rsid w:val="00D741EB"/>
    <w:rsid w:val="00D84934"/>
    <w:rsid w:val="00D8601F"/>
    <w:rsid w:val="00D91271"/>
    <w:rsid w:val="00D9160A"/>
    <w:rsid w:val="00DA2CB5"/>
    <w:rsid w:val="00DA4BAC"/>
    <w:rsid w:val="00DB4D64"/>
    <w:rsid w:val="00DE6D27"/>
    <w:rsid w:val="00DF217D"/>
    <w:rsid w:val="00DF26A7"/>
    <w:rsid w:val="00E07E6D"/>
    <w:rsid w:val="00E15E30"/>
    <w:rsid w:val="00E164B3"/>
    <w:rsid w:val="00E16910"/>
    <w:rsid w:val="00E4183E"/>
    <w:rsid w:val="00E607CE"/>
    <w:rsid w:val="00E616B9"/>
    <w:rsid w:val="00E65E54"/>
    <w:rsid w:val="00E72ED6"/>
    <w:rsid w:val="00E80155"/>
    <w:rsid w:val="00E848C0"/>
    <w:rsid w:val="00E84A08"/>
    <w:rsid w:val="00E91B96"/>
    <w:rsid w:val="00E941A1"/>
    <w:rsid w:val="00E95CE3"/>
    <w:rsid w:val="00EA2825"/>
    <w:rsid w:val="00EB2E81"/>
    <w:rsid w:val="00EB5088"/>
    <w:rsid w:val="00EB775B"/>
    <w:rsid w:val="00EC533C"/>
    <w:rsid w:val="00ED1644"/>
    <w:rsid w:val="00EE6102"/>
    <w:rsid w:val="00EF44A0"/>
    <w:rsid w:val="00EF4FED"/>
    <w:rsid w:val="00F020E1"/>
    <w:rsid w:val="00F050BD"/>
    <w:rsid w:val="00F05657"/>
    <w:rsid w:val="00F22606"/>
    <w:rsid w:val="00F243F5"/>
    <w:rsid w:val="00F25578"/>
    <w:rsid w:val="00F258E5"/>
    <w:rsid w:val="00F300BC"/>
    <w:rsid w:val="00F3334E"/>
    <w:rsid w:val="00F415F1"/>
    <w:rsid w:val="00F45BFC"/>
    <w:rsid w:val="00F461D0"/>
    <w:rsid w:val="00F50EC4"/>
    <w:rsid w:val="00F51D56"/>
    <w:rsid w:val="00F57A6D"/>
    <w:rsid w:val="00F638CC"/>
    <w:rsid w:val="00F64CC1"/>
    <w:rsid w:val="00F8247A"/>
    <w:rsid w:val="00F839C4"/>
    <w:rsid w:val="00F9629A"/>
    <w:rsid w:val="00FA5883"/>
    <w:rsid w:val="00FA6055"/>
    <w:rsid w:val="00FA7361"/>
    <w:rsid w:val="00FB322F"/>
    <w:rsid w:val="00FB442F"/>
    <w:rsid w:val="00FB52F3"/>
    <w:rsid w:val="00FB5AE7"/>
    <w:rsid w:val="00FC1929"/>
    <w:rsid w:val="00FC5B46"/>
    <w:rsid w:val="00FF00BD"/>
    <w:rsid w:val="00FF1ED4"/>
    <w:rsid w:val="00FF2801"/>
    <w:rsid w:val="00FF3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Number2"/>
    <w:next w:val="Normal"/>
    <w:link w:val="Heading1Char"/>
    <w:uiPriority w:val="1"/>
    <w:qFormat/>
    <w:rsid w:val="00096ECB"/>
    <w:pPr>
      <w:keepNext/>
      <w:numPr>
        <w:numId w:val="0"/>
      </w:numPr>
      <w:outlineLvl w:val="0"/>
    </w:pPr>
    <w:rPr>
      <w:rFonts w:ascii="Arial" w:hAnsi="Arial"/>
      <w:b/>
      <w:sz w:val="22"/>
    </w:rPr>
  </w:style>
  <w:style w:type="paragraph" w:styleId="Heading2">
    <w:name w:val="heading 2"/>
    <w:basedOn w:val="Normal"/>
    <w:next w:val="Normal"/>
    <w:link w:val="Heading2Char"/>
    <w:uiPriority w:val="1"/>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uiPriority w:val="1"/>
    <w:rsid w:val="00096ECB"/>
    <w:rPr>
      <w:rFonts w:ascii="Arial" w:hAnsi="Arial"/>
      <w:b/>
      <w:sz w:val="22"/>
      <w:szCs w:val="24"/>
    </w:rPr>
  </w:style>
  <w:style w:type="paragraph" w:customStyle="1" w:styleId="PBACHeading1">
    <w:name w:val="PBAC Heading 1"/>
    <w:qFormat/>
    <w:rsid w:val="0085453C"/>
    <w:pPr>
      <w:outlineLvl w:val="0"/>
    </w:pPr>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85453C"/>
    <w:rPr>
      <w:rFonts w:ascii="Arial" w:hAnsi="Arial"/>
      <w:b/>
      <w:i/>
      <w:sz w:val="22"/>
      <w:szCs w:val="24"/>
    </w:rPr>
  </w:style>
  <w:style w:type="character" w:customStyle="1" w:styleId="ListParagraphChar">
    <w:name w:val="List Paragraph Char"/>
    <w:aliases w:val="BulletPoints Char"/>
    <w:basedOn w:val="DefaultParagraphFont"/>
    <w:link w:val="ListParagraph"/>
    <w:uiPriority w:val="72"/>
    <w:rsid w:val="00567F9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Number2"/>
    <w:next w:val="Normal"/>
    <w:link w:val="Heading1Char"/>
    <w:uiPriority w:val="1"/>
    <w:qFormat/>
    <w:rsid w:val="00096ECB"/>
    <w:pPr>
      <w:keepNext/>
      <w:numPr>
        <w:numId w:val="0"/>
      </w:numPr>
      <w:outlineLvl w:val="0"/>
    </w:pPr>
    <w:rPr>
      <w:rFonts w:ascii="Arial" w:hAnsi="Arial"/>
      <w:b/>
      <w:sz w:val="22"/>
    </w:rPr>
  </w:style>
  <w:style w:type="paragraph" w:styleId="Heading2">
    <w:name w:val="heading 2"/>
    <w:basedOn w:val="Normal"/>
    <w:next w:val="Normal"/>
    <w:link w:val="Heading2Char"/>
    <w:uiPriority w:val="1"/>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uiPriority w:val="1"/>
    <w:rsid w:val="00096ECB"/>
    <w:rPr>
      <w:rFonts w:ascii="Arial" w:hAnsi="Arial"/>
      <w:b/>
      <w:sz w:val="22"/>
      <w:szCs w:val="24"/>
    </w:rPr>
  </w:style>
  <w:style w:type="paragraph" w:customStyle="1" w:styleId="PBACHeading1">
    <w:name w:val="PBAC Heading 1"/>
    <w:qFormat/>
    <w:rsid w:val="0085453C"/>
    <w:pPr>
      <w:outlineLvl w:val="0"/>
    </w:pPr>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85453C"/>
    <w:rPr>
      <w:rFonts w:ascii="Arial" w:hAnsi="Arial"/>
      <w:b/>
      <w:i/>
      <w:sz w:val="22"/>
      <w:szCs w:val="24"/>
    </w:rPr>
  </w:style>
  <w:style w:type="character" w:customStyle="1" w:styleId="ListParagraphChar">
    <w:name w:val="List Paragraph Char"/>
    <w:aliases w:val="BulletPoints Char"/>
    <w:basedOn w:val="DefaultParagraphFont"/>
    <w:link w:val="ListParagraph"/>
    <w:uiPriority w:val="72"/>
    <w:rsid w:val="00567F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3124F-8A33-46AD-B65D-71FEF58DE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1361</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2018-01-30T03:06:00Z</dcterms:created>
  <dcterms:modified xsi:type="dcterms:W3CDTF">2018-01-30T03:08:00Z</dcterms:modified>
</cp:coreProperties>
</file>