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6AF" w:rsidRPr="004E6AFB" w:rsidRDefault="00FE35B1" w:rsidP="009D1ABA">
      <w:pPr>
        <w:ind w:left="992" w:hanging="992"/>
        <w:outlineLvl w:val="0"/>
        <w:rPr>
          <w:b/>
          <w:sz w:val="36"/>
          <w:szCs w:val="36"/>
        </w:rPr>
      </w:pPr>
      <w:bookmarkStart w:id="0" w:name="_GoBack"/>
      <w:bookmarkEnd w:id="0"/>
      <w:r w:rsidRPr="004E6AFB">
        <w:rPr>
          <w:b/>
          <w:sz w:val="36"/>
          <w:szCs w:val="36"/>
        </w:rPr>
        <w:t>5.07</w:t>
      </w:r>
      <w:r w:rsidR="00C317F3" w:rsidRPr="004E6AFB">
        <w:rPr>
          <w:b/>
          <w:sz w:val="36"/>
          <w:szCs w:val="36"/>
        </w:rPr>
        <w:tab/>
      </w:r>
      <w:r w:rsidR="00FB76F7" w:rsidRPr="004E6AFB">
        <w:rPr>
          <w:b/>
          <w:sz w:val="36"/>
          <w:szCs w:val="36"/>
        </w:rPr>
        <w:t>FOLLITROPIN DELTA</w:t>
      </w:r>
      <w:r w:rsidR="00C317F3" w:rsidRPr="004E6AFB">
        <w:rPr>
          <w:b/>
          <w:sz w:val="36"/>
          <w:szCs w:val="36"/>
        </w:rPr>
        <w:t>,</w:t>
      </w:r>
      <w:r w:rsidR="009D4C2A" w:rsidRPr="004E6AFB">
        <w:rPr>
          <w:b/>
          <w:sz w:val="36"/>
          <w:szCs w:val="36"/>
        </w:rPr>
        <w:br/>
      </w:r>
      <w:r w:rsidR="00FB76F7" w:rsidRPr="004E6AFB">
        <w:rPr>
          <w:b/>
          <w:sz w:val="36"/>
          <w:szCs w:val="36"/>
        </w:rPr>
        <w:t>solution for injection 12, 36, 72 micrograms</w:t>
      </w:r>
      <w:r w:rsidR="00C317F3" w:rsidRPr="004E6AFB">
        <w:rPr>
          <w:b/>
          <w:sz w:val="36"/>
          <w:szCs w:val="36"/>
        </w:rPr>
        <w:t xml:space="preserve">, </w:t>
      </w:r>
      <w:r w:rsidR="009D4C2A" w:rsidRPr="004E6AFB">
        <w:rPr>
          <w:b/>
          <w:sz w:val="36"/>
          <w:szCs w:val="36"/>
        </w:rPr>
        <w:br/>
      </w:r>
      <w:r w:rsidR="00FB76F7" w:rsidRPr="004E6AFB">
        <w:rPr>
          <w:b/>
          <w:sz w:val="36"/>
          <w:szCs w:val="36"/>
        </w:rPr>
        <w:t>Rekovelle</w:t>
      </w:r>
      <w:r w:rsidR="00C317F3" w:rsidRPr="004E6AFB">
        <w:rPr>
          <w:b/>
          <w:sz w:val="36"/>
          <w:szCs w:val="36"/>
        </w:rPr>
        <w:t xml:space="preserve">®, </w:t>
      </w:r>
      <w:r w:rsidR="00FB76F7" w:rsidRPr="004E6AFB">
        <w:rPr>
          <w:b/>
          <w:sz w:val="36"/>
          <w:szCs w:val="36"/>
        </w:rPr>
        <w:t>Ferring Pharmaceuticals Pty Ltd</w:t>
      </w:r>
    </w:p>
    <w:p w:rsidR="00C317F3" w:rsidRPr="004E6AFB" w:rsidRDefault="00C317F3" w:rsidP="002001C6">
      <w:pPr>
        <w:pStyle w:val="Heading1"/>
        <w:ind w:left="709" w:hanging="709"/>
      </w:pPr>
      <w:bookmarkStart w:id="1" w:name="_Toc413139271"/>
      <w:bookmarkStart w:id="2" w:name="_Toc492994153"/>
      <w:r w:rsidRPr="004E6AFB">
        <w:t xml:space="preserve">Purpose of </w:t>
      </w:r>
      <w:r w:rsidR="00661286" w:rsidRPr="004E6AFB">
        <w:t>a</w:t>
      </w:r>
      <w:r w:rsidRPr="004E6AFB">
        <w:t>pplication</w:t>
      </w:r>
      <w:bookmarkEnd w:id="1"/>
      <w:bookmarkEnd w:id="2"/>
    </w:p>
    <w:p w:rsidR="00C317F3" w:rsidRPr="004E6AFB" w:rsidRDefault="00C317F3" w:rsidP="00187B8E">
      <w:pPr>
        <w:pStyle w:val="ListParagraph"/>
        <w:numPr>
          <w:ilvl w:val="1"/>
          <w:numId w:val="7"/>
        </w:numPr>
        <w:spacing w:before="0" w:after="120"/>
        <w:jc w:val="both"/>
      </w:pPr>
      <w:r w:rsidRPr="004E6AFB">
        <w:t>Section 100</w:t>
      </w:r>
      <w:r w:rsidR="00A25512" w:rsidRPr="004E6AFB">
        <w:t xml:space="preserve"> IVF Program Authority Required</w:t>
      </w:r>
      <w:r w:rsidRPr="004E6AFB">
        <w:t xml:space="preserve"> listing for </w:t>
      </w:r>
      <w:r w:rsidR="00A25512" w:rsidRPr="004E6AFB">
        <w:t>follitropin delta</w:t>
      </w:r>
      <w:r w:rsidRPr="004E6AFB">
        <w:t xml:space="preserve"> for </w:t>
      </w:r>
      <w:r w:rsidR="00A25512" w:rsidRPr="004E6AFB">
        <w:t>controlled ovarian stimulation (COS) in patients undergoing assisted reproductive technologies (ART)</w:t>
      </w:r>
      <w:r w:rsidRPr="004E6AFB">
        <w:t>.</w:t>
      </w:r>
      <w:r w:rsidR="00F419C5" w:rsidRPr="004E6AFB">
        <w:t xml:space="preserve"> </w:t>
      </w:r>
    </w:p>
    <w:p w:rsidR="00A25512" w:rsidRPr="004E6AFB" w:rsidRDefault="00A25512" w:rsidP="00187B8E">
      <w:pPr>
        <w:pStyle w:val="ListParagraph"/>
        <w:numPr>
          <w:ilvl w:val="1"/>
          <w:numId w:val="7"/>
        </w:numPr>
        <w:spacing w:before="0" w:after="120"/>
        <w:jc w:val="both"/>
      </w:pPr>
      <w:r w:rsidRPr="004E6AFB">
        <w:t>T</w:t>
      </w:r>
      <w:r w:rsidR="00F44EFB" w:rsidRPr="004E6AFB">
        <w:t xml:space="preserve">he requested basis for listing </w:t>
      </w:r>
      <w:r w:rsidRPr="004E6AFB">
        <w:t>was a cost-minimisation analysis versus follitropin alfa</w:t>
      </w:r>
      <w:r w:rsidR="00F44EFB" w:rsidRPr="004E6AFB">
        <w:t>.</w:t>
      </w:r>
    </w:p>
    <w:p w:rsidR="00F44EFB" w:rsidRPr="004E6AFB" w:rsidRDefault="00A25512" w:rsidP="00187B8E">
      <w:pPr>
        <w:pStyle w:val="ListParagraph"/>
        <w:numPr>
          <w:ilvl w:val="1"/>
          <w:numId w:val="7"/>
        </w:numPr>
        <w:spacing w:before="0" w:after="120"/>
        <w:jc w:val="both"/>
      </w:pPr>
      <w:r w:rsidRPr="004E6AFB">
        <w:t>This is the first consideration of follitropin delta by the PBAC.</w:t>
      </w:r>
      <w:r w:rsidR="00F44EFB" w:rsidRPr="004E6AFB">
        <w:t xml:space="preserve"> </w:t>
      </w:r>
    </w:p>
    <w:p w:rsidR="00A25512" w:rsidRPr="004E6AFB" w:rsidRDefault="00A25512" w:rsidP="00A25512">
      <w:pPr>
        <w:pStyle w:val="TableHeading0"/>
      </w:pPr>
      <w:bookmarkStart w:id="3" w:name="_Toc413139272"/>
      <w:r w:rsidRPr="004E6AFB">
        <w:t xml:space="preserve">Table 1: Key components of the clinical issue addressed by the submission </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 Key components of the clinical issue addressed by the submission "/>
      </w:tblPr>
      <w:tblGrid>
        <w:gridCol w:w="1709"/>
        <w:gridCol w:w="7373"/>
      </w:tblGrid>
      <w:tr w:rsidR="00A25512" w:rsidRPr="004E6AFB" w:rsidTr="004B222C">
        <w:trPr>
          <w:cnfStyle w:val="100000000000" w:firstRow="1" w:lastRow="0" w:firstColumn="0" w:lastColumn="0" w:oddVBand="0" w:evenVBand="0" w:oddHBand="0" w:evenHBand="0" w:firstRowFirstColumn="0" w:firstRowLastColumn="0" w:lastRowFirstColumn="0" w:lastRowLastColumn="0"/>
          <w:cantSplit/>
          <w:tblHeader/>
        </w:trPr>
        <w:tc>
          <w:tcPr>
            <w:tcW w:w="941" w:type="pct"/>
            <w:shd w:val="clear" w:color="auto" w:fill="auto"/>
          </w:tcPr>
          <w:p w:rsidR="00A25512" w:rsidRPr="004E6AFB" w:rsidRDefault="00A25512" w:rsidP="004B222C">
            <w:pPr>
              <w:pStyle w:val="TableText"/>
              <w:rPr>
                <w:b w:val="0"/>
                <w:lang w:val="en-AU"/>
              </w:rPr>
            </w:pPr>
            <w:r w:rsidRPr="004E6AFB">
              <w:rPr>
                <w:lang w:val="en-AU"/>
              </w:rPr>
              <w:t>Component</w:t>
            </w:r>
          </w:p>
        </w:tc>
        <w:tc>
          <w:tcPr>
            <w:tcW w:w="4059" w:type="pct"/>
            <w:shd w:val="clear" w:color="auto" w:fill="auto"/>
          </w:tcPr>
          <w:p w:rsidR="00A25512" w:rsidRPr="004E6AFB" w:rsidRDefault="00A25512" w:rsidP="004B222C">
            <w:pPr>
              <w:pStyle w:val="TableText"/>
              <w:rPr>
                <w:b w:val="0"/>
                <w:lang w:val="en-AU"/>
              </w:rPr>
            </w:pPr>
            <w:r w:rsidRPr="004E6AFB">
              <w:rPr>
                <w:lang w:val="en-AU"/>
              </w:rPr>
              <w:t>Description</w:t>
            </w:r>
          </w:p>
        </w:tc>
      </w:tr>
      <w:tr w:rsidR="00A25512" w:rsidRPr="004E6AFB" w:rsidTr="004B222C">
        <w:trPr>
          <w:cantSplit/>
        </w:trPr>
        <w:tc>
          <w:tcPr>
            <w:tcW w:w="941" w:type="pct"/>
            <w:shd w:val="clear" w:color="auto" w:fill="auto"/>
          </w:tcPr>
          <w:p w:rsidR="00A25512" w:rsidRPr="004E6AFB" w:rsidRDefault="00A25512" w:rsidP="004B222C">
            <w:pPr>
              <w:pStyle w:val="TableText"/>
              <w:rPr>
                <w:lang w:val="en-AU"/>
              </w:rPr>
            </w:pPr>
            <w:r w:rsidRPr="004E6AFB">
              <w:rPr>
                <w:lang w:val="en-AU"/>
              </w:rPr>
              <w:t>Population</w:t>
            </w:r>
          </w:p>
        </w:tc>
        <w:tc>
          <w:tcPr>
            <w:tcW w:w="4059" w:type="pct"/>
            <w:shd w:val="clear" w:color="auto" w:fill="auto"/>
          </w:tcPr>
          <w:p w:rsidR="00A25512" w:rsidRPr="004E6AFB" w:rsidRDefault="00FE35B1" w:rsidP="004B222C">
            <w:pPr>
              <w:pStyle w:val="TableText"/>
              <w:rPr>
                <w:rFonts w:ascii="Times" w:eastAsia="Times New Roman" w:hAnsi="Times" w:cs="Times New Roman"/>
                <w:lang w:val="en-AU"/>
              </w:rPr>
            </w:pPr>
            <w:r w:rsidRPr="004E6AFB">
              <w:rPr>
                <w:lang w:val="en-AU"/>
              </w:rPr>
              <w:t>W</w:t>
            </w:r>
            <w:r w:rsidR="00A25512" w:rsidRPr="004E6AFB">
              <w:rPr>
                <w:lang w:val="en-AU"/>
              </w:rPr>
              <w:t>omen undergoing treatment with assisted reproductive technologies (ART)</w:t>
            </w:r>
            <w:r w:rsidRPr="004E6AFB">
              <w:rPr>
                <w:lang w:val="en-AU"/>
              </w:rPr>
              <w:t>, requiring controlled ovarian stimulation (COS)</w:t>
            </w:r>
          </w:p>
        </w:tc>
      </w:tr>
      <w:tr w:rsidR="00A25512" w:rsidRPr="004E6AFB" w:rsidTr="004B222C">
        <w:trPr>
          <w:cantSplit/>
        </w:trPr>
        <w:tc>
          <w:tcPr>
            <w:tcW w:w="941" w:type="pct"/>
            <w:shd w:val="clear" w:color="auto" w:fill="auto"/>
          </w:tcPr>
          <w:p w:rsidR="00A25512" w:rsidRPr="004E6AFB" w:rsidRDefault="00A25512" w:rsidP="004B222C">
            <w:pPr>
              <w:pStyle w:val="TableText"/>
              <w:rPr>
                <w:rFonts w:ascii="Times" w:eastAsia="Times New Roman" w:hAnsi="Times" w:cs="Times New Roman"/>
                <w:lang w:val="en-AU"/>
              </w:rPr>
            </w:pPr>
            <w:r w:rsidRPr="004E6AFB">
              <w:rPr>
                <w:lang w:val="en-AU"/>
              </w:rPr>
              <w:t>Intervention</w:t>
            </w:r>
          </w:p>
        </w:tc>
        <w:tc>
          <w:tcPr>
            <w:tcW w:w="4059" w:type="pct"/>
            <w:shd w:val="clear" w:color="auto" w:fill="auto"/>
          </w:tcPr>
          <w:p w:rsidR="00A25512" w:rsidRPr="004E6AFB" w:rsidRDefault="00A25512" w:rsidP="004B222C">
            <w:pPr>
              <w:pStyle w:val="TableText"/>
              <w:rPr>
                <w:rFonts w:ascii="Times" w:eastAsia="Times New Roman" w:hAnsi="Times" w:cs="Times New Roman"/>
                <w:lang w:val="en-AU"/>
              </w:rPr>
            </w:pPr>
            <w:r w:rsidRPr="004E6AFB">
              <w:rPr>
                <w:lang w:val="en-AU"/>
              </w:rPr>
              <w:t>Follitropin delta, gonadotropin used for controlled ovarian stimulation (COS) as part of an ART cycle</w:t>
            </w:r>
          </w:p>
        </w:tc>
      </w:tr>
      <w:tr w:rsidR="00A25512" w:rsidRPr="004E6AFB" w:rsidTr="004B222C">
        <w:trPr>
          <w:cantSplit/>
        </w:trPr>
        <w:tc>
          <w:tcPr>
            <w:tcW w:w="941" w:type="pct"/>
            <w:shd w:val="clear" w:color="auto" w:fill="auto"/>
          </w:tcPr>
          <w:p w:rsidR="00A25512" w:rsidRPr="004E6AFB" w:rsidRDefault="00A25512" w:rsidP="004B222C">
            <w:pPr>
              <w:pStyle w:val="TableText"/>
              <w:rPr>
                <w:rFonts w:ascii="Times" w:eastAsia="Times New Roman" w:hAnsi="Times" w:cs="Times New Roman"/>
                <w:lang w:val="en-AU"/>
              </w:rPr>
            </w:pPr>
            <w:r w:rsidRPr="004E6AFB">
              <w:rPr>
                <w:lang w:val="en-AU"/>
              </w:rPr>
              <w:t>Comparator</w:t>
            </w:r>
          </w:p>
        </w:tc>
        <w:tc>
          <w:tcPr>
            <w:tcW w:w="4059" w:type="pct"/>
            <w:shd w:val="clear" w:color="auto" w:fill="auto"/>
          </w:tcPr>
          <w:p w:rsidR="00A25512" w:rsidRPr="004E6AFB" w:rsidRDefault="00A25512" w:rsidP="004B222C">
            <w:pPr>
              <w:pStyle w:val="TableText"/>
              <w:rPr>
                <w:rFonts w:ascii="Times" w:eastAsia="Times New Roman" w:hAnsi="Times" w:cs="Times New Roman"/>
                <w:lang w:val="en-AU"/>
              </w:rPr>
            </w:pPr>
            <w:r w:rsidRPr="004E6AFB">
              <w:rPr>
                <w:lang w:val="en-AU"/>
              </w:rPr>
              <w:t>Follitropin alfa (Gonal F), gonadotropin used for COS as part of an ART cycle. This is not the only relevant comparator, but considered to be reasonable.</w:t>
            </w:r>
          </w:p>
        </w:tc>
      </w:tr>
      <w:tr w:rsidR="00A25512" w:rsidRPr="004E6AFB" w:rsidTr="004B222C">
        <w:trPr>
          <w:cantSplit/>
        </w:trPr>
        <w:tc>
          <w:tcPr>
            <w:tcW w:w="941" w:type="pct"/>
            <w:shd w:val="clear" w:color="auto" w:fill="auto"/>
          </w:tcPr>
          <w:p w:rsidR="00A25512" w:rsidRPr="004E6AFB" w:rsidRDefault="00A25512" w:rsidP="004B222C">
            <w:pPr>
              <w:pStyle w:val="TableText"/>
              <w:rPr>
                <w:rFonts w:ascii="Times" w:eastAsia="Times New Roman" w:hAnsi="Times" w:cs="Times New Roman"/>
                <w:lang w:val="en-AU"/>
              </w:rPr>
            </w:pPr>
            <w:r w:rsidRPr="004E6AFB">
              <w:rPr>
                <w:lang w:val="en-AU"/>
              </w:rPr>
              <w:t>Outcomes</w:t>
            </w:r>
          </w:p>
        </w:tc>
        <w:tc>
          <w:tcPr>
            <w:tcW w:w="4059" w:type="pct"/>
            <w:shd w:val="clear" w:color="auto" w:fill="auto"/>
          </w:tcPr>
          <w:p w:rsidR="00A25512" w:rsidRPr="004E6AFB" w:rsidRDefault="00A25512" w:rsidP="004B222C">
            <w:pPr>
              <w:pStyle w:val="TableText"/>
              <w:rPr>
                <w:rFonts w:ascii="Times" w:eastAsia="Times New Roman" w:hAnsi="Times" w:cs="Times New Roman"/>
                <w:lang w:val="en-AU"/>
              </w:rPr>
            </w:pPr>
            <w:r w:rsidRPr="004E6AFB">
              <w:rPr>
                <w:lang w:val="en-AU"/>
              </w:rPr>
              <w:t>Ongoing pregnancy rate</w:t>
            </w:r>
          </w:p>
          <w:p w:rsidR="00A25512" w:rsidRPr="004E6AFB" w:rsidRDefault="00A25512" w:rsidP="004B222C">
            <w:pPr>
              <w:pStyle w:val="TableText"/>
              <w:rPr>
                <w:rFonts w:ascii="Times" w:eastAsia="Times New Roman" w:hAnsi="Times" w:cs="Times New Roman"/>
                <w:lang w:val="en-AU"/>
              </w:rPr>
            </w:pPr>
            <w:r w:rsidRPr="004E6AFB">
              <w:rPr>
                <w:lang w:val="en-AU"/>
              </w:rPr>
              <w:t>Ongoing implantation rate</w:t>
            </w:r>
          </w:p>
          <w:p w:rsidR="00A25512" w:rsidRPr="004E6AFB" w:rsidRDefault="00A25512" w:rsidP="004B222C">
            <w:pPr>
              <w:pStyle w:val="TableText"/>
              <w:rPr>
                <w:rFonts w:ascii="Times" w:eastAsia="Times New Roman" w:hAnsi="Times" w:cs="Times New Roman"/>
                <w:lang w:val="en-AU"/>
              </w:rPr>
            </w:pPr>
            <w:r w:rsidRPr="004E6AFB">
              <w:rPr>
                <w:lang w:val="en-AU"/>
              </w:rPr>
              <w:t>Live birth rate</w:t>
            </w:r>
          </w:p>
          <w:p w:rsidR="00A25512" w:rsidRPr="004E6AFB" w:rsidRDefault="00A25512" w:rsidP="004B222C">
            <w:pPr>
              <w:pStyle w:val="TableText"/>
              <w:rPr>
                <w:rFonts w:ascii="Times" w:eastAsia="Times New Roman" w:hAnsi="Times" w:cs="Times New Roman"/>
                <w:lang w:val="en-AU"/>
              </w:rPr>
            </w:pPr>
            <w:r w:rsidRPr="004E6AFB">
              <w:rPr>
                <w:lang w:val="en-AU"/>
              </w:rPr>
              <w:t>Oocyte count</w:t>
            </w:r>
          </w:p>
          <w:p w:rsidR="00A25512" w:rsidRPr="004E6AFB" w:rsidRDefault="00A25512" w:rsidP="004B222C">
            <w:pPr>
              <w:pStyle w:val="TableText"/>
              <w:rPr>
                <w:rFonts w:ascii="Times" w:eastAsia="Times New Roman" w:hAnsi="Times" w:cs="Times New Roman"/>
                <w:lang w:val="en-AU"/>
              </w:rPr>
            </w:pPr>
            <w:r w:rsidRPr="004E6AFB">
              <w:rPr>
                <w:lang w:val="en-AU"/>
              </w:rPr>
              <w:t>Appropriate ovarian response</w:t>
            </w:r>
          </w:p>
          <w:p w:rsidR="00A25512" w:rsidRPr="004E6AFB" w:rsidRDefault="00A25512" w:rsidP="004B222C">
            <w:pPr>
              <w:pStyle w:val="TableText"/>
              <w:rPr>
                <w:rFonts w:ascii="Times" w:eastAsia="Times New Roman" w:hAnsi="Times" w:cs="Times New Roman"/>
                <w:lang w:val="en-AU"/>
              </w:rPr>
            </w:pPr>
            <w:r w:rsidRPr="004E6AFB">
              <w:rPr>
                <w:lang w:val="en-AU"/>
              </w:rPr>
              <w:t>Cycle cancellation due to poor or excessive ovarian response</w:t>
            </w:r>
          </w:p>
        </w:tc>
      </w:tr>
      <w:tr w:rsidR="00A25512" w:rsidRPr="004E6AFB" w:rsidTr="004B222C">
        <w:trPr>
          <w:cantSplit/>
        </w:trPr>
        <w:tc>
          <w:tcPr>
            <w:tcW w:w="941" w:type="pct"/>
            <w:shd w:val="clear" w:color="auto" w:fill="auto"/>
          </w:tcPr>
          <w:p w:rsidR="00A25512" w:rsidRPr="004E6AFB" w:rsidRDefault="00A25512" w:rsidP="004B222C">
            <w:pPr>
              <w:pStyle w:val="TableText"/>
              <w:rPr>
                <w:rFonts w:ascii="Times" w:eastAsia="Times New Roman" w:hAnsi="Times" w:cs="Times New Roman"/>
                <w:lang w:val="en-AU"/>
              </w:rPr>
            </w:pPr>
            <w:r w:rsidRPr="004E6AFB">
              <w:rPr>
                <w:lang w:val="en-AU"/>
              </w:rPr>
              <w:t>Clinical claim</w:t>
            </w:r>
          </w:p>
        </w:tc>
        <w:tc>
          <w:tcPr>
            <w:tcW w:w="4059" w:type="pct"/>
            <w:shd w:val="clear" w:color="auto" w:fill="auto"/>
          </w:tcPr>
          <w:p w:rsidR="00A25512" w:rsidRPr="004E6AFB" w:rsidRDefault="00A25512" w:rsidP="004B222C">
            <w:pPr>
              <w:pStyle w:val="TableText"/>
              <w:rPr>
                <w:rFonts w:ascii="Times" w:eastAsia="Times New Roman" w:hAnsi="Times" w:cs="Times New Roman"/>
                <w:lang w:val="en-AU"/>
              </w:rPr>
            </w:pPr>
            <w:r w:rsidRPr="004E6AFB">
              <w:rPr>
                <w:lang w:val="en-AU"/>
              </w:rPr>
              <w:t>Follitropin delta is no worse than follitropin alfa in terms of comparative clinical efficacy and safety. The claim regarding comparative efficacy require</w:t>
            </w:r>
            <w:r w:rsidR="006A4444">
              <w:rPr>
                <w:lang w:val="en-AU"/>
              </w:rPr>
              <w:t>s consideration</w:t>
            </w:r>
            <w:r w:rsidRPr="004E6AFB">
              <w:rPr>
                <w:lang w:val="en-AU"/>
              </w:rPr>
              <w:t>.</w:t>
            </w:r>
          </w:p>
        </w:tc>
      </w:tr>
    </w:tbl>
    <w:p w:rsidR="00C30E32" w:rsidRDefault="00C30E32">
      <w:pPr>
        <w:spacing w:before="0" w:line="259" w:lineRule="auto"/>
        <w:rPr>
          <w:rFonts w:eastAsiaTheme="majorEastAsia" w:cstheme="majorBidi"/>
          <w:b/>
          <w:sz w:val="32"/>
          <w:szCs w:val="28"/>
        </w:rPr>
      </w:pPr>
      <w:bookmarkStart w:id="4" w:name="_Toc492994154"/>
      <w:r>
        <w:br w:type="page"/>
      </w:r>
    </w:p>
    <w:p w:rsidR="00E4041E" w:rsidRPr="004E6AFB" w:rsidRDefault="00C317F3" w:rsidP="00E4041E">
      <w:pPr>
        <w:pStyle w:val="Heading1"/>
        <w:ind w:left="709" w:hanging="709"/>
      </w:pPr>
      <w:r w:rsidRPr="004E6AFB">
        <w:lastRenderedPageBreak/>
        <w:t>Requested listing</w:t>
      </w:r>
      <w:bookmarkEnd w:id="3"/>
      <w:bookmarkEnd w:id="4"/>
      <w:r w:rsidR="005C6285" w:rsidRPr="004E6AFB">
        <w:t xml:space="preserve"> </w:t>
      </w:r>
    </w:p>
    <w:tbl>
      <w:tblPr>
        <w:tblStyle w:val="PlainTable21"/>
        <w:tblW w:w="9180" w:type="dxa"/>
        <w:tblLook w:val="04A0" w:firstRow="1" w:lastRow="0" w:firstColumn="1" w:lastColumn="0" w:noHBand="0" w:noVBand="1"/>
        <w:tblCaption w:val="Requested listing "/>
      </w:tblPr>
      <w:tblGrid>
        <w:gridCol w:w="2802"/>
        <w:gridCol w:w="1559"/>
        <w:gridCol w:w="850"/>
        <w:gridCol w:w="2127"/>
        <w:gridCol w:w="1842"/>
      </w:tblGrid>
      <w:tr w:rsidR="00A25512" w:rsidRPr="004E6AFB" w:rsidTr="0082121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02" w:type="dxa"/>
            <w:vAlign w:val="center"/>
          </w:tcPr>
          <w:p w:rsidR="00A25512" w:rsidRPr="004E6AFB" w:rsidRDefault="00A25512" w:rsidP="004B222C">
            <w:pPr>
              <w:pStyle w:val="Tabletext0"/>
              <w:rPr>
                <w:b w:val="0"/>
                <w:bCs w:val="0"/>
              </w:rPr>
            </w:pPr>
            <w:r w:rsidRPr="004E6AFB">
              <w:t>Name, restriction, manner of administration, form</w:t>
            </w:r>
          </w:p>
        </w:tc>
        <w:tc>
          <w:tcPr>
            <w:tcW w:w="1559" w:type="dxa"/>
            <w:vAlign w:val="center"/>
          </w:tcPr>
          <w:p w:rsidR="00A25512" w:rsidRPr="004E6AFB" w:rsidRDefault="00A25512" w:rsidP="004B222C">
            <w:pPr>
              <w:pStyle w:val="Tabletext0"/>
              <w:jc w:val="center"/>
              <w:cnfStyle w:val="100000000000" w:firstRow="1" w:lastRow="0" w:firstColumn="0" w:lastColumn="0" w:oddVBand="0" w:evenVBand="0" w:oddHBand="0" w:evenHBand="0" w:firstRowFirstColumn="0" w:firstRowLastColumn="0" w:lastRowFirstColumn="0" w:lastRowLastColumn="0"/>
              <w:rPr>
                <w:b w:val="0"/>
                <w:bCs w:val="0"/>
              </w:rPr>
            </w:pPr>
            <w:r w:rsidRPr="004E6AFB">
              <w:t>Maximum quantity (packs)</w:t>
            </w:r>
          </w:p>
        </w:tc>
        <w:tc>
          <w:tcPr>
            <w:tcW w:w="850" w:type="dxa"/>
            <w:vAlign w:val="center"/>
          </w:tcPr>
          <w:p w:rsidR="00A25512" w:rsidRPr="004E6AFB" w:rsidRDefault="00A25512" w:rsidP="004B222C">
            <w:pPr>
              <w:pStyle w:val="Tabletext0"/>
              <w:jc w:val="center"/>
              <w:cnfStyle w:val="100000000000" w:firstRow="1" w:lastRow="0" w:firstColumn="0" w:lastColumn="0" w:oddVBand="0" w:evenVBand="0" w:oddHBand="0" w:evenHBand="0" w:firstRowFirstColumn="0" w:firstRowLastColumn="0" w:lastRowFirstColumn="0" w:lastRowLastColumn="0"/>
              <w:rPr>
                <w:b w:val="0"/>
                <w:bCs w:val="0"/>
              </w:rPr>
            </w:pPr>
            <w:r w:rsidRPr="004E6AFB">
              <w:t>No. of repeats</w:t>
            </w:r>
          </w:p>
        </w:tc>
        <w:tc>
          <w:tcPr>
            <w:tcW w:w="2127" w:type="dxa"/>
            <w:vAlign w:val="center"/>
          </w:tcPr>
          <w:p w:rsidR="00A25512" w:rsidRPr="004E6AFB" w:rsidRDefault="00A25512" w:rsidP="004B222C">
            <w:pPr>
              <w:pStyle w:val="Tabletext0"/>
              <w:jc w:val="center"/>
              <w:cnfStyle w:val="100000000000" w:firstRow="1" w:lastRow="0" w:firstColumn="0" w:lastColumn="0" w:oddVBand="0" w:evenVBand="0" w:oddHBand="0" w:evenHBand="0" w:firstRowFirstColumn="0" w:firstRowLastColumn="0" w:lastRowFirstColumn="0" w:lastRowLastColumn="0"/>
            </w:pPr>
            <w:r w:rsidRPr="004E6AFB">
              <w:t>Dispensed price for maximum quantity</w:t>
            </w:r>
          </w:p>
          <w:p w:rsidR="00A25512" w:rsidRPr="004E6AFB" w:rsidRDefault="00A25512" w:rsidP="004B222C">
            <w:pPr>
              <w:pStyle w:val="Tabletext0"/>
              <w:jc w:val="center"/>
              <w:cnfStyle w:val="100000000000" w:firstRow="1" w:lastRow="0" w:firstColumn="0" w:lastColumn="0" w:oddVBand="0" w:evenVBand="0" w:oddHBand="0" w:evenHBand="0" w:firstRowFirstColumn="0" w:firstRowLastColumn="0" w:lastRowFirstColumn="0" w:lastRowLastColumn="0"/>
              <w:rPr>
                <w:b w:val="0"/>
                <w:bCs w:val="0"/>
              </w:rPr>
            </w:pPr>
            <w:r w:rsidRPr="004E6AFB">
              <w:t>Published [Effective]</w:t>
            </w:r>
          </w:p>
        </w:tc>
        <w:tc>
          <w:tcPr>
            <w:tcW w:w="1842" w:type="dxa"/>
            <w:vAlign w:val="center"/>
          </w:tcPr>
          <w:p w:rsidR="00A25512" w:rsidRPr="004E6AFB" w:rsidRDefault="00A25512" w:rsidP="004B222C">
            <w:pPr>
              <w:pStyle w:val="Tabletext0"/>
              <w:jc w:val="center"/>
              <w:cnfStyle w:val="100000000000" w:firstRow="1" w:lastRow="0" w:firstColumn="0" w:lastColumn="0" w:oddVBand="0" w:evenVBand="0" w:oddHBand="0" w:evenHBand="0" w:firstRowFirstColumn="0" w:firstRowLastColumn="0" w:lastRowFirstColumn="0" w:lastRowLastColumn="0"/>
              <w:rPr>
                <w:b w:val="0"/>
                <w:bCs w:val="0"/>
              </w:rPr>
            </w:pPr>
            <w:r w:rsidRPr="004E6AFB">
              <w:t>Proprietary name and manufacturer</w:t>
            </w:r>
          </w:p>
        </w:tc>
      </w:tr>
      <w:tr w:rsidR="00A25512" w:rsidRPr="004E6AFB" w:rsidTr="004B2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A25512" w:rsidRPr="004E6AFB" w:rsidRDefault="00A25512" w:rsidP="004B222C">
            <w:pPr>
              <w:pStyle w:val="Tabletext0"/>
              <w:rPr>
                <w:b w:val="0"/>
              </w:rPr>
            </w:pPr>
            <w:r w:rsidRPr="004E6AFB">
              <w:rPr>
                <w:b w:val="0"/>
              </w:rPr>
              <w:t>Follitropin delta</w:t>
            </w:r>
          </w:p>
          <w:p w:rsidR="00A25512" w:rsidRPr="004E6AFB" w:rsidRDefault="00544609" w:rsidP="004B222C">
            <w:pPr>
              <w:pStyle w:val="Tabletext0"/>
              <w:rPr>
                <w:b w:val="0"/>
                <w:bCs w:val="0"/>
              </w:rPr>
            </w:pPr>
            <w:r w:rsidRPr="004E6AFB">
              <w:rPr>
                <w:b w:val="0"/>
                <w:bCs w:val="0"/>
              </w:rPr>
              <w:t>12 mcg/0.36 </w:t>
            </w:r>
            <w:r w:rsidR="00A25512" w:rsidRPr="004E6AFB">
              <w:rPr>
                <w:b w:val="0"/>
                <w:bCs w:val="0"/>
              </w:rPr>
              <w:t>mL injection, 1 x 3</w:t>
            </w:r>
            <w:r w:rsidRPr="004E6AFB">
              <w:rPr>
                <w:b w:val="0"/>
                <w:bCs w:val="0"/>
              </w:rPr>
              <w:t> </w:t>
            </w:r>
            <w:r w:rsidR="00A25512" w:rsidRPr="004E6AFB">
              <w:rPr>
                <w:b w:val="0"/>
                <w:bCs w:val="0"/>
              </w:rPr>
              <w:t>mL cartridge and 3 needles</w:t>
            </w:r>
          </w:p>
          <w:p w:rsidR="00A25512" w:rsidRPr="004E6AFB" w:rsidRDefault="00544609" w:rsidP="004B222C">
            <w:pPr>
              <w:pStyle w:val="Tabletext0"/>
              <w:rPr>
                <w:b w:val="0"/>
                <w:bCs w:val="0"/>
              </w:rPr>
            </w:pPr>
            <w:r w:rsidRPr="004E6AFB">
              <w:rPr>
                <w:b w:val="0"/>
                <w:bCs w:val="0"/>
              </w:rPr>
              <w:t>36 </w:t>
            </w:r>
            <w:r w:rsidR="00A25512" w:rsidRPr="004E6AFB">
              <w:rPr>
                <w:b w:val="0"/>
                <w:bCs w:val="0"/>
              </w:rPr>
              <w:t>m</w:t>
            </w:r>
            <w:r w:rsidRPr="004E6AFB">
              <w:rPr>
                <w:b w:val="0"/>
                <w:bCs w:val="0"/>
              </w:rPr>
              <w:t>cg/1.08 mL injection, 1 x 3 </w:t>
            </w:r>
            <w:r w:rsidR="00A25512" w:rsidRPr="004E6AFB">
              <w:rPr>
                <w:b w:val="0"/>
                <w:bCs w:val="0"/>
              </w:rPr>
              <w:t>mL cartridge and 6 needles</w:t>
            </w:r>
          </w:p>
          <w:p w:rsidR="00A25512" w:rsidRPr="004E6AFB" w:rsidRDefault="00544609" w:rsidP="004B222C">
            <w:pPr>
              <w:pStyle w:val="Tabletext0"/>
              <w:rPr>
                <w:b w:val="0"/>
                <w:bCs w:val="0"/>
              </w:rPr>
            </w:pPr>
            <w:r w:rsidRPr="004E6AFB">
              <w:rPr>
                <w:b w:val="0"/>
                <w:bCs w:val="0"/>
              </w:rPr>
              <w:t>72 mcg/2.16 mL injection, 1 x 3 </w:t>
            </w:r>
            <w:r w:rsidR="00A25512" w:rsidRPr="004E6AFB">
              <w:rPr>
                <w:b w:val="0"/>
                <w:bCs w:val="0"/>
              </w:rPr>
              <w:t>mL cartridge and 9 needles</w:t>
            </w:r>
          </w:p>
        </w:tc>
        <w:tc>
          <w:tcPr>
            <w:tcW w:w="1559" w:type="dxa"/>
          </w:tcPr>
          <w:p w:rsidR="00A25512" w:rsidRPr="004E6AFB" w:rsidRDefault="00A25512" w:rsidP="004B222C">
            <w:pPr>
              <w:pStyle w:val="Tabletext0"/>
              <w:jc w:val="center"/>
              <w:cnfStyle w:val="000000100000" w:firstRow="0" w:lastRow="0" w:firstColumn="0" w:lastColumn="0" w:oddVBand="0" w:evenVBand="0" w:oddHBand="1" w:evenHBand="0" w:firstRowFirstColumn="0" w:firstRowLastColumn="0" w:lastRowFirstColumn="0" w:lastRowLastColumn="0"/>
            </w:pPr>
          </w:p>
          <w:p w:rsidR="00A25512" w:rsidRPr="004E6AFB" w:rsidRDefault="00A25512" w:rsidP="004B222C">
            <w:pPr>
              <w:pStyle w:val="Tabletext0"/>
              <w:jc w:val="center"/>
              <w:cnfStyle w:val="000000100000" w:firstRow="0" w:lastRow="0" w:firstColumn="0" w:lastColumn="0" w:oddVBand="0" w:evenVBand="0" w:oddHBand="1" w:evenHBand="0" w:firstRowFirstColumn="0" w:firstRowLastColumn="0" w:lastRowFirstColumn="0" w:lastRowLastColumn="0"/>
            </w:pPr>
            <w:r w:rsidRPr="004E6AFB">
              <w:t>5</w:t>
            </w:r>
          </w:p>
          <w:p w:rsidR="00A25512" w:rsidRPr="004E6AFB" w:rsidRDefault="00A25512" w:rsidP="004B222C">
            <w:pPr>
              <w:pStyle w:val="Tabletext0"/>
              <w:jc w:val="center"/>
              <w:cnfStyle w:val="000000100000" w:firstRow="0" w:lastRow="0" w:firstColumn="0" w:lastColumn="0" w:oddVBand="0" w:evenVBand="0" w:oddHBand="1" w:evenHBand="0" w:firstRowFirstColumn="0" w:firstRowLastColumn="0" w:lastRowFirstColumn="0" w:lastRowLastColumn="0"/>
            </w:pPr>
          </w:p>
          <w:p w:rsidR="00A25512" w:rsidRPr="004E6AFB" w:rsidRDefault="00A25512" w:rsidP="004B222C">
            <w:pPr>
              <w:pStyle w:val="Tabletext0"/>
              <w:jc w:val="center"/>
              <w:cnfStyle w:val="000000100000" w:firstRow="0" w:lastRow="0" w:firstColumn="0" w:lastColumn="0" w:oddVBand="0" w:evenVBand="0" w:oddHBand="1" w:evenHBand="0" w:firstRowFirstColumn="0" w:firstRowLastColumn="0" w:lastRowFirstColumn="0" w:lastRowLastColumn="0"/>
            </w:pPr>
            <w:r w:rsidRPr="004E6AFB">
              <w:t>5</w:t>
            </w:r>
          </w:p>
          <w:p w:rsidR="00A25512" w:rsidRPr="004E6AFB" w:rsidRDefault="00A25512" w:rsidP="004B222C">
            <w:pPr>
              <w:pStyle w:val="Tabletext0"/>
              <w:jc w:val="center"/>
              <w:cnfStyle w:val="000000100000" w:firstRow="0" w:lastRow="0" w:firstColumn="0" w:lastColumn="0" w:oddVBand="0" w:evenVBand="0" w:oddHBand="1" w:evenHBand="0" w:firstRowFirstColumn="0" w:firstRowLastColumn="0" w:lastRowFirstColumn="0" w:lastRowLastColumn="0"/>
            </w:pPr>
          </w:p>
          <w:p w:rsidR="00A25512" w:rsidRPr="004E6AFB" w:rsidRDefault="00A25512" w:rsidP="004B222C">
            <w:pPr>
              <w:pStyle w:val="Tabletext0"/>
              <w:jc w:val="center"/>
              <w:cnfStyle w:val="000000100000" w:firstRow="0" w:lastRow="0" w:firstColumn="0" w:lastColumn="0" w:oddVBand="0" w:evenVBand="0" w:oddHBand="1" w:evenHBand="0" w:firstRowFirstColumn="0" w:firstRowLastColumn="0" w:lastRowFirstColumn="0" w:lastRowLastColumn="0"/>
              <w:rPr>
                <w:rFonts w:ascii="Times" w:hAnsi="Times"/>
              </w:rPr>
            </w:pPr>
            <w:r w:rsidRPr="004E6AFB">
              <w:t>4</w:t>
            </w:r>
          </w:p>
        </w:tc>
        <w:tc>
          <w:tcPr>
            <w:tcW w:w="850" w:type="dxa"/>
          </w:tcPr>
          <w:p w:rsidR="00A25512" w:rsidRPr="004E6AFB" w:rsidRDefault="00A25512" w:rsidP="004B222C">
            <w:pPr>
              <w:pStyle w:val="Tabletext0"/>
              <w:jc w:val="center"/>
              <w:cnfStyle w:val="000000100000" w:firstRow="0" w:lastRow="0" w:firstColumn="0" w:lastColumn="0" w:oddVBand="0" w:evenVBand="0" w:oddHBand="1" w:evenHBand="0" w:firstRowFirstColumn="0" w:firstRowLastColumn="0" w:lastRowFirstColumn="0" w:lastRowLastColumn="0"/>
            </w:pPr>
          </w:p>
          <w:p w:rsidR="00A25512" w:rsidRPr="004E6AFB" w:rsidRDefault="00A25512" w:rsidP="004B222C">
            <w:pPr>
              <w:pStyle w:val="Tabletext0"/>
              <w:jc w:val="center"/>
              <w:cnfStyle w:val="000000100000" w:firstRow="0" w:lastRow="0" w:firstColumn="0" w:lastColumn="0" w:oddVBand="0" w:evenVBand="0" w:oddHBand="1" w:evenHBand="0" w:firstRowFirstColumn="0" w:firstRowLastColumn="0" w:lastRowFirstColumn="0" w:lastRowLastColumn="0"/>
            </w:pPr>
            <w:r w:rsidRPr="004E6AFB">
              <w:t>0</w:t>
            </w:r>
          </w:p>
          <w:p w:rsidR="00A25512" w:rsidRPr="004E6AFB" w:rsidRDefault="00A25512" w:rsidP="004B222C">
            <w:pPr>
              <w:pStyle w:val="Tabletext0"/>
              <w:jc w:val="center"/>
              <w:cnfStyle w:val="000000100000" w:firstRow="0" w:lastRow="0" w:firstColumn="0" w:lastColumn="0" w:oddVBand="0" w:evenVBand="0" w:oddHBand="1" w:evenHBand="0" w:firstRowFirstColumn="0" w:firstRowLastColumn="0" w:lastRowFirstColumn="0" w:lastRowLastColumn="0"/>
            </w:pPr>
          </w:p>
          <w:p w:rsidR="00A25512" w:rsidRPr="004E6AFB" w:rsidRDefault="00A25512" w:rsidP="004B222C">
            <w:pPr>
              <w:pStyle w:val="Tabletext0"/>
              <w:jc w:val="center"/>
              <w:cnfStyle w:val="000000100000" w:firstRow="0" w:lastRow="0" w:firstColumn="0" w:lastColumn="0" w:oddVBand="0" w:evenVBand="0" w:oddHBand="1" w:evenHBand="0" w:firstRowFirstColumn="0" w:firstRowLastColumn="0" w:lastRowFirstColumn="0" w:lastRowLastColumn="0"/>
            </w:pPr>
            <w:r w:rsidRPr="004E6AFB">
              <w:t>0</w:t>
            </w:r>
          </w:p>
          <w:p w:rsidR="00A25512" w:rsidRPr="004E6AFB" w:rsidRDefault="00A25512" w:rsidP="004B222C">
            <w:pPr>
              <w:pStyle w:val="Tabletext0"/>
              <w:jc w:val="center"/>
              <w:cnfStyle w:val="000000100000" w:firstRow="0" w:lastRow="0" w:firstColumn="0" w:lastColumn="0" w:oddVBand="0" w:evenVBand="0" w:oddHBand="1" w:evenHBand="0" w:firstRowFirstColumn="0" w:firstRowLastColumn="0" w:lastRowFirstColumn="0" w:lastRowLastColumn="0"/>
            </w:pPr>
          </w:p>
          <w:p w:rsidR="00A25512" w:rsidRPr="004E6AFB" w:rsidRDefault="00A25512" w:rsidP="004B222C">
            <w:pPr>
              <w:pStyle w:val="Tabletext0"/>
              <w:jc w:val="center"/>
              <w:cnfStyle w:val="000000100000" w:firstRow="0" w:lastRow="0" w:firstColumn="0" w:lastColumn="0" w:oddVBand="0" w:evenVBand="0" w:oddHBand="1" w:evenHBand="0" w:firstRowFirstColumn="0" w:firstRowLastColumn="0" w:lastRowFirstColumn="0" w:lastRowLastColumn="0"/>
              <w:rPr>
                <w:rFonts w:ascii="Times" w:hAnsi="Times"/>
              </w:rPr>
            </w:pPr>
            <w:r w:rsidRPr="004E6AFB">
              <w:t>0</w:t>
            </w:r>
          </w:p>
        </w:tc>
        <w:tc>
          <w:tcPr>
            <w:tcW w:w="2127" w:type="dxa"/>
          </w:tcPr>
          <w:p w:rsidR="00A25512" w:rsidRPr="004E6AFB" w:rsidRDefault="00A25512" w:rsidP="004B222C">
            <w:pPr>
              <w:pStyle w:val="Tabletext0"/>
              <w:jc w:val="center"/>
              <w:cnfStyle w:val="000000100000" w:firstRow="0" w:lastRow="0" w:firstColumn="0" w:lastColumn="0" w:oddVBand="0" w:evenVBand="0" w:oddHBand="1" w:evenHBand="0" w:firstRowFirstColumn="0" w:firstRowLastColumn="0" w:lastRowFirstColumn="0" w:lastRowLastColumn="0"/>
            </w:pPr>
          </w:p>
          <w:p w:rsidR="00A25512" w:rsidRPr="004E6AFB" w:rsidRDefault="00A25512" w:rsidP="004B222C">
            <w:pPr>
              <w:pStyle w:val="Tabletext0"/>
              <w:jc w:val="center"/>
              <w:cnfStyle w:val="000000100000" w:firstRow="0" w:lastRow="0" w:firstColumn="0" w:lastColumn="0" w:oddVBand="0" w:evenVBand="0" w:oddHBand="1" w:evenHBand="0" w:firstRowFirstColumn="0" w:firstRowLastColumn="0" w:lastRowFirstColumn="0" w:lastRowLastColumn="0"/>
            </w:pPr>
            <w:r w:rsidRPr="004E6AFB">
              <w:t>$</w:t>
            </w:r>
            <w:r w:rsidR="0034132A">
              <w:rPr>
                <w:noProof/>
                <w:color w:val="000000"/>
                <w:highlight w:val="black"/>
              </w:rPr>
              <w:t>''''''''''''''''</w:t>
            </w:r>
            <w:r w:rsidRPr="004E6AFB">
              <w:t xml:space="preserve"> [$</w:t>
            </w:r>
            <w:r w:rsidR="0034132A">
              <w:rPr>
                <w:noProof/>
                <w:color w:val="000000"/>
                <w:highlight w:val="black"/>
              </w:rPr>
              <w:t>''''''''''''''''</w:t>
            </w:r>
            <w:r w:rsidRPr="004E6AFB">
              <w:t>]</w:t>
            </w:r>
          </w:p>
          <w:p w:rsidR="00A25512" w:rsidRPr="004E6AFB" w:rsidRDefault="00A25512" w:rsidP="004B222C">
            <w:pPr>
              <w:pStyle w:val="Tabletext0"/>
              <w:jc w:val="center"/>
              <w:cnfStyle w:val="000000100000" w:firstRow="0" w:lastRow="0" w:firstColumn="0" w:lastColumn="0" w:oddVBand="0" w:evenVBand="0" w:oddHBand="1" w:evenHBand="0" w:firstRowFirstColumn="0" w:firstRowLastColumn="0" w:lastRowFirstColumn="0" w:lastRowLastColumn="0"/>
            </w:pPr>
          </w:p>
          <w:p w:rsidR="00A25512" w:rsidRPr="004E6AFB" w:rsidRDefault="00A25512" w:rsidP="004B222C">
            <w:pPr>
              <w:pStyle w:val="Tabletext0"/>
              <w:jc w:val="center"/>
              <w:cnfStyle w:val="000000100000" w:firstRow="0" w:lastRow="0" w:firstColumn="0" w:lastColumn="0" w:oddVBand="0" w:evenVBand="0" w:oddHBand="1" w:evenHBand="0" w:firstRowFirstColumn="0" w:firstRowLastColumn="0" w:lastRowFirstColumn="0" w:lastRowLastColumn="0"/>
            </w:pPr>
            <w:r w:rsidRPr="004E6AFB">
              <w:t>$</w:t>
            </w:r>
            <w:r w:rsidR="0034132A">
              <w:rPr>
                <w:noProof/>
                <w:color w:val="000000"/>
                <w:highlight w:val="black"/>
              </w:rPr>
              <w:t>'''''''''''''''''''</w:t>
            </w:r>
            <w:r w:rsidRPr="004E6AFB">
              <w:t xml:space="preserve"> [$</w:t>
            </w:r>
            <w:r w:rsidR="0034132A">
              <w:rPr>
                <w:noProof/>
                <w:color w:val="000000"/>
                <w:highlight w:val="black"/>
              </w:rPr>
              <w:t>''''''''''''''''''''''</w:t>
            </w:r>
            <w:r w:rsidRPr="004E6AFB">
              <w:t>]</w:t>
            </w:r>
          </w:p>
          <w:p w:rsidR="00A25512" w:rsidRPr="004E6AFB" w:rsidRDefault="00A25512" w:rsidP="004B222C">
            <w:pPr>
              <w:pStyle w:val="Tabletext0"/>
              <w:jc w:val="center"/>
              <w:cnfStyle w:val="000000100000" w:firstRow="0" w:lastRow="0" w:firstColumn="0" w:lastColumn="0" w:oddVBand="0" w:evenVBand="0" w:oddHBand="1" w:evenHBand="0" w:firstRowFirstColumn="0" w:firstRowLastColumn="0" w:lastRowFirstColumn="0" w:lastRowLastColumn="0"/>
            </w:pPr>
          </w:p>
          <w:p w:rsidR="00A25512" w:rsidRPr="004E6AFB" w:rsidRDefault="00A25512" w:rsidP="004B222C">
            <w:pPr>
              <w:pStyle w:val="Tabletext0"/>
              <w:jc w:val="center"/>
              <w:cnfStyle w:val="000000100000" w:firstRow="0" w:lastRow="0" w:firstColumn="0" w:lastColumn="0" w:oddVBand="0" w:evenVBand="0" w:oddHBand="1" w:evenHBand="0" w:firstRowFirstColumn="0" w:firstRowLastColumn="0" w:lastRowFirstColumn="0" w:lastRowLastColumn="0"/>
              <w:rPr>
                <w:rFonts w:ascii="Times" w:hAnsi="Times"/>
              </w:rPr>
            </w:pPr>
            <w:r w:rsidRPr="004E6AFB">
              <w:t>$</w:t>
            </w:r>
            <w:r w:rsidR="0034132A">
              <w:rPr>
                <w:noProof/>
                <w:color w:val="000000"/>
                <w:highlight w:val="black"/>
              </w:rPr>
              <w:t>'''''''''''''''''''''</w:t>
            </w:r>
            <w:r w:rsidRPr="004E6AFB">
              <w:t xml:space="preserve"> [$</w:t>
            </w:r>
            <w:r w:rsidR="0034132A">
              <w:rPr>
                <w:noProof/>
                <w:color w:val="000000"/>
                <w:highlight w:val="black"/>
              </w:rPr>
              <w:t>''''''''''''''''''''''</w:t>
            </w:r>
            <w:r w:rsidRPr="004E6AFB">
              <w:t>]</w:t>
            </w:r>
          </w:p>
        </w:tc>
        <w:tc>
          <w:tcPr>
            <w:tcW w:w="1842" w:type="dxa"/>
            <w:vAlign w:val="center"/>
          </w:tcPr>
          <w:p w:rsidR="00A25512" w:rsidRPr="004E6AFB" w:rsidRDefault="00A25512" w:rsidP="004B222C">
            <w:pPr>
              <w:pStyle w:val="Tabletext0"/>
              <w:jc w:val="center"/>
              <w:cnfStyle w:val="000000100000" w:firstRow="0" w:lastRow="0" w:firstColumn="0" w:lastColumn="0" w:oddVBand="0" w:evenVBand="0" w:oddHBand="1" w:evenHBand="0" w:firstRowFirstColumn="0" w:firstRowLastColumn="0" w:lastRowFirstColumn="0" w:lastRowLastColumn="0"/>
            </w:pPr>
            <w:r w:rsidRPr="004E6AFB">
              <w:t>Rekovelle</w:t>
            </w:r>
          </w:p>
          <w:p w:rsidR="00A25512" w:rsidRPr="004E6AFB" w:rsidRDefault="00A25512" w:rsidP="004B222C">
            <w:pPr>
              <w:pStyle w:val="Tabletext0"/>
              <w:jc w:val="center"/>
              <w:cnfStyle w:val="000000100000" w:firstRow="0" w:lastRow="0" w:firstColumn="0" w:lastColumn="0" w:oddVBand="0" w:evenVBand="0" w:oddHBand="1" w:evenHBand="0" w:firstRowFirstColumn="0" w:firstRowLastColumn="0" w:lastRowFirstColumn="0" w:lastRowLastColumn="0"/>
              <w:rPr>
                <w:rFonts w:ascii="Times" w:hAnsi="Times"/>
              </w:rPr>
            </w:pPr>
            <w:r w:rsidRPr="004E6AFB">
              <w:t>Ferring Pharmaceutical</w:t>
            </w:r>
          </w:p>
        </w:tc>
      </w:tr>
    </w:tbl>
    <w:tbl>
      <w:tblPr>
        <w:tblStyle w:val="TableGrid"/>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Requested listing "/>
      </w:tblPr>
      <w:tblGrid>
        <w:gridCol w:w="9209"/>
      </w:tblGrid>
      <w:tr w:rsidR="00A25512" w:rsidRPr="004E6AFB" w:rsidTr="0082121F">
        <w:trPr>
          <w:cnfStyle w:val="100000000000" w:firstRow="1" w:lastRow="0" w:firstColumn="0" w:lastColumn="0" w:oddVBand="0" w:evenVBand="0" w:oddHBand="0" w:evenHBand="0" w:firstRowFirstColumn="0" w:firstRowLastColumn="0" w:lastRowFirstColumn="0" w:lastRowLastColumn="0"/>
          <w:trHeight w:val="1556"/>
          <w:tblHeader/>
        </w:trPr>
        <w:tc>
          <w:tcPr>
            <w:tcW w:w="9209" w:type="dxa"/>
            <w:shd w:val="clear" w:color="auto" w:fill="auto"/>
          </w:tcPr>
          <w:p w:rsidR="00A25512" w:rsidRPr="004E6AFB" w:rsidRDefault="00A25512" w:rsidP="004B222C">
            <w:pPr>
              <w:pStyle w:val="TableText"/>
              <w:rPr>
                <w:b w:val="0"/>
                <w:lang w:val="en-AU"/>
              </w:rPr>
            </w:pPr>
            <w:r w:rsidRPr="004E6AFB">
              <w:rPr>
                <w:b w:val="0"/>
                <w:lang w:val="en-AU"/>
              </w:rPr>
              <w:t>S100 IVF Program – Authority Required (Streamlined)</w:t>
            </w:r>
          </w:p>
          <w:p w:rsidR="00A25512" w:rsidRPr="004E6AFB" w:rsidRDefault="00A25512" w:rsidP="004B222C">
            <w:pPr>
              <w:pStyle w:val="TableText"/>
              <w:rPr>
                <w:b w:val="0"/>
                <w:lang w:val="en-AU"/>
              </w:rPr>
            </w:pPr>
            <w:r w:rsidRPr="004E6AFB">
              <w:rPr>
                <w:b w:val="0"/>
                <w:lang w:val="en-AU"/>
              </w:rPr>
              <w:t>5027</w:t>
            </w:r>
          </w:p>
          <w:p w:rsidR="00A25512" w:rsidRPr="004E6AFB" w:rsidRDefault="00A25512" w:rsidP="004B222C">
            <w:pPr>
              <w:pStyle w:val="TableText"/>
              <w:rPr>
                <w:b w:val="0"/>
                <w:lang w:val="en-AU"/>
              </w:rPr>
            </w:pPr>
            <w:r w:rsidRPr="004E6AFB">
              <w:rPr>
                <w:b w:val="0"/>
                <w:lang w:val="en-AU"/>
              </w:rPr>
              <w:t>Assisted Reproductive Technology</w:t>
            </w:r>
          </w:p>
          <w:p w:rsidR="00A25512" w:rsidRPr="004E6AFB" w:rsidRDefault="00A25512" w:rsidP="004B222C">
            <w:pPr>
              <w:pStyle w:val="TableText"/>
              <w:rPr>
                <w:b w:val="0"/>
                <w:lang w:val="en-AU"/>
              </w:rPr>
            </w:pPr>
            <w:r w:rsidRPr="004E6AFB">
              <w:rPr>
                <w:b w:val="0"/>
                <w:lang w:val="en-AU"/>
              </w:rPr>
              <w:t>Clinical criteria:</w:t>
            </w:r>
          </w:p>
          <w:p w:rsidR="00A25512" w:rsidRPr="004E6AFB" w:rsidRDefault="00A25512" w:rsidP="004B222C">
            <w:pPr>
              <w:pStyle w:val="TableText"/>
              <w:rPr>
                <w:b w:val="0"/>
                <w:lang w:val="en-AU"/>
              </w:rPr>
            </w:pPr>
            <w:r w:rsidRPr="004E6AFB">
              <w:rPr>
                <w:b w:val="0"/>
                <w:lang w:val="en-AU"/>
              </w:rPr>
              <w:t>Patient must be receiving medical services as described in items 13200, 13201, 13202 or 13203 of the Medicare Benefits Schedule</w:t>
            </w:r>
          </w:p>
        </w:tc>
      </w:tr>
    </w:tbl>
    <w:p w:rsidR="00A25512" w:rsidRPr="004E6AFB" w:rsidRDefault="00A25512" w:rsidP="00A25512">
      <w:pPr>
        <w:pStyle w:val="TableFooter"/>
      </w:pPr>
      <w:r w:rsidRPr="004E6AFB">
        <w:t>[$ SPA] = price related to proposed special price arrangement</w:t>
      </w:r>
    </w:p>
    <w:p w:rsidR="00C317F3" w:rsidRPr="004E6AFB" w:rsidRDefault="00C317F3" w:rsidP="002001C6">
      <w:pPr>
        <w:pStyle w:val="Heading1"/>
        <w:ind w:left="709" w:hanging="709"/>
      </w:pPr>
      <w:bookmarkStart w:id="5" w:name="_Toc413139273"/>
      <w:bookmarkStart w:id="6" w:name="_Toc492994155"/>
      <w:r w:rsidRPr="004E6AFB">
        <w:t>Background</w:t>
      </w:r>
      <w:bookmarkEnd w:id="5"/>
      <w:bookmarkEnd w:id="6"/>
    </w:p>
    <w:p w:rsidR="0017638E" w:rsidRPr="004E6AFB" w:rsidRDefault="0017638E" w:rsidP="0017638E">
      <w:pPr>
        <w:pStyle w:val="Heading2"/>
        <w:rPr>
          <w:i w:val="0"/>
        </w:rPr>
      </w:pPr>
      <w:bookmarkStart w:id="7" w:name="_Toc492994156"/>
      <w:r w:rsidRPr="004E6AFB">
        <w:rPr>
          <w:i w:val="0"/>
        </w:rPr>
        <w:t>Registration status</w:t>
      </w:r>
      <w:bookmarkEnd w:id="7"/>
    </w:p>
    <w:p w:rsidR="00A25512" w:rsidRPr="004E6AFB" w:rsidRDefault="00A25512" w:rsidP="00A25512">
      <w:pPr>
        <w:pStyle w:val="ListParagraph"/>
        <w:numPr>
          <w:ilvl w:val="1"/>
          <w:numId w:val="2"/>
        </w:numPr>
        <w:jc w:val="both"/>
      </w:pPr>
      <w:r w:rsidRPr="004E6AFB">
        <w:t xml:space="preserve">Follitropin delta was approved by the TGA on 31 March 2017 for the following indication: “Controlled ovarian stimulation for the development of multiple follicles in women undergoing assisted reproductive technologies (ART) such as an in vitro fertilisation (IVF) or intracytoplasmic sperm injection (ICSI) cycle”. </w:t>
      </w:r>
    </w:p>
    <w:p w:rsidR="00A25512" w:rsidRPr="004E6AFB" w:rsidRDefault="00A25512" w:rsidP="00A25512">
      <w:pPr>
        <w:pStyle w:val="ListParagraph"/>
        <w:numPr>
          <w:ilvl w:val="1"/>
          <w:numId w:val="2"/>
        </w:numPr>
        <w:jc w:val="both"/>
      </w:pPr>
      <w:r w:rsidRPr="004E6AFB">
        <w:t xml:space="preserve">Follitropin delta is approved as a solution for injection in a cartridge administered with a re-usable multi-dose pen. The submission stated that an application has been submitted for administration via a disposable multi-dose pen. </w:t>
      </w:r>
      <w:r w:rsidR="00FE35B1" w:rsidRPr="004E6AFB">
        <w:t>The submission is not requesting listing of the multi-dose pen.</w:t>
      </w:r>
    </w:p>
    <w:p w:rsidR="00C317F3" w:rsidRPr="004E6AFB" w:rsidRDefault="00C317F3" w:rsidP="00A25512">
      <w:pPr>
        <w:pStyle w:val="Heading1"/>
        <w:ind w:left="709" w:hanging="709"/>
      </w:pPr>
      <w:bookmarkStart w:id="8" w:name="_Toc492994157"/>
      <w:r w:rsidRPr="004E6AFB">
        <w:t>Population and disease</w:t>
      </w:r>
      <w:bookmarkEnd w:id="8"/>
    </w:p>
    <w:p w:rsidR="00C317F3" w:rsidRPr="004E6AFB" w:rsidRDefault="00FE35B1" w:rsidP="002D01E8">
      <w:pPr>
        <w:pStyle w:val="ListParagraph"/>
        <w:numPr>
          <w:ilvl w:val="1"/>
          <w:numId w:val="2"/>
        </w:numPr>
        <w:spacing w:before="0" w:after="120"/>
        <w:jc w:val="both"/>
      </w:pPr>
      <w:r w:rsidRPr="004E6AFB">
        <w:t xml:space="preserve">In 2014, 33750 women had ART treatment in Australia and 13 had treatment in both Australia and New Zealand (Australia New Zealand Assisted Reproduction Database [ANZARD] 2016). </w:t>
      </w:r>
      <w:r w:rsidR="002D01E8" w:rsidRPr="004E6AFB">
        <w:t>ANZARD (2016) reports (p17) that 19.7% reported male infertility factors as the only cause of infertility; 30.8% reported only female infertility factors; 12.5% reported combined male-female factors; 22.3% reported unexplained infertility; and 14.7% were not stated. ANZARD (2016) also states that “However, the diagnostic definitions may vary among fertility centres and should be interpreted with caution”.</w:t>
      </w:r>
      <w:r w:rsidR="00A25512" w:rsidRPr="004E6AFB">
        <w:t xml:space="preserve"> </w:t>
      </w:r>
      <w:r w:rsidR="002D01E8" w:rsidRPr="004E6AFB">
        <w:t>T</w:t>
      </w:r>
      <w:r w:rsidR="00A25512" w:rsidRPr="004E6AFB">
        <w:t>he most recent national estimates indicate that 4.4% of all women who gave birth in Australia in 2013 received some form of ART treatment (ANZARD 2016).</w:t>
      </w:r>
    </w:p>
    <w:p w:rsidR="00C317F3" w:rsidRPr="004E6AFB" w:rsidRDefault="00C317F3" w:rsidP="002001C6">
      <w:pPr>
        <w:pStyle w:val="Heading1"/>
        <w:ind w:left="709" w:hanging="709"/>
      </w:pPr>
      <w:bookmarkStart w:id="9" w:name="_Toc413139275"/>
      <w:bookmarkStart w:id="10" w:name="_Toc492994158"/>
      <w:r w:rsidRPr="004E6AFB">
        <w:t>Comparator</w:t>
      </w:r>
      <w:bookmarkEnd w:id="9"/>
      <w:bookmarkEnd w:id="10"/>
    </w:p>
    <w:p w:rsidR="0095170D" w:rsidRPr="004E6AFB" w:rsidRDefault="00A25512" w:rsidP="00A25512">
      <w:pPr>
        <w:pStyle w:val="ListParagraph"/>
        <w:numPr>
          <w:ilvl w:val="1"/>
          <w:numId w:val="2"/>
        </w:numPr>
      </w:pPr>
      <w:r w:rsidRPr="004E6AFB">
        <w:t>Follitropin alfa (Gonal F). This is the appropriate comparator.</w:t>
      </w:r>
    </w:p>
    <w:p w:rsidR="009925DB" w:rsidRPr="004E6AFB" w:rsidRDefault="00927674" w:rsidP="00927674">
      <w:pPr>
        <w:pStyle w:val="ListParagraph"/>
        <w:numPr>
          <w:ilvl w:val="1"/>
          <w:numId w:val="2"/>
        </w:numPr>
        <w:jc w:val="both"/>
      </w:pPr>
      <w:r w:rsidRPr="004E6AFB">
        <w:lastRenderedPageBreak/>
        <w:t>Although a follitropin alfa biosimilar (Bemfola), follitropin beta (Puregon), corifollitropin (Elonva) and human menopausal gonadotropin (hMG; Menopur) are also listed on the PBS, and could represent additional relevant comparators, each have been listed on a cost-minimisation basis. The ex-manufacturer price per international unit (I.U.) for the follitropin alfa presentations is approximately $0.36, and approximately $0.46/I.U. for follitropin beta and human menopausal gonadotropin</w:t>
      </w:r>
      <w:r w:rsidR="002D01E8" w:rsidRPr="004E6AFB">
        <w:t>.</w:t>
      </w:r>
    </w:p>
    <w:p w:rsidR="005B738F" w:rsidRPr="004E6AFB" w:rsidRDefault="005B738F" w:rsidP="005B738F">
      <w:pPr>
        <w:pStyle w:val="ListParagraph"/>
        <w:ind w:left="576"/>
        <w:jc w:val="both"/>
        <w:rPr>
          <w:i/>
        </w:rPr>
      </w:pPr>
      <w:r w:rsidRPr="004E6AFB">
        <w:rPr>
          <w:i/>
        </w:rPr>
        <w:t>For more detail on PBAC’s view, see section 7 PBAC Outcome.</w:t>
      </w:r>
    </w:p>
    <w:p w:rsidR="00C317F3" w:rsidRPr="004E6AFB" w:rsidRDefault="00C317F3" w:rsidP="002001C6">
      <w:pPr>
        <w:pStyle w:val="Heading1"/>
        <w:ind w:left="709" w:hanging="709"/>
      </w:pPr>
      <w:bookmarkStart w:id="11" w:name="_Toc413139276"/>
      <w:bookmarkStart w:id="12" w:name="_Toc492994159"/>
      <w:r w:rsidRPr="004E6AFB">
        <w:t>Consideration of the evidence</w:t>
      </w:r>
      <w:bookmarkEnd w:id="11"/>
      <w:bookmarkEnd w:id="12"/>
    </w:p>
    <w:p w:rsidR="00BD76BC" w:rsidRPr="004E6AFB" w:rsidRDefault="00F918E8" w:rsidP="0069194E">
      <w:pPr>
        <w:pStyle w:val="Heading2"/>
        <w:rPr>
          <w:i w:val="0"/>
        </w:rPr>
      </w:pPr>
      <w:r w:rsidRPr="004E6AFB">
        <w:rPr>
          <w:i w:val="0"/>
        </w:rPr>
        <w:t>Sponsor hearing</w:t>
      </w:r>
    </w:p>
    <w:p w:rsidR="0069194E" w:rsidRPr="004E6AFB" w:rsidRDefault="0069194E" w:rsidP="00202197">
      <w:pPr>
        <w:pStyle w:val="ListParagraph"/>
        <w:numPr>
          <w:ilvl w:val="1"/>
          <w:numId w:val="2"/>
        </w:numPr>
        <w:spacing w:after="0"/>
        <w:ind w:left="578" w:hanging="578"/>
      </w:pPr>
      <w:r w:rsidRPr="004E6AFB">
        <w:t>There was no hearing for this item.</w:t>
      </w:r>
    </w:p>
    <w:p w:rsidR="0069194E" w:rsidRPr="004E6AFB" w:rsidRDefault="0069194E" w:rsidP="0069194E">
      <w:pPr>
        <w:spacing w:after="0"/>
        <w:rPr>
          <w:b/>
          <w:sz w:val="28"/>
          <w:szCs w:val="28"/>
        </w:rPr>
      </w:pPr>
      <w:r w:rsidRPr="004E6AFB">
        <w:rPr>
          <w:b/>
          <w:sz w:val="28"/>
          <w:szCs w:val="28"/>
        </w:rPr>
        <w:t>Consumer comments</w:t>
      </w:r>
    </w:p>
    <w:p w:rsidR="0069194E" w:rsidRPr="004E6AFB" w:rsidRDefault="0069194E" w:rsidP="00202197">
      <w:pPr>
        <w:pStyle w:val="ListParagraph"/>
        <w:numPr>
          <w:ilvl w:val="1"/>
          <w:numId w:val="2"/>
        </w:numPr>
        <w:spacing w:after="0"/>
        <w:ind w:left="578" w:hanging="578"/>
      </w:pPr>
      <w:r w:rsidRPr="004E6AFB">
        <w:t xml:space="preserve">PBAC noted and welcomed the input from health care professionals (3) and organisations (1) via the Consumer Comments facility on the PBS website.  </w:t>
      </w:r>
      <w:r w:rsidR="007A0ECF" w:rsidRPr="004E6AFB">
        <w:t>Input indicated</w:t>
      </w:r>
      <w:r w:rsidRPr="004E6AFB">
        <w:t xml:space="preserve"> that follitropin delta has a unique dose finding algorithm, a</w:t>
      </w:r>
      <w:r w:rsidR="007A0ECF" w:rsidRPr="004E6AFB">
        <w:t>nd because</w:t>
      </w:r>
      <w:r w:rsidRPr="004E6AFB">
        <w:t xml:space="preserve"> it can deliver an individualised dose to patients</w:t>
      </w:r>
      <w:r w:rsidR="007A0ECF" w:rsidRPr="004E6AFB">
        <w:t xml:space="preserve"> it may</w:t>
      </w:r>
      <w:r w:rsidRPr="004E6AFB">
        <w:t xml:space="preserve"> minimis</w:t>
      </w:r>
      <w:r w:rsidR="007A0ECF" w:rsidRPr="004E6AFB">
        <w:t>e</w:t>
      </w:r>
      <w:r w:rsidRPr="004E6AFB">
        <w:t xml:space="preserve"> wastage and potentially lower costs to patients and the PBS.  </w:t>
      </w:r>
      <w:r w:rsidR="007A0ECF" w:rsidRPr="004E6AFB">
        <w:t>ACCESS Australia also expressed the view that follitropin delta could</w:t>
      </w:r>
      <w:r w:rsidRPr="004E6AFB">
        <w:t xml:space="preserve"> reduc</w:t>
      </w:r>
      <w:r w:rsidR="007A0ECF" w:rsidRPr="004E6AFB">
        <w:t>e</w:t>
      </w:r>
      <w:r w:rsidRPr="004E6AFB">
        <w:t xml:space="preserve"> the </w:t>
      </w:r>
      <w:r w:rsidR="007A0ECF" w:rsidRPr="004E6AFB">
        <w:t>risk</w:t>
      </w:r>
      <w:r w:rsidRPr="004E6AFB">
        <w:t xml:space="preserve"> of Ovarian Hyperstimulation</w:t>
      </w:r>
      <w:r w:rsidR="007A0ECF" w:rsidRPr="004E6AFB">
        <w:t xml:space="preserve"> Syndrome,</w:t>
      </w:r>
      <w:r w:rsidRPr="004E6AFB">
        <w:t xml:space="preserve"> compar</w:t>
      </w:r>
      <w:r w:rsidR="007A0ECF" w:rsidRPr="004E6AFB">
        <w:t>ed</w:t>
      </w:r>
      <w:r w:rsidRPr="004E6AFB">
        <w:t xml:space="preserve"> with other gonadotropins. </w:t>
      </w:r>
    </w:p>
    <w:p w:rsidR="0069194E" w:rsidRPr="004E6AFB" w:rsidRDefault="0069194E" w:rsidP="007A7BF8">
      <w:pPr>
        <w:pStyle w:val="Heading2"/>
      </w:pPr>
      <w:r w:rsidRPr="004E6AFB">
        <w:rPr>
          <w:i w:val="0"/>
        </w:rPr>
        <w:t>Clinical trials</w:t>
      </w:r>
    </w:p>
    <w:p w:rsidR="00202197" w:rsidRPr="004E6AFB" w:rsidRDefault="00202197" w:rsidP="00202197">
      <w:pPr>
        <w:pStyle w:val="ListParagraph"/>
        <w:numPr>
          <w:ilvl w:val="1"/>
          <w:numId w:val="2"/>
        </w:numPr>
        <w:spacing w:after="0"/>
        <w:ind w:left="578" w:hanging="578"/>
      </w:pPr>
      <w:r w:rsidRPr="004E6AFB">
        <w:t>The submission is based on:</w:t>
      </w:r>
    </w:p>
    <w:p w:rsidR="00202197" w:rsidRPr="004E6AFB" w:rsidRDefault="00202197" w:rsidP="00202197">
      <w:pPr>
        <w:pStyle w:val="ListParagraph"/>
        <w:numPr>
          <w:ilvl w:val="1"/>
          <w:numId w:val="31"/>
        </w:numPr>
        <w:spacing w:before="0" w:after="0"/>
        <w:ind w:left="851" w:hanging="284"/>
        <w:jc w:val="both"/>
      </w:pPr>
      <w:r w:rsidRPr="004E6AFB">
        <w:t xml:space="preserve">one head-to-head randomised non-inferiority trial (ESTHER-1; n=1,329) comparing follitropin delta to follitropin alfa (Gonal F) in COS Cycle 1; and </w:t>
      </w:r>
    </w:p>
    <w:p w:rsidR="00C317F3" w:rsidRPr="004E6AFB" w:rsidRDefault="00202197" w:rsidP="00202197">
      <w:pPr>
        <w:pStyle w:val="ListParagraph"/>
        <w:numPr>
          <w:ilvl w:val="1"/>
          <w:numId w:val="31"/>
        </w:numPr>
        <w:spacing w:before="0"/>
        <w:ind w:left="851" w:hanging="284"/>
        <w:jc w:val="both"/>
      </w:pPr>
      <w:r w:rsidRPr="004E6AFB">
        <w:t>one supplementary non-randomised, safety trial (ESTHER-2) comparing follitropin delta and follitropin alfa (Gonal F) that enrolled patients who did not achieve an ongoing pregnancy in ESTHER-1; patients maintained the treatment they were allocated to in ESTHER-1.</w:t>
      </w:r>
    </w:p>
    <w:p w:rsidR="00C317F3" w:rsidRPr="004E6AFB" w:rsidRDefault="00C317F3" w:rsidP="00A25512">
      <w:pPr>
        <w:pStyle w:val="ListParagraph"/>
        <w:numPr>
          <w:ilvl w:val="1"/>
          <w:numId w:val="2"/>
        </w:numPr>
        <w:spacing w:before="0" w:after="120"/>
        <w:jc w:val="both"/>
      </w:pPr>
      <w:r w:rsidRPr="004E6AFB">
        <w:t xml:space="preserve">Details of the trials presented in the submission are provided </w:t>
      </w:r>
      <w:r w:rsidR="00202197" w:rsidRPr="004E6AFB">
        <w:t>Table 2</w:t>
      </w:r>
      <w:r w:rsidRPr="004E6AFB">
        <w:t xml:space="preserve">.  </w:t>
      </w:r>
    </w:p>
    <w:p w:rsidR="0082121F" w:rsidRDefault="0082121F">
      <w:pPr>
        <w:spacing w:before="0" w:line="259" w:lineRule="auto"/>
        <w:rPr>
          <w:rFonts w:ascii="Arial Narrow" w:hAnsi="Arial Narrow"/>
          <w:b/>
          <w:sz w:val="20"/>
        </w:rPr>
      </w:pPr>
      <w:r>
        <w:br w:type="page"/>
      </w:r>
    </w:p>
    <w:p w:rsidR="00202197" w:rsidRPr="004E6AFB" w:rsidRDefault="00202197" w:rsidP="00202197">
      <w:pPr>
        <w:pStyle w:val="TableHeading0"/>
      </w:pPr>
      <w:r w:rsidRPr="004E6AFB">
        <w:t>Table 2: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020"/>
        <w:gridCol w:w="6238"/>
        <w:gridCol w:w="1824"/>
      </w:tblGrid>
      <w:tr w:rsidR="00202197" w:rsidRPr="004E6AFB" w:rsidTr="004B222C">
        <w:tc>
          <w:tcPr>
            <w:tcW w:w="562" w:type="pct"/>
          </w:tcPr>
          <w:p w:rsidR="00202197" w:rsidRPr="004E6AFB" w:rsidRDefault="00202197" w:rsidP="004B222C">
            <w:pPr>
              <w:pStyle w:val="V50TableText"/>
              <w:spacing w:before="40" w:after="40"/>
              <w:rPr>
                <w:rFonts w:ascii="Arial Narrow" w:hAnsi="Arial Narrow"/>
                <w:b/>
                <w:lang w:val="en-AU"/>
              </w:rPr>
            </w:pPr>
            <w:r w:rsidRPr="004E6AFB">
              <w:rPr>
                <w:rFonts w:ascii="Arial Narrow" w:hAnsi="Arial Narrow"/>
                <w:b/>
                <w:lang w:val="en-AU"/>
              </w:rPr>
              <w:t xml:space="preserve">Trial </w:t>
            </w:r>
          </w:p>
        </w:tc>
        <w:tc>
          <w:tcPr>
            <w:tcW w:w="3434" w:type="pct"/>
            <w:vAlign w:val="center"/>
          </w:tcPr>
          <w:p w:rsidR="00202197" w:rsidRPr="004E6AFB" w:rsidRDefault="00202197" w:rsidP="004B222C">
            <w:pPr>
              <w:pStyle w:val="V50TableText"/>
              <w:spacing w:before="40" w:after="40"/>
              <w:jc w:val="center"/>
              <w:rPr>
                <w:rFonts w:ascii="Arial Narrow" w:hAnsi="Arial Narrow"/>
                <w:b/>
                <w:lang w:val="en-AU"/>
              </w:rPr>
            </w:pPr>
            <w:r w:rsidRPr="004E6AFB">
              <w:rPr>
                <w:rFonts w:ascii="Arial Narrow" w:hAnsi="Arial Narrow"/>
                <w:b/>
                <w:lang w:val="en-AU"/>
              </w:rPr>
              <w:t>Protocol title/ Publication title</w:t>
            </w:r>
          </w:p>
        </w:tc>
        <w:tc>
          <w:tcPr>
            <w:tcW w:w="1004" w:type="pct"/>
            <w:vAlign w:val="center"/>
          </w:tcPr>
          <w:p w:rsidR="00202197" w:rsidRPr="004E6AFB" w:rsidRDefault="00202197" w:rsidP="004B222C">
            <w:pPr>
              <w:pStyle w:val="V50TableText"/>
              <w:spacing w:before="40" w:after="40"/>
              <w:jc w:val="center"/>
              <w:rPr>
                <w:rFonts w:ascii="Arial Narrow" w:hAnsi="Arial Narrow"/>
                <w:b/>
                <w:lang w:val="en-AU"/>
              </w:rPr>
            </w:pPr>
            <w:r w:rsidRPr="004E6AFB">
              <w:rPr>
                <w:rFonts w:ascii="Arial Narrow" w:hAnsi="Arial Narrow"/>
                <w:b/>
                <w:lang w:val="en-AU"/>
              </w:rPr>
              <w:t>Publication citation</w:t>
            </w:r>
          </w:p>
        </w:tc>
      </w:tr>
      <w:tr w:rsidR="00202197" w:rsidRPr="004E6AFB" w:rsidTr="004B222C">
        <w:tc>
          <w:tcPr>
            <w:tcW w:w="5000" w:type="pct"/>
            <w:gridSpan w:val="3"/>
          </w:tcPr>
          <w:p w:rsidR="00202197" w:rsidRPr="004E6AFB" w:rsidRDefault="00202197" w:rsidP="004B222C">
            <w:pPr>
              <w:pStyle w:val="V50TableText"/>
              <w:spacing w:before="40" w:after="40"/>
              <w:rPr>
                <w:rFonts w:ascii="Arial Narrow" w:hAnsi="Arial Narrow"/>
                <w:lang w:val="en-AU"/>
              </w:rPr>
            </w:pPr>
            <w:r w:rsidRPr="004E6AFB">
              <w:rPr>
                <w:rFonts w:ascii="Arial Narrow" w:hAnsi="Arial Narrow"/>
                <w:lang w:val="en-AU"/>
              </w:rPr>
              <w:t>Direct randomised trial</w:t>
            </w:r>
          </w:p>
        </w:tc>
      </w:tr>
      <w:tr w:rsidR="00202197" w:rsidRPr="004E6AFB" w:rsidTr="004B222C">
        <w:tc>
          <w:tcPr>
            <w:tcW w:w="562" w:type="pct"/>
            <w:vMerge w:val="restart"/>
          </w:tcPr>
          <w:p w:rsidR="00202197" w:rsidRPr="004E6AFB" w:rsidRDefault="00202197" w:rsidP="004B222C">
            <w:pPr>
              <w:pStyle w:val="V50TableText"/>
              <w:spacing w:before="40" w:after="40"/>
              <w:rPr>
                <w:rFonts w:ascii="Arial Narrow" w:hAnsi="Arial Narrow"/>
                <w:lang w:val="en-AU"/>
              </w:rPr>
            </w:pPr>
            <w:r w:rsidRPr="004E6AFB">
              <w:rPr>
                <w:rFonts w:ascii="Arial Narrow" w:hAnsi="Arial Narrow"/>
                <w:lang w:val="en-AU"/>
              </w:rPr>
              <w:t>ESTHER-1</w:t>
            </w:r>
          </w:p>
        </w:tc>
        <w:tc>
          <w:tcPr>
            <w:tcW w:w="3434" w:type="pct"/>
            <w:tcBorders>
              <w:bottom w:val="nil"/>
            </w:tcBorders>
          </w:tcPr>
          <w:p w:rsidR="00202197" w:rsidRPr="004E6AFB" w:rsidRDefault="00202197" w:rsidP="004B222C">
            <w:pPr>
              <w:pStyle w:val="V50TableText"/>
              <w:spacing w:before="40" w:after="40"/>
              <w:rPr>
                <w:rFonts w:ascii="Arial Narrow" w:hAnsi="Arial Narrow"/>
                <w:lang w:val="en-AU"/>
              </w:rPr>
            </w:pPr>
            <w:r w:rsidRPr="004E6AFB">
              <w:rPr>
                <w:rFonts w:ascii="Arial Narrow" w:hAnsi="Arial Narrow"/>
                <w:lang w:val="en-AU"/>
              </w:rPr>
              <w:t>Clinical Trial Report: A randomised, controlled, assessor-blind, parallel group, multicentre, multinational trial comparing the efficacy and safety of FE 999049 with follitropin alfa (GONAL-F) in controlled ovarian stimulation in women undergoing an assisted reproductive technology programme. ESTHER-1 (Evidence-based Stimulation Trial with Human rFSH in Europe and Rest of World) Trial 000004.</w:t>
            </w:r>
          </w:p>
        </w:tc>
        <w:tc>
          <w:tcPr>
            <w:tcW w:w="1004" w:type="pct"/>
            <w:tcBorders>
              <w:bottom w:val="nil"/>
            </w:tcBorders>
          </w:tcPr>
          <w:p w:rsidR="00202197" w:rsidRPr="004E6AFB" w:rsidRDefault="00202197" w:rsidP="004B222C">
            <w:pPr>
              <w:pStyle w:val="V50TableText"/>
              <w:spacing w:before="40" w:after="40"/>
              <w:rPr>
                <w:rFonts w:ascii="Arial Narrow" w:hAnsi="Arial Narrow"/>
                <w:lang w:val="en-AU"/>
              </w:rPr>
            </w:pPr>
            <w:r w:rsidRPr="004E6AFB">
              <w:rPr>
                <w:rFonts w:ascii="Arial Narrow" w:hAnsi="Arial Narrow"/>
                <w:lang w:val="en-AU"/>
              </w:rPr>
              <w:t>31 August 2015</w:t>
            </w:r>
          </w:p>
        </w:tc>
      </w:tr>
      <w:tr w:rsidR="00202197" w:rsidRPr="004E6AFB" w:rsidTr="004B222C">
        <w:tc>
          <w:tcPr>
            <w:tcW w:w="562" w:type="pct"/>
            <w:vMerge/>
          </w:tcPr>
          <w:p w:rsidR="00202197" w:rsidRPr="004E6AFB" w:rsidRDefault="00202197" w:rsidP="004B222C">
            <w:pPr>
              <w:pStyle w:val="V50TableText"/>
              <w:spacing w:before="40" w:after="40"/>
              <w:rPr>
                <w:rFonts w:ascii="Arial Narrow" w:hAnsi="Arial Narrow"/>
                <w:lang w:val="en-AU"/>
              </w:rPr>
            </w:pPr>
          </w:p>
        </w:tc>
        <w:tc>
          <w:tcPr>
            <w:tcW w:w="3434" w:type="pct"/>
            <w:tcBorders>
              <w:top w:val="nil"/>
            </w:tcBorders>
          </w:tcPr>
          <w:p w:rsidR="00202197" w:rsidRPr="004E6AFB" w:rsidRDefault="00202197" w:rsidP="004B222C">
            <w:pPr>
              <w:pStyle w:val="V50TableText"/>
              <w:spacing w:before="40" w:after="40"/>
              <w:rPr>
                <w:rFonts w:ascii="Arial Narrow" w:hAnsi="Arial Narrow"/>
                <w:lang w:val="en-AU"/>
              </w:rPr>
            </w:pPr>
            <w:r w:rsidRPr="004E6AFB">
              <w:rPr>
                <w:rFonts w:ascii="Arial Narrow" w:hAnsi="Arial Narrow"/>
                <w:lang w:val="en-AU"/>
              </w:rPr>
              <w:t xml:space="preserve">Andersen A et al. Individualised versus conventional ovarian stimulation for in vitro fertilisation: a multicentre, randomised, controlled, assessor-blinded, phase 3 non-inferiority trial. </w:t>
            </w:r>
          </w:p>
        </w:tc>
        <w:tc>
          <w:tcPr>
            <w:tcW w:w="1004" w:type="pct"/>
            <w:tcBorders>
              <w:top w:val="nil"/>
            </w:tcBorders>
          </w:tcPr>
          <w:p w:rsidR="00202197" w:rsidRPr="004E6AFB" w:rsidRDefault="00202197" w:rsidP="004B222C">
            <w:pPr>
              <w:pStyle w:val="V50TableText"/>
              <w:spacing w:before="40" w:after="40"/>
              <w:rPr>
                <w:rFonts w:ascii="Arial Narrow" w:hAnsi="Arial Narrow"/>
                <w:lang w:val="en-AU"/>
              </w:rPr>
            </w:pPr>
            <w:r w:rsidRPr="004E6AFB">
              <w:rPr>
                <w:rFonts w:ascii="Arial Narrow" w:hAnsi="Arial Narrow"/>
                <w:lang w:val="en-AU"/>
              </w:rPr>
              <w:t>Fertility and Sterility. 2016: 107 (2) 388-396</w:t>
            </w:r>
          </w:p>
        </w:tc>
      </w:tr>
      <w:tr w:rsidR="00202197" w:rsidRPr="004E6AFB" w:rsidTr="004B222C">
        <w:tc>
          <w:tcPr>
            <w:tcW w:w="5000" w:type="pct"/>
            <w:gridSpan w:val="3"/>
          </w:tcPr>
          <w:p w:rsidR="00202197" w:rsidRPr="004E6AFB" w:rsidRDefault="00202197" w:rsidP="004B222C">
            <w:pPr>
              <w:pStyle w:val="V50TableText"/>
              <w:spacing w:before="40" w:after="40"/>
              <w:rPr>
                <w:rFonts w:ascii="Arial Narrow" w:hAnsi="Arial Narrow"/>
                <w:lang w:val="en-AU"/>
              </w:rPr>
            </w:pPr>
            <w:r w:rsidRPr="004E6AFB">
              <w:rPr>
                <w:rFonts w:ascii="Arial Narrow" w:hAnsi="Arial Narrow"/>
                <w:lang w:val="en-AU"/>
              </w:rPr>
              <w:t>Supplementary non-randomised trial</w:t>
            </w:r>
          </w:p>
        </w:tc>
      </w:tr>
      <w:tr w:rsidR="00202197" w:rsidRPr="004E6AFB" w:rsidTr="004B222C">
        <w:tc>
          <w:tcPr>
            <w:tcW w:w="562" w:type="pct"/>
            <w:vMerge w:val="restart"/>
          </w:tcPr>
          <w:p w:rsidR="00202197" w:rsidRPr="004E6AFB" w:rsidRDefault="00202197" w:rsidP="004B222C">
            <w:pPr>
              <w:pStyle w:val="V50TableText"/>
              <w:spacing w:before="40" w:after="40"/>
              <w:rPr>
                <w:rFonts w:ascii="Arial Narrow" w:hAnsi="Arial Narrow"/>
                <w:lang w:val="en-AU"/>
              </w:rPr>
            </w:pPr>
            <w:r w:rsidRPr="004E6AFB">
              <w:rPr>
                <w:rFonts w:ascii="Arial Narrow" w:hAnsi="Arial Narrow"/>
                <w:lang w:val="en-AU"/>
              </w:rPr>
              <w:t>ESTHER-2</w:t>
            </w:r>
          </w:p>
        </w:tc>
        <w:tc>
          <w:tcPr>
            <w:tcW w:w="3434" w:type="pct"/>
            <w:tcBorders>
              <w:bottom w:val="nil"/>
            </w:tcBorders>
          </w:tcPr>
          <w:p w:rsidR="00202197" w:rsidRPr="004E6AFB" w:rsidRDefault="00202197" w:rsidP="004B222C">
            <w:pPr>
              <w:pStyle w:val="V50TableText"/>
              <w:spacing w:before="40" w:after="40"/>
              <w:rPr>
                <w:rFonts w:ascii="Arial Narrow" w:hAnsi="Arial Narrow"/>
                <w:lang w:val="en-AU"/>
              </w:rPr>
            </w:pPr>
            <w:r w:rsidRPr="004E6AFB">
              <w:rPr>
                <w:rFonts w:ascii="Arial Narrow" w:hAnsi="Arial Narrow"/>
                <w:lang w:val="en-AU"/>
              </w:rPr>
              <w:t>Clinical Trial Report: A controlled, assessor-blind, parallel group, multicentre, multinational trial evaluating the immunogenicity of FE999049 in repeated cycles of controlled ovarian stimulation in women undergoing an assisted reproductive technology programme. ESTHER-2 (Evidence-based Stimulation Trial with Human rFSH in Europe and Rest of World) Trial 000071.</w:t>
            </w:r>
          </w:p>
        </w:tc>
        <w:tc>
          <w:tcPr>
            <w:tcW w:w="1004" w:type="pct"/>
            <w:tcBorders>
              <w:bottom w:val="nil"/>
            </w:tcBorders>
          </w:tcPr>
          <w:p w:rsidR="00202197" w:rsidRPr="004E6AFB" w:rsidRDefault="00202197" w:rsidP="004B222C">
            <w:pPr>
              <w:pStyle w:val="V50TableText"/>
              <w:spacing w:before="40" w:after="40"/>
              <w:rPr>
                <w:rFonts w:ascii="Arial Narrow" w:hAnsi="Arial Narrow"/>
                <w:lang w:val="en-AU"/>
              </w:rPr>
            </w:pPr>
            <w:r w:rsidRPr="004E6AFB">
              <w:rPr>
                <w:rFonts w:ascii="Arial Narrow" w:hAnsi="Arial Narrow"/>
                <w:lang w:val="en-AU"/>
              </w:rPr>
              <w:t>31 August 2015</w:t>
            </w:r>
          </w:p>
        </w:tc>
      </w:tr>
      <w:tr w:rsidR="00202197" w:rsidRPr="004E6AFB" w:rsidTr="004B222C">
        <w:tc>
          <w:tcPr>
            <w:tcW w:w="562" w:type="pct"/>
            <w:vMerge/>
          </w:tcPr>
          <w:p w:rsidR="00202197" w:rsidRPr="004E6AFB" w:rsidRDefault="00202197" w:rsidP="004B222C">
            <w:pPr>
              <w:pStyle w:val="V50TableText"/>
              <w:spacing w:before="40" w:after="40"/>
              <w:rPr>
                <w:rFonts w:ascii="Arial Narrow" w:hAnsi="Arial Narrow"/>
                <w:lang w:val="en-AU"/>
              </w:rPr>
            </w:pPr>
          </w:p>
        </w:tc>
        <w:tc>
          <w:tcPr>
            <w:tcW w:w="3434" w:type="pct"/>
            <w:tcBorders>
              <w:top w:val="nil"/>
            </w:tcBorders>
          </w:tcPr>
          <w:p w:rsidR="00202197" w:rsidRPr="004E6AFB" w:rsidRDefault="00202197" w:rsidP="004B222C">
            <w:pPr>
              <w:pStyle w:val="V50TableText"/>
              <w:spacing w:before="40" w:after="40"/>
              <w:rPr>
                <w:rFonts w:ascii="Arial Narrow" w:hAnsi="Arial Narrow"/>
                <w:lang w:val="en-AU"/>
              </w:rPr>
            </w:pPr>
            <w:r w:rsidRPr="004E6AFB">
              <w:rPr>
                <w:rFonts w:ascii="Arial Narrow" w:hAnsi="Arial Narrow"/>
                <w:lang w:val="en-AU"/>
              </w:rPr>
              <w:t xml:space="preserve">Rasmussen B et al. Low immunogenicity potential of follitropin delta, a recombinant FSH preparation produced from a human cell line: Results from phase 3 trials (ESTHER-1 and ESTHER-2). </w:t>
            </w:r>
          </w:p>
        </w:tc>
        <w:tc>
          <w:tcPr>
            <w:tcW w:w="1004" w:type="pct"/>
            <w:tcBorders>
              <w:top w:val="nil"/>
            </w:tcBorders>
          </w:tcPr>
          <w:p w:rsidR="00202197" w:rsidRPr="004E6AFB" w:rsidRDefault="00202197" w:rsidP="004B222C">
            <w:pPr>
              <w:pStyle w:val="V50TableText"/>
              <w:spacing w:before="40" w:after="40"/>
              <w:rPr>
                <w:rFonts w:ascii="Arial Narrow" w:hAnsi="Arial Narrow"/>
                <w:lang w:val="en-AU"/>
              </w:rPr>
            </w:pPr>
            <w:r w:rsidRPr="004E6AFB">
              <w:rPr>
                <w:rFonts w:ascii="Arial Narrow" w:hAnsi="Arial Narrow"/>
                <w:lang w:val="en-AU"/>
              </w:rPr>
              <w:t>Human Reproduction. 2016. 31 Suppl 1, i376 ABSTRACT No: P-574</w:t>
            </w:r>
          </w:p>
        </w:tc>
      </w:tr>
    </w:tbl>
    <w:p w:rsidR="00202197" w:rsidRPr="004E6AFB" w:rsidRDefault="00202197" w:rsidP="00202197">
      <w:pPr>
        <w:pStyle w:val="TableFooter"/>
      </w:pPr>
      <w:r w:rsidRPr="004E6AFB">
        <w:t>Source: Table 2.2.3-1, p26 of the submission</w:t>
      </w:r>
    </w:p>
    <w:p w:rsidR="00C317F3" w:rsidRPr="004E6AFB" w:rsidRDefault="00C317F3" w:rsidP="00A25512">
      <w:pPr>
        <w:pStyle w:val="ListParagraph"/>
        <w:numPr>
          <w:ilvl w:val="1"/>
          <w:numId w:val="2"/>
        </w:numPr>
        <w:spacing w:before="0" w:after="120"/>
        <w:jc w:val="both"/>
      </w:pPr>
      <w:r w:rsidRPr="004E6AFB">
        <w:t xml:space="preserve">The key features of the direct trials are summarised in </w:t>
      </w:r>
      <w:r w:rsidR="00202197" w:rsidRPr="004E6AFB">
        <w:t>Table 3. All trials included follow-up to live birth and neonatal health 4 weeks after birth.</w:t>
      </w:r>
    </w:p>
    <w:p w:rsidR="00C317F3" w:rsidRPr="004E6AFB" w:rsidRDefault="00202197" w:rsidP="00772501">
      <w:pPr>
        <w:pStyle w:val="TableHeading0"/>
      </w:pPr>
      <w:r w:rsidRPr="004E6AFB">
        <w:t>Table 3:</w:t>
      </w:r>
      <w:r w:rsidR="00C317F3" w:rsidRPr="004E6AFB">
        <w:t xml:space="preserve"> Key features of the included evidence</w:t>
      </w:r>
      <w:r w:rsidR="004B222C" w:rsidRPr="004E6AFB">
        <w:t>, follitropin delta versus follitropin alfa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25"/>
        <w:gridCol w:w="707"/>
        <w:gridCol w:w="1133"/>
        <w:gridCol w:w="1133"/>
        <w:gridCol w:w="2639"/>
        <w:gridCol w:w="1233"/>
        <w:gridCol w:w="1212"/>
      </w:tblGrid>
      <w:tr w:rsidR="00CD3D97" w:rsidRPr="004E6AFB" w:rsidTr="00CD3D97">
        <w:tc>
          <w:tcPr>
            <w:tcW w:w="564" w:type="pct"/>
            <w:shd w:val="clear" w:color="auto" w:fill="auto"/>
            <w:vAlign w:val="center"/>
          </w:tcPr>
          <w:p w:rsidR="00C317F3" w:rsidRPr="004E6AFB" w:rsidRDefault="00C317F3" w:rsidP="00772501">
            <w:pPr>
              <w:pStyle w:val="TableText"/>
              <w:rPr>
                <w:b/>
              </w:rPr>
            </w:pPr>
            <w:r w:rsidRPr="004E6AFB">
              <w:rPr>
                <w:b/>
              </w:rPr>
              <w:t>Trial</w:t>
            </w:r>
          </w:p>
        </w:tc>
        <w:tc>
          <w:tcPr>
            <w:tcW w:w="389" w:type="pct"/>
            <w:shd w:val="clear" w:color="auto" w:fill="auto"/>
            <w:vAlign w:val="center"/>
          </w:tcPr>
          <w:p w:rsidR="00C317F3" w:rsidRPr="004E6AFB" w:rsidRDefault="00C317F3" w:rsidP="00202197">
            <w:pPr>
              <w:pStyle w:val="TableText"/>
              <w:jc w:val="center"/>
              <w:rPr>
                <w:b/>
              </w:rPr>
            </w:pPr>
            <w:r w:rsidRPr="004E6AFB">
              <w:rPr>
                <w:b/>
              </w:rPr>
              <w:t>N</w:t>
            </w:r>
          </w:p>
        </w:tc>
        <w:tc>
          <w:tcPr>
            <w:tcW w:w="624" w:type="pct"/>
            <w:shd w:val="clear" w:color="auto" w:fill="auto"/>
            <w:vAlign w:val="center"/>
          </w:tcPr>
          <w:p w:rsidR="00C317F3" w:rsidRPr="004E6AFB" w:rsidRDefault="00C317F3" w:rsidP="00202197">
            <w:pPr>
              <w:pStyle w:val="TableText"/>
              <w:jc w:val="center"/>
              <w:rPr>
                <w:b/>
              </w:rPr>
            </w:pPr>
            <w:r w:rsidRPr="004E6AFB">
              <w:rPr>
                <w:b/>
              </w:rPr>
              <w:t>Design</w:t>
            </w:r>
          </w:p>
        </w:tc>
        <w:tc>
          <w:tcPr>
            <w:tcW w:w="624" w:type="pct"/>
            <w:shd w:val="clear" w:color="auto" w:fill="auto"/>
            <w:vAlign w:val="center"/>
          </w:tcPr>
          <w:p w:rsidR="00C317F3" w:rsidRPr="004E6AFB" w:rsidRDefault="00C317F3" w:rsidP="00202197">
            <w:pPr>
              <w:pStyle w:val="TableText"/>
              <w:jc w:val="center"/>
              <w:rPr>
                <w:b/>
              </w:rPr>
            </w:pPr>
            <w:r w:rsidRPr="004E6AFB">
              <w:rPr>
                <w:b/>
              </w:rPr>
              <w:t>Risk of bias</w:t>
            </w:r>
          </w:p>
        </w:tc>
        <w:tc>
          <w:tcPr>
            <w:tcW w:w="1453" w:type="pct"/>
            <w:shd w:val="clear" w:color="auto" w:fill="auto"/>
            <w:vAlign w:val="center"/>
          </w:tcPr>
          <w:p w:rsidR="00C317F3" w:rsidRPr="004E6AFB" w:rsidRDefault="00C317F3" w:rsidP="00202197">
            <w:pPr>
              <w:pStyle w:val="TableText"/>
              <w:jc w:val="center"/>
              <w:rPr>
                <w:b/>
              </w:rPr>
            </w:pPr>
            <w:r w:rsidRPr="004E6AFB">
              <w:rPr>
                <w:b/>
              </w:rPr>
              <w:t>Patient population</w:t>
            </w:r>
          </w:p>
        </w:tc>
        <w:tc>
          <w:tcPr>
            <w:tcW w:w="679" w:type="pct"/>
            <w:shd w:val="clear" w:color="auto" w:fill="auto"/>
            <w:vAlign w:val="center"/>
          </w:tcPr>
          <w:p w:rsidR="00C317F3" w:rsidRPr="004E6AFB" w:rsidRDefault="00C317F3" w:rsidP="004B222C">
            <w:pPr>
              <w:pStyle w:val="TableText"/>
              <w:jc w:val="center"/>
              <w:rPr>
                <w:b/>
                <w:vertAlign w:val="superscript"/>
              </w:rPr>
            </w:pPr>
            <w:r w:rsidRPr="004E6AFB">
              <w:rPr>
                <w:b/>
              </w:rPr>
              <w:t>Outcome</w:t>
            </w:r>
            <w:r w:rsidR="004B222C" w:rsidRPr="004E6AFB">
              <w:rPr>
                <w:b/>
              </w:rPr>
              <w:t>s</w:t>
            </w:r>
            <w:r w:rsidR="004B222C" w:rsidRPr="004E6AFB">
              <w:rPr>
                <w:b/>
                <w:vertAlign w:val="superscript"/>
              </w:rPr>
              <w:t>a</w:t>
            </w:r>
          </w:p>
        </w:tc>
        <w:tc>
          <w:tcPr>
            <w:tcW w:w="667" w:type="pct"/>
            <w:shd w:val="clear" w:color="auto" w:fill="auto"/>
            <w:vAlign w:val="center"/>
          </w:tcPr>
          <w:p w:rsidR="00C317F3" w:rsidRPr="004E6AFB" w:rsidRDefault="00C317F3" w:rsidP="004B222C">
            <w:pPr>
              <w:pStyle w:val="TableText"/>
              <w:jc w:val="center"/>
              <w:rPr>
                <w:b/>
              </w:rPr>
            </w:pPr>
            <w:r w:rsidRPr="004E6AFB">
              <w:rPr>
                <w:b/>
              </w:rPr>
              <w:t xml:space="preserve">Use in </w:t>
            </w:r>
            <w:r w:rsidR="004B222C" w:rsidRPr="004E6AFB">
              <w:rPr>
                <w:b/>
              </w:rPr>
              <w:t>economic</w:t>
            </w:r>
            <w:r w:rsidRPr="004E6AFB">
              <w:rPr>
                <w:b/>
              </w:rPr>
              <w:t xml:space="preserve"> evaluation</w:t>
            </w:r>
          </w:p>
        </w:tc>
      </w:tr>
      <w:tr w:rsidR="00CD3D97" w:rsidRPr="004E6AFB" w:rsidTr="00CD3D97">
        <w:tc>
          <w:tcPr>
            <w:tcW w:w="564" w:type="pct"/>
            <w:shd w:val="clear" w:color="auto" w:fill="auto"/>
            <w:vAlign w:val="center"/>
          </w:tcPr>
          <w:p w:rsidR="00C317F3" w:rsidRPr="004E6AFB" w:rsidRDefault="00202197" w:rsidP="00772501">
            <w:pPr>
              <w:pStyle w:val="TableText"/>
            </w:pPr>
            <w:r w:rsidRPr="004E6AFB">
              <w:t>ESTHER-1</w:t>
            </w:r>
          </w:p>
          <w:p w:rsidR="00202197" w:rsidRPr="004E6AFB" w:rsidRDefault="00202197" w:rsidP="00202197">
            <w:pPr>
              <w:pStyle w:val="TableText"/>
              <w:tabs>
                <w:tab w:val="left" w:pos="237"/>
              </w:tabs>
            </w:pPr>
            <w:r w:rsidRPr="004E6AFB">
              <w:tab/>
              <w:t>COS 1</w:t>
            </w:r>
          </w:p>
        </w:tc>
        <w:tc>
          <w:tcPr>
            <w:tcW w:w="389" w:type="pct"/>
            <w:shd w:val="clear" w:color="auto" w:fill="auto"/>
            <w:vAlign w:val="center"/>
          </w:tcPr>
          <w:p w:rsidR="00C317F3" w:rsidRPr="004E6AFB" w:rsidRDefault="00202197" w:rsidP="00202197">
            <w:pPr>
              <w:pStyle w:val="TableText"/>
              <w:jc w:val="center"/>
              <w:rPr>
                <w:rFonts w:ascii="Times" w:eastAsia="Times New Roman" w:hAnsi="Times" w:cs="Times New Roman"/>
              </w:rPr>
            </w:pPr>
            <w:r w:rsidRPr="004E6AFB">
              <w:t>1,329</w:t>
            </w:r>
          </w:p>
        </w:tc>
        <w:tc>
          <w:tcPr>
            <w:tcW w:w="624" w:type="pct"/>
            <w:shd w:val="clear" w:color="auto" w:fill="auto"/>
            <w:vAlign w:val="center"/>
          </w:tcPr>
          <w:p w:rsidR="00C317F3" w:rsidRPr="004E6AFB" w:rsidRDefault="00202197" w:rsidP="004B222C">
            <w:pPr>
              <w:pStyle w:val="TableText"/>
              <w:jc w:val="center"/>
              <w:rPr>
                <w:rFonts w:ascii="Times" w:eastAsia="Times New Roman" w:hAnsi="Times" w:cs="Times New Roman"/>
              </w:rPr>
            </w:pPr>
            <w:r w:rsidRPr="004E6AFB">
              <w:t>R, S</w:t>
            </w:r>
            <w:r w:rsidR="00C317F3" w:rsidRPr="004E6AFB">
              <w:t>B</w:t>
            </w:r>
            <w:r w:rsidRPr="004E6AFB">
              <w:t>, MC</w:t>
            </w:r>
          </w:p>
        </w:tc>
        <w:tc>
          <w:tcPr>
            <w:tcW w:w="624" w:type="pct"/>
            <w:shd w:val="clear" w:color="auto" w:fill="auto"/>
            <w:vAlign w:val="center"/>
          </w:tcPr>
          <w:p w:rsidR="00C317F3" w:rsidRPr="004E6AFB" w:rsidRDefault="00C317F3" w:rsidP="00202197">
            <w:pPr>
              <w:pStyle w:val="TableText"/>
              <w:jc w:val="center"/>
              <w:rPr>
                <w:rFonts w:ascii="Times" w:eastAsia="Times New Roman" w:hAnsi="Times" w:cs="Times New Roman"/>
              </w:rPr>
            </w:pPr>
            <w:r w:rsidRPr="004E6AFB">
              <w:t>Low</w:t>
            </w:r>
          </w:p>
        </w:tc>
        <w:tc>
          <w:tcPr>
            <w:tcW w:w="1453" w:type="pct"/>
            <w:shd w:val="clear" w:color="auto" w:fill="auto"/>
            <w:vAlign w:val="center"/>
          </w:tcPr>
          <w:p w:rsidR="00C317F3" w:rsidRPr="004E6AFB" w:rsidRDefault="00202197" w:rsidP="004B222C">
            <w:pPr>
              <w:pStyle w:val="TableText"/>
              <w:jc w:val="center"/>
              <w:rPr>
                <w:rFonts w:ascii="Times" w:eastAsia="Times New Roman" w:hAnsi="Times" w:cs="Times New Roman"/>
              </w:rPr>
            </w:pPr>
            <w:r w:rsidRPr="004E6AFB">
              <w:t>Women aged 18-40 years inclusive who were undergoing their first controlled ovarian simulation cycle for IVF/ICSI.</w:t>
            </w:r>
          </w:p>
        </w:tc>
        <w:tc>
          <w:tcPr>
            <w:tcW w:w="679" w:type="pct"/>
            <w:shd w:val="clear" w:color="auto" w:fill="auto"/>
            <w:vAlign w:val="center"/>
          </w:tcPr>
          <w:p w:rsidR="004B222C" w:rsidRPr="004E6AFB" w:rsidRDefault="004B222C" w:rsidP="00202197">
            <w:pPr>
              <w:pStyle w:val="TableText"/>
              <w:jc w:val="center"/>
            </w:pPr>
            <w:r w:rsidRPr="004E6AFB">
              <w:t>Ongoing</w:t>
            </w:r>
          </w:p>
          <w:p w:rsidR="00C317F3" w:rsidRPr="004E6AFB" w:rsidRDefault="004B222C" w:rsidP="00202197">
            <w:pPr>
              <w:pStyle w:val="TableText"/>
              <w:jc w:val="center"/>
            </w:pPr>
            <w:r w:rsidRPr="004E6AFB">
              <w:t>pregnancy rate</w:t>
            </w:r>
          </w:p>
          <w:p w:rsidR="004B222C" w:rsidRPr="004E6AFB" w:rsidRDefault="004B222C" w:rsidP="00202197">
            <w:pPr>
              <w:pStyle w:val="TableText"/>
              <w:jc w:val="center"/>
              <w:rPr>
                <w:rFonts w:ascii="Times" w:eastAsia="Times New Roman" w:hAnsi="Times" w:cs="Times New Roman"/>
              </w:rPr>
            </w:pPr>
            <w:r w:rsidRPr="004E6AFB">
              <w:t>Ongoing implantation rate</w:t>
            </w:r>
          </w:p>
        </w:tc>
        <w:tc>
          <w:tcPr>
            <w:tcW w:w="667" w:type="pct"/>
            <w:shd w:val="clear" w:color="auto" w:fill="auto"/>
            <w:vAlign w:val="center"/>
          </w:tcPr>
          <w:p w:rsidR="00C317F3" w:rsidRPr="004E6AFB" w:rsidRDefault="004B222C" w:rsidP="00202197">
            <w:pPr>
              <w:pStyle w:val="TableText"/>
              <w:jc w:val="center"/>
              <w:rPr>
                <w:rFonts w:ascii="Times" w:eastAsia="Times New Roman" w:hAnsi="Times" w:cs="Times New Roman"/>
              </w:rPr>
            </w:pPr>
            <w:r w:rsidRPr="004E6AFB">
              <w:t xml:space="preserve">Used </w:t>
            </w:r>
          </w:p>
        </w:tc>
      </w:tr>
      <w:tr w:rsidR="00CD3D97" w:rsidRPr="004E6AFB" w:rsidTr="00CD3D97">
        <w:tc>
          <w:tcPr>
            <w:tcW w:w="564" w:type="pct"/>
            <w:tcBorders>
              <w:bottom w:val="nil"/>
            </w:tcBorders>
            <w:shd w:val="clear" w:color="auto" w:fill="auto"/>
            <w:vAlign w:val="center"/>
          </w:tcPr>
          <w:p w:rsidR="004B222C" w:rsidRPr="004E6AFB" w:rsidRDefault="004B222C" w:rsidP="00772501">
            <w:pPr>
              <w:pStyle w:val="TableText"/>
            </w:pPr>
            <w:r w:rsidRPr="004E6AFB">
              <w:t>ESTHER-2</w:t>
            </w:r>
          </w:p>
          <w:p w:rsidR="004B222C" w:rsidRPr="004E6AFB" w:rsidRDefault="004B222C" w:rsidP="00202197">
            <w:pPr>
              <w:pStyle w:val="TableText"/>
              <w:tabs>
                <w:tab w:val="left" w:pos="237"/>
              </w:tabs>
              <w:rPr>
                <w:rFonts w:ascii="Times" w:eastAsia="Times New Roman" w:hAnsi="Times" w:cs="Times New Roman"/>
              </w:rPr>
            </w:pPr>
            <w:r w:rsidRPr="004E6AFB">
              <w:tab/>
              <w:t>COS 2</w:t>
            </w:r>
          </w:p>
        </w:tc>
        <w:tc>
          <w:tcPr>
            <w:tcW w:w="389" w:type="pct"/>
            <w:tcBorders>
              <w:bottom w:val="nil"/>
            </w:tcBorders>
            <w:shd w:val="clear" w:color="auto" w:fill="auto"/>
            <w:vAlign w:val="center"/>
          </w:tcPr>
          <w:p w:rsidR="004B222C" w:rsidRPr="004E6AFB" w:rsidRDefault="004B222C" w:rsidP="00202197">
            <w:pPr>
              <w:pStyle w:val="TableText"/>
              <w:jc w:val="center"/>
            </w:pPr>
          </w:p>
          <w:p w:rsidR="004B222C" w:rsidRPr="004E6AFB" w:rsidRDefault="004B222C" w:rsidP="00202197">
            <w:pPr>
              <w:pStyle w:val="TableText"/>
              <w:jc w:val="center"/>
              <w:rPr>
                <w:rFonts w:ascii="Times" w:eastAsia="Times New Roman" w:hAnsi="Times" w:cs="Times New Roman"/>
              </w:rPr>
            </w:pPr>
            <w:r w:rsidRPr="004E6AFB">
              <w:t>513</w:t>
            </w:r>
          </w:p>
        </w:tc>
        <w:tc>
          <w:tcPr>
            <w:tcW w:w="624" w:type="pct"/>
            <w:vMerge w:val="restart"/>
            <w:shd w:val="clear" w:color="auto" w:fill="auto"/>
            <w:vAlign w:val="center"/>
          </w:tcPr>
          <w:p w:rsidR="004B222C" w:rsidRPr="004E6AFB" w:rsidRDefault="004B222C" w:rsidP="004B222C">
            <w:pPr>
              <w:pStyle w:val="TableText"/>
              <w:jc w:val="center"/>
              <w:rPr>
                <w:rFonts w:ascii="Times" w:eastAsia="Times New Roman" w:hAnsi="Times" w:cs="Times New Roman"/>
              </w:rPr>
            </w:pPr>
            <w:r w:rsidRPr="004E6AFB">
              <w:t>SB, MC</w:t>
            </w:r>
          </w:p>
        </w:tc>
        <w:tc>
          <w:tcPr>
            <w:tcW w:w="624" w:type="pct"/>
            <w:vMerge w:val="restart"/>
            <w:shd w:val="clear" w:color="auto" w:fill="auto"/>
            <w:vAlign w:val="center"/>
          </w:tcPr>
          <w:p w:rsidR="004B222C" w:rsidRPr="004E6AFB" w:rsidRDefault="004B222C" w:rsidP="00202197">
            <w:pPr>
              <w:pStyle w:val="TableText"/>
              <w:jc w:val="center"/>
              <w:rPr>
                <w:rFonts w:ascii="Times" w:eastAsia="Times New Roman" w:hAnsi="Times" w:cs="Times New Roman"/>
              </w:rPr>
            </w:pPr>
            <w:r w:rsidRPr="004E6AFB">
              <w:t xml:space="preserve">Moderate </w:t>
            </w:r>
          </w:p>
        </w:tc>
        <w:tc>
          <w:tcPr>
            <w:tcW w:w="1453" w:type="pct"/>
            <w:vMerge w:val="restart"/>
            <w:shd w:val="clear" w:color="auto" w:fill="auto"/>
            <w:vAlign w:val="center"/>
          </w:tcPr>
          <w:p w:rsidR="004B222C" w:rsidRPr="004E6AFB" w:rsidRDefault="004B222C" w:rsidP="00202197">
            <w:pPr>
              <w:pStyle w:val="TableText"/>
              <w:jc w:val="center"/>
              <w:rPr>
                <w:rFonts w:ascii="Times" w:eastAsia="Times New Roman" w:hAnsi="Times" w:cs="Times New Roman"/>
              </w:rPr>
            </w:pPr>
            <w:r w:rsidRPr="004E6AFB">
              <w:t xml:space="preserve">Patients failing to an ongoing pregnancy in ESTHER-1 </w:t>
            </w:r>
          </w:p>
        </w:tc>
        <w:tc>
          <w:tcPr>
            <w:tcW w:w="679" w:type="pct"/>
            <w:vMerge w:val="restart"/>
            <w:shd w:val="clear" w:color="auto" w:fill="auto"/>
            <w:vAlign w:val="center"/>
          </w:tcPr>
          <w:p w:rsidR="004B222C" w:rsidRPr="004E6AFB" w:rsidRDefault="004B222C" w:rsidP="00202197">
            <w:pPr>
              <w:pStyle w:val="TableText"/>
              <w:jc w:val="center"/>
              <w:rPr>
                <w:rFonts w:ascii="Times" w:eastAsia="Times New Roman" w:hAnsi="Times" w:cs="Times New Roman"/>
              </w:rPr>
            </w:pPr>
            <w:r w:rsidRPr="004E6AFB">
              <w:t>Safety</w:t>
            </w:r>
          </w:p>
        </w:tc>
        <w:tc>
          <w:tcPr>
            <w:tcW w:w="667" w:type="pct"/>
            <w:vMerge w:val="restart"/>
            <w:shd w:val="clear" w:color="auto" w:fill="auto"/>
            <w:vAlign w:val="center"/>
          </w:tcPr>
          <w:p w:rsidR="004B222C" w:rsidRPr="004E6AFB" w:rsidRDefault="004B222C" w:rsidP="00202197">
            <w:pPr>
              <w:pStyle w:val="TableText"/>
              <w:jc w:val="center"/>
              <w:rPr>
                <w:rFonts w:ascii="Times" w:eastAsia="Times New Roman" w:hAnsi="Times" w:cs="Times New Roman"/>
              </w:rPr>
            </w:pPr>
            <w:r w:rsidRPr="004E6AFB">
              <w:t>Not used</w:t>
            </w:r>
          </w:p>
        </w:tc>
      </w:tr>
      <w:tr w:rsidR="00CD3D97" w:rsidRPr="004E6AFB" w:rsidTr="00CD3D97">
        <w:tc>
          <w:tcPr>
            <w:tcW w:w="564" w:type="pct"/>
            <w:tcBorders>
              <w:top w:val="nil"/>
            </w:tcBorders>
            <w:shd w:val="clear" w:color="auto" w:fill="auto"/>
            <w:vAlign w:val="center"/>
          </w:tcPr>
          <w:p w:rsidR="004B222C" w:rsidRPr="004E6AFB" w:rsidRDefault="004B222C" w:rsidP="00202197">
            <w:pPr>
              <w:pStyle w:val="TableText"/>
              <w:tabs>
                <w:tab w:val="left" w:pos="237"/>
              </w:tabs>
              <w:rPr>
                <w:rFonts w:ascii="Times" w:eastAsia="Times New Roman" w:hAnsi="Times" w:cs="Times New Roman"/>
              </w:rPr>
            </w:pPr>
            <w:r w:rsidRPr="004E6AFB">
              <w:tab/>
              <w:t>COS 3</w:t>
            </w:r>
          </w:p>
        </w:tc>
        <w:tc>
          <w:tcPr>
            <w:tcW w:w="389" w:type="pct"/>
            <w:tcBorders>
              <w:top w:val="nil"/>
            </w:tcBorders>
            <w:shd w:val="clear" w:color="auto" w:fill="auto"/>
            <w:vAlign w:val="center"/>
          </w:tcPr>
          <w:p w:rsidR="004B222C" w:rsidRPr="004E6AFB" w:rsidRDefault="004B222C" w:rsidP="00202197">
            <w:pPr>
              <w:pStyle w:val="TableText"/>
              <w:jc w:val="center"/>
              <w:rPr>
                <w:rFonts w:ascii="Times" w:eastAsia="Times New Roman" w:hAnsi="Times" w:cs="Times New Roman"/>
              </w:rPr>
            </w:pPr>
            <w:r w:rsidRPr="004E6AFB">
              <w:t>188</w:t>
            </w:r>
          </w:p>
        </w:tc>
        <w:tc>
          <w:tcPr>
            <w:tcW w:w="624" w:type="pct"/>
            <w:vMerge/>
            <w:shd w:val="clear" w:color="auto" w:fill="auto"/>
            <w:vAlign w:val="center"/>
          </w:tcPr>
          <w:p w:rsidR="004B222C" w:rsidRPr="004E6AFB" w:rsidRDefault="004B222C" w:rsidP="004B222C">
            <w:pPr>
              <w:pStyle w:val="TableText"/>
              <w:jc w:val="center"/>
              <w:rPr>
                <w:rFonts w:ascii="Times" w:eastAsia="Times New Roman" w:hAnsi="Times" w:cs="Times New Roman"/>
              </w:rPr>
            </w:pPr>
          </w:p>
        </w:tc>
        <w:tc>
          <w:tcPr>
            <w:tcW w:w="624" w:type="pct"/>
            <w:vMerge/>
            <w:shd w:val="clear" w:color="auto" w:fill="auto"/>
            <w:vAlign w:val="center"/>
          </w:tcPr>
          <w:p w:rsidR="004B222C" w:rsidRPr="004E6AFB" w:rsidRDefault="004B222C" w:rsidP="00202197">
            <w:pPr>
              <w:pStyle w:val="TableText"/>
              <w:jc w:val="center"/>
              <w:rPr>
                <w:rFonts w:ascii="Times" w:eastAsia="Times New Roman" w:hAnsi="Times" w:cs="Times New Roman"/>
              </w:rPr>
            </w:pPr>
          </w:p>
        </w:tc>
        <w:tc>
          <w:tcPr>
            <w:tcW w:w="1453" w:type="pct"/>
            <w:vMerge/>
            <w:shd w:val="clear" w:color="auto" w:fill="auto"/>
            <w:vAlign w:val="center"/>
          </w:tcPr>
          <w:p w:rsidR="004B222C" w:rsidRPr="004E6AFB" w:rsidRDefault="004B222C" w:rsidP="00202197">
            <w:pPr>
              <w:pStyle w:val="TableText"/>
              <w:jc w:val="center"/>
              <w:rPr>
                <w:rFonts w:ascii="Times" w:eastAsia="Times New Roman" w:hAnsi="Times" w:cs="Times New Roman"/>
              </w:rPr>
            </w:pPr>
          </w:p>
        </w:tc>
        <w:tc>
          <w:tcPr>
            <w:tcW w:w="679" w:type="pct"/>
            <w:vMerge/>
            <w:shd w:val="clear" w:color="auto" w:fill="auto"/>
            <w:vAlign w:val="center"/>
          </w:tcPr>
          <w:p w:rsidR="004B222C" w:rsidRPr="004E6AFB" w:rsidRDefault="004B222C" w:rsidP="00202197">
            <w:pPr>
              <w:pStyle w:val="TableText"/>
              <w:jc w:val="center"/>
              <w:rPr>
                <w:rFonts w:ascii="Times" w:eastAsia="Times New Roman" w:hAnsi="Times" w:cs="Times New Roman"/>
              </w:rPr>
            </w:pPr>
          </w:p>
        </w:tc>
        <w:tc>
          <w:tcPr>
            <w:tcW w:w="667" w:type="pct"/>
            <w:vMerge/>
            <w:shd w:val="clear" w:color="auto" w:fill="auto"/>
            <w:vAlign w:val="center"/>
          </w:tcPr>
          <w:p w:rsidR="004B222C" w:rsidRPr="004E6AFB" w:rsidRDefault="004B222C" w:rsidP="00202197">
            <w:pPr>
              <w:pStyle w:val="TableText"/>
              <w:jc w:val="center"/>
              <w:rPr>
                <w:rFonts w:ascii="Times" w:eastAsia="Times New Roman" w:hAnsi="Times" w:cs="Times New Roman"/>
              </w:rPr>
            </w:pPr>
          </w:p>
        </w:tc>
      </w:tr>
    </w:tbl>
    <w:p w:rsidR="00C317F3" w:rsidRPr="004E6AFB" w:rsidRDefault="00202197" w:rsidP="00772501">
      <w:pPr>
        <w:pStyle w:val="TableFooter"/>
      </w:pPr>
      <w:r w:rsidRPr="004E6AFB">
        <w:t xml:space="preserve">COS=controlled ovarian stimulation cycle; </w:t>
      </w:r>
      <w:r w:rsidR="00C317F3" w:rsidRPr="004E6AFB">
        <w:t xml:space="preserve">MC=multi-centre; </w:t>
      </w:r>
      <w:r w:rsidRPr="004E6AFB">
        <w:t>R=randomised, SB=single blind (assessor)</w:t>
      </w:r>
    </w:p>
    <w:p w:rsidR="004B222C" w:rsidRPr="004E6AFB" w:rsidRDefault="004B222C" w:rsidP="004B222C">
      <w:pPr>
        <w:pStyle w:val="TableFooter"/>
        <w:tabs>
          <w:tab w:val="left" w:pos="284"/>
        </w:tabs>
      </w:pPr>
      <w:r w:rsidRPr="004E6AFB">
        <w:rPr>
          <w:vertAlign w:val="superscript"/>
        </w:rPr>
        <w:t>a</w:t>
      </w:r>
      <w:r w:rsidRPr="004E6AFB">
        <w:tab/>
        <w:t>primary</w:t>
      </w:r>
    </w:p>
    <w:p w:rsidR="00C317F3" w:rsidRPr="004E6AFB" w:rsidRDefault="00C317F3" w:rsidP="00772501">
      <w:pPr>
        <w:pStyle w:val="TableFooter"/>
      </w:pPr>
      <w:r w:rsidRPr="004E6AFB">
        <w:t>Source: compiled during the evaluation</w:t>
      </w:r>
    </w:p>
    <w:p w:rsidR="00C317F3" w:rsidRPr="004E6AFB" w:rsidRDefault="004B222C" w:rsidP="00A25512">
      <w:pPr>
        <w:pStyle w:val="ListParagraph"/>
        <w:numPr>
          <w:ilvl w:val="1"/>
          <w:numId w:val="2"/>
        </w:numPr>
        <w:spacing w:before="0" w:after="120"/>
        <w:jc w:val="both"/>
      </w:pPr>
      <w:r w:rsidRPr="004E6AFB">
        <w:t xml:space="preserve">Although both trials were only assessor-blinded, given the objective nature of the outcomes (ongoing pregnancy and implantation rate), this was not considered to introduce bias. The ESTHER-2 trial was considered to be at a moderate risk of bias given patients were not randomised (but maintained treatment they were allocated to in ESTHER-1) and lack of patient-blinding may have affected reporting of adverse events. </w:t>
      </w:r>
    </w:p>
    <w:p w:rsidR="00C317F3" w:rsidRPr="004E6AFB" w:rsidRDefault="00C317F3" w:rsidP="00772501">
      <w:pPr>
        <w:pStyle w:val="Heading2"/>
        <w:rPr>
          <w:i w:val="0"/>
        </w:rPr>
      </w:pPr>
      <w:bookmarkStart w:id="13" w:name="_Toc413139278"/>
      <w:bookmarkStart w:id="14" w:name="_Toc492994161"/>
      <w:r w:rsidRPr="004E6AFB">
        <w:rPr>
          <w:i w:val="0"/>
        </w:rPr>
        <w:t>Comparative effectiveness</w:t>
      </w:r>
      <w:bookmarkEnd w:id="13"/>
      <w:bookmarkEnd w:id="14"/>
      <w:r w:rsidRPr="004E6AFB">
        <w:rPr>
          <w:i w:val="0"/>
        </w:rPr>
        <w:t xml:space="preserve"> </w:t>
      </w:r>
    </w:p>
    <w:p w:rsidR="00065F4A" w:rsidRPr="004E6AFB" w:rsidRDefault="004B222C" w:rsidP="006846FA">
      <w:pPr>
        <w:pStyle w:val="ListParagraph"/>
        <w:numPr>
          <w:ilvl w:val="1"/>
          <w:numId w:val="2"/>
        </w:numPr>
        <w:spacing w:before="0" w:after="120"/>
        <w:jc w:val="both"/>
      </w:pPr>
      <w:r w:rsidRPr="004E6AFB">
        <w:t xml:space="preserve">Table 4 reports the co-primary outcomes of the ESTHER-1 trial, ongoing pregnancy and ongoing implantation rates. </w:t>
      </w:r>
      <w:r w:rsidR="00950802" w:rsidRPr="004E6AFB">
        <w:t>T</w:t>
      </w:r>
      <w:r w:rsidRPr="004E6AFB">
        <w:t>he results reported for the co-primary outcomes of ongoing pregnancy and ongoing implantation rates met the pre-defined non-inferiority margin of the ESTHER-1 trial of -8.0%</w:t>
      </w:r>
      <w:r w:rsidR="00E45ED0" w:rsidRPr="004E6AFB">
        <w:t xml:space="preserve"> in both the PP and mITT populations</w:t>
      </w:r>
      <w:r w:rsidR="006846FA" w:rsidRPr="004E6AFB">
        <w:t xml:space="preserve">. </w:t>
      </w:r>
      <w:r w:rsidR="002D01E8" w:rsidRPr="004E6AFB">
        <w:t>In its consideration of corifollitropin, ‘[t]he PBAC considered a difference of ±4%</w:t>
      </w:r>
      <w:r w:rsidR="00CD3D97" w:rsidRPr="004E6AFB">
        <w:t>,</w:t>
      </w:r>
      <w:r w:rsidR="002D01E8" w:rsidRPr="004E6AFB">
        <w:t xml:space="preserve"> not ±8% as presented in the submission was reasonable in considering this data’</w:t>
      </w:r>
      <w:r w:rsidRPr="004E6AFB">
        <w:t xml:space="preserve"> </w:t>
      </w:r>
      <w:r w:rsidR="007211D7" w:rsidRPr="004E6AFB">
        <w:t>for the</w:t>
      </w:r>
      <w:r w:rsidR="007211D7" w:rsidRPr="004E6AFB">
        <w:rPr>
          <w:b/>
        </w:rPr>
        <w:t xml:space="preserve"> </w:t>
      </w:r>
      <w:r w:rsidR="007211D7" w:rsidRPr="004E6AFB">
        <w:t xml:space="preserve">outcome of ongoing pregnancy rates </w:t>
      </w:r>
      <w:r w:rsidRPr="004E6AFB">
        <w:t>(Corifollitropin PSD, March 2013).</w:t>
      </w:r>
      <w:r w:rsidR="006846FA" w:rsidRPr="004E6AFB">
        <w:t xml:space="preserve"> Non-inferiority </w:t>
      </w:r>
      <w:r w:rsidR="00CD3D97" w:rsidRPr="004E6AFB">
        <w:t xml:space="preserve">for follitropin delta </w:t>
      </w:r>
      <w:r w:rsidR="006846FA" w:rsidRPr="004E6AFB">
        <w:t>was not met when applying a -4.0% margin</w:t>
      </w:r>
      <w:r w:rsidR="00CD3D97" w:rsidRPr="004E6AFB">
        <w:t xml:space="preserve"> to the ongoing pregnancy rate</w:t>
      </w:r>
      <w:r w:rsidR="006846FA" w:rsidRPr="004E6AFB">
        <w:t>.</w:t>
      </w:r>
    </w:p>
    <w:p w:rsidR="00AF6E75" w:rsidRPr="004E6AFB" w:rsidRDefault="00C54ADD" w:rsidP="00AF6E75">
      <w:pPr>
        <w:pStyle w:val="ListParagraph"/>
        <w:numPr>
          <w:ilvl w:val="1"/>
          <w:numId w:val="2"/>
        </w:numPr>
        <w:spacing w:before="0" w:after="120"/>
        <w:jc w:val="both"/>
      </w:pPr>
      <w:r w:rsidRPr="004E6AFB">
        <w:t>T</w:t>
      </w:r>
      <w:r w:rsidR="00AF6E75" w:rsidRPr="004E6AFB">
        <w:t xml:space="preserve">he </w:t>
      </w:r>
      <w:r w:rsidR="003C5FD8">
        <w:t>Pre-Sub Committee Response (</w:t>
      </w:r>
      <w:r w:rsidR="00AF6E75" w:rsidRPr="004E6AFB">
        <w:t>PSCR</w:t>
      </w:r>
      <w:r w:rsidR="003C5FD8">
        <w:t>)</w:t>
      </w:r>
      <w:r w:rsidR="001124B7" w:rsidRPr="004E6AFB">
        <w:t xml:space="preserve"> (p1)</w:t>
      </w:r>
      <w:r w:rsidR="00AF6E75" w:rsidRPr="004E6AFB">
        <w:t xml:space="preserve"> reiterate</w:t>
      </w:r>
      <w:r w:rsidRPr="004E6AFB">
        <w:t>d</w:t>
      </w:r>
      <w:r w:rsidR="00AF6E75" w:rsidRPr="004E6AFB">
        <w:t xml:space="preserve"> that the non-inferiority </w:t>
      </w:r>
      <w:r w:rsidRPr="004E6AFB">
        <w:t>margin</w:t>
      </w:r>
      <w:r w:rsidR="00AF6E75" w:rsidRPr="004E6AFB">
        <w:t xml:space="preserve"> of -8% for its two co-primary endpoints was pre-specified and agreed with the European Medicines Agency, and was based on regulatory precedence with corifollitropin. </w:t>
      </w:r>
      <w:r w:rsidRPr="004E6AFB">
        <w:t>The PSCR also noted</w:t>
      </w:r>
      <w:r w:rsidR="00AF6E75" w:rsidRPr="004E6AFB">
        <w:t xml:space="preserve"> </w:t>
      </w:r>
      <w:r w:rsidRPr="004E6AFB">
        <w:t>(Table 1, Attachment 1, p1)</w:t>
      </w:r>
      <w:r w:rsidR="00FE07A1" w:rsidRPr="004E6AFB">
        <w:t xml:space="preserve"> </w:t>
      </w:r>
      <w:r w:rsidR="00AF6E75" w:rsidRPr="004E6AFB">
        <w:t xml:space="preserve">that wider limits than 4% have been used in the past for </w:t>
      </w:r>
      <w:r w:rsidR="000B41D0" w:rsidRPr="004E6AFB">
        <w:t xml:space="preserve">progesterone and other similar products </w:t>
      </w:r>
      <w:r w:rsidR="00AF6E75" w:rsidRPr="004E6AFB">
        <w:t xml:space="preserve"> </w:t>
      </w:r>
    </w:p>
    <w:p w:rsidR="004B222C" w:rsidRPr="004E6AFB" w:rsidRDefault="004B222C" w:rsidP="004B222C">
      <w:pPr>
        <w:pStyle w:val="TableHeading0"/>
      </w:pPr>
      <w:r w:rsidRPr="004E6AFB">
        <w:t xml:space="preserve">Table </w:t>
      </w:r>
      <w:r w:rsidR="00E45ED0" w:rsidRPr="004E6AFB">
        <w:t>4</w:t>
      </w:r>
      <w:r w:rsidRPr="004E6AFB">
        <w:t>: Results of the co-primary outcomes (ongoing pregnancy and implantation rate) reported in the ESTHER- 1 trial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18"/>
        <w:gridCol w:w="2085"/>
        <w:gridCol w:w="2085"/>
        <w:gridCol w:w="2045"/>
        <w:gridCol w:w="2049"/>
      </w:tblGrid>
      <w:tr w:rsidR="004B222C" w:rsidRPr="004E6AFB" w:rsidTr="004B222C">
        <w:trPr>
          <w:tblHeader/>
        </w:trPr>
        <w:tc>
          <w:tcPr>
            <w:tcW w:w="450" w:type="pct"/>
          </w:tcPr>
          <w:p w:rsidR="004B222C" w:rsidRPr="004E6AFB" w:rsidRDefault="004B222C" w:rsidP="004B222C">
            <w:pPr>
              <w:pStyle w:val="TableText"/>
              <w:rPr>
                <w:b/>
              </w:rPr>
            </w:pPr>
            <w:r w:rsidRPr="004E6AFB">
              <w:rPr>
                <w:b/>
              </w:rPr>
              <w:t>Analysis</w:t>
            </w:r>
          </w:p>
        </w:tc>
        <w:tc>
          <w:tcPr>
            <w:tcW w:w="1148" w:type="pct"/>
            <w:vAlign w:val="center"/>
          </w:tcPr>
          <w:p w:rsidR="004B222C" w:rsidRPr="004E6AFB" w:rsidRDefault="004B222C" w:rsidP="004B222C">
            <w:pPr>
              <w:pStyle w:val="TableText"/>
              <w:jc w:val="center"/>
              <w:rPr>
                <w:b/>
              </w:rPr>
            </w:pPr>
            <w:r w:rsidRPr="004E6AFB">
              <w:rPr>
                <w:b/>
              </w:rPr>
              <w:t>Follitropin delta; n/N (%)</w:t>
            </w:r>
          </w:p>
        </w:tc>
        <w:tc>
          <w:tcPr>
            <w:tcW w:w="1148" w:type="pct"/>
            <w:vAlign w:val="center"/>
          </w:tcPr>
          <w:p w:rsidR="004B222C" w:rsidRPr="004E6AFB" w:rsidRDefault="004B222C" w:rsidP="004B222C">
            <w:pPr>
              <w:pStyle w:val="TableText"/>
              <w:jc w:val="center"/>
              <w:rPr>
                <w:b/>
              </w:rPr>
            </w:pPr>
            <w:r w:rsidRPr="004E6AFB">
              <w:rPr>
                <w:b/>
              </w:rPr>
              <w:t>Follitropin alfa; n/N (%)</w:t>
            </w:r>
          </w:p>
        </w:tc>
        <w:tc>
          <w:tcPr>
            <w:tcW w:w="1126" w:type="pct"/>
            <w:vAlign w:val="center"/>
          </w:tcPr>
          <w:p w:rsidR="004B222C" w:rsidRPr="004E6AFB" w:rsidRDefault="004B222C" w:rsidP="004B222C">
            <w:pPr>
              <w:pStyle w:val="TableText"/>
              <w:jc w:val="center"/>
              <w:rPr>
                <w:b/>
                <w:vertAlign w:val="superscript"/>
              </w:rPr>
            </w:pPr>
            <w:r w:rsidRPr="004E6AFB">
              <w:rPr>
                <w:b/>
              </w:rPr>
              <w:t>Relative risk (95% CI)</w:t>
            </w:r>
            <w:r w:rsidRPr="004E6AFB">
              <w:rPr>
                <w:b/>
                <w:vertAlign w:val="superscript"/>
              </w:rPr>
              <w:t>d</w:t>
            </w:r>
          </w:p>
        </w:tc>
        <w:tc>
          <w:tcPr>
            <w:tcW w:w="1128" w:type="pct"/>
            <w:vAlign w:val="center"/>
          </w:tcPr>
          <w:p w:rsidR="004B222C" w:rsidRPr="004E6AFB" w:rsidRDefault="004B222C" w:rsidP="004B222C">
            <w:pPr>
              <w:pStyle w:val="TableText"/>
              <w:jc w:val="center"/>
              <w:rPr>
                <w:b/>
              </w:rPr>
            </w:pPr>
            <w:r w:rsidRPr="004E6AFB">
              <w:rPr>
                <w:b/>
              </w:rPr>
              <w:t>Risk difference (95% CI)</w:t>
            </w:r>
          </w:p>
        </w:tc>
      </w:tr>
      <w:tr w:rsidR="004B222C" w:rsidRPr="004E6AFB" w:rsidTr="004B222C">
        <w:tc>
          <w:tcPr>
            <w:tcW w:w="5000" w:type="pct"/>
            <w:gridSpan w:val="5"/>
          </w:tcPr>
          <w:p w:rsidR="004B222C" w:rsidRPr="004E6AFB" w:rsidRDefault="004B222C" w:rsidP="004B222C">
            <w:pPr>
              <w:pStyle w:val="TableText"/>
            </w:pPr>
            <w:r w:rsidRPr="004E6AFB">
              <w:t>Primary: Ongoing pregnancy - at least one intrauterine viable foetus</w:t>
            </w:r>
          </w:p>
        </w:tc>
      </w:tr>
      <w:tr w:rsidR="004B222C" w:rsidRPr="004E6AFB" w:rsidTr="004B222C">
        <w:tc>
          <w:tcPr>
            <w:tcW w:w="450" w:type="pct"/>
          </w:tcPr>
          <w:p w:rsidR="004B222C" w:rsidRPr="004E6AFB" w:rsidRDefault="004B222C" w:rsidP="004B222C">
            <w:pPr>
              <w:pStyle w:val="TableText"/>
              <w:rPr>
                <w:vertAlign w:val="superscript"/>
              </w:rPr>
            </w:pPr>
            <w:r w:rsidRPr="004E6AFB">
              <w:t>PP</w:t>
            </w:r>
            <w:r w:rsidRPr="004E6AFB">
              <w:rPr>
                <w:vertAlign w:val="superscript"/>
              </w:rPr>
              <w:t>a</w:t>
            </w:r>
          </w:p>
        </w:tc>
        <w:tc>
          <w:tcPr>
            <w:tcW w:w="1148" w:type="pct"/>
            <w:vAlign w:val="center"/>
          </w:tcPr>
          <w:p w:rsidR="004B222C" w:rsidRPr="004E6AFB" w:rsidRDefault="004B222C" w:rsidP="004B222C">
            <w:pPr>
              <w:pStyle w:val="TableText"/>
              <w:jc w:val="center"/>
              <w:rPr>
                <w:rFonts w:eastAsia="Times New Roman" w:cs="Times New Roman"/>
              </w:rPr>
            </w:pPr>
            <w:r w:rsidRPr="004E6AFB">
              <w:rPr>
                <w:rFonts w:eastAsia="Times New Roman" w:cs="Times New Roman"/>
              </w:rPr>
              <w:t>198/623 (31.8)</w:t>
            </w:r>
          </w:p>
        </w:tc>
        <w:tc>
          <w:tcPr>
            <w:tcW w:w="1148" w:type="pct"/>
            <w:vAlign w:val="center"/>
          </w:tcPr>
          <w:p w:rsidR="004B222C" w:rsidRPr="004E6AFB" w:rsidRDefault="004B222C" w:rsidP="004B222C">
            <w:pPr>
              <w:pStyle w:val="TableText"/>
              <w:jc w:val="center"/>
              <w:rPr>
                <w:rFonts w:eastAsia="Times New Roman" w:cs="Times New Roman"/>
              </w:rPr>
            </w:pPr>
            <w:r w:rsidRPr="004E6AFB">
              <w:rPr>
                <w:rFonts w:eastAsia="Times New Roman" w:cs="Times New Roman"/>
              </w:rPr>
              <w:t>206/632 (32.6)</w:t>
            </w:r>
          </w:p>
        </w:tc>
        <w:tc>
          <w:tcPr>
            <w:tcW w:w="1126" w:type="pct"/>
            <w:vAlign w:val="center"/>
          </w:tcPr>
          <w:p w:rsidR="004B222C" w:rsidRPr="004E6AFB" w:rsidRDefault="004B222C" w:rsidP="004B222C">
            <w:pPr>
              <w:pStyle w:val="TableText"/>
              <w:jc w:val="center"/>
              <w:rPr>
                <w:rFonts w:eastAsia="Times New Roman" w:cs="Times New Roman"/>
              </w:rPr>
            </w:pPr>
            <w:r w:rsidRPr="004E6AFB">
              <w:rPr>
                <w:rFonts w:eastAsia="Times New Roman" w:cs="Times New Roman"/>
              </w:rPr>
              <w:t>0.98 (0.83, 1.14)</w:t>
            </w:r>
          </w:p>
        </w:tc>
        <w:tc>
          <w:tcPr>
            <w:tcW w:w="1128" w:type="pct"/>
            <w:vAlign w:val="center"/>
          </w:tcPr>
          <w:p w:rsidR="004B222C" w:rsidRPr="004E6AFB" w:rsidRDefault="004B222C" w:rsidP="004B222C">
            <w:pPr>
              <w:pStyle w:val="TableText"/>
              <w:jc w:val="center"/>
              <w:rPr>
                <w:rFonts w:eastAsia="Times New Roman" w:cs="Times New Roman"/>
              </w:rPr>
            </w:pPr>
            <w:r w:rsidRPr="004E6AFB">
              <w:t>-0.9% (-6.0%, 4.3%)</w:t>
            </w:r>
          </w:p>
        </w:tc>
      </w:tr>
      <w:tr w:rsidR="004B222C" w:rsidRPr="004E6AFB" w:rsidTr="004B222C">
        <w:tc>
          <w:tcPr>
            <w:tcW w:w="450" w:type="pct"/>
          </w:tcPr>
          <w:p w:rsidR="004B222C" w:rsidRPr="004E6AFB" w:rsidRDefault="004B222C" w:rsidP="004B222C">
            <w:pPr>
              <w:pStyle w:val="TableText"/>
              <w:rPr>
                <w:rFonts w:ascii="Times" w:eastAsia="Times New Roman" w:hAnsi="Times" w:cs="Times New Roman"/>
                <w:vertAlign w:val="superscript"/>
              </w:rPr>
            </w:pPr>
            <w:r w:rsidRPr="004E6AFB">
              <w:t>mITT</w:t>
            </w:r>
            <w:r w:rsidRPr="004E6AFB">
              <w:rPr>
                <w:vertAlign w:val="superscript"/>
              </w:rPr>
              <w:t>b</w:t>
            </w:r>
          </w:p>
        </w:tc>
        <w:tc>
          <w:tcPr>
            <w:tcW w:w="1148" w:type="pct"/>
            <w:vAlign w:val="center"/>
          </w:tcPr>
          <w:p w:rsidR="004B222C" w:rsidRPr="004E6AFB" w:rsidRDefault="004B222C" w:rsidP="004B222C">
            <w:pPr>
              <w:pStyle w:val="TableText"/>
              <w:jc w:val="center"/>
              <w:rPr>
                <w:rFonts w:eastAsia="Times New Roman" w:cs="Times New Roman"/>
              </w:rPr>
            </w:pPr>
            <w:r w:rsidRPr="004E6AFB">
              <w:rPr>
                <w:rFonts w:eastAsia="Times New Roman" w:cs="Times New Roman"/>
              </w:rPr>
              <w:t>204/665 (30.7)</w:t>
            </w:r>
          </w:p>
        </w:tc>
        <w:tc>
          <w:tcPr>
            <w:tcW w:w="1148" w:type="pct"/>
            <w:vAlign w:val="center"/>
          </w:tcPr>
          <w:p w:rsidR="004B222C" w:rsidRPr="004E6AFB" w:rsidRDefault="004B222C" w:rsidP="004B222C">
            <w:pPr>
              <w:pStyle w:val="TableText"/>
              <w:jc w:val="center"/>
              <w:rPr>
                <w:rFonts w:eastAsia="Times New Roman" w:cs="Times New Roman"/>
              </w:rPr>
            </w:pPr>
            <w:r w:rsidRPr="004E6AFB">
              <w:rPr>
                <w:rFonts w:eastAsia="Times New Roman" w:cs="Times New Roman"/>
              </w:rPr>
              <w:t>209/661 (31.6)</w:t>
            </w:r>
          </w:p>
        </w:tc>
        <w:tc>
          <w:tcPr>
            <w:tcW w:w="1126" w:type="pct"/>
            <w:vAlign w:val="center"/>
          </w:tcPr>
          <w:p w:rsidR="004B222C" w:rsidRPr="004E6AFB" w:rsidRDefault="004B222C" w:rsidP="004B222C">
            <w:pPr>
              <w:pStyle w:val="TableText"/>
              <w:jc w:val="center"/>
              <w:rPr>
                <w:rFonts w:eastAsia="Times New Roman" w:cs="Times New Roman"/>
              </w:rPr>
            </w:pPr>
            <w:r w:rsidRPr="004E6AFB">
              <w:rPr>
                <w:rFonts w:eastAsia="Times New Roman" w:cs="Times New Roman"/>
              </w:rPr>
              <w:t>0.97 (0.83, 1.14)</w:t>
            </w:r>
          </w:p>
        </w:tc>
        <w:tc>
          <w:tcPr>
            <w:tcW w:w="1128" w:type="pct"/>
            <w:vAlign w:val="center"/>
          </w:tcPr>
          <w:p w:rsidR="004B222C" w:rsidRPr="004E6AFB" w:rsidRDefault="004B222C" w:rsidP="004B222C">
            <w:pPr>
              <w:pStyle w:val="TableText"/>
              <w:jc w:val="center"/>
              <w:rPr>
                <w:rFonts w:eastAsia="Times New Roman" w:cs="Times New Roman"/>
              </w:rPr>
            </w:pPr>
            <w:r w:rsidRPr="004E6AFB">
              <w:t>-0.9% (-5.9%, 4.1%)</w:t>
            </w:r>
          </w:p>
        </w:tc>
      </w:tr>
      <w:tr w:rsidR="004B222C" w:rsidRPr="004E6AFB" w:rsidTr="004B222C">
        <w:tc>
          <w:tcPr>
            <w:tcW w:w="450" w:type="pct"/>
          </w:tcPr>
          <w:p w:rsidR="004B222C" w:rsidRPr="004E6AFB" w:rsidRDefault="004B222C" w:rsidP="004B222C">
            <w:pPr>
              <w:pStyle w:val="TableText"/>
              <w:rPr>
                <w:rFonts w:ascii="Times" w:eastAsia="Times New Roman" w:hAnsi="Times" w:cs="Times New Roman"/>
                <w:vertAlign w:val="superscript"/>
              </w:rPr>
            </w:pPr>
            <w:r w:rsidRPr="004E6AFB">
              <w:t>ITT</w:t>
            </w:r>
            <w:r w:rsidRPr="004E6AFB">
              <w:rPr>
                <w:vertAlign w:val="superscript"/>
              </w:rPr>
              <w:t>c</w:t>
            </w:r>
          </w:p>
        </w:tc>
        <w:tc>
          <w:tcPr>
            <w:tcW w:w="1148" w:type="pct"/>
            <w:vAlign w:val="center"/>
          </w:tcPr>
          <w:p w:rsidR="004B222C" w:rsidRPr="004E6AFB" w:rsidRDefault="004B222C" w:rsidP="004B222C">
            <w:pPr>
              <w:pStyle w:val="TableText"/>
              <w:jc w:val="center"/>
              <w:rPr>
                <w:rFonts w:eastAsia="Times New Roman" w:cs="Times New Roman"/>
              </w:rPr>
            </w:pPr>
            <w:r w:rsidRPr="004E6AFB">
              <w:rPr>
                <w:rFonts w:eastAsia="Times New Roman" w:cs="Times New Roman"/>
              </w:rPr>
              <w:t>204/666 (30.6)</w:t>
            </w:r>
          </w:p>
        </w:tc>
        <w:tc>
          <w:tcPr>
            <w:tcW w:w="1148" w:type="pct"/>
            <w:vAlign w:val="center"/>
          </w:tcPr>
          <w:p w:rsidR="004B222C" w:rsidRPr="004E6AFB" w:rsidRDefault="004B222C" w:rsidP="004B222C">
            <w:pPr>
              <w:pStyle w:val="TableText"/>
              <w:jc w:val="center"/>
              <w:rPr>
                <w:rFonts w:eastAsia="Times New Roman" w:cs="Times New Roman"/>
              </w:rPr>
            </w:pPr>
            <w:r w:rsidRPr="004E6AFB">
              <w:rPr>
                <w:rFonts w:eastAsia="Times New Roman" w:cs="Times New Roman"/>
              </w:rPr>
              <w:t>209/663 (31.5)</w:t>
            </w:r>
          </w:p>
        </w:tc>
        <w:tc>
          <w:tcPr>
            <w:tcW w:w="1126" w:type="pct"/>
            <w:vAlign w:val="center"/>
          </w:tcPr>
          <w:p w:rsidR="004B222C" w:rsidRPr="004E6AFB" w:rsidRDefault="004B222C" w:rsidP="004B222C">
            <w:pPr>
              <w:pStyle w:val="TableText"/>
              <w:jc w:val="center"/>
              <w:rPr>
                <w:rFonts w:eastAsia="Times New Roman" w:cs="Times New Roman"/>
              </w:rPr>
            </w:pPr>
            <w:r w:rsidRPr="004E6AFB">
              <w:rPr>
                <w:rFonts w:eastAsia="Times New Roman" w:cs="Times New Roman"/>
              </w:rPr>
              <w:t>0.97 (0.83, 1.14)</w:t>
            </w:r>
          </w:p>
        </w:tc>
        <w:tc>
          <w:tcPr>
            <w:tcW w:w="1128" w:type="pct"/>
            <w:vAlign w:val="center"/>
          </w:tcPr>
          <w:p w:rsidR="004B222C" w:rsidRPr="004E6AFB" w:rsidRDefault="004B222C" w:rsidP="004B222C">
            <w:pPr>
              <w:pStyle w:val="TableText"/>
              <w:jc w:val="center"/>
              <w:rPr>
                <w:rFonts w:eastAsia="Times New Roman" w:cs="Times New Roman"/>
              </w:rPr>
            </w:pPr>
            <w:r w:rsidRPr="004E6AFB">
              <w:t>-0.9% (-5.9%, 4.1%)</w:t>
            </w:r>
          </w:p>
        </w:tc>
      </w:tr>
      <w:tr w:rsidR="004B222C" w:rsidRPr="004E6AFB" w:rsidTr="004B222C">
        <w:tc>
          <w:tcPr>
            <w:tcW w:w="5000" w:type="pct"/>
            <w:gridSpan w:val="5"/>
          </w:tcPr>
          <w:p w:rsidR="004B222C" w:rsidRPr="004E6AFB" w:rsidRDefault="004B222C" w:rsidP="004B222C">
            <w:pPr>
              <w:pStyle w:val="TableText"/>
              <w:rPr>
                <w:rFonts w:eastAsia="Times New Roman" w:cs="Times New Roman"/>
              </w:rPr>
            </w:pPr>
            <w:r w:rsidRPr="004E6AFB">
              <w:rPr>
                <w:rFonts w:eastAsia="Times New Roman" w:cs="Times New Roman"/>
              </w:rPr>
              <w:t>Primary: Ongoing implantation – number of intrauterine viable foetuses 10-11 weeks after transfer divided by number of blastocysts transferred</w:t>
            </w:r>
          </w:p>
        </w:tc>
      </w:tr>
      <w:tr w:rsidR="004B222C" w:rsidRPr="004E6AFB" w:rsidTr="004B222C">
        <w:tc>
          <w:tcPr>
            <w:tcW w:w="450" w:type="pct"/>
          </w:tcPr>
          <w:p w:rsidR="004B222C" w:rsidRPr="004E6AFB" w:rsidRDefault="004B222C" w:rsidP="004B222C">
            <w:pPr>
              <w:pStyle w:val="TableText"/>
              <w:rPr>
                <w:vertAlign w:val="superscript"/>
              </w:rPr>
            </w:pPr>
            <w:r w:rsidRPr="004E6AFB">
              <w:t>PP</w:t>
            </w:r>
            <w:r w:rsidRPr="004E6AFB">
              <w:rPr>
                <w:vertAlign w:val="superscript"/>
              </w:rPr>
              <w:t>a</w:t>
            </w:r>
          </w:p>
        </w:tc>
        <w:tc>
          <w:tcPr>
            <w:tcW w:w="1148" w:type="pct"/>
            <w:vAlign w:val="center"/>
          </w:tcPr>
          <w:p w:rsidR="004B222C" w:rsidRPr="004E6AFB" w:rsidRDefault="004B222C" w:rsidP="004B222C">
            <w:pPr>
              <w:pStyle w:val="TableText"/>
              <w:jc w:val="center"/>
              <w:rPr>
                <w:rFonts w:eastAsia="Times New Roman" w:cs="Times New Roman"/>
              </w:rPr>
            </w:pPr>
            <w:r w:rsidRPr="004E6AFB">
              <w:rPr>
                <w:rFonts w:eastAsia="Times New Roman" w:cs="Times New Roman"/>
              </w:rPr>
              <w:t>200/553 (36.2)</w:t>
            </w:r>
          </w:p>
        </w:tc>
        <w:tc>
          <w:tcPr>
            <w:tcW w:w="1148" w:type="pct"/>
            <w:vAlign w:val="center"/>
          </w:tcPr>
          <w:p w:rsidR="004B222C" w:rsidRPr="004E6AFB" w:rsidRDefault="004B222C" w:rsidP="004B222C">
            <w:pPr>
              <w:pStyle w:val="TableText"/>
              <w:jc w:val="center"/>
              <w:rPr>
                <w:rFonts w:eastAsia="Times New Roman" w:cs="Times New Roman"/>
              </w:rPr>
            </w:pPr>
            <w:r w:rsidRPr="004E6AFB">
              <w:rPr>
                <w:rFonts w:eastAsia="Times New Roman" w:cs="Times New Roman"/>
              </w:rPr>
              <w:t>206/558 (36.9)</w:t>
            </w:r>
          </w:p>
        </w:tc>
        <w:tc>
          <w:tcPr>
            <w:tcW w:w="1126" w:type="pct"/>
            <w:vAlign w:val="center"/>
          </w:tcPr>
          <w:p w:rsidR="004B222C" w:rsidRPr="004E6AFB" w:rsidRDefault="004B222C" w:rsidP="004B222C">
            <w:pPr>
              <w:pStyle w:val="TableText"/>
              <w:jc w:val="center"/>
              <w:rPr>
                <w:rFonts w:eastAsia="Times New Roman" w:cs="Times New Roman"/>
              </w:rPr>
            </w:pPr>
            <w:r w:rsidRPr="004E6AFB">
              <w:rPr>
                <w:rFonts w:eastAsia="Times New Roman" w:cs="Times New Roman"/>
              </w:rPr>
              <w:t>0.98 (0.84, 1.14)</w:t>
            </w:r>
          </w:p>
        </w:tc>
        <w:tc>
          <w:tcPr>
            <w:tcW w:w="1128" w:type="pct"/>
            <w:vAlign w:val="center"/>
          </w:tcPr>
          <w:p w:rsidR="004B222C" w:rsidRPr="004E6AFB" w:rsidRDefault="004B222C" w:rsidP="004B222C">
            <w:pPr>
              <w:pStyle w:val="TableText"/>
              <w:jc w:val="center"/>
              <w:rPr>
                <w:rFonts w:eastAsia="Times New Roman" w:cs="Times New Roman"/>
              </w:rPr>
            </w:pPr>
            <w:r w:rsidRPr="004E6AFB">
              <w:rPr>
                <w:rFonts w:eastAsia="Times New Roman" w:cs="Times New Roman"/>
              </w:rPr>
              <w:t>-0.9% (-6.5%, 4.7%)</w:t>
            </w:r>
          </w:p>
        </w:tc>
      </w:tr>
      <w:tr w:rsidR="004B222C" w:rsidRPr="004E6AFB" w:rsidTr="004B222C">
        <w:tc>
          <w:tcPr>
            <w:tcW w:w="450" w:type="pct"/>
          </w:tcPr>
          <w:p w:rsidR="004B222C" w:rsidRPr="004E6AFB" w:rsidRDefault="004B222C" w:rsidP="004B222C">
            <w:pPr>
              <w:pStyle w:val="TableText"/>
              <w:rPr>
                <w:vertAlign w:val="superscript"/>
              </w:rPr>
            </w:pPr>
            <w:r w:rsidRPr="004E6AFB">
              <w:t>mITT</w:t>
            </w:r>
            <w:r w:rsidRPr="004E6AFB">
              <w:rPr>
                <w:vertAlign w:val="superscript"/>
              </w:rPr>
              <w:t>b</w:t>
            </w:r>
          </w:p>
        </w:tc>
        <w:tc>
          <w:tcPr>
            <w:tcW w:w="1148" w:type="pct"/>
            <w:vAlign w:val="center"/>
          </w:tcPr>
          <w:p w:rsidR="004B222C" w:rsidRPr="004E6AFB" w:rsidRDefault="004B222C" w:rsidP="004B222C">
            <w:pPr>
              <w:pStyle w:val="TableText"/>
              <w:jc w:val="center"/>
              <w:rPr>
                <w:rFonts w:eastAsia="Times New Roman" w:cs="Times New Roman"/>
              </w:rPr>
            </w:pPr>
            <w:r w:rsidRPr="004E6AFB">
              <w:rPr>
                <w:rFonts w:eastAsia="Times New Roman" w:cs="Times New Roman"/>
              </w:rPr>
              <w:t>206/585 (35.2)</w:t>
            </w:r>
          </w:p>
        </w:tc>
        <w:tc>
          <w:tcPr>
            <w:tcW w:w="1148" w:type="pct"/>
            <w:vAlign w:val="center"/>
          </w:tcPr>
          <w:p w:rsidR="004B222C" w:rsidRPr="004E6AFB" w:rsidRDefault="004B222C" w:rsidP="004B222C">
            <w:pPr>
              <w:pStyle w:val="TableText"/>
              <w:jc w:val="center"/>
              <w:rPr>
                <w:rFonts w:eastAsia="Times New Roman" w:cs="Times New Roman"/>
              </w:rPr>
            </w:pPr>
            <w:r w:rsidRPr="004E6AFB">
              <w:rPr>
                <w:rFonts w:eastAsia="Times New Roman" w:cs="Times New Roman"/>
              </w:rPr>
              <w:t>209/584 (35.8)</w:t>
            </w:r>
          </w:p>
        </w:tc>
        <w:tc>
          <w:tcPr>
            <w:tcW w:w="1126" w:type="pct"/>
            <w:vAlign w:val="center"/>
          </w:tcPr>
          <w:p w:rsidR="004B222C" w:rsidRPr="004E6AFB" w:rsidRDefault="004B222C" w:rsidP="004B222C">
            <w:pPr>
              <w:pStyle w:val="TableText"/>
              <w:jc w:val="center"/>
              <w:rPr>
                <w:rFonts w:eastAsia="Times New Roman" w:cs="Times New Roman"/>
              </w:rPr>
            </w:pPr>
            <w:r w:rsidRPr="004E6AFB">
              <w:rPr>
                <w:rFonts w:eastAsia="Times New Roman" w:cs="Times New Roman"/>
              </w:rPr>
              <w:t>0.98 (0.84, 1.15)</w:t>
            </w:r>
          </w:p>
        </w:tc>
        <w:tc>
          <w:tcPr>
            <w:tcW w:w="1128" w:type="pct"/>
            <w:vAlign w:val="center"/>
          </w:tcPr>
          <w:p w:rsidR="004B222C" w:rsidRPr="004E6AFB" w:rsidRDefault="004B222C" w:rsidP="004B222C">
            <w:pPr>
              <w:pStyle w:val="TableText"/>
              <w:jc w:val="center"/>
              <w:rPr>
                <w:rFonts w:eastAsia="Times New Roman" w:cs="Times New Roman"/>
              </w:rPr>
            </w:pPr>
            <w:r w:rsidRPr="004E6AFB">
              <w:rPr>
                <w:rFonts w:eastAsia="Times New Roman" w:cs="Times New Roman"/>
              </w:rPr>
              <w:t>-0.6% (-6.1%, 4.8%)</w:t>
            </w:r>
          </w:p>
        </w:tc>
      </w:tr>
    </w:tbl>
    <w:p w:rsidR="004B222C" w:rsidRPr="004E6AFB" w:rsidRDefault="004B222C" w:rsidP="004B222C">
      <w:pPr>
        <w:pStyle w:val="TableFooter"/>
      </w:pPr>
      <w:r w:rsidRPr="004E6AFB">
        <w:t>Source: Table 2.5.1-1, p51; and Table 2.5.1-2, p51 of the submission</w:t>
      </w:r>
    </w:p>
    <w:p w:rsidR="004B222C" w:rsidRPr="004E6AFB" w:rsidRDefault="004B222C" w:rsidP="004B222C">
      <w:pPr>
        <w:pStyle w:val="TableFooter"/>
        <w:tabs>
          <w:tab w:val="left" w:pos="284"/>
        </w:tabs>
      </w:pPr>
      <w:r w:rsidRPr="004E6AFB">
        <w:rPr>
          <w:vertAlign w:val="superscript"/>
        </w:rPr>
        <w:t>a</w:t>
      </w:r>
      <w:r w:rsidRPr="004E6AFB">
        <w:tab/>
        <w:t>exposed to randomised treatment and had no major protocol violations</w:t>
      </w:r>
    </w:p>
    <w:p w:rsidR="004B222C" w:rsidRPr="004E6AFB" w:rsidRDefault="004B222C" w:rsidP="004B222C">
      <w:pPr>
        <w:pStyle w:val="TableFooter"/>
        <w:tabs>
          <w:tab w:val="left" w:pos="284"/>
        </w:tabs>
      </w:pPr>
      <w:r w:rsidRPr="004E6AFB">
        <w:rPr>
          <w:vertAlign w:val="superscript"/>
        </w:rPr>
        <w:t>b</w:t>
      </w:r>
      <w:r w:rsidRPr="004E6AFB">
        <w:tab/>
        <w:t>exposed to randomised treatment</w:t>
      </w:r>
    </w:p>
    <w:p w:rsidR="004B222C" w:rsidRPr="004E6AFB" w:rsidRDefault="004B222C" w:rsidP="004B222C">
      <w:pPr>
        <w:pStyle w:val="TableFooter"/>
        <w:tabs>
          <w:tab w:val="left" w:pos="284"/>
        </w:tabs>
      </w:pPr>
      <w:r w:rsidRPr="004E6AFB">
        <w:rPr>
          <w:vertAlign w:val="superscript"/>
        </w:rPr>
        <w:t>c</w:t>
      </w:r>
      <w:r w:rsidRPr="004E6AFB">
        <w:tab/>
        <w:t>all randomised patients</w:t>
      </w:r>
    </w:p>
    <w:p w:rsidR="004B222C" w:rsidRPr="004E6AFB" w:rsidRDefault="004B222C" w:rsidP="004B222C">
      <w:pPr>
        <w:pStyle w:val="TableFooter"/>
        <w:tabs>
          <w:tab w:val="left" w:pos="284"/>
        </w:tabs>
      </w:pPr>
      <w:r w:rsidRPr="004E6AFB">
        <w:rPr>
          <w:vertAlign w:val="superscript"/>
        </w:rPr>
        <w:t>d</w:t>
      </w:r>
      <w:r w:rsidRPr="004E6AFB">
        <w:tab/>
        <w:t>estimated using StatsDirect during the evaluation</w:t>
      </w:r>
    </w:p>
    <w:p w:rsidR="004B222C" w:rsidRPr="004E6AFB" w:rsidRDefault="004B222C" w:rsidP="004B222C">
      <w:pPr>
        <w:pStyle w:val="TableFooter"/>
        <w:tabs>
          <w:tab w:val="left" w:pos="284"/>
        </w:tabs>
        <w:rPr>
          <w:rFonts w:eastAsia="Calibri"/>
        </w:rPr>
      </w:pPr>
      <w:r w:rsidRPr="004E6AFB">
        <w:rPr>
          <w:rFonts w:eastAsia="Calibri"/>
        </w:rPr>
        <w:t>CI = confidence interval; n = number of participants with event; N = total participants in group</w:t>
      </w:r>
    </w:p>
    <w:p w:rsidR="004B222C" w:rsidRPr="004E6AFB" w:rsidRDefault="00E45ED0" w:rsidP="00E45ED0">
      <w:pPr>
        <w:pStyle w:val="ListParagraph"/>
        <w:numPr>
          <w:ilvl w:val="1"/>
          <w:numId w:val="2"/>
        </w:numPr>
        <w:spacing w:before="0" w:after="120"/>
        <w:jc w:val="both"/>
      </w:pPr>
      <w:r w:rsidRPr="004E6AFB">
        <w:t>Table 5 presents the secondary outcomes of the ESTHER-2 trial, ongoing pregnancy and ongoing implantation rates. No statistically significant differences were observed in ongoing pregnancy and implantation rates among women treated with follitropin delta and follitropin alfa. The rates observed in COS cycles 2 and 3 were comparable to those reported in COS cycle 1 (ESTHER-1)</w:t>
      </w:r>
      <w:r w:rsidR="00EE1BF4" w:rsidRPr="004E6AFB">
        <w:t>.</w:t>
      </w:r>
      <w:r w:rsidRPr="004E6AFB">
        <w:t xml:space="preserve"> </w:t>
      </w:r>
      <w:r w:rsidR="00EE1BF4" w:rsidRPr="004E6AFB">
        <w:t>H</w:t>
      </w:r>
      <w:r w:rsidRPr="004E6AFB">
        <w:t>owever ESTHER-2 was a safety trial and not powered to assess differences in these outcomes.</w:t>
      </w:r>
    </w:p>
    <w:p w:rsidR="00E45ED0" w:rsidRPr="004E6AFB" w:rsidRDefault="00E45ED0" w:rsidP="00E45ED0">
      <w:pPr>
        <w:pStyle w:val="TableHeading0"/>
      </w:pPr>
      <w:r w:rsidRPr="004E6AFB">
        <w:t>Table 5: Results of the secondary outcomes (ongoing pregnancy and implantation rate) reported in the ESTHER- 2 trial</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5: Results of the secondary outcomes (ongoing pregnancy and implantation rate) reported in the ESTHER- 2 trial"/>
      </w:tblPr>
      <w:tblGrid>
        <w:gridCol w:w="737"/>
        <w:gridCol w:w="2086"/>
        <w:gridCol w:w="2086"/>
        <w:gridCol w:w="2086"/>
        <w:gridCol w:w="2087"/>
      </w:tblGrid>
      <w:tr w:rsidR="00E45ED0" w:rsidRPr="004E6AFB" w:rsidTr="0082121F">
        <w:trPr>
          <w:cnfStyle w:val="100000000000" w:firstRow="1" w:lastRow="0" w:firstColumn="0" w:lastColumn="0" w:oddVBand="0" w:evenVBand="0" w:oddHBand="0" w:evenHBand="0" w:firstRowFirstColumn="0" w:firstRowLastColumn="0" w:lastRowFirstColumn="0" w:lastRowLastColumn="0"/>
          <w:tblHeader/>
        </w:trPr>
        <w:tc>
          <w:tcPr>
            <w:tcW w:w="737" w:type="dxa"/>
            <w:shd w:val="clear" w:color="auto" w:fill="auto"/>
          </w:tcPr>
          <w:p w:rsidR="00E45ED0" w:rsidRPr="004E6AFB" w:rsidRDefault="00E45ED0" w:rsidP="00B77B7D">
            <w:pPr>
              <w:pStyle w:val="TableText"/>
              <w:rPr>
                <w:lang w:val="en-AU"/>
              </w:rPr>
            </w:pPr>
            <w:r w:rsidRPr="004E6AFB">
              <w:rPr>
                <w:lang w:val="en-AU"/>
              </w:rPr>
              <w:t xml:space="preserve">Cycle </w:t>
            </w:r>
          </w:p>
        </w:tc>
        <w:tc>
          <w:tcPr>
            <w:tcW w:w="2086" w:type="dxa"/>
            <w:shd w:val="clear" w:color="auto" w:fill="auto"/>
            <w:vAlign w:val="center"/>
          </w:tcPr>
          <w:p w:rsidR="00E45ED0" w:rsidRPr="004E6AFB" w:rsidRDefault="00E45ED0" w:rsidP="00B77B7D">
            <w:pPr>
              <w:pStyle w:val="TableText"/>
              <w:jc w:val="center"/>
              <w:rPr>
                <w:lang w:val="en-AU"/>
              </w:rPr>
            </w:pPr>
            <w:r w:rsidRPr="004E6AFB">
              <w:rPr>
                <w:lang w:val="en-AU"/>
              </w:rPr>
              <w:t>Follitropin delta; n/N (%)</w:t>
            </w:r>
          </w:p>
        </w:tc>
        <w:tc>
          <w:tcPr>
            <w:tcW w:w="2086" w:type="dxa"/>
            <w:shd w:val="clear" w:color="auto" w:fill="auto"/>
            <w:vAlign w:val="center"/>
          </w:tcPr>
          <w:p w:rsidR="00E45ED0" w:rsidRPr="004E6AFB" w:rsidRDefault="00E45ED0" w:rsidP="00B77B7D">
            <w:pPr>
              <w:pStyle w:val="TableText"/>
              <w:jc w:val="center"/>
              <w:rPr>
                <w:lang w:val="en-AU"/>
              </w:rPr>
            </w:pPr>
            <w:r w:rsidRPr="004E6AFB">
              <w:rPr>
                <w:lang w:val="en-AU"/>
              </w:rPr>
              <w:t>Follitropin alfa; n/N (%)</w:t>
            </w:r>
          </w:p>
        </w:tc>
        <w:tc>
          <w:tcPr>
            <w:tcW w:w="2086" w:type="dxa"/>
            <w:shd w:val="clear" w:color="auto" w:fill="auto"/>
            <w:vAlign w:val="center"/>
          </w:tcPr>
          <w:p w:rsidR="00E45ED0" w:rsidRPr="004E6AFB" w:rsidRDefault="00E45ED0" w:rsidP="00B77B7D">
            <w:pPr>
              <w:pStyle w:val="TableText"/>
              <w:jc w:val="center"/>
              <w:rPr>
                <w:lang w:val="en-AU"/>
              </w:rPr>
            </w:pPr>
            <w:r w:rsidRPr="004E6AFB">
              <w:rPr>
                <w:lang w:val="en-AU"/>
              </w:rPr>
              <w:t>Relative risk (95% CI)</w:t>
            </w:r>
            <w:r w:rsidRPr="004E6AFB">
              <w:rPr>
                <w:vertAlign w:val="superscript"/>
                <w:lang w:val="en-AU"/>
              </w:rPr>
              <w:t>a</w:t>
            </w:r>
          </w:p>
        </w:tc>
        <w:tc>
          <w:tcPr>
            <w:tcW w:w="2087" w:type="dxa"/>
            <w:shd w:val="clear" w:color="auto" w:fill="auto"/>
            <w:vAlign w:val="center"/>
          </w:tcPr>
          <w:p w:rsidR="00E45ED0" w:rsidRPr="004E6AFB" w:rsidRDefault="00E45ED0" w:rsidP="00B77B7D">
            <w:pPr>
              <w:pStyle w:val="TableText"/>
              <w:jc w:val="center"/>
              <w:rPr>
                <w:vertAlign w:val="superscript"/>
                <w:lang w:val="en-AU"/>
              </w:rPr>
            </w:pPr>
            <w:r w:rsidRPr="004E6AFB">
              <w:rPr>
                <w:lang w:val="en-AU"/>
              </w:rPr>
              <w:t>Risk difference (95% CI)</w:t>
            </w:r>
            <w:r w:rsidRPr="004E6AFB">
              <w:rPr>
                <w:vertAlign w:val="superscript"/>
                <w:lang w:val="en-AU"/>
              </w:rPr>
              <w:t>a</w:t>
            </w:r>
          </w:p>
        </w:tc>
      </w:tr>
      <w:tr w:rsidR="00E45ED0" w:rsidRPr="004E6AFB" w:rsidTr="00B77B7D">
        <w:tc>
          <w:tcPr>
            <w:tcW w:w="9082" w:type="dxa"/>
            <w:gridSpan w:val="5"/>
            <w:shd w:val="clear" w:color="auto" w:fill="auto"/>
          </w:tcPr>
          <w:p w:rsidR="00E45ED0" w:rsidRPr="004E6AFB" w:rsidRDefault="00E45ED0" w:rsidP="00B77B7D">
            <w:pPr>
              <w:pStyle w:val="TableText"/>
              <w:rPr>
                <w:lang w:val="en-AU"/>
              </w:rPr>
            </w:pPr>
            <w:r w:rsidRPr="004E6AFB">
              <w:rPr>
                <w:lang w:val="en-AU"/>
              </w:rPr>
              <w:t>Ongoing pregnancy - at least one intrauterine viable foetus</w:t>
            </w:r>
          </w:p>
        </w:tc>
      </w:tr>
      <w:tr w:rsidR="00E45ED0" w:rsidRPr="004E6AFB" w:rsidTr="00B77B7D">
        <w:tc>
          <w:tcPr>
            <w:tcW w:w="737" w:type="dxa"/>
            <w:shd w:val="clear" w:color="auto" w:fill="auto"/>
          </w:tcPr>
          <w:p w:rsidR="00E45ED0" w:rsidRPr="004E6AFB" w:rsidRDefault="00E45ED0" w:rsidP="00B77B7D">
            <w:pPr>
              <w:pStyle w:val="TableText"/>
              <w:rPr>
                <w:lang w:val="en-AU"/>
              </w:rPr>
            </w:pPr>
            <w:r w:rsidRPr="004E6AFB">
              <w:rPr>
                <w:lang w:val="en-AU"/>
              </w:rPr>
              <w:t>COS 2</w:t>
            </w:r>
          </w:p>
        </w:tc>
        <w:tc>
          <w:tcPr>
            <w:tcW w:w="2086" w:type="dxa"/>
            <w:shd w:val="clear" w:color="auto" w:fill="auto"/>
            <w:vAlign w:val="center"/>
          </w:tcPr>
          <w:p w:rsidR="00E45ED0" w:rsidRPr="004E6AFB" w:rsidRDefault="00E45ED0" w:rsidP="00B77B7D">
            <w:pPr>
              <w:pStyle w:val="TableText"/>
              <w:jc w:val="center"/>
              <w:rPr>
                <w:lang w:val="en-AU"/>
              </w:rPr>
            </w:pPr>
            <w:r w:rsidRPr="004E6AFB">
              <w:rPr>
                <w:lang w:val="en-AU"/>
              </w:rPr>
              <w:t>70/252 (27.8)</w:t>
            </w:r>
          </w:p>
        </w:tc>
        <w:tc>
          <w:tcPr>
            <w:tcW w:w="2086" w:type="dxa"/>
            <w:shd w:val="clear" w:color="auto" w:fill="auto"/>
            <w:vAlign w:val="center"/>
          </w:tcPr>
          <w:p w:rsidR="00E45ED0" w:rsidRPr="004E6AFB" w:rsidRDefault="00E45ED0" w:rsidP="00B77B7D">
            <w:pPr>
              <w:pStyle w:val="TableText"/>
              <w:jc w:val="center"/>
              <w:rPr>
                <w:lang w:val="en-AU"/>
              </w:rPr>
            </w:pPr>
            <w:r w:rsidRPr="004E6AFB">
              <w:rPr>
                <w:lang w:val="en-AU"/>
              </w:rPr>
              <w:t>67/261 (25.7)</w:t>
            </w:r>
          </w:p>
        </w:tc>
        <w:tc>
          <w:tcPr>
            <w:tcW w:w="2086" w:type="dxa"/>
            <w:vAlign w:val="center"/>
          </w:tcPr>
          <w:p w:rsidR="00E45ED0" w:rsidRPr="004E6AFB" w:rsidRDefault="00E45ED0" w:rsidP="00B77B7D">
            <w:pPr>
              <w:pStyle w:val="TableText"/>
              <w:jc w:val="center"/>
              <w:rPr>
                <w:lang w:val="en-AU"/>
              </w:rPr>
            </w:pPr>
            <w:r w:rsidRPr="004E6AFB">
              <w:rPr>
                <w:lang w:val="en-AU"/>
              </w:rPr>
              <w:t>1.08 (0.81, 1.44)</w:t>
            </w:r>
          </w:p>
        </w:tc>
        <w:tc>
          <w:tcPr>
            <w:tcW w:w="2087" w:type="dxa"/>
            <w:vAlign w:val="center"/>
          </w:tcPr>
          <w:p w:rsidR="00E45ED0" w:rsidRPr="004E6AFB" w:rsidRDefault="00E45ED0" w:rsidP="00B77B7D">
            <w:pPr>
              <w:pStyle w:val="TableText"/>
              <w:jc w:val="center"/>
              <w:rPr>
                <w:lang w:val="en-AU"/>
              </w:rPr>
            </w:pPr>
            <w:r w:rsidRPr="004E6AFB">
              <w:rPr>
                <w:lang w:val="en-AU"/>
              </w:rPr>
              <w:t>2.1% (-5.6%, 9.8%)</w:t>
            </w:r>
          </w:p>
        </w:tc>
      </w:tr>
      <w:tr w:rsidR="00E45ED0" w:rsidRPr="004E6AFB" w:rsidTr="00B77B7D">
        <w:tc>
          <w:tcPr>
            <w:tcW w:w="737" w:type="dxa"/>
            <w:shd w:val="clear" w:color="auto" w:fill="auto"/>
          </w:tcPr>
          <w:p w:rsidR="00E45ED0" w:rsidRPr="004E6AFB" w:rsidRDefault="00E45ED0" w:rsidP="00B77B7D">
            <w:pPr>
              <w:pStyle w:val="TableText"/>
              <w:rPr>
                <w:lang w:val="en-AU"/>
              </w:rPr>
            </w:pPr>
            <w:r w:rsidRPr="004E6AFB">
              <w:rPr>
                <w:lang w:val="en-AU"/>
              </w:rPr>
              <w:t>COS 3</w:t>
            </w:r>
          </w:p>
        </w:tc>
        <w:tc>
          <w:tcPr>
            <w:tcW w:w="2086" w:type="dxa"/>
            <w:shd w:val="clear" w:color="auto" w:fill="auto"/>
            <w:vAlign w:val="center"/>
          </w:tcPr>
          <w:p w:rsidR="00E45ED0" w:rsidRPr="004E6AFB" w:rsidRDefault="00E45ED0" w:rsidP="00B77B7D">
            <w:pPr>
              <w:pStyle w:val="TableText"/>
              <w:jc w:val="center"/>
              <w:rPr>
                <w:lang w:val="en-AU"/>
              </w:rPr>
            </w:pPr>
            <w:r w:rsidRPr="004E6AFB">
              <w:rPr>
                <w:lang w:val="en-AU"/>
              </w:rPr>
              <w:t>26/95 (27.4)</w:t>
            </w:r>
          </w:p>
        </w:tc>
        <w:tc>
          <w:tcPr>
            <w:tcW w:w="2086" w:type="dxa"/>
            <w:shd w:val="clear" w:color="auto" w:fill="auto"/>
            <w:vAlign w:val="center"/>
          </w:tcPr>
          <w:p w:rsidR="00E45ED0" w:rsidRPr="004E6AFB" w:rsidRDefault="00E45ED0" w:rsidP="00B77B7D">
            <w:pPr>
              <w:pStyle w:val="TableText"/>
              <w:jc w:val="center"/>
              <w:rPr>
                <w:lang w:val="en-AU"/>
              </w:rPr>
            </w:pPr>
            <w:r w:rsidRPr="004E6AFB">
              <w:rPr>
                <w:lang w:val="en-AU"/>
              </w:rPr>
              <w:t>26/93 (28.0)</w:t>
            </w:r>
          </w:p>
        </w:tc>
        <w:tc>
          <w:tcPr>
            <w:tcW w:w="2086" w:type="dxa"/>
            <w:vAlign w:val="center"/>
          </w:tcPr>
          <w:p w:rsidR="00E45ED0" w:rsidRPr="004E6AFB" w:rsidRDefault="00E45ED0" w:rsidP="00B77B7D">
            <w:pPr>
              <w:pStyle w:val="TableText"/>
              <w:jc w:val="center"/>
              <w:rPr>
                <w:lang w:val="en-AU"/>
              </w:rPr>
            </w:pPr>
            <w:r w:rsidRPr="004E6AFB">
              <w:rPr>
                <w:lang w:val="en-AU"/>
              </w:rPr>
              <w:t>0.98 (0.62, 1.55)</w:t>
            </w:r>
          </w:p>
        </w:tc>
        <w:tc>
          <w:tcPr>
            <w:tcW w:w="2087" w:type="dxa"/>
            <w:vAlign w:val="center"/>
          </w:tcPr>
          <w:p w:rsidR="00E45ED0" w:rsidRPr="004E6AFB" w:rsidRDefault="00E45ED0" w:rsidP="00B77B7D">
            <w:pPr>
              <w:pStyle w:val="TableText"/>
              <w:jc w:val="center"/>
              <w:rPr>
                <w:lang w:val="en-AU"/>
              </w:rPr>
            </w:pPr>
            <w:r w:rsidRPr="004E6AFB">
              <w:rPr>
                <w:lang w:val="en-AU"/>
              </w:rPr>
              <w:t>-0.6% (-13.4%, 12.2%)</w:t>
            </w:r>
          </w:p>
        </w:tc>
      </w:tr>
      <w:tr w:rsidR="00E45ED0" w:rsidRPr="004E6AFB" w:rsidTr="00B77B7D">
        <w:tc>
          <w:tcPr>
            <w:tcW w:w="9082" w:type="dxa"/>
            <w:gridSpan w:val="5"/>
            <w:shd w:val="clear" w:color="auto" w:fill="auto"/>
          </w:tcPr>
          <w:p w:rsidR="00E45ED0" w:rsidRPr="004E6AFB" w:rsidRDefault="00E45ED0" w:rsidP="00B77B7D">
            <w:pPr>
              <w:pStyle w:val="TableText"/>
              <w:rPr>
                <w:lang w:val="en-AU"/>
              </w:rPr>
            </w:pPr>
            <w:r w:rsidRPr="004E6AFB">
              <w:rPr>
                <w:rFonts w:eastAsia="Times New Roman" w:cs="Times New Roman"/>
                <w:lang w:val="en-AU"/>
              </w:rPr>
              <w:t>Ongoing implantation – number of intrauterine viable foetuses 10-11 weeks after transfer divided by number of blastocysts transferred</w:t>
            </w:r>
          </w:p>
        </w:tc>
      </w:tr>
      <w:tr w:rsidR="00E45ED0" w:rsidRPr="004E6AFB" w:rsidTr="00B77B7D">
        <w:tc>
          <w:tcPr>
            <w:tcW w:w="737" w:type="dxa"/>
            <w:shd w:val="clear" w:color="auto" w:fill="auto"/>
          </w:tcPr>
          <w:p w:rsidR="00E45ED0" w:rsidRPr="004E6AFB" w:rsidRDefault="00E45ED0" w:rsidP="00B77B7D">
            <w:pPr>
              <w:pStyle w:val="TableText"/>
              <w:rPr>
                <w:lang w:val="en-AU"/>
              </w:rPr>
            </w:pPr>
            <w:r w:rsidRPr="004E6AFB">
              <w:rPr>
                <w:lang w:val="en-AU"/>
              </w:rPr>
              <w:t>COS 2</w:t>
            </w:r>
          </w:p>
        </w:tc>
        <w:tc>
          <w:tcPr>
            <w:tcW w:w="2086" w:type="dxa"/>
            <w:shd w:val="clear" w:color="auto" w:fill="auto"/>
            <w:vAlign w:val="center"/>
          </w:tcPr>
          <w:p w:rsidR="00E45ED0" w:rsidRPr="004E6AFB" w:rsidRDefault="00E45ED0" w:rsidP="00B77B7D">
            <w:pPr>
              <w:pStyle w:val="TableText"/>
              <w:jc w:val="center"/>
              <w:rPr>
                <w:lang w:val="en-AU"/>
              </w:rPr>
            </w:pPr>
            <w:r w:rsidRPr="004E6AFB">
              <w:rPr>
                <w:lang w:val="en-AU"/>
              </w:rPr>
              <w:t>73/254 (28.7)</w:t>
            </w:r>
          </w:p>
        </w:tc>
        <w:tc>
          <w:tcPr>
            <w:tcW w:w="2086" w:type="dxa"/>
            <w:shd w:val="clear" w:color="auto" w:fill="auto"/>
            <w:vAlign w:val="center"/>
          </w:tcPr>
          <w:p w:rsidR="00E45ED0" w:rsidRPr="004E6AFB" w:rsidRDefault="00E45ED0" w:rsidP="00B77B7D">
            <w:pPr>
              <w:pStyle w:val="TableText"/>
              <w:jc w:val="center"/>
              <w:rPr>
                <w:lang w:val="en-AU"/>
              </w:rPr>
            </w:pPr>
            <w:r w:rsidRPr="004E6AFB">
              <w:rPr>
                <w:lang w:val="en-AU"/>
              </w:rPr>
              <w:t>69/271 (25.5)</w:t>
            </w:r>
          </w:p>
        </w:tc>
        <w:tc>
          <w:tcPr>
            <w:tcW w:w="2086" w:type="dxa"/>
            <w:vAlign w:val="center"/>
          </w:tcPr>
          <w:p w:rsidR="00E45ED0" w:rsidRPr="004E6AFB" w:rsidRDefault="00E45ED0" w:rsidP="00B77B7D">
            <w:pPr>
              <w:pStyle w:val="TableText"/>
              <w:jc w:val="center"/>
              <w:rPr>
                <w:lang w:val="en-AU"/>
              </w:rPr>
            </w:pPr>
            <w:r w:rsidRPr="004E6AFB">
              <w:rPr>
                <w:lang w:val="en-AU"/>
              </w:rPr>
              <w:t>1.13 (0.85, 1.49)</w:t>
            </w:r>
          </w:p>
        </w:tc>
        <w:tc>
          <w:tcPr>
            <w:tcW w:w="2087" w:type="dxa"/>
            <w:vAlign w:val="center"/>
          </w:tcPr>
          <w:p w:rsidR="00E45ED0" w:rsidRPr="004E6AFB" w:rsidRDefault="00E45ED0" w:rsidP="00B77B7D">
            <w:pPr>
              <w:pStyle w:val="TableText"/>
              <w:jc w:val="center"/>
              <w:rPr>
                <w:lang w:val="en-AU"/>
              </w:rPr>
            </w:pPr>
            <w:r w:rsidRPr="004E6AFB">
              <w:rPr>
                <w:lang w:val="en-AU"/>
              </w:rPr>
              <w:t>3.3% (-4.3%, 10.9%)</w:t>
            </w:r>
          </w:p>
        </w:tc>
      </w:tr>
      <w:tr w:rsidR="00E45ED0" w:rsidRPr="004E6AFB" w:rsidTr="00B77B7D">
        <w:tc>
          <w:tcPr>
            <w:tcW w:w="737" w:type="dxa"/>
            <w:shd w:val="clear" w:color="auto" w:fill="auto"/>
          </w:tcPr>
          <w:p w:rsidR="00E45ED0" w:rsidRPr="004E6AFB" w:rsidRDefault="00E45ED0" w:rsidP="00B77B7D">
            <w:pPr>
              <w:pStyle w:val="TableText"/>
              <w:rPr>
                <w:lang w:val="en-AU"/>
              </w:rPr>
            </w:pPr>
            <w:r w:rsidRPr="004E6AFB">
              <w:rPr>
                <w:lang w:val="en-AU"/>
              </w:rPr>
              <w:t>COS 3</w:t>
            </w:r>
          </w:p>
        </w:tc>
        <w:tc>
          <w:tcPr>
            <w:tcW w:w="2086" w:type="dxa"/>
            <w:shd w:val="clear" w:color="auto" w:fill="auto"/>
            <w:vAlign w:val="center"/>
          </w:tcPr>
          <w:p w:rsidR="00E45ED0" w:rsidRPr="004E6AFB" w:rsidRDefault="00E45ED0" w:rsidP="00B77B7D">
            <w:pPr>
              <w:pStyle w:val="TableText"/>
              <w:jc w:val="center"/>
              <w:rPr>
                <w:lang w:val="en-AU"/>
              </w:rPr>
            </w:pPr>
            <w:r w:rsidRPr="004E6AFB">
              <w:rPr>
                <w:lang w:val="en-AU"/>
              </w:rPr>
              <w:t>33/132 (25.0)</w:t>
            </w:r>
          </w:p>
        </w:tc>
        <w:tc>
          <w:tcPr>
            <w:tcW w:w="2086" w:type="dxa"/>
            <w:shd w:val="clear" w:color="auto" w:fill="auto"/>
            <w:vAlign w:val="center"/>
          </w:tcPr>
          <w:p w:rsidR="00E45ED0" w:rsidRPr="004E6AFB" w:rsidRDefault="00E45ED0" w:rsidP="00B77B7D">
            <w:pPr>
              <w:pStyle w:val="TableText"/>
              <w:jc w:val="center"/>
              <w:rPr>
                <w:lang w:val="en-AU"/>
              </w:rPr>
            </w:pPr>
            <w:r w:rsidRPr="004E6AFB">
              <w:rPr>
                <w:lang w:val="en-AU"/>
              </w:rPr>
              <w:t>35/121 (28.9)</w:t>
            </w:r>
          </w:p>
        </w:tc>
        <w:tc>
          <w:tcPr>
            <w:tcW w:w="2086" w:type="dxa"/>
            <w:vAlign w:val="center"/>
          </w:tcPr>
          <w:p w:rsidR="00E45ED0" w:rsidRPr="004E6AFB" w:rsidRDefault="00E45ED0" w:rsidP="00B77B7D">
            <w:pPr>
              <w:pStyle w:val="TableText"/>
              <w:jc w:val="center"/>
              <w:rPr>
                <w:lang w:val="en-AU"/>
              </w:rPr>
            </w:pPr>
            <w:r w:rsidRPr="004E6AFB">
              <w:rPr>
                <w:lang w:val="en-AU"/>
              </w:rPr>
              <w:t>0.86 (0.58, 1.30)</w:t>
            </w:r>
          </w:p>
        </w:tc>
        <w:tc>
          <w:tcPr>
            <w:tcW w:w="2087" w:type="dxa"/>
            <w:vAlign w:val="center"/>
          </w:tcPr>
          <w:p w:rsidR="00E45ED0" w:rsidRPr="004E6AFB" w:rsidRDefault="00E45ED0" w:rsidP="00B77B7D">
            <w:pPr>
              <w:pStyle w:val="TableText"/>
              <w:jc w:val="center"/>
              <w:rPr>
                <w:lang w:val="en-AU"/>
              </w:rPr>
            </w:pPr>
            <w:r w:rsidRPr="004E6AFB">
              <w:rPr>
                <w:lang w:val="en-AU"/>
              </w:rPr>
              <w:t>-3.9% (-3.4%, 5.7%)</w:t>
            </w:r>
          </w:p>
        </w:tc>
      </w:tr>
    </w:tbl>
    <w:p w:rsidR="00E45ED0" w:rsidRPr="004E6AFB" w:rsidRDefault="00E45ED0" w:rsidP="00E45ED0">
      <w:pPr>
        <w:pStyle w:val="TableFooter"/>
        <w:tabs>
          <w:tab w:val="left" w:pos="284"/>
        </w:tabs>
      </w:pPr>
      <w:r w:rsidRPr="004E6AFB">
        <w:t>Source: Table 2.5.1-5, p53 of the submission</w:t>
      </w:r>
    </w:p>
    <w:p w:rsidR="00E45ED0" w:rsidRPr="004E6AFB" w:rsidRDefault="00E45ED0" w:rsidP="00E45ED0">
      <w:pPr>
        <w:pStyle w:val="TableFooter"/>
        <w:tabs>
          <w:tab w:val="left" w:pos="284"/>
        </w:tabs>
      </w:pPr>
      <w:r w:rsidRPr="004E6AFB">
        <w:t>Based on mITT population</w:t>
      </w:r>
    </w:p>
    <w:p w:rsidR="00E45ED0" w:rsidRPr="004E6AFB" w:rsidRDefault="00E45ED0" w:rsidP="00E45ED0">
      <w:pPr>
        <w:pStyle w:val="TableFooter"/>
        <w:tabs>
          <w:tab w:val="left" w:pos="284"/>
        </w:tabs>
      </w:pPr>
      <w:r w:rsidRPr="004E6AFB">
        <w:rPr>
          <w:vertAlign w:val="superscript"/>
        </w:rPr>
        <w:t>a</w:t>
      </w:r>
      <w:r w:rsidRPr="004E6AFB">
        <w:tab/>
        <w:t>estimated using StatsDirect during the evaluation</w:t>
      </w:r>
    </w:p>
    <w:p w:rsidR="00E45ED0" w:rsidRPr="004E6AFB" w:rsidRDefault="00E45ED0" w:rsidP="00E45ED0">
      <w:pPr>
        <w:pStyle w:val="ListParagraph"/>
        <w:numPr>
          <w:ilvl w:val="1"/>
          <w:numId w:val="2"/>
        </w:numPr>
        <w:spacing w:before="0" w:after="120"/>
        <w:jc w:val="both"/>
      </w:pPr>
      <w:r w:rsidRPr="004E6AFB">
        <w:t>Table 6 summarises the live birth rates in the ESTHER-1 and ESTHER-2 trials. No statistically significant differences were observed in live birth rates among women treated with follitropin delta and follitropin alfa. Neither ESTHER-1 nor ESTHER-2 were designed or powered to detect differences in the live birth rate</w:t>
      </w:r>
      <w:r w:rsidR="00950802" w:rsidRPr="004E6AFB">
        <w:t>, nor was a non</w:t>
      </w:r>
      <w:r w:rsidR="00CD3D97" w:rsidRPr="004E6AFB">
        <w:noBreakHyphen/>
      </w:r>
      <w:r w:rsidR="00950802" w:rsidRPr="004E6AFB">
        <w:t>inferiority margin specified</w:t>
      </w:r>
      <w:r w:rsidRPr="004E6AFB">
        <w:t>.</w:t>
      </w:r>
      <w:r w:rsidR="0008203D" w:rsidRPr="004E6AFB">
        <w:t xml:space="preserve"> The PBAC has previously </w:t>
      </w:r>
      <w:r w:rsidR="00950802" w:rsidRPr="004E6AFB">
        <w:t>accepted a -10% margin for live birth rates (Progesterone PSD, March 2014). Non-inferiority of follitropin delta compared with follitropin alfa was satisfied according to this criteri</w:t>
      </w:r>
      <w:r w:rsidR="00EE1BF4" w:rsidRPr="004E6AFB">
        <w:t>on</w:t>
      </w:r>
      <w:r w:rsidR="00950802" w:rsidRPr="004E6AFB">
        <w:t xml:space="preserve"> in COS Cycles 1 and 2, but not Cycle 3.</w:t>
      </w:r>
    </w:p>
    <w:p w:rsidR="00E45ED0" w:rsidRPr="004E6AFB" w:rsidRDefault="00E45ED0" w:rsidP="00E45ED0">
      <w:pPr>
        <w:pStyle w:val="TableHeading0"/>
      </w:pPr>
      <w:r w:rsidRPr="004E6AFB">
        <w:t>Table 6: Live birth rates reported in the ESTHER-1 and ESTHER- 2 trials</w:t>
      </w:r>
    </w:p>
    <w:tbl>
      <w:tblPr>
        <w:tblStyle w:val="TableGrid"/>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6: Live birth rates reported in the ESTHER-1 and ESTHER- 2 trials"/>
      </w:tblPr>
      <w:tblGrid>
        <w:gridCol w:w="1162"/>
        <w:gridCol w:w="1980"/>
        <w:gridCol w:w="1980"/>
        <w:gridCol w:w="1980"/>
        <w:gridCol w:w="2140"/>
      </w:tblGrid>
      <w:tr w:rsidR="00E45ED0" w:rsidRPr="004E6AFB" w:rsidTr="0082121F">
        <w:trPr>
          <w:cnfStyle w:val="100000000000" w:firstRow="1" w:lastRow="0" w:firstColumn="0" w:lastColumn="0" w:oddVBand="0" w:evenVBand="0" w:oddHBand="0" w:evenHBand="0" w:firstRowFirstColumn="0" w:firstRowLastColumn="0" w:lastRowFirstColumn="0" w:lastRowLastColumn="0"/>
          <w:tblHeader/>
        </w:trPr>
        <w:tc>
          <w:tcPr>
            <w:tcW w:w="1162" w:type="dxa"/>
            <w:shd w:val="clear" w:color="auto" w:fill="auto"/>
          </w:tcPr>
          <w:p w:rsidR="00E45ED0" w:rsidRPr="004E6AFB" w:rsidRDefault="00E45ED0" w:rsidP="00B77B7D">
            <w:pPr>
              <w:pStyle w:val="TableText"/>
              <w:rPr>
                <w:lang w:val="en-AU"/>
              </w:rPr>
            </w:pPr>
          </w:p>
        </w:tc>
        <w:tc>
          <w:tcPr>
            <w:tcW w:w="1980" w:type="dxa"/>
            <w:shd w:val="clear" w:color="auto" w:fill="auto"/>
            <w:vAlign w:val="center"/>
          </w:tcPr>
          <w:p w:rsidR="00E45ED0" w:rsidRPr="004E6AFB" w:rsidRDefault="00E45ED0" w:rsidP="00B77B7D">
            <w:pPr>
              <w:pStyle w:val="TableText"/>
              <w:jc w:val="center"/>
              <w:rPr>
                <w:lang w:val="en-AU"/>
              </w:rPr>
            </w:pPr>
            <w:r w:rsidRPr="004E6AFB">
              <w:rPr>
                <w:lang w:val="en-AU"/>
              </w:rPr>
              <w:t>Follitropin delta; n/N (%)</w:t>
            </w:r>
          </w:p>
        </w:tc>
        <w:tc>
          <w:tcPr>
            <w:tcW w:w="1980" w:type="dxa"/>
            <w:shd w:val="clear" w:color="auto" w:fill="auto"/>
            <w:vAlign w:val="center"/>
          </w:tcPr>
          <w:p w:rsidR="00E45ED0" w:rsidRPr="004E6AFB" w:rsidRDefault="00E45ED0" w:rsidP="00B77B7D">
            <w:pPr>
              <w:pStyle w:val="TableText"/>
              <w:jc w:val="center"/>
              <w:rPr>
                <w:lang w:val="en-AU"/>
              </w:rPr>
            </w:pPr>
            <w:r w:rsidRPr="004E6AFB">
              <w:rPr>
                <w:lang w:val="en-AU"/>
              </w:rPr>
              <w:t>Follitropin alfa; n/N (%)</w:t>
            </w:r>
          </w:p>
        </w:tc>
        <w:tc>
          <w:tcPr>
            <w:tcW w:w="1980" w:type="dxa"/>
            <w:shd w:val="clear" w:color="auto" w:fill="auto"/>
            <w:vAlign w:val="center"/>
          </w:tcPr>
          <w:p w:rsidR="00E45ED0" w:rsidRPr="004E6AFB" w:rsidRDefault="00E45ED0" w:rsidP="00B77B7D">
            <w:pPr>
              <w:pStyle w:val="TableText"/>
              <w:jc w:val="center"/>
              <w:rPr>
                <w:lang w:val="en-AU"/>
              </w:rPr>
            </w:pPr>
            <w:r w:rsidRPr="004E6AFB">
              <w:rPr>
                <w:lang w:val="en-AU"/>
              </w:rPr>
              <w:t>Relative risk (95% CI)</w:t>
            </w:r>
            <w:r w:rsidRPr="004E6AFB">
              <w:rPr>
                <w:vertAlign w:val="superscript"/>
                <w:lang w:val="en-AU"/>
              </w:rPr>
              <w:t>a</w:t>
            </w:r>
          </w:p>
        </w:tc>
        <w:tc>
          <w:tcPr>
            <w:tcW w:w="2140" w:type="dxa"/>
            <w:shd w:val="clear" w:color="auto" w:fill="auto"/>
            <w:vAlign w:val="center"/>
          </w:tcPr>
          <w:p w:rsidR="00E45ED0" w:rsidRPr="004E6AFB" w:rsidRDefault="00E45ED0" w:rsidP="00B77B7D">
            <w:pPr>
              <w:pStyle w:val="TableText"/>
              <w:jc w:val="center"/>
              <w:rPr>
                <w:lang w:val="en-AU"/>
              </w:rPr>
            </w:pPr>
            <w:r w:rsidRPr="004E6AFB">
              <w:rPr>
                <w:lang w:val="en-AU"/>
              </w:rPr>
              <w:t>Risk difference (95% CI)</w:t>
            </w:r>
          </w:p>
        </w:tc>
      </w:tr>
      <w:tr w:rsidR="00E45ED0" w:rsidRPr="004E6AFB" w:rsidTr="00B77B7D">
        <w:tc>
          <w:tcPr>
            <w:tcW w:w="9242" w:type="dxa"/>
            <w:gridSpan w:val="5"/>
            <w:shd w:val="clear" w:color="auto" w:fill="auto"/>
          </w:tcPr>
          <w:p w:rsidR="00E45ED0" w:rsidRPr="004E6AFB" w:rsidRDefault="00E45ED0" w:rsidP="00B77B7D">
            <w:pPr>
              <w:pStyle w:val="TableText"/>
              <w:rPr>
                <w:lang w:val="en-AU"/>
              </w:rPr>
            </w:pPr>
            <w:r w:rsidRPr="004E6AFB">
              <w:rPr>
                <w:lang w:val="en-AU"/>
              </w:rPr>
              <w:t>ESTHER-1 (COS 1)</w:t>
            </w:r>
          </w:p>
        </w:tc>
      </w:tr>
      <w:tr w:rsidR="00E45ED0" w:rsidRPr="004E6AFB" w:rsidTr="00B77B7D">
        <w:tc>
          <w:tcPr>
            <w:tcW w:w="1162" w:type="dxa"/>
            <w:shd w:val="clear" w:color="auto" w:fill="auto"/>
          </w:tcPr>
          <w:p w:rsidR="00E45ED0" w:rsidRPr="004E6AFB" w:rsidRDefault="00E45ED0" w:rsidP="00B77B7D">
            <w:pPr>
              <w:pStyle w:val="TableText"/>
              <w:tabs>
                <w:tab w:val="left" w:pos="240"/>
              </w:tabs>
              <w:rPr>
                <w:lang w:val="en-AU"/>
              </w:rPr>
            </w:pPr>
            <w:r w:rsidRPr="004E6AFB">
              <w:rPr>
                <w:lang w:val="en-AU"/>
              </w:rPr>
              <w:tab/>
              <w:t>PP</w:t>
            </w:r>
          </w:p>
          <w:p w:rsidR="00E45ED0" w:rsidRPr="004E6AFB" w:rsidRDefault="00E45ED0" w:rsidP="00B77B7D">
            <w:pPr>
              <w:pStyle w:val="TableText"/>
              <w:tabs>
                <w:tab w:val="left" w:pos="240"/>
              </w:tabs>
              <w:rPr>
                <w:lang w:val="en-AU"/>
              </w:rPr>
            </w:pPr>
            <w:r w:rsidRPr="004E6AFB">
              <w:rPr>
                <w:lang w:val="en-AU"/>
              </w:rPr>
              <w:tab/>
              <w:t>mITT</w:t>
            </w:r>
          </w:p>
        </w:tc>
        <w:tc>
          <w:tcPr>
            <w:tcW w:w="1980" w:type="dxa"/>
            <w:shd w:val="clear" w:color="auto" w:fill="auto"/>
            <w:vAlign w:val="center"/>
          </w:tcPr>
          <w:p w:rsidR="00E45ED0" w:rsidRPr="004E6AFB" w:rsidRDefault="00E45ED0" w:rsidP="00B77B7D">
            <w:pPr>
              <w:pStyle w:val="TableText"/>
              <w:jc w:val="center"/>
              <w:rPr>
                <w:lang w:val="en-AU"/>
              </w:rPr>
            </w:pPr>
            <w:r w:rsidRPr="004E6AFB">
              <w:rPr>
                <w:lang w:val="en-AU"/>
              </w:rPr>
              <w:t>192/623 (30.8)</w:t>
            </w:r>
          </w:p>
          <w:p w:rsidR="00E45ED0" w:rsidRPr="004E6AFB" w:rsidRDefault="00E45ED0" w:rsidP="00B77B7D">
            <w:pPr>
              <w:pStyle w:val="TableText"/>
              <w:jc w:val="center"/>
              <w:rPr>
                <w:lang w:val="en-AU"/>
              </w:rPr>
            </w:pPr>
            <w:r w:rsidRPr="004E6AFB">
              <w:rPr>
                <w:lang w:val="en-AU"/>
              </w:rPr>
              <w:t>198/665 (29.8)</w:t>
            </w:r>
          </w:p>
        </w:tc>
        <w:tc>
          <w:tcPr>
            <w:tcW w:w="1980" w:type="dxa"/>
            <w:shd w:val="clear" w:color="auto" w:fill="auto"/>
            <w:vAlign w:val="center"/>
          </w:tcPr>
          <w:p w:rsidR="00E45ED0" w:rsidRPr="004E6AFB" w:rsidRDefault="00E45ED0" w:rsidP="00B77B7D">
            <w:pPr>
              <w:pStyle w:val="TableText"/>
              <w:jc w:val="center"/>
              <w:rPr>
                <w:lang w:val="en-AU"/>
              </w:rPr>
            </w:pPr>
            <w:r w:rsidRPr="004E6AFB">
              <w:rPr>
                <w:lang w:val="en-AU"/>
              </w:rPr>
              <w:t>200/632 (31.6)</w:t>
            </w:r>
          </w:p>
          <w:p w:rsidR="00E45ED0" w:rsidRPr="004E6AFB" w:rsidRDefault="00E45ED0" w:rsidP="00B77B7D">
            <w:pPr>
              <w:pStyle w:val="TableText"/>
              <w:jc w:val="center"/>
              <w:rPr>
                <w:lang w:val="en-AU"/>
              </w:rPr>
            </w:pPr>
            <w:r w:rsidRPr="004E6AFB">
              <w:rPr>
                <w:lang w:val="en-AU"/>
              </w:rPr>
              <w:t>203/661 (30.7)</w:t>
            </w:r>
          </w:p>
        </w:tc>
        <w:tc>
          <w:tcPr>
            <w:tcW w:w="1980" w:type="dxa"/>
            <w:shd w:val="clear" w:color="auto" w:fill="auto"/>
            <w:vAlign w:val="center"/>
          </w:tcPr>
          <w:p w:rsidR="00E45ED0" w:rsidRPr="004E6AFB" w:rsidRDefault="00E45ED0" w:rsidP="00B77B7D">
            <w:pPr>
              <w:pStyle w:val="TableText"/>
              <w:jc w:val="center"/>
              <w:rPr>
                <w:lang w:val="en-AU"/>
              </w:rPr>
            </w:pPr>
            <w:r w:rsidRPr="004E6AFB">
              <w:rPr>
                <w:lang w:val="en-AU"/>
              </w:rPr>
              <w:t>0.97 (0.83, 1.15)</w:t>
            </w:r>
          </w:p>
          <w:p w:rsidR="00E45ED0" w:rsidRPr="004E6AFB" w:rsidRDefault="00E45ED0" w:rsidP="00B77B7D">
            <w:pPr>
              <w:pStyle w:val="TableText"/>
              <w:jc w:val="center"/>
              <w:rPr>
                <w:lang w:val="en-AU"/>
              </w:rPr>
            </w:pPr>
            <w:r w:rsidRPr="004E6AFB">
              <w:rPr>
                <w:lang w:val="en-AU"/>
              </w:rPr>
              <w:t>0.97 (0.82, 1.14)</w:t>
            </w:r>
          </w:p>
        </w:tc>
        <w:tc>
          <w:tcPr>
            <w:tcW w:w="2140" w:type="dxa"/>
            <w:vAlign w:val="center"/>
          </w:tcPr>
          <w:p w:rsidR="00E45ED0" w:rsidRPr="004E6AFB" w:rsidRDefault="00E45ED0" w:rsidP="00B77B7D">
            <w:pPr>
              <w:pStyle w:val="TableText"/>
              <w:jc w:val="center"/>
              <w:rPr>
                <w:lang w:val="en-AU"/>
              </w:rPr>
            </w:pPr>
            <w:r w:rsidRPr="004E6AFB">
              <w:rPr>
                <w:lang w:val="en-AU"/>
              </w:rPr>
              <w:t>-0.9% (-6.0%, 4.2%)</w:t>
            </w:r>
          </w:p>
          <w:p w:rsidR="00E45ED0" w:rsidRPr="004E6AFB" w:rsidRDefault="00E45ED0" w:rsidP="00B77B7D">
            <w:pPr>
              <w:pStyle w:val="TableText"/>
              <w:jc w:val="center"/>
              <w:rPr>
                <w:lang w:val="en-AU"/>
              </w:rPr>
            </w:pPr>
            <w:r w:rsidRPr="004E6AFB">
              <w:rPr>
                <w:lang w:val="en-AU"/>
              </w:rPr>
              <w:t>-0.9% (-5.8%, 4.0%)</w:t>
            </w:r>
          </w:p>
        </w:tc>
      </w:tr>
      <w:tr w:rsidR="00E45ED0" w:rsidRPr="004E6AFB" w:rsidTr="00B77B7D">
        <w:tc>
          <w:tcPr>
            <w:tcW w:w="9242" w:type="dxa"/>
            <w:gridSpan w:val="5"/>
            <w:shd w:val="clear" w:color="auto" w:fill="auto"/>
          </w:tcPr>
          <w:p w:rsidR="00E45ED0" w:rsidRPr="004E6AFB" w:rsidRDefault="00E45ED0" w:rsidP="00B77B7D">
            <w:pPr>
              <w:pStyle w:val="TableText"/>
              <w:rPr>
                <w:lang w:val="en-AU"/>
              </w:rPr>
            </w:pPr>
            <w:r w:rsidRPr="004E6AFB">
              <w:rPr>
                <w:lang w:val="en-AU"/>
              </w:rPr>
              <w:t>ESTHER-2</w:t>
            </w:r>
          </w:p>
        </w:tc>
      </w:tr>
      <w:tr w:rsidR="00E45ED0" w:rsidRPr="004E6AFB" w:rsidTr="00B77B7D">
        <w:tc>
          <w:tcPr>
            <w:tcW w:w="1162" w:type="dxa"/>
            <w:shd w:val="clear" w:color="auto" w:fill="auto"/>
          </w:tcPr>
          <w:p w:rsidR="00E45ED0" w:rsidRPr="004E6AFB" w:rsidRDefault="00E45ED0" w:rsidP="00B77B7D">
            <w:pPr>
              <w:pStyle w:val="TableText"/>
              <w:rPr>
                <w:lang w:val="en-AU"/>
              </w:rPr>
            </w:pPr>
            <w:r w:rsidRPr="004E6AFB">
              <w:rPr>
                <w:lang w:val="en-AU"/>
              </w:rPr>
              <w:t>COS 2 (mITT)</w:t>
            </w:r>
          </w:p>
        </w:tc>
        <w:tc>
          <w:tcPr>
            <w:tcW w:w="1980" w:type="dxa"/>
            <w:shd w:val="clear" w:color="auto" w:fill="auto"/>
            <w:vAlign w:val="center"/>
          </w:tcPr>
          <w:p w:rsidR="00E45ED0" w:rsidRPr="004E6AFB" w:rsidRDefault="00E45ED0" w:rsidP="00B77B7D">
            <w:pPr>
              <w:pStyle w:val="TableText"/>
              <w:jc w:val="center"/>
              <w:rPr>
                <w:lang w:val="en-AU"/>
              </w:rPr>
            </w:pPr>
            <w:r w:rsidRPr="004E6AFB">
              <w:rPr>
                <w:lang w:val="en-AU"/>
              </w:rPr>
              <w:t>69/252 (27.4)</w:t>
            </w:r>
          </w:p>
        </w:tc>
        <w:tc>
          <w:tcPr>
            <w:tcW w:w="1980" w:type="dxa"/>
            <w:shd w:val="clear" w:color="auto" w:fill="auto"/>
            <w:vAlign w:val="center"/>
          </w:tcPr>
          <w:p w:rsidR="00E45ED0" w:rsidRPr="004E6AFB" w:rsidRDefault="00E45ED0" w:rsidP="00B77B7D">
            <w:pPr>
              <w:pStyle w:val="TableText"/>
              <w:jc w:val="center"/>
              <w:rPr>
                <w:lang w:val="en-AU"/>
              </w:rPr>
            </w:pPr>
            <w:r w:rsidRPr="004E6AFB">
              <w:rPr>
                <w:lang w:val="en-AU"/>
              </w:rPr>
              <w:t>66/261 (25.3)</w:t>
            </w:r>
          </w:p>
        </w:tc>
        <w:tc>
          <w:tcPr>
            <w:tcW w:w="1980" w:type="dxa"/>
            <w:shd w:val="clear" w:color="auto" w:fill="auto"/>
            <w:vAlign w:val="center"/>
          </w:tcPr>
          <w:p w:rsidR="00E45ED0" w:rsidRPr="004E6AFB" w:rsidRDefault="00E45ED0" w:rsidP="00B77B7D">
            <w:pPr>
              <w:pStyle w:val="TableText"/>
              <w:jc w:val="center"/>
              <w:rPr>
                <w:lang w:val="en-AU"/>
              </w:rPr>
            </w:pPr>
            <w:r w:rsidRPr="004E6AFB">
              <w:rPr>
                <w:lang w:val="en-AU"/>
              </w:rPr>
              <w:t>1.08 (0.81, 1.45)</w:t>
            </w:r>
          </w:p>
        </w:tc>
        <w:tc>
          <w:tcPr>
            <w:tcW w:w="2140" w:type="dxa"/>
            <w:vAlign w:val="center"/>
          </w:tcPr>
          <w:p w:rsidR="00E45ED0" w:rsidRPr="004E6AFB" w:rsidRDefault="00E45ED0" w:rsidP="00B77B7D">
            <w:pPr>
              <w:pStyle w:val="TableText"/>
              <w:jc w:val="center"/>
              <w:rPr>
                <w:lang w:val="en-AU"/>
              </w:rPr>
            </w:pPr>
            <w:r w:rsidRPr="004E6AFB">
              <w:rPr>
                <w:lang w:val="en-AU"/>
              </w:rPr>
              <w:t>2.3% (-5.3%, 9.9%)</w:t>
            </w:r>
          </w:p>
        </w:tc>
      </w:tr>
      <w:tr w:rsidR="00E45ED0" w:rsidRPr="004E6AFB" w:rsidTr="00B77B7D">
        <w:tc>
          <w:tcPr>
            <w:tcW w:w="1162" w:type="dxa"/>
            <w:shd w:val="clear" w:color="auto" w:fill="auto"/>
          </w:tcPr>
          <w:p w:rsidR="00E45ED0" w:rsidRPr="004E6AFB" w:rsidRDefault="00E45ED0" w:rsidP="00B77B7D">
            <w:pPr>
              <w:pStyle w:val="TableText"/>
              <w:rPr>
                <w:lang w:val="en-AU"/>
              </w:rPr>
            </w:pPr>
            <w:r w:rsidRPr="004E6AFB">
              <w:rPr>
                <w:lang w:val="en-AU"/>
              </w:rPr>
              <w:t>COS 3 (mITT)</w:t>
            </w:r>
          </w:p>
        </w:tc>
        <w:tc>
          <w:tcPr>
            <w:tcW w:w="1980" w:type="dxa"/>
            <w:shd w:val="clear" w:color="auto" w:fill="auto"/>
            <w:vAlign w:val="center"/>
          </w:tcPr>
          <w:p w:rsidR="00E45ED0" w:rsidRPr="004E6AFB" w:rsidRDefault="00E45ED0" w:rsidP="00B77B7D">
            <w:pPr>
              <w:pStyle w:val="TableText"/>
              <w:jc w:val="center"/>
              <w:rPr>
                <w:lang w:val="en-AU"/>
              </w:rPr>
            </w:pPr>
            <w:r w:rsidRPr="004E6AFB">
              <w:rPr>
                <w:lang w:val="en-AU"/>
              </w:rPr>
              <w:t>25/95 (26.3)</w:t>
            </w:r>
          </w:p>
        </w:tc>
        <w:tc>
          <w:tcPr>
            <w:tcW w:w="1980" w:type="dxa"/>
            <w:shd w:val="clear" w:color="auto" w:fill="auto"/>
            <w:vAlign w:val="center"/>
          </w:tcPr>
          <w:p w:rsidR="00E45ED0" w:rsidRPr="004E6AFB" w:rsidRDefault="00E45ED0" w:rsidP="00B77B7D">
            <w:pPr>
              <w:pStyle w:val="TableText"/>
              <w:jc w:val="center"/>
              <w:rPr>
                <w:lang w:val="en-AU"/>
              </w:rPr>
            </w:pPr>
            <w:r w:rsidRPr="004E6AFB">
              <w:rPr>
                <w:lang w:val="en-AU"/>
              </w:rPr>
              <w:t>25/93 (26.9)</w:t>
            </w:r>
          </w:p>
        </w:tc>
        <w:tc>
          <w:tcPr>
            <w:tcW w:w="1980" w:type="dxa"/>
            <w:shd w:val="clear" w:color="auto" w:fill="auto"/>
            <w:vAlign w:val="center"/>
          </w:tcPr>
          <w:p w:rsidR="00E45ED0" w:rsidRPr="004E6AFB" w:rsidRDefault="00E45ED0" w:rsidP="00B77B7D">
            <w:pPr>
              <w:pStyle w:val="TableText"/>
              <w:jc w:val="center"/>
              <w:rPr>
                <w:lang w:val="en-AU"/>
              </w:rPr>
            </w:pPr>
            <w:r w:rsidRPr="004E6AFB">
              <w:rPr>
                <w:lang w:val="en-AU"/>
              </w:rPr>
              <w:t>0.98 (0.61, 1.57)</w:t>
            </w:r>
          </w:p>
        </w:tc>
        <w:tc>
          <w:tcPr>
            <w:tcW w:w="2140" w:type="dxa"/>
            <w:vAlign w:val="center"/>
          </w:tcPr>
          <w:p w:rsidR="00E45ED0" w:rsidRPr="004E6AFB" w:rsidRDefault="00E45ED0" w:rsidP="00B77B7D">
            <w:pPr>
              <w:pStyle w:val="TableText"/>
              <w:jc w:val="center"/>
              <w:rPr>
                <w:lang w:val="en-AU"/>
              </w:rPr>
            </w:pPr>
            <w:r w:rsidRPr="004E6AFB">
              <w:rPr>
                <w:lang w:val="en-AU"/>
              </w:rPr>
              <w:t>0.0% (-12.6%, 12.7%)</w:t>
            </w:r>
          </w:p>
        </w:tc>
      </w:tr>
    </w:tbl>
    <w:p w:rsidR="00E45ED0" w:rsidRPr="004E6AFB" w:rsidRDefault="00E45ED0" w:rsidP="00E45ED0">
      <w:pPr>
        <w:pStyle w:val="TableFooter"/>
      </w:pPr>
      <w:r w:rsidRPr="004E6AFB">
        <w:t>Source: Table 2.5.1-7, p54 of the submission</w:t>
      </w:r>
    </w:p>
    <w:p w:rsidR="00C317F3" w:rsidRPr="004E6AFB" w:rsidRDefault="00C317F3" w:rsidP="00772501">
      <w:pPr>
        <w:pStyle w:val="Heading2"/>
        <w:rPr>
          <w:i w:val="0"/>
        </w:rPr>
      </w:pPr>
      <w:bookmarkStart w:id="15" w:name="_Toc413139279"/>
      <w:bookmarkStart w:id="16" w:name="_Toc492994162"/>
      <w:r w:rsidRPr="004E6AFB">
        <w:rPr>
          <w:i w:val="0"/>
        </w:rPr>
        <w:t>Comparative harms</w:t>
      </w:r>
      <w:bookmarkEnd w:id="15"/>
      <w:bookmarkEnd w:id="16"/>
    </w:p>
    <w:p w:rsidR="00C317F3" w:rsidRPr="004E6AFB" w:rsidRDefault="00E45ED0" w:rsidP="00B77B7D">
      <w:pPr>
        <w:pStyle w:val="ListParagraph"/>
        <w:numPr>
          <w:ilvl w:val="1"/>
          <w:numId w:val="2"/>
        </w:numPr>
        <w:spacing w:before="0" w:after="120"/>
        <w:jc w:val="both"/>
      </w:pPr>
      <w:r w:rsidRPr="004E6AFB">
        <w:t>No statistically significant differences were observed between follitropin delta and follitropin alfa in terms of adverse events, adverse events leading to death (one in both arms), serious adverse events, adverse events leading to discontinuation, severe adverse events or adverse drug reactions.</w:t>
      </w:r>
    </w:p>
    <w:p w:rsidR="00E45ED0" w:rsidRPr="004E6AFB" w:rsidRDefault="00E45ED0" w:rsidP="00B77B7D">
      <w:pPr>
        <w:pStyle w:val="ListParagraph"/>
        <w:numPr>
          <w:ilvl w:val="1"/>
          <w:numId w:val="2"/>
        </w:numPr>
        <w:spacing w:before="0" w:after="120"/>
        <w:jc w:val="both"/>
      </w:pPr>
      <w:r w:rsidRPr="004E6AFB">
        <w:t xml:space="preserve">Ovarian hyperstimulation syndrome (OHSS) is a particular adverse event that may occur during controlled ovarian stimulation. There was no statistically significant difference in the rate of early OHSS events reported in women treated with follitropin delta and follitropin alfa in ESTHER-1, however statistically fewer women treated with follitropin delta experienced (i) any preventative intervention for OHSS, (ii) early OHSS (any grade) and/or preventative intervention and (iii) early OHSS (moderate/severe) and/or preventative intervention. </w:t>
      </w:r>
      <w:r w:rsidR="00F85509" w:rsidRPr="004E6AFB">
        <w:t>N</w:t>
      </w:r>
      <w:r w:rsidRPr="004E6AFB">
        <w:t>o differences were observed in the incidence of late OHSS between the treatment groups in ESTHER-1. In total during ESTHER-2, OHSS (early and late) and/or preventive interventions for early OHSS occurred in 2.3% of follitropin delta cycles and 3.7% of follitropin alfa cycles.</w:t>
      </w:r>
    </w:p>
    <w:p w:rsidR="00C317F3" w:rsidRPr="004E6AFB" w:rsidRDefault="008058E8" w:rsidP="00772501">
      <w:pPr>
        <w:pStyle w:val="Heading2"/>
        <w:rPr>
          <w:i w:val="0"/>
        </w:rPr>
      </w:pPr>
      <w:bookmarkStart w:id="17" w:name="_Toc492994163"/>
      <w:r w:rsidRPr="004E6AFB">
        <w:rPr>
          <w:i w:val="0"/>
        </w:rPr>
        <w:t>Interpretation of clinical evidence</w:t>
      </w:r>
      <w:bookmarkEnd w:id="17"/>
    </w:p>
    <w:p w:rsidR="00C54ADD" w:rsidRPr="004E6AFB" w:rsidRDefault="00B5179E" w:rsidP="00BE7140">
      <w:pPr>
        <w:pStyle w:val="ListParagraph"/>
        <w:numPr>
          <w:ilvl w:val="1"/>
          <w:numId w:val="2"/>
        </w:numPr>
        <w:spacing w:before="0" w:after="120"/>
        <w:jc w:val="both"/>
      </w:pPr>
      <w:bookmarkStart w:id="18" w:name="_Toc413139282"/>
      <w:r w:rsidRPr="004E6AFB">
        <w:t>The submission claim</w:t>
      </w:r>
      <w:r w:rsidR="00C54ADD" w:rsidRPr="004E6AFB">
        <w:t>ed that f</w:t>
      </w:r>
      <w:r w:rsidRPr="004E6AFB">
        <w:t>ollitropin delta</w:t>
      </w:r>
      <w:r w:rsidR="00C54ADD" w:rsidRPr="004E6AFB">
        <w:t>,</w:t>
      </w:r>
      <w:r w:rsidRPr="004E6AFB">
        <w:t xml:space="preserve"> in an individualised fixed daily dosage protocol (based on AMH and body weight)</w:t>
      </w:r>
      <w:r w:rsidR="00C54ADD" w:rsidRPr="004E6AFB">
        <w:t>,</w:t>
      </w:r>
      <w:r w:rsidRPr="004E6AFB">
        <w:t xml:space="preserve"> is non-inferior in terms of effectiveness </w:t>
      </w:r>
      <w:r w:rsidR="00C54ADD" w:rsidRPr="004E6AFB">
        <w:t xml:space="preserve">and safety </w:t>
      </w:r>
      <w:r w:rsidRPr="004E6AFB">
        <w:t>compared with follitropin alfa (with dose adjustment during treatment) in the clinical trial setting and in the Australian clinical setting.</w:t>
      </w:r>
      <w:r w:rsidR="00C54ADD" w:rsidRPr="004E6AFB">
        <w:t xml:space="preserve"> The ESC considered that on the basis that the non-inferiority margin was pre-defined and </w:t>
      </w:r>
      <w:r w:rsidR="00B12FA6" w:rsidRPr="004E6AFB">
        <w:t xml:space="preserve">given </w:t>
      </w:r>
      <w:r w:rsidR="00C54ADD" w:rsidRPr="004E6AFB">
        <w:t>the previous PBAC considerations in this area, the claim of non-inferiority was reasonable.</w:t>
      </w:r>
    </w:p>
    <w:p w:rsidR="006D4264" w:rsidRPr="004E6AFB" w:rsidRDefault="006D4264" w:rsidP="006D4264">
      <w:pPr>
        <w:pStyle w:val="ListParagraph"/>
        <w:numPr>
          <w:ilvl w:val="1"/>
          <w:numId w:val="2"/>
        </w:numPr>
        <w:jc w:val="both"/>
        <w:rPr>
          <w:szCs w:val="24"/>
        </w:rPr>
      </w:pPr>
      <w:r w:rsidRPr="004E6AFB">
        <w:rPr>
          <w:szCs w:val="24"/>
        </w:rPr>
        <w:t>The PBAC considered that the claim of non-inferior comparative effectiveness was reasonable.</w:t>
      </w:r>
    </w:p>
    <w:p w:rsidR="006D4264" w:rsidRPr="004E6AFB" w:rsidRDefault="006D4264" w:rsidP="006D4264">
      <w:pPr>
        <w:pStyle w:val="ListParagraph"/>
        <w:numPr>
          <w:ilvl w:val="1"/>
          <w:numId w:val="2"/>
        </w:numPr>
        <w:jc w:val="both"/>
        <w:rPr>
          <w:szCs w:val="24"/>
        </w:rPr>
      </w:pPr>
      <w:r w:rsidRPr="004E6AFB">
        <w:rPr>
          <w:szCs w:val="24"/>
        </w:rPr>
        <w:t>The PBAC considered that the claim of non-inferior comparative safety was reasonable.</w:t>
      </w:r>
    </w:p>
    <w:p w:rsidR="00C317F3" w:rsidRPr="004E6AFB" w:rsidRDefault="00C317F3" w:rsidP="00B5179E">
      <w:pPr>
        <w:pStyle w:val="Heading2"/>
        <w:rPr>
          <w:i w:val="0"/>
        </w:rPr>
      </w:pPr>
      <w:bookmarkStart w:id="19" w:name="_Toc492994164"/>
      <w:r w:rsidRPr="004E6AFB">
        <w:rPr>
          <w:i w:val="0"/>
        </w:rPr>
        <w:t>Economic analysis</w:t>
      </w:r>
      <w:bookmarkEnd w:id="18"/>
      <w:bookmarkEnd w:id="19"/>
    </w:p>
    <w:p w:rsidR="00425EE0" w:rsidRPr="004E6AFB" w:rsidRDefault="00425EE0" w:rsidP="00425EE0">
      <w:pPr>
        <w:pStyle w:val="ListParagraph"/>
        <w:numPr>
          <w:ilvl w:val="1"/>
          <w:numId w:val="2"/>
        </w:numPr>
        <w:spacing w:before="0" w:after="120"/>
        <w:jc w:val="both"/>
      </w:pPr>
      <w:bookmarkStart w:id="20" w:name="_Toc413139283"/>
      <w:r w:rsidRPr="004E6AFB">
        <w:t>Table 7 presents the key assumptions and components of the cost-minimisation approach presented by the submission.</w:t>
      </w:r>
    </w:p>
    <w:p w:rsidR="00425EE0" w:rsidRPr="004E6AFB" w:rsidRDefault="00425EE0" w:rsidP="00425EE0">
      <w:pPr>
        <w:pStyle w:val="TableHeading0"/>
      </w:pPr>
      <w:r w:rsidRPr="004E6AFB">
        <w:t xml:space="preserve">Table 7: Key assumptions and components of the cost-minimisation approach </w:t>
      </w:r>
    </w:p>
    <w:tbl>
      <w:tblPr>
        <w:tblStyle w:val="TableGridLigh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7: Key assumptions and components of the cost-minimisation approach "/>
      </w:tblPr>
      <w:tblGrid>
        <w:gridCol w:w="1341"/>
        <w:gridCol w:w="7741"/>
      </w:tblGrid>
      <w:tr w:rsidR="00425EE0" w:rsidRPr="004E6AFB" w:rsidTr="0082121F">
        <w:trPr>
          <w:trHeight w:val="211"/>
          <w:tblHeader/>
        </w:trPr>
        <w:tc>
          <w:tcPr>
            <w:tcW w:w="0" w:type="auto"/>
          </w:tcPr>
          <w:p w:rsidR="00425EE0" w:rsidRPr="004E6AFB" w:rsidRDefault="00425EE0" w:rsidP="00B77B7D">
            <w:pPr>
              <w:pStyle w:val="TableText"/>
            </w:pPr>
            <w:r w:rsidRPr="004E6AFB">
              <w:rPr>
                <w:b/>
              </w:rPr>
              <w:t>Component</w:t>
            </w:r>
          </w:p>
        </w:tc>
        <w:tc>
          <w:tcPr>
            <w:tcW w:w="0" w:type="auto"/>
          </w:tcPr>
          <w:p w:rsidR="00425EE0" w:rsidRPr="004E6AFB" w:rsidRDefault="00425EE0" w:rsidP="00B77B7D">
            <w:pPr>
              <w:pStyle w:val="TableText"/>
            </w:pPr>
            <w:r w:rsidRPr="004E6AFB">
              <w:rPr>
                <w:b/>
              </w:rPr>
              <w:t>Claim or assumption</w:t>
            </w:r>
          </w:p>
        </w:tc>
      </w:tr>
      <w:tr w:rsidR="00425EE0" w:rsidRPr="004E6AFB" w:rsidTr="00B77B7D">
        <w:tc>
          <w:tcPr>
            <w:tcW w:w="0" w:type="auto"/>
          </w:tcPr>
          <w:p w:rsidR="00425EE0" w:rsidRPr="004E6AFB" w:rsidRDefault="00425EE0" w:rsidP="00B77B7D">
            <w:pPr>
              <w:pStyle w:val="TableText"/>
            </w:pPr>
            <w:r w:rsidRPr="004E6AFB">
              <w:t>Therapeutic claim: effectiveness</w:t>
            </w:r>
          </w:p>
        </w:tc>
        <w:tc>
          <w:tcPr>
            <w:tcW w:w="0" w:type="auto"/>
          </w:tcPr>
          <w:p w:rsidR="00425EE0" w:rsidRPr="004E6AFB" w:rsidRDefault="00425EE0" w:rsidP="00B77B7D">
            <w:pPr>
              <w:pStyle w:val="TableText"/>
              <w:rPr>
                <w:rFonts w:ascii="Times" w:eastAsia="Times New Roman" w:hAnsi="Times" w:cs="Times New Roman"/>
              </w:rPr>
            </w:pPr>
            <w:r w:rsidRPr="004E6AFB">
              <w:t>Based on evidence presented in Section 2</w:t>
            </w:r>
            <w:r w:rsidR="000D7473">
              <w:t xml:space="preserve"> of the submission</w:t>
            </w:r>
            <w:r w:rsidRPr="004E6AFB">
              <w:t>, effectiveness is assumed to be non-inferior. This requires consideration as although non-inferiority was established based on the non-inferiority margin prespecified in the ESTHER-1 trial (-8.0%), non-inferiority was not established based on a non-inferiority margin previously accepted by the PBAC (-4.0%) for the outcome of ongoing pregnancy.</w:t>
            </w:r>
          </w:p>
        </w:tc>
      </w:tr>
      <w:tr w:rsidR="00425EE0" w:rsidRPr="004E6AFB" w:rsidTr="00B77B7D">
        <w:tc>
          <w:tcPr>
            <w:tcW w:w="0" w:type="auto"/>
          </w:tcPr>
          <w:p w:rsidR="00425EE0" w:rsidRPr="004E6AFB" w:rsidRDefault="00425EE0" w:rsidP="00B77B7D">
            <w:pPr>
              <w:pStyle w:val="TableText"/>
            </w:pPr>
            <w:r w:rsidRPr="004E6AFB">
              <w:t>Therapeutic claim: safety</w:t>
            </w:r>
          </w:p>
        </w:tc>
        <w:tc>
          <w:tcPr>
            <w:tcW w:w="0" w:type="auto"/>
            <w:vAlign w:val="center"/>
          </w:tcPr>
          <w:p w:rsidR="00425EE0" w:rsidRPr="004E6AFB" w:rsidRDefault="00425EE0" w:rsidP="00B77B7D">
            <w:pPr>
              <w:pStyle w:val="TableText"/>
              <w:rPr>
                <w:rFonts w:ascii="Times" w:eastAsia="Times New Roman" w:hAnsi="Times" w:cs="Times New Roman"/>
              </w:rPr>
            </w:pPr>
            <w:r w:rsidRPr="004E6AFB">
              <w:t>Based on evidence presented in Section 2, safety is reasonably assumed to be non-inferior.</w:t>
            </w:r>
          </w:p>
        </w:tc>
      </w:tr>
      <w:tr w:rsidR="00425EE0" w:rsidRPr="004E6AFB" w:rsidTr="00B77B7D">
        <w:tc>
          <w:tcPr>
            <w:tcW w:w="0" w:type="auto"/>
          </w:tcPr>
          <w:p w:rsidR="00425EE0" w:rsidRPr="004E6AFB" w:rsidRDefault="00425EE0" w:rsidP="00B77B7D">
            <w:pPr>
              <w:pStyle w:val="TableText"/>
            </w:pPr>
            <w:r w:rsidRPr="004E6AFB">
              <w:t>Evidence base</w:t>
            </w:r>
          </w:p>
        </w:tc>
        <w:tc>
          <w:tcPr>
            <w:tcW w:w="0" w:type="auto"/>
          </w:tcPr>
          <w:p w:rsidR="00425EE0" w:rsidRPr="004E6AFB" w:rsidRDefault="00425EE0" w:rsidP="00B77B7D">
            <w:pPr>
              <w:pStyle w:val="TableText"/>
              <w:rPr>
                <w:rFonts w:ascii="Times" w:eastAsia="Times New Roman" w:hAnsi="Times" w:cs="Times New Roman"/>
              </w:rPr>
            </w:pPr>
            <w:r w:rsidRPr="004E6AFB">
              <w:t>Direct randomised trials</w:t>
            </w:r>
          </w:p>
        </w:tc>
      </w:tr>
      <w:tr w:rsidR="00425EE0" w:rsidRPr="004E6AFB" w:rsidTr="00B77B7D">
        <w:tc>
          <w:tcPr>
            <w:tcW w:w="0" w:type="auto"/>
          </w:tcPr>
          <w:p w:rsidR="00425EE0" w:rsidRPr="004E6AFB" w:rsidRDefault="00425EE0" w:rsidP="00B77B7D">
            <w:pPr>
              <w:pStyle w:val="TableText"/>
            </w:pPr>
            <w:r w:rsidRPr="004E6AFB">
              <w:t>Equi-effective doses</w:t>
            </w:r>
          </w:p>
        </w:tc>
        <w:tc>
          <w:tcPr>
            <w:tcW w:w="0" w:type="auto"/>
          </w:tcPr>
          <w:p w:rsidR="00425EE0" w:rsidRPr="004E6AFB" w:rsidRDefault="00217393" w:rsidP="00B77B7D">
            <w:pPr>
              <w:pStyle w:val="TableText"/>
            </w:pPr>
            <w:r w:rsidRPr="004E6AFB">
              <w:t>ESTHER-1: Mean (SD) 90.0 </w:t>
            </w:r>
            <w:r w:rsidR="00425EE0" w:rsidRPr="004E6AFB">
              <w:t>mcg (</w:t>
            </w:r>
            <w:r w:rsidRPr="004E6AFB">
              <w:t>25.3) follitropin delta ≡ 1,414 </w:t>
            </w:r>
            <w:r w:rsidR="00425EE0" w:rsidRPr="004E6AFB">
              <w:t>IU (458.6) follitropin alfa</w:t>
            </w:r>
          </w:p>
          <w:p w:rsidR="00425EE0" w:rsidRPr="004E6AFB" w:rsidRDefault="00425EE0" w:rsidP="00217393">
            <w:pPr>
              <w:pStyle w:val="TableText"/>
              <w:rPr>
                <w:rFonts w:ascii="Times" w:eastAsia="Times New Roman" w:hAnsi="Times" w:cs="Times New Roman"/>
              </w:rPr>
            </w:pPr>
            <w:r w:rsidRPr="004E6AFB">
              <w:t xml:space="preserve">Base case: Mean </w:t>
            </w:r>
            <w:r w:rsidR="0034132A">
              <w:rPr>
                <w:noProof/>
                <w:color w:val="000000"/>
                <w:highlight w:val="black"/>
              </w:rPr>
              <w:t>'''''''''''''''''''''''''''</w:t>
            </w:r>
            <w:r w:rsidRPr="004E6AFB">
              <w:t xml:space="preserve"> </w:t>
            </w:r>
            <w:r w:rsidR="00217393" w:rsidRPr="004E6AFB">
              <w:t xml:space="preserve">follitropin delta ≡ </w:t>
            </w:r>
            <w:r w:rsidR="0034132A">
              <w:rPr>
                <w:noProof/>
                <w:color w:val="000000"/>
                <w:highlight w:val="black"/>
              </w:rPr>
              <w:t>'''''''''''''''''''''''</w:t>
            </w:r>
            <w:r w:rsidRPr="004E6AFB">
              <w:t xml:space="preserve"> follitropin alfa</w:t>
            </w:r>
          </w:p>
        </w:tc>
      </w:tr>
      <w:tr w:rsidR="00425EE0" w:rsidRPr="004E6AFB" w:rsidTr="00425EE0">
        <w:tc>
          <w:tcPr>
            <w:tcW w:w="0" w:type="auto"/>
          </w:tcPr>
          <w:p w:rsidR="00425EE0" w:rsidRPr="004E6AFB" w:rsidRDefault="00425EE0" w:rsidP="00B77B7D">
            <w:pPr>
              <w:pStyle w:val="TableText"/>
            </w:pPr>
            <w:r w:rsidRPr="004E6AFB">
              <w:t>Direct medicine costs</w:t>
            </w:r>
          </w:p>
        </w:tc>
        <w:tc>
          <w:tcPr>
            <w:tcW w:w="0" w:type="auto"/>
            <w:vAlign w:val="center"/>
          </w:tcPr>
          <w:p w:rsidR="00425EE0" w:rsidRPr="004E6AFB" w:rsidRDefault="00425EE0" w:rsidP="00425EE0">
            <w:pPr>
              <w:pStyle w:val="TableText"/>
              <w:rPr>
                <w:rFonts w:ascii="Times" w:eastAsia="Times New Roman" w:hAnsi="Times" w:cs="Times New Roman"/>
              </w:rPr>
            </w:pPr>
            <w:r w:rsidRPr="004E6AFB">
              <w:t>Drug cost, equivalent cost per cycle</w:t>
            </w:r>
          </w:p>
        </w:tc>
      </w:tr>
      <w:tr w:rsidR="00425EE0" w:rsidRPr="004E6AFB" w:rsidTr="00425EE0">
        <w:tc>
          <w:tcPr>
            <w:tcW w:w="0" w:type="auto"/>
          </w:tcPr>
          <w:p w:rsidR="00425EE0" w:rsidRPr="004E6AFB" w:rsidRDefault="00425EE0" w:rsidP="00B77B7D">
            <w:pPr>
              <w:pStyle w:val="TableText"/>
            </w:pPr>
            <w:r w:rsidRPr="004E6AFB">
              <w:t>Other costs or cost offsets</w:t>
            </w:r>
          </w:p>
        </w:tc>
        <w:tc>
          <w:tcPr>
            <w:tcW w:w="0" w:type="auto"/>
            <w:vAlign w:val="center"/>
          </w:tcPr>
          <w:p w:rsidR="00425EE0" w:rsidRPr="004E6AFB" w:rsidRDefault="00425EE0" w:rsidP="00425EE0">
            <w:pPr>
              <w:pStyle w:val="TableText"/>
              <w:rPr>
                <w:rFonts w:ascii="Times" w:eastAsia="Times New Roman" w:hAnsi="Times" w:cs="Times New Roman"/>
              </w:rPr>
            </w:pPr>
            <w:r w:rsidRPr="004E6AFB">
              <w:t xml:space="preserve">No </w:t>
            </w:r>
          </w:p>
        </w:tc>
      </w:tr>
    </w:tbl>
    <w:p w:rsidR="00425EE0" w:rsidRPr="004E6AFB" w:rsidRDefault="00425EE0" w:rsidP="00425EE0">
      <w:pPr>
        <w:pStyle w:val="TableFooter"/>
      </w:pPr>
      <w:r w:rsidRPr="004E6AFB">
        <w:t>Source: Table 3B.1.1, p80 of the submission</w:t>
      </w:r>
    </w:p>
    <w:p w:rsidR="00425EE0" w:rsidRPr="004E6AFB" w:rsidRDefault="00425EE0" w:rsidP="00B77B7D">
      <w:pPr>
        <w:pStyle w:val="ListParagraph"/>
        <w:numPr>
          <w:ilvl w:val="1"/>
          <w:numId w:val="2"/>
        </w:numPr>
        <w:spacing w:before="0" w:after="120"/>
        <w:jc w:val="both"/>
      </w:pPr>
      <w:r w:rsidRPr="004E6AFB">
        <w:t xml:space="preserve"> </w:t>
      </w:r>
      <w:r w:rsidR="00EE1BF4" w:rsidRPr="004E6AFB">
        <w:t>T</w:t>
      </w:r>
      <w:r w:rsidRPr="004E6AFB">
        <w:t>he equi-effective doses were reported to be: 90.0</w:t>
      </w:r>
      <w:r w:rsidR="00F85509" w:rsidRPr="004E6AFB">
        <w:t> </w:t>
      </w:r>
      <w:r w:rsidRPr="004E6AFB">
        <w:t xml:space="preserve">mcg follitropin </w:t>
      </w:r>
      <w:r w:rsidR="00217393" w:rsidRPr="004E6AFB">
        <w:t>delta to 1,414 </w:t>
      </w:r>
      <w:r w:rsidRPr="004E6AFB">
        <w:t>IU follitr</w:t>
      </w:r>
      <w:r w:rsidR="00B77B7D" w:rsidRPr="004E6AFB">
        <w:t>opin alfa in the ESTHER-1 trial.</w:t>
      </w:r>
    </w:p>
    <w:p w:rsidR="00425EE0" w:rsidRPr="004E6AFB" w:rsidRDefault="00425EE0" w:rsidP="00B77B7D">
      <w:pPr>
        <w:pStyle w:val="ListParagraph"/>
        <w:numPr>
          <w:ilvl w:val="1"/>
          <w:numId w:val="2"/>
        </w:numPr>
        <w:spacing w:before="0" w:after="120"/>
        <w:jc w:val="both"/>
      </w:pPr>
      <w:r w:rsidRPr="004E6AFB">
        <w:t xml:space="preserve">The submission presents a cost-minimisation analysis based on a relativity of: </w:t>
      </w:r>
      <w:r w:rsidR="0034132A">
        <w:rPr>
          <w:noProof/>
          <w:color w:val="000000"/>
          <w:highlight w:val="black"/>
        </w:rPr>
        <w:t>'''''''''''''''</w:t>
      </w:r>
      <w:r w:rsidR="00217393" w:rsidRPr="004E6AFB">
        <w:t xml:space="preserve"> follitropin delta to </w:t>
      </w:r>
      <w:r w:rsidR="0034132A">
        <w:rPr>
          <w:noProof/>
          <w:color w:val="000000"/>
          <w:highlight w:val="black"/>
        </w:rPr>
        <w:t>''''''''''''''''</w:t>
      </w:r>
      <w:r w:rsidRPr="004E6AFB">
        <w:t xml:space="preserve"> follitropin alfa.</w:t>
      </w:r>
    </w:p>
    <w:p w:rsidR="00425EE0" w:rsidRPr="004E6AFB" w:rsidRDefault="00425EE0" w:rsidP="00425EE0">
      <w:pPr>
        <w:pStyle w:val="ListParagraph"/>
        <w:numPr>
          <w:ilvl w:val="1"/>
          <w:numId w:val="2"/>
        </w:numPr>
        <w:spacing w:before="0" w:after="0"/>
        <w:ind w:left="578" w:hanging="578"/>
        <w:jc w:val="both"/>
      </w:pPr>
      <w:r w:rsidRPr="004E6AFB">
        <w:t>The justification provided in the submission for use of this alternat</w:t>
      </w:r>
      <w:r w:rsidR="00C54ADD" w:rsidRPr="004E6AFB">
        <w:t>iv</w:t>
      </w:r>
      <w:r w:rsidRPr="004E6AFB">
        <w:t>e relativity is that:</w:t>
      </w:r>
    </w:p>
    <w:p w:rsidR="00425EE0" w:rsidRPr="004E6AFB" w:rsidRDefault="00425EE0" w:rsidP="00425EE0">
      <w:pPr>
        <w:pStyle w:val="ListParagraph"/>
        <w:numPr>
          <w:ilvl w:val="1"/>
          <w:numId w:val="34"/>
        </w:numPr>
        <w:spacing w:before="0" w:after="0"/>
        <w:ind w:left="851" w:hanging="284"/>
        <w:jc w:val="both"/>
      </w:pPr>
      <w:r w:rsidRPr="004E6AFB">
        <w:t>there were notable differences in the baseline characteristics of women enrolled in the ESTHER-1 trial and the likely PBS population, which would result in differing doses of follitropin delta in the Australian compared with ESTHER-1 population; and</w:t>
      </w:r>
    </w:p>
    <w:p w:rsidR="00425EE0" w:rsidRPr="004E6AFB" w:rsidRDefault="00425EE0" w:rsidP="00425EE0">
      <w:pPr>
        <w:pStyle w:val="ListParagraph"/>
        <w:numPr>
          <w:ilvl w:val="1"/>
          <w:numId w:val="34"/>
        </w:numPr>
        <w:spacing w:before="0" w:after="120"/>
        <w:ind w:left="851" w:hanging="284"/>
        <w:jc w:val="both"/>
      </w:pPr>
      <w:r w:rsidRPr="004E6AFB">
        <w:t>although dosing of follitropin alfa in the ESTHER-1 trial (</w:t>
      </w:r>
      <w:r w:rsidR="00217393" w:rsidRPr="004E6AFB">
        <w:t>all women were initiated on 150 </w:t>
      </w:r>
      <w:r w:rsidRPr="004E6AFB">
        <w:t>IU per day) was consistent with the TGA-approved PI, the submission states there is variation in starting dose (recommended to be 150</w:t>
      </w:r>
      <w:r w:rsidR="00217393" w:rsidRPr="004E6AFB">
        <w:t> IU to 225 </w:t>
      </w:r>
      <w:r w:rsidRPr="004E6AFB">
        <w:t xml:space="preserve">IU in the PI) and in dose adjustments during the cycle in the Australian setting compared with those observed in ESTHER-1. </w:t>
      </w:r>
    </w:p>
    <w:p w:rsidR="006D7837" w:rsidRPr="004E6AFB" w:rsidRDefault="006D7837" w:rsidP="007A7BF8">
      <w:pPr>
        <w:pStyle w:val="ListParagraph"/>
        <w:numPr>
          <w:ilvl w:val="1"/>
          <w:numId w:val="2"/>
        </w:numPr>
        <w:jc w:val="both"/>
      </w:pPr>
      <w:r w:rsidRPr="004E6AFB">
        <w:t>For subsequent treatment cycles, the daily dose of follitropin delta should be maintained or modified according to the patient’s ovarian response in the previous cycle.</w:t>
      </w:r>
      <w:r w:rsidR="00273C03" w:rsidRPr="004E6AFB">
        <w:t xml:space="preserve"> </w:t>
      </w:r>
      <w:r w:rsidRPr="004E6AFB">
        <w:t>Doses of follitropin delta remain fixed within a given stimulation cycle. This is in contrast to the currently PBS-listed gonadotropins wh</w:t>
      </w:r>
      <w:r w:rsidR="007A7BF8" w:rsidRPr="004E6AFB">
        <w:t>e</w:t>
      </w:r>
      <w:r w:rsidR="007868F1" w:rsidRPr="004E6AFB">
        <w:t>re the</w:t>
      </w:r>
      <w:r w:rsidRPr="004E6AFB">
        <w:t xml:space="preserve"> dose may be adjusted during a stimulation cycle</w:t>
      </w:r>
      <w:r w:rsidR="007868F1" w:rsidRPr="004E6AFB">
        <w:t>,</w:t>
      </w:r>
      <w:r w:rsidRPr="004E6AFB">
        <w:t xml:space="preserve"> according to response.</w:t>
      </w:r>
    </w:p>
    <w:p w:rsidR="00425EE0" w:rsidRPr="004E6AFB" w:rsidRDefault="00425EE0" w:rsidP="00425EE0">
      <w:pPr>
        <w:pStyle w:val="ListParagraph"/>
        <w:numPr>
          <w:ilvl w:val="1"/>
          <w:numId w:val="2"/>
        </w:numPr>
        <w:spacing w:before="0" w:after="120"/>
        <w:jc w:val="both"/>
      </w:pPr>
      <w:r w:rsidRPr="004E6AFB">
        <w:t xml:space="preserve">As a result of these differences, the submission presents an analysis in Appendix 2.4 to the submission, where the mean doses </w:t>
      </w:r>
      <w:r w:rsidR="00F85509" w:rsidRPr="004E6AFB">
        <w:t>are estimated</w:t>
      </w:r>
      <w:r w:rsidR="00F85509" w:rsidRPr="004E6AFB" w:rsidDel="00F85509">
        <w:t xml:space="preserve"> </w:t>
      </w:r>
      <w:r w:rsidRPr="004E6AFB">
        <w:t xml:space="preserve">based on the mean total </w:t>
      </w:r>
      <w:r w:rsidR="00B77B7D" w:rsidRPr="004E6AFB">
        <w:t>follicle stimulating hormone (</w:t>
      </w:r>
      <w:r w:rsidRPr="004E6AFB">
        <w:t>FSH</w:t>
      </w:r>
      <w:r w:rsidR="00B77B7D" w:rsidRPr="004E6AFB">
        <w:t>)</w:t>
      </w:r>
      <w:r w:rsidRPr="004E6AFB">
        <w:t xml:space="preserve"> dose per cycle for follitropin alfa used in a cohort of first cycle patients in an Australian clinical setting </w:t>
      </w:r>
      <w:r w:rsidR="0034132A">
        <w:rPr>
          <w:noProof/>
          <w:color w:val="000000"/>
          <w:highlight w:val="black"/>
        </w:rPr>
        <w:t>'''''''''''''''''''' '''''''</w:t>
      </w:r>
      <w:r w:rsidRPr="004E6AFB">
        <w:t xml:space="preserve"> and the predicted dose of follitropin delta in the same cohort (based on individual patient AMH and body weight). Although the submission provides sufficient information to establish that the patients included in the cohort investigated are representative of the larger IVF population, the submission has not provided any evidence that the dose of follitropin alfa in this particular clinical setting is representative of follitropin alfa dosing nationally. It may be expected that IVF clinics have protocols in place and these may differ from clinic to clinic.</w:t>
      </w:r>
    </w:p>
    <w:p w:rsidR="00AF6E75" w:rsidRPr="004E6AFB" w:rsidRDefault="00AF6E75" w:rsidP="00BE7140">
      <w:pPr>
        <w:pStyle w:val="ListParagraph"/>
        <w:numPr>
          <w:ilvl w:val="1"/>
          <w:numId w:val="2"/>
        </w:numPr>
      </w:pPr>
      <w:r w:rsidRPr="004E6AFB">
        <w:t xml:space="preserve">The PSCR </w:t>
      </w:r>
      <w:r w:rsidR="001124B7" w:rsidRPr="004E6AFB">
        <w:t xml:space="preserve">(p2) </w:t>
      </w:r>
      <w:r w:rsidR="00C54ADD" w:rsidRPr="004E6AFB">
        <w:t xml:space="preserve">claimed </w:t>
      </w:r>
      <w:r w:rsidRPr="004E6AFB">
        <w:t xml:space="preserve">that the clinic </w:t>
      </w:r>
      <w:r w:rsidR="00C54ADD" w:rsidRPr="004E6AFB">
        <w:t xml:space="preserve">used for this calculation </w:t>
      </w:r>
      <w:r w:rsidRPr="004E6AFB">
        <w:t xml:space="preserve">is a large Australian clinic that is part of a larger IVF group which regularly reviews its practices and outcomes across its clinics. </w:t>
      </w:r>
      <w:r w:rsidR="00C54ADD" w:rsidRPr="004E6AFB">
        <w:t>Further, the PSCR argued that p</w:t>
      </w:r>
      <w:r w:rsidRPr="004E6AFB">
        <w:t>rescribing data for the local clinic appears consistent with national dispensing data,</w:t>
      </w:r>
      <w:r w:rsidR="00F83984" w:rsidRPr="004E6AFB">
        <w:t xml:space="preserve"> suggesting the local clinic </w:t>
      </w:r>
      <w:r w:rsidRPr="004E6AFB">
        <w:t xml:space="preserve">dosing is broadly representative of the Australian patient population. </w:t>
      </w:r>
      <w:r w:rsidR="00C54ADD" w:rsidRPr="004E6AFB">
        <w:t xml:space="preserve">However, the </w:t>
      </w:r>
      <w:r w:rsidRPr="004E6AFB">
        <w:t xml:space="preserve">ESC </w:t>
      </w:r>
      <w:r w:rsidR="00C54ADD" w:rsidRPr="004E6AFB">
        <w:t>was of the view</w:t>
      </w:r>
      <w:r w:rsidRPr="004E6AFB">
        <w:t xml:space="preserve"> that although the data submitted is from a large clinic, it is possible that other IVF clinics have different protocols in place.</w:t>
      </w:r>
    </w:p>
    <w:p w:rsidR="00BF5DEE" w:rsidRPr="004E6AFB" w:rsidRDefault="00425EE0" w:rsidP="00BA5CC4">
      <w:pPr>
        <w:pStyle w:val="ListParagraph"/>
        <w:numPr>
          <w:ilvl w:val="1"/>
          <w:numId w:val="2"/>
        </w:numPr>
        <w:spacing w:before="0" w:after="120"/>
        <w:jc w:val="both"/>
      </w:pPr>
      <w:r w:rsidRPr="004E6AFB">
        <w:t>Although it is acknowledged that differences exist in both population characteristics and potentially in dosing of follitropin alfa, one major limitation of the use of the 'alternat</w:t>
      </w:r>
      <w:r w:rsidR="00BF5DEE" w:rsidRPr="004E6AFB">
        <w:t>iv</w:t>
      </w:r>
      <w:r w:rsidRPr="004E6AFB">
        <w:t xml:space="preserve">e' relativity is that there </w:t>
      </w:r>
      <w:r w:rsidR="001C0131" w:rsidRPr="004E6AFB">
        <w:t>is</w:t>
      </w:r>
      <w:r w:rsidR="00BE7140" w:rsidRPr="004E6AFB">
        <w:t xml:space="preserve"> no clinical outcome data (</w:t>
      </w:r>
      <w:r w:rsidRPr="004E6AFB">
        <w:t xml:space="preserve">ongoing pregnancy or ongoing implantation rate) to substantiate </w:t>
      </w:r>
      <w:r w:rsidR="00217393" w:rsidRPr="004E6AFB">
        <w:t xml:space="preserve">the submission's claim that </w:t>
      </w:r>
      <w:r w:rsidR="0034132A">
        <w:rPr>
          <w:noProof/>
          <w:color w:val="000000"/>
          <w:highlight w:val="black"/>
        </w:rPr>
        <w:t>'''''''''''''''</w:t>
      </w:r>
      <w:r w:rsidRPr="004E6AFB">
        <w:t xml:space="preserve"> follitrop</w:t>
      </w:r>
      <w:r w:rsidR="00217393" w:rsidRPr="004E6AFB">
        <w:t xml:space="preserve">in delta is equivalent to </w:t>
      </w:r>
      <w:r w:rsidR="0034132A">
        <w:rPr>
          <w:noProof/>
          <w:color w:val="000000"/>
          <w:highlight w:val="black"/>
        </w:rPr>
        <w:t>'''''''''''''''''</w:t>
      </w:r>
      <w:r w:rsidRPr="004E6AFB">
        <w:t xml:space="preserve"> follitropin alfa. </w:t>
      </w:r>
    </w:p>
    <w:p w:rsidR="00425EE0" w:rsidRPr="004E6AFB" w:rsidRDefault="00BA5CC4" w:rsidP="00BA5CC4">
      <w:pPr>
        <w:pStyle w:val="ListParagraph"/>
        <w:numPr>
          <w:ilvl w:val="1"/>
          <w:numId w:val="2"/>
        </w:numPr>
        <w:spacing w:before="0" w:after="120"/>
        <w:jc w:val="both"/>
      </w:pPr>
      <w:r w:rsidRPr="004E6AFB">
        <w:t>Additionally, while differences in the populations were identified in terms of body weight, age, proportion undergoing 1, 2 or 3 COS cycles, cause of infertility and follitropin alfa dosing; the only factor explicitly adjusted in the cost-minimisation analysis was the assumed follitropin delta and follitropin alfa doses.</w:t>
      </w:r>
    </w:p>
    <w:p w:rsidR="00C13BE4" w:rsidRPr="004E6AFB" w:rsidRDefault="00BF5DEE" w:rsidP="00BE7140">
      <w:pPr>
        <w:pStyle w:val="ListParagraph"/>
        <w:numPr>
          <w:ilvl w:val="1"/>
          <w:numId w:val="2"/>
        </w:numPr>
      </w:pPr>
      <w:r w:rsidRPr="004E6AFB">
        <w:t>The ESC noted that the PSCR (p1-2) stated that the analysis presented in the PSCR suggested that higher FSH doses were associated with lower clinical pregnancy rates in the Australian patient population. The ESC considered that the higher doses could therefore not be linked back to comparable outcomes to the trial, and thus the ‘real world’ equi-effective doses had greater uncertainty.</w:t>
      </w:r>
    </w:p>
    <w:p w:rsidR="00C13BE4" w:rsidRPr="004E6AFB" w:rsidRDefault="00BF5DEE" w:rsidP="00BE7140">
      <w:pPr>
        <w:pStyle w:val="ListParagraph"/>
        <w:numPr>
          <w:ilvl w:val="1"/>
          <w:numId w:val="2"/>
        </w:numPr>
      </w:pPr>
      <w:r w:rsidRPr="004E6AFB">
        <w:t>On balance, t</w:t>
      </w:r>
      <w:r w:rsidR="00C13BE4" w:rsidRPr="004E6AFB">
        <w:t xml:space="preserve">he ESC agreed that </w:t>
      </w:r>
      <w:r w:rsidRPr="004E6AFB">
        <w:t xml:space="preserve">the trial based equieffective doses should be used, but that it would be reasonable to </w:t>
      </w:r>
      <w:r w:rsidR="00C13BE4" w:rsidRPr="004E6AFB">
        <w:t>adjust</w:t>
      </w:r>
      <w:r w:rsidRPr="004E6AFB">
        <w:t xml:space="preserve"> these doses</w:t>
      </w:r>
      <w:r w:rsidR="00C13BE4" w:rsidRPr="004E6AFB">
        <w:t xml:space="preserve"> for </w:t>
      </w:r>
      <w:r w:rsidRPr="004E6AFB">
        <w:t xml:space="preserve">differences in </w:t>
      </w:r>
      <w:r w:rsidR="00C13BE4" w:rsidRPr="004E6AFB">
        <w:t>weight and age</w:t>
      </w:r>
      <w:r w:rsidRPr="004E6AFB">
        <w:t xml:space="preserve"> in the Australian population compared to the trial</w:t>
      </w:r>
      <w:r w:rsidR="00C13BE4" w:rsidRPr="004E6AFB">
        <w:t>.</w:t>
      </w:r>
      <w:r w:rsidRPr="004E6AFB">
        <w:t xml:space="preserve"> This would result in an equi-effective dose on 1,896</w:t>
      </w:r>
      <w:r w:rsidR="00217393" w:rsidRPr="004E6AFB">
        <w:t> </w:t>
      </w:r>
      <w:r w:rsidRPr="004E6AFB">
        <w:t>IU follitropin alfa to 93.6</w:t>
      </w:r>
      <w:r w:rsidR="00217393" w:rsidRPr="004E6AFB">
        <w:t> </w:t>
      </w:r>
      <w:r w:rsidRPr="004E6AFB">
        <w:t>mcg follitropin delta.</w:t>
      </w:r>
    </w:p>
    <w:p w:rsidR="009751BE" w:rsidRPr="004E6AFB" w:rsidRDefault="009751BE" w:rsidP="00BE7140">
      <w:pPr>
        <w:pStyle w:val="ListParagraph"/>
        <w:numPr>
          <w:ilvl w:val="1"/>
          <w:numId w:val="2"/>
        </w:numPr>
      </w:pPr>
      <w:r w:rsidRPr="004E6AFB">
        <w:t xml:space="preserve">The pre-PBAC </w:t>
      </w:r>
      <w:r w:rsidR="00AA0B22" w:rsidRPr="004E6AFB">
        <w:t>response maintained that the best estimate of use in the Australian clinical setting was the AU-First-Cycle scenario which indicated an equi</w:t>
      </w:r>
      <w:r w:rsidR="00FE07A1" w:rsidRPr="004E6AFB">
        <w:noBreakHyphen/>
      </w:r>
      <w:r w:rsidR="00AA0B22" w:rsidRPr="004E6AFB">
        <w:t xml:space="preserve">effective dose of </w:t>
      </w:r>
      <w:r w:rsidR="0034132A">
        <w:rPr>
          <w:noProof/>
          <w:color w:val="000000"/>
          <w:highlight w:val="black"/>
        </w:rPr>
        <w:t>''''''''''''''''</w:t>
      </w:r>
      <w:r w:rsidR="00AA0B22" w:rsidRPr="004E6AFB">
        <w:t xml:space="preserve"> follitropin alfa to </w:t>
      </w:r>
      <w:r w:rsidR="0034132A">
        <w:rPr>
          <w:noProof/>
          <w:color w:val="000000"/>
          <w:highlight w:val="black"/>
        </w:rPr>
        <w:t>'''''''''''''''</w:t>
      </w:r>
      <w:r w:rsidR="00AA0B22" w:rsidRPr="004E6AFB">
        <w:t xml:space="preserve"> follitropin delta. However</w:t>
      </w:r>
      <w:r w:rsidR="00FE07A1" w:rsidRPr="004E6AFB">
        <w:t>,</w:t>
      </w:r>
      <w:r w:rsidR="00AA0B22" w:rsidRPr="004E6AFB">
        <w:t xml:space="preserve"> the sponsor </w:t>
      </w:r>
      <w:r w:rsidR="007868F1" w:rsidRPr="004E6AFB">
        <w:t xml:space="preserve">also </w:t>
      </w:r>
      <w:r w:rsidR="00AA0B22" w:rsidRPr="004E6AFB">
        <w:t>acknowledged that there was uncertainty in the analysis of the AU</w:t>
      </w:r>
      <w:r w:rsidR="00FE07A1" w:rsidRPr="004E6AFB">
        <w:noBreakHyphen/>
      </w:r>
      <w:r w:rsidR="00AA0B22" w:rsidRPr="004E6AFB">
        <w:t>First</w:t>
      </w:r>
      <w:r w:rsidR="00FE07A1" w:rsidRPr="004E6AFB">
        <w:noBreakHyphen/>
      </w:r>
      <w:r w:rsidR="00AA0B22" w:rsidRPr="004E6AFB">
        <w:t>Cycle population compared to the AU-ESTHER-criteria population</w:t>
      </w:r>
      <w:r w:rsidR="007868F1" w:rsidRPr="004E6AFB">
        <w:t xml:space="preserve">, and that the proposed doses would likely not be associated with any compromise in efficacy or safety. While the sponsor maintained </w:t>
      </w:r>
      <w:r w:rsidR="00AA0B22" w:rsidRPr="004E6AFB">
        <w:t xml:space="preserve">that the </w:t>
      </w:r>
      <w:r w:rsidR="007868F1" w:rsidRPr="004E6AFB">
        <w:t xml:space="preserve">proposed </w:t>
      </w:r>
      <w:r w:rsidR="00AA0B22" w:rsidRPr="004E6AFB">
        <w:t xml:space="preserve">therapeutic relativity underestimates </w:t>
      </w:r>
      <w:r w:rsidR="007868F1" w:rsidRPr="004E6AFB">
        <w:t xml:space="preserve">the value of </w:t>
      </w:r>
      <w:r w:rsidR="00AA0B22" w:rsidRPr="004E6AFB">
        <w:t xml:space="preserve">follitropin delta, the </w:t>
      </w:r>
      <w:r w:rsidR="007868F1" w:rsidRPr="004E6AFB">
        <w:t xml:space="preserve">pre-PBAC response indicated a willingness to accept the </w:t>
      </w:r>
      <w:r w:rsidR="00AA0B22" w:rsidRPr="004E6AFB">
        <w:t>equi</w:t>
      </w:r>
      <w:r w:rsidR="007868F1" w:rsidRPr="004E6AFB">
        <w:noBreakHyphen/>
      </w:r>
      <w:r w:rsidR="00AA0B22" w:rsidRPr="004E6AFB">
        <w:t>effective dose of 1,896</w:t>
      </w:r>
      <w:r w:rsidR="00217393" w:rsidRPr="004E6AFB">
        <w:t> </w:t>
      </w:r>
      <w:r w:rsidR="00AA0B22" w:rsidRPr="004E6AFB">
        <w:t>IU follitropin alfa to 93.6</w:t>
      </w:r>
      <w:r w:rsidR="00217393" w:rsidRPr="004E6AFB">
        <w:t> </w:t>
      </w:r>
      <w:r w:rsidR="00AA0B22" w:rsidRPr="004E6AFB">
        <w:t xml:space="preserve">mcg follitropin delta </w:t>
      </w:r>
      <w:r w:rsidR="007868F1" w:rsidRPr="004E6AFB">
        <w:t>proposed by the ESC</w:t>
      </w:r>
      <w:r w:rsidR="00AA0B22" w:rsidRPr="004E6AFB">
        <w:t>.</w:t>
      </w:r>
    </w:p>
    <w:p w:rsidR="00FE07A1" w:rsidRPr="004E6AFB" w:rsidRDefault="00FE07A1" w:rsidP="00BE7140">
      <w:pPr>
        <w:pStyle w:val="ListParagraph"/>
        <w:numPr>
          <w:ilvl w:val="1"/>
          <w:numId w:val="2"/>
        </w:numPr>
      </w:pPr>
      <w:r w:rsidRPr="004E6AFB">
        <w:t xml:space="preserve">The PBAC noted the sponsor’s proposal in the pre-PBAC response to adjust the equi-effective dose on the basis of a difference in the actual versus expected utilisation, or </w:t>
      </w:r>
      <w:r w:rsidR="007868F1" w:rsidRPr="004E6AFB">
        <w:t xml:space="preserve">to use </w:t>
      </w:r>
      <w:r w:rsidRPr="004E6AFB">
        <w:t xml:space="preserve">clinical data from a </w:t>
      </w:r>
      <w:r w:rsidR="007868F1" w:rsidRPr="004E6AFB">
        <w:t>planned</w:t>
      </w:r>
      <w:r w:rsidRPr="004E6AFB">
        <w:t xml:space="preserve"> prospective trial of pregnancy outcomes with follitropin delta. The PBAC considered that such a request would need to be put forward </w:t>
      </w:r>
      <w:r w:rsidR="007868F1" w:rsidRPr="004E6AFB">
        <w:t xml:space="preserve">and considered </w:t>
      </w:r>
      <w:r w:rsidRPr="004E6AFB">
        <w:t xml:space="preserve">as part of a separate major submission </w:t>
      </w:r>
      <w:r w:rsidR="007868F1" w:rsidRPr="004E6AFB">
        <w:t xml:space="preserve">to alter the basis of the existing recommendation, </w:t>
      </w:r>
      <w:r w:rsidRPr="004E6AFB">
        <w:t>when the data became available.</w:t>
      </w:r>
    </w:p>
    <w:p w:rsidR="00C317F3" w:rsidRPr="004E6AFB" w:rsidRDefault="00C317F3" w:rsidP="00772501">
      <w:pPr>
        <w:pStyle w:val="Heading2"/>
        <w:rPr>
          <w:i w:val="0"/>
        </w:rPr>
      </w:pPr>
      <w:bookmarkStart w:id="21" w:name="_Toc492994165"/>
      <w:r w:rsidRPr="004E6AFB">
        <w:rPr>
          <w:i w:val="0"/>
        </w:rPr>
        <w:t>Drug cost/patient/course</w:t>
      </w:r>
      <w:bookmarkEnd w:id="20"/>
      <w:r w:rsidR="00F85509" w:rsidRPr="004E6AFB">
        <w:rPr>
          <w:i w:val="0"/>
        </w:rPr>
        <w:t>: $</w:t>
      </w:r>
      <w:bookmarkEnd w:id="21"/>
      <w:r w:rsidR="0034132A">
        <w:rPr>
          <w:i w:val="0"/>
          <w:noProof/>
          <w:color w:val="000000"/>
          <w:highlight w:val="black"/>
        </w:rPr>
        <w:t>'''''''''''</w:t>
      </w:r>
    </w:p>
    <w:p w:rsidR="00A22F0F" w:rsidRPr="004E6AFB" w:rsidRDefault="00425EE0" w:rsidP="00A22F0F">
      <w:pPr>
        <w:pStyle w:val="ListParagraph"/>
        <w:numPr>
          <w:ilvl w:val="1"/>
          <w:numId w:val="2"/>
        </w:numPr>
        <w:spacing w:before="0" w:after="120"/>
        <w:jc w:val="both"/>
      </w:pPr>
      <w:r w:rsidRPr="004E6AFB">
        <w:t xml:space="preserve">The estimated cost per course of treatment with follitropin </w:t>
      </w:r>
      <w:r w:rsidR="004D02DA" w:rsidRPr="004E6AFB">
        <w:t xml:space="preserve">delta </w:t>
      </w:r>
      <w:r w:rsidRPr="004E6AFB">
        <w:t>is $</w:t>
      </w:r>
      <w:r w:rsidR="0034132A">
        <w:rPr>
          <w:noProof/>
          <w:color w:val="000000"/>
          <w:highlight w:val="black"/>
        </w:rPr>
        <w:t>''''''''''''''''''</w:t>
      </w:r>
      <w:r w:rsidRPr="004E6AFB">
        <w:t xml:space="preserve"> based on the effective price ($</w:t>
      </w:r>
      <w:r w:rsidR="0034132A">
        <w:rPr>
          <w:noProof/>
          <w:color w:val="000000"/>
          <w:highlight w:val="black"/>
        </w:rPr>
        <w:t>'''''''''''''''''</w:t>
      </w:r>
      <w:r w:rsidRPr="004E6AFB">
        <w:t xml:space="preserve"> based on the published price), assuming the maximum daily dose </w:t>
      </w:r>
      <w:r w:rsidR="00217393" w:rsidRPr="004E6AFB">
        <w:t>allowed in COS cycle 1 of 12 </w:t>
      </w:r>
      <w:r w:rsidRPr="004E6AFB">
        <w:t>mcg/day and 15 days of treatment</w:t>
      </w:r>
      <w:r w:rsidR="00A22F0F" w:rsidRPr="004E6AFB">
        <w:t>. This may be an overestimate as the dose of follitropin delta in the first COS cycle is based on AMH levels and body weight (</w:t>
      </w:r>
      <w:r w:rsidR="00C07E92" w:rsidRPr="004E6AFB">
        <w:t>e</w:t>
      </w:r>
      <w:r w:rsidR="00CD3D97" w:rsidRPr="004E6AFB">
        <w:t>.</w:t>
      </w:r>
      <w:r w:rsidR="00C07E92" w:rsidRPr="004E6AFB">
        <w:t>g</w:t>
      </w:r>
      <w:r w:rsidR="00CD3D97" w:rsidRPr="004E6AFB">
        <w:t>.</w:t>
      </w:r>
      <w:r w:rsidR="00C07E92" w:rsidRPr="004E6AFB">
        <w:t xml:space="preserve"> a woman weighing 60</w:t>
      </w:r>
      <w:r w:rsidR="00217393" w:rsidRPr="004E6AFB">
        <w:t> </w:t>
      </w:r>
      <w:r w:rsidR="00C07E92" w:rsidRPr="004E6AFB">
        <w:t xml:space="preserve">kg with AMH </w:t>
      </w:r>
      <w:r w:rsidR="00C07E92" w:rsidRPr="004E6AFB">
        <w:rPr>
          <w:rFonts w:cstheme="minorHAnsi"/>
        </w:rPr>
        <w:t>≥</w:t>
      </w:r>
      <w:r w:rsidR="00217393" w:rsidRPr="004E6AFB">
        <w:t>40 would require 0.10 </w:t>
      </w:r>
      <w:r w:rsidR="00C07E92" w:rsidRPr="004E6AFB">
        <w:t xml:space="preserve">mcg/kg or </w:t>
      </w:r>
      <w:r w:rsidR="00217393" w:rsidRPr="004E6AFB">
        <w:t>6 </w:t>
      </w:r>
      <w:r w:rsidR="00C07E92" w:rsidRPr="004E6AFB">
        <w:t>mcg/day)</w:t>
      </w:r>
      <w:r w:rsidR="00274661" w:rsidRPr="004E6AFB">
        <w:t xml:space="preserve"> and mean days of treatment in the ESTHER</w:t>
      </w:r>
      <w:r w:rsidR="00FE07A1" w:rsidRPr="004E6AFB">
        <w:noBreakHyphen/>
      </w:r>
      <w:r w:rsidR="00274661" w:rsidRPr="004E6AFB">
        <w:t>1 trial was nine days</w:t>
      </w:r>
      <w:r w:rsidRPr="004E6AFB">
        <w:t>.</w:t>
      </w:r>
      <w:r w:rsidR="00A22F0F" w:rsidRPr="004E6AFB">
        <w:t xml:space="preserve"> </w:t>
      </w:r>
    </w:p>
    <w:p w:rsidR="00A22F0F" w:rsidRPr="004E6AFB" w:rsidRDefault="00A22F0F" w:rsidP="00A22F0F">
      <w:pPr>
        <w:pStyle w:val="ListParagraph"/>
        <w:numPr>
          <w:ilvl w:val="1"/>
          <w:numId w:val="2"/>
        </w:numPr>
        <w:spacing w:before="0" w:after="120"/>
        <w:jc w:val="both"/>
      </w:pPr>
      <w:r w:rsidRPr="004E6AFB">
        <w:t>This compares with $1,684.55 per script of f</w:t>
      </w:r>
      <w:r w:rsidR="00217393" w:rsidRPr="004E6AFB">
        <w:t>ollitropin alfa (Gonal F) 900 I</w:t>
      </w:r>
      <w:r w:rsidRPr="004E6AFB">
        <w:t>U and $2,114.10 per script of fol</w:t>
      </w:r>
      <w:r w:rsidR="00217393" w:rsidRPr="004E6AFB">
        <w:t>litropin beta (Puregon) 900 IU</w:t>
      </w:r>
      <w:r w:rsidR="006A4444">
        <w:t>.</w:t>
      </w:r>
      <w:r w:rsidRPr="004E6AFB">
        <w:t xml:space="preserve"> The financial estimates in the submission assume one script of follitropin delta will replace one script of follitropin alfa or follitropin beta.</w:t>
      </w:r>
    </w:p>
    <w:p w:rsidR="00C317F3" w:rsidRPr="004E6AFB" w:rsidRDefault="00A22F0F" w:rsidP="00A22F0F">
      <w:pPr>
        <w:pStyle w:val="ListParagraph"/>
        <w:numPr>
          <w:ilvl w:val="1"/>
          <w:numId w:val="2"/>
        </w:numPr>
        <w:spacing w:before="0" w:after="120"/>
        <w:jc w:val="both"/>
      </w:pPr>
      <w:r w:rsidRPr="004E6AFB">
        <w:t>D</w:t>
      </w:r>
      <w:r w:rsidR="00425EE0" w:rsidRPr="004E6AFB">
        <w:t xml:space="preserve">oses </w:t>
      </w:r>
      <w:r w:rsidRPr="004E6AFB">
        <w:t xml:space="preserve">of follitropin delta </w:t>
      </w:r>
      <w:r w:rsidR="00425EE0" w:rsidRPr="004E6AFB">
        <w:t xml:space="preserve">for subsequent COS cycles are difficult to determine </w:t>
      </w:r>
      <w:r w:rsidRPr="004E6AFB">
        <w:t xml:space="preserve">as they are </w:t>
      </w:r>
      <w:r w:rsidR="00425EE0" w:rsidRPr="004E6AFB">
        <w:t xml:space="preserve">based on </w:t>
      </w:r>
      <w:r w:rsidRPr="004E6AFB">
        <w:t xml:space="preserve">ovarian response in the previous cycle. </w:t>
      </w:r>
    </w:p>
    <w:p w:rsidR="00C317F3" w:rsidRPr="004E6AFB" w:rsidRDefault="00C317F3" w:rsidP="00772501">
      <w:pPr>
        <w:pStyle w:val="Heading2"/>
        <w:rPr>
          <w:i w:val="0"/>
        </w:rPr>
      </w:pPr>
      <w:bookmarkStart w:id="22" w:name="_Toc413139284"/>
      <w:bookmarkStart w:id="23" w:name="_Toc492994166"/>
      <w:r w:rsidRPr="004E6AFB">
        <w:rPr>
          <w:i w:val="0"/>
        </w:rPr>
        <w:t>Estimated PBS usage &amp; financial implications</w:t>
      </w:r>
      <w:bookmarkEnd w:id="22"/>
      <w:bookmarkEnd w:id="23"/>
    </w:p>
    <w:p w:rsidR="00C317F3" w:rsidRPr="004E6AFB" w:rsidRDefault="00C317F3" w:rsidP="00A25512">
      <w:pPr>
        <w:pStyle w:val="ListParagraph"/>
        <w:numPr>
          <w:ilvl w:val="1"/>
          <w:numId w:val="2"/>
        </w:numPr>
        <w:spacing w:before="0" w:after="120"/>
        <w:jc w:val="both"/>
      </w:pPr>
      <w:r w:rsidRPr="004E6AFB">
        <w:t xml:space="preserve">This submission </w:t>
      </w:r>
      <w:r w:rsidR="00454493" w:rsidRPr="004E6AFB">
        <w:t>w</w:t>
      </w:r>
      <w:r w:rsidR="00B35639" w:rsidRPr="004E6AFB">
        <w:t>as</w:t>
      </w:r>
      <w:r w:rsidR="00454493" w:rsidRPr="004E6AFB">
        <w:t xml:space="preserve"> </w:t>
      </w:r>
      <w:r w:rsidR="00B77B7D" w:rsidRPr="004E6AFB">
        <w:t xml:space="preserve">not </w:t>
      </w:r>
      <w:r w:rsidRPr="004E6AFB">
        <w:t xml:space="preserve">considered by DUSC.  </w:t>
      </w:r>
    </w:p>
    <w:p w:rsidR="00A22F0F" w:rsidRPr="004E6AFB" w:rsidRDefault="00A22F0F" w:rsidP="00A25512">
      <w:pPr>
        <w:pStyle w:val="ListParagraph"/>
        <w:numPr>
          <w:ilvl w:val="1"/>
          <w:numId w:val="2"/>
        </w:numPr>
        <w:spacing w:before="0" w:after="120"/>
        <w:jc w:val="both"/>
      </w:pPr>
      <w:r w:rsidRPr="004E6AFB">
        <w:t>The submission reasonably estimates the financial impact of listing follitropin delta on the PBS using a market share approach.</w:t>
      </w:r>
    </w:p>
    <w:p w:rsidR="00C317F3" w:rsidRPr="004E6AFB" w:rsidRDefault="00642795" w:rsidP="00A25512">
      <w:pPr>
        <w:pStyle w:val="ListParagraph"/>
        <w:numPr>
          <w:ilvl w:val="1"/>
          <w:numId w:val="2"/>
        </w:numPr>
        <w:spacing w:before="0" w:after="120"/>
        <w:jc w:val="both"/>
      </w:pPr>
      <w:r w:rsidRPr="004E6AFB">
        <w:t xml:space="preserve">Table </w:t>
      </w:r>
      <w:r w:rsidR="00ED4D61" w:rsidRPr="004E6AFB">
        <w:t>8</w:t>
      </w:r>
      <w:r w:rsidR="00A22F0F" w:rsidRPr="004E6AFB">
        <w:t xml:space="preserve"> summarises the </w:t>
      </w:r>
      <w:r w:rsidR="00415C73" w:rsidRPr="004E6AFB">
        <w:t>estimated financial implication of listing follitropin delta on the PBS.</w:t>
      </w:r>
    </w:p>
    <w:p w:rsidR="00C317F3" w:rsidRPr="004E6AFB" w:rsidRDefault="00C317F3" w:rsidP="00772501">
      <w:pPr>
        <w:pStyle w:val="TableHeading0"/>
      </w:pPr>
      <w:r w:rsidRPr="004E6AFB">
        <w:t xml:space="preserve">Table </w:t>
      </w:r>
      <w:r w:rsidR="00ED4D61" w:rsidRPr="004E6AFB">
        <w:t>8</w:t>
      </w:r>
      <w:r w:rsidRPr="004E6AFB">
        <w:t>: 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707"/>
        <w:gridCol w:w="1045"/>
        <w:gridCol w:w="1047"/>
        <w:gridCol w:w="1048"/>
        <w:gridCol w:w="1046"/>
        <w:gridCol w:w="1048"/>
        <w:gridCol w:w="1063"/>
      </w:tblGrid>
      <w:tr w:rsidR="00E37424" w:rsidRPr="004E6AFB" w:rsidTr="00A22F0F">
        <w:trPr>
          <w:tblHeader/>
        </w:trPr>
        <w:tc>
          <w:tcPr>
            <w:tcW w:w="1505" w:type="pct"/>
            <w:shd w:val="clear" w:color="auto" w:fill="auto"/>
            <w:vAlign w:val="center"/>
          </w:tcPr>
          <w:p w:rsidR="00E37424" w:rsidRPr="004E6AFB" w:rsidRDefault="00E37424" w:rsidP="00772501">
            <w:pPr>
              <w:pStyle w:val="TableText"/>
            </w:pPr>
          </w:p>
        </w:tc>
        <w:tc>
          <w:tcPr>
            <w:tcW w:w="582" w:type="pct"/>
            <w:shd w:val="clear" w:color="auto" w:fill="auto"/>
            <w:vAlign w:val="center"/>
          </w:tcPr>
          <w:p w:rsidR="00E37424" w:rsidRPr="004E6AFB" w:rsidRDefault="00E37424" w:rsidP="00772501">
            <w:pPr>
              <w:pStyle w:val="TableText"/>
              <w:jc w:val="center"/>
              <w:rPr>
                <w:b/>
              </w:rPr>
            </w:pPr>
            <w:r w:rsidRPr="004E6AFB">
              <w:rPr>
                <w:b/>
              </w:rPr>
              <w:t>Year 1</w:t>
            </w:r>
          </w:p>
        </w:tc>
        <w:tc>
          <w:tcPr>
            <w:tcW w:w="583" w:type="pct"/>
            <w:shd w:val="clear" w:color="auto" w:fill="auto"/>
            <w:vAlign w:val="center"/>
          </w:tcPr>
          <w:p w:rsidR="00E37424" w:rsidRPr="004E6AFB" w:rsidRDefault="00E37424" w:rsidP="00772501">
            <w:pPr>
              <w:pStyle w:val="TableText"/>
              <w:jc w:val="center"/>
              <w:rPr>
                <w:b/>
              </w:rPr>
            </w:pPr>
            <w:r w:rsidRPr="004E6AFB">
              <w:rPr>
                <w:b/>
              </w:rPr>
              <w:t>Year 2</w:t>
            </w:r>
          </w:p>
        </w:tc>
        <w:tc>
          <w:tcPr>
            <w:tcW w:w="583" w:type="pct"/>
            <w:shd w:val="clear" w:color="auto" w:fill="auto"/>
            <w:vAlign w:val="center"/>
          </w:tcPr>
          <w:p w:rsidR="00E37424" w:rsidRPr="004E6AFB" w:rsidRDefault="00E37424" w:rsidP="00772501">
            <w:pPr>
              <w:pStyle w:val="TableText"/>
              <w:jc w:val="center"/>
              <w:rPr>
                <w:b/>
              </w:rPr>
            </w:pPr>
            <w:r w:rsidRPr="004E6AFB">
              <w:rPr>
                <w:b/>
              </w:rPr>
              <w:t>Year 3</w:t>
            </w:r>
          </w:p>
        </w:tc>
        <w:tc>
          <w:tcPr>
            <w:tcW w:w="582" w:type="pct"/>
            <w:shd w:val="clear" w:color="auto" w:fill="auto"/>
            <w:vAlign w:val="center"/>
          </w:tcPr>
          <w:p w:rsidR="00E37424" w:rsidRPr="004E6AFB" w:rsidRDefault="00E37424" w:rsidP="00772501">
            <w:pPr>
              <w:pStyle w:val="TableText"/>
              <w:jc w:val="center"/>
              <w:rPr>
                <w:b/>
              </w:rPr>
            </w:pPr>
            <w:r w:rsidRPr="004E6AFB">
              <w:rPr>
                <w:b/>
              </w:rPr>
              <w:t>Year 4</w:t>
            </w:r>
          </w:p>
        </w:tc>
        <w:tc>
          <w:tcPr>
            <w:tcW w:w="583" w:type="pct"/>
            <w:shd w:val="clear" w:color="auto" w:fill="auto"/>
            <w:vAlign w:val="center"/>
          </w:tcPr>
          <w:p w:rsidR="00E37424" w:rsidRPr="004E6AFB" w:rsidRDefault="00E37424" w:rsidP="00772501">
            <w:pPr>
              <w:pStyle w:val="TableText"/>
              <w:jc w:val="center"/>
              <w:rPr>
                <w:b/>
              </w:rPr>
            </w:pPr>
            <w:r w:rsidRPr="004E6AFB">
              <w:rPr>
                <w:b/>
              </w:rPr>
              <w:t>Year 5</w:t>
            </w:r>
          </w:p>
        </w:tc>
        <w:tc>
          <w:tcPr>
            <w:tcW w:w="582" w:type="pct"/>
          </w:tcPr>
          <w:p w:rsidR="00E37424" w:rsidRPr="004E6AFB" w:rsidRDefault="00E37424" w:rsidP="00772501">
            <w:pPr>
              <w:pStyle w:val="TableText"/>
              <w:jc w:val="center"/>
              <w:rPr>
                <w:b/>
              </w:rPr>
            </w:pPr>
            <w:r w:rsidRPr="004E6AFB">
              <w:rPr>
                <w:b/>
              </w:rPr>
              <w:t>Year 6</w:t>
            </w:r>
          </w:p>
        </w:tc>
      </w:tr>
      <w:tr w:rsidR="00E37424" w:rsidRPr="004E6AFB" w:rsidTr="00E37424">
        <w:tc>
          <w:tcPr>
            <w:tcW w:w="5000" w:type="pct"/>
            <w:gridSpan w:val="7"/>
            <w:shd w:val="clear" w:color="auto" w:fill="auto"/>
            <w:vAlign w:val="center"/>
          </w:tcPr>
          <w:p w:rsidR="00E37424" w:rsidRPr="004E6AFB" w:rsidRDefault="00E37424" w:rsidP="00772501">
            <w:pPr>
              <w:pStyle w:val="TableText"/>
              <w:rPr>
                <w:b/>
                <w:bCs/>
                <w:color w:val="000000"/>
              </w:rPr>
            </w:pPr>
            <w:r w:rsidRPr="004E6AFB">
              <w:rPr>
                <w:b/>
                <w:bCs/>
                <w:color w:val="000000"/>
              </w:rPr>
              <w:t>Estimated extent of use</w:t>
            </w:r>
          </w:p>
        </w:tc>
      </w:tr>
      <w:tr w:rsidR="00A22F0F" w:rsidRPr="004E6AFB" w:rsidTr="00A22F0F">
        <w:tc>
          <w:tcPr>
            <w:tcW w:w="1505" w:type="pct"/>
            <w:shd w:val="clear" w:color="auto" w:fill="auto"/>
            <w:vAlign w:val="center"/>
          </w:tcPr>
          <w:p w:rsidR="00A22F0F" w:rsidRPr="004E6AFB" w:rsidRDefault="00A22F0F" w:rsidP="00A22F0F">
            <w:pPr>
              <w:pStyle w:val="TableText"/>
              <w:rPr>
                <w:rFonts w:ascii="Times" w:eastAsia="Times New Roman" w:hAnsi="Times" w:cs="Times New Roman"/>
                <w:vertAlign w:val="superscript"/>
              </w:rPr>
            </w:pPr>
            <w:r w:rsidRPr="004E6AFB">
              <w:t>Number of scripts dispensed</w:t>
            </w:r>
          </w:p>
        </w:tc>
        <w:tc>
          <w:tcPr>
            <w:tcW w:w="582" w:type="pct"/>
            <w:shd w:val="clear" w:color="auto" w:fill="auto"/>
            <w:vAlign w:val="center"/>
          </w:tcPr>
          <w:p w:rsidR="00A22F0F" w:rsidRPr="0034132A" w:rsidRDefault="0034132A" w:rsidP="00A22F0F">
            <w:pPr>
              <w:pStyle w:val="TableText"/>
              <w:jc w:val="center"/>
              <w:rPr>
                <w:bCs/>
                <w:color w:val="000000"/>
                <w:highlight w:val="black"/>
              </w:rPr>
            </w:pPr>
            <w:r>
              <w:rPr>
                <w:noProof/>
                <w:color w:val="000000"/>
                <w:highlight w:val="black"/>
              </w:rPr>
              <w:t>''''''''''</w:t>
            </w:r>
          </w:p>
        </w:tc>
        <w:tc>
          <w:tcPr>
            <w:tcW w:w="583" w:type="pct"/>
            <w:shd w:val="clear" w:color="auto" w:fill="auto"/>
            <w:vAlign w:val="center"/>
          </w:tcPr>
          <w:p w:rsidR="00A22F0F" w:rsidRPr="0034132A" w:rsidRDefault="0034132A" w:rsidP="00A22F0F">
            <w:pPr>
              <w:pStyle w:val="TableText"/>
              <w:jc w:val="center"/>
              <w:rPr>
                <w:bCs/>
                <w:color w:val="000000"/>
                <w:highlight w:val="black"/>
              </w:rPr>
            </w:pPr>
            <w:r>
              <w:rPr>
                <w:noProof/>
                <w:color w:val="000000"/>
                <w:highlight w:val="black"/>
              </w:rPr>
              <w:t>''''''''''''</w:t>
            </w:r>
          </w:p>
        </w:tc>
        <w:tc>
          <w:tcPr>
            <w:tcW w:w="583" w:type="pct"/>
            <w:shd w:val="clear" w:color="auto" w:fill="auto"/>
            <w:vAlign w:val="center"/>
          </w:tcPr>
          <w:p w:rsidR="00A22F0F" w:rsidRPr="0034132A" w:rsidRDefault="0034132A" w:rsidP="00A22F0F">
            <w:pPr>
              <w:pStyle w:val="TableText"/>
              <w:jc w:val="center"/>
              <w:rPr>
                <w:bCs/>
                <w:color w:val="000000"/>
                <w:highlight w:val="black"/>
              </w:rPr>
            </w:pPr>
            <w:r>
              <w:rPr>
                <w:noProof/>
                <w:color w:val="000000"/>
                <w:highlight w:val="black"/>
              </w:rPr>
              <w:t>''''''''''''</w:t>
            </w:r>
          </w:p>
        </w:tc>
        <w:tc>
          <w:tcPr>
            <w:tcW w:w="582" w:type="pct"/>
            <w:shd w:val="clear" w:color="auto" w:fill="auto"/>
            <w:vAlign w:val="center"/>
          </w:tcPr>
          <w:p w:rsidR="00A22F0F" w:rsidRPr="0034132A" w:rsidRDefault="0034132A" w:rsidP="00A22F0F">
            <w:pPr>
              <w:pStyle w:val="TableText"/>
              <w:jc w:val="center"/>
              <w:rPr>
                <w:bCs/>
                <w:color w:val="000000"/>
                <w:highlight w:val="black"/>
              </w:rPr>
            </w:pPr>
            <w:r>
              <w:rPr>
                <w:noProof/>
                <w:color w:val="000000"/>
                <w:highlight w:val="black"/>
              </w:rPr>
              <w:t>''''''''''''''</w:t>
            </w:r>
          </w:p>
        </w:tc>
        <w:tc>
          <w:tcPr>
            <w:tcW w:w="583" w:type="pct"/>
            <w:shd w:val="clear" w:color="auto" w:fill="auto"/>
            <w:vAlign w:val="center"/>
          </w:tcPr>
          <w:p w:rsidR="00A22F0F" w:rsidRPr="0034132A" w:rsidRDefault="0034132A" w:rsidP="00A22F0F">
            <w:pPr>
              <w:pStyle w:val="TableText"/>
              <w:jc w:val="center"/>
              <w:rPr>
                <w:bCs/>
                <w:color w:val="000000"/>
                <w:highlight w:val="black"/>
              </w:rPr>
            </w:pPr>
            <w:r>
              <w:rPr>
                <w:noProof/>
                <w:color w:val="000000"/>
                <w:highlight w:val="black"/>
              </w:rPr>
              <w:t>'''''''''''''''</w:t>
            </w:r>
          </w:p>
        </w:tc>
        <w:tc>
          <w:tcPr>
            <w:tcW w:w="582" w:type="pct"/>
            <w:vAlign w:val="center"/>
          </w:tcPr>
          <w:p w:rsidR="00A22F0F" w:rsidRPr="0034132A" w:rsidRDefault="0034132A" w:rsidP="00A22F0F">
            <w:pPr>
              <w:pStyle w:val="TableText"/>
              <w:jc w:val="center"/>
              <w:rPr>
                <w:bCs/>
                <w:color w:val="000000"/>
                <w:highlight w:val="black"/>
              </w:rPr>
            </w:pPr>
            <w:r>
              <w:rPr>
                <w:noProof/>
                <w:color w:val="000000"/>
                <w:highlight w:val="black"/>
              </w:rPr>
              <w:t>'''''''''''''</w:t>
            </w:r>
          </w:p>
        </w:tc>
      </w:tr>
      <w:tr w:rsidR="00A22F0F" w:rsidRPr="004E6AFB" w:rsidTr="00E37424">
        <w:tc>
          <w:tcPr>
            <w:tcW w:w="5000" w:type="pct"/>
            <w:gridSpan w:val="7"/>
            <w:shd w:val="clear" w:color="auto" w:fill="auto"/>
            <w:vAlign w:val="center"/>
          </w:tcPr>
          <w:p w:rsidR="00A22F0F" w:rsidRPr="004E6AFB" w:rsidRDefault="00A22F0F" w:rsidP="00415C73">
            <w:pPr>
              <w:pStyle w:val="TableText"/>
              <w:rPr>
                <w:b/>
                <w:bCs/>
                <w:color w:val="000000"/>
              </w:rPr>
            </w:pPr>
            <w:r w:rsidRPr="004E6AFB">
              <w:rPr>
                <w:b/>
                <w:bCs/>
                <w:color w:val="000000"/>
              </w:rPr>
              <w:t xml:space="preserve">Estimated financial implications of </w:t>
            </w:r>
            <w:r w:rsidR="00415C73" w:rsidRPr="004E6AFB">
              <w:rPr>
                <w:b/>
                <w:bCs/>
                <w:color w:val="000000"/>
              </w:rPr>
              <w:t>follitropin delta</w:t>
            </w:r>
          </w:p>
        </w:tc>
      </w:tr>
      <w:tr w:rsidR="00A22F0F" w:rsidRPr="004E6AFB" w:rsidTr="00A22F0F">
        <w:tc>
          <w:tcPr>
            <w:tcW w:w="1505" w:type="pct"/>
            <w:shd w:val="clear" w:color="auto" w:fill="auto"/>
            <w:vAlign w:val="center"/>
          </w:tcPr>
          <w:p w:rsidR="00A22F0F" w:rsidRPr="004E6AFB" w:rsidRDefault="00A22F0F" w:rsidP="00A22F0F">
            <w:pPr>
              <w:pStyle w:val="TableText"/>
              <w:rPr>
                <w:sz w:val="19"/>
                <w:szCs w:val="19"/>
                <w:vertAlign w:val="superscript"/>
              </w:rPr>
            </w:pPr>
            <w:r w:rsidRPr="004E6AFB">
              <w:rPr>
                <w:sz w:val="19"/>
                <w:szCs w:val="19"/>
              </w:rPr>
              <w:t>Cost to PBS/RPBS less copayments (effective)</w:t>
            </w:r>
            <w:r w:rsidR="00FF32F5" w:rsidRPr="004E6AFB">
              <w:rPr>
                <w:sz w:val="19"/>
                <w:szCs w:val="19"/>
                <w:vertAlign w:val="superscript"/>
              </w:rPr>
              <w:t>a</w:t>
            </w:r>
          </w:p>
        </w:tc>
        <w:tc>
          <w:tcPr>
            <w:tcW w:w="582" w:type="pct"/>
            <w:shd w:val="clear" w:color="auto" w:fill="auto"/>
            <w:vAlign w:val="center"/>
          </w:tcPr>
          <w:p w:rsidR="00A22F0F" w:rsidRPr="0034132A" w:rsidRDefault="0034132A" w:rsidP="00A22F0F">
            <w:pPr>
              <w:pStyle w:val="TableText"/>
              <w:jc w:val="center"/>
              <w:rPr>
                <w:bCs/>
                <w:color w:val="000000"/>
                <w:highlight w:val="black"/>
              </w:rPr>
            </w:pPr>
            <w:r>
              <w:rPr>
                <w:noProof/>
                <w:color w:val="000000"/>
                <w:highlight w:val="black"/>
              </w:rPr>
              <w:t>''''''''''''''''''''''</w:t>
            </w:r>
          </w:p>
        </w:tc>
        <w:tc>
          <w:tcPr>
            <w:tcW w:w="583" w:type="pct"/>
            <w:shd w:val="clear" w:color="auto" w:fill="auto"/>
            <w:vAlign w:val="center"/>
          </w:tcPr>
          <w:p w:rsidR="00A22F0F" w:rsidRPr="0034132A" w:rsidRDefault="0034132A" w:rsidP="00A22F0F">
            <w:pPr>
              <w:pStyle w:val="TableText"/>
              <w:jc w:val="center"/>
              <w:rPr>
                <w:bCs/>
                <w:color w:val="000000"/>
                <w:highlight w:val="black"/>
              </w:rPr>
            </w:pPr>
            <w:r>
              <w:rPr>
                <w:noProof/>
                <w:color w:val="000000"/>
                <w:highlight w:val="black"/>
              </w:rPr>
              <w:t>'''''''''''''''''''''''''</w:t>
            </w:r>
          </w:p>
        </w:tc>
        <w:tc>
          <w:tcPr>
            <w:tcW w:w="583" w:type="pct"/>
            <w:shd w:val="clear" w:color="auto" w:fill="auto"/>
            <w:vAlign w:val="center"/>
          </w:tcPr>
          <w:p w:rsidR="00A22F0F" w:rsidRPr="0034132A" w:rsidRDefault="0034132A" w:rsidP="00A22F0F">
            <w:pPr>
              <w:pStyle w:val="TableText"/>
              <w:jc w:val="center"/>
              <w:rPr>
                <w:bCs/>
                <w:color w:val="000000"/>
                <w:highlight w:val="black"/>
              </w:rPr>
            </w:pPr>
            <w:r>
              <w:rPr>
                <w:noProof/>
                <w:color w:val="000000"/>
                <w:highlight w:val="black"/>
              </w:rPr>
              <w:t>'''''''''''''''''''''''''''''</w:t>
            </w:r>
          </w:p>
        </w:tc>
        <w:tc>
          <w:tcPr>
            <w:tcW w:w="582" w:type="pct"/>
            <w:shd w:val="clear" w:color="auto" w:fill="auto"/>
            <w:vAlign w:val="center"/>
          </w:tcPr>
          <w:p w:rsidR="00A22F0F" w:rsidRPr="0034132A" w:rsidRDefault="0034132A" w:rsidP="00A22F0F">
            <w:pPr>
              <w:pStyle w:val="TableText"/>
              <w:jc w:val="center"/>
              <w:rPr>
                <w:bCs/>
                <w:color w:val="000000"/>
                <w:highlight w:val="black"/>
              </w:rPr>
            </w:pPr>
            <w:r>
              <w:rPr>
                <w:noProof/>
                <w:color w:val="000000"/>
                <w:highlight w:val="black"/>
              </w:rPr>
              <w:t>'''''''''''''''''''''''''''</w:t>
            </w:r>
          </w:p>
        </w:tc>
        <w:tc>
          <w:tcPr>
            <w:tcW w:w="583" w:type="pct"/>
            <w:shd w:val="clear" w:color="auto" w:fill="auto"/>
            <w:vAlign w:val="center"/>
          </w:tcPr>
          <w:p w:rsidR="00A22F0F" w:rsidRPr="0034132A" w:rsidRDefault="0034132A" w:rsidP="00A22F0F">
            <w:pPr>
              <w:pStyle w:val="TableText"/>
              <w:jc w:val="center"/>
              <w:rPr>
                <w:bCs/>
                <w:color w:val="000000"/>
                <w:highlight w:val="black"/>
              </w:rPr>
            </w:pPr>
            <w:r>
              <w:rPr>
                <w:noProof/>
                <w:color w:val="000000"/>
                <w:highlight w:val="black"/>
              </w:rPr>
              <w:t>'''''''''''''''''''''''''</w:t>
            </w:r>
          </w:p>
        </w:tc>
        <w:tc>
          <w:tcPr>
            <w:tcW w:w="582" w:type="pct"/>
            <w:vAlign w:val="center"/>
          </w:tcPr>
          <w:p w:rsidR="00A22F0F" w:rsidRPr="0034132A" w:rsidRDefault="0034132A" w:rsidP="00A22F0F">
            <w:pPr>
              <w:pStyle w:val="TableText"/>
              <w:jc w:val="center"/>
              <w:rPr>
                <w:bCs/>
                <w:color w:val="000000"/>
                <w:highlight w:val="black"/>
              </w:rPr>
            </w:pPr>
            <w:r>
              <w:rPr>
                <w:noProof/>
                <w:color w:val="000000"/>
                <w:highlight w:val="black"/>
              </w:rPr>
              <w:t>''''''''''''''''''''''''''</w:t>
            </w:r>
          </w:p>
        </w:tc>
      </w:tr>
      <w:tr w:rsidR="00A22F0F" w:rsidRPr="004E6AFB" w:rsidTr="00FF32F5">
        <w:tc>
          <w:tcPr>
            <w:tcW w:w="1505" w:type="pct"/>
            <w:shd w:val="clear" w:color="auto" w:fill="auto"/>
            <w:vAlign w:val="center"/>
          </w:tcPr>
          <w:p w:rsidR="00A22F0F" w:rsidRPr="004E6AFB" w:rsidRDefault="00A22F0F" w:rsidP="00A22F0F">
            <w:pPr>
              <w:pStyle w:val="TableText"/>
              <w:rPr>
                <w:sz w:val="19"/>
                <w:szCs w:val="19"/>
                <w:vertAlign w:val="superscript"/>
              </w:rPr>
            </w:pPr>
            <w:r w:rsidRPr="004E6AFB">
              <w:rPr>
                <w:sz w:val="19"/>
                <w:szCs w:val="19"/>
              </w:rPr>
              <w:t>Cost to PBS/RPBS less copayments (published)</w:t>
            </w:r>
            <w:r w:rsidR="00FF32F5" w:rsidRPr="004E6AFB">
              <w:rPr>
                <w:sz w:val="19"/>
                <w:szCs w:val="19"/>
                <w:vertAlign w:val="superscript"/>
              </w:rPr>
              <w:t>a</w:t>
            </w:r>
          </w:p>
        </w:tc>
        <w:tc>
          <w:tcPr>
            <w:tcW w:w="582" w:type="pct"/>
            <w:shd w:val="clear" w:color="auto" w:fill="auto"/>
            <w:vAlign w:val="center"/>
          </w:tcPr>
          <w:p w:rsidR="00A22F0F" w:rsidRPr="0034132A" w:rsidRDefault="0034132A" w:rsidP="00FF32F5">
            <w:pPr>
              <w:pStyle w:val="TableText"/>
              <w:jc w:val="center"/>
              <w:rPr>
                <w:highlight w:val="black"/>
              </w:rPr>
            </w:pPr>
            <w:r>
              <w:rPr>
                <w:noProof/>
                <w:color w:val="000000"/>
                <w:highlight w:val="black"/>
              </w:rPr>
              <w:t>''''''''''''''''''''''''''''</w:t>
            </w:r>
          </w:p>
        </w:tc>
        <w:tc>
          <w:tcPr>
            <w:tcW w:w="583" w:type="pct"/>
            <w:shd w:val="clear" w:color="auto" w:fill="auto"/>
            <w:vAlign w:val="center"/>
          </w:tcPr>
          <w:p w:rsidR="00A22F0F" w:rsidRPr="0034132A" w:rsidRDefault="0034132A" w:rsidP="00FF32F5">
            <w:pPr>
              <w:pStyle w:val="TableText"/>
              <w:jc w:val="center"/>
              <w:rPr>
                <w:highlight w:val="black"/>
              </w:rPr>
            </w:pPr>
            <w:r>
              <w:rPr>
                <w:noProof/>
                <w:color w:val="000000"/>
                <w:highlight w:val="black"/>
              </w:rPr>
              <w:t>'''''''''''''''''''''''''''''</w:t>
            </w:r>
          </w:p>
        </w:tc>
        <w:tc>
          <w:tcPr>
            <w:tcW w:w="583" w:type="pct"/>
            <w:shd w:val="clear" w:color="auto" w:fill="auto"/>
            <w:vAlign w:val="center"/>
          </w:tcPr>
          <w:p w:rsidR="00A22F0F" w:rsidRPr="0034132A" w:rsidRDefault="0034132A" w:rsidP="00FF32F5">
            <w:pPr>
              <w:pStyle w:val="TableText"/>
              <w:jc w:val="center"/>
              <w:rPr>
                <w:highlight w:val="black"/>
              </w:rPr>
            </w:pPr>
            <w:r>
              <w:rPr>
                <w:noProof/>
                <w:color w:val="000000"/>
                <w:highlight w:val="black"/>
              </w:rPr>
              <w:t>''''''''''''''''''''''''''''</w:t>
            </w:r>
          </w:p>
        </w:tc>
        <w:tc>
          <w:tcPr>
            <w:tcW w:w="582" w:type="pct"/>
            <w:shd w:val="clear" w:color="auto" w:fill="auto"/>
            <w:vAlign w:val="center"/>
          </w:tcPr>
          <w:p w:rsidR="00A22F0F" w:rsidRPr="0034132A" w:rsidRDefault="0034132A" w:rsidP="00FF32F5">
            <w:pPr>
              <w:pStyle w:val="TableText"/>
              <w:jc w:val="center"/>
              <w:rPr>
                <w:highlight w:val="black"/>
              </w:rPr>
            </w:pPr>
            <w:r>
              <w:rPr>
                <w:noProof/>
                <w:color w:val="000000"/>
                <w:highlight w:val="black"/>
              </w:rPr>
              <w:t>''''''''''''''''''''''''''</w:t>
            </w:r>
          </w:p>
        </w:tc>
        <w:tc>
          <w:tcPr>
            <w:tcW w:w="583" w:type="pct"/>
            <w:shd w:val="clear" w:color="auto" w:fill="auto"/>
            <w:vAlign w:val="center"/>
          </w:tcPr>
          <w:p w:rsidR="00A22F0F" w:rsidRPr="0034132A" w:rsidRDefault="0034132A" w:rsidP="00FF32F5">
            <w:pPr>
              <w:pStyle w:val="TableText"/>
              <w:jc w:val="center"/>
              <w:rPr>
                <w:highlight w:val="black"/>
              </w:rPr>
            </w:pPr>
            <w:r>
              <w:rPr>
                <w:noProof/>
                <w:color w:val="000000"/>
                <w:highlight w:val="black"/>
              </w:rPr>
              <w:t>'''''''''''''''''''''''''''</w:t>
            </w:r>
          </w:p>
        </w:tc>
        <w:tc>
          <w:tcPr>
            <w:tcW w:w="582" w:type="pct"/>
            <w:vAlign w:val="center"/>
          </w:tcPr>
          <w:p w:rsidR="00A22F0F" w:rsidRPr="0034132A" w:rsidRDefault="0034132A" w:rsidP="00FF32F5">
            <w:pPr>
              <w:pStyle w:val="TableText"/>
              <w:jc w:val="center"/>
              <w:rPr>
                <w:highlight w:val="black"/>
              </w:rPr>
            </w:pPr>
            <w:r>
              <w:rPr>
                <w:noProof/>
                <w:color w:val="000000"/>
                <w:highlight w:val="black"/>
              </w:rPr>
              <w:t>''''''''''''''''''''''''''''''''</w:t>
            </w:r>
          </w:p>
        </w:tc>
      </w:tr>
      <w:tr w:rsidR="00A22F0F" w:rsidRPr="004E6AFB" w:rsidTr="00607758">
        <w:tc>
          <w:tcPr>
            <w:tcW w:w="5000" w:type="pct"/>
            <w:gridSpan w:val="7"/>
            <w:shd w:val="clear" w:color="auto" w:fill="auto"/>
            <w:vAlign w:val="center"/>
          </w:tcPr>
          <w:p w:rsidR="00A22F0F" w:rsidRPr="004E6AFB" w:rsidRDefault="00A22F0F" w:rsidP="00C07E92">
            <w:pPr>
              <w:pStyle w:val="TableText"/>
              <w:rPr>
                <w:bCs/>
                <w:color w:val="000000"/>
              </w:rPr>
            </w:pPr>
            <w:r w:rsidRPr="004E6AFB">
              <w:rPr>
                <w:b/>
                <w:bCs/>
                <w:color w:val="000000"/>
              </w:rPr>
              <w:t xml:space="preserve">Estimated financial implications for </w:t>
            </w:r>
            <w:r w:rsidR="00C07E92" w:rsidRPr="004E6AFB">
              <w:rPr>
                <w:b/>
                <w:bCs/>
                <w:color w:val="000000"/>
              </w:rPr>
              <w:t>follitropin alfa and beta</w:t>
            </w:r>
          </w:p>
        </w:tc>
      </w:tr>
      <w:tr w:rsidR="00FF32F5" w:rsidRPr="004E6AFB" w:rsidTr="00A22F0F">
        <w:tc>
          <w:tcPr>
            <w:tcW w:w="1505" w:type="pct"/>
            <w:shd w:val="clear" w:color="auto" w:fill="auto"/>
            <w:vAlign w:val="center"/>
          </w:tcPr>
          <w:p w:rsidR="00FF32F5" w:rsidRPr="004E6AFB" w:rsidRDefault="00FF32F5" w:rsidP="00FF32F5">
            <w:pPr>
              <w:pStyle w:val="TableText"/>
              <w:rPr>
                <w:sz w:val="19"/>
                <w:szCs w:val="19"/>
                <w:vertAlign w:val="superscript"/>
              </w:rPr>
            </w:pPr>
            <w:r w:rsidRPr="004E6AFB">
              <w:rPr>
                <w:sz w:val="19"/>
                <w:szCs w:val="19"/>
              </w:rPr>
              <w:t>Cost to PBS/RPBS less copayments</w:t>
            </w:r>
            <w:r w:rsidRPr="004E6AFB">
              <w:rPr>
                <w:sz w:val="19"/>
                <w:szCs w:val="19"/>
                <w:vertAlign w:val="superscript"/>
              </w:rPr>
              <w:t>b</w:t>
            </w:r>
          </w:p>
        </w:tc>
        <w:tc>
          <w:tcPr>
            <w:tcW w:w="582" w:type="pct"/>
            <w:shd w:val="clear" w:color="auto" w:fill="auto"/>
            <w:vAlign w:val="center"/>
          </w:tcPr>
          <w:p w:rsidR="00FF32F5" w:rsidRPr="0034132A" w:rsidRDefault="0034132A" w:rsidP="00FF32F5">
            <w:pPr>
              <w:pStyle w:val="TableText"/>
              <w:jc w:val="center"/>
              <w:rPr>
                <w:bCs/>
                <w:color w:val="000000"/>
                <w:highlight w:val="black"/>
              </w:rPr>
            </w:pPr>
            <w:r>
              <w:rPr>
                <w:noProof/>
                <w:color w:val="000000"/>
                <w:highlight w:val="black"/>
              </w:rPr>
              <w:t>'''''''''''''''''''''''''''''</w:t>
            </w:r>
          </w:p>
        </w:tc>
        <w:tc>
          <w:tcPr>
            <w:tcW w:w="583" w:type="pct"/>
            <w:shd w:val="clear" w:color="auto" w:fill="auto"/>
            <w:vAlign w:val="center"/>
          </w:tcPr>
          <w:p w:rsidR="00FF32F5" w:rsidRPr="0034132A" w:rsidRDefault="0034132A" w:rsidP="00FF32F5">
            <w:pPr>
              <w:pStyle w:val="TableText"/>
              <w:jc w:val="center"/>
              <w:rPr>
                <w:bCs/>
                <w:color w:val="000000"/>
                <w:highlight w:val="black"/>
              </w:rPr>
            </w:pPr>
            <w:r>
              <w:rPr>
                <w:noProof/>
                <w:color w:val="000000"/>
                <w:highlight w:val="black"/>
              </w:rPr>
              <w:t>'''''''''''''''''''''''''''</w:t>
            </w:r>
          </w:p>
        </w:tc>
        <w:tc>
          <w:tcPr>
            <w:tcW w:w="583" w:type="pct"/>
            <w:shd w:val="clear" w:color="auto" w:fill="auto"/>
            <w:vAlign w:val="center"/>
          </w:tcPr>
          <w:p w:rsidR="00FF32F5" w:rsidRPr="0034132A" w:rsidRDefault="0034132A" w:rsidP="00FF32F5">
            <w:pPr>
              <w:pStyle w:val="TableText"/>
              <w:jc w:val="center"/>
              <w:rPr>
                <w:bCs/>
                <w:color w:val="000000"/>
                <w:highlight w:val="black"/>
              </w:rPr>
            </w:pPr>
            <w:r>
              <w:rPr>
                <w:noProof/>
                <w:color w:val="000000"/>
                <w:highlight w:val="black"/>
              </w:rPr>
              <w:t>''''''''''''''''''''''''''</w:t>
            </w:r>
          </w:p>
        </w:tc>
        <w:tc>
          <w:tcPr>
            <w:tcW w:w="582" w:type="pct"/>
            <w:shd w:val="clear" w:color="auto" w:fill="auto"/>
            <w:vAlign w:val="center"/>
          </w:tcPr>
          <w:p w:rsidR="00FF32F5" w:rsidRPr="0034132A" w:rsidRDefault="0034132A" w:rsidP="00FF32F5">
            <w:pPr>
              <w:pStyle w:val="TableText"/>
              <w:jc w:val="center"/>
              <w:rPr>
                <w:bCs/>
                <w:color w:val="000000"/>
                <w:highlight w:val="black"/>
              </w:rPr>
            </w:pPr>
            <w:r>
              <w:rPr>
                <w:noProof/>
                <w:color w:val="000000"/>
                <w:highlight w:val="black"/>
              </w:rPr>
              <w:t>'''''''''''''''''''''''''''</w:t>
            </w:r>
          </w:p>
        </w:tc>
        <w:tc>
          <w:tcPr>
            <w:tcW w:w="583" w:type="pct"/>
            <w:shd w:val="clear" w:color="auto" w:fill="auto"/>
            <w:vAlign w:val="center"/>
          </w:tcPr>
          <w:p w:rsidR="00FF32F5" w:rsidRPr="0034132A" w:rsidRDefault="0034132A" w:rsidP="00FF32F5">
            <w:pPr>
              <w:pStyle w:val="TableText"/>
              <w:jc w:val="center"/>
              <w:rPr>
                <w:bCs/>
                <w:color w:val="000000"/>
                <w:highlight w:val="black"/>
              </w:rPr>
            </w:pPr>
            <w:r>
              <w:rPr>
                <w:noProof/>
                <w:color w:val="000000"/>
                <w:highlight w:val="black"/>
              </w:rPr>
              <w:t>''''''''''''''''''''''''''''</w:t>
            </w:r>
          </w:p>
        </w:tc>
        <w:tc>
          <w:tcPr>
            <w:tcW w:w="582" w:type="pct"/>
            <w:vAlign w:val="center"/>
          </w:tcPr>
          <w:p w:rsidR="00FF32F5" w:rsidRPr="0034132A" w:rsidRDefault="0034132A" w:rsidP="00FF32F5">
            <w:pPr>
              <w:pStyle w:val="TableText"/>
              <w:jc w:val="center"/>
              <w:rPr>
                <w:bCs/>
                <w:color w:val="000000"/>
                <w:highlight w:val="black"/>
              </w:rPr>
            </w:pPr>
            <w:r>
              <w:rPr>
                <w:noProof/>
                <w:color w:val="000000"/>
                <w:highlight w:val="black"/>
              </w:rPr>
              <w:t>''''''''''''''''''''''''''''''''</w:t>
            </w:r>
          </w:p>
        </w:tc>
      </w:tr>
      <w:tr w:rsidR="00FF32F5" w:rsidRPr="004E6AFB" w:rsidTr="00607758">
        <w:tc>
          <w:tcPr>
            <w:tcW w:w="5000" w:type="pct"/>
            <w:gridSpan w:val="7"/>
            <w:shd w:val="clear" w:color="auto" w:fill="auto"/>
            <w:vAlign w:val="center"/>
          </w:tcPr>
          <w:p w:rsidR="00FF32F5" w:rsidRPr="004E6AFB" w:rsidRDefault="00FF32F5" w:rsidP="00415C73">
            <w:pPr>
              <w:pStyle w:val="TableText"/>
              <w:rPr>
                <w:b/>
                <w:bCs/>
                <w:color w:val="000000"/>
              </w:rPr>
            </w:pPr>
            <w:r w:rsidRPr="004E6AFB">
              <w:rPr>
                <w:b/>
                <w:bCs/>
                <w:color w:val="000000"/>
              </w:rPr>
              <w:t>Net financial implications</w:t>
            </w:r>
            <w:r w:rsidRPr="004E6AFB">
              <w:rPr>
                <w:b/>
                <w:bCs/>
                <w:color w:val="4472C4" w:themeColor="accent5"/>
              </w:rPr>
              <w:t xml:space="preserve"> </w:t>
            </w:r>
          </w:p>
        </w:tc>
      </w:tr>
      <w:tr w:rsidR="00FF32F5" w:rsidRPr="004E6AFB" w:rsidTr="00FF32F5">
        <w:tc>
          <w:tcPr>
            <w:tcW w:w="1505" w:type="pct"/>
            <w:shd w:val="clear" w:color="auto" w:fill="auto"/>
            <w:vAlign w:val="center"/>
          </w:tcPr>
          <w:p w:rsidR="00FF32F5" w:rsidRPr="004E6AFB" w:rsidRDefault="00FF32F5" w:rsidP="00FF32F5">
            <w:pPr>
              <w:pStyle w:val="TableText"/>
              <w:rPr>
                <w:sz w:val="19"/>
                <w:szCs w:val="19"/>
              </w:rPr>
            </w:pPr>
            <w:r w:rsidRPr="004E6AFB">
              <w:rPr>
                <w:sz w:val="19"/>
                <w:szCs w:val="19"/>
              </w:rPr>
              <w:t>Net cost to PBS/RPBS/MBS/DHS (effective)</w:t>
            </w:r>
          </w:p>
        </w:tc>
        <w:tc>
          <w:tcPr>
            <w:tcW w:w="582" w:type="pct"/>
            <w:shd w:val="clear" w:color="auto" w:fill="auto"/>
            <w:vAlign w:val="center"/>
          </w:tcPr>
          <w:p w:rsidR="00FF32F5" w:rsidRPr="0034132A" w:rsidRDefault="0034132A" w:rsidP="00C07E92">
            <w:pPr>
              <w:pStyle w:val="TableText"/>
              <w:jc w:val="center"/>
              <w:rPr>
                <w:bCs/>
                <w:color w:val="000000"/>
                <w:highlight w:val="black"/>
              </w:rPr>
            </w:pPr>
            <w:r>
              <w:rPr>
                <w:noProof/>
                <w:color w:val="000000"/>
                <w:highlight w:val="black"/>
              </w:rPr>
              <w:t>''''''''''''''''''''''''</w:t>
            </w:r>
          </w:p>
        </w:tc>
        <w:tc>
          <w:tcPr>
            <w:tcW w:w="583" w:type="pct"/>
            <w:shd w:val="clear" w:color="auto" w:fill="auto"/>
            <w:vAlign w:val="center"/>
          </w:tcPr>
          <w:p w:rsidR="00FF32F5" w:rsidRPr="0034132A" w:rsidRDefault="0034132A" w:rsidP="00C07E92">
            <w:pPr>
              <w:pStyle w:val="TableText"/>
              <w:jc w:val="center"/>
              <w:rPr>
                <w:bCs/>
                <w:color w:val="000000"/>
                <w:highlight w:val="black"/>
              </w:rPr>
            </w:pPr>
            <w:r>
              <w:rPr>
                <w:noProof/>
                <w:color w:val="000000"/>
                <w:highlight w:val="black"/>
              </w:rPr>
              <w:t>''''''''''''''''''''''</w:t>
            </w:r>
          </w:p>
        </w:tc>
        <w:tc>
          <w:tcPr>
            <w:tcW w:w="583" w:type="pct"/>
            <w:shd w:val="clear" w:color="auto" w:fill="auto"/>
            <w:vAlign w:val="center"/>
          </w:tcPr>
          <w:p w:rsidR="00FF32F5" w:rsidRPr="0034132A" w:rsidRDefault="0034132A" w:rsidP="00C07E92">
            <w:pPr>
              <w:pStyle w:val="TableText"/>
              <w:jc w:val="center"/>
              <w:rPr>
                <w:bCs/>
                <w:color w:val="000000"/>
                <w:highlight w:val="black"/>
              </w:rPr>
            </w:pPr>
            <w:r>
              <w:rPr>
                <w:noProof/>
                <w:color w:val="000000"/>
                <w:highlight w:val="black"/>
              </w:rPr>
              <w:t>''''''''''''''''''''''''''</w:t>
            </w:r>
          </w:p>
        </w:tc>
        <w:tc>
          <w:tcPr>
            <w:tcW w:w="582" w:type="pct"/>
            <w:shd w:val="clear" w:color="auto" w:fill="auto"/>
            <w:vAlign w:val="center"/>
          </w:tcPr>
          <w:p w:rsidR="00FF32F5" w:rsidRPr="0034132A" w:rsidRDefault="0034132A" w:rsidP="00C07E92">
            <w:pPr>
              <w:pStyle w:val="TableText"/>
              <w:jc w:val="center"/>
              <w:rPr>
                <w:bCs/>
                <w:color w:val="000000"/>
                <w:highlight w:val="black"/>
              </w:rPr>
            </w:pPr>
            <w:r>
              <w:rPr>
                <w:noProof/>
                <w:color w:val="000000"/>
                <w:highlight w:val="black"/>
              </w:rPr>
              <w:t>''''''''''''''''''''''''</w:t>
            </w:r>
          </w:p>
        </w:tc>
        <w:tc>
          <w:tcPr>
            <w:tcW w:w="583" w:type="pct"/>
            <w:shd w:val="clear" w:color="auto" w:fill="auto"/>
            <w:vAlign w:val="center"/>
          </w:tcPr>
          <w:p w:rsidR="00FF32F5" w:rsidRPr="0034132A" w:rsidRDefault="0034132A" w:rsidP="00C07E92">
            <w:pPr>
              <w:pStyle w:val="TableText"/>
              <w:jc w:val="center"/>
              <w:rPr>
                <w:bCs/>
                <w:color w:val="000000"/>
                <w:highlight w:val="black"/>
              </w:rPr>
            </w:pPr>
            <w:r>
              <w:rPr>
                <w:noProof/>
                <w:color w:val="000000"/>
                <w:highlight w:val="black"/>
              </w:rPr>
              <w:t>'''''''''''''''''''''''</w:t>
            </w:r>
          </w:p>
        </w:tc>
        <w:tc>
          <w:tcPr>
            <w:tcW w:w="582" w:type="pct"/>
            <w:vAlign w:val="center"/>
          </w:tcPr>
          <w:p w:rsidR="00FF32F5" w:rsidRPr="0034132A" w:rsidRDefault="0034132A" w:rsidP="00C07E92">
            <w:pPr>
              <w:pStyle w:val="TableText"/>
              <w:jc w:val="center"/>
              <w:rPr>
                <w:bCs/>
                <w:color w:val="000000"/>
                <w:highlight w:val="black"/>
              </w:rPr>
            </w:pPr>
            <w:r>
              <w:rPr>
                <w:noProof/>
                <w:color w:val="000000"/>
                <w:highlight w:val="black"/>
              </w:rPr>
              <w:t>''''''''''''''''''''''''''</w:t>
            </w:r>
          </w:p>
        </w:tc>
      </w:tr>
      <w:tr w:rsidR="00FF32F5" w:rsidRPr="004E6AFB" w:rsidTr="00FF32F5">
        <w:tc>
          <w:tcPr>
            <w:tcW w:w="1505" w:type="pct"/>
            <w:shd w:val="clear" w:color="auto" w:fill="auto"/>
            <w:vAlign w:val="center"/>
          </w:tcPr>
          <w:p w:rsidR="00FF32F5" w:rsidRPr="004E6AFB" w:rsidRDefault="00FF32F5" w:rsidP="00FF32F5">
            <w:pPr>
              <w:pStyle w:val="TableText"/>
              <w:rPr>
                <w:sz w:val="19"/>
                <w:szCs w:val="19"/>
              </w:rPr>
            </w:pPr>
            <w:r w:rsidRPr="004E6AFB">
              <w:rPr>
                <w:sz w:val="19"/>
                <w:szCs w:val="19"/>
              </w:rPr>
              <w:t>Net cost to PBS/RPBS/MBS/DHS (published)</w:t>
            </w:r>
          </w:p>
        </w:tc>
        <w:tc>
          <w:tcPr>
            <w:tcW w:w="582" w:type="pct"/>
            <w:shd w:val="clear" w:color="auto" w:fill="auto"/>
            <w:vAlign w:val="center"/>
          </w:tcPr>
          <w:p w:rsidR="00FF32F5" w:rsidRPr="0034132A" w:rsidRDefault="0034132A" w:rsidP="00FF32F5">
            <w:pPr>
              <w:pStyle w:val="TableText"/>
              <w:jc w:val="center"/>
              <w:rPr>
                <w:highlight w:val="black"/>
              </w:rPr>
            </w:pPr>
            <w:r>
              <w:rPr>
                <w:noProof/>
                <w:color w:val="000000"/>
                <w:highlight w:val="black"/>
              </w:rPr>
              <w:t>''''''''''''''''''''''</w:t>
            </w:r>
          </w:p>
        </w:tc>
        <w:tc>
          <w:tcPr>
            <w:tcW w:w="583" w:type="pct"/>
            <w:shd w:val="clear" w:color="auto" w:fill="auto"/>
            <w:vAlign w:val="center"/>
          </w:tcPr>
          <w:p w:rsidR="00FF32F5" w:rsidRPr="0034132A" w:rsidRDefault="0034132A" w:rsidP="00FF32F5">
            <w:pPr>
              <w:pStyle w:val="TableText"/>
              <w:jc w:val="center"/>
              <w:rPr>
                <w:highlight w:val="black"/>
              </w:rPr>
            </w:pPr>
            <w:r>
              <w:rPr>
                <w:noProof/>
                <w:color w:val="000000"/>
                <w:highlight w:val="black"/>
              </w:rPr>
              <w:t>'''''''''''''''''''''''</w:t>
            </w:r>
          </w:p>
        </w:tc>
        <w:tc>
          <w:tcPr>
            <w:tcW w:w="583" w:type="pct"/>
            <w:shd w:val="clear" w:color="auto" w:fill="auto"/>
            <w:vAlign w:val="center"/>
          </w:tcPr>
          <w:p w:rsidR="00FF32F5" w:rsidRPr="0034132A" w:rsidRDefault="0034132A" w:rsidP="00FF32F5">
            <w:pPr>
              <w:pStyle w:val="TableText"/>
              <w:jc w:val="center"/>
              <w:rPr>
                <w:highlight w:val="black"/>
              </w:rPr>
            </w:pPr>
            <w:r>
              <w:rPr>
                <w:noProof/>
                <w:color w:val="000000"/>
                <w:highlight w:val="black"/>
              </w:rPr>
              <w:t>''''''''''''''''''''''</w:t>
            </w:r>
          </w:p>
        </w:tc>
        <w:tc>
          <w:tcPr>
            <w:tcW w:w="582" w:type="pct"/>
            <w:shd w:val="clear" w:color="auto" w:fill="auto"/>
            <w:vAlign w:val="center"/>
          </w:tcPr>
          <w:p w:rsidR="00FF32F5" w:rsidRPr="0034132A" w:rsidRDefault="0034132A" w:rsidP="00FF32F5">
            <w:pPr>
              <w:pStyle w:val="TableText"/>
              <w:jc w:val="center"/>
              <w:rPr>
                <w:highlight w:val="black"/>
              </w:rPr>
            </w:pPr>
            <w:r>
              <w:rPr>
                <w:noProof/>
                <w:color w:val="000000"/>
                <w:highlight w:val="black"/>
              </w:rPr>
              <w:t>''''''''''''''''''''</w:t>
            </w:r>
          </w:p>
        </w:tc>
        <w:tc>
          <w:tcPr>
            <w:tcW w:w="583" w:type="pct"/>
            <w:shd w:val="clear" w:color="auto" w:fill="auto"/>
            <w:vAlign w:val="center"/>
          </w:tcPr>
          <w:p w:rsidR="00FF32F5" w:rsidRPr="0034132A" w:rsidRDefault="0034132A" w:rsidP="00FF32F5">
            <w:pPr>
              <w:pStyle w:val="TableText"/>
              <w:jc w:val="center"/>
              <w:rPr>
                <w:highlight w:val="black"/>
              </w:rPr>
            </w:pPr>
            <w:r>
              <w:rPr>
                <w:noProof/>
                <w:color w:val="000000"/>
                <w:highlight w:val="black"/>
              </w:rPr>
              <w:t>'''''''''''''''''''''</w:t>
            </w:r>
          </w:p>
        </w:tc>
        <w:tc>
          <w:tcPr>
            <w:tcW w:w="582" w:type="pct"/>
            <w:vAlign w:val="center"/>
          </w:tcPr>
          <w:p w:rsidR="00FF32F5" w:rsidRPr="0034132A" w:rsidRDefault="0034132A" w:rsidP="00FF32F5">
            <w:pPr>
              <w:pStyle w:val="TableText"/>
              <w:jc w:val="center"/>
              <w:rPr>
                <w:highlight w:val="black"/>
              </w:rPr>
            </w:pPr>
            <w:r>
              <w:rPr>
                <w:noProof/>
                <w:color w:val="000000"/>
                <w:highlight w:val="black"/>
              </w:rPr>
              <w:t>''''''''''''''''''''''</w:t>
            </w:r>
          </w:p>
        </w:tc>
      </w:tr>
    </w:tbl>
    <w:p w:rsidR="00C317F3" w:rsidRPr="004E6AFB" w:rsidRDefault="00FF32F5" w:rsidP="00772501">
      <w:pPr>
        <w:pStyle w:val="TableFooter"/>
      </w:pPr>
      <w:r w:rsidRPr="004E6AFB">
        <w:t>Source: Table 4.2.2-3, p87; Table 4.2.2-4, p88; Table 4.2.3-1, p88; Table 4.2.4-1a, p89; Table 4.2.4-1b, p90; Table 4.3.1, p91; Table 4.4-1a, p91 and Table 4.4-1b, p92 of the submission</w:t>
      </w:r>
    </w:p>
    <w:p w:rsidR="00FF32F5" w:rsidRPr="004E6AFB" w:rsidRDefault="00FF32F5" w:rsidP="00FF32F5">
      <w:pPr>
        <w:pStyle w:val="TableFooter"/>
        <w:tabs>
          <w:tab w:val="left" w:pos="284"/>
        </w:tabs>
        <w:ind w:left="284" w:hanging="284"/>
      </w:pPr>
      <w:r w:rsidRPr="004E6AFB">
        <w:rPr>
          <w:vertAlign w:val="superscript"/>
        </w:rPr>
        <w:t>a</w:t>
      </w:r>
      <w:r w:rsidRPr="004E6AFB">
        <w:tab/>
        <w:t xml:space="preserve">assuming 84% of patients are </w:t>
      </w:r>
      <w:r w:rsidR="00217393" w:rsidRPr="004E6AFB">
        <w:t>dispensed a single script of 36 </w:t>
      </w:r>
      <w:r w:rsidRPr="004E6AFB">
        <w:t>mcg/1.08</w:t>
      </w:r>
      <w:r w:rsidR="00544609" w:rsidRPr="004E6AFB">
        <w:t> </w:t>
      </w:r>
      <w:r w:rsidRPr="004E6AFB">
        <w:t xml:space="preserve">mL and 16% are </w:t>
      </w:r>
      <w:r w:rsidR="00217393" w:rsidRPr="004E6AFB">
        <w:t>dispensed a single script of 72 mcg/2.16</w:t>
      </w:r>
      <w:r w:rsidR="00544609" w:rsidRPr="004E6AFB">
        <w:t> </w:t>
      </w:r>
      <w:r w:rsidR="00217393" w:rsidRPr="004E6AFB">
        <w:t>mL follitropin delta</w:t>
      </w:r>
    </w:p>
    <w:p w:rsidR="00FF32F5" w:rsidRPr="004E6AFB" w:rsidRDefault="00FF32F5" w:rsidP="00FF32F5">
      <w:pPr>
        <w:pStyle w:val="TableFooter"/>
        <w:tabs>
          <w:tab w:val="left" w:pos="284"/>
        </w:tabs>
        <w:ind w:left="284" w:hanging="284"/>
      </w:pPr>
      <w:r w:rsidRPr="004E6AFB">
        <w:rPr>
          <w:vertAlign w:val="superscript"/>
        </w:rPr>
        <w:t>b</w:t>
      </w:r>
      <w:r w:rsidRPr="004E6AFB">
        <w:tab/>
        <w:t>assuming equal replacement of one script of follitropin alfa 900 I.U or follitropin beta 900 I.U per one script of follitropin delta</w:t>
      </w:r>
    </w:p>
    <w:p w:rsidR="00B75324" w:rsidRDefault="00B75324" w:rsidP="00B75324">
      <w:pPr>
        <w:pStyle w:val="ListParagraph"/>
        <w:spacing w:before="0" w:after="120"/>
        <w:ind w:left="576"/>
        <w:jc w:val="both"/>
      </w:pPr>
      <w:r w:rsidRPr="0059789D">
        <w:rPr>
          <w:rFonts w:eastAsia="Times New Roman" w:cs="Times New Roman"/>
          <w:szCs w:val="24"/>
          <w:lang w:eastAsia="en-AU"/>
        </w:rPr>
        <w:t xml:space="preserve">The redacted table shows that at year 5, the estimated number of patients was less than 10,000 per year and the net cost to </w:t>
      </w:r>
      <w:r w:rsidR="00496855">
        <w:rPr>
          <w:rFonts w:eastAsia="Times New Roman" w:cs="Times New Roman"/>
          <w:szCs w:val="24"/>
          <w:lang w:eastAsia="en-AU"/>
        </w:rPr>
        <w:t xml:space="preserve">Government, based </w:t>
      </w:r>
      <w:r w:rsidR="008D2593">
        <w:rPr>
          <w:rFonts w:eastAsia="Times New Roman" w:cs="Times New Roman"/>
          <w:szCs w:val="24"/>
          <w:lang w:eastAsia="en-AU"/>
        </w:rPr>
        <w:t>upon</w:t>
      </w:r>
      <w:r w:rsidR="00496855">
        <w:rPr>
          <w:rFonts w:eastAsia="Times New Roman" w:cs="Times New Roman"/>
          <w:szCs w:val="24"/>
          <w:lang w:eastAsia="en-AU"/>
        </w:rPr>
        <w:t xml:space="preserve"> published prices,</w:t>
      </w:r>
      <w:r w:rsidRPr="0059789D">
        <w:rPr>
          <w:rFonts w:eastAsia="Times New Roman" w:cs="Times New Roman"/>
          <w:szCs w:val="24"/>
          <w:lang w:eastAsia="en-AU"/>
        </w:rPr>
        <w:t xml:space="preserve"> would be </w:t>
      </w:r>
      <w:r w:rsidR="00924567">
        <w:rPr>
          <w:rFonts w:eastAsia="Times New Roman" w:cs="Times New Roman"/>
          <w:szCs w:val="24"/>
          <w:lang w:eastAsia="en-AU"/>
        </w:rPr>
        <w:t>less than $10</w:t>
      </w:r>
      <w:r w:rsidRPr="0059789D">
        <w:rPr>
          <w:rFonts w:eastAsia="Times New Roman" w:cs="Times New Roman"/>
          <w:szCs w:val="24"/>
          <w:lang w:eastAsia="en-AU"/>
        </w:rPr>
        <w:t xml:space="preserve"> million per year.</w:t>
      </w:r>
    </w:p>
    <w:p w:rsidR="00B75324" w:rsidRDefault="00B75324" w:rsidP="00B75324">
      <w:pPr>
        <w:pStyle w:val="ListParagraph"/>
        <w:spacing w:before="0" w:after="120"/>
        <w:ind w:left="576"/>
        <w:jc w:val="both"/>
      </w:pPr>
    </w:p>
    <w:p w:rsidR="00C13BE4" w:rsidRPr="004E6AFB" w:rsidRDefault="00FF32F5" w:rsidP="00BE7140">
      <w:pPr>
        <w:pStyle w:val="ListParagraph"/>
        <w:numPr>
          <w:ilvl w:val="1"/>
          <w:numId w:val="2"/>
        </w:numPr>
        <w:spacing w:before="0" w:after="120"/>
        <w:jc w:val="both"/>
      </w:pPr>
      <w:r w:rsidRPr="004E6AFB">
        <w:t xml:space="preserve">The net savings estimated by the submission when applying follitropin delta effective prices is </w:t>
      </w:r>
      <w:r w:rsidR="00415C73" w:rsidRPr="004E6AFB">
        <w:t xml:space="preserve">largely </w:t>
      </w:r>
      <w:r w:rsidRPr="004E6AFB">
        <w:t>driven by the effective price being derived from a cost</w:t>
      </w:r>
      <w:r w:rsidR="00FE07A1" w:rsidRPr="004E6AFB">
        <w:noBreakHyphen/>
      </w:r>
      <w:r w:rsidRPr="004E6AFB">
        <w:t xml:space="preserve">minimisation analysis versus follitropin alfa, but assuming replacement of both follitropin alfa and follitropin beta in the financials, where follitropin beta has a higher DPMQ. It is unclear that assuming the same rate of substitution from follitropin alfa and beta is reasonable given that follitropin alfa has twice the market share of </w:t>
      </w:r>
      <w:r w:rsidR="00B77B7D" w:rsidRPr="004E6AFB">
        <w:t xml:space="preserve">follitropin </w:t>
      </w:r>
      <w:r w:rsidRPr="004E6AFB">
        <w:t>beta. Should the substitution of follitropin beta be less than assumed by the submission, this net saving will be an overestimate.</w:t>
      </w:r>
      <w:r w:rsidR="00ED0225" w:rsidRPr="004E6AFB" w:rsidDel="00ED0225">
        <w:t xml:space="preserve"> </w:t>
      </w:r>
      <w:r w:rsidR="00ED0225" w:rsidRPr="004E6AFB">
        <w:t>T</w:t>
      </w:r>
      <w:r w:rsidR="00C13BE4" w:rsidRPr="004E6AFB">
        <w:t>he PSCR</w:t>
      </w:r>
      <w:r w:rsidR="001124B7" w:rsidRPr="004E6AFB">
        <w:t xml:space="preserve"> (p3</w:t>
      </w:r>
      <w:r w:rsidR="00024D0A" w:rsidRPr="004E6AFB">
        <w:t>)</w:t>
      </w:r>
      <w:r w:rsidR="00C13BE4" w:rsidRPr="004E6AFB">
        <w:t xml:space="preserve"> acknowledges that the estimated net savings are driven by replacement of follitropin beta with follitropin delta</w:t>
      </w:r>
      <w:r w:rsidR="000B2C30">
        <w:t>,</w:t>
      </w:r>
      <w:r w:rsidR="004E6AFB">
        <w:t xml:space="preserve"> </w:t>
      </w:r>
      <w:r w:rsidR="003C7034" w:rsidRPr="004E6AFB">
        <w:t>and</w:t>
      </w:r>
      <w:r w:rsidR="00C13BE4" w:rsidRPr="004E6AFB">
        <w:t xml:space="preserve"> continued to assume equal probability of substitution since there is no established difference in efficacy or safety between the two gonadotropins. The</w:t>
      </w:r>
      <w:r w:rsidR="00ED0225" w:rsidRPr="004E6AFB">
        <w:t xml:space="preserve"> PSCR</w:t>
      </w:r>
      <w:r w:rsidR="00C13BE4" w:rsidRPr="004E6AFB">
        <w:t xml:space="preserve"> also argue</w:t>
      </w:r>
      <w:r w:rsidR="00ED0225" w:rsidRPr="004E6AFB">
        <w:t>d</w:t>
      </w:r>
      <w:r w:rsidR="00C13BE4" w:rsidRPr="004E6AFB">
        <w:t xml:space="preserve"> that the lower market share of </w:t>
      </w:r>
      <w:r w:rsidR="00ED0225" w:rsidRPr="004E6AFB">
        <w:t>follitropin beta</w:t>
      </w:r>
      <w:r w:rsidR="00C13BE4" w:rsidRPr="004E6AFB">
        <w:t xml:space="preserve"> could make its continuing erosion more likely as it could reflect a lower propensity of prescribers to continue with prescribing this treatment.</w:t>
      </w:r>
    </w:p>
    <w:p w:rsidR="00466D91" w:rsidRPr="004E6AFB" w:rsidRDefault="00466D91" w:rsidP="00A25512">
      <w:pPr>
        <w:pStyle w:val="ListParagraph"/>
        <w:numPr>
          <w:ilvl w:val="1"/>
          <w:numId w:val="2"/>
        </w:numPr>
        <w:spacing w:before="0" w:after="120"/>
        <w:jc w:val="both"/>
      </w:pPr>
      <w:r w:rsidRPr="004E6AFB">
        <w:t xml:space="preserve">The </w:t>
      </w:r>
      <w:r w:rsidR="00ED0225" w:rsidRPr="004E6AFB">
        <w:t xml:space="preserve">ESC agreed with the PSCR that the </w:t>
      </w:r>
      <w:r w:rsidRPr="004E6AFB">
        <w:t xml:space="preserve">uptake rates for follitropin delta </w:t>
      </w:r>
      <w:r w:rsidR="00ED0225" w:rsidRPr="004E6AFB">
        <w:t>would not be influenced by the requirement for</w:t>
      </w:r>
      <w:r w:rsidRPr="004E6AFB">
        <w:t xml:space="preserve"> AMH testing</w:t>
      </w:r>
      <w:r w:rsidR="00ED0225" w:rsidRPr="004E6AFB">
        <w:t xml:space="preserve"> because most patients will get this test as a standard part of commencing fertility treatments</w:t>
      </w:r>
      <w:r w:rsidRPr="004E6AFB">
        <w:t>.</w:t>
      </w:r>
    </w:p>
    <w:p w:rsidR="00C13BE4" w:rsidRPr="004E6AFB" w:rsidRDefault="00493C5E" w:rsidP="00C13BE4">
      <w:pPr>
        <w:pStyle w:val="ListParagraph"/>
        <w:numPr>
          <w:ilvl w:val="1"/>
          <w:numId w:val="2"/>
        </w:numPr>
        <w:spacing w:before="0" w:after="120"/>
        <w:jc w:val="both"/>
      </w:pPr>
      <w:r w:rsidRPr="004E6AFB">
        <w:t xml:space="preserve">The </w:t>
      </w:r>
      <w:r w:rsidR="00C13BE4" w:rsidRPr="004E6AFB">
        <w:t>ESC note</w:t>
      </w:r>
      <w:r w:rsidR="00ED0225" w:rsidRPr="004E6AFB">
        <w:t>d that</w:t>
      </w:r>
      <w:r w:rsidR="00C13BE4" w:rsidRPr="004E6AFB">
        <w:t xml:space="preserve"> the extent of savings will be dependent on the </w:t>
      </w:r>
      <w:r w:rsidR="00ED0225" w:rsidRPr="004E6AFB">
        <w:t>equi-effective doses</w:t>
      </w:r>
      <w:r w:rsidR="00C13BE4" w:rsidRPr="004E6AFB">
        <w:t xml:space="preserve">, and the rate of substitution. </w:t>
      </w:r>
    </w:p>
    <w:p w:rsidR="00497CD3" w:rsidRPr="004E6AFB" w:rsidRDefault="00497CD3" w:rsidP="00C13BE4">
      <w:pPr>
        <w:pStyle w:val="ListParagraph"/>
        <w:numPr>
          <w:ilvl w:val="1"/>
          <w:numId w:val="2"/>
        </w:numPr>
        <w:spacing w:before="0" w:after="120"/>
        <w:jc w:val="both"/>
      </w:pPr>
      <w:r w:rsidRPr="004E6AFB">
        <w:t>No risk sharing arrangements were proposed by the submission.</w:t>
      </w:r>
      <w:r w:rsidR="000D6D52" w:rsidRPr="004E6AFB">
        <w:t xml:space="preserve"> However the PSCR (p </w:t>
      </w:r>
      <w:r w:rsidR="003C5FD8">
        <w:t>4</w:t>
      </w:r>
      <w:r w:rsidR="00493C5E" w:rsidRPr="004E6AFB">
        <w:t>) indicates the sponsor’s willingness to negotiate such an arrangement.</w:t>
      </w:r>
      <w:r w:rsidR="00FA0392" w:rsidRPr="004E6AFB">
        <w:t xml:space="preserve"> </w:t>
      </w:r>
    </w:p>
    <w:p w:rsidR="006D7837" w:rsidRPr="004E6AFB" w:rsidRDefault="006D7837" w:rsidP="00FE3691">
      <w:pPr>
        <w:pStyle w:val="ListParagraph"/>
        <w:numPr>
          <w:ilvl w:val="1"/>
          <w:numId w:val="2"/>
        </w:numPr>
        <w:jc w:val="both"/>
      </w:pPr>
      <w:r w:rsidRPr="004E6AFB">
        <w:t xml:space="preserve">The submission requested a Special Pricing Arrangement. Although not a matter for the PBAC, the </w:t>
      </w:r>
      <w:r w:rsidR="00FE07A1" w:rsidRPr="004E6AFB">
        <w:t>committee noted</w:t>
      </w:r>
      <w:r w:rsidRPr="004E6AFB">
        <w:t xml:space="preserve"> that Special Pricing Arrangements are only available in limited circumstances in accordance with criteria agreed by Cabinet. In particular, Special Pricing Arrangements are only available for new drugs seeking listing on a cost-minimisation basis with a currently listed drug, if the currently listed drug already has a Special Pricing Arrangement</w:t>
      </w:r>
      <w:r w:rsidR="00FE07A1" w:rsidRPr="004E6AFB">
        <w:t>; follitropin alpha does not have a Special Pricing Arrangement</w:t>
      </w:r>
      <w:r w:rsidRPr="004E6AFB">
        <w:t xml:space="preserve">. The PSCR (p </w:t>
      </w:r>
      <w:r w:rsidR="003C5FD8">
        <w:t>4</w:t>
      </w:r>
      <w:r w:rsidRPr="004E6AFB">
        <w:t>) argue</w:t>
      </w:r>
      <w:r w:rsidR="007B0303" w:rsidRPr="004E6AFB">
        <w:t>d</w:t>
      </w:r>
      <w:r w:rsidRPr="004E6AFB">
        <w:t xml:space="preserve"> that follitropin delta has unique characteristics compared to any available alternative therapies. Specifically, ‘whilst other gonadotrophins including the comparator, follitropin alfa, are also indicated for controlled ovarian stimulation, follitropin delta doses are prospectively individualised and remain fixed throughout the cycle to achieve optimum response according to routinely measured patient characteristics including body weight and Anti-Müllerian hormone (AMH). This has been demonstrated to achieve a higher proportion of patients achieving the targeted number of </w:t>
      </w:r>
      <w:r w:rsidR="004E6AFB" w:rsidRPr="004E6AFB">
        <w:t>oocytes</w:t>
      </w:r>
      <w:r w:rsidRPr="004E6AFB">
        <w:t xml:space="preserve"> and a reduction in the proportion of women requiring measures to prevent OHSS and/or experiencing OHSS’.</w:t>
      </w:r>
      <w:r w:rsidR="007B0303" w:rsidRPr="004E6AFB">
        <w:t xml:space="preserve"> However, the PBAC noted that</w:t>
      </w:r>
      <w:r w:rsidR="00E74FDE" w:rsidRPr="004E6AFB">
        <w:t xml:space="preserve"> the submission did not make a</w:t>
      </w:r>
      <w:r w:rsidR="007B0303" w:rsidRPr="004E6AFB">
        <w:t xml:space="preserve"> claim </w:t>
      </w:r>
      <w:r w:rsidR="00E74FDE" w:rsidRPr="004E6AFB">
        <w:t>of superior safety compared to the currently listed products.</w:t>
      </w:r>
    </w:p>
    <w:p w:rsidR="00C317F3" w:rsidRPr="004E6AFB" w:rsidRDefault="00C317F3" w:rsidP="00772501">
      <w:pPr>
        <w:pStyle w:val="Heading2"/>
        <w:rPr>
          <w:i w:val="0"/>
        </w:rPr>
      </w:pPr>
      <w:bookmarkStart w:id="24" w:name="_Toc413139285"/>
      <w:bookmarkStart w:id="25" w:name="_Toc492994167"/>
      <w:r w:rsidRPr="004E6AFB">
        <w:rPr>
          <w:i w:val="0"/>
        </w:rPr>
        <w:t xml:space="preserve">Quality </w:t>
      </w:r>
      <w:r w:rsidR="00661286" w:rsidRPr="004E6AFB">
        <w:rPr>
          <w:i w:val="0"/>
        </w:rPr>
        <w:t>u</w:t>
      </w:r>
      <w:r w:rsidRPr="004E6AFB">
        <w:rPr>
          <w:i w:val="0"/>
        </w:rPr>
        <w:t xml:space="preserve">se of </w:t>
      </w:r>
      <w:r w:rsidR="00661286" w:rsidRPr="004E6AFB">
        <w:rPr>
          <w:i w:val="0"/>
        </w:rPr>
        <w:t>m</w:t>
      </w:r>
      <w:r w:rsidRPr="004E6AFB">
        <w:rPr>
          <w:i w:val="0"/>
        </w:rPr>
        <w:t>edicines</w:t>
      </w:r>
      <w:bookmarkEnd w:id="24"/>
      <w:bookmarkEnd w:id="25"/>
    </w:p>
    <w:p w:rsidR="00C317F3" w:rsidRPr="004E6AFB" w:rsidRDefault="00FF32F5" w:rsidP="00A25512">
      <w:pPr>
        <w:pStyle w:val="ListParagraph"/>
        <w:numPr>
          <w:ilvl w:val="1"/>
          <w:numId w:val="2"/>
        </w:numPr>
        <w:spacing w:before="0" w:after="120"/>
        <w:jc w:val="both"/>
      </w:pPr>
      <w:r w:rsidRPr="004E6AFB">
        <w:t xml:space="preserve">The submission proposed education </w:t>
      </w:r>
      <w:r w:rsidR="00E93BFC" w:rsidRPr="004E6AFB">
        <w:t xml:space="preserve">for prescribers </w:t>
      </w:r>
      <w:r w:rsidRPr="004E6AFB">
        <w:t xml:space="preserve">given the altered fixed-dose regimen for follitropin delta within a controlled ovarian stimulation cycle which differs </w:t>
      </w:r>
      <w:r w:rsidR="004E6AFB">
        <w:t xml:space="preserve">from </w:t>
      </w:r>
      <w:r w:rsidRPr="004E6AFB">
        <w:t xml:space="preserve">the currently PBS-listed gonadotropins where dose adjustments may be made during the stimulation period. The Sponsor has also developed an App to aid clinicians </w:t>
      </w:r>
      <w:r w:rsidR="004E6AFB">
        <w:t xml:space="preserve">to identify the </w:t>
      </w:r>
      <w:r w:rsidRPr="004E6AFB">
        <w:t xml:space="preserve">appropriate </w:t>
      </w:r>
      <w:r w:rsidR="004E6AFB" w:rsidRPr="004E6AFB">
        <w:t>dos</w:t>
      </w:r>
      <w:r w:rsidR="004E6AFB">
        <w:t>e</w:t>
      </w:r>
      <w:r w:rsidR="004E6AFB" w:rsidRPr="004E6AFB">
        <w:t xml:space="preserve"> </w:t>
      </w:r>
      <w:r w:rsidRPr="004E6AFB">
        <w:t>based on AMH levels and body weight.</w:t>
      </w:r>
    </w:p>
    <w:p w:rsidR="005B738F" w:rsidRPr="004E6AFB" w:rsidRDefault="005B738F" w:rsidP="005B738F">
      <w:pPr>
        <w:pStyle w:val="ListParagraph"/>
        <w:spacing w:before="0" w:after="120"/>
        <w:ind w:left="576"/>
        <w:jc w:val="both"/>
        <w:rPr>
          <w:i/>
        </w:rPr>
      </w:pPr>
      <w:r w:rsidRPr="004E6AFB">
        <w:rPr>
          <w:i/>
        </w:rPr>
        <w:t>For more detail on PBAC’s view, see section 7 PBAC Outcome.</w:t>
      </w:r>
    </w:p>
    <w:p w:rsidR="006D4264" w:rsidRPr="004E6AFB" w:rsidRDefault="006D4264" w:rsidP="006D4264">
      <w:pPr>
        <w:pStyle w:val="Heading1"/>
        <w:ind w:left="709" w:hanging="709"/>
      </w:pPr>
      <w:r w:rsidRPr="004E6AFB">
        <w:t>PBAC Outcome</w:t>
      </w:r>
    </w:p>
    <w:p w:rsidR="006D4264" w:rsidRPr="004E6AFB" w:rsidRDefault="00E269EA" w:rsidP="0094331B">
      <w:pPr>
        <w:pStyle w:val="ListParagraph"/>
        <w:numPr>
          <w:ilvl w:val="1"/>
          <w:numId w:val="2"/>
        </w:numPr>
        <w:jc w:val="both"/>
      </w:pPr>
      <w:r w:rsidRPr="004E6AFB">
        <w:t>The PBAC recommended the listing</w:t>
      </w:r>
      <w:r w:rsidR="00EE1BF4" w:rsidRPr="004E6AFB">
        <w:t>, under a S100 special arrangement</w:t>
      </w:r>
      <w:r w:rsidRPr="004E6AFB">
        <w:t xml:space="preserve"> of </w:t>
      </w:r>
      <w:r w:rsidR="0094331B" w:rsidRPr="004E6AFB">
        <w:t>follitropin delta for controlled ovarian stimulation (COS) in patients undergoing assisted reproductive technologies (ART), on a cost-minimisation basi</w:t>
      </w:r>
      <w:r w:rsidR="008F0BD6" w:rsidRPr="004E6AFB">
        <w:t>s against follitropin alf</w:t>
      </w:r>
      <w:r w:rsidR="0094331B" w:rsidRPr="004E6AFB">
        <w:t>a</w:t>
      </w:r>
      <w:r w:rsidR="007868F1" w:rsidRPr="004E6AFB">
        <w:t>,</w:t>
      </w:r>
      <w:r w:rsidR="009D312E" w:rsidRPr="004E6AFB">
        <w:t xml:space="preserve"> with </w:t>
      </w:r>
      <w:r w:rsidR="007B0303" w:rsidRPr="004E6AFB">
        <w:t xml:space="preserve">an </w:t>
      </w:r>
      <w:r w:rsidR="009D312E" w:rsidRPr="004E6AFB">
        <w:t>equi-effective dos</w:t>
      </w:r>
      <w:r w:rsidR="007B0303" w:rsidRPr="004E6AFB">
        <w:t>e</w:t>
      </w:r>
      <w:r w:rsidR="009D312E" w:rsidRPr="004E6AFB">
        <w:t xml:space="preserve"> o</w:t>
      </w:r>
      <w:r w:rsidR="007B0303" w:rsidRPr="004E6AFB">
        <w:t>f</w:t>
      </w:r>
      <w:r w:rsidR="009D312E" w:rsidRPr="004E6AFB">
        <w:t xml:space="preserve"> 1</w:t>
      </w:r>
      <w:r w:rsidR="00510344" w:rsidRPr="004E6AFB">
        <w:t>,</w:t>
      </w:r>
      <w:r w:rsidR="009D312E" w:rsidRPr="004E6AFB">
        <w:t>896</w:t>
      </w:r>
      <w:r w:rsidR="00217393" w:rsidRPr="004E6AFB">
        <w:t> </w:t>
      </w:r>
      <w:r w:rsidR="009D312E" w:rsidRPr="004E6AFB">
        <w:t>IU follitropin alfa to 93.6</w:t>
      </w:r>
      <w:r w:rsidR="00217393" w:rsidRPr="004E6AFB">
        <w:t> </w:t>
      </w:r>
      <w:r w:rsidR="009D312E" w:rsidRPr="004E6AFB">
        <w:t>mcg follitropin delta</w:t>
      </w:r>
      <w:r w:rsidR="0094331B" w:rsidRPr="004E6AFB">
        <w:t>.</w:t>
      </w:r>
    </w:p>
    <w:p w:rsidR="00AC7071" w:rsidRPr="004E6AFB" w:rsidRDefault="00AC7071" w:rsidP="00AC7071">
      <w:pPr>
        <w:pStyle w:val="ListParagraph"/>
        <w:numPr>
          <w:ilvl w:val="1"/>
          <w:numId w:val="2"/>
        </w:numPr>
        <w:jc w:val="both"/>
      </w:pPr>
      <w:r w:rsidRPr="004E6AFB">
        <w:t>The PBAC accepted the nominated comparator</w:t>
      </w:r>
      <w:r w:rsidR="007B0303" w:rsidRPr="004E6AFB">
        <w:t>,</w:t>
      </w:r>
      <w:r w:rsidRPr="004E6AFB">
        <w:t xml:space="preserve"> follitropin alfa, as it is the </w:t>
      </w:r>
      <w:r w:rsidR="007B0303" w:rsidRPr="004E6AFB">
        <w:t>most commonly</w:t>
      </w:r>
      <w:r w:rsidRPr="004E6AFB">
        <w:t xml:space="preserve"> used form of follitropin</w:t>
      </w:r>
      <w:r w:rsidR="00E74FDE" w:rsidRPr="004E6AFB">
        <w:t xml:space="preserve"> </w:t>
      </w:r>
      <w:r w:rsidR="007868F1" w:rsidRPr="004E6AFB">
        <w:t>on</w:t>
      </w:r>
      <w:r w:rsidR="00E74FDE" w:rsidRPr="004E6AFB">
        <w:t xml:space="preserve"> the PBS</w:t>
      </w:r>
      <w:r w:rsidR="007B0303" w:rsidRPr="004E6AFB">
        <w:t xml:space="preserve">, and </w:t>
      </w:r>
      <w:r w:rsidR="00EE1BF4" w:rsidRPr="004E6AFB">
        <w:t xml:space="preserve">noted that </w:t>
      </w:r>
      <w:r w:rsidR="007B0303" w:rsidRPr="004E6AFB">
        <w:t>t</w:t>
      </w:r>
      <w:r w:rsidR="00E74FDE" w:rsidRPr="004E6AFB">
        <w:t xml:space="preserve">he other follitropin products available on the PBS </w:t>
      </w:r>
      <w:r w:rsidR="00EE1BF4" w:rsidRPr="004E6AFB">
        <w:t>we</w:t>
      </w:r>
      <w:r w:rsidR="00E74FDE" w:rsidRPr="004E6AFB">
        <w:t>re</w:t>
      </w:r>
      <w:r w:rsidR="007B0303" w:rsidRPr="004E6AFB">
        <w:t xml:space="preserve"> all listed on a cost-minimisation basis</w:t>
      </w:r>
      <w:r w:rsidR="007868F1" w:rsidRPr="004E6AFB">
        <w:t xml:space="preserve"> to follitropin alfa</w:t>
      </w:r>
      <w:r w:rsidR="00217393" w:rsidRPr="004E6AFB">
        <w:t xml:space="preserve"> and none of the</w:t>
      </w:r>
      <w:r w:rsidR="00CB5C03">
        <w:t xml:space="preserve"> other follitropin</w:t>
      </w:r>
      <w:r w:rsidR="00217393" w:rsidRPr="004E6AFB">
        <w:t xml:space="preserve"> products have subsequently undergone price reductions</w:t>
      </w:r>
      <w:r w:rsidRPr="004E6AFB">
        <w:t>.</w:t>
      </w:r>
    </w:p>
    <w:p w:rsidR="007B0303" w:rsidRPr="004E6AFB" w:rsidRDefault="007B0303" w:rsidP="007B0303">
      <w:pPr>
        <w:pStyle w:val="ListParagraph"/>
        <w:numPr>
          <w:ilvl w:val="1"/>
          <w:numId w:val="2"/>
        </w:numPr>
        <w:jc w:val="both"/>
      </w:pPr>
      <w:r w:rsidRPr="004E6AFB">
        <w:t xml:space="preserve">The PBAC </w:t>
      </w:r>
      <w:r w:rsidR="00E74FDE" w:rsidRPr="004E6AFB">
        <w:t>accept</w:t>
      </w:r>
      <w:r w:rsidR="007868F1" w:rsidRPr="004E6AFB">
        <w:t>ed</w:t>
      </w:r>
      <w:r w:rsidR="00E74FDE" w:rsidRPr="004E6AFB">
        <w:t xml:space="preserve"> the submission’s claim of non-inferior effectiveness against follitropin alfa, on the basis that the </w:t>
      </w:r>
      <w:r w:rsidR="007868F1" w:rsidRPr="004E6AFB">
        <w:t xml:space="preserve">pre-specified </w:t>
      </w:r>
      <w:r w:rsidR="00E74FDE" w:rsidRPr="004E6AFB">
        <w:t>non-inferiority margin of</w:t>
      </w:r>
      <w:r w:rsidRPr="004E6AFB">
        <w:t xml:space="preserve"> ±8.0%</w:t>
      </w:r>
      <w:r w:rsidR="007868F1" w:rsidRPr="004E6AFB">
        <w:t xml:space="preserve"> </w:t>
      </w:r>
      <w:r w:rsidRPr="004E6AFB">
        <w:t>was achieved and</w:t>
      </w:r>
      <w:r w:rsidR="007868F1" w:rsidRPr="004E6AFB">
        <w:t xml:space="preserve"> was comparable to other previously accepted measures in this treatment setting</w:t>
      </w:r>
      <w:r w:rsidRPr="004E6AFB">
        <w:t>.</w:t>
      </w:r>
    </w:p>
    <w:p w:rsidR="00EE1BF4" w:rsidRPr="004E6AFB" w:rsidRDefault="00740641" w:rsidP="00D420A4">
      <w:pPr>
        <w:pStyle w:val="ListParagraph"/>
        <w:numPr>
          <w:ilvl w:val="1"/>
          <w:numId w:val="2"/>
        </w:numPr>
        <w:jc w:val="both"/>
      </w:pPr>
      <w:r w:rsidRPr="004E6AFB">
        <w:t>The PBAC did not agree with the sponsor’s estimate of the equi</w:t>
      </w:r>
      <w:r w:rsidR="007868F1" w:rsidRPr="004E6AFB">
        <w:t>-</w:t>
      </w:r>
      <w:r w:rsidRPr="004E6AFB">
        <w:t xml:space="preserve">effective dose </w:t>
      </w:r>
      <w:r w:rsidR="007868F1" w:rsidRPr="004E6AFB">
        <w:t>of</w:t>
      </w:r>
      <w:r w:rsidRPr="004E6AFB">
        <w:t xml:space="preserve"> </w:t>
      </w:r>
      <w:r w:rsidR="0034132A">
        <w:rPr>
          <w:noProof/>
          <w:color w:val="000000"/>
          <w:highlight w:val="black"/>
        </w:rPr>
        <w:t>'''''''''''''''</w:t>
      </w:r>
      <w:r w:rsidRPr="004E6AFB">
        <w:t xml:space="preserve"> follitropin alfa against </w:t>
      </w:r>
      <w:r w:rsidR="0034132A">
        <w:rPr>
          <w:noProof/>
          <w:color w:val="000000"/>
          <w:highlight w:val="black"/>
        </w:rPr>
        <w:t>'''''''''''''''</w:t>
      </w:r>
      <w:r w:rsidRPr="004E6AFB">
        <w:t xml:space="preserve"> follitropin delta</w:t>
      </w:r>
      <w:r w:rsidR="007868F1" w:rsidRPr="004E6AFB">
        <w:t>. The PBA</w:t>
      </w:r>
      <w:r w:rsidR="00EE1BF4" w:rsidRPr="004E6AFB">
        <w:t>C</w:t>
      </w:r>
      <w:r w:rsidR="007868F1" w:rsidRPr="004E6AFB">
        <w:t xml:space="preserve"> did not accept that</w:t>
      </w:r>
      <w:r w:rsidRPr="004E6AFB">
        <w:t xml:space="preserve"> the doses derived from</w:t>
      </w:r>
      <w:r w:rsidR="007868F1" w:rsidRPr="004E6AFB">
        <w:t xml:space="preserve"> the analysis of the population data were reasonable, particularly in the context of the additional evidence that suggests an inverse relationship between increasing dose and pregnancy outcomes</w:t>
      </w:r>
      <w:r w:rsidRPr="004E6AFB">
        <w:t xml:space="preserve">. </w:t>
      </w:r>
      <w:r w:rsidR="007868F1" w:rsidRPr="004E6AFB">
        <w:t>However, t</w:t>
      </w:r>
      <w:r w:rsidR="00274F89" w:rsidRPr="004E6AFB">
        <w:t xml:space="preserve">he Committee </w:t>
      </w:r>
      <w:r w:rsidR="007868F1" w:rsidRPr="004E6AFB">
        <w:t>considered</w:t>
      </w:r>
      <w:r w:rsidR="00274F89" w:rsidRPr="004E6AFB">
        <w:t xml:space="preserve"> it was reasonable to adjust </w:t>
      </w:r>
      <w:r w:rsidR="007868F1" w:rsidRPr="004E6AFB">
        <w:t xml:space="preserve">the equi-effective dose from the ESTHER-1 trial to account for the difference in </w:t>
      </w:r>
      <w:r w:rsidR="00274F89" w:rsidRPr="004E6AFB">
        <w:t>weight and age</w:t>
      </w:r>
      <w:r w:rsidR="007868F1" w:rsidRPr="004E6AFB">
        <w:t xml:space="preserve"> between the clinical trial </w:t>
      </w:r>
      <w:r w:rsidR="00EE1BF4" w:rsidRPr="004E6AFB">
        <w:t xml:space="preserve">population </w:t>
      </w:r>
      <w:r w:rsidR="007868F1" w:rsidRPr="004E6AFB">
        <w:t>and</w:t>
      </w:r>
      <w:r w:rsidR="00EE1BF4" w:rsidRPr="004E6AFB">
        <w:t xml:space="preserve"> the</w:t>
      </w:r>
      <w:r w:rsidR="007868F1" w:rsidRPr="004E6AFB">
        <w:t xml:space="preserve"> Australian population</w:t>
      </w:r>
      <w:r w:rsidR="00D420A4" w:rsidRPr="004E6AFB">
        <w:t xml:space="preserve">. </w:t>
      </w:r>
      <w:r w:rsidRPr="004E6AFB">
        <w:t xml:space="preserve">The PBAC </w:t>
      </w:r>
      <w:r w:rsidR="007868F1" w:rsidRPr="004E6AFB">
        <w:t>therefore agreed with</w:t>
      </w:r>
      <w:r w:rsidRPr="004E6AFB">
        <w:t xml:space="preserve"> the ESC </w:t>
      </w:r>
      <w:r w:rsidR="007868F1" w:rsidRPr="004E6AFB">
        <w:t>that the</w:t>
      </w:r>
      <w:r w:rsidRPr="004E6AFB">
        <w:t xml:space="preserve"> equi</w:t>
      </w:r>
      <w:r w:rsidR="007868F1" w:rsidRPr="004E6AFB">
        <w:t>-</w:t>
      </w:r>
      <w:r w:rsidRPr="004E6AFB">
        <w:t xml:space="preserve">effective dose </w:t>
      </w:r>
      <w:r w:rsidR="007868F1" w:rsidRPr="004E6AFB">
        <w:t>should be</w:t>
      </w:r>
      <w:r w:rsidRPr="004E6AFB">
        <w:t xml:space="preserve"> 1,896</w:t>
      </w:r>
      <w:r w:rsidR="00217393" w:rsidRPr="004E6AFB">
        <w:t> </w:t>
      </w:r>
      <w:r w:rsidRPr="004E6AFB">
        <w:t xml:space="preserve">IU </w:t>
      </w:r>
      <w:r w:rsidR="007868F1" w:rsidRPr="004E6AFB">
        <w:t xml:space="preserve">of follitropin </w:t>
      </w:r>
      <w:r w:rsidRPr="004E6AFB">
        <w:t>alfa to 93.6</w:t>
      </w:r>
      <w:r w:rsidR="00217393" w:rsidRPr="004E6AFB">
        <w:t> </w:t>
      </w:r>
      <w:r w:rsidRPr="004E6AFB">
        <w:t xml:space="preserve">mcg </w:t>
      </w:r>
      <w:r w:rsidR="007868F1" w:rsidRPr="004E6AFB">
        <w:t xml:space="preserve">of follitropin </w:t>
      </w:r>
      <w:r w:rsidRPr="004E6AFB">
        <w:t xml:space="preserve">delta. </w:t>
      </w:r>
    </w:p>
    <w:p w:rsidR="002622AF" w:rsidRPr="004E6AFB" w:rsidRDefault="00543873" w:rsidP="00D420A4">
      <w:pPr>
        <w:pStyle w:val="ListParagraph"/>
        <w:numPr>
          <w:ilvl w:val="1"/>
          <w:numId w:val="2"/>
        </w:numPr>
        <w:jc w:val="both"/>
      </w:pPr>
      <w:r w:rsidRPr="004E6AFB">
        <w:t>Th</w:t>
      </w:r>
      <w:r w:rsidR="007868F1" w:rsidRPr="004E6AFB">
        <w:t xml:space="preserve">e PBAC also noted that any requests to change the basis of this cost-minimisation </w:t>
      </w:r>
      <w:r w:rsidR="00EE1BF4" w:rsidRPr="004E6AFB">
        <w:t>recommendation</w:t>
      </w:r>
      <w:r w:rsidR="007868F1" w:rsidRPr="004E6AFB">
        <w:t xml:space="preserve"> in the future would need to be in the form of a major submission.</w:t>
      </w:r>
    </w:p>
    <w:p w:rsidR="006128FE" w:rsidRPr="004E6AFB" w:rsidRDefault="006128FE" w:rsidP="00D420A4">
      <w:pPr>
        <w:pStyle w:val="ListParagraph"/>
        <w:numPr>
          <w:ilvl w:val="1"/>
          <w:numId w:val="2"/>
        </w:numPr>
        <w:jc w:val="both"/>
      </w:pPr>
      <w:r w:rsidRPr="004E6AFB">
        <w:t xml:space="preserve">The PBAC </w:t>
      </w:r>
      <w:r w:rsidR="007868F1" w:rsidRPr="004E6AFB">
        <w:t xml:space="preserve">agreed that the requested listing was likely to result in a saving to the PBS, but </w:t>
      </w:r>
      <w:r w:rsidR="00AD4B07" w:rsidRPr="004E6AFB">
        <w:t xml:space="preserve">that the extent of savings will be dependent on the rate of substitution between follitropin alfa and </w:t>
      </w:r>
      <w:r w:rsidR="007868F1" w:rsidRPr="004E6AFB">
        <w:t xml:space="preserve">follitropin </w:t>
      </w:r>
      <w:r w:rsidR="00AD4B07" w:rsidRPr="004E6AFB">
        <w:t>beta</w:t>
      </w:r>
      <w:r w:rsidR="007868F1" w:rsidRPr="004E6AFB">
        <w:t>, and the estimates will need to be updated to account for the revised equi-effective dose</w:t>
      </w:r>
      <w:r w:rsidR="00AD4B07" w:rsidRPr="004E6AFB">
        <w:t xml:space="preserve">. </w:t>
      </w:r>
    </w:p>
    <w:p w:rsidR="00AD4B07" w:rsidRPr="004E6AFB" w:rsidRDefault="00AD4B07" w:rsidP="00D420A4">
      <w:pPr>
        <w:pStyle w:val="ListParagraph"/>
        <w:numPr>
          <w:ilvl w:val="1"/>
          <w:numId w:val="2"/>
        </w:numPr>
        <w:jc w:val="both"/>
      </w:pPr>
      <w:r w:rsidRPr="004E6AFB">
        <w:t>The PBAC advised that follitropin delta is not suitable for prescribing by nurse practitioners.</w:t>
      </w:r>
    </w:p>
    <w:p w:rsidR="00AD4B07" w:rsidRPr="004E6AFB" w:rsidRDefault="00AD4B07" w:rsidP="00D420A4">
      <w:pPr>
        <w:pStyle w:val="ListParagraph"/>
        <w:numPr>
          <w:ilvl w:val="1"/>
          <w:numId w:val="2"/>
        </w:numPr>
        <w:jc w:val="both"/>
      </w:pPr>
      <w:r w:rsidRPr="004E6AFB">
        <w:t>The PBAC recommended that the Early Supply Rule should not apply.</w:t>
      </w:r>
    </w:p>
    <w:p w:rsidR="00AD4B07" w:rsidRPr="004E6AFB" w:rsidRDefault="00AD4B07" w:rsidP="00D420A4">
      <w:pPr>
        <w:pStyle w:val="ListParagraph"/>
        <w:numPr>
          <w:ilvl w:val="1"/>
          <w:numId w:val="2"/>
        </w:numPr>
        <w:jc w:val="both"/>
      </w:pPr>
      <w:r w:rsidRPr="004E6AFB">
        <w:t xml:space="preserve">The PBAC noted that this submission is not eligible for an Independent Review as it received a </w:t>
      </w:r>
      <w:r w:rsidR="00EE1BF4" w:rsidRPr="004E6AFB">
        <w:t xml:space="preserve">positive </w:t>
      </w:r>
      <w:r w:rsidRPr="004E6AFB">
        <w:t>recommendation.</w:t>
      </w:r>
    </w:p>
    <w:p w:rsidR="00E62933" w:rsidRPr="004E6AFB" w:rsidRDefault="003430FB" w:rsidP="00431448">
      <w:pPr>
        <w:spacing w:after="0"/>
        <w:contextualSpacing/>
        <w:jc w:val="both"/>
      </w:pPr>
      <w:r w:rsidRPr="004E6AFB">
        <w:rPr>
          <w:b/>
        </w:rPr>
        <w:t>Outcome:</w:t>
      </w:r>
    </w:p>
    <w:p w:rsidR="003430FB" w:rsidRPr="004E6AFB" w:rsidRDefault="003430FB" w:rsidP="00431448">
      <w:pPr>
        <w:spacing w:after="0"/>
        <w:contextualSpacing/>
        <w:jc w:val="both"/>
      </w:pPr>
      <w:r w:rsidRPr="004E6AFB">
        <w:t>Recommend</w:t>
      </w:r>
    </w:p>
    <w:p w:rsidR="0082121F" w:rsidRDefault="0082121F">
      <w:pPr>
        <w:spacing w:before="0" w:line="259" w:lineRule="auto"/>
      </w:pPr>
      <w:r>
        <w:br w:type="page"/>
      </w:r>
    </w:p>
    <w:p w:rsidR="003430FB" w:rsidRPr="004E6AFB" w:rsidRDefault="003430FB" w:rsidP="00431448">
      <w:pPr>
        <w:spacing w:after="0"/>
        <w:contextualSpacing/>
        <w:jc w:val="both"/>
      </w:pPr>
    </w:p>
    <w:p w:rsidR="003430FB" w:rsidRPr="004E6AFB" w:rsidRDefault="003430FB" w:rsidP="003430FB">
      <w:pPr>
        <w:pStyle w:val="Heading1"/>
        <w:ind w:left="709" w:hanging="709"/>
      </w:pPr>
      <w:r w:rsidRPr="004E6AFB">
        <w:t>Recommended listing</w:t>
      </w:r>
    </w:p>
    <w:p w:rsidR="003430FB" w:rsidRPr="004E6AFB" w:rsidRDefault="003430FB" w:rsidP="003430FB">
      <w:pPr>
        <w:pStyle w:val="ListParagraph"/>
        <w:numPr>
          <w:ilvl w:val="1"/>
          <w:numId w:val="2"/>
        </w:numPr>
        <w:jc w:val="both"/>
      </w:pPr>
      <w:r w:rsidRPr="004E6AFB">
        <w:t>Add new item:</w:t>
      </w:r>
    </w:p>
    <w:tbl>
      <w:tblPr>
        <w:tblW w:w="9214" w:type="dxa"/>
        <w:tblInd w:w="108" w:type="dxa"/>
        <w:tblLayout w:type="fixed"/>
        <w:tblLook w:val="0000" w:firstRow="0" w:lastRow="0" w:firstColumn="0" w:lastColumn="0" w:noHBand="0" w:noVBand="0"/>
      </w:tblPr>
      <w:tblGrid>
        <w:gridCol w:w="2835"/>
        <w:gridCol w:w="1985"/>
        <w:gridCol w:w="709"/>
        <w:gridCol w:w="567"/>
        <w:gridCol w:w="283"/>
        <w:gridCol w:w="1559"/>
        <w:gridCol w:w="1276"/>
      </w:tblGrid>
      <w:tr w:rsidR="00876E75" w:rsidRPr="004E6AFB" w:rsidTr="00544609">
        <w:trPr>
          <w:cantSplit/>
          <w:trHeight w:val="471"/>
        </w:trPr>
        <w:tc>
          <w:tcPr>
            <w:tcW w:w="4820" w:type="dxa"/>
            <w:gridSpan w:val="2"/>
            <w:tcBorders>
              <w:bottom w:val="single" w:sz="4" w:space="0" w:color="auto"/>
            </w:tcBorders>
          </w:tcPr>
          <w:p w:rsidR="00876E75" w:rsidRPr="004E6AFB" w:rsidRDefault="00876E75" w:rsidP="00876E75">
            <w:pPr>
              <w:keepNext/>
              <w:spacing w:before="0" w:after="0"/>
              <w:ind w:left="-108"/>
              <w:jc w:val="both"/>
              <w:rPr>
                <w:rFonts w:ascii="Arial Narrow" w:eastAsia="Times New Roman" w:hAnsi="Arial Narrow" w:cs="Arial"/>
                <w:sz w:val="20"/>
                <w:szCs w:val="20"/>
                <w:lang w:eastAsia="en-AU"/>
              </w:rPr>
            </w:pPr>
            <w:r w:rsidRPr="004E6AFB">
              <w:rPr>
                <w:rFonts w:ascii="Arial Narrow" w:eastAsia="Times New Roman" w:hAnsi="Arial Narrow" w:cs="Arial"/>
                <w:sz w:val="20"/>
                <w:szCs w:val="20"/>
                <w:lang w:eastAsia="en-AU"/>
              </w:rPr>
              <w:t>Name, Restriction,</w:t>
            </w:r>
          </w:p>
          <w:p w:rsidR="00876E75" w:rsidRPr="004E6AFB" w:rsidRDefault="00876E75" w:rsidP="00876E75">
            <w:pPr>
              <w:keepNext/>
              <w:spacing w:before="0" w:after="0"/>
              <w:ind w:left="-108"/>
              <w:jc w:val="both"/>
              <w:rPr>
                <w:rFonts w:ascii="Arial Narrow" w:eastAsia="Times New Roman" w:hAnsi="Arial Narrow" w:cs="Arial"/>
                <w:sz w:val="20"/>
                <w:szCs w:val="20"/>
                <w:lang w:eastAsia="en-AU"/>
              </w:rPr>
            </w:pPr>
            <w:r w:rsidRPr="004E6AFB">
              <w:rPr>
                <w:rFonts w:ascii="Arial Narrow" w:eastAsia="Times New Roman" w:hAnsi="Arial Narrow" w:cs="Arial"/>
                <w:sz w:val="20"/>
                <w:szCs w:val="20"/>
                <w:lang w:eastAsia="en-AU"/>
              </w:rPr>
              <w:t>Manner of administration and form</w:t>
            </w:r>
          </w:p>
        </w:tc>
        <w:tc>
          <w:tcPr>
            <w:tcW w:w="709" w:type="dxa"/>
            <w:tcBorders>
              <w:bottom w:val="single" w:sz="4" w:space="0" w:color="auto"/>
            </w:tcBorders>
          </w:tcPr>
          <w:p w:rsidR="00876E75" w:rsidRPr="004E6AFB" w:rsidRDefault="00876E75" w:rsidP="00876E75">
            <w:pPr>
              <w:keepNext/>
              <w:spacing w:before="0" w:after="0"/>
              <w:ind w:left="-108"/>
              <w:jc w:val="both"/>
              <w:rPr>
                <w:rFonts w:ascii="Arial Narrow" w:eastAsia="Times New Roman" w:hAnsi="Arial Narrow" w:cs="Arial"/>
                <w:sz w:val="20"/>
                <w:szCs w:val="20"/>
                <w:lang w:eastAsia="en-AU"/>
              </w:rPr>
            </w:pPr>
            <w:r w:rsidRPr="004E6AFB">
              <w:rPr>
                <w:rFonts w:ascii="Arial Narrow" w:eastAsia="Times New Roman" w:hAnsi="Arial Narrow" w:cs="Arial"/>
                <w:sz w:val="20"/>
                <w:szCs w:val="20"/>
                <w:lang w:eastAsia="en-AU"/>
              </w:rPr>
              <w:t>Max.</w:t>
            </w:r>
          </w:p>
          <w:p w:rsidR="00876E75" w:rsidRPr="004E6AFB" w:rsidRDefault="00876E75" w:rsidP="00876E75">
            <w:pPr>
              <w:keepNext/>
              <w:spacing w:before="0" w:after="0"/>
              <w:ind w:left="-108"/>
              <w:jc w:val="both"/>
              <w:rPr>
                <w:rFonts w:ascii="Arial Narrow" w:eastAsia="Times New Roman" w:hAnsi="Arial Narrow" w:cs="Arial"/>
                <w:sz w:val="20"/>
                <w:szCs w:val="20"/>
                <w:lang w:eastAsia="en-AU"/>
              </w:rPr>
            </w:pPr>
            <w:r w:rsidRPr="004E6AFB">
              <w:rPr>
                <w:rFonts w:ascii="Arial Narrow" w:eastAsia="Times New Roman" w:hAnsi="Arial Narrow" w:cs="Arial"/>
                <w:sz w:val="20"/>
                <w:szCs w:val="20"/>
                <w:lang w:eastAsia="en-AU"/>
              </w:rPr>
              <w:t>Qty</w:t>
            </w:r>
          </w:p>
        </w:tc>
        <w:tc>
          <w:tcPr>
            <w:tcW w:w="567" w:type="dxa"/>
            <w:tcBorders>
              <w:bottom w:val="single" w:sz="4" w:space="0" w:color="auto"/>
            </w:tcBorders>
          </w:tcPr>
          <w:p w:rsidR="00876E75" w:rsidRPr="004E6AFB" w:rsidRDefault="00876E75" w:rsidP="00876E75">
            <w:pPr>
              <w:keepNext/>
              <w:spacing w:before="0" w:after="0"/>
              <w:ind w:left="-108"/>
              <w:jc w:val="both"/>
              <w:rPr>
                <w:rFonts w:ascii="Arial Narrow" w:eastAsia="Times New Roman" w:hAnsi="Arial Narrow" w:cs="Arial"/>
                <w:sz w:val="20"/>
                <w:szCs w:val="20"/>
                <w:lang w:eastAsia="en-AU"/>
              </w:rPr>
            </w:pPr>
            <w:r w:rsidRPr="004E6AFB">
              <w:rPr>
                <w:rFonts w:ascii="Arial Narrow" w:eastAsia="Times New Roman" w:hAnsi="Arial Narrow" w:cs="Arial"/>
                <w:sz w:val="20"/>
                <w:szCs w:val="20"/>
                <w:lang w:eastAsia="en-AU"/>
              </w:rPr>
              <w:t>№.of</w:t>
            </w:r>
          </w:p>
          <w:p w:rsidR="00876E75" w:rsidRPr="004E6AFB" w:rsidRDefault="00876E75" w:rsidP="00876E75">
            <w:pPr>
              <w:keepNext/>
              <w:spacing w:before="0" w:after="0"/>
              <w:ind w:left="-108"/>
              <w:jc w:val="both"/>
              <w:rPr>
                <w:rFonts w:ascii="Arial Narrow" w:eastAsia="Times New Roman" w:hAnsi="Arial Narrow" w:cs="Arial"/>
                <w:sz w:val="20"/>
                <w:szCs w:val="20"/>
                <w:lang w:eastAsia="en-AU"/>
              </w:rPr>
            </w:pPr>
            <w:r w:rsidRPr="004E6AFB">
              <w:rPr>
                <w:rFonts w:ascii="Arial Narrow" w:eastAsia="Times New Roman" w:hAnsi="Arial Narrow" w:cs="Arial"/>
                <w:sz w:val="20"/>
                <w:szCs w:val="20"/>
                <w:lang w:eastAsia="en-AU"/>
              </w:rPr>
              <w:t>Rpts</w:t>
            </w:r>
          </w:p>
        </w:tc>
        <w:tc>
          <w:tcPr>
            <w:tcW w:w="283" w:type="dxa"/>
            <w:tcBorders>
              <w:bottom w:val="single" w:sz="4" w:space="0" w:color="auto"/>
            </w:tcBorders>
          </w:tcPr>
          <w:p w:rsidR="00876E75" w:rsidRPr="004E6AFB" w:rsidRDefault="00876E75" w:rsidP="00876E75">
            <w:pPr>
              <w:keepNext/>
              <w:spacing w:before="0" w:after="0"/>
              <w:ind w:left="-108"/>
              <w:jc w:val="both"/>
              <w:rPr>
                <w:rFonts w:ascii="Arial Narrow" w:eastAsia="Times New Roman" w:hAnsi="Arial Narrow" w:cs="Arial"/>
                <w:sz w:val="20"/>
                <w:szCs w:val="20"/>
                <w:lang w:eastAsia="en-AU"/>
              </w:rPr>
            </w:pPr>
          </w:p>
        </w:tc>
        <w:tc>
          <w:tcPr>
            <w:tcW w:w="2835" w:type="dxa"/>
            <w:gridSpan w:val="2"/>
            <w:tcBorders>
              <w:bottom w:val="single" w:sz="4" w:space="0" w:color="auto"/>
            </w:tcBorders>
          </w:tcPr>
          <w:p w:rsidR="00876E75" w:rsidRPr="004E6AFB" w:rsidRDefault="00876E75" w:rsidP="00876E75">
            <w:pPr>
              <w:keepNext/>
              <w:spacing w:before="0" w:after="0"/>
              <w:jc w:val="both"/>
              <w:rPr>
                <w:rFonts w:ascii="Arial Narrow" w:eastAsia="Times New Roman" w:hAnsi="Arial Narrow" w:cs="Arial"/>
                <w:sz w:val="20"/>
                <w:szCs w:val="20"/>
                <w:lang w:eastAsia="en-AU"/>
              </w:rPr>
            </w:pPr>
            <w:r w:rsidRPr="004E6AFB">
              <w:rPr>
                <w:rFonts w:ascii="Arial Narrow" w:eastAsia="Times New Roman" w:hAnsi="Arial Narrow" w:cs="Arial"/>
                <w:sz w:val="20"/>
                <w:szCs w:val="20"/>
                <w:lang w:eastAsia="en-AU"/>
              </w:rPr>
              <w:t>Proprietary Name and Manufacturer</w:t>
            </w:r>
          </w:p>
        </w:tc>
      </w:tr>
      <w:tr w:rsidR="00876E75" w:rsidRPr="004E6AFB" w:rsidTr="00544609">
        <w:trPr>
          <w:cantSplit/>
          <w:trHeight w:val="577"/>
        </w:trPr>
        <w:tc>
          <w:tcPr>
            <w:tcW w:w="4820" w:type="dxa"/>
            <w:gridSpan w:val="2"/>
          </w:tcPr>
          <w:p w:rsidR="00876E75" w:rsidRPr="004E6AFB" w:rsidRDefault="00876E75" w:rsidP="00876E75">
            <w:pPr>
              <w:keepNext/>
              <w:spacing w:before="0" w:after="0"/>
              <w:ind w:left="-108"/>
              <w:jc w:val="both"/>
              <w:rPr>
                <w:rFonts w:ascii="Arial Narrow" w:eastAsia="Times New Roman" w:hAnsi="Arial Narrow" w:cs="Arial"/>
                <w:sz w:val="20"/>
                <w:szCs w:val="20"/>
                <w:lang w:eastAsia="en-AU"/>
              </w:rPr>
            </w:pPr>
            <w:r w:rsidRPr="004E6AFB">
              <w:rPr>
                <w:rFonts w:ascii="Arial Narrow" w:eastAsia="Times New Roman" w:hAnsi="Arial Narrow" w:cs="Arial"/>
                <w:smallCaps/>
                <w:sz w:val="20"/>
                <w:szCs w:val="20"/>
                <w:lang w:eastAsia="en-AU"/>
              </w:rPr>
              <w:t>FOLLITROPIN DELTA</w:t>
            </w:r>
          </w:p>
          <w:p w:rsidR="00876E75" w:rsidRPr="004E6AFB" w:rsidRDefault="00217393" w:rsidP="00217393">
            <w:pPr>
              <w:keepNext/>
              <w:spacing w:before="0" w:after="0"/>
              <w:ind w:left="-108"/>
              <w:rPr>
                <w:rFonts w:ascii="Arial Narrow" w:eastAsia="Times New Roman" w:hAnsi="Arial Narrow" w:cs="Arial"/>
                <w:b/>
                <w:bCs/>
                <w:sz w:val="20"/>
                <w:szCs w:val="20"/>
                <w:lang w:eastAsia="en-AU"/>
              </w:rPr>
            </w:pPr>
            <w:r w:rsidRPr="004E6AFB">
              <w:rPr>
                <w:rFonts w:ascii="Arial Narrow" w:eastAsia="Times New Roman" w:hAnsi="Arial Narrow" w:cs="Arial"/>
                <w:sz w:val="20"/>
                <w:szCs w:val="20"/>
                <w:lang w:eastAsia="en-AU"/>
              </w:rPr>
              <w:t>12 mcg/0.36 mL injection, 1 x 3 </w:t>
            </w:r>
            <w:r w:rsidR="00876E75" w:rsidRPr="004E6AFB">
              <w:rPr>
                <w:rFonts w:ascii="Arial Narrow" w:eastAsia="Times New Roman" w:hAnsi="Arial Narrow" w:cs="Arial"/>
                <w:sz w:val="20"/>
                <w:szCs w:val="20"/>
                <w:lang w:eastAsia="en-AU"/>
              </w:rPr>
              <w:t>mL cartridge and 3 needles</w:t>
            </w:r>
          </w:p>
          <w:p w:rsidR="00876E75" w:rsidRPr="004E6AFB" w:rsidRDefault="00217393" w:rsidP="00217393">
            <w:pPr>
              <w:keepNext/>
              <w:spacing w:before="0" w:after="0"/>
              <w:ind w:left="-108"/>
              <w:rPr>
                <w:rFonts w:ascii="Arial Narrow" w:eastAsia="Times New Roman" w:hAnsi="Arial Narrow" w:cs="Arial"/>
                <w:b/>
                <w:bCs/>
                <w:sz w:val="20"/>
                <w:szCs w:val="20"/>
                <w:lang w:eastAsia="en-AU"/>
              </w:rPr>
            </w:pPr>
            <w:r w:rsidRPr="004E6AFB">
              <w:rPr>
                <w:rFonts w:ascii="Arial Narrow" w:eastAsia="Times New Roman" w:hAnsi="Arial Narrow" w:cs="Arial"/>
                <w:sz w:val="20"/>
                <w:szCs w:val="20"/>
                <w:lang w:eastAsia="en-AU"/>
              </w:rPr>
              <w:t>36 mcg/1.08 mL injection, 1 x 3 </w:t>
            </w:r>
            <w:r w:rsidR="00876E75" w:rsidRPr="004E6AFB">
              <w:rPr>
                <w:rFonts w:ascii="Arial Narrow" w:eastAsia="Times New Roman" w:hAnsi="Arial Narrow" w:cs="Arial"/>
                <w:sz w:val="20"/>
                <w:szCs w:val="20"/>
                <w:lang w:eastAsia="en-AU"/>
              </w:rPr>
              <w:t>mL cartridge and 6 needles</w:t>
            </w:r>
          </w:p>
          <w:p w:rsidR="00876E75" w:rsidRPr="004E6AFB" w:rsidRDefault="00217393" w:rsidP="00217393">
            <w:pPr>
              <w:keepNext/>
              <w:spacing w:before="0" w:after="0"/>
              <w:ind w:left="-108"/>
              <w:rPr>
                <w:rFonts w:ascii="Arial Narrow" w:eastAsia="Times New Roman" w:hAnsi="Arial Narrow" w:cs="Arial"/>
                <w:sz w:val="20"/>
                <w:szCs w:val="20"/>
                <w:lang w:eastAsia="en-AU"/>
              </w:rPr>
            </w:pPr>
            <w:r w:rsidRPr="004E6AFB">
              <w:rPr>
                <w:rFonts w:ascii="Arial Narrow" w:eastAsia="Times New Roman" w:hAnsi="Arial Narrow" w:cs="Arial"/>
                <w:sz w:val="20"/>
                <w:szCs w:val="20"/>
                <w:lang w:eastAsia="en-AU"/>
              </w:rPr>
              <w:t>72 mcg/2.16 mL injection, 1 x 3 </w:t>
            </w:r>
            <w:r w:rsidR="00876E75" w:rsidRPr="004E6AFB">
              <w:rPr>
                <w:rFonts w:ascii="Arial Narrow" w:eastAsia="Times New Roman" w:hAnsi="Arial Narrow" w:cs="Arial"/>
                <w:sz w:val="20"/>
                <w:szCs w:val="20"/>
                <w:lang w:eastAsia="en-AU"/>
              </w:rPr>
              <w:t>mL cartridge and 9 needles</w:t>
            </w:r>
          </w:p>
        </w:tc>
        <w:tc>
          <w:tcPr>
            <w:tcW w:w="709" w:type="dxa"/>
          </w:tcPr>
          <w:p w:rsidR="00876E75" w:rsidRPr="004E6AFB" w:rsidRDefault="00876E75" w:rsidP="00876E75">
            <w:pPr>
              <w:keepNext/>
              <w:spacing w:before="0" w:after="0"/>
              <w:ind w:left="-108"/>
              <w:jc w:val="both"/>
              <w:rPr>
                <w:rFonts w:ascii="Arial Narrow" w:eastAsia="Times New Roman" w:hAnsi="Arial Narrow" w:cs="Arial"/>
                <w:sz w:val="20"/>
                <w:szCs w:val="20"/>
                <w:lang w:eastAsia="en-AU"/>
              </w:rPr>
            </w:pPr>
          </w:p>
          <w:p w:rsidR="00876E75" w:rsidRPr="004E6AFB" w:rsidRDefault="00876E75" w:rsidP="00876E75">
            <w:pPr>
              <w:keepNext/>
              <w:spacing w:before="0" w:after="0"/>
              <w:ind w:left="-108"/>
              <w:jc w:val="both"/>
              <w:rPr>
                <w:rFonts w:ascii="Arial Narrow" w:eastAsia="Times New Roman" w:hAnsi="Arial Narrow" w:cs="Arial"/>
                <w:sz w:val="20"/>
                <w:szCs w:val="20"/>
                <w:lang w:eastAsia="en-AU"/>
              </w:rPr>
            </w:pPr>
            <w:r w:rsidRPr="004E6AFB">
              <w:rPr>
                <w:rFonts w:ascii="Arial Narrow" w:eastAsia="Times New Roman" w:hAnsi="Arial Narrow" w:cs="Arial"/>
                <w:sz w:val="20"/>
                <w:szCs w:val="20"/>
                <w:lang w:eastAsia="en-AU"/>
              </w:rPr>
              <w:t>5</w:t>
            </w:r>
          </w:p>
          <w:p w:rsidR="00876E75" w:rsidRPr="004E6AFB" w:rsidRDefault="00876E75" w:rsidP="00876E75">
            <w:pPr>
              <w:keepNext/>
              <w:spacing w:before="0" w:after="0"/>
              <w:ind w:left="-108"/>
              <w:jc w:val="both"/>
              <w:rPr>
                <w:rFonts w:ascii="Arial Narrow" w:eastAsia="Times New Roman" w:hAnsi="Arial Narrow" w:cs="Arial"/>
                <w:sz w:val="20"/>
                <w:szCs w:val="20"/>
                <w:lang w:eastAsia="en-AU"/>
              </w:rPr>
            </w:pPr>
            <w:r w:rsidRPr="004E6AFB">
              <w:rPr>
                <w:rFonts w:ascii="Arial Narrow" w:eastAsia="Times New Roman" w:hAnsi="Arial Narrow" w:cs="Arial"/>
                <w:sz w:val="20"/>
                <w:szCs w:val="20"/>
                <w:lang w:eastAsia="en-AU"/>
              </w:rPr>
              <w:t>5</w:t>
            </w:r>
          </w:p>
          <w:p w:rsidR="00876E75" w:rsidRPr="004E6AFB" w:rsidRDefault="00876E75" w:rsidP="00876E75">
            <w:pPr>
              <w:keepNext/>
              <w:spacing w:before="0" w:after="0"/>
              <w:ind w:left="-108"/>
              <w:jc w:val="both"/>
              <w:rPr>
                <w:rFonts w:ascii="Arial Narrow" w:eastAsia="Times New Roman" w:hAnsi="Arial Narrow" w:cs="Arial"/>
                <w:sz w:val="20"/>
                <w:szCs w:val="20"/>
                <w:lang w:eastAsia="en-AU"/>
              </w:rPr>
            </w:pPr>
            <w:r w:rsidRPr="004E6AFB">
              <w:rPr>
                <w:rFonts w:ascii="Arial Narrow" w:eastAsia="Times New Roman" w:hAnsi="Arial Narrow" w:cs="Arial"/>
                <w:sz w:val="20"/>
                <w:szCs w:val="20"/>
                <w:lang w:eastAsia="en-AU"/>
              </w:rPr>
              <w:t>4</w:t>
            </w:r>
          </w:p>
        </w:tc>
        <w:tc>
          <w:tcPr>
            <w:tcW w:w="567" w:type="dxa"/>
          </w:tcPr>
          <w:p w:rsidR="00876E75" w:rsidRPr="004E6AFB" w:rsidRDefault="00876E75" w:rsidP="00876E75">
            <w:pPr>
              <w:keepNext/>
              <w:spacing w:before="0" w:after="0"/>
              <w:ind w:left="-108"/>
              <w:jc w:val="both"/>
              <w:rPr>
                <w:rFonts w:ascii="Arial Narrow" w:eastAsia="Times New Roman" w:hAnsi="Arial Narrow" w:cs="Arial"/>
                <w:sz w:val="20"/>
                <w:szCs w:val="20"/>
                <w:lang w:eastAsia="en-AU"/>
              </w:rPr>
            </w:pPr>
          </w:p>
          <w:p w:rsidR="00876E75" w:rsidRPr="004E6AFB" w:rsidRDefault="00876E75" w:rsidP="00876E75">
            <w:pPr>
              <w:keepNext/>
              <w:spacing w:before="0" w:after="0"/>
              <w:ind w:left="-108"/>
              <w:jc w:val="both"/>
              <w:rPr>
                <w:rFonts w:ascii="Arial Narrow" w:eastAsia="Times New Roman" w:hAnsi="Arial Narrow" w:cs="Arial"/>
                <w:sz w:val="20"/>
                <w:szCs w:val="20"/>
                <w:lang w:eastAsia="en-AU"/>
              </w:rPr>
            </w:pPr>
            <w:r w:rsidRPr="004E6AFB">
              <w:rPr>
                <w:rFonts w:ascii="Arial Narrow" w:eastAsia="Times New Roman" w:hAnsi="Arial Narrow" w:cs="Arial"/>
                <w:sz w:val="20"/>
                <w:szCs w:val="20"/>
                <w:lang w:eastAsia="en-AU"/>
              </w:rPr>
              <w:t>0</w:t>
            </w:r>
          </w:p>
          <w:p w:rsidR="00876E75" w:rsidRPr="004E6AFB" w:rsidRDefault="00876E75" w:rsidP="00876E75">
            <w:pPr>
              <w:keepNext/>
              <w:spacing w:before="0" w:after="0"/>
              <w:ind w:left="-108"/>
              <w:jc w:val="both"/>
              <w:rPr>
                <w:rFonts w:ascii="Arial Narrow" w:eastAsia="Times New Roman" w:hAnsi="Arial Narrow" w:cs="Arial"/>
                <w:sz w:val="20"/>
                <w:szCs w:val="20"/>
                <w:lang w:eastAsia="en-AU"/>
              </w:rPr>
            </w:pPr>
            <w:r w:rsidRPr="004E6AFB">
              <w:rPr>
                <w:rFonts w:ascii="Arial Narrow" w:eastAsia="Times New Roman" w:hAnsi="Arial Narrow" w:cs="Arial"/>
                <w:sz w:val="20"/>
                <w:szCs w:val="20"/>
                <w:lang w:eastAsia="en-AU"/>
              </w:rPr>
              <w:t>0</w:t>
            </w:r>
          </w:p>
          <w:p w:rsidR="00876E75" w:rsidRPr="004E6AFB" w:rsidRDefault="00876E75" w:rsidP="00876E75">
            <w:pPr>
              <w:keepNext/>
              <w:spacing w:before="0" w:after="0"/>
              <w:ind w:left="-108"/>
              <w:jc w:val="both"/>
              <w:rPr>
                <w:rFonts w:ascii="Arial Narrow" w:eastAsia="Times New Roman" w:hAnsi="Arial Narrow" w:cs="Arial"/>
                <w:sz w:val="20"/>
                <w:szCs w:val="20"/>
                <w:lang w:eastAsia="en-AU"/>
              </w:rPr>
            </w:pPr>
            <w:r w:rsidRPr="004E6AFB">
              <w:rPr>
                <w:rFonts w:ascii="Arial Narrow" w:eastAsia="Times New Roman" w:hAnsi="Arial Narrow" w:cs="Arial"/>
                <w:sz w:val="20"/>
                <w:szCs w:val="20"/>
                <w:lang w:eastAsia="en-AU"/>
              </w:rPr>
              <w:t>0</w:t>
            </w:r>
          </w:p>
        </w:tc>
        <w:tc>
          <w:tcPr>
            <w:tcW w:w="283" w:type="dxa"/>
          </w:tcPr>
          <w:p w:rsidR="00876E75" w:rsidRPr="004E6AFB" w:rsidRDefault="00876E75" w:rsidP="00876E75">
            <w:pPr>
              <w:keepNext/>
              <w:spacing w:before="0" w:after="0"/>
              <w:ind w:left="-108"/>
              <w:jc w:val="both"/>
              <w:rPr>
                <w:rFonts w:ascii="Arial Narrow" w:eastAsia="Times New Roman" w:hAnsi="Arial Narrow" w:cs="Arial"/>
                <w:sz w:val="20"/>
                <w:szCs w:val="20"/>
                <w:lang w:eastAsia="en-AU"/>
              </w:rPr>
            </w:pPr>
          </w:p>
        </w:tc>
        <w:tc>
          <w:tcPr>
            <w:tcW w:w="1559" w:type="dxa"/>
          </w:tcPr>
          <w:p w:rsidR="00876E75" w:rsidRPr="004E6AFB" w:rsidRDefault="00876E75" w:rsidP="00876E75">
            <w:pPr>
              <w:keepNext/>
              <w:spacing w:before="0" w:after="0"/>
              <w:jc w:val="both"/>
              <w:rPr>
                <w:rFonts w:ascii="Arial Narrow" w:eastAsia="Times New Roman" w:hAnsi="Arial Narrow" w:cs="Arial"/>
                <w:sz w:val="20"/>
                <w:szCs w:val="20"/>
                <w:lang w:eastAsia="en-AU"/>
              </w:rPr>
            </w:pPr>
            <w:r w:rsidRPr="004E6AFB">
              <w:rPr>
                <w:rFonts w:ascii="Arial Narrow" w:eastAsia="Times New Roman" w:hAnsi="Arial Narrow" w:cs="Arial"/>
                <w:sz w:val="20"/>
                <w:szCs w:val="20"/>
                <w:lang w:eastAsia="en-AU"/>
              </w:rPr>
              <w:t>Rekovelle</w:t>
            </w:r>
          </w:p>
        </w:tc>
        <w:tc>
          <w:tcPr>
            <w:tcW w:w="1276" w:type="dxa"/>
          </w:tcPr>
          <w:p w:rsidR="00876E75" w:rsidRPr="004E6AFB" w:rsidRDefault="00876E75" w:rsidP="00876E75">
            <w:pPr>
              <w:keepNext/>
              <w:spacing w:before="0" w:after="0"/>
              <w:ind w:left="-108"/>
              <w:jc w:val="both"/>
              <w:rPr>
                <w:rFonts w:ascii="Arial Narrow" w:eastAsia="Times New Roman" w:hAnsi="Arial Narrow" w:cs="Arial"/>
                <w:sz w:val="20"/>
                <w:szCs w:val="20"/>
                <w:lang w:eastAsia="en-AU"/>
              </w:rPr>
            </w:pPr>
            <w:r w:rsidRPr="004E6AFB">
              <w:rPr>
                <w:rFonts w:ascii="Arial Narrow" w:eastAsia="Times New Roman" w:hAnsi="Arial Narrow" w:cs="Arial"/>
                <w:sz w:val="20"/>
                <w:szCs w:val="20"/>
                <w:lang w:eastAsia="en-AU"/>
              </w:rPr>
              <w:t>Ferring Pharmaceutical</w:t>
            </w:r>
          </w:p>
        </w:tc>
      </w:tr>
      <w:tr w:rsidR="00876E75" w:rsidRPr="004E6AFB" w:rsidTr="00EE1BF4">
        <w:trPr>
          <w:cantSplit/>
          <w:trHeight w:val="360"/>
        </w:trPr>
        <w:tc>
          <w:tcPr>
            <w:tcW w:w="9214" w:type="dxa"/>
            <w:gridSpan w:val="7"/>
            <w:tcBorders>
              <w:bottom w:val="single" w:sz="4" w:space="0" w:color="auto"/>
            </w:tcBorders>
          </w:tcPr>
          <w:p w:rsidR="00876E75" w:rsidRPr="004E6AFB" w:rsidRDefault="00876E75" w:rsidP="00876E75">
            <w:pPr>
              <w:spacing w:before="0" w:after="0"/>
              <w:jc w:val="both"/>
              <w:rPr>
                <w:rFonts w:ascii="Arial Narrow" w:eastAsia="Times New Roman" w:hAnsi="Arial Narrow" w:cs="Arial"/>
                <w:sz w:val="20"/>
                <w:szCs w:val="20"/>
                <w:lang w:eastAsia="en-AU"/>
              </w:rPr>
            </w:pPr>
          </w:p>
        </w:tc>
      </w:tr>
      <w:tr w:rsidR="00876E75" w:rsidRPr="004E6AFB" w:rsidTr="00EE1BF4">
        <w:trPr>
          <w:cantSplit/>
          <w:trHeight w:val="360"/>
        </w:trPr>
        <w:tc>
          <w:tcPr>
            <w:tcW w:w="2835" w:type="dxa"/>
            <w:tcBorders>
              <w:top w:val="single" w:sz="4" w:space="0" w:color="auto"/>
              <w:left w:val="single" w:sz="4" w:space="0" w:color="auto"/>
              <w:bottom w:val="single" w:sz="4" w:space="0" w:color="auto"/>
              <w:right w:val="single" w:sz="4" w:space="0" w:color="auto"/>
            </w:tcBorders>
          </w:tcPr>
          <w:p w:rsidR="00876E75" w:rsidRPr="004E6AFB" w:rsidRDefault="00876E75" w:rsidP="00876E75">
            <w:pPr>
              <w:spacing w:before="0" w:after="0"/>
              <w:jc w:val="both"/>
              <w:rPr>
                <w:rFonts w:ascii="Arial Narrow" w:eastAsia="Times New Roman" w:hAnsi="Arial Narrow" w:cs="Arial"/>
                <w:b/>
                <w:sz w:val="20"/>
                <w:szCs w:val="20"/>
                <w:lang w:eastAsia="en-AU"/>
              </w:rPr>
            </w:pPr>
            <w:r w:rsidRPr="004E6AFB">
              <w:rPr>
                <w:rFonts w:ascii="Arial Narrow" w:eastAsia="Times New Roman" w:hAnsi="Arial Narrow" w:cs="Arial"/>
                <w:b/>
                <w:sz w:val="20"/>
                <w:szCs w:val="20"/>
                <w:lang w:eastAsia="en-AU"/>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876E75" w:rsidRPr="004E6AFB" w:rsidRDefault="00876E75" w:rsidP="00876E75">
            <w:pPr>
              <w:spacing w:before="0" w:after="0"/>
              <w:rPr>
                <w:rFonts w:ascii="Arial Narrow" w:eastAsia="Times New Roman" w:hAnsi="Arial Narrow" w:cs="Arial"/>
                <w:sz w:val="20"/>
                <w:szCs w:val="20"/>
                <w:lang w:eastAsia="en-AU"/>
              </w:rPr>
            </w:pPr>
            <w:r w:rsidRPr="004E6AFB">
              <w:rPr>
                <w:rFonts w:ascii="Arial Narrow" w:eastAsia="Times New Roman" w:hAnsi="Arial Narrow" w:cs="Arial"/>
                <w:sz w:val="20"/>
                <w:szCs w:val="20"/>
                <w:lang w:eastAsia="en-AU"/>
              </w:rPr>
              <w:t>Section 100 – IVF</w:t>
            </w:r>
          </w:p>
        </w:tc>
      </w:tr>
      <w:tr w:rsidR="00876E75" w:rsidRPr="004E6AFB" w:rsidTr="00EE1BF4">
        <w:trPr>
          <w:cantSplit/>
          <w:trHeight w:val="360"/>
        </w:trPr>
        <w:tc>
          <w:tcPr>
            <w:tcW w:w="2835" w:type="dxa"/>
            <w:tcBorders>
              <w:top w:val="single" w:sz="4" w:space="0" w:color="auto"/>
              <w:left w:val="single" w:sz="4" w:space="0" w:color="auto"/>
              <w:bottom w:val="single" w:sz="4" w:space="0" w:color="auto"/>
              <w:right w:val="single" w:sz="4" w:space="0" w:color="auto"/>
            </w:tcBorders>
          </w:tcPr>
          <w:p w:rsidR="00876E75" w:rsidRPr="004E6AFB" w:rsidRDefault="00876E75" w:rsidP="00544609">
            <w:pPr>
              <w:spacing w:before="0" w:after="0"/>
              <w:jc w:val="both"/>
              <w:rPr>
                <w:rFonts w:ascii="Arial Narrow" w:eastAsia="Times New Roman" w:hAnsi="Arial Narrow" w:cs="Arial"/>
                <w:b/>
                <w:sz w:val="20"/>
                <w:szCs w:val="20"/>
                <w:lang w:eastAsia="en-AU"/>
              </w:rPr>
            </w:pPr>
            <w:r w:rsidRPr="004E6AFB">
              <w:rPr>
                <w:rFonts w:ascii="Arial Narrow" w:eastAsia="Times New Roman" w:hAnsi="Arial Narrow" w:cs="Arial"/>
                <w:b/>
                <w:sz w:val="20"/>
                <w:szCs w:val="20"/>
                <w:lang w:eastAsia="en-AU"/>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876E75" w:rsidRPr="004E6AFB" w:rsidRDefault="00876E75">
            <w:pPr>
              <w:spacing w:before="0" w:after="0"/>
              <w:rPr>
                <w:rFonts w:ascii="Arial Narrow" w:eastAsia="Times New Roman" w:hAnsi="Arial Narrow" w:cs="Arial"/>
                <w:sz w:val="20"/>
                <w:szCs w:val="20"/>
                <w:lang w:eastAsia="en-AU"/>
              </w:rPr>
            </w:pPr>
            <w:r w:rsidRPr="004E6AFB">
              <w:rPr>
                <w:rFonts w:ascii="Arial Narrow" w:eastAsia="Times New Roman" w:hAnsi="Arial Narrow" w:cs="Arial"/>
                <w:sz w:val="20"/>
                <w:szCs w:val="20"/>
                <w:lang w:eastAsia="en-AU"/>
              </w:rPr>
              <w:fldChar w:fldCharType="begin">
                <w:ffData>
                  <w:name w:val=""/>
                  <w:enabled/>
                  <w:calcOnExit w:val="0"/>
                  <w:checkBox>
                    <w:sizeAuto/>
                    <w:default w:val="1"/>
                  </w:checkBox>
                </w:ffData>
              </w:fldChar>
            </w:r>
            <w:r w:rsidRPr="004E6AFB">
              <w:rPr>
                <w:rFonts w:ascii="Arial Narrow" w:eastAsia="Times New Roman" w:hAnsi="Arial Narrow" w:cs="Arial"/>
                <w:sz w:val="20"/>
                <w:szCs w:val="20"/>
                <w:lang w:eastAsia="en-AU"/>
              </w:rPr>
              <w:instrText xml:space="preserve"> FORMCHECKBOX </w:instrText>
            </w:r>
            <w:r w:rsidR="0034132A">
              <w:rPr>
                <w:rFonts w:ascii="Arial Narrow" w:eastAsia="Times New Roman" w:hAnsi="Arial Narrow" w:cs="Arial"/>
                <w:sz w:val="20"/>
                <w:szCs w:val="20"/>
                <w:lang w:eastAsia="en-AU"/>
              </w:rPr>
            </w:r>
            <w:r w:rsidR="0034132A">
              <w:rPr>
                <w:rFonts w:ascii="Arial Narrow" w:eastAsia="Times New Roman" w:hAnsi="Arial Narrow" w:cs="Arial"/>
                <w:sz w:val="20"/>
                <w:szCs w:val="20"/>
                <w:lang w:eastAsia="en-AU"/>
              </w:rPr>
              <w:fldChar w:fldCharType="separate"/>
            </w:r>
            <w:r w:rsidRPr="004E6AFB">
              <w:rPr>
                <w:rFonts w:ascii="Arial Narrow" w:eastAsia="Times New Roman" w:hAnsi="Arial Narrow" w:cs="Arial"/>
                <w:sz w:val="20"/>
                <w:szCs w:val="20"/>
                <w:lang w:eastAsia="en-AU"/>
              </w:rPr>
              <w:fldChar w:fldCharType="end"/>
            </w:r>
            <w:r w:rsidRPr="004E6AFB">
              <w:rPr>
                <w:rFonts w:ascii="Arial Narrow" w:eastAsia="Times New Roman" w:hAnsi="Arial Narrow" w:cs="Arial"/>
                <w:sz w:val="20"/>
                <w:szCs w:val="20"/>
                <w:lang w:eastAsia="en-AU"/>
              </w:rPr>
              <w:t xml:space="preserve">Medical Practitioners  </w:t>
            </w:r>
          </w:p>
        </w:tc>
      </w:tr>
      <w:tr w:rsidR="00876E75" w:rsidRPr="004E6AFB" w:rsidTr="00EE1BF4">
        <w:trPr>
          <w:cantSplit/>
          <w:trHeight w:val="360"/>
        </w:trPr>
        <w:tc>
          <w:tcPr>
            <w:tcW w:w="2835" w:type="dxa"/>
            <w:tcBorders>
              <w:top w:val="single" w:sz="4" w:space="0" w:color="auto"/>
              <w:left w:val="single" w:sz="4" w:space="0" w:color="auto"/>
              <w:bottom w:val="single" w:sz="4" w:space="0" w:color="auto"/>
              <w:right w:val="single" w:sz="4" w:space="0" w:color="auto"/>
            </w:tcBorders>
          </w:tcPr>
          <w:p w:rsidR="00876E75" w:rsidRPr="004E6AFB" w:rsidRDefault="00876E75" w:rsidP="00876E75">
            <w:pPr>
              <w:spacing w:before="0" w:after="0"/>
              <w:jc w:val="both"/>
              <w:rPr>
                <w:rFonts w:ascii="Arial Narrow" w:eastAsia="Times New Roman" w:hAnsi="Arial Narrow" w:cs="Arial"/>
                <w:b/>
                <w:sz w:val="20"/>
                <w:szCs w:val="20"/>
                <w:lang w:eastAsia="en-AU"/>
              </w:rPr>
            </w:pPr>
            <w:r w:rsidRPr="004E6AFB">
              <w:rPr>
                <w:rFonts w:ascii="Arial Narrow" w:eastAsia="Times New Roman" w:hAnsi="Arial Narrow" w:cs="Arial"/>
                <w:b/>
                <w:sz w:val="20"/>
                <w:szCs w:val="20"/>
                <w:lang w:eastAsia="en-AU"/>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876E75" w:rsidRPr="004E6AFB" w:rsidRDefault="00876E75" w:rsidP="00876E75">
            <w:pPr>
              <w:spacing w:before="0" w:after="0"/>
              <w:rPr>
                <w:rFonts w:ascii="Arial Narrow" w:eastAsia="Times New Roman" w:hAnsi="Arial Narrow" w:cs="Arial"/>
                <w:sz w:val="20"/>
                <w:szCs w:val="20"/>
                <w:lang w:eastAsia="en-AU"/>
              </w:rPr>
            </w:pPr>
            <w:r w:rsidRPr="004E6AFB">
              <w:rPr>
                <w:rFonts w:ascii="Arial Narrow" w:eastAsia="Times New Roman" w:hAnsi="Arial Narrow" w:cs="Arial"/>
                <w:sz w:val="20"/>
                <w:szCs w:val="20"/>
                <w:lang w:eastAsia="en-AU"/>
              </w:rPr>
              <w:t>Assisted Reproductive Technology</w:t>
            </w:r>
          </w:p>
        </w:tc>
      </w:tr>
      <w:tr w:rsidR="00876E75" w:rsidRPr="004E6AFB" w:rsidTr="00EE1BF4">
        <w:trPr>
          <w:cantSplit/>
          <w:trHeight w:val="360"/>
        </w:trPr>
        <w:tc>
          <w:tcPr>
            <w:tcW w:w="2835" w:type="dxa"/>
            <w:tcBorders>
              <w:top w:val="single" w:sz="4" w:space="0" w:color="auto"/>
              <w:left w:val="single" w:sz="4" w:space="0" w:color="auto"/>
              <w:bottom w:val="single" w:sz="4" w:space="0" w:color="auto"/>
              <w:right w:val="single" w:sz="4" w:space="0" w:color="auto"/>
            </w:tcBorders>
          </w:tcPr>
          <w:p w:rsidR="00876E75" w:rsidRPr="004E6AFB" w:rsidRDefault="00876E75" w:rsidP="00544609">
            <w:pPr>
              <w:spacing w:before="0" w:after="0"/>
              <w:jc w:val="both"/>
              <w:rPr>
                <w:rFonts w:ascii="Arial Narrow" w:eastAsia="Times New Roman" w:hAnsi="Arial Narrow" w:cs="Arial"/>
                <w:i/>
                <w:sz w:val="20"/>
                <w:szCs w:val="20"/>
                <w:lang w:eastAsia="en-AU"/>
              </w:rPr>
            </w:pPr>
            <w:r w:rsidRPr="004E6AFB">
              <w:rPr>
                <w:rFonts w:ascii="Arial Narrow" w:eastAsia="Times New Roman" w:hAnsi="Arial Narrow" w:cs="Arial"/>
                <w:b/>
                <w:sz w:val="20"/>
                <w:szCs w:val="20"/>
                <w:lang w:eastAsia="en-AU"/>
              </w:rPr>
              <w:t>Restriction Level / Method:</w:t>
            </w:r>
          </w:p>
        </w:tc>
        <w:tc>
          <w:tcPr>
            <w:tcW w:w="6379" w:type="dxa"/>
            <w:gridSpan w:val="6"/>
            <w:tcBorders>
              <w:top w:val="single" w:sz="4" w:space="0" w:color="auto"/>
              <w:left w:val="single" w:sz="4" w:space="0" w:color="auto"/>
              <w:bottom w:val="single" w:sz="4" w:space="0" w:color="auto"/>
              <w:right w:val="single" w:sz="4" w:space="0" w:color="auto"/>
            </w:tcBorders>
          </w:tcPr>
          <w:p w:rsidR="00876E75" w:rsidRPr="004E6AFB" w:rsidRDefault="00876E75" w:rsidP="00876E75">
            <w:pPr>
              <w:spacing w:before="0" w:after="0"/>
              <w:rPr>
                <w:rFonts w:ascii="Arial Narrow" w:eastAsia="Times New Roman" w:hAnsi="Arial Narrow" w:cs="Arial"/>
                <w:sz w:val="20"/>
                <w:szCs w:val="20"/>
                <w:lang w:eastAsia="en-AU"/>
              </w:rPr>
            </w:pPr>
            <w:r w:rsidRPr="004E6AFB">
              <w:rPr>
                <w:rFonts w:ascii="Arial Narrow" w:eastAsia="Times New Roman" w:hAnsi="Arial Narrow" w:cs="Arial"/>
                <w:sz w:val="20"/>
                <w:szCs w:val="20"/>
                <w:lang w:eastAsia="en-AU"/>
              </w:rPr>
              <w:fldChar w:fldCharType="begin">
                <w:ffData>
                  <w:name w:val="Check5"/>
                  <w:enabled/>
                  <w:calcOnExit w:val="0"/>
                  <w:checkBox>
                    <w:sizeAuto/>
                    <w:default w:val="1"/>
                  </w:checkBox>
                </w:ffData>
              </w:fldChar>
            </w:r>
            <w:bookmarkStart w:id="26" w:name="Check5"/>
            <w:r w:rsidRPr="004E6AFB">
              <w:rPr>
                <w:rFonts w:ascii="Arial Narrow" w:eastAsia="Times New Roman" w:hAnsi="Arial Narrow" w:cs="Arial"/>
                <w:sz w:val="20"/>
                <w:szCs w:val="20"/>
                <w:lang w:eastAsia="en-AU"/>
              </w:rPr>
              <w:instrText xml:space="preserve"> FORMCHECKBOX </w:instrText>
            </w:r>
            <w:r w:rsidR="0034132A">
              <w:rPr>
                <w:rFonts w:ascii="Arial Narrow" w:eastAsia="Times New Roman" w:hAnsi="Arial Narrow" w:cs="Arial"/>
                <w:sz w:val="20"/>
                <w:szCs w:val="20"/>
                <w:lang w:eastAsia="en-AU"/>
              </w:rPr>
            </w:r>
            <w:r w:rsidR="0034132A">
              <w:rPr>
                <w:rFonts w:ascii="Arial Narrow" w:eastAsia="Times New Roman" w:hAnsi="Arial Narrow" w:cs="Arial"/>
                <w:sz w:val="20"/>
                <w:szCs w:val="20"/>
                <w:lang w:eastAsia="en-AU"/>
              </w:rPr>
              <w:fldChar w:fldCharType="separate"/>
            </w:r>
            <w:r w:rsidRPr="004E6AFB">
              <w:rPr>
                <w:rFonts w:ascii="Arial Narrow" w:eastAsia="Times New Roman" w:hAnsi="Arial Narrow" w:cs="Arial"/>
                <w:sz w:val="20"/>
                <w:szCs w:val="20"/>
                <w:lang w:eastAsia="en-AU"/>
              </w:rPr>
              <w:fldChar w:fldCharType="end"/>
            </w:r>
            <w:bookmarkEnd w:id="26"/>
            <w:r w:rsidRPr="004E6AFB">
              <w:rPr>
                <w:rFonts w:ascii="Arial Narrow" w:eastAsia="Times New Roman" w:hAnsi="Arial Narrow" w:cs="Arial"/>
                <w:sz w:val="20"/>
                <w:szCs w:val="20"/>
                <w:lang w:eastAsia="en-AU"/>
              </w:rPr>
              <w:t>Streamlined</w:t>
            </w:r>
          </w:p>
        </w:tc>
      </w:tr>
      <w:tr w:rsidR="00876E75" w:rsidRPr="004E6AFB" w:rsidTr="00EE1BF4">
        <w:trPr>
          <w:cantSplit/>
          <w:trHeight w:val="360"/>
        </w:trPr>
        <w:tc>
          <w:tcPr>
            <w:tcW w:w="2835" w:type="dxa"/>
            <w:tcBorders>
              <w:top w:val="single" w:sz="4" w:space="0" w:color="auto"/>
              <w:left w:val="single" w:sz="4" w:space="0" w:color="auto"/>
              <w:bottom w:val="single" w:sz="4" w:space="0" w:color="auto"/>
              <w:right w:val="single" w:sz="4" w:space="0" w:color="auto"/>
            </w:tcBorders>
          </w:tcPr>
          <w:p w:rsidR="00876E75" w:rsidRPr="004E6AFB" w:rsidRDefault="00876E75" w:rsidP="00876E75">
            <w:pPr>
              <w:spacing w:before="0" w:after="0"/>
              <w:jc w:val="both"/>
              <w:rPr>
                <w:rFonts w:ascii="Arial Narrow" w:eastAsia="Times New Roman" w:hAnsi="Arial Narrow" w:cs="Arial"/>
                <w:b/>
                <w:sz w:val="20"/>
                <w:szCs w:val="20"/>
                <w:lang w:eastAsia="en-AU"/>
              </w:rPr>
            </w:pPr>
            <w:r w:rsidRPr="004E6AFB">
              <w:rPr>
                <w:rFonts w:ascii="Arial Narrow" w:eastAsia="Times New Roman" w:hAnsi="Arial Narrow" w:cs="Arial"/>
                <w:b/>
                <w:sz w:val="20"/>
                <w:szCs w:val="20"/>
                <w:lang w:eastAsia="en-AU"/>
              </w:rPr>
              <w:t>Clinical criteria:</w:t>
            </w:r>
          </w:p>
        </w:tc>
        <w:tc>
          <w:tcPr>
            <w:tcW w:w="6379" w:type="dxa"/>
            <w:gridSpan w:val="6"/>
            <w:tcBorders>
              <w:top w:val="single" w:sz="4" w:space="0" w:color="auto"/>
              <w:left w:val="single" w:sz="4" w:space="0" w:color="auto"/>
              <w:bottom w:val="single" w:sz="4" w:space="0" w:color="auto"/>
              <w:right w:val="single" w:sz="4" w:space="0" w:color="auto"/>
            </w:tcBorders>
          </w:tcPr>
          <w:p w:rsidR="00876E75" w:rsidRPr="004E6AFB" w:rsidRDefault="00876E75" w:rsidP="00876E75">
            <w:pPr>
              <w:spacing w:before="0" w:after="0"/>
              <w:rPr>
                <w:rFonts w:ascii="Arial Narrow" w:eastAsia="Times New Roman" w:hAnsi="Arial Narrow" w:cs="Arial"/>
                <w:sz w:val="20"/>
                <w:szCs w:val="20"/>
                <w:lang w:eastAsia="en-AU"/>
              </w:rPr>
            </w:pPr>
            <w:r w:rsidRPr="004E6AFB">
              <w:rPr>
                <w:rFonts w:ascii="Arial Narrow" w:eastAsia="Times New Roman" w:hAnsi="Arial Narrow" w:cs="Arial"/>
                <w:sz w:val="20"/>
                <w:szCs w:val="20"/>
                <w:lang w:eastAsia="en-AU"/>
              </w:rPr>
              <w:t>Patient must be receiving medical services as described in items 13200, 13201, 13202 or 13203 of the Medicare Benefits Schedule</w:t>
            </w:r>
          </w:p>
        </w:tc>
      </w:tr>
    </w:tbl>
    <w:p w:rsidR="003430FB" w:rsidRDefault="003430FB" w:rsidP="003430FB">
      <w:pPr>
        <w:jc w:val="both"/>
      </w:pPr>
    </w:p>
    <w:p w:rsidR="001455C7" w:rsidRDefault="001455C7" w:rsidP="001455C7">
      <w:pPr>
        <w:pStyle w:val="ListParagraph"/>
        <w:keepNext/>
        <w:numPr>
          <w:ilvl w:val="1"/>
          <w:numId w:val="2"/>
        </w:numPr>
        <w:tabs>
          <w:tab w:val="left" w:pos="567"/>
        </w:tabs>
        <w:ind w:left="578" w:hanging="578"/>
        <w:contextualSpacing/>
        <w:jc w:val="both"/>
      </w:pPr>
      <w:r>
        <w:t>Add new item:</w:t>
      </w:r>
    </w:p>
    <w:tbl>
      <w:tblPr>
        <w:tblW w:w="9214" w:type="dxa"/>
        <w:tblInd w:w="108" w:type="dxa"/>
        <w:tblLayout w:type="fixed"/>
        <w:tblLook w:val="0000" w:firstRow="0" w:lastRow="0" w:firstColumn="0" w:lastColumn="0" w:noHBand="0" w:noVBand="0"/>
      </w:tblPr>
      <w:tblGrid>
        <w:gridCol w:w="2835"/>
        <w:gridCol w:w="1985"/>
        <w:gridCol w:w="709"/>
        <w:gridCol w:w="567"/>
        <w:gridCol w:w="283"/>
        <w:gridCol w:w="1559"/>
        <w:gridCol w:w="1276"/>
      </w:tblGrid>
      <w:tr w:rsidR="001455C7" w:rsidRPr="004E6AFB" w:rsidTr="00180BD7">
        <w:trPr>
          <w:cantSplit/>
          <w:trHeight w:val="471"/>
        </w:trPr>
        <w:tc>
          <w:tcPr>
            <w:tcW w:w="4820" w:type="dxa"/>
            <w:gridSpan w:val="2"/>
            <w:tcBorders>
              <w:bottom w:val="single" w:sz="4" w:space="0" w:color="auto"/>
            </w:tcBorders>
          </w:tcPr>
          <w:p w:rsidR="001455C7" w:rsidRPr="004E6AFB" w:rsidRDefault="001455C7" w:rsidP="00180BD7">
            <w:pPr>
              <w:keepNext/>
              <w:spacing w:before="0" w:after="0"/>
              <w:ind w:left="-108"/>
              <w:jc w:val="both"/>
              <w:rPr>
                <w:rFonts w:ascii="Arial Narrow" w:eastAsia="Times New Roman" w:hAnsi="Arial Narrow" w:cs="Arial"/>
                <w:sz w:val="20"/>
                <w:szCs w:val="20"/>
                <w:lang w:eastAsia="en-AU"/>
              </w:rPr>
            </w:pPr>
            <w:r w:rsidRPr="004E6AFB">
              <w:rPr>
                <w:rFonts w:ascii="Arial Narrow" w:eastAsia="Times New Roman" w:hAnsi="Arial Narrow" w:cs="Arial"/>
                <w:sz w:val="20"/>
                <w:szCs w:val="20"/>
                <w:lang w:eastAsia="en-AU"/>
              </w:rPr>
              <w:t>Name, Restriction,</w:t>
            </w:r>
          </w:p>
          <w:p w:rsidR="001455C7" w:rsidRPr="004E6AFB" w:rsidRDefault="001455C7" w:rsidP="00180BD7">
            <w:pPr>
              <w:keepNext/>
              <w:spacing w:before="0" w:after="0"/>
              <w:ind w:left="-108"/>
              <w:jc w:val="both"/>
              <w:rPr>
                <w:rFonts w:ascii="Arial Narrow" w:eastAsia="Times New Roman" w:hAnsi="Arial Narrow" w:cs="Arial"/>
                <w:sz w:val="20"/>
                <w:szCs w:val="20"/>
                <w:lang w:eastAsia="en-AU"/>
              </w:rPr>
            </w:pPr>
            <w:r w:rsidRPr="004E6AFB">
              <w:rPr>
                <w:rFonts w:ascii="Arial Narrow" w:eastAsia="Times New Roman" w:hAnsi="Arial Narrow" w:cs="Arial"/>
                <w:sz w:val="20"/>
                <w:szCs w:val="20"/>
                <w:lang w:eastAsia="en-AU"/>
              </w:rPr>
              <w:t>Manner of administration and form</w:t>
            </w:r>
          </w:p>
        </w:tc>
        <w:tc>
          <w:tcPr>
            <w:tcW w:w="709" w:type="dxa"/>
            <w:tcBorders>
              <w:bottom w:val="single" w:sz="4" w:space="0" w:color="auto"/>
            </w:tcBorders>
          </w:tcPr>
          <w:p w:rsidR="001455C7" w:rsidRPr="004E6AFB" w:rsidRDefault="001455C7" w:rsidP="00180BD7">
            <w:pPr>
              <w:keepNext/>
              <w:spacing w:before="0" w:after="0"/>
              <w:ind w:left="-108"/>
              <w:jc w:val="both"/>
              <w:rPr>
                <w:rFonts w:ascii="Arial Narrow" w:eastAsia="Times New Roman" w:hAnsi="Arial Narrow" w:cs="Arial"/>
                <w:sz w:val="20"/>
                <w:szCs w:val="20"/>
                <w:lang w:eastAsia="en-AU"/>
              </w:rPr>
            </w:pPr>
            <w:r w:rsidRPr="004E6AFB">
              <w:rPr>
                <w:rFonts w:ascii="Arial Narrow" w:eastAsia="Times New Roman" w:hAnsi="Arial Narrow" w:cs="Arial"/>
                <w:sz w:val="20"/>
                <w:szCs w:val="20"/>
                <w:lang w:eastAsia="en-AU"/>
              </w:rPr>
              <w:t>Max.</w:t>
            </w:r>
          </w:p>
          <w:p w:rsidR="001455C7" w:rsidRPr="004E6AFB" w:rsidRDefault="001455C7" w:rsidP="00180BD7">
            <w:pPr>
              <w:keepNext/>
              <w:spacing w:before="0" w:after="0"/>
              <w:ind w:left="-108"/>
              <w:jc w:val="both"/>
              <w:rPr>
                <w:rFonts w:ascii="Arial Narrow" w:eastAsia="Times New Roman" w:hAnsi="Arial Narrow" w:cs="Arial"/>
                <w:sz w:val="20"/>
                <w:szCs w:val="20"/>
                <w:lang w:eastAsia="en-AU"/>
              </w:rPr>
            </w:pPr>
            <w:r w:rsidRPr="004E6AFB">
              <w:rPr>
                <w:rFonts w:ascii="Arial Narrow" w:eastAsia="Times New Roman" w:hAnsi="Arial Narrow" w:cs="Arial"/>
                <w:sz w:val="20"/>
                <w:szCs w:val="20"/>
                <w:lang w:eastAsia="en-AU"/>
              </w:rPr>
              <w:t>Qty</w:t>
            </w:r>
          </w:p>
        </w:tc>
        <w:tc>
          <w:tcPr>
            <w:tcW w:w="567" w:type="dxa"/>
            <w:tcBorders>
              <w:bottom w:val="single" w:sz="4" w:space="0" w:color="auto"/>
            </w:tcBorders>
          </w:tcPr>
          <w:p w:rsidR="001455C7" w:rsidRPr="004E6AFB" w:rsidRDefault="001455C7" w:rsidP="00180BD7">
            <w:pPr>
              <w:keepNext/>
              <w:spacing w:before="0" w:after="0"/>
              <w:ind w:left="-108"/>
              <w:jc w:val="both"/>
              <w:rPr>
                <w:rFonts w:ascii="Arial Narrow" w:eastAsia="Times New Roman" w:hAnsi="Arial Narrow" w:cs="Arial"/>
                <w:sz w:val="20"/>
                <w:szCs w:val="20"/>
                <w:lang w:eastAsia="en-AU"/>
              </w:rPr>
            </w:pPr>
            <w:r w:rsidRPr="004E6AFB">
              <w:rPr>
                <w:rFonts w:ascii="Arial Narrow" w:eastAsia="Times New Roman" w:hAnsi="Arial Narrow" w:cs="Arial"/>
                <w:sz w:val="20"/>
                <w:szCs w:val="20"/>
                <w:lang w:eastAsia="en-AU"/>
              </w:rPr>
              <w:t>№.of</w:t>
            </w:r>
          </w:p>
          <w:p w:rsidR="001455C7" w:rsidRPr="004E6AFB" w:rsidRDefault="001455C7" w:rsidP="00180BD7">
            <w:pPr>
              <w:keepNext/>
              <w:spacing w:before="0" w:after="0"/>
              <w:ind w:left="-108"/>
              <w:jc w:val="both"/>
              <w:rPr>
                <w:rFonts w:ascii="Arial Narrow" w:eastAsia="Times New Roman" w:hAnsi="Arial Narrow" w:cs="Arial"/>
                <w:sz w:val="20"/>
                <w:szCs w:val="20"/>
                <w:lang w:eastAsia="en-AU"/>
              </w:rPr>
            </w:pPr>
            <w:r w:rsidRPr="004E6AFB">
              <w:rPr>
                <w:rFonts w:ascii="Arial Narrow" w:eastAsia="Times New Roman" w:hAnsi="Arial Narrow" w:cs="Arial"/>
                <w:sz w:val="20"/>
                <w:szCs w:val="20"/>
                <w:lang w:eastAsia="en-AU"/>
              </w:rPr>
              <w:t>Rpts</w:t>
            </w:r>
          </w:p>
        </w:tc>
        <w:tc>
          <w:tcPr>
            <w:tcW w:w="283" w:type="dxa"/>
            <w:tcBorders>
              <w:bottom w:val="single" w:sz="4" w:space="0" w:color="auto"/>
            </w:tcBorders>
          </w:tcPr>
          <w:p w:rsidR="001455C7" w:rsidRPr="004E6AFB" w:rsidRDefault="001455C7" w:rsidP="00180BD7">
            <w:pPr>
              <w:keepNext/>
              <w:spacing w:before="0" w:after="0"/>
              <w:ind w:left="-108"/>
              <w:jc w:val="both"/>
              <w:rPr>
                <w:rFonts w:ascii="Arial Narrow" w:eastAsia="Times New Roman" w:hAnsi="Arial Narrow" w:cs="Arial"/>
                <w:sz w:val="20"/>
                <w:szCs w:val="20"/>
                <w:lang w:eastAsia="en-AU"/>
              </w:rPr>
            </w:pPr>
          </w:p>
        </w:tc>
        <w:tc>
          <w:tcPr>
            <w:tcW w:w="2835" w:type="dxa"/>
            <w:gridSpan w:val="2"/>
            <w:tcBorders>
              <w:bottom w:val="single" w:sz="4" w:space="0" w:color="auto"/>
            </w:tcBorders>
          </w:tcPr>
          <w:p w:rsidR="001455C7" w:rsidRPr="004E6AFB" w:rsidRDefault="001455C7" w:rsidP="00180BD7">
            <w:pPr>
              <w:keepNext/>
              <w:spacing w:before="0" w:after="0"/>
              <w:jc w:val="both"/>
              <w:rPr>
                <w:rFonts w:ascii="Arial Narrow" w:eastAsia="Times New Roman" w:hAnsi="Arial Narrow" w:cs="Arial"/>
                <w:sz w:val="20"/>
                <w:szCs w:val="20"/>
                <w:lang w:eastAsia="en-AU"/>
              </w:rPr>
            </w:pPr>
            <w:r w:rsidRPr="004E6AFB">
              <w:rPr>
                <w:rFonts w:ascii="Arial Narrow" w:eastAsia="Times New Roman" w:hAnsi="Arial Narrow" w:cs="Arial"/>
                <w:sz w:val="20"/>
                <w:szCs w:val="20"/>
                <w:lang w:eastAsia="en-AU"/>
              </w:rPr>
              <w:t>Proprietary Name and Manufacturer</w:t>
            </w:r>
          </w:p>
        </w:tc>
      </w:tr>
      <w:tr w:rsidR="001455C7" w:rsidRPr="004E6AFB" w:rsidTr="00180BD7">
        <w:trPr>
          <w:cantSplit/>
          <w:trHeight w:val="577"/>
        </w:trPr>
        <w:tc>
          <w:tcPr>
            <w:tcW w:w="4820" w:type="dxa"/>
            <w:gridSpan w:val="2"/>
          </w:tcPr>
          <w:p w:rsidR="001455C7" w:rsidRPr="004E6AFB" w:rsidRDefault="001455C7" w:rsidP="00180BD7">
            <w:pPr>
              <w:keepNext/>
              <w:spacing w:before="0" w:after="0"/>
              <w:ind w:left="-108"/>
              <w:jc w:val="both"/>
              <w:rPr>
                <w:rFonts w:ascii="Arial Narrow" w:eastAsia="Times New Roman" w:hAnsi="Arial Narrow" w:cs="Arial"/>
                <w:sz w:val="20"/>
                <w:szCs w:val="20"/>
                <w:lang w:eastAsia="en-AU"/>
              </w:rPr>
            </w:pPr>
            <w:r w:rsidRPr="004E6AFB">
              <w:rPr>
                <w:rFonts w:ascii="Arial Narrow" w:eastAsia="Times New Roman" w:hAnsi="Arial Narrow" w:cs="Arial"/>
                <w:smallCaps/>
                <w:sz w:val="20"/>
                <w:szCs w:val="20"/>
                <w:lang w:eastAsia="en-AU"/>
              </w:rPr>
              <w:t>FOLLITROPIN DELTA</w:t>
            </w:r>
          </w:p>
          <w:p w:rsidR="001455C7" w:rsidRPr="004E6AFB" w:rsidRDefault="001455C7" w:rsidP="00180BD7">
            <w:pPr>
              <w:keepNext/>
              <w:spacing w:before="0" w:after="0"/>
              <w:ind w:left="-108"/>
              <w:rPr>
                <w:rFonts w:ascii="Arial Narrow" w:eastAsia="Times New Roman" w:hAnsi="Arial Narrow" w:cs="Arial"/>
                <w:b/>
                <w:bCs/>
                <w:sz w:val="20"/>
                <w:szCs w:val="20"/>
                <w:lang w:eastAsia="en-AU"/>
              </w:rPr>
            </w:pPr>
            <w:r>
              <w:rPr>
                <w:rFonts w:ascii="Arial Narrow" w:eastAsia="Times New Roman" w:hAnsi="Arial Narrow" w:cs="Arial"/>
                <w:sz w:val="20"/>
                <w:szCs w:val="20"/>
                <w:lang w:eastAsia="en-AU"/>
              </w:rPr>
              <w:t>12 mcg/0.36 mL injection,</w:t>
            </w:r>
            <w:r w:rsidRPr="004E6AFB">
              <w:rPr>
                <w:rFonts w:ascii="Arial Narrow" w:eastAsia="Times New Roman" w:hAnsi="Arial Narrow" w:cs="Arial"/>
                <w:sz w:val="20"/>
                <w:szCs w:val="20"/>
                <w:lang w:eastAsia="en-AU"/>
              </w:rPr>
              <w:t xml:space="preserve"> </w:t>
            </w:r>
            <w:r>
              <w:rPr>
                <w:rFonts w:ascii="Arial Narrow" w:eastAsia="Times New Roman" w:hAnsi="Arial Narrow" w:cs="Arial"/>
                <w:sz w:val="20"/>
                <w:szCs w:val="20"/>
                <w:lang w:eastAsia="en-AU"/>
              </w:rPr>
              <w:t>0.36 mL injection device</w:t>
            </w:r>
          </w:p>
          <w:p w:rsidR="001455C7" w:rsidRPr="004E6AFB" w:rsidRDefault="001455C7" w:rsidP="00180BD7">
            <w:pPr>
              <w:keepNext/>
              <w:spacing w:before="0" w:after="0"/>
              <w:ind w:left="-108"/>
              <w:rPr>
                <w:rFonts w:ascii="Arial Narrow" w:eastAsia="Times New Roman" w:hAnsi="Arial Narrow" w:cs="Arial"/>
                <w:b/>
                <w:bCs/>
                <w:sz w:val="20"/>
                <w:szCs w:val="20"/>
                <w:lang w:eastAsia="en-AU"/>
              </w:rPr>
            </w:pPr>
            <w:r w:rsidRPr="004E6AFB">
              <w:rPr>
                <w:rFonts w:ascii="Arial Narrow" w:eastAsia="Times New Roman" w:hAnsi="Arial Narrow" w:cs="Arial"/>
                <w:sz w:val="20"/>
                <w:szCs w:val="20"/>
                <w:lang w:eastAsia="en-AU"/>
              </w:rPr>
              <w:t xml:space="preserve">36 mcg/1.08 mL injection, </w:t>
            </w:r>
            <w:r>
              <w:rPr>
                <w:rFonts w:ascii="Arial Narrow" w:eastAsia="Times New Roman" w:hAnsi="Arial Narrow" w:cs="Arial"/>
                <w:sz w:val="20"/>
                <w:szCs w:val="20"/>
                <w:lang w:eastAsia="en-AU"/>
              </w:rPr>
              <w:t>1.08 mL injection device</w:t>
            </w:r>
          </w:p>
          <w:p w:rsidR="001455C7" w:rsidRPr="004E6AFB" w:rsidRDefault="001455C7" w:rsidP="00180BD7">
            <w:pPr>
              <w:keepNext/>
              <w:spacing w:before="0" w:after="0"/>
              <w:ind w:left="-108"/>
              <w:rPr>
                <w:rFonts w:ascii="Arial Narrow" w:eastAsia="Times New Roman" w:hAnsi="Arial Narrow" w:cs="Arial"/>
                <w:sz w:val="20"/>
                <w:szCs w:val="20"/>
                <w:lang w:eastAsia="en-AU"/>
              </w:rPr>
            </w:pPr>
            <w:r w:rsidRPr="004E6AFB">
              <w:rPr>
                <w:rFonts w:ascii="Arial Narrow" w:eastAsia="Times New Roman" w:hAnsi="Arial Narrow" w:cs="Arial"/>
                <w:sz w:val="20"/>
                <w:szCs w:val="20"/>
                <w:lang w:eastAsia="en-AU"/>
              </w:rPr>
              <w:t xml:space="preserve">72 mcg/2.16 mL injection, </w:t>
            </w:r>
            <w:r>
              <w:rPr>
                <w:rFonts w:ascii="Arial Narrow" w:eastAsia="Times New Roman" w:hAnsi="Arial Narrow" w:cs="Arial"/>
                <w:sz w:val="20"/>
                <w:szCs w:val="20"/>
                <w:lang w:eastAsia="en-AU"/>
              </w:rPr>
              <w:t>2.16 mL injection device</w:t>
            </w:r>
          </w:p>
        </w:tc>
        <w:tc>
          <w:tcPr>
            <w:tcW w:w="709" w:type="dxa"/>
          </w:tcPr>
          <w:p w:rsidR="001455C7" w:rsidRPr="004E6AFB" w:rsidRDefault="001455C7" w:rsidP="00180BD7">
            <w:pPr>
              <w:keepNext/>
              <w:spacing w:before="0" w:after="0"/>
              <w:ind w:left="-108"/>
              <w:jc w:val="both"/>
              <w:rPr>
                <w:rFonts w:ascii="Arial Narrow" w:eastAsia="Times New Roman" w:hAnsi="Arial Narrow" w:cs="Arial"/>
                <w:sz w:val="20"/>
                <w:szCs w:val="20"/>
                <w:lang w:eastAsia="en-AU"/>
              </w:rPr>
            </w:pPr>
          </w:p>
          <w:p w:rsidR="001455C7" w:rsidRPr="004E6AFB" w:rsidRDefault="001455C7" w:rsidP="00180BD7">
            <w:pPr>
              <w:keepNext/>
              <w:spacing w:before="0" w:after="0"/>
              <w:ind w:left="-108"/>
              <w:jc w:val="both"/>
              <w:rPr>
                <w:rFonts w:ascii="Arial Narrow" w:eastAsia="Times New Roman" w:hAnsi="Arial Narrow" w:cs="Arial"/>
                <w:sz w:val="20"/>
                <w:szCs w:val="20"/>
                <w:lang w:eastAsia="en-AU"/>
              </w:rPr>
            </w:pPr>
            <w:r w:rsidRPr="004E6AFB">
              <w:rPr>
                <w:rFonts w:ascii="Arial Narrow" w:eastAsia="Times New Roman" w:hAnsi="Arial Narrow" w:cs="Arial"/>
                <w:sz w:val="20"/>
                <w:szCs w:val="20"/>
                <w:lang w:eastAsia="en-AU"/>
              </w:rPr>
              <w:t>5</w:t>
            </w:r>
          </w:p>
          <w:p w:rsidR="001455C7" w:rsidRPr="004E6AFB" w:rsidRDefault="001455C7" w:rsidP="00180BD7">
            <w:pPr>
              <w:keepNext/>
              <w:spacing w:before="0" w:after="0"/>
              <w:ind w:left="-108"/>
              <w:jc w:val="both"/>
              <w:rPr>
                <w:rFonts w:ascii="Arial Narrow" w:eastAsia="Times New Roman" w:hAnsi="Arial Narrow" w:cs="Arial"/>
                <w:sz w:val="20"/>
                <w:szCs w:val="20"/>
                <w:lang w:eastAsia="en-AU"/>
              </w:rPr>
            </w:pPr>
            <w:r w:rsidRPr="004E6AFB">
              <w:rPr>
                <w:rFonts w:ascii="Arial Narrow" w:eastAsia="Times New Roman" w:hAnsi="Arial Narrow" w:cs="Arial"/>
                <w:sz w:val="20"/>
                <w:szCs w:val="20"/>
                <w:lang w:eastAsia="en-AU"/>
              </w:rPr>
              <w:t>5</w:t>
            </w:r>
          </w:p>
          <w:p w:rsidR="001455C7" w:rsidRPr="004E6AFB" w:rsidRDefault="001455C7" w:rsidP="00180BD7">
            <w:pPr>
              <w:keepNext/>
              <w:spacing w:before="0" w:after="0"/>
              <w:ind w:left="-108"/>
              <w:jc w:val="both"/>
              <w:rPr>
                <w:rFonts w:ascii="Arial Narrow" w:eastAsia="Times New Roman" w:hAnsi="Arial Narrow" w:cs="Arial"/>
                <w:sz w:val="20"/>
                <w:szCs w:val="20"/>
                <w:lang w:eastAsia="en-AU"/>
              </w:rPr>
            </w:pPr>
            <w:r w:rsidRPr="004E6AFB">
              <w:rPr>
                <w:rFonts w:ascii="Arial Narrow" w:eastAsia="Times New Roman" w:hAnsi="Arial Narrow" w:cs="Arial"/>
                <w:sz w:val="20"/>
                <w:szCs w:val="20"/>
                <w:lang w:eastAsia="en-AU"/>
              </w:rPr>
              <w:t>4</w:t>
            </w:r>
          </w:p>
        </w:tc>
        <w:tc>
          <w:tcPr>
            <w:tcW w:w="567" w:type="dxa"/>
          </w:tcPr>
          <w:p w:rsidR="001455C7" w:rsidRPr="004E6AFB" w:rsidRDefault="001455C7" w:rsidP="00180BD7">
            <w:pPr>
              <w:keepNext/>
              <w:spacing w:before="0" w:after="0"/>
              <w:ind w:left="-108"/>
              <w:jc w:val="both"/>
              <w:rPr>
                <w:rFonts w:ascii="Arial Narrow" w:eastAsia="Times New Roman" w:hAnsi="Arial Narrow" w:cs="Arial"/>
                <w:sz w:val="20"/>
                <w:szCs w:val="20"/>
                <w:lang w:eastAsia="en-AU"/>
              </w:rPr>
            </w:pPr>
          </w:p>
          <w:p w:rsidR="001455C7" w:rsidRPr="004E6AFB" w:rsidRDefault="001455C7" w:rsidP="00180BD7">
            <w:pPr>
              <w:keepNext/>
              <w:spacing w:before="0" w:after="0"/>
              <w:ind w:left="-108"/>
              <w:jc w:val="both"/>
              <w:rPr>
                <w:rFonts w:ascii="Arial Narrow" w:eastAsia="Times New Roman" w:hAnsi="Arial Narrow" w:cs="Arial"/>
                <w:sz w:val="20"/>
                <w:szCs w:val="20"/>
                <w:lang w:eastAsia="en-AU"/>
              </w:rPr>
            </w:pPr>
            <w:r w:rsidRPr="004E6AFB">
              <w:rPr>
                <w:rFonts w:ascii="Arial Narrow" w:eastAsia="Times New Roman" w:hAnsi="Arial Narrow" w:cs="Arial"/>
                <w:sz w:val="20"/>
                <w:szCs w:val="20"/>
                <w:lang w:eastAsia="en-AU"/>
              </w:rPr>
              <w:t>0</w:t>
            </w:r>
          </w:p>
          <w:p w:rsidR="001455C7" w:rsidRPr="004E6AFB" w:rsidRDefault="001455C7" w:rsidP="00180BD7">
            <w:pPr>
              <w:keepNext/>
              <w:spacing w:before="0" w:after="0"/>
              <w:ind w:left="-108"/>
              <w:jc w:val="both"/>
              <w:rPr>
                <w:rFonts w:ascii="Arial Narrow" w:eastAsia="Times New Roman" w:hAnsi="Arial Narrow" w:cs="Arial"/>
                <w:sz w:val="20"/>
                <w:szCs w:val="20"/>
                <w:lang w:eastAsia="en-AU"/>
              </w:rPr>
            </w:pPr>
            <w:r w:rsidRPr="004E6AFB">
              <w:rPr>
                <w:rFonts w:ascii="Arial Narrow" w:eastAsia="Times New Roman" w:hAnsi="Arial Narrow" w:cs="Arial"/>
                <w:sz w:val="20"/>
                <w:szCs w:val="20"/>
                <w:lang w:eastAsia="en-AU"/>
              </w:rPr>
              <w:t>0</w:t>
            </w:r>
          </w:p>
          <w:p w:rsidR="001455C7" w:rsidRPr="004E6AFB" w:rsidRDefault="001455C7" w:rsidP="00180BD7">
            <w:pPr>
              <w:keepNext/>
              <w:spacing w:before="0" w:after="0"/>
              <w:ind w:left="-108"/>
              <w:jc w:val="both"/>
              <w:rPr>
                <w:rFonts w:ascii="Arial Narrow" w:eastAsia="Times New Roman" w:hAnsi="Arial Narrow" w:cs="Arial"/>
                <w:sz w:val="20"/>
                <w:szCs w:val="20"/>
                <w:lang w:eastAsia="en-AU"/>
              </w:rPr>
            </w:pPr>
            <w:r w:rsidRPr="004E6AFB">
              <w:rPr>
                <w:rFonts w:ascii="Arial Narrow" w:eastAsia="Times New Roman" w:hAnsi="Arial Narrow" w:cs="Arial"/>
                <w:sz w:val="20"/>
                <w:szCs w:val="20"/>
                <w:lang w:eastAsia="en-AU"/>
              </w:rPr>
              <w:t>0</w:t>
            </w:r>
          </w:p>
        </w:tc>
        <w:tc>
          <w:tcPr>
            <w:tcW w:w="283" w:type="dxa"/>
          </w:tcPr>
          <w:p w:rsidR="001455C7" w:rsidRPr="004E6AFB" w:rsidRDefault="001455C7" w:rsidP="00180BD7">
            <w:pPr>
              <w:keepNext/>
              <w:spacing w:before="0" w:after="0"/>
              <w:ind w:left="-108"/>
              <w:jc w:val="both"/>
              <w:rPr>
                <w:rFonts w:ascii="Arial Narrow" w:eastAsia="Times New Roman" w:hAnsi="Arial Narrow" w:cs="Arial"/>
                <w:sz w:val="20"/>
                <w:szCs w:val="20"/>
                <w:lang w:eastAsia="en-AU"/>
              </w:rPr>
            </w:pPr>
          </w:p>
        </w:tc>
        <w:tc>
          <w:tcPr>
            <w:tcW w:w="1559" w:type="dxa"/>
          </w:tcPr>
          <w:p w:rsidR="001455C7" w:rsidRPr="004E6AFB" w:rsidRDefault="001455C7" w:rsidP="00180BD7">
            <w:pPr>
              <w:keepNext/>
              <w:spacing w:before="0" w:after="0"/>
              <w:jc w:val="both"/>
              <w:rPr>
                <w:rFonts w:ascii="Arial Narrow" w:eastAsia="Times New Roman" w:hAnsi="Arial Narrow" w:cs="Arial"/>
                <w:sz w:val="20"/>
                <w:szCs w:val="20"/>
                <w:lang w:eastAsia="en-AU"/>
              </w:rPr>
            </w:pPr>
            <w:r w:rsidRPr="004E6AFB">
              <w:rPr>
                <w:rFonts w:ascii="Arial Narrow" w:eastAsia="Times New Roman" w:hAnsi="Arial Narrow" w:cs="Arial"/>
                <w:sz w:val="20"/>
                <w:szCs w:val="20"/>
                <w:lang w:eastAsia="en-AU"/>
              </w:rPr>
              <w:t>Rekovelle</w:t>
            </w:r>
          </w:p>
        </w:tc>
        <w:tc>
          <w:tcPr>
            <w:tcW w:w="1276" w:type="dxa"/>
          </w:tcPr>
          <w:p w:rsidR="001455C7" w:rsidRPr="004E6AFB" w:rsidRDefault="001455C7" w:rsidP="00180BD7">
            <w:pPr>
              <w:keepNext/>
              <w:spacing w:before="0" w:after="0"/>
              <w:ind w:left="-108"/>
              <w:jc w:val="both"/>
              <w:rPr>
                <w:rFonts w:ascii="Arial Narrow" w:eastAsia="Times New Roman" w:hAnsi="Arial Narrow" w:cs="Arial"/>
                <w:sz w:val="20"/>
                <w:szCs w:val="20"/>
                <w:lang w:eastAsia="en-AU"/>
              </w:rPr>
            </w:pPr>
            <w:r w:rsidRPr="004E6AFB">
              <w:rPr>
                <w:rFonts w:ascii="Arial Narrow" w:eastAsia="Times New Roman" w:hAnsi="Arial Narrow" w:cs="Arial"/>
                <w:sz w:val="20"/>
                <w:szCs w:val="20"/>
                <w:lang w:eastAsia="en-AU"/>
              </w:rPr>
              <w:t>Ferring Pharmaceutical</w:t>
            </w:r>
          </w:p>
        </w:tc>
      </w:tr>
      <w:tr w:rsidR="001455C7" w:rsidRPr="004E6AFB" w:rsidTr="00180BD7">
        <w:trPr>
          <w:cantSplit/>
          <w:trHeight w:val="360"/>
        </w:trPr>
        <w:tc>
          <w:tcPr>
            <w:tcW w:w="9214" w:type="dxa"/>
            <w:gridSpan w:val="7"/>
            <w:tcBorders>
              <w:bottom w:val="single" w:sz="4" w:space="0" w:color="auto"/>
            </w:tcBorders>
          </w:tcPr>
          <w:p w:rsidR="001455C7" w:rsidRPr="004E6AFB" w:rsidRDefault="001455C7" w:rsidP="00180BD7">
            <w:pPr>
              <w:keepNext/>
              <w:spacing w:before="0" w:after="0"/>
              <w:jc w:val="both"/>
              <w:rPr>
                <w:rFonts w:ascii="Arial Narrow" w:eastAsia="Times New Roman" w:hAnsi="Arial Narrow" w:cs="Arial"/>
                <w:sz w:val="20"/>
                <w:szCs w:val="20"/>
                <w:lang w:eastAsia="en-AU"/>
              </w:rPr>
            </w:pPr>
          </w:p>
        </w:tc>
      </w:tr>
      <w:tr w:rsidR="001455C7" w:rsidRPr="004E6AFB" w:rsidTr="00180BD7">
        <w:trPr>
          <w:cantSplit/>
          <w:trHeight w:val="360"/>
        </w:trPr>
        <w:tc>
          <w:tcPr>
            <w:tcW w:w="2835" w:type="dxa"/>
            <w:tcBorders>
              <w:top w:val="single" w:sz="4" w:space="0" w:color="auto"/>
              <w:left w:val="single" w:sz="4" w:space="0" w:color="auto"/>
              <w:bottom w:val="single" w:sz="4" w:space="0" w:color="auto"/>
              <w:right w:val="single" w:sz="4" w:space="0" w:color="auto"/>
            </w:tcBorders>
          </w:tcPr>
          <w:p w:rsidR="001455C7" w:rsidRPr="004E6AFB" w:rsidRDefault="001455C7" w:rsidP="00180BD7">
            <w:pPr>
              <w:keepNext/>
              <w:spacing w:before="0" w:after="0"/>
              <w:jc w:val="both"/>
              <w:rPr>
                <w:rFonts w:ascii="Arial Narrow" w:eastAsia="Times New Roman" w:hAnsi="Arial Narrow" w:cs="Arial"/>
                <w:b/>
                <w:sz w:val="20"/>
                <w:szCs w:val="20"/>
                <w:lang w:eastAsia="en-AU"/>
              </w:rPr>
            </w:pPr>
            <w:r w:rsidRPr="004E6AFB">
              <w:rPr>
                <w:rFonts w:ascii="Arial Narrow" w:eastAsia="Times New Roman" w:hAnsi="Arial Narrow" w:cs="Arial"/>
                <w:b/>
                <w:sz w:val="20"/>
                <w:szCs w:val="20"/>
                <w:lang w:eastAsia="en-AU"/>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1455C7" w:rsidRPr="004E6AFB" w:rsidRDefault="001455C7" w:rsidP="00180BD7">
            <w:pPr>
              <w:keepNext/>
              <w:spacing w:before="0" w:after="0"/>
              <w:rPr>
                <w:rFonts w:ascii="Arial Narrow" w:eastAsia="Times New Roman" w:hAnsi="Arial Narrow" w:cs="Arial"/>
                <w:sz w:val="20"/>
                <w:szCs w:val="20"/>
                <w:lang w:eastAsia="en-AU"/>
              </w:rPr>
            </w:pPr>
            <w:r w:rsidRPr="004E6AFB">
              <w:rPr>
                <w:rFonts w:ascii="Arial Narrow" w:eastAsia="Times New Roman" w:hAnsi="Arial Narrow" w:cs="Arial"/>
                <w:sz w:val="20"/>
                <w:szCs w:val="20"/>
                <w:lang w:eastAsia="en-AU"/>
              </w:rPr>
              <w:t>Section 100 – IVF</w:t>
            </w:r>
          </w:p>
        </w:tc>
      </w:tr>
      <w:tr w:rsidR="001455C7" w:rsidRPr="004E6AFB" w:rsidTr="00180BD7">
        <w:trPr>
          <w:cantSplit/>
          <w:trHeight w:val="360"/>
        </w:trPr>
        <w:tc>
          <w:tcPr>
            <w:tcW w:w="2835" w:type="dxa"/>
            <w:tcBorders>
              <w:top w:val="single" w:sz="4" w:space="0" w:color="auto"/>
              <w:left w:val="single" w:sz="4" w:space="0" w:color="auto"/>
              <w:bottom w:val="single" w:sz="4" w:space="0" w:color="auto"/>
              <w:right w:val="single" w:sz="4" w:space="0" w:color="auto"/>
            </w:tcBorders>
          </w:tcPr>
          <w:p w:rsidR="001455C7" w:rsidRPr="004E6AFB" w:rsidRDefault="001455C7" w:rsidP="00180BD7">
            <w:pPr>
              <w:keepNext/>
              <w:spacing w:before="0" w:after="0"/>
              <w:jc w:val="both"/>
              <w:rPr>
                <w:rFonts w:ascii="Arial Narrow" w:eastAsia="Times New Roman" w:hAnsi="Arial Narrow" w:cs="Arial"/>
                <w:b/>
                <w:sz w:val="20"/>
                <w:szCs w:val="20"/>
                <w:lang w:eastAsia="en-AU"/>
              </w:rPr>
            </w:pPr>
            <w:r w:rsidRPr="004E6AFB">
              <w:rPr>
                <w:rFonts w:ascii="Arial Narrow" w:eastAsia="Times New Roman" w:hAnsi="Arial Narrow" w:cs="Arial"/>
                <w:b/>
                <w:sz w:val="20"/>
                <w:szCs w:val="20"/>
                <w:lang w:eastAsia="en-AU"/>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1455C7" w:rsidRPr="004E6AFB" w:rsidRDefault="001455C7" w:rsidP="00180BD7">
            <w:pPr>
              <w:keepNext/>
              <w:spacing w:before="0" w:after="0"/>
              <w:rPr>
                <w:rFonts w:ascii="Arial Narrow" w:eastAsia="Times New Roman" w:hAnsi="Arial Narrow" w:cs="Arial"/>
                <w:sz w:val="20"/>
                <w:szCs w:val="20"/>
                <w:lang w:eastAsia="en-AU"/>
              </w:rPr>
            </w:pPr>
            <w:r w:rsidRPr="004E6AFB">
              <w:rPr>
                <w:rFonts w:ascii="Arial Narrow" w:eastAsia="Times New Roman" w:hAnsi="Arial Narrow" w:cs="Arial"/>
                <w:sz w:val="20"/>
                <w:szCs w:val="20"/>
                <w:lang w:eastAsia="en-AU"/>
              </w:rPr>
              <w:fldChar w:fldCharType="begin">
                <w:ffData>
                  <w:name w:val=""/>
                  <w:enabled/>
                  <w:calcOnExit w:val="0"/>
                  <w:checkBox>
                    <w:sizeAuto/>
                    <w:default w:val="1"/>
                  </w:checkBox>
                </w:ffData>
              </w:fldChar>
            </w:r>
            <w:r w:rsidRPr="004E6AFB">
              <w:rPr>
                <w:rFonts w:ascii="Arial Narrow" w:eastAsia="Times New Roman" w:hAnsi="Arial Narrow" w:cs="Arial"/>
                <w:sz w:val="20"/>
                <w:szCs w:val="20"/>
                <w:lang w:eastAsia="en-AU"/>
              </w:rPr>
              <w:instrText xml:space="preserve"> FORMCHECKBOX </w:instrText>
            </w:r>
            <w:r w:rsidR="0034132A">
              <w:rPr>
                <w:rFonts w:ascii="Arial Narrow" w:eastAsia="Times New Roman" w:hAnsi="Arial Narrow" w:cs="Arial"/>
                <w:sz w:val="20"/>
                <w:szCs w:val="20"/>
                <w:lang w:eastAsia="en-AU"/>
              </w:rPr>
            </w:r>
            <w:r w:rsidR="0034132A">
              <w:rPr>
                <w:rFonts w:ascii="Arial Narrow" w:eastAsia="Times New Roman" w:hAnsi="Arial Narrow" w:cs="Arial"/>
                <w:sz w:val="20"/>
                <w:szCs w:val="20"/>
                <w:lang w:eastAsia="en-AU"/>
              </w:rPr>
              <w:fldChar w:fldCharType="separate"/>
            </w:r>
            <w:r w:rsidRPr="004E6AFB">
              <w:rPr>
                <w:rFonts w:ascii="Arial Narrow" w:eastAsia="Times New Roman" w:hAnsi="Arial Narrow" w:cs="Arial"/>
                <w:sz w:val="20"/>
                <w:szCs w:val="20"/>
                <w:lang w:eastAsia="en-AU"/>
              </w:rPr>
              <w:fldChar w:fldCharType="end"/>
            </w:r>
            <w:r w:rsidRPr="004E6AFB">
              <w:rPr>
                <w:rFonts w:ascii="Arial Narrow" w:eastAsia="Times New Roman" w:hAnsi="Arial Narrow" w:cs="Arial"/>
                <w:sz w:val="20"/>
                <w:szCs w:val="20"/>
                <w:lang w:eastAsia="en-AU"/>
              </w:rPr>
              <w:t xml:space="preserve">Medical Practitioners  </w:t>
            </w:r>
          </w:p>
        </w:tc>
      </w:tr>
      <w:tr w:rsidR="001455C7" w:rsidRPr="004E6AFB" w:rsidTr="00180BD7">
        <w:trPr>
          <w:cantSplit/>
          <w:trHeight w:val="360"/>
        </w:trPr>
        <w:tc>
          <w:tcPr>
            <w:tcW w:w="2835" w:type="dxa"/>
            <w:tcBorders>
              <w:top w:val="single" w:sz="4" w:space="0" w:color="auto"/>
              <w:left w:val="single" w:sz="4" w:space="0" w:color="auto"/>
              <w:bottom w:val="single" w:sz="4" w:space="0" w:color="auto"/>
              <w:right w:val="single" w:sz="4" w:space="0" w:color="auto"/>
            </w:tcBorders>
          </w:tcPr>
          <w:p w:rsidR="001455C7" w:rsidRPr="004E6AFB" w:rsidRDefault="001455C7" w:rsidP="00180BD7">
            <w:pPr>
              <w:keepNext/>
              <w:spacing w:before="0" w:after="0"/>
              <w:jc w:val="both"/>
              <w:rPr>
                <w:rFonts w:ascii="Arial Narrow" w:eastAsia="Times New Roman" w:hAnsi="Arial Narrow" w:cs="Arial"/>
                <w:b/>
                <w:sz w:val="20"/>
                <w:szCs w:val="20"/>
                <w:lang w:eastAsia="en-AU"/>
              </w:rPr>
            </w:pPr>
            <w:r w:rsidRPr="004E6AFB">
              <w:rPr>
                <w:rFonts w:ascii="Arial Narrow" w:eastAsia="Times New Roman" w:hAnsi="Arial Narrow" w:cs="Arial"/>
                <w:b/>
                <w:sz w:val="20"/>
                <w:szCs w:val="20"/>
                <w:lang w:eastAsia="en-AU"/>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1455C7" w:rsidRPr="004E6AFB" w:rsidRDefault="001455C7" w:rsidP="00180BD7">
            <w:pPr>
              <w:keepNext/>
              <w:spacing w:before="0" w:after="0"/>
              <w:rPr>
                <w:rFonts w:ascii="Arial Narrow" w:eastAsia="Times New Roman" w:hAnsi="Arial Narrow" w:cs="Arial"/>
                <w:sz w:val="20"/>
                <w:szCs w:val="20"/>
                <w:lang w:eastAsia="en-AU"/>
              </w:rPr>
            </w:pPr>
            <w:r w:rsidRPr="004E6AFB">
              <w:rPr>
                <w:rFonts w:ascii="Arial Narrow" w:eastAsia="Times New Roman" w:hAnsi="Arial Narrow" w:cs="Arial"/>
                <w:sz w:val="20"/>
                <w:szCs w:val="20"/>
                <w:lang w:eastAsia="en-AU"/>
              </w:rPr>
              <w:t>Assisted Reproductive Technology</w:t>
            </w:r>
          </w:p>
        </w:tc>
      </w:tr>
      <w:tr w:rsidR="001455C7" w:rsidRPr="004E6AFB" w:rsidTr="00180BD7">
        <w:trPr>
          <w:cantSplit/>
          <w:trHeight w:val="360"/>
        </w:trPr>
        <w:tc>
          <w:tcPr>
            <w:tcW w:w="2835" w:type="dxa"/>
            <w:tcBorders>
              <w:top w:val="single" w:sz="4" w:space="0" w:color="auto"/>
              <w:left w:val="single" w:sz="4" w:space="0" w:color="auto"/>
              <w:bottom w:val="single" w:sz="4" w:space="0" w:color="auto"/>
              <w:right w:val="single" w:sz="4" w:space="0" w:color="auto"/>
            </w:tcBorders>
          </w:tcPr>
          <w:p w:rsidR="001455C7" w:rsidRPr="004E6AFB" w:rsidRDefault="001455C7" w:rsidP="00180BD7">
            <w:pPr>
              <w:keepNext/>
              <w:spacing w:before="0" w:after="0"/>
              <w:jc w:val="both"/>
              <w:rPr>
                <w:rFonts w:ascii="Arial Narrow" w:eastAsia="Times New Roman" w:hAnsi="Arial Narrow" w:cs="Arial"/>
                <w:i/>
                <w:sz w:val="20"/>
                <w:szCs w:val="20"/>
                <w:lang w:eastAsia="en-AU"/>
              </w:rPr>
            </w:pPr>
            <w:r w:rsidRPr="004E6AFB">
              <w:rPr>
                <w:rFonts w:ascii="Arial Narrow" w:eastAsia="Times New Roman" w:hAnsi="Arial Narrow" w:cs="Arial"/>
                <w:b/>
                <w:sz w:val="20"/>
                <w:szCs w:val="20"/>
                <w:lang w:eastAsia="en-AU"/>
              </w:rPr>
              <w:t>Restriction Level / Method:</w:t>
            </w:r>
          </w:p>
        </w:tc>
        <w:tc>
          <w:tcPr>
            <w:tcW w:w="6379" w:type="dxa"/>
            <w:gridSpan w:val="6"/>
            <w:tcBorders>
              <w:top w:val="single" w:sz="4" w:space="0" w:color="auto"/>
              <w:left w:val="single" w:sz="4" w:space="0" w:color="auto"/>
              <w:bottom w:val="single" w:sz="4" w:space="0" w:color="auto"/>
              <w:right w:val="single" w:sz="4" w:space="0" w:color="auto"/>
            </w:tcBorders>
          </w:tcPr>
          <w:p w:rsidR="001455C7" w:rsidRPr="004E6AFB" w:rsidRDefault="001455C7" w:rsidP="00180BD7">
            <w:pPr>
              <w:keepNext/>
              <w:spacing w:before="0" w:after="0"/>
              <w:rPr>
                <w:rFonts w:ascii="Arial Narrow" w:eastAsia="Times New Roman" w:hAnsi="Arial Narrow" w:cs="Arial"/>
                <w:sz w:val="20"/>
                <w:szCs w:val="20"/>
                <w:lang w:eastAsia="en-AU"/>
              </w:rPr>
            </w:pPr>
            <w:r w:rsidRPr="004E6AFB">
              <w:rPr>
                <w:rFonts w:ascii="Arial Narrow" w:eastAsia="Times New Roman" w:hAnsi="Arial Narrow" w:cs="Arial"/>
                <w:sz w:val="20"/>
                <w:szCs w:val="20"/>
                <w:lang w:eastAsia="en-AU"/>
              </w:rPr>
              <w:fldChar w:fldCharType="begin">
                <w:ffData>
                  <w:name w:val="Check5"/>
                  <w:enabled/>
                  <w:calcOnExit w:val="0"/>
                  <w:checkBox>
                    <w:sizeAuto/>
                    <w:default w:val="1"/>
                  </w:checkBox>
                </w:ffData>
              </w:fldChar>
            </w:r>
            <w:r w:rsidRPr="004E6AFB">
              <w:rPr>
                <w:rFonts w:ascii="Arial Narrow" w:eastAsia="Times New Roman" w:hAnsi="Arial Narrow" w:cs="Arial"/>
                <w:sz w:val="20"/>
                <w:szCs w:val="20"/>
                <w:lang w:eastAsia="en-AU"/>
              </w:rPr>
              <w:instrText xml:space="preserve"> FORMCHECKBOX </w:instrText>
            </w:r>
            <w:r w:rsidR="0034132A">
              <w:rPr>
                <w:rFonts w:ascii="Arial Narrow" w:eastAsia="Times New Roman" w:hAnsi="Arial Narrow" w:cs="Arial"/>
                <w:sz w:val="20"/>
                <w:szCs w:val="20"/>
                <w:lang w:eastAsia="en-AU"/>
              </w:rPr>
            </w:r>
            <w:r w:rsidR="0034132A">
              <w:rPr>
                <w:rFonts w:ascii="Arial Narrow" w:eastAsia="Times New Roman" w:hAnsi="Arial Narrow" w:cs="Arial"/>
                <w:sz w:val="20"/>
                <w:szCs w:val="20"/>
                <w:lang w:eastAsia="en-AU"/>
              </w:rPr>
              <w:fldChar w:fldCharType="separate"/>
            </w:r>
            <w:r w:rsidRPr="004E6AFB">
              <w:rPr>
                <w:rFonts w:ascii="Arial Narrow" w:eastAsia="Times New Roman" w:hAnsi="Arial Narrow" w:cs="Arial"/>
                <w:sz w:val="20"/>
                <w:szCs w:val="20"/>
                <w:lang w:eastAsia="en-AU"/>
              </w:rPr>
              <w:fldChar w:fldCharType="end"/>
            </w:r>
            <w:r w:rsidRPr="004E6AFB">
              <w:rPr>
                <w:rFonts w:ascii="Arial Narrow" w:eastAsia="Times New Roman" w:hAnsi="Arial Narrow" w:cs="Arial"/>
                <w:sz w:val="20"/>
                <w:szCs w:val="20"/>
                <w:lang w:eastAsia="en-AU"/>
              </w:rPr>
              <w:t>Streamlined</w:t>
            </w:r>
          </w:p>
        </w:tc>
      </w:tr>
      <w:tr w:rsidR="001455C7" w:rsidRPr="004E6AFB" w:rsidTr="00180BD7">
        <w:trPr>
          <w:cantSplit/>
          <w:trHeight w:val="360"/>
        </w:trPr>
        <w:tc>
          <w:tcPr>
            <w:tcW w:w="2835" w:type="dxa"/>
            <w:tcBorders>
              <w:top w:val="single" w:sz="4" w:space="0" w:color="auto"/>
              <w:left w:val="single" w:sz="4" w:space="0" w:color="auto"/>
              <w:bottom w:val="single" w:sz="4" w:space="0" w:color="auto"/>
              <w:right w:val="single" w:sz="4" w:space="0" w:color="auto"/>
            </w:tcBorders>
          </w:tcPr>
          <w:p w:rsidR="001455C7" w:rsidRPr="004E6AFB" w:rsidRDefault="001455C7" w:rsidP="00180BD7">
            <w:pPr>
              <w:keepNext/>
              <w:spacing w:before="0" w:after="0"/>
              <w:jc w:val="both"/>
              <w:rPr>
                <w:rFonts w:ascii="Arial Narrow" w:eastAsia="Times New Roman" w:hAnsi="Arial Narrow" w:cs="Arial"/>
                <w:b/>
                <w:sz w:val="20"/>
                <w:szCs w:val="20"/>
                <w:lang w:eastAsia="en-AU"/>
              </w:rPr>
            </w:pPr>
            <w:r w:rsidRPr="004E6AFB">
              <w:rPr>
                <w:rFonts w:ascii="Arial Narrow" w:eastAsia="Times New Roman" w:hAnsi="Arial Narrow" w:cs="Arial"/>
                <w:b/>
                <w:sz w:val="20"/>
                <w:szCs w:val="20"/>
                <w:lang w:eastAsia="en-AU"/>
              </w:rPr>
              <w:t>Clinical criteria:</w:t>
            </w:r>
          </w:p>
        </w:tc>
        <w:tc>
          <w:tcPr>
            <w:tcW w:w="6379" w:type="dxa"/>
            <w:gridSpan w:val="6"/>
            <w:tcBorders>
              <w:top w:val="single" w:sz="4" w:space="0" w:color="auto"/>
              <w:left w:val="single" w:sz="4" w:space="0" w:color="auto"/>
              <w:bottom w:val="single" w:sz="4" w:space="0" w:color="auto"/>
              <w:right w:val="single" w:sz="4" w:space="0" w:color="auto"/>
            </w:tcBorders>
          </w:tcPr>
          <w:p w:rsidR="001455C7" w:rsidRPr="004E6AFB" w:rsidRDefault="001455C7" w:rsidP="00180BD7">
            <w:pPr>
              <w:keepNext/>
              <w:spacing w:before="0" w:after="0"/>
              <w:rPr>
                <w:rFonts w:ascii="Arial Narrow" w:eastAsia="Times New Roman" w:hAnsi="Arial Narrow" w:cs="Arial"/>
                <w:sz w:val="20"/>
                <w:szCs w:val="20"/>
                <w:lang w:eastAsia="en-AU"/>
              </w:rPr>
            </w:pPr>
            <w:r w:rsidRPr="004E6AFB">
              <w:rPr>
                <w:rFonts w:ascii="Arial Narrow" w:eastAsia="Times New Roman" w:hAnsi="Arial Narrow" w:cs="Arial"/>
                <w:sz w:val="20"/>
                <w:szCs w:val="20"/>
                <w:lang w:eastAsia="en-AU"/>
              </w:rPr>
              <w:t>Patient must be receiving medical services as described in items 13200, 13201, 13202 or 13203 of the Medicare Benefits Schedule</w:t>
            </w:r>
          </w:p>
        </w:tc>
      </w:tr>
    </w:tbl>
    <w:p w:rsidR="001455C7" w:rsidRPr="004E6AFB" w:rsidRDefault="001455C7" w:rsidP="003430FB">
      <w:pPr>
        <w:jc w:val="both"/>
      </w:pPr>
    </w:p>
    <w:p w:rsidR="00133A06" w:rsidRPr="00133A06" w:rsidRDefault="00133A06" w:rsidP="00133A06">
      <w:pPr>
        <w:pStyle w:val="Heading1"/>
        <w:ind w:left="709" w:hanging="709"/>
      </w:pPr>
      <w:r w:rsidRPr="00133A06">
        <w:t>Context for Decision</w:t>
      </w:r>
    </w:p>
    <w:p w:rsidR="00133A06" w:rsidRPr="00D24BA5" w:rsidRDefault="00133A06" w:rsidP="00133A06">
      <w:pPr>
        <w:spacing w:after="120"/>
      </w:pPr>
      <w:r w:rsidRPr="00D24BA5">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133A06" w:rsidRPr="00133A06" w:rsidRDefault="00133A06" w:rsidP="00133A06">
      <w:pPr>
        <w:pStyle w:val="Heading1"/>
        <w:ind w:left="709" w:hanging="709"/>
      </w:pPr>
      <w:r w:rsidRPr="00133A06">
        <w:t>Sponsor’s Comment</w:t>
      </w:r>
    </w:p>
    <w:p w:rsidR="003430FB" w:rsidRPr="004E6AFB" w:rsidRDefault="00A81374" w:rsidP="00431448">
      <w:pPr>
        <w:spacing w:after="0"/>
        <w:contextualSpacing/>
        <w:jc w:val="both"/>
      </w:pPr>
      <w:r w:rsidRPr="00A81374">
        <w:t>Ferring welcomes the PBAC decision to recommend the listing on the PBS of REKOVELLE, follitropin delta (rhu) and is pleased that Australian women undergoing assisted reproductive technologies will have access to controlled ovarian stimulation using an evidence-based individualised dosing regimen.</w:t>
      </w:r>
    </w:p>
    <w:sectPr w:rsidR="003430FB" w:rsidRPr="004E6AF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4C0AAB7" w15:done="0"/>
  <w15:commentEx w15:paraId="66E2883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C0AAB7" w16cid:durableId="1D7CDF32"/>
  <w16cid:commentId w16cid:paraId="66E28835" w16cid:durableId="1D7CDF7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32A" w:rsidRDefault="0034132A" w:rsidP="00BA3306">
      <w:pPr>
        <w:spacing w:before="0" w:after="0"/>
      </w:pPr>
      <w:r>
        <w:separator/>
      </w:r>
    </w:p>
    <w:p w:rsidR="0034132A" w:rsidRDefault="0034132A"/>
  </w:endnote>
  <w:endnote w:type="continuationSeparator" w:id="0">
    <w:p w:rsidR="0034132A" w:rsidRDefault="0034132A" w:rsidP="00BA3306">
      <w:pPr>
        <w:spacing w:before="0" w:after="0"/>
      </w:pPr>
      <w:r>
        <w:continuationSeparator/>
      </w:r>
    </w:p>
    <w:p w:rsidR="0034132A" w:rsidRDefault="003413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altName w:val="Calibr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ABA" w:rsidRDefault="009D1ABA">
    <w:pPr>
      <w:pStyle w:val="Footer"/>
    </w:pPr>
  </w:p>
  <w:p w:rsidR="00DB6711" w:rsidRDefault="00DB671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1665953"/>
      <w:docPartObj>
        <w:docPartGallery w:val="Page Numbers (Bottom of Page)"/>
        <w:docPartUnique/>
      </w:docPartObj>
    </w:sdtPr>
    <w:sdtEndPr>
      <w:rPr>
        <w:noProof/>
      </w:rPr>
    </w:sdtEndPr>
    <w:sdtContent>
      <w:p w:rsidR="00BA1DF2" w:rsidRDefault="00BA1DF2">
        <w:pPr>
          <w:pStyle w:val="Footer"/>
          <w:jc w:val="center"/>
        </w:pPr>
        <w:r w:rsidRPr="005B738F">
          <w:rPr>
            <w:b/>
          </w:rPr>
          <w:fldChar w:fldCharType="begin"/>
        </w:r>
        <w:r w:rsidRPr="005B738F">
          <w:rPr>
            <w:b/>
          </w:rPr>
          <w:instrText xml:space="preserve"> PAGE   \* MERGEFORMAT </w:instrText>
        </w:r>
        <w:r w:rsidRPr="005B738F">
          <w:rPr>
            <w:b/>
          </w:rPr>
          <w:fldChar w:fldCharType="separate"/>
        </w:r>
        <w:r w:rsidR="0034132A">
          <w:rPr>
            <w:b/>
            <w:noProof/>
          </w:rPr>
          <w:t>1</w:t>
        </w:r>
        <w:r w:rsidRPr="005B738F">
          <w:rPr>
            <w:b/>
            <w:noProof/>
          </w:rPr>
          <w:fldChar w:fldCharType="end"/>
        </w:r>
      </w:p>
    </w:sdtContent>
  </w:sdt>
  <w:p w:rsidR="00BA1DF2" w:rsidRDefault="00BA1DF2" w:rsidP="005E3C06">
    <w:pPr>
      <w:pStyle w:val="Footer"/>
      <w:jc w:val="center"/>
    </w:pPr>
  </w:p>
  <w:p w:rsidR="00DB6711" w:rsidRDefault="00DB671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32A" w:rsidRDefault="003413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32A" w:rsidRDefault="0034132A" w:rsidP="00BA3306">
      <w:pPr>
        <w:spacing w:before="0" w:after="0"/>
      </w:pPr>
      <w:r>
        <w:separator/>
      </w:r>
    </w:p>
    <w:p w:rsidR="0034132A" w:rsidRDefault="0034132A"/>
  </w:footnote>
  <w:footnote w:type="continuationSeparator" w:id="0">
    <w:p w:rsidR="0034132A" w:rsidRDefault="0034132A" w:rsidP="00BA3306">
      <w:pPr>
        <w:spacing w:before="0" w:after="0"/>
      </w:pPr>
      <w:r>
        <w:continuationSeparator/>
      </w:r>
    </w:p>
    <w:p w:rsidR="0034132A" w:rsidRDefault="0034132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ABA" w:rsidRDefault="009D1ABA">
    <w:pPr>
      <w:pStyle w:val="Header"/>
    </w:pPr>
  </w:p>
  <w:p w:rsidR="00DB6711" w:rsidRDefault="00DB671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DF2" w:rsidRDefault="00133A06" w:rsidP="005B738F">
    <w:pPr>
      <w:pStyle w:val="Header"/>
      <w:jc w:val="center"/>
      <w:rPr>
        <w:rFonts w:cs="Arial"/>
        <w:i/>
      </w:rPr>
    </w:pPr>
    <w:r>
      <w:rPr>
        <w:rFonts w:cs="Arial"/>
        <w:i/>
      </w:rPr>
      <w:t>Public Summary Document</w:t>
    </w:r>
    <w:r w:rsidR="00BA1DF2">
      <w:rPr>
        <w:rFonts w:cs="Arial"/>
        <w:i/>
      </w:rPr>
      <w:t xml:space="preserve"> – November 2017 PBAC Meeting</w:t>
    </w:r>
  </w:p>
  <w:p w:rsidR="00BA1DF2" w:rsidRPr="005B738F" w:rsidRDefault="00BA1DF2" w:rsidP="005B738F">
    <w:pPr>
      <w:pStyle w:val="Header"/>
      <w:jc w:val="center"/>
      <w:rPr>
        <w:rFonts w:cs="Arial"/>
        <w:i/>
        <w:noProof/>
      </w:rPr>
    </w:pPr>
  </w:p>
  <w:p w:rsidR="00DB6711" w:rsidRDefault="00DB671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32A" w:rsidRDefault="003413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30D4D"/>
    <w:multiLevelType w:val="multilevel"/>
    <w:tmpl w:val="EF04009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C32D6D"/>
    <w:multiLevelType w:val="hybridMultilevel"/>
    <w:tmpl w:val="D5E2F6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CA55010"/>
    <w:multiLevelType w:val="multilevel"/>
    <w:tmpl w:val="006C9AF4"/>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AC41785"/>
    <w:multiLevelType w:val="hybridMultilevel"/>
    <w:tmpl w:val="20FE03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7C57530"/>
    <w:multiLevelType w:val="multilevel"/>
    <w:tmpl w:val="6B4A72DC"/>
    <w:lvl w:ilvl="0">
      <w:start w:val="2"/>
      <w:numFmt w:val="decimal"/>
      <w:lvlText w:val="%1"/>
      <w:lvlJc w:val="left"/>
      <w:pPr>
        <w:ind w:left="720" w:hanging="720"/>
      </w:pPr>
      <w:rPr>
        <w:rFonts w:hint="default"/>
        <w:b/>
      </w:rPr>
    </w:lvl>
    <w:lvl w:ilvl="1">
      <w:start w:val="1"/>
      <w:numFmt w:val="decimal"/>
      <w:lvlText w:val="6.%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84E6825"/>
    <w:multiLevelType w:val="multilevel"/>
    <w:tmpl w:val="3AE4C8F2"/>
    <w:lvl w:ilvl="0">
      <w:start w:val="1"/>
      <w:numFmt w:val="decimal"/>
      <w:pStyle w:val="Heading1"/>
      <w:lvlText w:val="%1"/>
      <w:lvlJc w:val="left"/>
      <w:pPr>
        <w:ind w:left="6670"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CD407EE"/>
    <w:multiLevelType w:val="hybridMultilevel"/>
    <w:tmpl w:val="B68E1C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E4C5029"/>
    <w:multiLevelType w:val="hybridMultilevel"/>
    <w:tmpl w:val="D3F63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E9672E2"/>
    <w:multiLevelType w:val="multilevel"/>
    <w:tmpl w:val="38F80190"/>
    <w:lvl w:ilvl="0">
      <w:start w:val="1"/>
      <w:numFmt w:val="bullet"/>
      <w:lvlText w:val=""/>
      <w:lvlJc w:val="left"/>
      <w:pPr>
        <w:ind w:left="432" w:hanging="432"/>
      </w:pPr>
      <w:rPr>
        <w:rFonts w:ascii="Symbol" w:hAnsi="Symbol" w:hint="default"/>
      </w:r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33504C81"/>
    <w:multiLevelType w:val="hybridMultilevel"/>
    <w:tmpl w:val="856C1C82"/>
    <w:lvl w:ilvl="0" w:tplc="04090001">
      <w:start w:val="1"/>
      <w:numFmt w:val="bullet"/>
      <w:lvlText w:val=""/>
      <w:lvlJc w:val="left"/>
      <w:pPr>
        <w:ind w:left="720" w:hanging="360"/>
      </w:pPr>
      <w:rPr>
        <w:rFonts w:ascii="Symbol" w:hAnsi="Symbol" w:hint="default"/>
      </w:rPr>
    </w:lvl>
    <w:lvl w:ilvl="1" w:tplc="8156535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F906D6"/>
    <w:multiLevelType w:val="hybridMultilevel"/>
    <w:tmpl w:val="FF2CD09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nsid w:val="3DAE6DFA"/>
    <w:multiLevelType w:val="multilevel"/>
    <w:tmpl w:val="2110C69E"/>
    <w:lvl w:ilvl="0">
      <w:start w:val="1"/>
      <w:numFmt w:val="decimal"/>
      <w:lvlText w:val="%1"/>
      <w:lvlJc w:val="left"/>
      <w:pPr>
        <w:ind w:left="432" w:hanging="432"/>
      </w:pPr>
      <w:rPr>
        <w:rFonts w:hint="default"/>
      </w:r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43E90176"/>
    <w:multiLevelType w:val="multilevel"/>
    <w:tmpl w:val="38F80190"/>
    <w:lvl w:ilvl="0">
      <w:start w:val="1"/>
      <w:numFmt w:val="bullet"/>
      <w:lvlText w:val=""/>
      <w:lvlJc w:val="left"/>
      <w:pPr>
        <w:ind w:left="432" w:hanging="432"/>
      </w:pPr>
      <w:rPr>
        <w:rFonts w:ascii="Symbol" w:hAnsi="Symbol" w:hint="default"/>
      </w:r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nsid w:val="4AAE35BD"/>
    <w:multiLevelType w:val="multilevel"/>
    <w:tmpl w:val="B51A5E4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2F54A7F"/>
    <w:multiLevelType w:val="multilevel"/>
    <w:tmpl w:val="38F80190"/>
    <w:lvl w:ilvl="0">
      <w:start w:val="1"/>
      <w:numFmt w:val="bullet"/>
      <w:lvlText w:val=""/>
      <w:lvlJc w:val="left"/>
      <w:pPr>
        <w:ind w:left="432" w:hanging="432"/>
      </w:pPr>
      <w:rPr>
        <w:rFonts w:ascii="Symbol" w:hAnsi="Symbol" w:hint="default"/>
      </w:r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nsid w:val="544514BB"/>
    <w:multiLevelType w:val="hybridMultilevel"/>
    <w:tmpl w:val="D7C401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BB5687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C987E21"/>
    <w:multiLevelType w:val="hybridMultilevel"/>
    <w:tmpl w:val="397002AC"/>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CB37DA2"/>
    <w:multiLevelType w:val="multilevel"/>
    <w:tmpl w:val="2110C69E"/>
    <w:lvl w:ilvl="0">
      <w:start w:val="1"/>
      <w:numFmt w:val="decimal"/>
      <w:lvlText w:val="%1"/>
      <w:lvlJc w:val="left"/>
      <w:pPr>
        <w:ind w:left="432" w:hanging="432"/>
      </w:pPr>
      <w:rPr>
        <w:rFonts w:hint="default"/>
      </w:r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1194A9C"/>
    <w:multiLevelType w:val="hybridMultilevel"/>
    <w:tmpl w:val="260267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4F84828"/>
    <w:multiLevelType w:val="hybridMultilevel"/>
    <w:tmpl w:val="E56AA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5E84AEC"/>
    <w:multiLevelType w:val="hybridMultilevel"/>
    <w:tmpl w:val="FC70D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D2B4D48"/>
    <w:multiLevelType w:val="hybridMultilevel"/>
    <w:tmpl w:val="EF22B1A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8">
    <w:nsid w:val="6EF91405"/>
    <w:multiLevelType w:val="multilevel"/>
    <w:tmpl w:val="4434F0D6"/>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3FC5650"/>
    <w:multiLevelType w:val="multilevel"/>
    <w:tmpl w:val="0A5CA9C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75581411"/>
    <w:multiLevelType w:val="hybridMultilevel"/>
    <w:tmpl w:val="7A56948A"/>
    <w:lvl w:ilvl="0" w:tplc="70584D1C">
      <w:start w:val="90"/>
      <w:numFmt w:val="bullet"/>
      <w:lvlText w:val="-"/>
      <w:lvlJc w:val="left"/>
      <w:pPr>
        <w:ind w:left="672" w:hanging="360"/>
      </w:pPr>
      <w:rPr>
        <w:rFonts w:ascii="Calibri" w:eastAsiaTheme="minorHAnsi" w:hAnsi="Calibri" w:cs="Calibri" w:hint="default"/>
        <w:b w:val="0"/>
        <w:i/>
      </w:rPr>
    </w:lvl>
    <w:lvl w:ilvl="1" w:tplc="0C090003" w:tentative="1">
      <w:start w:val="1"/>
      <w:numFmt w:val="bullet"/>
      <w:lvlText w:val="o"/>
      <w:lvlJc w:val="left"/>
      <w:pPr>
        <w:ind w:left="1392" w:hanging="360"/>
      </w:pPr>
      <w:rPr>
        <w:rFonts w:ascii="Courier New" w:hAnsi="Courier New" w:cs="Courier New" w:hint="default"/>
      </w:rPr>
    </w:lvl>
    <w:lvl w:ilvl="2" w:tplc="0C090005" w:tentative="1">
      <w:start w:val="1"/>
      <w:numFmt w:val="bullet"/>
      <w:lvlText w:val=""/>
      <w:lvlJc w:val="left"/>
      <w:pPr>
        <w:ind w:left="2112" w:hanging="360"/>
      </w:pPr>
      <w:rPr>
        <w:rFonts w:ascii="Wingdings" w:hAnsi="Wingdings" w:hint="default"/>
      </w:rPr>
    </w:lvl>
    <w:lvl w:ilvl="3" w:tplc="0C090001" w:tentative="1">
      <w:start w:val="1"/>
      <w:numFmt w:val="bullet"/>
      <w:lvlText w:val=""/>
      <w:lvlJc w:val="left"/>
      <w:pPr>
        <w:ind w:left="2832" w:hanging="360"/>
      </w:pPr>
      <w:rPr>
        <w:rFonts w:ascii="Symbol" w:hAnsi="Symbol" w:hint="default"/>
      </w:rPr>
    </w:lvl>
    <w:lvl w:ilvl="4" w:tplc="0C090003" w:tentative="1">
      <w:start w:val="1"/>
      <w:numFmt w:val="bullet"/>
      <w:lvlText w:val="o"/>
      <w:lvlJc w:val="left"/>
      <w:pPr>
        <w:ind w:left="3552" w:hanging="360"/>
      </w:pPr>
      <w:rPr>
        <w:rFonts w:ascii="Courier New" w:hAnsi="Courier New" w:cs="Courier New" w:hint="default"/>
      </w:rPr>
    </w:lvl>
    <w:lvl w:ilvl="5" w:tplc="0C090005" w:tentative="1">
      <w:start w:val="1"/>
      <w:numFmt w:val="bullet"/>
      <w:lvlText w:val=""/>
      <w:lvlJc w:val="left"/>
      <w:pPr>
        <w:ind w:left="4272" w:hanging="360"/>
      </w:pPr>
      <w:rPr>
        <w:rFonts w:ascii="Wingdings" w:hAnsi="Wingdings" w:hint="default"/>
      </w:rPr>
    </w:lvl>
    <w:lvl w:ilvl="6" w:tplc="0C090001" w:tentative="1">
      <w:start w:val="1"/>
      <w:numFmt w:val="bullet"/>
      <w:lvlText w:val=""/>
      <w:lvlJc w:val="left"/>
      <w:pPr>
        <w:ind w:left="4992" w:hanging="360"/>
      </w:pPr>
      <w:rPr>
        <w:rFonts w:ascii="Symbol" w:hAnsi="Symbol" w:hint="default"/>
      </w:rPr>
    </w:lvl>
    <w:lvl w:ilvl="7" w:tplc="0C090003" w:tentative="1">
      <w:start w:val="1"/>
      <w:numFmt w:val="bullet"/>
      <w:lvlText w:val="o"/>
      <w:lvlJc w:val="left"/>
      <w:pPr>
        <w:ind w:left="5712" w:hanging="360"/>
      </w:pPr>
      <w:rPr>
        <w:rFonts w:ascii="Courier New" w:hAnsi="Courier New" w:cs="Courier New" w:hint="default"/>
      </w:rPr>
    </w:lvl>
    <w:lvl w:ilvl="8" w:tplc="0C090005" w:tentative="1">
      <w:start w:val="1"/>
      <w:numFmt w:val="bullet"/>
      <w:lvlText w:val=""/>
      <w:lvlJc w:val="left"/>
      <w:pPr>
        <w:ind w:left="6432" w:hanging="360"/>
      </w:pPr>
      <w:rPr>
        <w:rFonts w:ascii="Wingdings" w:hAnsi="Wingdings" w:hint="default"/>
      </w:rPr>
    </w:lvl>
  </w:abstractNum>
  <w:abstractNum w:abstractNumId="31">
    <w:nsid w:val="76C93EC5"/>
    <w:multiLevelType w:val="hybridMultilevel"/>
    <w:tmpl w:val="1DDAB9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784D033C"/>
    <w:multiLevelType w:val="multilevel"/>
    <w:tmpl w:val="13CA770C"/>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794356EE"/>
    <w:multiLevelType w:val="multilevel"/>
    <w:tmpl w:val="D36677D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AC065AB"/>
    <w:multiLevelType w:val="multilevel"/>
    <w:tmpl w:val="C390F9AC"/>
    <w:lvl w:ilvl="0">
      <w:start w:val="2"/>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E253302"/>
    <w:multiLevelType w:val="hybridMultilevel"/>
    <w:tmpl w:val="19620B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6"/>
  </w:num>
  <w:num w:numId="3">
    <w:abstractNumId w:val="16"/>
  </w:num>
  <w:num w:numId="4">
    <w:abstractNumId w:val="35"/>
  </w:num>
  <w:num w:numId="5">
    <w:abstractNumId w:val="2"/>
  </w:num>
  <w:num w:numId="6">
    <w:abstractNumId w:val="1"/>
  </w:num>
  <w:num w:numId="7">
    <w:abstractNumId w:val="32"/>
  </w:num>
  <w:num w:numId="8">
    <w:abstractNumId w:val="7"/>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9"/>
  </w:num>
  <w:num w:numId="12">
    <w:abstractNumId w:val="34"/>
  </w:num>
  <w:num w:numId="13">
    <w:abstractNumId w:val="23"/>
  </w:num>
  <w:num w:numId="14">
    <w:abstractNumId w:val="0"/>
  </w:num>
  <w:num w:numId="15">
    <w:abstractNumId w:val="28"/>
  </w:num>
  <w:num w:numId="16">
    <w:abstractNumId w:val="3"/>
  </w:num>
  <w:num w:numId="17">
    <w:abstractNumId w:val="33"/>
  </w:num>
  <w:num w:numId="18">
    <w:abstractNumId w:val="29"/>
  </w:num>
  <w:num w:numId="19">
    <w:abstractNumId w:val="12"/>
  </w:num>
  <w:num w:numId="20">
    <w:abstractNumId w:val="4"/>
  </w:num>
  <w:num w:numId="21">
    <w:abstractNumId w:val="24"/>
  </w:num>
  <w:num w:numId="22">
    <w:abstractNumId w:val="25"/>
  </w:num>
  <w:num w:numId="23">
    <w:abstractNumId w:val="15"/>
  </w:num>
  <w:num w:numId="24">
    <w:abstractNumId w:val="27"/>
  </w:num>
  <w:num w:numId="25">
    <w:abstractNumId w:val="8"/>
  </w:num>
  <w:num w:numId="26">
    <w:abstractNumId w:val="6"/>
    <w:lvlOverride w:ilvl="0">
      <w:startOverride w:val="4"/>
    </w:lvlOverride>
    <w:lvlOverride w:ilvl="1">
      <w:startOverride w:val="4"/>
    </w:lvlOverride>
  </w:num>
  <w:num w:numId="27">
    <w:abstractNumId w:val="9"/>
  </w:num>
  <w:num w:numId="28">
    <w:abstractNumId w:val="26"/>
  </w:num>
  <w:num w:numId="29">
    <w:abstractNumId w:val="20"/>
  </w:num>
  <w:num w:numId="30">
    <w:abstractNumId w:val="6"/>
  </w:num>
  <w:num w:numId="31">
    <w:abstractNumId w:val="21"/>
  </w:num>
  <w:num w:numId="32">
    <w:abstractNumId w:val="13"/>
  </w:num>
  <w:num w:numId="33">
    <w:abstractNumId w:val="17"/>
  </w:num>
  <w:num w:numId="34">
    <w:abstractNumId w:val="14"/>
  </w:num>
  <w:num w:numId="35">
    <w:abstractNumId w:val="10"/>
  </w:num>
  <w:num w:numId="36">
    <w:abstractNumId w:val="30"/>
  </w:num>
  <w:num w:numId="37">
    <w:abstractNumId w:val="31"/>
  </w:num>
  <w:num w:numId="38">
    <w:abstractNumId w:val="18"/>
  </w:num>
  <w:num w:numId="39">
    <w:abstractNumId w:val="5"/>
  </w:num>
  <w:num w:numId="40">
    <w:abstractNumId w:val="6"/>
  </w:num>
  <w:num w:numId="41">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A29"/>
    <w:rsid w:val="00001AB4"/>
    <w:rsid w:val="0001066F"/>
    <w:rsid w:val="00013222"/>
    <w:rsid w:val="000150A6"/>
    <w:rsid w:val="0002095B"/>
    <w:rsid w:val="00022C2A"/>
    <w:rsid w:val="00023ADF"/>
    <w:rsid w:val="00024D0A"/>
    <w:rsid w:val="0002775A"/>
    <w:rsid w:val="00032C13"/>
    <w:rsid w:val="00034404"/>
    <w:rsid w:val="000422AD"/>
    <w:rsid w:val="00043D43"/>
    <w:rsid w:val="00044350"/>
    <w:rsid w:val="000461CF"/>
    <w:rsid w:val="00047E36"/>
    <w:rsid w:val="0005005D"/>
    <w:rsid w:val="0005026A"/>
    <w:rsid w:val="00057F71"/>
    <w:rsid w:val="00062067"/>
    <w:rsid w:val="000629A9"/>
    <w:rsid w:val="00065C62"/>
    <w:rsid w:val="00065CDE"/>
    <w:rsid w:val="00065F4A"/>
    <w:rsid w:val="00067FBE"/>
    <w:rsid w:val="0007567C"/>
    <w:rsid w:val="0007725B"/>
    <w:rsid w:val="00077C04"/>
    <w:rsid w:val="00080FF3"/>
    <w:rsid w:val="0008203D"/>
    <w:rsid w:val="000847FE"/>
    <w:rsid w:val="00086133"/>
    <w:rsid w:val="00095D85"/>
    <w:rsid w:val="000A2694"/>
    <w:rsid w:val="000A2EF1"/>
    <w:rsid w:val="000A6FBD"/>
    <w:rsid w:val="000A705B"/>
    <w:rsid w:val="000A754F"/>
    <w:rsid w:val="000B2C30"/>
    <w:rsid w:val="000B41D0"/>
    <w:rsid w:val="000B4CA9"/>
    <w:rsid w:val="000B56CD"/>
    <w:rsid w:val="000B6B69"/>
    <w:rsid w:val="000C0142"/>
    <w:rsid w:val="000C6A40"/>
    <w:rsid w:val="000C6A75"/>
    <w:rsid w:val="000D0023"/>
    <w:rsid w:val="000D2E92"/>
    <w:rsid w:val="000D38D4"/>
    <w:rsid w:val="000D45D6"/>
    <w:rsid w:val="000D55BE"/>
    <w:rsid w:val="000D5B10"/>
    <w:rsid w:val="000D6D52"/>
    <w:rsid w:val="000D7473"/>
    <w:rsid w:val="000E636A"/>
    <w:rsid w:val="000F2534"/>
    <w:rsid w:val="000F3652"/>
    <w:rsid w:val="00100CAF"/>
    <w:rsid w:val="001054C9"/>
    <w:rsid w:val="00111EFE"/>
    <w:rsid w:val="001124B7"/>
    <w:rsid w:val="001161B3"/>
    <w:rsid w:val="001174BC"/>
    <w:rsid w:val="00120EE8"/>
    <w:rsid w:val="0012701F"/>
    <w:rsid w:val="001279AE"/>
    <w:rsid w:val="0013092C"/>
    <w:rsid w:val="00133A06"/>
    <w:rsid w:val="00136B73"/>
    <w:rsid w:val="00136E76"/>
    <w:rsid w:val="001455C7"/>
    <w:rsid w:val="001468C6"/>
    <w:rsid w:val="00146C47"/>
    <w:rsid w:val="00153A3B"/>
    <w:rsid w:val="00155692"/>
    <w:rsid w:val="001562C0"/>
    <w:rsid w:val="0016413A"/>
    <w:rsid w:val="00165A49"/>
    <w:rsid w:val="0016779D"/>
    <w:rsid w:val="001722AD"/>
    <w:rsid w:val="00172ECE"/>
    <w:rsid w:val="00173577"/>
    <w:rsid w:val="001758C0"/>
    <w:rsid w:val="0017638E"/>
    <w:rsid w:val="00176AA5"/>
    <w:rsid w:val="0017720E"/>
    <w:rsid w:val="00177893"/>
    <w:rsid w:val="00184221"/>
    <w:rsid w:val="00186307"/>
    <w:rsid w:val="00186EBC"/>
    <w:rsid w:val="00187B8E"/>
    <w:rsid w:val="001900F6"/>
    <w:rsid w:val="00190F88"/>
    <w:rsid w:val="00191C78"/>
    <w:rsid w:val="00194D27"/>
    <w:rsid w:val="00195DA4"/>
    <w:rsid w:val="001A0142"/>
    <w:rsid w:val="001A02B2"/>
    <w:rsid w:val="001B00CE"/>
    <w:rsid w:val="001B0B17"/>
    <w:rsid w:val="001B46F9"/>
    <w:rsid w:val="001B6389"/>
    <w:rsid w:val="001C0131"/>
    <w:rsid w:val="001C04CC"/>
    <w:rsid w:val="001C051E"/>
    <w:rsid w:val="001C177C"/>
    <w:rsid w:val="001C2268"/>
    <w:rsid w:val="001C3BDF"/>
    <w:rsid w:val="001C7531"/>
    <w:rsid w:val="001D0A4B"/>
    <w:rsid w:val="001D30FD"/>
    <w:rsid w:val="001D5DE3"/>
    <w:rsid w:val="001E4361"/>
    <w:rsid w:val="001E4BCB"/>
    <w:rsid w:val="001E5918"/>
    <w:rsid w:val="001F073C"/>
    <w:rsid w:val="001F27C4"/>
    <w:rsid w:val="001F2912"/>
    <w:rsid w:val="001F4D06"/>
    <w:rsid w:val="001F6362"/>
    <w:rsid w:val="002001C6"/>
    <w:rsid w:val="00200296"/>
    <w:rsid w:val="00201ADB"/>
    <w:rsid w:val="00202197"/>
    <w:rsid w:val="00203A33"/>
    <w:rsid w:val="00204EB8"/>
    <w:rsid w:val="002058E5"/>
    <w:rsid w:val="00210FAA"/>
    <w:rsid w:val="00211C00"/>
    <w:rsid w:val="00217393"/>
    <w:rsid w:val="002234A6"/>
    <w:rsid w:val="00224E89"/>
    <w:rsid w:val="00231425"/>
    <w:rsid w:val="00231EDE"/>
    <w:rsid w:val="0023430F"/>
    <w:rsid w:val="002425EA"/>
    <w:rsid w:val="00242EA0"/>
    <w:rsid w:val="00243685"/>
    <w:rsid w:val="002455CB"/>
    <w:rsid w:val="002472D2"/>
    <w:rsid w:val="002542DF"/>
    <w:rsid w:val="0025613F"/>
    <w:rsid w:val="00261DC6"/>
    <w:rsid w:val="002622AF"/>
    <w:rsid w:val="00262FFD"/>
    <w:rsid w:val="00264623"/>
    <w:rsid w:val="00273C03"/>
    <w:rsid w:val="00273C92"/>
    <w:rsid w:val="002742B8"/>
    <w:rsid w:val="00274661"/>
    <w:rsid w:val="00274F89"/>
    <w:rsid w:val="0027686C"/>
    <w:rsid w:val="00280B5B"/>
    <w:rsid w:val="00282D1F"/>
    <w:rsid w:val="002836DF"/>
    <w:rsid w:val="0028379C"/>
    <w:rsid w:val="00284D57"/>
    <w:rsid w:val="00291371"/>
    <w:rsid w:val="002928F4"/>
    <w:rsid w:val="002A2509"/>
    <w:rsid w:val="002A4503"/>
    <w:rsid w:val="002B3232"/>
    <w:rsid w:val="002B4941"/>
    <w:rsid w:val="002B5D74"/>
    <w:rsid w:val="002B7ADB"/>
    <w:rsid w:val="002C1D2F"/>
    <w:rsid w:val="002C40A7"/>
    <w:rsid w:val="002D01E8"/>
    <w:rsid w:val="002D0FA1"/>
    <w:rsid w:val="002D2215"/>
    <w:rsid w:val="002D22D8"/>
    <w:rsid w:val="002D2FCA"/>
    <w:rsid w:val="002D34C2"/>
    <w:rsid w:val="002D4A17"/>
    <w:rsid w:val="002D5DDD"/>
    <w:rsid w:val="002D7823"/>
    <w:rsid w:val="002E2973"/>
    <w:rsid w:val="002E3223"/>
    <w:rsid w:val="002E42FD"/>
    <w:rsid w:val="002E4C2D"/>
    <w:rsid w:val="002E4DFB"/>
    <w:rsid w:val="002E5DEA"/>
    <w:rsid w:val="002E724A"/>
    <w:rsid w:val="002F0CC4"/>
    <w:rsid w:val="002F311E"/>
    <w:rsid w:val="002F498D"/>
    <w:rsid w:val="002F6E83"/>
    <w:rsid w:val="002F6E91"/>
    <w:rsid w:val="002F71B8"/>
    <w:rsid w:val="0030057F"/>
    <w:rsid w:val="00301E4C"/>
    <w:rsid w:val="00301EA1"/>
    <w:rsid w:val="00302FCC"/>
    <w:rsid w:val="003062AE"/>
    <w:rsid w:val="00315514"/>
    <w:rsid w:val="0032621E"/>
    <w:rsid w:val="00334ACF"/>
    <w:rsid w:val="003373DE"/>
    <w:rsid w:val="0034132A"/>
    <w:rsid w:val="00341A14"/>
    <w:rsid w:val="003430FB"/>
    <w:rsid w:val="003444B9"/>
    <w:rsid w:val="00345347"/>
    <w:rsid w:val="003503F3"/>
    <w:rsid w:val="00351381"/>
    <w:rsid w:val="00351F24"/>
    <w:rsid w:val="003530A6"/>
    <w:rsid w:val="00353627"/>
    <w:rsid w:val="00355563"/>
    <w:rsid w:val="00355F72"/>
    <w:rsid w:val="00357657"/>
    <w:rsid w:val="003639A6"/>
    <w:rsid w:val="003679AE"/>
    <w:rsid w:val="003737A7"/>
    <w:rsid w:val="00376308"/>
    <w:rsid w:val="00377B5A"/>
    <w:rsid w:val="00381D3B"/>
    <w:rsid w:val="0038281C"/>
    <w:rsid w:val="003851FE"/>
    <w:rsid w:val="00385A64"/>
    <w:rsid w:val="0038690E"/>
    <w:rsid w:val="00386D1A"/>
    <w:rsid w:val="003938D2"/>
    <w:rsid w:val="00397170"/>
    <w:rsid w:val="003A3433"/>
    <w:rsid w:val="003A38E7"/>
    <w:rsid w:val="003A537E"/>
    <w:rsid w:val="003A660F"/>
    <w:rsid w:val="003B0325"/>
    <w:rsid w:val="003B095E"/>
    <w:rsid w:val="003B3442"/>
    <w:rsid w:val="003C03B2"/>
    <w:rsid w:val="003C0BF9"/>
    <w:rsid w:val="003C0EAF"/>
    <w:rsid w:val="003C1A9F"/>
    <w:rsid w:val="003C5F28"/>
    <w:rsid w:val="003C5FD8"/>
    <w:rsid w:val="003C7034"/>
    <w:rsid w:val="003D11A9"/>
    <w:rsid w:val="003D2A37"/>
    <w:rsid w:val="003D69EF"/>
    <w:rsid w:val="003D7F8C"/>
    <w:rsid w:val="003E0EDB"/>
    <w:rsid w:val="003E6408"/>
    <w:rsid w:val="003E6475"/>
    <w:rsid w:val="003F105A"/>
    <w:rsid w:val="003F283D"/>
    <w:rsid w:val="003F6199"/>
    <w:rsid w:val="004033BF"/>
    <w:rsid w:val="0040412E"/>
    <w:rsid w:val="004060FB"/>
    <w:rsid w:val="00407EF0"/>
    <w:rsid w:val="00410321"/>
    <w:rsid w:val="00415201"/>
    <w:rsid w:val="00415C73"/>
    <w:rsid w:val="00421450"/>
    <w:rsid w:val="00425823"/>
    <w:rsid w:val="00425EE0"/>
    <w:rsid w:val="00426DD1"/>
    <w:rsid w:val="00427E55"/>
    <w:rsid w:val="00431448"/>
    <w:rsid w:val="004330F8"/>
    <w:rsid w:val="0043520F"/>
    <w:rsid w:val="00435EEF"/>
    <w:rsid w:val="00437BB5"/>
    <w:rsid w:val="00444E55"/>
    <w:rsid w:val="004474DC"/>
    <w:rsid w:val="00453BAE"/>
    <w:rsid w:val="00453D59"/>
    <w:rsid w:val="00454493"/>
    <w:rsid w:val="00454F21"/>
    <w:rsid w:val="0045505F"/>
    <w:rsid w:val="0045752E"/>
    <w:rsid w:val="004619BB"/>
    <w:rsid w:val="00465D3F"/>
    <w:rsid w:val="0046621E"/>
    <w:rsid w:val="00466D91"/>
    <w:rsid w:val="00472D4D"/>
    <w:rsid w:val="004849BF"/>
    <w:rsid w:val="00485B03"/>
    <w:rsid w:val="004919DD"/>
    <w:rsid w:val="00493C5E"/>
    <w:rsid w:val="00494976"/>
    <w:rsid w:val="00494F7C"/>
    <w:rsid w:val="00496855"/>
    <w:rsid w:val="00497CD3"/>
    <w:rsid w:val="004A2DF5"/>
    <w:rsid w:val="004A4EF3"/>
    <w:rsid w:val="004B222C"/>
    <w:rsid w:val="004B3C00"/>
    <w:rsid w:val="004C49C2"/>
    <w:rsid w:val="004D02DA"/>
    <w:rsid w:val="004D0A98"/>
    <w:rsid w:val="004D1006"/>
    <w:rsid w:val="004D1461"/>
    <w:rsid w:val="004D45DF"/>
    <w:rsid w:val="004D4D81"/>
    <w:rsid w:val="004D7D1C"/>
    <w:rsid w:val="004D7E1E"/>
    <w:rsid w:val="004E0C0B"/>
    <w:rsid w:val="004E1A5E"/>
    <w:rsid w:val="004E2125"/>
    <w:rsid w:val="004E3192"/>
    <w:rsid w:val="004E6AFB"/>
    <w:rsid w:val="004F00BF"/>
    <w:rsid w:val="004F0340"/>
    <w:rsid w:val="004F0D5C"/>
    <w:rsid w:val="004F3688"/>
    <w:rsid w:val="004F3AAE"/>
    <w:rsid w:val="004F4105"/>
    <w:rsid w:val="004F4415"/>
    <w:rsid w:val="004F4BDE"/>
    <w:rsid w:val="004F6163"/>
    <w:rsid w:val="004F7CAC"/>
    <w:rsid w:val="00507713"/>
    <w:rsid w:val="00510344"/>
    <w:rsid w:val="00510DED"/>
    <w:rsid w:val="00511320"/>
    <w:rsid w:val="005143F9"/>
    <w:rsid w:val="00516566"/>
    <w:rsid w:val="005218A6"/>
    <w:rsid w:val="005218C3"/>
    <w:rsid w:val="00522222"/>
    <w:rsid w:val="00523B66"/>
    <w:rsid w:val="00525327"/>
    <w:rsid w:val="00526E2F"/>
    <w:rsid w:val="00531C11"/>
    <w:rsid w:val="00534E30"/>
    <w:rsid w:val="00535C74"/>
    <w:rsid w:val="005361AB"/>
    <w:rsid w:val="00537F1D"/>
    <w:rsid w:val="00537FC2"/>
    <w:rsid w:val="00541D43"/>
    <w:rsid w:val="00542068"/>
    <w:rsid w:val="00543873"/>
    <w:rsid w:val="00543AF9"/>
    <w:rsid w:val="00544609"/>
    <w:rsid w:val="00544F8A"/>
    <w:rsid w:val="00551D6D"/>
    <w:rsid w:val="0055532F"/>
    <w:rsid w:val="005558A9"/>
    <w:rsid w:val="00561D24"/>
    <w:rsid w:val="00567885"/>
    <w:rsid w:val="00573A8C"/>
    <w:rsid w:val="00576ADE"/>
    <w:rsid w:val="00577CBB"/>
    <w:rsid w:val="00577CFD"/>
    <w:rsid w:val="00577DEF"/>
    <w:rsid w:val="00582F56"/>
    <w:rsid w:val="00585D0E"/>
    <w:rsid w:val="00587023"/>
    <w:rsid w:val="005924A7"/>
    <w:rsid w:val="005948F6"/>
    <w:rsid w:val="00596558"/>
    <w:rsid w:val="00597972"/>
    <w:rsid w:val="005B03B0"/>
    <w:rsid w:val="005B303F"/>
    <w:rsid w:val="005B738F"/>
    <w:rsid w:val="005C3BD2"/>
    <w:rsid w:val="005C4552"/>
    <w:rsid w:val="005C528F"/>
    <w:rsid w:val="005C6285"/>
    <w:rsid w:val="005C6534"/>
    <w:rsid w:val="005D5BA1"/>
    <w:rsid w:val="005D6185"/>
    <w:rsid w:val="005D622E"/>
    <w:rsid w:val="005D6FEB"/>
    <w:rsid w:val="005E3C06"/>
    <w:rsid w:val="005E49B2"/>
    <w:rsid w:val="005E4BA3"/>
    <w:rsid w:val="005E7D13"/>
    <w:rsid w:val="005F0AE8"/>
    <w:rsid w:val="005F2A6B"/>
    <w:rsid w:val="005F3A23"/>
    <w:rsid w:val="005F40C1"/>
    <w:rsid w:val="005F7E5E"/>
    <w:rsid w:val="006024D3"/>
    <w:rsid w:val="00604104"/>
    <w:rsid w:val="00606EF9"/>
    <w:rsid w:val="0060706A"/>
    <w:rsid w:val="006070C4"/>
    <w:rsid w:val="00607758"/>
    <w:rsid w:val="00610D5E"/>
    <w:rsid w:val="006110E8"/>
    <w:rsid w:val="006128FE"/>
    <w:rsid w:val="00613467"/>
    <w:rsid w:val="0061374B"/>
    <w:rsid w:val="00613846"/>
    <w:rsid w:val="00616E2A"/>
    <w:rsid w:val="00620F40"/>
    <w:rsid w:val="006218D9"/>
    <w:rsid w:val="00622A88"/>
    <w:rsid w:val="00624315"/>
    <w:rsid w:val="0062545B"/>
    <w:rsid w:val="0062552A"/>
    <w:rsid w:val="0062594F"/>
    <w:rsid w:val="00626319"/>
    <w:rsid w:val="00627753"/>
    <w:rsid w:val="00631BDF"/>
    <w:rsid w:val="006332BE"/>
    <w:rsid w:val="00640231"/>
    <w:rsid w:val="006408C3"/>
    <w:rsid w:val="00641027"/>
    <w:rsid w:val="00642795"/>
    <w:rsid w:val="00644951"/>
    <w:rsid w:val="006456AF"/>
    <w:rsid w:val="00646062"/>
    <w:rsid w:val="0064620D"/>
    <w:rsid w:val="00650AEE"/>
    <w:rsid w:val="00654629"/>
    <w:rsid w:val="00655DE9"/>
    <w:rsid w:val="00657754"/>
    <w:rsid w:val="00661286"/>
    <w:rsid w:val="00662DFF"/>
    <w:rsid w:val="00664356"/>
    <w:rsid w:val="006702BA"/>
    <w:rsid w:val="00672120"/>
    <w:rsid w:val="00673B8A"/>
    <w:rsid w:val="00673BA0"/>
    <w:rsid w:val="006778C7"/>
    <w:rsid w:val="006846FA"/>
    <w:rsid w:val="006852C1"/>
    <w:rsid w:val="006853B3"/>
    <w:rsid w:val="00690BE8"/>
    <w:rsid w:val="00691913"/>
    <w:rsid w:val="0069194E"/>
    <w:rsid w:val="00692FB3"/>
    <w:rsid w:val="006A138B"/>
    <w:rsid w:val="006A22C3"/>
    <w:rsid w:val="006A38CD"/>
    <w:rsid w:val="006A4444"/>
    <w:rsid w:val="006A7B85"/>
    <w:rsid w:val="006A7E65"/>
    <w:rsid w:val="006B140A"/>
    <w:rsid w:val="006C009D"/>
    <w:rsid w:val="006C4906"/>
    <w:rsid w:val="006D21B9"/>
    <w:rsid w:val="006D2373"/>
    <w:rsid w:val="006D3271"/>
    <w:rsid w:val="006D3678"/>
    <w:rsid w:val="006D4264"/>
    <w:rsid w:val="006D7837"/>
    <w:rsid w:val="006E01F4"/>
    <w:rsid w:val="006E1D55"/>
    <w:rsid w:val="006E6380"/>
    <w:rsid w:val="006E7302"/>
    <w:rsid w:val="006F161E"/>
    <w:rsid w:val="006F21CC"/>
    <w:rsid w:val="006F4DC8"/>
    <w:rsid w:val="006F678B"/>
    <w:rsid w:val="006F763D"/>
    <w:rsid w:val="00700110"/>
    <w:rsid w:val="007013D3"/>
    <w:rsid w:val="00705A16"/>
    <w:rsid w:val="00705E66"/>
    <w:rsid w:val="00707082"/>
    <w:rsid w:val="00712C73"/>
    <w:rsid w:val="007204FB"/>
    <w:rsid w:val="007207C9"/>
    <w:rsid w:val="007211D7"/>
    <w:rsid w:val="0072234E"/>
    <w:rsid w:val="00722C6E"/>
    <w:rsid w:val="007238A1"/>
    <w:rsid w:val="00723AB1"/>
    <w:rsid w:val="00723E1E"/>
    <w:rsid w:val="00725D47"/>
    <w:rsid w:val="00725EC0"/>
    <w:rsid w:val="00740641"/>
    <w:rsid w:val="00744638"/>
    <w:rsid w:val="0074586F"/>
    <w:rsid w:val="00747333"/>
    <w:rsid w:val="007509A6"/>
    <w:rsid w:val="00750B5A"/>
    <w:rsid w:val="00751984"/>
    <w:rsid w:val="007620EF"/>
    <w:rsid w:val="007633B0"/>
    <w:rsid w:val="00764388"/>
    <w:rsid w:val="007715D2"/>
    <w:rsid w:val="00772501"/>
    <w:rsid w:val="00772C70"/>
    <w:rsid w:val="00773CDE"/>
    <w:rsid w:val="00777E31"/>
    <w:rsid w:val="00782B1C"/>
    <w:rsid w:val="007847FA"/>
    <w:rsid w:val="007868F1"/>
    <w:rsid w:val="00790910"/>
    <w:rsid w:val="00791DE1"/>
    <w:rsid w:val="007925D3"/>
    <w:rsid w:val="00794CB1"/>
    <w:rsid w:val="007A0ECF"/>
    <w:rsid w:val="007A3A8C"/>
    <w:rsid w:val="007A4C88"/>
    <w:rsid w:val="007A5A35"/>
    <w:rsid w:val="007A7BF8"/>
    <w:rsid w:val="007B0303"/>
    <w:rsid w:val="007B08E1"/>
    <w:rsid w:val="007B0E0C"/>
    <w:rsid w:val="007B57DF"/>
    <w:rsid w:val="007B7DD6"/>
    <w:rsid w:val="007C26E5"/>
    <w:rsid w:val="007C339E"/>
    <w:rsid w:val="007C720A"/>
    <w:rsid w:val="007D1092"/>
    <w:rsid w:val="007D2621"/>
    <w:rsid w:val="007D72B8"/>
    <w:rsid w:val="007E0611"/>
    <w:rsid w:val="007E0ACB"/>
    <w:rsid w:val="007E3562"/>
    <w:rsid w:val="007F08CA"/>
    <w:rsid w:val="007F3B6E"/>
    <w:rsid w:val="0080172B"/>
    <w:rsid w:val="00804A87"/>
    <w:rsid w:val="008058E8"/>
    <w:rsid w:val="00806434"/>
    <w:rsid w:val="00807DEF"/>
    <w:rsid w:val="0081230F"/>
    <w:rsid w:val="00813288"/>
    <w:rsid w:val="0082121F"/>
    <w:rsid w:val="00821A29"/>
    <w:rsid w:val="00823233"/>
    <w:rsid w:val="00824426"/>
    <w:rsid w:val="008264E9"/>
    <w:rsid w:val="00830E39"/>
    <w:rsid w:val="00830E52"/>
    <w:rsid w:val="008324E3"/>
    <w:rsid w:val="00834D67"/>
    <w:rsid w:val="00834DD9"/>
    <w:rsid w:val="00836E8D"/>
    <w:rsid w:val="00837754"/>
    <w:rsid w:val="00840296"/>
    <w:rsid w:val="00840698"/>
    <w:rsid w:val="008429D5"/>
    <w:rsid w:val="008435B2"/>
    <w:rsid w:val="00845016"/>
    <w:rsid w:val="00845946"/>
    <w:rsid w:val="008476A0"/>
    <w:rsid w:val="00850474"/>
    <w:rsid w:val="008517E8"/>
    <w:rsid w:val="00852F38"/>
    <w:rsid w:val="00854C36"/>
    <w:rsid w:val="00854E8C"/>
    <w:rsid w:val="00856C34"/>
    <w:rsid w:val="00863233"/>
    <w:rsid w:val="00864BCC"/>
    <w:rsid w:val="00865DC1"/>
    <w:rsid w:val="00870089"/>
    <w:rsid w:val="00874063"/>
    <w:rsid w:val="008750F9"/>
    <w:rsid w:val="00875341"/>
    <w:rsid w:val="0087536F"/>
    <w:rsid w:val="008754FC"/>
    <w:rsid w:val="00876E75"/>
    <w:rsid w:val="00880A40"/>
    <w:rsid w:val="00882725"/>
    <w:rsid w:val="008869F4"/>
    <w:rsid w:val="00887B56"/>
    <w:rsid w:val="0089003D"/>
    <w:rsid w:val="00890812"/>
    <w:rsid w:val="0089376E"/>
    <w:rsid w:val="00893EEF"/>
    <w:rsid w:val="008A3C58"/>
    <w:rsid w:val="008A3EFD"/>
    <w:rsid w:val="008A4880"/>
    <w:rsid w:val="008A52B1"/>
    <w:rsid w:val="008B339F"/>
    <w:rsid w:val="008B537D"/>
    <w:rsid w:val="008B5B32"/>
    <w:rsid w:val="008B5D32"/>
    <w:rsid w:val="008D2593"/>
    <w:rsid w:val="008D45E2"/>
    <w:rsid w:val="008D78FF"/>
    <w:rsid w:val="008F0BD6"/>
    <w:rsid w:val="008F719F"/>
    <w:rsid w:val="00904190"/>
    <w:rsid w:val="009139F5"/>
    <w:rsid w:val="00914C1C"/>
    <w:rsid w:val="00914DA7"/>
    <w:rsid w:val="00915F63"/>
    <w:rsid w:val="009177E9"/>
    <w:rsid w:val="00924567"/>
    <w:rsid w:val="00925120"/>
    <w:rsid w:val="0092606A"/>
    <w:rsid w:val="00927674"/>
    <w:rsid w:val="00931C91"/>
    <w:rsid w:val="009331CF"/>
    <w:rsid w:val="009334AC"/>
    <w:rsid w:val="0094134D"/>
    <w:rsid w:val="00942010"/>
    <w:rsid w:val="0094320A"/>
    <w:rsid w:val="0094331B"/>
    <w:rsid w:val="00945B9E"/>
    <w:rsid w:val="00945D36"/>
    <w:rsid w:val="00950802"/>
    <w:rsid w:val="0095170D"/>
    <w:rsid w:val="0095242C"/>
    <w:rsid w:val="0095307F"/>
    <w:rsid w:val="00955526"/>
    <w:rsid w:val="00962B5C"/>
    <w:rsid w:val="0096488F"/>
    <w:rsid w:val="00966578"/>
    <w:rsid w:val="00966C09"/>
    <w:rsid w:val="00973C35"/>
    <w:rsid w:val="009751BE"/>
    <w:rsid w:val="009811A8"/>
    <w:rsid w:val="009813A5"/>
    <w:rsid w:val="00981EB9"/>
    <w:rsid w:val="00984441"/>
    <w:rsid w:val="009844CF"/>
    <w:rsid w:val="00984DD8"/>
    <w:rsid w:val="009905E7"/>
    <w:rsid w:val="0099085F"/>
    <w:rsid w:val="009925DB"/>
    <w:rsid w:val="00993CC9"/>
    <w:rsid w:val="00994DDB"/>
    <w:rsid w:val="00995340"/>
    <w:rsid w:val="00995ED8"/>
    <w:rsid w:val="009A2F03"/>
    <w:rsid w:val="009A6F74"/>
    <w:rsid w:val="009B0CDE"/>
    <w:rsid w:val="009B1AB3"/>
    <w:rsid w:val="009B224B"/>
    <w:rsid w:val="009B376D"/>
    <w:rsid w:val="009C302D"/>
    <w:rsid w:val="009C3A29"/>
    <w:rsid w:val="009C7FA7"/>
    <w:rsid w:val="009D1ABA"/>
    <w:rsid w:val="009D2CC8"/>
    <w:rsid w:val="009D312E"/>
    <w:rsid w:val="009D3628"/>
    <w:rsid w:val="009D4C2A"/>
    <w:rsid w:val="009D65EA"/>
    <w:rsid w:val="009D6914"/>
    <w:rsid w:val="009E0E7D"/>
    <w:rsid w:val="009E1C22"/>
    <w:rsid w:val="009E2481"/>
    <w:rsid w:val="009E28A1"/>
    <w:rsid w:val="009F3100"/>
    <w:rsid w:val="009F3631"/>
    <w:rsid w:val="009F3790"/>
    <w:rsid w:val="009F7CEB"/>
    <w:rsid w:val="00A00867"/>
    <w:rsid w:val="00A040FD"/>
    <w:rsid w:val="00A0426A"/>
    <w:rsid w:val="00A04C0D"/>
    <w:rsid w:val="00A07A7F"/>
    <w:rsid w:val="00A11F0C"/>
    <w:rsid w:val="00A12983"/>
    <w:rsid w:val="00A14832"/>
    <w:rsid w:val="00A14EDE"/>
    <w:rsid w:val="00A1671A"/>
    <w:rsid w:val="00A20B1A"/>
    <w:rsid w:val="00A22A39"/>
    <w:rsid w:val="00A22F0F"/>
    <w:rsid w:val="00A25512"/>
    <w:rsid w:val="00A34431"/>
    <w:rsid w:val="00A37FDD"/>
    <w:rsid w:val="00A41E5D"/>
    <w:rsid w:val="00A535FB"/>
    <w:rsid w:val="00A6374D"/>
    <w:rsid w:val="00A72BD3"/>
    <w:rsid w:val="00A81083"/>
    <w:rsid w:val="00A81374"/>
    <w:rsid w:val="00A81F82"/>
    <w:rsid w:val="00A841B0"/>
    <w:rsid w:val="00A85A2B"/>
    <w:rsid w:val="00A93543"/>
    <w:rsid w:val="00A94EFC"/>
    <w:rsid w:val="00A96747"/>
    <w:rsid w:val="00AA0B22"/>
    <w:rsid w:val="00AA1681"/>
    <w:rsid w:val="00AA2FA1"/>
    <w:rsid w:val="00AA51C1"/>
    <w:rsid w:val="00AA6135"/>
    <w:rsid w:val="00AA6156"/>
    <w:rsid w:val="00AA73AC"/>
    <w:rsid w:val="00AA7B77"/>
    <w:rsid w:val="00AB01A5"/>
    <w:rsid w:val="00AB09BB"/>
    <w:rsid w:val="00AB187A"/>
    <w:rsid w:val="00AB2F7F"/>
    <w:rsid w:val="00AB4D5D"/>
    <w:rsid w:val="00AB514A"/>
    <w:rsid w:val="00AC1275"/>
    <w:rsid w:val="00AC32AF"/>
    <w:rsid w:val="00AC36A1"/>
    <w:rsid w:val="00AC4226"/>
    <w:rsid w:val="00AC456B"/>
    <w:rsid w:val="00AC50E3"/>
    <w:rsid w:val="00AC5A48"/>
    <w:rsid w:val="00AC7071"/>
    <w:rsid w:val="00AD119C"/>
    <w:rsid w:val="00AD132C"/>
    <w:rsid w:val="00AD200A"/>
    <w:rsid w:val="00AD2741"/>
    <w:rsid w:val="00AD4B07"/>
    <w:rsid w:val="00AD51C9"/>
    <w:rsid w:val="00AE0EE6"/>
    <w:rsid w:val="00AE2A68"/>
    <w:rsid w:val="00AE513E"/>
    <w:rsid w:val="00AE534A"/>
    <w:rsid w:val="00AE599B"/>
    <w:rsid w:val="00AE5A26"/>
    <w:rsid w:val="00AE7AA8"/>
    <w:rsid w:val="00AF0DF9"/>
    <w:rsid w:val="00AF4BE4"/>
    <w:rsid w:val="00AF6E75"/>
    <w:rsid w:val="00AF7912"/>
    <w:rsid w:val="00B01E44"/>
    <w:rsid w:val="00B05203"/>
    <w:rsid w:val="00B05A6C"/>
    <w:rsid w:val="00B10BEF"/>
    <w:rsid w:val="00B115AA"/>
    <w:rsid w:val="00B11EA0"/>
    <w:rsid w:val="00B12FA6"/>
    <w:rsid w:val="00B17FDB"/>
    <w:rsid w:val="00B20E49"/>
    <w:rsid w:val="00B21BB1"/>
    <w:rsid w:val="00B23066"/>
    <w:rsid w:val="00B25D68"/>
    <w:rsid w:val="00B2777B"/>
    <w:rsid w:val="00B27DBC"/>
    <w:rsid w:val="00B35639"/>
    <w:rsid w:val="00B3671D"/>
    <w:rsid w:val="00B40B73"/>
    <w:rsid w:val="00B43310"/>
    <w:rsid w:val="00B453AC"/>
    <w:rsid w:val="00B5179E"/>
    <w:rsid w:val="00B539FB"/>
    <w:rsid w:val="00B61AB6"/>
    <w:rsid w:val="00B6367E"/>
    <w:rsid w:val="00B63B06"/>
    <w:rsid w:val="00B65925"/>
    <w:rsid w:val="00B66C37"/>
    <w:rsid w:val="00B67119"/>
    <w:rsid w:val="00B67B3B"/>
    <w:rsid w:val="00B70EB2"/>
    <w:rsid w:val="00B71675"/>
    <w:rsid w:val="00B71B62"/>
    <w:rsid w:val="00B71ED6"/>
    <w:rsid w:val="00B721BB"/>
    <w:rsid w:val="00B722F5"/>
    <w:rsid w:val="00B75324"/>
    <w:rsid w:val="00B75BC0"/>
    <w:rsid w:val="00B760DD"/>
    <w:rsid w:val="00B76400"/>
    <w:rsid w:val="00B7796D"/>
    <w:rsid w:val="00B77B7D"/>
    <w:rsid w:val="00B80B83"/>
    <w:rsid w:val="00B81A5A"/>
    <w:rsid w:val="00B826B4"/>
    <w:rsid w:val="00B8292D"/>
    <w:rsid w:val="00B863A0"/>
    <w:rsid w:val="00B864B3"/>
    <w:rsid w:val="00B915D3"/>
    <w:rsid w:val="00B92EB7"/>
    <w:rsid w:val="00B935C9"/>
    <w:rsid w:val="00BA01AB"/>
    <w:rsid w:val="00BA1DF2"/>
    <w:rsid w:val="00BA2A96"/>
    <w:rsid w:val="00BA3306"/>
    <w:rsid w:val="00BA5CC4"/>
    <w:rsid w:val="00BA73EE"/>
    <w:rsid w:val="00BB56C8"/>
    <w:rsid w:val="00BC7FCB"/>
    <w:rsid w:val="00BD03EC"/>
    <w:rsid w:val="00BD2F01"/>
    <w:rsid w:val="00BD53CD"/>
    <w:rsid w:val="00BD5623"/>
    <w:rsid w:val="00BD76BC"/>
    <w:rsid w:val="00BE2D0F"/>
    <w:rsid w:val="00BE3CAA"/>
    <w:rsid w:val="00BE3E5F"/>
    <w:rsid w:val="00BE4CAD"/>
    <w:rsid w:val="00BE583A"/>
    <w:rsid w:val="00BE63DE"/>
    <w:rsid w:val="00BE69D0"/>
    <w:rsid w:val="00BE7140"/>
    <w:rsid w:val="00BF00E9"/>
    <w:rsid w:val="00BF036C"/>
    <w:rsid w:val="00BF58A7"/>
    <w:rsid w:val="00BF5DEE"/>
    <w:rsid w:val="00C045C7"/>
    <w:rsid w:val="00C06418"/>
    <w:rsid w:val="00C07417"/>
    <w:rsid w:val="00C07BBA"/>
    <w:rsid w:val="00C07E92"/>
    <w:rsid w:val="00C104C2"/>
    <w:rsid w:val="00C11033"/>
    <w:rsid w:val="00C13BE4"/>
    <w:rsid w:val="00C23FEA"/>
    <w:rsid w:val="00C30909"/>
    <w:rsid w:val="00C30E32"/>
    <w:rsid w:val="00C317F3"/>
    <w:rsid w:val="00C35202"/>
    <w:rsid w:val="00C40B09"/>
    <w:rsid w:val="00C4283C"/>
    <w:rsid w:val="00C44C37"/>
    <w:rsid w:val="00C45CD3"/>
    <w:rsid w:val="00C46AE5"/>
    <w:rsid w:val="00C47654"/>
    <w:rsid w:val="00C52200"/>
    <w:rsid w:val="00C52ACF"/>
    <w:rsid w:val="00C54ADD"/>
    <w:rsid w:val="00C57E4D"/>
    <w:rsid w:val="00C61B5E"/>
    <w:rsid w:val="00C626E2"/>
    <w:rsid w:val="00C628C8"/>
    <w:rsid w:val="00C650FC"/>
    <w:rsid w:val="00C729B3"/>
    <w:rsid w:val="00C7519E"/>
    <w:rsid w:val="00C80117"/>
    <w:rsid w:val="00C81A12"/>
    <w:rsid w:val="00C8441D"/>
    <w:rsid w:val="00C846BE"/>
    <w:rsid w:val="00C86CDE"/>
    <w:rsid w:val="00C924CE"/>
    <w:rsid w:val="00C963DE"/>
    <w:rsid w:val="00C964C5"/>
    <w:rsid w:val="00C9712F"/>
    <w:rsid w:val="00C978B2"/>
    <w:rsid w:val="00CA0C26"/>
    <w:rsid w:val="00CA0DB4"/>
    <w:rsid w:val="00CA2469"/>
    <w:rsid w:val="00CA26C2"/>
    <w:rsid w:val="00CA4C3D"/>
    <w:rsid w:val="00CB07A8"/>
    <w:rsid w:val="00CB14A1"/>
    <w:rsid w:val="00CB377F"/>
    <w:rsid w:val="00CB4729"/>
    <w:rsid w:val="00CB5389"/>
    <w:rsid w:val="00CB5C03"/>
    <w:rsid w:val="00CB5C34"/>
    <w:rsid w:val="00CC10E1"/>
    <w:rsid w:val="00CC6822"/>
    <w:rsid w:val="00CD04E3"/>
    <w:rsid w:val="00CD12E3"/>
    <w:rsid w:val="00CD2297"/>
    <w:rsid w:val="00CD3D97"/>
    <w:rsid w:val="00CD6327"/>
    <w:rsid w:val="00CE2B78"/>
    <w:rsid w:val="00CE355E"/>
    <w:rsid w:val="00CE3A4F"/>
    <w:rsid w:val="00CE5CA2"/>
    <w:rsid w:val="00CE74A3"/>
    <w:rsid w:val="00CF1EE3"/>
    <w:rsid w:val="00CF373D"/>
    <w:rsid w:val="00CF7995"/>
    <w:rsid w:val="00D034DD"/>
    <w:rsid w:val="00D03CA6"/>
    <w:rsid w:val="00D03D0C"/>
    <w:rsid w:val="00D04952"/>
    <w:rsid w:val="00D06A16"/>
    <w:rsid w:val="00D1078F"/>
    <w:rsid w:val="00D1081C"/>
    <w:rsid w:val="00D10E60"/>
    <w:rsid w:val="00D10E74"/>
    <w:rsid w:val="00D12CD2"/>
    <w:rsid w:val="00D14D23"/>
    <w:rsid w:val="00D15D8B"/>
    <w:rsid w:val="00D17984"/>
    <w:rsid w:val="00D238EC"/>
    <w:rsid w:val="00D24DAD"/>
    <w:rsid w:val="00D2504E"/>
    <w:rsid w:val="00D25916"/>
    <w:rsid w:val="00D266CD"/>
    <w:rsid w:val="00D329E6"/>
    <w:rsid w:val="00D33A82"/>
    <w:rsid w:val="00D34525"/>
    <w:rsid w:val="00D37972"/>
    <w:rsid w:val="00D40896"/>
    <w:rsid w:val="00D40F20"/>
    <w:rsid w:val="00D41534"/>
    <w:rsid w:val="00D420A4"/>
    <w:rsid w:val="00D451FC"/>
    <w:rsid w:val="00D50D56"/>
    <w:rsid w:val="00D53FE3"/>
    <w:rsid w:val="00D627B5"/>
    <w:rsid w:val="00D63C48"/>
    <w:rsid w:val="00D64289"/>
    <w:rsid w:val="00D6667B"/>
    <w:rsid w:val="00D71400"/>
    <w:rsid w:val="00D72C23"/>
    <w:rsid w:val="00D75544"/>
    <w:rsid w:val="00D8435D"/>
    <w:rsid w:val="00D87864"/>
    <w:rsid w:val="00D87BDF"/>
    <w:rsid w:val="00D95394"/>
    <w:rsid w:val="00D970E7"/>
    <w:rsid w:val="00D97AAB"/>
    <w:rsid w:val="00DA032B"/>
    <w:rsid w:val="00DA0456"/>
    <w:rsid w:val="00DA5533"/>
    <w:rsid w:val="00DA55BB"/>
    <w:rsid w:val="00DA73EE"/>
    <w:rsid w:val="00DB1FA4"/>
    <w:rsid w:val="00DB6711"/>
    <w:rsid w:val="00DB7F37"/>
    <w:rsid w:val="00DC0318"/>
    <w:rsid w:val="00DC1743"/>
    <w:rsid w:val="00DC1F73"/>
    <w:rsid w:val="00DC34D0"/>
    <w:rsid w:val="00DC4CC9"/>
    <w:rsid w:val="00DC713A"/>
    <w:rsid w:val="00DC7746"/>
    <w:rsid w:val="00DD074E"/>
    <w:rsid w:val="00DD3049"/>
    <w:rsid w:val="00DE30E2"/>
    <w:rsid w:val="00DE3A9A"/>
    <w:rsid w:val="00DE6421"/>
    <w:rsid w:val="00DF16C0"/>
    <w:rsid w:val="00DF21C6"/>
    <w:rsid w:val="00DF548B"/>
    <w:rsid w:val="00E02D8F"/>
    <w:rsid w:val="00E05FA0"/>
    <w:rsid w:val="00E05FBC"/>
    <w:rsid w:val="00E10B7D"/>
    <w:rsid w:val="00E13175"/>
    <w:rsid w:val="00E1355F"/>
    <w:rsid w:val="00E1589E"/>
    <w:rsid w:val="00E227EA"/>
    <w:rsid w:val="00E23660"/>
    <w:rsid w:val="00E269EA"/>
    <w:rsid w:val="00E2761D"/>
    <w:rsid w:val="00E313CD"/>
    <w:rsid w:val="00E31A1E"/>
    <w:rsid w:val="00E34484"/>
    <w:rsid w:val="00E37424"/>
    <w:rsid w:val="00E4002B"/>
    <w:rsid w:val="00E4041E"/>
    <w:rsid w:val="00E41528"/>
    <w:rsid w:val="00E45180"/>
    <w:rsid w:val="00E45305"/>
    <w:rsid w:val="00E45ED0"/>
    <w:rsid w:val="00E4634C"/>
    <w:rsid w:val="00E46AC9"/>
    <w:rsid w:val="00E51BD4"/>
    <w:rsid w:val="00E53DB6"/>
    <w:rsid w:val="00E54FB3"/>
    <w:rsid w:val="00E55904"/>
    <w:rsid w:val="00E55E72"/>
    <w:rsid w:val="00E56C0A"/>
    <w:rsid w:val="00E61A02"/>
    <w:rsid w:val="00E62933"/>
    <w:rsid w:val="00E653F4"/>
    <w:rsid w:val="00E66614"/>
    <w:rsid w:val="00E70BF8"/>
    <w:rsid w:val="00E74FDE"/>
    <w:rsid w:val="00E773DF"/>
    <w:rsid w:val="00E777C5"/>
    <w:rsid w:val="00E8269B"/>
    <w:rsid w:val="00E84174"/>
    <w:rsid w:val="00E873F1"/>
    <w:rsid w:val="00E912BE"/>
    <w:rsid w:val="00E930FA"/>
    <w:rsid w:val="00E93BFC"/>
    <w:rsid w:val="00EA0904"/>
    <w:rsid w:val="00EA1B29"/>
    <w:rsid w:val="00EA66E6"/>
    <w:rsid w:val="00EB3F3E"/>
    <w:rsid w:val="00EB426B"/>
    <w:rsid w:val="00EB4CC6"/>
    <w:rsid w:val="00EB5092"/>
    <w:rsid w:val="00EB5E6D"/>
    <w:rsid w:val="00EC273B"/>
    <w:rsid w:val="00EC2F76"/>
    <w:rsid w:val="00ED0225"/>
    <w:rsid w:val="00ED2E3E"/>
    <w:rsid w:val="00ED369D"/>
    <w:rsid w:val="00ED4D61"/>
    <w:rsid w:val="00EE1BF4"/>
    <w:rsid w:val="00EE2111"/>
    <w:rsid w:val="00EF3278"/>
    <w:rsid w:val="00EF3B64"/>
    <w:rsid w:val="00EF7C46"/>
    <w:rsid w:val="00F049EC"/>
    <w:rsid w:val="00F26B4B"/>
    <w:rsid w:val="00F2706C"/>
    <w:rsid w:val="00F3094A"/>
    <w:rsid w:val="00F314E6"/>
    <w:rsid w:val="00F32C3E"/>
    <w:rsid w:val="00F32D23"/>
    <w:rsid w:val="00F34274"/>
    <w:rsid w:val="00F419C5"/>
    <w:rsid w:val="00F44EFB"/>
    <w:rsid w:val="00F53826"/>
    <w:rsid w:val="00F56314"/>
    <w:rsid w:val="00F633AF"/>
    <w:rsid w:val="00F639DC"/>
    <w:rsid w:val="00F6481D"/>
    <w:rsid w:val="00F664CA"/>
    <w:rsid w:val="00F67DDA"/>
    <w:rsid w:val="00F72B42"/>
    <w:rsid w:val="00F733F3"/>
    <w:rsid w:val="00F73A39"/>
    <w:rsid w:val="00F75D3A"/>
    <w:rsid w:val="00F761AD"/>
    <w:rsid w:val="00F80139"/>
    <w:rsid w:val="00F83304"/>
    <w:rsid w:val="00F83984"/>
    <w:rsid w:val="00F8490E"/>
    <w:rsid w:val="00F85509"/>
    <w:rsid w:val="00F87C31"/>
    <w:rsid w:val="00F9012B"/>
    <w:rsid w:val="00F918E8"/>
    <w:rsid w:val="00F9212E"/>
    <w:rsid w:val="00F9783F"/>
    <w:rsid w:val="00FA0329"/>
    <w:rsid w:val="00FA0392"/>
    <w:rsid w:val="00FB366A"/>
    <w:rsid w:val="00FB5218"/>
    <w:rsid w:val="00FB57DB"/>
    <w:rsid w:val="00FB6238"/>
    <w:rsid w:val="00FB6A0C"/>
    <w:rsid w:val="00FB76F7"/>
    <w:rsid w:val="00FC06E3"/>
    <w:rsid w:val="00FC12E6"/>
    <w:rsid w:val="00FC1B63"/>
    <w:rsid w:val="00FC22AB"/>
    <w:rsid w:val="00FC594B"/>
    <w:rsid w:val="00FC62FF"/>
    <w:rsid w:val="00FC6EC3"/>
    <w:rsid w:val="00FD0DA5"/>
    <w:rsid w:val="00FD7668"/>
    <w:rsid w:val="00FD7841"/>
    <w:rsid w:val="00FE007F"/>
    <w:rsid w:val="00FE07A1"/>
    <w:rsid w:val="00FE2078"/>
    <w:rsid w:val="00FE2431"/>
    <w:rsid w:val="00FE35B1"/>
    <w:rsid w:val="00FE3691"/>
    <w:rsid w:val="00FE4C58"/>
    <w:rsid w:val="00FE4CD4"/>
    <w:rsid w:val="00FE6746"/>
    <w:rsid w:val="00FE7AC8"/>
    <w:rsid w:val="00FF2550"/>
    <w:rsid w:val="00FF32F5"/>
    <w:rsid w:val="00FF5603"/>
    <w:rsid w:val="00FF610D"/>
    <w:rsid w:val="00FF7550"/>
    <w:rsid w:val="00FF765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920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caption" w:uiPriority="35" w:qFormat="1"/>
    <w:lsdException w:name="annotation reference" w:qFormat="1"/>
    <w:lsdException w:name="Title" w:semiHidden="0" w:uiPriority="0" w:unhideWhenUsed="0" w:qFormat="1"/>
    <w:lsdException w:name="Default Paragraph Font" w:uiPriority="1"/>
    <w:lsdException w:name="Body Text" w:uiPriority="0" w:qFormat="1"/>
    <w:lsdException w:name="Body Text Indent" w:uiPriority="9"/>
    <w:lsdException w:name="Subtitle" w:semiHidden="0" w:uiPriority="9"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annotation subject" w:uiPriority="9"/>
    <w:lsdException w:name="Balloon Text" w:uiPriority="9"/>
    <w:lsdException w:name="Table Grid" w:semiHidden="0" w:uiPriority="59" w:unhideWhenUsed="0"/>
    <w:lsdException w:name="Placeholder Text" w:unhideWhenUsed="0"/>
    <w:lsdException w:name="No Spacing" w:semiHidden="0" w:uiPriority="7"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6AF"/>
    <w:pPr>
      <w:spacing w:before="120" w:line="240" w:lineRule="auto"/>
    </w:pPr>
    <w:rPr>
      <w:sz w:val="24"/>
    </w:rPr>
  </w:style>
  <w:style w:type="paragraph" w:styleId="Heading1">
    <w:name w:val="heading 1"/>
    <w:basedOn w:val="Normal"/>
    <w:next w:val="Normal"/>
    <w:link w:val="Heading1Char"/>
    <w:uiPriority w:val="1"/>
    <w:qFormat/>
    <w:rsid w:val="00E4041E"/>
    <w:pPr>
      <w:keepNext/>
      <w:keepLines/>
      <w:numPr>
        <w:numId w:val="2"/>
      </w:numPr>
      <w:spacing w:before="240" w:after="120"/>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041E"/>
    <w:rPr>
      <w:rFonts w:eastAsiaTheme="majorEastAsia" w:cstheme="majorBidi"/>
      <w:b/>
      <w:sz w:val="32"/>
      <w:szCs w:val="28"/>
    </w:rPr>
  </w:style>
  <w:style w:type="character" w:customStyle="1" w:styleId="Heading2Char">
    <w:name w:val="Heading 2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basedOn w:val="DefaultParagraphFont"/>
    <w:link w:val="Heading3"/>
    <w:uiPriority w:val="9"/>
    <w:rsid w:val="00186307"/>
    <w:rPr>
      <w:rFonts w:eastAsiaTheme="majorEastAsia" w:cstheme="majorBidi"/>
      <w:b/>
      <w:sz w:val="28"/>
      <w:szCs w:val="28"/>
    </w:rPr>
  </w:style>
  <w:style w:type="paragraph" w:styleId="ListParagraph">
    <w:name w:val="List Paragraph"/>
    <w:aliases w:val="BulletPoints"/>
    <w:basedOn w:val="Normal"/>
    <w:link w:val="ListParagraphChar"/>
    <w:uiPriority w:val="34"/>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9"/>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
    <w:basedOn w:val="TableNormal"/>
    <w:uiPriority w:val="5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35"/>
    <w:unhideWhenUsed/>
    <w:qFormat/>
    <w:rsid w:val="002B4941"/>
    <w:pPr>
      <w:keepNext/>
      <w:spacing w:after="40"/>
    </w:pPr>
    <w:rPr>
      <w:b/>
      <w:iCs/>
      <w:sz w:val="20"/>
      <w:szCs w:val="18"/>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3"/>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
    <w:name w:val="TableHeading"/>
    <w:basedOn w:val="Caption"/>
    <w:qFormat/>
    <w:rsid w:val="00624315"/>
    <w:pPr>
      <w:ind w:left="709"/>
    </w:pPr>
  </w:style>
  <w:style w:type="paragraph" w:styleId="FootnoteText">
    <w:name w:val="footnote text"/>
    <w:basedOn w:val="Normal"/>
    <w:link w:val="FootnoteTextChar"/>
    <w:uiPriority w:val="99"/>
    <w:unhideWhenUsed/>
    <w:rsid w:val="00BA3306"/>
    <w:pPr>
      <w:spacing w:before="0" w:after="0"/>
    </w:pPr>
    <w:rPr>
      <w:sz w:val="18"/>
      <w:szCs w:val="20"/>
    </w:rPr>
  </w:style>
  <w:style w:type="character" w:customStyle="1" w:styleId="FootnoteTextChar">
    <w:name w:val="Footnote Text Char"/>
    <w:basedOn w:val="DefaultParagraphFont"/>
    <w:link w:val="FootnoteText"/>
    <w:uiPriority w:val="99"/>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
    <w:rsid w:val="004619BB"/>
    <w:rPr>
      <w:rFonts w:ascii="Segoe UI" w:hAnsi="Segoe UI" w:cs="Segoe UI"/>
      <w:sz w:val="18"/>
      <w:szCs w:val="18"/>
    </w:rPr>
  </w:style>
  <w:style w:type="paragraph" w:customStyle="1" w:styleId="TableHeading0">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C317F3"/>
    <w:rPr>
      <w:b/>
      <w:iCs/>
      <w:sz w:val="20"/>
      <w:szCs w:val="18"/>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jc w:val="both"/>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jc w:val="both"/>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before="0" w:after="0"/>
      <w:jc w:val="both"/>
    </w:pPr>
    <w:rPr>
      <w:rFonts w:ascii="Arial Narrow" w:eastAsia="Times New Roman" w:hAnsi="Arial Narrow" w:cs="Arial"/>
      <w:b/>
      <w:snapToGrid w:val="0"/>
      <w:sz w:val="20"/>
      <w:szCs w:val="20"/>
    </w:rPr>
  </w:style>
  <w:style w:type="paragraph" w:styleId="Title">
    <w:name w:val="Title"/>
    <w:basedOn w:val="Normal"/>
    <w:next w:val="Normal"/>
    <w:link w:val="TitleChar"/>
    <w:qFormat/>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7"/>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
    <w:uiPriority w:val="2"/>
    <w:qFormat/>
    <w:rsid w:val="00C317F3"/>
    <w:pPr>
      <w:spacing w:before="0" w:after="0"/>
    </w:pPr>
    <w:rPr>
      <w:rFonts w:ascii="Arial Narrow" w:eastAsia="Times New Roman" w:hAnsi="Arial Narrow" w:cs="Times New Roman"/>
      <w:sz w:val="20"/>
      <w:szCs w:val="20"/>
    </w:rPr>
  </w:style>
  <w:style w:type="character" w:customStyle="1" w:styleId="TabletextChar">
    <w:name w:val="Table text Char"/>
    <w:link w:val="Tabletext0"/>
    <w:uiPriority w:val="2"/>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jc w:val="both"/>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jc w:val="both"/>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jc w:val="both"/>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uiPriority w:val="9"/>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jc w:val="both"/>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rsid w:val="00C317F3"/>
    <w:pPr>
      <w:spacing w:before="0" w:after="0"/>
      <w:jc w:val="both"/>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7"/>
      </w:num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jc w:val="both"/>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
    <w:basedOn w:val="DefaultParagraphFont"/>
    <w:link w:val="ListParagraph"/>
    <w:uiPriority w:val="72"/>
    <w:locked/>
    <w:rsid w:val="0095170D"/>
    <w:rPr>
      <w:sz w:val="24"/>
    </w:rPr>
  </w:style>
  <w:style w:type="numbering" w:customStyle="1" w:styleId="Headings">
    <w:name w:val="Headings"/>
    <w:uiPriority w:val="99"/>
    <w:rsid w:val="00C317F3"/>
    <w:pPr>
      <w:numPr>
        <w:numId w:val="8"/>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13"/>
      </w:numPr>
      <w:spacing w:before="0" w:after="240"/>
      <w:ind w:left="357" w:hanging="357"/>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paragraph" w:customStyle="1" w:styleId="ESnumberedpara">
    <w:name w:val="ES numbered para"/>
    <w:basedOn w:val="Normal"/>
    <w:qFormat/>
    <w:rsid w:val="00C52ACF"/>
    <w:pPr>
      <w:spacing w:before="0" w:after="120"/>
      <w:ind w:left="720" w:hanging="720"/>
      <w:jc w:val="both"/>
    </w:pPr>
    <w:rPr>
      <w:rFonts w:ascii="Calibri" w:hAnsi="Calibri"/>
    </w:rPr>
  </w:style>
  <w:style w:type="paragraph" w:customStyle="1" w:styleId="Default">
    <w:name w:val="Default"/>
    <w:rsid w:val="00F85509"/>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caption" w:uiPriority="35" w:qFormat="1"/>
    <w:lsdException w:name="annotation reference" w:qFormat="1"/>
    <w:lsdException w:name="Title" w:semiHidden="0" w:uiPriority="0" w:unhideWhenUsed="0" w:qFormat="1"/>
    <w:lsdException w:name="Default Paragraph Font" w:uiPriority="1"/>
    <w:lsdException w:name="Body Text" w:uiPriority="0" w:qFormat="1"/>
    <w:lsdException w:name="Body Text Indent" w:uiPriority="9"/>
    <w:lsdException w:name="Subtitle" w:semiHidden="0" w:uiPriority="9"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annotation subject" w:uiPriority="9"/>
    <w:lsdException w:name="Balloon Text" w:uiPriority="9"/>
    <w:lsdException w:name="Table Grid" w:semiHidden="0" w:uiPriority="59" w:unhideWhenUsed="0"/>
    <w:lsdException w:name="Placeholder Text" w:unhideWhenUsed="0"/>
    <w:lsdException w:name="No Spacing" w:semiHidden="0" w:uiPriority="7"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6AF"/>
    <w:pPr>
      <w:spacing w:before="120" w:line="240" w:lineRule="auto"/>
    </w:pPr>
    <w:rPr>
      <w:sz w:val="24"/>
    </w:rPr>
  </w:style>
  <w:style w:type="paragraph" w:styleId="Heading1">
    <w:name w:val="heading 1"/>
    <w:basedOn w:val="Normal"/>
    <w:next w:val="Normal"/>
    <w:link w:val="Heading1Char"/>
    <w:uiPriority w:val="1"/>
    <w:qFormat/>
    <w:rsid w:val="00E4041E"/>
    <w:pPr>
      <w:keepNext/>
      <w:keepLines/>
      <w:numPr>
        <w:numId w:val="2"/>
      </w:numPr>
      <w:spacing w:before="240" w:after="120"/>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041E"/>
    <w:rPr>
      <w:rFonts w:eastAsiaTheme="majorEastAsia" w:cstheme="majorBidi"/>
      <w:b/>
      <w:sz w:val="32"/>
      <w:szCs w:val="28"/>
    </w:rPr>
  </w:style>
  <w:style w:type="character" w:customStyle="1" w:styleId="Heading2Char">
    <w:name w:val="Heading 2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basedOn w:val="DefaultParagraphFont"/>
    <w:link w:val="Heading3"/>
    <w:uiPriority w:val="9"/>
    <w:rsid w:val="00186307"/>
    <w:rPr>
      <w:rFonts w:eastAsiaTheme="majorEastAsia" w:cstheme="majorBidi"/>
      <w:b/>
      <w:sz w:val="28"/>
      <w:szCs w:val="28"/>
    </w:rPr>
  </w:style>
  <w:style w:type="paragraph" w:styleId="ListParagraph">
    <w:name w:val="List Paragraph"/>
    <w:aliases w:val="BulletPoints"/>
    <w:basedOn w:val="Normal"/>
    <w:link w:val="ListParagraphChar"/>
    <w:uiPriority w:val="34"/>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9"/>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
    <w:basedOn w:val="TableNormal"/>
    <w:uiPriority w:val="5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35"/>
    <w:unhideWhenUsed/>
    <w:qFormat/>
    <w:rsid w:val="002B4941"/>
    <w:pPr>
      <w:keepNext/>
      <w:spacing w:after="40"/>
    </w:pPr>
    <w:rPr>
      <w:b/>
      <w:iCs/>
      <w:sz w:val="20"/>
      <w:szCs w:val="18"/>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3"/>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
    <w:name w:val="TableHeading"/>
    <w:basedOn w:val="Caption"/>
    <w:qFormat/>
    <w:rsid w:val="00624315"/>
    <w:pPr>
      <w:ind w:left="709"/>
    </w:pPr>
  </w:style>
  <w:style w:type="paragraph" w:styleId="FootnoteText">
    <w:name w:val="footnote text"/>
    <w:basedOn w:val="Normal"/>
    <w:link w:val="FootnoteTextChar"/>
    <w:uiPriority w:val="99"/>
    <w:unhideWhenUsed/>
    <w:rsid w:val="00BA3306"/>
    <w:pPr>
      <w:spacing w:before="0" w:after="0"/>
    </w:pPr>
    <w:rPr>
      <w:sz w:val="18"/>
      <w:szCs w:val="20"/>
    </w:rPr>
  </w:style>
  <w:style w:type="character" w:customStyle="1" w:styleId="FootnoteTextChar">
    <w:name w:val="Footnote Text Char"/>
    <w:basedOn w:val="DefaultParagraphFont"/>
    <w:link w:val="FootnoteText"/>
    <w:uiPriority w:val="99"/>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
    <w:rsid w:val="004619BB"/>
    <w:rPr>
      <w:rFonts w:ascii="Segoe UI" w:hAnsi="Segoe UI" w:cs="Segoe UI"/>
      <w:sz w:val="18"/>
      <w:szCs w:val="18"/>
    </w:rPr>
  </w:style>
  <w:style w:type="paragraph" w:customStyle="1" w:styleId="TableHeading0">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C317F3"/>
    <w:rPr>
      <w:b/>
      <w:iCs/>
      <w:sz w:val="20"/>
      <w:szCs w:val="18"/>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jc w:val="both"/>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jc w:val="both"/>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before="0" w:after="0"/>
      <w:jc w:val="both"/>
    </w:pPr>
    <w:rPr>
      <w:rFonts w:ascii="Arial Narrow" w:eastAsia="Times New Roman" w:hAnsi="Arial Narrow" w:cs="Arial"/>
      <w:b/>
      <w:snapToGrid w:val="0"/>
      <w:sz w:val="20"/>
      <w:szCs w:val="20"/>
    </w:rPr>
  </w:style>
  <w:style w:type="paragraph" w:styleId="Title">
    <w:name w:val="Title"/>
    <w:basedOn w:val="Normal"/>
    <w:next w:val="Normal"/>
    <w:link w:val="TitleChar"/>
    <w:qFormat/>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7"/>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
    <w:uiPriority w:val="2"/>
    <w:qFormat/>
    <w:rsid w:val="00C317F3"/>
    <w:pPr>
      <w:spacing w:before="0" w:after="0"/>
    </w:pPr>
    <w:rPr>
      <w:rFonts w:ascii="Arial Narrow" w:eastAsia="Times New Roman" w:hAnsi="Arial Narrow" w:cs="Times New Roman"/>
      <w:sz w:val="20"/>
      <w:szCs w:val="20"/>
    </w:rPr>
  </w:style>
  <w:style w:type="character" w:customStyle="1" w:styleId="TabletextChar">
    <w:name w:val="Table text Char"/>
    <w:link w:val="Tabletext0"/>
    <w:uiPriority w:val="2"/>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jc w:val="both"/>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jc w:val="both"/>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jc w:val="both"/>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uiPriority w:val="9"/>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jc w:val="both"/>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rsid w:val="00C317F3"/>
    <w:pPr>
      <w:spacing w:before="0" w:after="0"/>
      <w:jc w:val="both"/>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7"/>
      </w:num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jc w:val="both"/>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
    <w:basedOn w:val="DefaultParagraphFont"/>
    <w:link w:val="ListParagraph"/>
    <w:uiPriority w:val="72"/>
    <w:locked/>
    <w:rsid w:val="0095170D"/>
    <w:rPr>
      <w:sz w:val="24"/>
    </w:rPr>
  </w:style>
  <w:style w:type="numbering" w:customStyle="1" w:styleId="Headings">
    <w:name w:val="Headings"/>
    <w:uiPriority w:val="99"/>
    <w:rsid w:val="00C317F3"/>
    <w:pPr>
      <w:numPr>
        <w:numId w:val="8"/>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13"/>
      </w:numPr>
      <w:spacing w:before="0" w:after="240"/>
      <w:ind w:left="357" w:hanging="357"/>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paragraph" w:customStyle="1" w:styleId="ESnumberedpara">
    <w:name w:val="ES numbered para"/>
    <w:basedOn w:val="Normal"/>
    <w:qFormat/>
    <w:rsid w:val="00C52ACF"/>
    <w:pPr>
      <w:spacing w:before="0" w:after="120"/>
      <w:ind w:left="720" w:hanging="720"/>
      <w:jc w:val="both"/>
    </w:pPr>
    <w:rPr>
      <w:rFonts w:ascii="Calibri" w:hAnsi="Calibri"/>
    </w:rPr>
  </w:style>
  <w:style w:type="paragraph" w:customStyle="1" w:styleId="Default">
    <w:name w:val="Default"/>
    <w:rsid w:val="00F8550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79721">
      <w:bodyDiv w:val="1"/>
      <w:marLeft w:val="0"/>
      <w:marRight w:val="0"/>
      <w:marTop w:val="0"/>
      <w:marBottom w:val="0"/>
      <w:divBdr>
        <w:top w:val="none" w:sz="0" w:space="0" w:color="auto"/>
        <w:left w:val="none" w:sz="0" w:space="0" w:color="auto"/>
        <w:bottom w:val="none" w:sz="0" w:space="0" w:color="auto"/>
        <w:right w:val="none" w:sz="0" w:space="0" w:color="auto"/>
      </w:divBdr>
    </w:div>
    <w:div w:id="103692235">
      <w:bodyDiv w:val="1"/>
      <w:marLeft w:val="0"/>
      <w:marRight w:val="0"/>
      <w:marTop w:val="0"/>
      <w:marBottom w:val="0"/>
      <w:divBdr>
        <w:top w:val="none" w:sz="0" w:space="0" w:color="auto"/>
        <w:left w:val="none" w:sz="0" w:space="0" w:color="auto"/>
        <w:bottom w:val="none" w:sz="0" w:space="0" w:color="auto"/>
        <w:right w:val="none" w:sz="0" w:space="0" w:color="auto"/>
      </w:divBdr>
    </w:div>
    <w:div w:id="276957444">
      <w:bodyDiv w:val="1"/>
      <w:marLeft w:val="0"/>
      <w:marRight w:val="0"/>
      <w:marTop w:val="0"/>
      <w:marBottom w:val="0"/>
      <w:divBdr>
        <w:top w:val="none" w:sz="0" w:space="0" w:color="auto"/>
        <w:left w:val="none" w:sz="0" w:space="0" w:color="auto"/>
        <w:bottom w:val="none" w:sz="0" w:space="0" w:color="auto"/>
        <w:right w:val="none" w:sz="0" w:space="0" w:color="auto"/>
      </w:divBdr>
      <w:divsChild>
        <w:div w:id="1321926850">
          <w:marLeft w:val="547"/>
          <w:marRight w:val="0"/>
          <w:marTop w:val="154"/>
          <w:marBottom w:val="0"/>
          <w:divBdr>
            <w:top w:val="none" w:sz="0" w:space="0" w:color="auto"/>
            <w:left w:val="none" w:sz="0" w:space="0" w:color="auto"/>
            <w:bottom w:val="none" w:sz="0" w:space="0" w:color="auto"/>
            <w:right w:val="none" w:sz="0" w:space="0" w:color="auto"/>
          </w:divBdr>
        </w:div>
      </w:divsChild>
    </w:div>
    <w:div w:id="397214490">
      <w:bodyDiv w:val="1"/>
      <w:marLeft w:val="0"/>
      <w:marRight w:val="0"/>
      <w:marTop w:val="0"/>
      <w:marBottom w:val="0"/>
      <w:divBdr>
        <w:top w:val="none" w:sz="0" w:space="0" w:color="auto"/>
        <w:left w:val="none" w:sz="0" w:space="0" w:color="auto"/>
        <w:bottom w:val="none" w:sz="0" w:space="0" w:color="auto"/>
        <w:right w:val="none" w:sz="0" w:space="0" w:color="auto"/>
      </w:divBdr>
    </w:div>
    <w:div w:id="412091900">
      <w:bodyDiv w:val="1"/>
      <w:marLeft w:val="0"/>
      <w:marRight w:val="0"/>
      <w:marTop w:val="0"/>
      <w:marBottom w:val="0"/>
      <w:divBdr>
        <w:top w:val="none" w:sz="0" w:space="0" w:color="auto"/>
        <w:left w:val="none" w:sz="0" w:space="0" w:color="auto"/>
        <w:bottom w:val="none" w:sz="0" w:space="0" w:color="auto"/>
        <w:right w:val="none" w:sz="0" w:space="0" w:color="auto"/>
      </w:divBdr>
    </w:div>
    <w:div w:id="738669945">
      <w:bodyDiv w:val="1"/>
      <w:marLeft w:val="0"/>
      <w:marRight w:val="0"/>
      <w:marTop w:val="0"/>
      <w:marBottom w:val="0"/>
      <w:divBdr>
        <w:top w:val="none" w:sz="0" w:space="0" w:color="auto"/>
        <w:left w:val="none" w:sz="0" w:space="0" w:color="auto"/>
        <w:bottom w:val="none" w:sz="0" w:space="0" w:color="auto"/>
        <w:right w:val="none" w:sz="0" w:space="0" w:color="auto"/>
      </w:divBdr>
    </w:div>
    <w:div w:id="892813603">
      <w:bodyDiv w:val="1"/>
      <w:marLeft w:val="0"/>
      <w:marRight w:val="0"/>
      <w:marTop w:val="0"/>
      <w:marBottom w:val="0"/>
      <w:divBdr>
        <w:top w:val="none" w:sz="0" w:space="0" w:color="auto"/>
        <w:left w:val="none" w:sz="0" w:space="0" w:color="auto"/>
        <w:bottom w:val="none" w:sz="0" w:space="0" w:color="auto"/>
        <w:right w:val="none" w:sz="0" w:space="0" w:color="auto"/>
      </w:divBdr>
    </w:div>
    <w:div w:id="1094521996">
      <w:bodyDiv w:val="1"/>
      <w:marLeft w:val="0"/>
      <w:marRight w:val="0"/>
      <w:marTop w:val="0"/>
      <w:marBottom w:val="0"/>
      <w:divBdr>
        <w:top w:val="none" w:sz="0" w:space="0" w:color="auto"/>
        <w:left w:val="none" w:sz="0" w:space="0" w:color="auto"/>
        <w:bottom w:val="none" w:sz="0" w:space="0" w:color="auto"/>
        <w:right w:val="none" w:sz="0" w:space="0" w:color="auto"/>
      </w:divBdr>
    </w:div>
    <w:div w:id="1219559539">
      <w:bodyDiv w:val="1"/>
      <w:marLeft w:val="0"/>
      <w:marRight w:val="0"/>
      <w:marTop w:val="0"/>
      <w:marBottom w:val="0"/>
      <w:divBdr>
        <w:top w:val="none" w:sz="0" w:space="0" w:color="auto"/>
        <w:left w:val="none" w:sz="0" w:space="0" w:color="auto"/>
        <w:bottom w:val="none" w:sz="0" w:space="0" w:color="auto"/>
        <w:right w:val="none" w:sz="0" w:space="0" w:color="auto"/>
      </w:divBdr>
    </w:div>
    <w:div w:id="1278025284">
      <w:bodyDiv w:val="1"/>
      <w:marLeft w:val="0"/>
      <w:marRight w:val="0"/>
      <w:marTop w:val="0"/>
      <w:marBottom w:val="0"/>
      <w:divBdr>
        <w:top w:val="none" w:sz="0" w:space="0" w:color="auto"/>
        <w:left w:val="none" w:sz="0" w:space="0" w:color="auto"/>
        <w:bottom w:val="none" w:sz="0" w:space="0" w:color="auto"/>
        <w:right w:val="none" w:sz="0" w:space="0" w:color="auto"/>
      </w:divBdr>
      <w:divsChild>
        <w:div w:id="77097303">
          <w:marLeft w:val="1166"/>
          <w:marRight w:val="0"/>
          <w:marTop w:val="134"/>
          <w:marBottom w:val="0"/>
          <w:divBdr>
            <w:top w:val="none" w:sz="0" w:space="0" w:color="auto"/>
            <w:left w:val="none" w:sz="0" w:space="0" w:color="auto"/>
            <w:bottom w:val="none" w:sz="0" w:space="0" w:color="auto"/>
            <w:right w:val="none" w:sz="0" w:space="0" w:color="auto"/>
          </w:divBdr>
        </w:div>
      </w:divsChild>
    </w:div>
    <w:div w:id="1426421083">
      <w:bodyDiv w:val="1"/>
      <w:marLeft w:val="0"/>
      <w:marRight w:val="0"/>
      <w:marTop w:val="0"/>
      <w:marBottom w:val="0"/>
      <w:divBdr>
        <w:top w:val="none" w:sz="0" w:space="0" w:color="auto"/>
        <w:left w:val="none" w:sz="0" w:space="0" w:color="auto"/>
        <w:bottom w:val="none" w:sz="0" w:space="0" w:color="auto"/>
        <w:right w:val="none" w:sz="0" w:space="0" w:color="auto"/>
      </w:divBdr>
    </w:div>
    <w:div w:id="1952085824">
      <w:bodyDiv w:val="1"/>
      <w:marLeft w:val="0"/>
      <w:marRight w:val="0"/>
      <w:marTop w:val="0"/>
      <w:marBottom w:val="0"/>
      <w:divBdr>
        <w:top w:val="none" w:sz="0" w:space="0" w:color="auto"/>
        <w:left w:val="none" w:sz="0" w:space="0" w:color="auto"/>
        <w:bottom w:val="none" w:sz="0" w:space="0" w:color="auto"/>
        <w:right w:val="none" w:sz="0" w:space="0" w:color="auto"/>
      </w:divBdr>
    </w:div>
    <w:div w:id="2016879448">
      <w:bodyDiv w:val="1"/>
      <w:marLeft w:val="0"/>
      <w:marRight w:val="0"/>
      <w:marTop w:val="0"/>
      <w:marBottom w:val="0"/>
      <w:divBdr>
        <w:top w:val="none" w:sz="0" w:space="0" w:color="auto"/>
        <w:left w:val="none" w:sz="0" w:space="0" w:color="auto"/>
        <w:bottom w:val="none" w:sz="0" w:space="0" w:color="auto"/>
        <w:right w:val="none" w:sz="0" w:space="0" w:color="auto"/>
      </w:divBdr>
    </w:div>
    <w:div w:id="207010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C3399-F95B-4F0A-9170-9D3AF746B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4938</Words>
  <Characters>28148</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2018-02-19T05:24:00Z</dcterms:created>
  <dcterms:modified xsi:type="dcterms:W3CDTF">2018-02-19T05:24:00Z</dcterms:modified>
</cp:coreProperties>
</file>