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743335" w:rsidRDefault="006570E0" w:rsidP="00790432">
      <w:pPr>
        <w:spacing w:before="240"/>
        <w:ind w:left="992" w:hanging="992"/>
        <w:outlineLvl w:val="0"/>
        <w:rPr>
          <w:b/>
          <w:sz w:val="36"/>
          <w:szCs w:val="36"/>
        </w:rPr>
      </w:pPr>
      <w:bookmarkStart w:id="0" w:name="_GoBack"/>
      <w:bookmarkEnd w:id="0"/>
      <w:r w:rsidRPr="00743335">
        <w:rPr>
          <w:b/>
          <w:sz w:val="36"/>
          <w:szCs w:val="36"/>
        </w:rPr>
        <w:t>7.04</w:t>
      </w:r>
      <w:r w:rsidR="003A6D1B" w:rsidRPr="00743335">
        <w:rPr>
          <w:b/>
          <w:sz w:val="36"/>
          <w:szCs w:val="36"/>
        </w:rPr>
        <w:tab/>
        <w:t>EVOLOCUMAB</w:t>
      </w:r>
      <w:r w:rsidR="00C317F3" w:rsidRPr="00743335">
        <w:rPr>
          <w:b/>
          <w:sz w:val="36"/>
          <w:szCs w:val="36"/>
        </w:rPr>
        <w:t>,</w:t>
      </w:r>
      <w:r w:rsidR="009D4C2A" w:rsidRPr="00743335">
        <w:rPr>
          <w:b/>
          <w:sz w:val="36"/>
          <w:szCs w:val="36"/>
        </w:rPr>
        <w:br/>
      </w:r>
      <w:r w:rsidR="00294942" w:rsidRPr="00743335">
        <w:rPr>
          <w:b/>
          <w:sz w:val="36"/>
          <w:szCs w:val="36"/>
        </w:rPr>
        <w:t>Injection 420 mg in 3.5 mL single use pre-filled cartridge</w:t>
      </w:r>
      <w:r w:rsidR="00975844" w:rsidRPr="00743335">
        <w:rPr>
          <w:b/>
          <w:sz w:val="36"/>
          <w:szCs w:val="36"/>
        </w:rPr>
        <w:t xml:space="preserve">, </w:t>
      </w:r>
      <w:r w:rsidR="00975844" w:rsidRPr="00743335">
        <w:rPr>
          <w:b/>
          <w:sz w:val="36"/>
          <w:szCs w:val="36"/>
        </w:rPr>
        <w:br/>
      </w:r>
      <w:r w:rsidR="00294942" w:rsidRPr="00743335">
        <w:rPr>
          <w:b/>
          <w:sz w:val="36"/>
          <w:szCs w:val="36"/>
        </w:rPr>
        <w:t>Injection 140 mg in 1 mL single use pre-filled pen</w:t>
      </w:r>
      <w:r w:rsidR="00C317F3" w:rsidRPr="00743335">
        <w:rPr>
          <w:b/>
          <w:sz w:val="36"/>
          <w:szCs w:val="36"/>
        </w:rPr>
        <w:t xml:space="preserve">, </w:t>
      </w:r>
      <w:r w:rsidR="009D4C2A" w:rsidRPr="00743335">
        <w:rPr>
          <w:b/>
          <w:sz w:val="36"/>
          <w:szCs w:val="36"/>
        </w:rPr>
        <w:br/>
      </w:r>
      <w:r w:rsidR="003A6D1B" w:rsidRPr="00743335">
        <w:rPr>
          <w:b/>
          <w:sz w:val="36"/>
          <w:szCs w:val="36"/>
        </w:rPr>
        <w:t>Repatha®, Amgen</w:t>
      </w:r>
    </w:p>
    <w:p w:rsidR="00C317F3" w:rsidRPr="00743335" w:rsidRDefault="00C317F3" w:rsidP="002001C6">
      <w:pPr>
        <w:pStyle w:val="Heading1"/>
        <w:ind w:left="709" w:hanging="709"/>
      </w:pPr>
      <w:bookmarkStart w:id="1" w:name="_Toc413139271"/>
      <w:bookmarkStart w:id="2" w:name="_Toc492314248"/>
      <w:r w:rsidRPr="00743335">
        <w:t xml:space="preserve">Purpose of </w:t>
      </w:r>
      <w:r w:rsidR="00661286" w:rsidRPr="00743335">
        <w:t>a</w:t>
      </w:r>
      <w:r w:rsidRPr="00743335">
        <w:t>pplication</w:t>
      </w:r>
      <w:bookmarkEnd w:id="1"/>
      <w:bookmarkEnd w:id="2"/>
    </w:p>
    <w:p w:rsidR="00220CC5" w:rsidRPr="00743335" w:rsidRDefault="00220CC5" w:rsidP="00C9669A">
      <w:pPr>
        <w:pStyle w:val="ListParagraph"/>
        <w:numPr>
          <w:ilvl w:val="1"/>
          <w:numId w:val="3"/>
        </w:numPr>
        <w:spacing w:before="0" w:after="120"/>
        <w:jc w:val="both"/>
      </w:pPr>
      <w:r w:rsidRPr="00743335">
        <w:t xml:space="preserve">The resubmission requested an extension of </w:t>
      </w:r>
      <w:r w:rsidR="00E15516" w:rsidRPr="00743335">
        <w:t xml:space="preserve">the </w:t>
      </w:r>
      <w:r w:rsidRPr="00743335">
        <w:t xml:space="preserve">current Section 85 (Authority Required) listing for evolocumab to include the treatment of heterozygous familial hypercholesterolaemia (patients with atherosclerotic disease or very high </w:t>
      </w:r>
      <w:r w:rsidR="00FD3D08" w:rsidRPr="00743335">
        <w:t>LDL-c</w:t>
      </w:r>
      <w:r w:rsidRPr="00743335">
        <w:t xml:space="preserve"> levels)</w:t>
      </w:r>
      <w:r w:rsidR="00E15516" w:rsidRPr="00743335">
        <w:t>.</w:t>
      </w:r>
    </w:p>
    <w:p w:rsidR="00220CC5" w:rsidRPr="00743335" w:rsidRDefault="00220CC5" w:rsidP="00C9669A">
      <w:pPr>
        <w:pStyle w:val="ListParagraph"/>
        <w:numPr>
          <w:ilvl w:val="1"/>
          <w:numId w:val="3"/>
        </w:numPr>
        <w:spacing w:before="0" w:after="120"/>
        <w:jc w:val="both"/>
      </w:pPr>
      <w:r w:rsidRPr="00743335">
        <w:t xml:space="preserve">The resubmission </w:t>
      </w:r>
      <w:r w:rsidR="00FD3D08" w:rsidRPr="00743335">
        <w:t xml:space="preserve">also </w:t>
      </w:r>
      <w:r w:rsidRPr="00743335">
        <w:t xml:space="preserve">requested a new Section 85 (Authority Required) listing for evolocumab for the treatment of non-familial </w:t>
      </w:r>
      <w:r w:rsidR="002641D2" w:rsidRPr="00743335">
        <w:t>hypercholesterolaemia</w:t>
      </w:r>
      <w:r w:rsidRPr="00743335">
        <w:t xml:space="preserve"> patients with </w:t>
      </w:r>
      <w:r w:rsidR="00FD3D08" w:rsidRPr="00743335">
        <w:t xml:space="preserve">established </w:t>
      </w:r>
      <w:r w:rsidRPr="00743335">
        <w:t xml:space="preserve">atherosclerotic disease. </w:t>
      </w:r>
    </w:p>
    <w:p w:rsidR="00E800FE" w:rsidRPr="00743335" w:rsidRDefault="00220CC5" w:rsidP="00C9669A">
      <w:pPr>
        <w:pStyle w:val="ListParagraph"/>
        <w:numPr>
          <w:ilvl w:val="1"/>
          <w:numId w:val="3"/>
        </w:numPr>
        <w:spacing w:before="0" w:after="120"/>
        <w:jc w:val="both"/>
      </w:pPr>
      <w:r w:rsidRPr="00743335">
        <w:t>The PBAC has previously considered three submissions for evolocumab</w:t>
      </w:r>
      <w:r w:rsidR="002765F8" w:rsidRPr="00743335">
        <w:t>,</w:t>
      </w:r>
      <w:r w:rsidRPr="00743335">
        <w:t xml:space="preserve"> at the March 2015</w:t>
      </w:r>
      <w:r w:rsidR="00EC1017" w:rsidRPr="00743335">
        <w:t xml:space="preserve"> (for patients with familial hypercholesterolaemia and high risk non-familial hypercholesterolaemia)</w:t>
      </w:r>
      <w:r w:rsidRPr="00743335">
        <w:t>, March 2016</w:t>
      </w:r>
      <w:r w:rsidR="00EC1017" w:rsidRPr="00743335">
        <w:t xml:space="preserve"> (for patients with familial hypercholesterolaemia)</w:t>
      </w:r>
      <w:r w:rsidRPr="00743335">
        <w:t xml:space="preserve"> and July 2017 </w:t>
      </w:r>
      <w:r w:rsidR="00EC1017" w:rsidRPr="00743335">
        <w:t>(requested listing of a different evolocumab preparation</w:t>
      </w:r>
      <w:r w:rsidRPr="00743335">
        <w:t xml:space="preserve">) meetings. </w:t>
      </w:r>
    </w:p>
    <w:p w:rsidR="00E800FE" w:rsidRPr="00743335" w:rsidRDefault="00E800FE" w:rsidP="00C9669A">
      <w:pPr>
        <w:pStyle w:val="ListParagraph"/>
        <w:numPr>
          <w:ilvl w:val="1"/>
          <w:numId w:val="3"/>
        </w:numPr>
        <w:jc w:val="both"/>
      </w:pPr>
      <w:r w:rsidRPr="00743335">
        <w:t>Listing was requested on a cost-effectiveness basis compared to ezetimibe and placebo.</w:t>
      </w:r>
    </w:p>
    <w:p w:rsidR="00B73A3B" w:rsidRDefault="00B73A3B">
      <w:pPr>
        <w:spacing w:before="0" w:line="259" w:lineRule="auto"/>
        <w:rPr>
          <w:rFonts w:ascii="Arial Narrow" w:hAnsi="Arial Narrow"/>
          <w:b/>
          <w:sz w:val="20"/>
          <w:szCs w:val="20"/>
        </w:rPr>
      </w:pPr>
    </w:p>
    <w:p w:rsidR="00AE513E" w:rsidRPr="00743335" w:rsidRDefault="00AE513E" w:rsidP="00772501">
      <w:pPr>
        <w:spacing w:before="0" w:after="60"/>
        <w:jc w:val="both"/>
        <w:rPr>
          <w:b/>
          <w:color w:val="0070C0"/>
        </w:rPr>
      </w:pPr>
      <w:r w:rsidRPr="00743335">
        <w:rPr>
          <w:rFonts w:ascii="Arial Narrow" w:hAnsi="Arial Narrow"/>
          <w:b/>
          <w:sz w:val="20"/>
          <w:szCs w:val="20"/>
        </w:rPr>
        <w:t>T</w:t>
      </w:r>
      <w:r w:rsidR="00E800FE" w:rsidRPr="00743335">
        <w:rPr>
          <w:rFonts w:ascii="Arial Narrow" w:hAnsi="Arial Narrow"/>
          <w:b/>
          <w:sz w:val="20"/>
          <w:szCs w:val="20"/>
        </w:rPr>
        <w:t>able 1</w:t>
      </w:r>
      <w:r w:rsidRPr="00743335">
        <w:rPr>
          <w:rFonts w:ascii="Arial Narrow" w:hAnsi="Arial Narrow"/>
          <w:b/>
          <w:sz w:val="20"/>
          <w:szCs w:val="20"/>
        </w:rPr>
        <w:t xml:space="preserve">: Key components of the clinical issue addressed by the </w:t>
      </w:r>
      <w:r w:rsidR="00E800FE" w:rsidRPr="00743335">
        <w:rPr>
          <w:rFonts w:ascii="Arial Narrow" w:hAnsi="Arial Narrow"/>
          <w:b/>
          <w:sz w:val="20"/>
          <w:szCs w:val="20"/>
        </w:rPr>
        <w:t>re</w:t>
      </w:r>
      <w:r w:rsidRPr="00743335">
        <w:rPr>
          <w:rFonts w:ascii="Arial Narrow" w:hAnsi="Arial Narrow"/>
          <w:b/>
          <w:sz w:val="20"/>
          <w:szCs w:val="20"/>
        </w:rPr>
        <w:t>submission</w:t>
      </w:r>
      <w:r w:rsidRPr="00743335">
        <w:rPr>
          <w:b/>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
      </w:tblPr>
      <w:tblGrid>
        <w:gridCol w:w="1696"/>
        <w:gridCol w:w="7320"/>
      </w:tblGrid>
      <w:tr w:rsidR="00AE513E" w:rsidRPr="00743335"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743335" w:rsidRDefault="00AE513E" w:rsidP="00772501">
            <w:pPr>
              <w:pStyle w:val="TableText"/>
              <w:rPr>
                <w:szCs w:val="20"/>
                <w:lang w:val="en-AU"/>
              </w:rPr>
            </w:pPr>
            <w:r w:rsidRPr="00743335">
              <w:rPr>
                <w:lang w:val="en-AU"/>
              </w:rPr>
              <w:t>Component</w:t>
            </w:r>
          </w:p>
        </w:tc>
        <w:tc>
          <w:tcPr>
            <w:tcW w:w="7320" w:type="dxa"/>
            <w:shd w:val="clear" w:color="auto" w:fill="auto"/>
          </w:tcPr>
          <w:p w:rsidR="00AE513E" w:rsidRPr="00743335" w:rsidRDefault="00AE513E" w:rsidP="00772501">
            <w:pPr>
              <w:pStyle w:val="TableText"/>
              <w:rPr>
                <w:lang w:val="en-AU"/>
              </w:rPr>
            </w:pPr>
            <w:r w:rsidRPr="00743335">
              <w:rPr>
                <w:lang w:val="en-AU"/>
              </w:rPr>
              <w:t>Description</w:t>
            </w:r>
          </w:p>
        </w:tc>
      </w:tr>
      <w:tr w:rsidR="0017720E" w:rsidRPr="00743335" w:rsidTr="00984441">
        <w:trPr>
          <w:cantSplit/>
        </w:trPr>
        <w:tc>
          <w:tcPr>
            <w:tcW w:w="1696" w:type="dxa"/>
            <w:shd w:val="clear" w:color="auto" w:fill="auto"/>
          </w:tcPr>
          <w:p w:rsidR="0017720E" w:rsidRPr="00743335" w:rsidRDefault="0017720E" w:rsidP="00772501">
            <w:pPr>
              <w:pStyle w:val="TableText"/>
              <w:rPr>
                <w:lang w:val="en-AU"/>
              </w:rPr>
            </w:pPr>
            <w:r w:rsidRPr="00743335">
              <w:rPr>
                <w:lang w:val="en-AU"/>
              </w:rPr>
              <w:t>Population</w:t>
            </w:r>
          </w:p>
        </w:tc>
        <w:tc>
          <w:tcPr>
            <w:tcW w:w="7320" w:type="dxa"/>
            <w:shd w:val="clear" w:color="auto" w:fill="auto"/>
          </w:tcPr>
          <w:p w:rsidR="0017720E" w:rsidRPr="00743335" w:rsidRDefault="00E800FE" w:rsidP="00E15516">
            <w:pPr>
              <w:pStyle w:val="TableText"/>
              <w:rPr>
                <w:lang w:val="en-AU"/>
              </w:rPr>
            </w:pPr>
            <w:r w:rsidRPr="00743335">
              <w:rPr>
                <w:lang w:val="en-AU"/>
              </w:rPr>
              <w:t xml:space="preserve">Patients with heterozygous familial </w:t>
            </w:r>
            <w:r w:rsidR="002641D2" w:rsidRPr="00743335">
              <w:rPr>
                <w:lang w:val="en-AU"/>
              </w:rPr>
              <w:t>hypercholesterolaemia</w:t>
            </w:r>
            <w:r w:rsidR="00E15516" w:rsidRPr="00743335">
              <w:rPr>
                <w:lang w:val="en-AU"/>
              </w:rPr>
              <w:t xml:space="preserve"> (FH)</w:t>
            </w:r>
            <w:r w:rsidRPr="00743335">
              <w:rPr>
                <w:lang w:val="en-AU"/>
              </w:rPr>
              <w:t xml:space="preserve"> with or without atherosclerotic cardiovascular disease</w:t>
            </w:r>
            <w:r w:rsidR="00E15516" w:rsidRPr="00743335">
              <w:rPr>
                <w:lang w:val="en-AU"/>
              </w:rPr>
              <w:t xml:space="preserve"> (ASCVD)</w:t>
            </w:r>
            <w:r w:rsidRPr="00743335">
              <w:rPr>
                <w:lang w:val="en-AU"/>
              </w:rPr>
              <w:t xml:space="preserve"> or non-</w:t>
            </w:r>
            <w:r w:rsidR="00E15516" w:rsidRPr="00743335">
              <w:rPr>
                <w:lang w:val="en-AU"/>
              </w:rPr>
              <w:t>FH</w:t>
            </w:r>
            <w:r w:rsidRPr="00743335">
              <w:rPr>
                <w:lang w:val="en-AU"/>
              </w:rPr>
              <w:t xml:space="preserve"> with </w:t>
            </w:r>
            <w:r w:rsidR="004B11F5" w:rsidRPr="00743335">
              <w:rPr>
                <w:lang w:val="en-AU"/>
              </w:rPr>
              <w:t xml:space="preserve">established </w:t>
            </w:r>
            <w:r w:rsidR="00E15516" w:rsidRPr="00743335">
              <w:rPr>
                <w:lang w:val="en-AU"/>
              </w:rPr>
              <w:t>ASCVD</w:t>
            </w:r>
            <w:r w:rsidRPr="00743335">
              <w:rPr>
                <w:lang w:val="en-AU"/>
              </w:rPr>
              <w:t xml:space="preserve"> who have not achieved target </w:t>
            </w:r>
            <w:r w:rsidR="00FD3D08" w:rsidRPr="00743335">
              <w:rPr>
                <w:lang w:val="en-AU"/>
              </w:rPr>
              <w:t>LDL-c</w:t>
            </w:r>
            <w:r w:rsidRPr="00743335">
              <w:rPr>
                <w:lang w:val="en-AU"/>
              </w:rPr>
              <w:t xml:space="preserve"> levels despite treatment with maximal tolerated dose of a statin or who are statin-intolerant</w:t>
            </w:r>
          </w:p>
        </w:tc>
      </w:tr>
      <w:tr w:rsidR="0017720E" w:rsidRPr="00743335" w:rsidTr="00984441">
        <w:trPr>
          <w:cantSplit/>
        </w:trPr>
        <w:tc>
          <w:tcPr>
            <w:tcW w:w="1696" w:type="dxa"/>
            <w:shd w:val="clear" w:color="auto" w:fill="auto"/>
          </w:tcPr>
          <w:p w:rsidR="0017720E" w:rsidRPr="00743335" w:rsidRDefault="0017720E" w:rsidP="00772501">
            <w:pPr>
              <w:pStyle w:val="TableText"/>
              <w:rPr>
                <w:lang w:val="en-AU"/>
              </w:rPr>
            </w:pPr>
            <w:r w:rsidRPr="00743335">
              <w:rPr>
                <w:lang w:val="en-AU"/>
              </w:rPr>
              <w:t>Intervention</w:t>
            </w:r>
          </w:p>
        </w:tc>
        <w:tc>
          <w:tcPr>
            <w:tcW w:w="7320" w:type="dxa"/>
            <w:shd w:val="clear" w:color="auto" w:fill="auto"/>
          </w:tcPr>
          <w:p w:rsidR="0017720E" w:rsidRPr="00743335" w:rsidRDefault="00E800FE" w:rsidP="00772501">
            <w:pPr>
              <w:pStyle w:val="TableText"/>
              <w:rPr>
                <w:lang w:val="en-AU"/>
              </w:rPr>
            </w:pPr>
            <w:r w:rsidRPr="00743335">
              <w:rPr>
                <w:lang w:val="en-AU"/>
              </w:rPr>
              <w:t>Evolocumab 140 mg subcutaneous injection every fortnight or evolocumab 420 mg subcutaneous injection every month</w:t>
            </w:r>
          </w:p>
        </w:tc>
      </w:tr>
      <w:tr w:rsidR="0017720E" w:rsidRPr="00743335" w:rsidTr="00984441">
        <w:trPr>
          <w:cantSplit/>
        </w:trPr>
        <w:tc>
          <w:tcPr>
            <w:tcW w:w="1696" w:type="dxa"/>
            <w:shd w:val="clear" w:color="auto" w:fill="auto"/>
          </w:tcPr>
          <w:p w:rsidR="0017720E" w:rsidRPr="00743335" w:rsidRDefault="0017720E" w:rsidP="00772501">
            <w:pPr>
              <w:pStyle w:val="TableText"/>
              <w:rPr>
                <w:lang w:val="en-AU"/>
              </w:rPr>
            </w:pPr>
            <w:r w:rsidRPr="00743335">
              <w:rPr>
                <w:lang w:val="en-AU"/>
              </w:rPr>
              <w:t>Comparator</w:t>
            </w:r>
          </w:p>
        </w:tc>
        <w:tc>
          <w:tcPr>
            <w:tcW w:w="7320" w:type="dxa"/>
            <w:shd w:val="clear" w:color="auto" w:fill="auto"/>
          </w:tcPr>
          <w:p w:rsidR="0017720E" w:rsidRPr="00743335" w:rsidRDefault="00E800FE" w:rsidP="00772501">
            <w:pPr>
              <w:pStyle w:val="TableText"/>
              <w:rPr>
                <w:lang w:val="en-AU"/>
              </w:rPr>
            </w:pPr>
            <w:r w:rsidRPr="00743335">
              <w:rPr>
                <w:rFonts w:eastAsia="Times New Roman" w:cs="Arial"/>
                <w:lang w:val="en-AU"/>
              </w:rPr>
              <w:t>Ezetimibe 10 mg oral tablet once daily, placebo, alirocumab 75 to 150 mg subcutaneous injection every fortnight or alirocumab 300 mg subcutaneous injection every month</w:t>
            </w:r>
          </w:p>
        </w:tc>
      </w:tr>
      <w:tr w:rsidR="0017720E" w:rsidRPr="00743335" w:rsidTr="00984441">
        <w:trPr>
          <w:cantSplit/>
        </w:trPr>
        <w:tc>
          <w:tcPr>
            <w:tcW w:w="1696" w:type="dxa"/>
            <w:shd w:val="clear" w:color="auto" w:fill="auto"/>
          </w:tcPr>
          <w:p w:rsidR="0017720E" w:rsidRPr="00743335" w:rsidRDefault="0017720E" w:rsidP="00772501">
            <w:pPr>
              <w:pStyle w:val="TableText"/>
              <w:rPr>
                <w:lang w:val="en-AU"/>
              </w:rPr>
            </w:pPr>
            <w:r w:rsidRPr="00743335">
              <w:rPr>
                <w:lang w:val="en-AU"/>
              </w:rPr>
              <w:t>Outcomes</w:t>
            </w:r>
          </w:p>
        </w:tc>
        <w:tc>
          <w:tcPr>
            <w:tcW w:w="7320" w:type="dxa"/>
            <w:shd w:val="clear" w:color="auto" w:fill="auto"/>
          </w:tcPr>
          <w:p w:rsidR="0017720E" w:rsidRPr="00743335" w:rsidRDefault="00E800FE" w:rsidP="00772501">
            <w:pPr>
              <w:pStyle w:val="TableText"/>
              <w:rPr>
                <w:lang w:val="en-AU"/>
              </w:rPr>
            </w:pPr>
            <w:r w:rsidRPr="00743335">
              <w:rPr>
                <w:rFonts w:eastAsia="Times New Roman" w:cs="Times New Roman"/>
                <w:lang w:val="en-AU"/>
              </w:rPr>
              <w:t xml:space="preserve">Reduction in </w:t>
            </w:r>
            <w:r w:rsidR="00FD3D08" w:rsidRPr="00743335">
              <w:rPr>
                <w:rFonts w:eastAsia="Times New Roman" w:cs="Times New Roman"/>
                <w:lang w:val="en-AU"/>
              </w:rPr>
              <w:t>LDL-c</w:t>
            </w:r>
            <w:r w:rsidRPr="00743335">
              <w:rPr>
                <w:rFonts w:eastAsia="Times New Roman" w:cs="Times New Roman"/>
                <w:lang w:val="en-AU"/>
              </w:rPr>
              <w:t xml:space="preserve"> leading to a reduction in major cardiovascular events (e.g. cardiovascular death, myocardial infarction, stroke)</w:t>
            </w:r>
          </w:p>
        </w:tc>
      </w:tr>
      <w:tr w:rsidR="00E800FE" w:rsidRPr="00743335" w:rsidTr="00984441">
        <w:trPr>
          <w:cantSplit/>
        </w:trPr>
        <w:tc>
          <w:tcPr>
            <w:tcW w:w="1696" w:type="dxa"/>
            <w:shd w:val="clear" w:color="auto" w:fill="auto"/>
          </w:tcPr>
          <w:p w:rsidR="00E800FE" w:rsidRPr="00743335" w:rsidRDefault="00E800FE" w:rsidP="00E800FE">
            <w:pPr>
              <w:pStyle w:val="TableText"/>
              <w:rPr>
                <w:lang w:val="en-AU"/>
              </w:rPr>
            </w:pPr>
            <w:r w:rsidRPr="00743335">
              <w:rPr>
                <w:lang w:val="en-AU"/>
              </w:rPr>
              <w:t>Clinical claim</w:t>
            </w:r>
          </w:p>
        </w:tc>
        <w:tc>
          <w:tcPr>
            <w:tcW w:w="7320" w:type="dxa"/>
            <w:shd w:val="clear" w:color="auto" w:fill="auto"/>
          </w:tcPr>
          <w:p w:rsidR="00E800FE" w:rsidRPr="00743335" w:rsidRDefault="00E800FE" w:rsidP="00CD1E0E">
            <w:pPr>
              <w:pStyle w:val="TableText"/>
              <w:rPr>
                <w:i/>
                <w:lang w:val="en-AU"/>
              </w:rPr>
            </w:pPr>
            <w:r w:rsidRPr="00743335">
              <w:rPr>
                <w:lang w:val="en-AU"/>
              </w:rPr>
              <w:t xml:space="preserve">Evolocumab is superior in terms of efficacy and similar in terms of safety compared to ezetimibe, placebo and </w:t>
            </w:r>
            <w:r w:rsidR="004B11F5" w:rsidRPr="00743335">
              <w:rPr>
                <w:lang w:val="en-AU"/>
              </w:rPr>
              <w:t xml:space="preserve">75 mg </w:t>
            </w:r>
            <w:r w:rsidRPr="00743335">
              <w:rPr>
                <w:lang w:val="en-AU"/>
              </w:rPr>
              <w:t>alirocumab.</w:t>
            </w:r>
            <w:r w:rsidR="004B11F5" w:rsidRPr="00743335">
              <w:rPr>
                <w:lang w:val="en-AU"/>
              </w:rPr>
              <w:t xml:space="preserve"> The </w:t>
            </w:r>
            <w:r w:rsidR="00CD1E0E">
              <w:rPr>
                <w:lang w:val="en-AU"/>
              </w:rPr>
              <w:t>P</w:t>
            </w:r>
            <w:r w:rsidR="004B11F5" w:rsidRPr="00743335">
              <w:rPr>
                <w:lang w:val="en-AU"/>
              </w:rPr>
              <w:t>re-</w:t>
            </w:r>
            <w:r w:rsidR="00CD1E0E">
              <w:rPr>
                <w:lang w:val="en-AU"/>
              </w:rPr>
              <w:t>S</w:t>
            </w:r>
            <w:r w:rsidR="004B11F5" w:rsidRPr="00743335">
              <w:rPr>
                <w:lang w:val="en-AU"/>
              </w:rPr>
              <w:t>ub-</w:t>
            </w:r>
            <w:r w:rsidR="00CD1E0E">
              <w:rPr>
                <w:lang w:val="en-AU"/>
              </w:rPr>
              <w:t>C</w:t>
            </w:r>
            <w:r w:rsidR="004B11F5" w:rsidRPr="00743335">
              <w:rPr>
                <w:lang w:val="en-AU"/>
              </w:rPr>
              <w:t xml:space="preserve">ommittee </w:t>
            </w:r>
            <w:r w:rsidR="00CD1E0E">
              <w:rPr>
                <w:lang w:val="en-AU"/>
              </w:rPr>
              <w:t>R</w:t>
            </w:r>
            <w:r w:rsidR="004B11F5" w:rsidRPr="00743335">
              <w:rPr>
                <w:lang w:val="en-AU"/>
              </w:rPr>
              <w:t>esponse (PSCR) (p3) claim</w:t>
            </w:r>
            <w:r w:rsidR="00AF626E" w:rsidRPr="00743335">
              <w:rPr>
                <w:lang w:val="en-AU"/>
              </w:rPr>
              <w:t>ed</w:t>
            </w:r>
            <w:r w:rsidR="004B11F5" w:rsidRPr="00743335">
              <w:rPr>
                <w:lang w:val="en-AU"/>
              </w:rPr>
              <w:t xml:space="preserve"> evolocumab is at least as effective as the alirocumab higher dose regimen (titration 75-150 mg fortnightly, 150 mg fortnightly).</w:t>
            </w:r>
          </w:p>
        </w:tc>
      </w:tr>
    </w:tbl>
    <w:p w:rsidR="0017720E" w:rsidRPr="00743335" w:rsidRDefault="00E800FE" w:rsidP="00772501">
      <w:pPr>
        <w:pStyle w:val="TableFooter"/>
      </w:pPr>
      <w:r w:rsidRPr="00743335">
        <w:t>Source: Table 1.1.1 (p 13-14) of the resubmission</w:t>
      </w:r>
    </w:p>
    <w:p w:rsidR="00C317F3" w:rsidRPr="00743335" w:rsidRDefault="00C317F3" w:rsidP="00902081">
      <w:pPr>
        <w:pStyle w:val="Heading1"/>
        <w:ind w:left="709" w:hanging="709"/>
      </w:pPr>
      <w:bookmarkStart w:id="3" w:name="_Toc413139272"/>
      <w:bookmarkStart w:id="4" w:name="_Toc492314249"/>
      <w:r w:rsidRPr="00743335">
        <w:lastRenderedPageBreak/>
        <w:t>Requested listing</w:t>
      </w:r>
      <w:bookmarkEnd w:id="3"/>
      <w:bookmarkEnd w:id="4"/>
    </w:p>
    <w:p w:rsidR="003C04D4" w:rsidRPr="00743335" w:rsidRDefault="003C04D4" w:rsidP="007D1A8C">
      <w:pPr>
        <w:pStyle w:val="ListParagraph"/>
        <w:numPr>
          <w:ilvl w:val="1"/>
          <w:numId w:val="1"/>
        </w:numPr>
        <w:ind w:left="709" w:hanging="709"/>
        <w:jc w:val="both"/>
      </w:pPr>
      <w:r w:rsidRPr="00743335">
        <w:t xml:space="preserve">The resubmission requested an extension of listing to broaden the existing listing for homozygous </w:t>
      </w:r>
      <w:r w:rsidR="00E15516" w:rsidRPr="00743335">
        <w:t>FH</w:t>
      </w:r>
      <w:r w:rsidRPr="00743335">
        <w:t xml:space="preserve"> to also include heterozygous </w:t>
      </w:r>
      <w:r w:rsidR="00E15516" w:rsidRPr="00743335">
        <w:t>FH</w:t>
      </w:r>
      <w:r w:rsidRPr="00743335">
        <w:t xml:space="preserve"> patients with high cardiovascular risk (patients with </w:t>
      </w:r>
      <w:r w:rsidR="00E15516" w:rsidRPr="00743335">
        <w:t>ASCVD</w:t>
      </w:r>
      <w:r w:rsidRPr="00743335">
        <w:t xml:space="preserve"> and/or very high </w:t>
      </w:r>
      <w:r w:rsidR="00FD3D08" w:rsidRPr="00743335">
        <w:t>LDL-c</w:t>
      </w:r>
      <w:r w:rsidRPr="00743335">
        <w:t xml:space="preserve"> levels). Amendments to the current restriction are </w:t>
      </w:r>
      <w:r w:rsidR="009A7B00">
        <w:t>in bold</w:t>
      </w:r>
      <w:r w:rsidR="009A7B00" w:rsidRPr="00743335">
        <w:t xml:space="preserve"> </w:t>
      </w:r>
      <w:r w:rsidRPr="00743335">
        <w:t>and deletions are in strikethrough.</w:t>
      </w:r>
    </w:p>
    <w:p w:rsidR="003C04D4" w:rsidRPr="00743335" w:rsidRDefault="003C04D4" w:rsidP="007D1A8C">
      <w:pPr>
        <w:pStyle w:val="ListParagraph"/>
        <w:numPr>
          <w:ilvl w:val="1"/>
          <w:numId w:val="1"/>
        </w:numPr>
        <w:ind w:left="709" w:hanging="709"/>
        <w:jc w:val="both"/>
      </w:pPr>
      <w:r w:rsidRPr="00743335">
        <w:t>The resubmission also requested a new listing for the treatment of non-</w:t>
      </w:r>
      <w:r w:rsidR="00E15516" w:rsidRPr="00743335">
        <w:t>FH</w:t>
      </w:r>
      <w:r w:rsidRPr="00743335">
        <w:t xml:space="preserve"> patients with </w:t>
      </w:r>
      <w:r w:rsidR="004B11F5" w:rsidRPr="00743335">
        <w:t xml:space="preserve">established </w:t>
      </w:r>
      <w:r w:rsidR="00E15516" w:rsidRPr="00743335">
        <w:t>ASCVD</w:t>
      </w:r>
      <w:r w:rsidRPr="00743335">
        <w:t>.</w:t>
      </w:r>
    </w:p>
    <w:tbl>
      <w:tblPr>
        <w:tblW w:w="5010" w:type="pct"/>
        <w:tblCellMar>
          <w:left w:w="28" w:type="dxa"/>
          <w:right w:w="28" w:type="dxa"/>
        </w:tblCellMar>
        <w:tblLook w:val="0000" w:firstRow="0" w:lastRow="0" w:firstColumn="0" w:lastColumn="0" w:noHBand="0" w:noVBand="0"/>
      </w:tblPr>
      <w:tblGrid>
        <w:gridCol w:w="26"/>
        <w:gridCol w:w="1990"/>
        <w:gridCol w:w="1361"/>
        <w:gridCol w:w="764"/>
        <w:gridCol w:w="923"/>
        <w:gridCol w:w="1656"/>
        <w:gridCol w:w="1787"/>
        <w:gridCol w:w="577"/>
        <w:gridCol w:w="16"/>
      </w:tblGrid>
      <w:tr w:rsidR="00C317F3" w:rsidRPr="00743335" w:rsidTr="00C32F5D">
        <w:trPr>
          <w:gridAfter w:val="1"/>
          <w:wAfter w:w="9" w:type="pct"/>
          <w:cantSplit/>
          <w:trHeight w:val="463"/>
        </w:trPr>
        <w:tc>
          <w:tcPr>
            <w:tcW w:w="1855" w:type="pct"/>
            <w:gridSpan w:val="3"/>
            <w:tcBorders>
              <w:bottom w:val="single" w:sz="4" w:space="0" w:color="auto"/>
            </w:tcBorders>
            <w:vAlign w:val="center"/>
          </w:tcPr>
          <w:p w:rsidR="00C317F3" w:rsidRPr="00743335" w:rsidRDefault="00C317F3" w:rsidP="00772501">
            <w:pPr>
              <w:pStyle w:val="TableText"/>
              <w:rPr>
                <w:b/>
              </w:rPr>
            </w:pPr>
            <w:r w:rsidRPr="00743335">
              <w:rPr>
                <w:b/>
              </w:rPr>
              <w:t>Name, Restriction,</w:t>
            </w:r>
          </w:p>
          <w:p w:rsidR="00C317F3" w:rsidRPr="00743335" w:rsidRDefault="00C317F3" w:rsidP="00772501">
            <w:pPr>
              <w:pStyle w:val="TableText"/>
              <w:rPr>
                <w:b/>
              </w:rPr>
            </w:pPr>
            <w:r w:rsidRPr="00743335">
              <w:rPr>
                <w:b/>
              </w:rPr>
              <w:t>Manner of administration and form</w:t>
            </w:r>
          </w:p>
        </w:tc>
        <w:tc>
          <w:tcPr>
            <w:tcW w:w="420" w:type="pct"/>
            <w:tcBorders>
              <w:bottom w:val="single" w:sz="4" w:space="0" w:color="auto"/>
            </w:tcBorders>
            <w:vAlign w:val="center"/>
          </w:tcPr>
          <w:p w:rsidR="00C317F3" w:rsidRPr="00743335" w:rsidRDefault="00C317F3" w:rsidP="00A14647">
            <w:pPr>
              <w:pStyle w:val="TableText"/>
              <w:jc w:val="center"/>
              <w:rPr>
                <w:b/>
              </w:rPr>
            </w:pPr>
            <w:r w:rsidRPr="00743335">
              <w:rPr>
                <w:b/>
              </w:rPr>
              <w:t>Max.</w:t>
            </w:r>
          </w:p>
          <w:p w:rsidR="00C317F3" w:rsidRPr="00743335" w:rsidRDefault="00C317F3" w:rsidP="00A14647">
            <w:pPr>
              <w:pStyle w:val="TableText"/>
              <w:jc w:val="center"/>
              <w:rPr>
                <w:b/>
              </w:rPr>
            </w:pPr>
            <w:r w:rsidRPr="00743335">
              <w:rPr>
                <w:b/>
              </w:rPr>
              <w:t>Qty</w:t>
            </w:r>
          </w:p>
        </w:tc>
        <w:tc>
          <w:tcPr>
            <w:tcW w:w="507" w:type="pct"/>
            <w:tcBorders>
              <w:bottom w:val="single" w:sz="4" w:space="0" w:color="auto"/>
            </w:tcBorders>
            <w:vAlign w:val="center"/>
          </w:tcPr>
          <w:p w:rsidR="00C317F3" w:rsidRPr="00743335" w:rsidRDefault="00C317F3" w:rsidP="00A14647">
            <w:pPr>
              <w:pStyle w:val="TableText"/>
              <w:jc w:val="center"/>
              <w:rPr>
                <w:b/>
              </w:rPr>
            </w:pPr>
            <w:r w:rsidRPr="00743335">
              <w:rPr>
                <w:b/>
              </w:rPr>
              <w:t>№.of</w:t>
            </w:r>
          </w:p>
          <w:p w:rsidR="00C317F3" w:rsidRPr="00743335" w:rsidRDefault="00C317F3" w:rsidP="00A14647">
            <w:pPr>
              <w:pStyle w:val="TableText"/>
              <w:jc w:val="center"/>
              <w:rPr>
                <w:b/>
              </w:rPr>
            </w:pPr>
            <w:r w:rsidRPr="00743335">
              <w:rPr>
                <w:b/>
              </w:rPr>
              <w:t>Rpts</w:t>
            </w:r>
          </w:p>
        </w:tc>
        <w:tc>
          <w:tcPr>
            <w:tcW w:w="910" w:type="pct"/>
            <w:tcBorders>
              <w:bottom w:val="single" w:sz="4" w:space="0" w:color="auto"/>
            </w:tcBorders>
            <w:vAlign w:val="center"/>
          </w:tcPr>
          <w:p w:rsidR="00C317F3" w:rsidRPr="00743335" w:rsidRDefault="00B5056A" w:rsidP="00B5056A">
            <w:pPr>
              <w:pStyle w:val="TableText"/>
              <w:jc w:val="center"/>
              <w:rPr>
                <w:b/>
              </w:rPr>
            </w:pPr>
            <w:r w:rsidRPr="00743335">
              <w:rPr>
                <w:b/>
              </w:rPr>
              <w:t>Published (Effective) Dispensed price for maximum quantity</w:t>
            </w:r>
          </w:p>
        </w:tc>
        <w:tc>
          <w:tcPr>
            <w:tcW w:w="1299" w:type="pct"/>
            <w:gridSpan w:val="2"/>
            <w:tcBorders>
              <w:bottom w:val="single" w:sz="4" w:space="0" w:color="auto"/>
            </w:tcBorders>
            <w:vAlign w:val="center"/>
          </w:tcPr>
          <w:p w:rsidR="00C317F3" w:rsidRPr="00743335" w:rsidRDefault="00C317F3" w:rsidP="00B5056A">
            <w:pPr>
              <w:pStyle w:val="TableText"/>
              <w:jc w:val="center"/>
              <w:rPr>
                <w:b/>
              </w:rPr>
            </w:pPr>
            <w:r w:rsidRPr="00743335">
              <w:rPr>
                <w:b/>
              </w:rPr>
              <w:t>Proprietary Name and Manufacturer</w:t>
            </w:r>
          </w:p>
        </w:tc>
      </w:tr>
      <w:tr w:rsidR="00C32F5D" w:rsidRPr="00743335" w:rsidTr="003A0047">
        <w:trPr>
          <w:gridAfter w:val="1"/>
          <w:wAfter w:w="9" w:type="pct"/>
          <w:cantSplit/>
          <w:trHeight w:val="567"/>
        </w:trPr>
        <w:tc>
          <w:tcPr>
            <w:tcW w:w="1855" w:type="pct"/>
            <w:gridSpan w:val="3"/>
            <w:vAlign w:val="center"/>
          </w:tcPr>
          <w:p w:rsidR="00C32F5D" w:rsidRPr="00743335" w:rsidRDefault="00C32F5D" w:rsidP="00772501">
            <w:pPr>
              <w:pStyle w:val="TableText"/>
            </w:pPr>
            <w:r w:rsidRPr="00743335">
              <w:rPr>
                <w:smallCaps/>
              </w:rPr>
              <w:t>Evolocumab</w:t>
            </w:r>
          </w:p>
          <w:p w:rsidR="00C32F5D" w:rsidRPr="00743335" w:rsidRDefault="00C32F5D" w:rsidP="00772501">
            <w:pPr>
              <w:pStyle w:val="TableText"/>
            </w:pPr>
            <w:r w:rsidRPr="00743335">
              <w:t>140 mg/mL injection, 1 mL injection device</w:t>
            </w:r>
          </w:p>
        </w:tc>
        <w:tc>
          <w:tcPr>
            <w:tcW w:w="420" w:type="pct"/>
            <w:vAlign w:val="center"/>
          </w:tcPr>
          <w:p w:rsidR="00C32F5D" w:rsidRPr="00743335" w:rsidRDefault="00C32F5D" w:rsidP="00A14647">
            <w:pPr>
              <w:pStyle w:val="TableText"/>
              <w:jc w:val="center"/>
            </w:pPr>
          </w:p>
          <w:p w:rsidR="00C32F5D" w:rsidRPr="00743335" w:rsidRDefault="00C32F5D" w:rsidP="00A14647">
            <w:pPr>
              <w:pStyle w:val="TableText"/>
              <w:jc w:val="center"/>
            </w:pPr>
            <w:r w:rsidRPr="00743335">
              <w:t>2</w:t>
            </w:r>
          </w:p>
        </w:tc>
        <w:tc>
          <w:tcPr>
            <w:tcW w:w="507" w:type="pct"/>
            <w:vAlign w:val="center"/>
          </w:tcPr>
          <w:p w:rsidR="00C32F5D" w:rsidRPr="00743335" w:rsidRDefault="00C32F5D" w:rsidP="00A14647">
            <w:pPr>
              <w:pStyle w:val="TableText"/>
              <w:jc w:val="center"/>
            </w:pPr>
          </w:p>
          <w:p w:rsidR="00C32F5D" w:rsidRPr="00743335" w:rsidRDefault="00C32F5D" w:rsidP="00A14647">
            <w:pPr>
              <w:pStyle w:val="TableText"/>
              <w:jc w:val="center"/>
            </w:pPr>
            <w:r w:rsidRPr="00743335">
              <w:t>5</w:t>
            </w:r>
          </w:p>
        </w:tc>
        <w:tc>
          <w:tcPr>
            <w:tcW w:w="910" w:type="pct"/>
            <w:vAlign w:val="center"/>
          </w:tcPr>
          <w:p w:rsidR="00C32F5D" w:rsidRPr="00743335" w:rsidRDefault="00C32F5D" w:rsidP="00B5056A">
            <w:pPr>
              <w:pStyle w:val="TableText"/>
              <w:jc w:val="center"/>
            </w:pPr>
          </w:p>
          <w:p w:rsidR="00C32F5D" w:rsidRPr="00743335" w:rsidRDefault="00C32F5D" w:rsidP="00A14647">
            <w:pPr>
              <w:pStyle w:val="TableText"/>
              <w:jc w:val="center"/>
            </w:pPr>
            <w:r w:rsidRPr="00743335">
              <w:t>$629.84 ($</w:t>
            </w:r>
            <w:r w:rsidR="007F7043">
              <w:rPr>
                <w:noProof/>
                <w:color w:val="000000"/>
                <w:highlight w:val="black"/>
              </w:rPr>
              <w:t>''''''''''''''''</w:t>
            </w:r>
            <w:r w:rsidRPr="00743335">
              <w:t>)</w:t>
            </w:r>
          </w:p>
        </w:tc>
        <w:tc>
          <w:tcPr>
            <w:tcW w:w="982" w:type="pct"/>
            <w:vAlign w:val="center"/>
          </w:tcPr>
          <w:p w:rsidR="00C32F5D" w:rsidRPr="00743335" w:rsidRDefault="00C32F5D" w:rsidP="00772501">
            <w:pPr>
              <w:pStyle w:val="TableText"/>
            </w:pPr>
          </w:p>
          <w:p w:rsidR="00C32F5D" w:rsidRPr="00743335" w:rsidRDefault="00C32F5D" w:rsidP="00772501">
            <w:pPr>
              <w:pStyle w:val="TableText"/>
            </w:pPr>
            <w:r w:rsidRPr="00743335">
              <w:t>Repatha Sureclick</w:t>
            </w:r>
            <w:r w:rsidRPr="00743335">
              <w:rPr>
                <w:vertAlign w:val="superscript"/>
              </w:rPr>
              <w:t>®</w:t>
            </w:r>
          </w:p>
        </w:tc>
        <w:tc>
          <w:tcPr>
            <w:tcW w:w="317" w:type="pct"/>
            <w:vMerge w:val="restart"/>
            <w:vAlign w:val="center"/>
          </w:tcPr>
          <w:p w:rsidR="00C32F5D" w:rsidRPr="00743335" w:rsidRDefault="00C32F5D" w:rsidP="00772501">
            <w:pPr>
              <w:pStyle w:val="TableText"/>
            </w:pPr>
          </w:p>
          <w:p w:rsidR="00C32F5D" w:rsidRPr="00743335" w:rsidRDefault="00C32F5D" w:rsidP="00772501">
            <w:pPr>
              <w:pStyle w:val="TableText"/>
            </w:pPr>
            <w:r w:rsidRPr="00743335">
              <w:t>Amgen</w:t>
            </w:r>
          </w:p>
        </w:tc>
      </w:tr>
      <w:tr w:rsidR="00C32F5D" w:rsidRPr="00743335" w:rsidTr="003A0047">
        <w:trPr>
          <w:gridAfter w:val="1"/>
          <w:wAfter w:w="9" w:type="pct"/>
          <w:cantSplit/>
          <w:trHeight w:val="567"/>
        </w:trPr>
        <w:tc>
          <w:tcPr>
            <w:tcW w:w="1855" w:type="pct"/>
            <w:gridSpan w:val="3"/>
            <w:vAlign w:val="center"/>
          </w:tcPr>
          <w:p w:rsidR="00C32F5D" w:rsidRPr="00743335" w:rsidRDefault="00C32F5D" w:rsidP="00772501">
            <w:pPr>
              <w:pStyle w:val="TableText"/>
            </w:pPr>
            <w:r w:rsidRPr="00743335">
              <w:t>120 mg/mL injection, 3.5 mL injection device</w:t>
            </w:r>
          </w:p>
        </w:tc>
        <w:tc>
          <w:tcPr>
            <w:tcW w:w="420" w:type="pct"/>
            <w:vAlign w:val="center"/>
          </w:tcPr>
          <w:p w:rsidR="00C32F5D" w:rsidRPr="00743335" w:rsidRDefault="00C32F5D" w:rsidP="00A14647">
            <w:pPr>
              <w:pStyle w:val="TableText"/>
              <w:jc w:val="center"/>
            </w:pPr>
            <w:r w:rsidRPr="00743335">
              <w:t>1</w:t>
            </w:r>
          </w:p>
        </w:tc>
        <w:tc>
          <w:tcPr>
            <w:tcW w:w="507" w:type="pct"/>
            <w:vAlign w:val="center"/>
          </w:tcPr>
          <w:p w:rsidR="00C32F5D" w:rsidRPr="00743335" w:rsidRDefault="00C32F5D" w:rsidP="00A14647">
            <w:pPr>
              <w:pStyle w:val="TableText"/>
              <w:jc w:val="center"/>
            </w:pPr>
            <w:r w:rsidRPr="00743335">
              <w:t>5</w:t>
            </w:r>
          </w:p>
        </w:tc>
        <w:tc>
          <w:tcPr>
            <w:tcW w:w="910" w:type="pct"/>
            <w:vAlign w:val="center"/>
          </w:tcPr>
          <w:p w:rsidR="00C32F5D" w:rsidRPr="00743335" w:rsidRDefault="00C32F5D" w:rsidP="00C32F5D">
            <w:pPr>
              <w:pStyle w:val="TableText"/>
              <w:jc w:val="center"/>
            </w:pPr>
            <w:r w:rsidRPr="00743335">
              <w:t>$682.33 ($</w:t>
            </w:r>
            <w:r w:rsidR="007F7043">
              <w:rPr>
                <w:noProof/>
                <w:color w:val="000000"/>
                <w:highlight w:val="black"/>
              </w:rPr>
              <w:t>'''''''''''''''''</w:t>
            </w:r>
            <w:r w:rsidRPr="00743335">
              <w:t>)</w:t>
            </w:r>
          </w:p>
        </w:tc>
        <w:tc>
          <w:tcPr>
            <w:tcW w:w="982" w:type="pct"/>
            <w:vAlign w:val="center"/>
          </w:tcPr>
          <w:p w:rsidR="00C32F5D" w:rsidRPr="00743335" w:rsidRDefault="00C32F5D" w:rsidP="00772501">
            <w:pPr>
              <w:pStyle w:val="TableText"/>
            </w:pPr>
            <w:r w:rsidRPr="00743335">
              <w:t>Repatha Automated Mini-Doser</w:t>
            </w:r>
            <w:r w:rsidRPr="00743335">
              <w:rPr>
                <w:vertAlign w:val="superscript"/>
              </w:rPr>
              <w:t>®</w:t>
            </w:r>
          </w:p>
        </w:tc>
        <w:tc>
          <w:tcPr>
            <w:tcW w:w="317" w:type="pct"/>
            <w:vMerge/>
            <w:vAlign w:val="center"/>
          </w:tcPr>
          <w:p w:rsidR="00C32F5D" w:rsidRPr="00743335" w:rsidRDefault="00C32F5D" w:rsidP="00772501">
            <w:pPr>
              <w:pStyle w:val="TableText"/>
            </w:pPr>
          </w:p>
        </w:tc>
      </w:tr>
      <w:tr w:rsidR="00FB57DB" w:rsidRPr="00743335" w:rsidTr="00FA0860">
        <w:trPr>
          <w:gridBefore w:val="1"/>
          <w:wBefore w:w="14" w:type="pct"/>
          <w:trHeight w:val="360"/>
        </w:trPr>
        <w:tc>
          <w:tcPr>
            <w:tcW w:w="1089" w:type="pct"/>
            <w:tcBorders>
              <w:top w:val="single" w:sz="4" w:space="0" w:color="auto"/>
              <w:left w:val="single" w:sz="4" w:space="0" w:color="auto"/>
              <w:bottom w:val="single" w:sz="4" w:space="0" w:color="auto"/>
              <w:right w:val="single" w:sz="4" w:space="0" w:color="auto"/>
            </w:tcBorders>
          </w:tcPr>
          <w:p w:rsidR="00FB57DB" w:rsidRPr="00743335" w:rsidRDefault="00FB57DB" w:rsidP="00772501">
            <w:pPr>
              <w:pStyle w:val="TableText"/>
            </w:pPr>
            <w:r w:rsidRPr="00743335">
              <w:t>Category / Program</w:t>
            </w:r>
            <w:r w:rsidR="00791DE1" w:rsidRPr="00743335">
              <w:t>:</w:t>
            </w:r>
          </w:p>
        </w:tc>
        <w:tc>
          <w:tcPr>
            <w:tcW w:w="3897" w:type="pct"/>
            <w:gridSpan w:val="7"/>
            <w:tcBorders>
              <w:top w:val="single" w:sz="4" w:space="0" w:color="auto"/>
              <w:left w:val="single" w:sz="4" w:space="0" w:color="auto"/>
              <w:bottom w:val="single" w:sz="4" w:space="0" w:color="auto"/>
              <w:right w:val="single" w:sz="4" w:space="0" w:color="auto"/>
            </w:tcBorders>
          </w:tcPr>
          <w:p w:rsidR="00FB57DB" w:rsidRPr="00743335" w:rsidRDefault="00AC224D" w:rsidP="00772501">
            <w:pPr>
              <w:pStyle w:val="TableText"/>
            </w:pPr>
            <w:r w:rsidRPr="00743335">
              <w:t xml:space="preserve">General Schedule </w:t>
            </w:r>
          </w:p>
        </w:tc>
      </w:tr>
      <w:tr w:rsidR="00FB57DB" w:rsidRPr="00743335" w:rsidTr="00FA0860">
        <w:trPr>
          <w:gridBefore w:val="1"/>
          <w:wBefore w:w="14" w:type="pct"/>
          <w:trHeight w:val="360"/>
        </w:trPr>
        <w:tc>
          <w:tcPr>
            <w:tcW w:w="1089" w:type="pct"/>
            <w:tcBorders>
              <w:top w:val="single" w:sz="4" w:space="0" w:color="auto"/>
              <w:left w:val="single" w:sz="4" w:space="0" w:color="auto"/>
              <w:bottom w:val="single" w:sz="4" w:space="0" w:color="auto"/>
              <w:right w:val="single" w:sz="4" w:space="0" w:color="auto"/>
            </w:tcBorders>
          </w:tcPr>
          <w:p w:rsidR="00FB57DB" w:rsidRPr="00743335" w:rsidRDefault="00FB57DB" w:rsidP="00772501">
            <w:pPr>
              <w:pStyle w:val="TableText"/>
              <w:rPr>
                <w:rFonts w:ascii="Times" w:eastAsia="Times New Roman" w:hAnsi="Times" w:cs="Times New Roman"/>
                <w:szCs w:val="20"/>
              </w:rPr>
            </w:pPr>
            <w:r w:rsidRPr="00743335">
              <w:t>PBS Indication:</w:t>
            </w:r>
          </w:p>
        </w:tc>
        <w:tc>
          <w:tcPr>
            <w:tcW w:w="3897" w:type="pct"/>
            <w:gridSpan w:val="7"/>
            <w:tcBorders>
              <w:top w:val="single" w:sz="4" w:space="0" w:color="auto"/>
              <w:left w:val="single" w:sz="4" w:space="0" w:color="auto"/>
              <w:bottom w:val="single" w:sz="4" w:space="0" w:color="auto"/>
              <w:right w:val="single" w:sz="4" w:space="0" w:color="auto"/>
            </w:tcBorders>
          </w:tcPr>
          <w:p w:rsidR="00FB57DB" w:rsidRPr="00743335" w:rsidRDefault="003A0047" w:rsidP="00772501">
            <w:pPr>
              <w:pStyle w:val="TableText"/>
            </w:pPr>
            <w:r w:rsidRPr="00743335">
              <w:t xml:space="preserve">Familial </w:t>
            </w:r>
            <w:r w:rsidRPr="00743335">
              <w:rPr>
                <w:strike/>
              </w:rPr>
              <w:t>homozygous</w:t>
            </w:r>
            <w:r w:rsidRPr="00743335">
              <w:t xml:space="preserve"> hypercholesterolaemia</w:t>
            </w:r>
          </w:p>
        </w:tc>
      </w:tr>
      <w:tr w:rsidR="00FB57DB" w:rsidRPr="00743335" w:rsidTr="00FA0860">
        <w:trPr>
          <w:gridBefore w:val="1"/>
          <w:wBefore w:w="14" w:type="pct"/>
          <w:trHeight w:val="360"/>
        </w:trPr>
        <w:tc>
          <w:tcPr>
            <w:tcW w:w="1089" w:type="pct"/>
            <w:tcBorders>
              <w:top w:val="single" w:sz="4" w:space="0" w:color="auto"/>
              <w:left w:val="single" w:sz="4" w:space="0" w:color="auto"/>
              <w:bottom w:val="single" w:sz="4" w:space="0" w:color="auto"/>
              <w:right w:val="single" w:sz="4" w:space="0" w:color="auto"/>
            </w:tcBorders>
          </w:tcPr>
          <w:p w:rsidR="00FB57DB" w:rsidRPr="00743335" w:rsidRDefault="00FB57DB" w:rsidP="00772501">
            <w:pPr>
              <w:pStyle w:val="TableText"/>
            </w:pPr>
            <w:r w:rsidRPr="00743335">
              <w:t>Restriction:</w:t>
            </w:r>
          </w:p>
        </w:tc>
        <w:tc>
          <w:tcPr>
            <w:tcW w:w="3897" w:type="pct"/>
            <w:gridSpan w:val="7"/>
            <w:tcBorders>
              <w:top w:val="single" w:sz="4" w:space="0" w:color="auto"/>
              <w:left w:val="single" w:sz="4" w:space="0" w:color="auto"/>
              <w:bottom w:val="single" w:sz="4" w:space="0" w:color="auto"/>
              <w:right w:val="single" w:sz="4" w:space="0" w:color="auto"/>
            </w:tcBorders>
          </w:tcPr>
          <w:p w:rsidR="00FB57DB" w:rsidRPr="00743335" w:rsidRDefault="00FB57DB" w:rsidP="003A0047">
            <w:pPr>
              <w:pStyle w:val="TableText"/>
            </w:pPr>
            <w:r w:rsidRPr="00743335">
              <w:t>Au</w:t>
            </w:r>
            <w:r w:rsidR="003A0047" w:rsidRPr="00743335">
              <w:t>thority required</w:t>
            </w:r>
            <w:r w:rsidR="00902081" w:rsidRPr="00743335">
              <w:t xml:space="preserve"> – in writing</w:t>
            </w:r>
          </w:p>
        </w:tc>
      </w:tr>
      <w:tr w:rsidR="00FB57DB" w:rsidRPr="00743335" w:rsidTr="00FA0860">
        <w:trPr>
          <w:gridBefore w:val="1"/>
          <w:wBefore w:w="14" w:type="pct"/>
          <w:trHeight w:val="360"/>
        </w:trPr>
        <w:tc>
          <w:tcPr>
            <w:tcW w:w="1089" w:type="pct"/>
            <w:tcBorders>
              <w:top w:val="single" w:sz="4" w:space="0" w:color="auto"/>
              <w:left w:val="single" w:sz="4" w:space="0" w:color="auto"/>
              <w:bottom w:val="single" w:sz="4" w:space="0" w:color="auto"/>
              <w:right w:val="single" w:sz="4" w:space="0" w:color="auto"/>
            </w:tcBorders>
          </w:tcPr>
          <w:p w:rsidR="00FB57DB" w:rsidRPr="00743335" w:rsidRDefault="00FB57DB" w:rsidP="00772501">
            <w:pPr>
              <w:pStyle w:val="TableText"/>
              <w:rPr>
                <w:rFonts w:ascii="Times" w:eastAsia="Times New Roman" w:hAnsi="Times" w:cs="Times New Roman"/>
                <w:szCs w:val="20"/>
              </w:rPr>
            </w:pPr>
            <w:r w:rsidRPr="00743335">
              <w:t>Clinical criteria:</w:t>
            </w:r>
          </w:p>
        </w:tc>
        <w:tc>
          <w:tcPr>
            <w:tcW w:w="3897" w:type="pct"/>
            <w:gridSpan w:val="7"/>
            <w:tcBorders>
              <w:top w:val="single" w:sz="4" w:space="0" w:color="auto"/>
              <w:left w:val="single" w:sz="4" w:space="0" w:color="auto"/>
              <w:bottom w:val="single" w:sz="4" w:space="0" w:color="auto"/>
              <w:right w:val="single" w:sz="4" w:space="0" w:color="auto"/>
            </w:tcBorders>
          </w:tcPr>
          <w:p w:rsidR="004549F7" w:rsidRPr="00743335" w:rsidRDefault="004549F7" w:rsidP="004549F7">
            <w:pPr>
              <w:pStyle w:val="TableText"/>
            </w:pPr>
            <w:r w:rsidRPr="00743335">
              <w:t>The treatment must be in conjunction with dietary therapy and exercise</w:t>
            </w:r>
          </w:p>
          <w:p w:rsidR="004549F7" w:rsidRPr="00743335" w:rsidRDefault="004549F7" w:rsidP="004549F7">
            <w:pPr>
              <w:pStyle w:val="TableText"/>
            </w:pPr>
          </w:p>
          <w:p w:rsidR="004549F7" w:rsidRPr="00743335" w:rsidRDefault="004549F7" w:rsidP="004549F7">
            <w:pPr>
              <w:pStyle w:val="TableText"/>
            </w:pPr>
            <w:r w:rsidRPr="00743335">
              <w:t>AND</w:t>
            </w:r>
          </w:p>
          <w:p w:rsidR="004549F7" w:rsidRPr="00743335" w:rsidRDefault="004549F7" w:rsidP="004549F7">
            <w:pPr>
              <w:pStyle w:val="TableText"/>
            </w:pPr>
          </w:p>
          <w:p w:rsidR="004549F7" w:rsidRPr="00743335" w:rsidRDefault="004549F7" w:rsidP="004549F7">
            <w:pPr>
              <w:pStyle w:val="TableText"/>
            </w:pPr>
            <w:r w:rsidRPr="00743335">
              <w:t>The condition must have been confirmed by genetic testing; OR</w:t>
            </w:r>
          </w:p>
          <w:p w:rsidR="004549F7" w:rsidRPr="00743335" w:rsidRDefault="004549F7" w:rsidP="004549F7">
            <w:pPr>
              <w:pStyle w:val="TableText"/>
            </w:pPr>
            <w:r w:rsidRPr="00743335">
              <w:t xml:space="preserve">The condition must have been confirmed by a Dutch Lipid Clinic Network Score </w:t>
            </w:r>
          </w:p>
          <w:p w:rsidR="004549F7" w:rsidRPr="00743335" w:rsidRDefault="004549F7" w:rsidP="004549F7">
            <w:pPr>
              <w:pStyle w:val="TableText"/>
            </w:pPr>
            <w:r w:rsidRPr="00743335">
              <w:t xml:space="preserve">of at least </w:t>
            </w:r>
            <w:r w:rsidRPr="00743335">
              <w:rPr>
                <w:strike/>
              </w:rPr>
              <w:t>7</w:t>
            </w:r>
            <w:r w:rsidRPr="00743335">
              <w:t xml:space="preserve"> </w:t>
            </w:r>
            <w:r w:rsidRPr="009A7B00">
              <w:rPr>
                <w:b/>
              </w:rPr>
              <w:t>6</w:t>
            </w:r>
          </w:p>
          <w:p w:rsidR="004549F7" w:rsidRPr="00743335" w:rsidRDefault="004549F7" w:rsidP="004549F7">
            <w:pPr>
              <w:pStyle w:val="TableText"/>
            </w:pPr>
          </w:p>
          <w:p w:rsidR="004549F7" w:rsidRPr="00743335" w:rsidRDefault="004549F7" w:rsidP="004549F7">
            <w:pPr>
              <w:pStyle w:val="TableText"/>
            </w:pPr>
            <w:r w:rsidRPr="00743335">
              <w:t>AND</w:t>
            </w:r>
          </w:p>
          <w:p w:rsidR="004549F7" w:rsidRPr="00743335" w:rsidRDefault="004549F7" w:rsidP="004549F7">
            <w:pPr>
              <w:pStyle w:val="TableText"/>
            </w:pPr>
          </w:p>
          <w:p w:rsidR="004549F7" w:rsidRPr="00743335" w:rsidRDefault="004549F7" w:rsidP="004549F7">
            <w:pPr>
              <w:pStyle w:val="TableText"/>
            </w:pPr>
            <w:r w:rsidRPr="00743335">
              <w:t xml:space="preserve">Patient must have an </w:t>
            </w:r>
            <w:r w:rsidR="00FD3D08" w:rsidRPr="00743335">
              <w:t>LDL-c</w:t>
            </w:r>
            <w:r w:rsidRPr="00743335">
              <w:t xml:space="preserve"> cholesterol level in excess </w:t>
            </w:r>
            <w:r w:rsidRPr="009A7B00">
              <w:t xml:space="preserve">of </w:t>
            </w:r>
            <w:r w:rsidRPr="009A7B00">
              <w:rPr>
                <w:b/>
              </w:rPr>
              <w:t>5</w:t>
            </w:r>
            <w:r w:rsidRPr="009A7B00">
              <w:t xml:space="preserve"> </w:t>
            </w:r>
            <w:r w:rsidRPr="009A7B00">
              <w:rPr>
                <w:strike/>
              </w:rPr>
              <w:t>3.3 millimoles per litre</w:t>
            </w:r>
            <w:r w:rsidRPr="009A7B00">
              <w:t xml:space="preserve">, or </w:t>
            </w:r>
            <w:r w:rsidRPr="009A7B00">
              <w:rPr>
                <w:b/>
              </w:rPr>
              <w:t>3.3 mmol/L in the presence of symptomatic atherosclerotic cardiovascular disease</w:t>
            </w:r>
            <w:r w:rsidRPr="009A7B00">
              <w:t>, after at least 3 months of treatment at a maximum tolerated dose of an HMG CoA reductase inhibitor (statin), in conjunction with dietary therapy and exercise; OR</w:t>
            </w:r>
          </w:p>
          <w:p w:rsidR="004549F7" w:rsidRPr="00743335" w:rsidRDefault="004549F7" w:rsidP="004549F7">
            <w:pPr>
              <w:pStyle w:val="TableText"/>
            </w:pPr>
          </w:p>
          <w:p w:rsidR="004549F7" w:rsidRPr="009A7B00" w:rsidRDefault="004549F7" w:rsidP="004549F7">
            <w:pPr>
              <w:pStyle w:val="TableText"/>
            </w:pPr>
            <w:r w:rsidRPr="009A7B00">
              <w:t xml:space="preserve">Patient must have an </w:t>
            </w:r>
            <w:r w:rsidR="00FD3D08" w:rsidRPr="009A7B00">
              <w:t>LDL-c</w:t>
            </w:r>
            <w:r w:rsidRPr="009A7B00">
              <w:t xml:space="preserve"> cholesterol level in excess of </w:t>
            </w:r>
            <w:r w:rsidRPr="009A7B00">
              <w:rPr>
                <w:b/>
              </w:rPr>
              <w:t>5</w:t>
            </w:r>
            <w:r w:rsidRPr="009A7B00">
              <w:t xml:space="preserve"> </w:t>
            </w:r>
            <w:r w:rsidRPr="009A7B00">
              <w:rPr>
                <w:strike/>
              </w:rPr>
              <w:t>3.3 millimoles per litre</w:t>
            </w:r>
            <w:r w:rsidRPr="009A7B00">
              <w:t xml:space="preserve">, or </w:t>
            </w:r>
            <w:r w:rsidRPr="009A7B00">
              <w:rPr>
                <w:b/>
              </w:rPr>
              <w:t>3.3 mmol/L in the presence of symptomatic atherosclerotic cardiovascular disease</w:t>
            </w:r>
            <w:r w:rsidRPr="009A7B00">
              <w:t>, after having developed a clinically important product-related adverse event during treatment with an HMG CoA reductase inhibitor (statin) necessitating a withdrawal of statin treatment; OR</w:t>
            </w:r>
          </w:p>
          <w:p w:rsidR="004549F7" w:rsidRPr="009A7B00" w:rsidRDefault="004549F7" w:rsidP="004549F7">
            <w:pPr>
              <w:pStyle w:val="TableText"/>
            </w:pPr>
          </w:p>
          <w:p w:rsidR="00FB57DB" w:rsidRPr="00743335" w:rsidRDefault="004549F7" w:rsidP="004549F7">
            <w:pPr>
              <w:pStyle w:val="TableText"/>
            </w:pPr>
            <w:r w:rsidRPr="009A7B00">
              <w:t xml:space="preserve">Patient must have an </w:t>
            </w:r>
            <w:r w:rsidR="00FD3D08" w:rsidRPr="009A7B00">
              <w:t>LDL-c</w:t>
            </w:r>
            <w:r w:rsidRPr="009A7B00">
              <w:t xml:space="preserve"> cholesterol level in excess of </w:t>
            </w:r>
            <w:r w:rsidRPr="009A7B00">
              <w:rPr>
                <w:b/>
              </w:rPr>
              <w:t>5</w:t>
            </w:r>
            <w:r w:rsidRPr="009A7B00">
              <w:t xml:space="preserve"> </w:t>
            </w:r>
            <w:r w:rsidRPr="009A7B00">
              <w:rPr>
                <w:strike/>
              </w:rPr>
              <w:t>3.3 millimoles per litre</w:t>
            </w:r>
            <w:r w:rsidRPr="009A7B00">
              <w:t xml:space="preserve">, or </w:t>
            </w:r>
            <w:r w:rsidRPr="009A7B00">
              <w:rPr>
                <w:b/>
                <w:u w:val="single"/>
              </w:rPr>
              <w:t>3</w:t>
            </w:r>
            <w:r w:rsidRPr="009A7B00">
              <w:rPr>
                <w:b/>
              </w:rPr>
              <w:t>.3 mmol/L in the presence of symptomatic atherosclerotic cardiovascular disease</w:t>
            </w:r>
            <w:r w:rsidRPr="009A7B00">
              <w:t>, and must be one in whom treatment with an HMG CoA reductase inhibitor (statin) is contraindicated.</w:t>
            </w:r>
          </w:p>
        </w:tc>
      </w:tr>
      <w:tr w:rsidR="004549F7" w:rsidRPr="00743335" w:rsidTr="00FA0860">
        <w:trPr>
          <w:gridBefore w:val="1"/>
          <w:trHeight w:val="360"/>
        </w:trPr>
        <w:tc>
          <w:tcPr>
            <w:tcW w:w="1093" w:type="pct"/>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pPr>
            <w:r w:rsidRPr="00743335">
              <w:t>Category / Program:</w:t>
            </w:r>
          </w:p>
        </w:tc>
        <w:tc>
          <w:tcPr>
            <w:tcW w:w="3907" w:type="pct"/>
            <w:gridSpan w:val="7"/>
            <w:tcBorders>
              <w:top w:val="single" w:sz="4" w:space="0" w:color="auto"/>
              <w:left w:val="single" w:sz="4" w:space="0" w:color="auto"/>
              <w:bottom w:val="single" w:sz="4" w:space="0" w:color="auto"/>
              <w:right w:val="single" w:sz="4" w:space="0" w:color="auto"/>
            </w:tcBorders>
          </w:tcPr>
          <w:p w:rsidR="004549F7" w:rsidRPr="00743335" w:rsidRDefault="00AC224D" w:rsidP="00031C71">
            <w:pPr>
              <w:pStyle w:val="TableText"/>
              <w:keepNext w:val="0"/>
              <w:widowControl w:val="0"/>
            </w:pPr>
            <w:r w:rsidRPr="00743335">
              <w:t>General Schedule</w:t>
            </w:r>
          </w:p>
        </w:tc>
      </w:tr>
      <w:tr w:rsidR="004549F7" w:rsidRPr="00743335" w:rsidTr="00FA0860">
        <w:trPr>
          <w:gridBefore w:val="1"/>
          <w:trHeight w:val="360"/>
        </w:trPr>
        <w:tc>
          <w:tcPr>
            <w:tcW w:w="1093" w:type="pct"/>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rPr>
                <w:rFonts w:ascii="Times" w:eastAsia="Times New Roman" w:hAnsi="Times" w:cs="Times New Roman"/>
                <w:szCs w:val="20"/>
              </w:rPr>
            </w:pPr>
            <w:r w:rsidRPr="00743335">
              <w:t>PBS Indication:</w:t>
            </w:r>
          </w:p>
        </w:tc>
        <w:tc>
          <w:tcPr>
            <w:tcW w:w="3907" w:type="pct"/>
            <w:gridSpan w:val="7"/>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pPr>
            <w:r w:rsidRPr="00743335">
              <w:t>Hypercholesterolaemia</w:t>
            </w:r>
          </w:p>
        </w:tc>
      </w:tr>
      <w:tr w:rsidR="004549F7" w:rsidRPr="00743335" w:rsidTr="00FA0860">
        <w:trPr>
          <w:gridBefore w:val="1"/>
          <w:trHeight w:val="360"/>
        </w:trPr>
        <w:tc>
          <w:tcPr>
            <w:tcW w:w="1093" w:type="pct"/>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pPr>
            <w:r w:rsidRPr="00743335">
              <w:t>Restriction:</w:t>
            </w:r>
          </w:p>
        </w:tc>
        <w:tc>
          <w:tcPr>
            <w:tcW w:w="3907" w:type="pct"/>
            <w:gridSpan w:val="7"/>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pPr>
            <w:r w:rsidRPr="00743335">
              <w:t>Authority required</w:t>
            </w:r>
            <w:r w:rsidR="00902081" w:rsidRPr="00743335">
              <w:t xml:space="preserve"> – in writing</w:t>
            </w:r>
          </w:p>
        </w:tc>
      </w:tr>
      <w:tr w:rsidR="004549F7" w:rsidRPr="00743335" w:rsidTr="00FA0860">
        <w:trPr>
          <w:gridBefore w:val="1"/>
          <w:trHeight w:val="360"/>
        </w:trPr>
        <w:tc>
          <w:tcPr>
            <w:tcW w:w="1093" w:type="pct"/>
            <w:tcBorders>
              <w:top w:val="single" w:sz="4" w:space="0" w:color="auto"/>
              <w:left w:val="single" w:sz="4" w:space="0" w:color="auto"/>
              <w:bottom w:val="single" w:sz="4" w:space="0" w:color="auto"/>
              <w:right w:val="single" w:sz="4" w:space="0" w:color="auto"/>
            </w:tcBorders>
          </w:tcPr>
          <w:p w:rsidR="004549F7" w:rsidRPr="00743335" w:rsidRDefault="004549F7" w:rsidP="00031C71">
            <w:pPr>
              <w:pStyle w:val="TableText"/>
              <w:keepNext w:val="0"/>
              <w:widowControl w:val="0"/>
              <w:rPr>
                <w:rFonts w:ascii="Times" w:eastAsia="Times New Roman" w:hAnsi="Times" w:cs="Times New Roman"/>
                <w:szCs w:val="20"/>
              </w:rPr>
            </w:pPr>
            <w:r w:rsidRPr="00743335">
              <w:t>Clinical criteria:</w:t>
            </w:r>
          </w:p>
        </w:tc>
        <w:tc>
          <w:tcPr>
            <w:tcW w:w="3907" w:type="pct"/>
            <w:gridSpan w:val="7"/>
            <w:tcBorders>
              <w:top w:val="single" w:sz="4" w:space="0" w:color="auto"/>
              <w:left w:val="single" w:sz="4" w:space="0" w:color="auto"/>
              <w:bottom w:val="single" w:sz="4" w:space="0" w:color="auto"/>
              <w:right w:val="single" w:sz="4" w:space="0" w:color="auto"/>
            </w:tcBorders>
          </w:tcPr>
          <w:p w:rsidR="00031C71" w:rsidRPr="00743335" w:rsidRDefault="00031C71" w:rsidP="00031C71">
            <w:pPr>
              <w:pStyle w:val="TableText"/>
              <w:keepNext w:val="0"/>
              <w:widowControl w:val="0"/>
            </w:pPr>
            <w:r w:rsidRPr="00743335">
              <w:t>The treatment must be in conjunction with dietary therapy and exercise</w:t>
            </w:r>
          </w:p>
          <w:p w:rsidR="00031C71" w:rsidRPr="00743335" w:rsidRDefault="00031C71" w:rsidP="00031C71">
            <w:pPr>
              <w:pStyle w:val="TableText"/>
              <w:keepNext w:val="0"/>
              <w:widowControl w:val="0"/>
            </w:pPr>
          </w:p>
          <w:p w:rsidR="00031C71" w:rsidRPr="00743335" w:rsidRDefault="00031C71" w:rsidP="00031C71">
            <w:pPr>
              <w:pStyle w:val="TableText"/>
              <w:keepNext w:val="0"/>
              <w:widowControl w:val="0"/>
            </w:pPr>
            <w:r w:rsidRPr="00743335">
              <w:t>AND</w:t>
            </w:r>
          </w:p>
          <w:p w:rsidR="00031C71" w:rsidRPr="00743335" w:rsidRDefault="00031C71" w:rsidP="00031C71">
            <w:pPr>
              <w:pStyle w:val="TableText"/>
              <w:keepNext w:val="0"/>
              <w:widowControl w:val="0"/>
            </w:pPr>
          </w:p>
          <w:p w:rsidR="00031C71" w:rsidRPr="00743335" w:rsidRDefault="00031C71" w:rsidP="00031C71">
            <w:pPr>
              <w:pStyle w:val="TableText"/>
              <w:keepNext w:val="0"/>
              <w:widowControl w:val="0"/>
            </w:pPr>
            <w:r w:rsidRPr="00743335">
              <w:t>Patient must have symptomatic coronary heart disease; OR</w:t>
            </w:r>
          </w:p>
          <w:p w:rsidR="00031C71" w:rsidRPr="00743335" w:rsidRDefault="00031C71" w:rsidP="00031C71">
            <w:pPr>
              <w:pStyle w:val="TableText"/>
              <w:keepNext w:val="0"/>
              <w:widowControl w:val="0"/>
            </w:pPr>
            <w:r w:rsidRPr="00743335">
              <w:t xml:space="preserve">Patient must have symptomatic cerebrovascular disease; OR </w:t>
            </w:r>
          </w:p>
          <w:p w:rsidR="00031C71" w:rsidRPr="00743335" w:rsidRDefault="00031C71" w:rsidP="00031C71">
            <w:pPr>
              <w:pStyle w:val="TableText"/>
              <w:keepNext w:val="0"/>
              <w:widowControl w:val="0"/>
            </w:pPr>
            <w:r w:rsidRPr="00743335">
              <w:t>Patient must have symptomatic peripheral vascular disease.</w:t>
            </w:r>
          </w:p>
          <w:p w:rsidR="00031C71" w:rsidRPr="00743335" w:rsidRDefault="00031C71" w:rsidP="00031C71">
            <w:pPr>
              <w:pStyle w:val="TableText"/>
              <w:keepNext w:val="0"/>
              <w:widowControl w:val="0"/>
            </w:pPr>
          </w:p>
          <w:p w:rsidR="00031C71" w:rsidRPr="00743335" w:rsidRDefault="00031C71" w:rsidP="00031C71">
            <w:pPr>
              <w:pStyle w:val="TableText"/>
              <w:keepNext w:val="0"/>
              <w:widowControl w:val="0"/>
            </w:pPr>
            <w:r w:rsidRPr="00743335">
              <w:t>AND</w:t>
            </w:r>
          </w:p>
          <w:p w:rsidR="00031C71" w:rsidRPr="00743335" w:rsidRDefault="00031C71" w:rsidP="00031C71">
            <w:pPr>
              <w:pStyle w:val="TableText"/>
              <w:keepNext w:val="0"/>
              <w:widowControl w:val="0"/>
            </w:pPr>
          </w:p>
          <w:p w:rsidR="00031C71" w:rsidRPr="00743335" w:rsidRDefault="00031C71" w:rsidP="00031C71">
            <w:pPr>
              <w:pStyle w:val="TableText"/>
              <w:keepNext w:val="0"/>
              <w:widowControl w:val="0"/>
            </w:pPr>
            <w:r w:rsidRPr="00743335">
              <w:t xml:space="preserve">Patient must have an </w:t>
            </w:r>
            <w:r w:rsidR="00FD3D08" w:rsidRPr="00743335">
              <w:t>LDL-c</w:t>
            </w:r>
            <w:r w:rsidRPr="00743335">
              <w:t xml:space="preserve"> cholesterol level in excess of 3.3 millimoles per litre after at least 3 months of treatment at a maximum tolerated dose of an HMG CoA reductase inhibitor (statin), in conjunction with dietary therapy and exercise; OR</w:t>
            </w:r>
          </w:p>
          <w:p w:rsidR="00031C71" w:rsidRPr="00743335" w:rsidRDefault="00031C71" w:rsidP="00031C71">
            <w:pPr>
              <w:pStyle w:val="TableText"/>
              <w:keepNext w:val="0"/>
              <w:widowControl w:val="0"/>
            </w:pPr>
          </w:p>
          <w:p w:rsidR="00031C71" w:rsidRPr="00743335" w:rsidRDefault="00031C71" w:rsidP="00031C71">
            <w:pPr>
              <w:pStyle w:val="TableText"/>
              <w:keepNext w:val="0"/>
              <w:widowControl w:val="0"/>
            </w:pPr>
            <w:r w:rsidRPr="00743335">
              <w:t xml:space="preserve">Patient must have an </w:t>
            </w:r>
            <w:r w:rsidR="00FD3D08" w:rsidRPr="00743335">
              <w:t>LDL-c</w:t>
            </w:r>
            <w:r w:rsidRPr="00743335">
              <w:t xml:space="preserve"> cholesterol level in excess of 3.3 millimoles per litre after having developed a clinically important product-related adverse event during treatment with an HMG CoA reductase inhibitor (statin) necessitating a withdrawal of statin treatment; OR</w:t>
            </w:r>
          </w:p>
          <w:p w:rsidR="00031C71" w:rsidRPr="00743335" w:rsidRDefault="00031C71" w:rsidP="00031C71">
            <w:pPr>
              <w:pStyle w:val="TableText"/>
              <w:keepNext w:val="0"/>
              <w:widowControl w:val="0"/>
            </w:pPr>
          </w:p>
          <w:p w:rsidR="004549F7" w:rsidRPr="00743335" w:rsidRDefault="00031C71" w:rsidP="00031C71">
            <w:pPr>
              <w:pStyle w:val="TableText"/>
              <w:keepNext w:val="0"/>
              <w:widowControl w:val="0"/>
            </w:pPr>
            <w:r w:rsidRPr="00743335">
              <w:t xml:space="preserve">Patient must have an </w:t>
            </w:r>
            <w:r w:rsidR="00FD3D08" w:rsidRPr="00743335">
              <w:t>LDL-c</w:t>
            </w:r>
            <w:r w:rsidRPr="00743335">
              <w:t xml:space="preserve"> cholesterol level in excess of 3.3 millimoles per litre and must be one in whom treatment with an HMG CoA reductase inhibitor (statin) is contraindicated.</w:t>
            </w:r>
          </w:p>
        </w:tc>
      </w:tr>
    </w:tbl>
    <w:p w:rsidR="00423056" w:rsidRPr="00743335" w:rsidRDefault="00AC224D" w:rsidP="007D1A8C">
      <w:pPr>
        <w:pStyle w:val="ListParagraph"/>
        <w:numPr>
          <w:ilvl w:val="1"/>
          <w:numId w:val="1"/>
        </w:numPr>
        <w:ind w:left="709" w:hanging="709"/>
        <w:jc w:val="both"/>
        <w:rPr>
          <w:bCs/>
          <w:color w:val="FF0000"/>
        </w:rPr>
      </w:pPr>
      <w:r w:rsidRPr="00743335">
        <w:lastRenderedPageBreak/>
        <w:t xml:space="preserve">The </w:t>
      </w:r>
      <w:r w:rsidR="00FD3D08" w:rsidRPr="00743335">
        <w:t>LDL-c</w:t>
      </w:r>
      <w:r w:rsidRPr="00743335">
        <w:t xml:space="preserve"> thresholds included in the proposed restrictions were poorly justified and were not consistent with the available clinical evidence, treatment guidelines or current restrictions for ezetimibe.  </w:t>
      </w:r>
      <w:r w:rsidR="00423056" w:rsidRPr="00743335">
        <w:t>The PSCR (p3) stated the proposed higher eligibility thresholds for evolocumab than for ezetimibe is to target treatment with this more expensive agent to patients requiring reductions in LDL-</w:t>
      </w:r>
      <w:r w:rsidR="00E15516" w:rsidRPr="00743335">
        <w:t>c</w:t>
      </w:r>
      <w:r w:rsidR="00423056" w:rsidRPr="00743335">
        <w:t xml:space="preserve"> of the order of 50% or more to achieve target levels. The ESC also noted a potential gap exists for individuals who fail to achieve target LDL-c on maximum tolerated dose statin, but who are not eligible for evolocumab.</w:t>
      </w:r>
      <w:r w:rsidR="00A7093E" w:rsidRPr="00743335">
        <w:t xml:space="preserve"> The PBAC considered the proposed LDL-c thresholds for FH were </w:t>
      </w:r>
      <w:r w:rsidR="002B7A93">
        <w:t>reasonable</w:t>
      </w:r>
      <w:r w:rsidR="00313F24" w:rsidRPr="00743335">
        <w:t xml:space="preserve">, but defining the non-FH population with ASCVD would require further </w:t>
      </w:r>
      <w:r w:rsidR="002B7A93">
        <w:t>justification</w:t>
      </w:r>
      <w:r w:rsidR="00A7093E" w:rsidRPr="00743335">
        <w:t>.</w:t>
      </w:r>
    </w:p>
    <w:p w:rsidR="00AC224D" w:rsidRPr="00743335" w:rsidRDefault="00AC224D" w:rsidP="007D1A8C">
      <w:pPr>
        <w:pStyle w:val="ListParagraph"/>
        <w:numPr>
          <w:ilvl w:val="1"/>
          <w:numId w:val="1"/>
        </w:numPr>
        <w:ind w:left="709" w:hanging="709"/>
        <w:jc w:val="both"/>
      </w:pPr>
      <w:r w:rsidRPr="00743335">
        <w:t>The full restrictions also include treatment criteria identifying patients with statin intolerance. However</w:t>
      </w:r>
      <w:r w:rsidR="00775350" w:rsidRPr="00743335">
        <w:t>,</w:t>
      </w:r>
      <w:r w:rsidRPr="00743335">
        <w:t xml:space="preserve"> intolerance to statins is common and poorly defined</w:t>
      </w:r>
      <w:r w:rsidR="00775350" w:rsidRPr="00743335">
        <w:t xml:space="preserve"> in clinical practice</w:t>
      </w:r>
      <w:r w:rsidRPr="00743335">
        <w:t>. The availability of a new and effective medicine may have the potential to broaden the definition of ‘</w:t>
      </w:r>
      <w:r w:rsidR="005E39FD">
        <w:t xml:space="preserve">statin </w:t>
      </w:r>
      <w:r w:rsidRPr="00743335">
        <w:t xml:space="preserve">intolerance’ in practice. Additionally, it is possible that physicians </w:t>
      </w:r>
      <w:r w:rsidR="00096A3F" w:rsidRPr="00743335">
        <w:t>may not titrate to maximal tolerated dose with statins (</w:t>
      </w:r>
      <w:r w:rsidRPr="00743335">
        <w:t>with or without ezetimibe) if there is another effective add-on therapy available.</w:t>
      </w:r>
      <w:r w:rsidR="006414BA" w:rsidRPr="00743335">
        <w:t xml:space="preserve"> </w:t>
      </w:r>
      <w:r w:rsidR="006414BA" w:rsidRPr="00743335">
        <w:rPr>
          <w:rFonts w:eastAsia="Times New Roman"/>
        </w:rPr>
        <w:t>The ESC considered that true statin intolerance is likely to be &lt;5% of the eligible population and that a substantial nocebo effect likely exists.  This can lead to the potential for substantial leakage into a population that is not truly statin intolerant.  </w:t>
      </w:r>
      <w:r w:rsidR="001F48E0">
        <w:rPr>
          <w:rFonts w:eastAsia="Times New Roman"/>
        </w:rPr>
        <w:t xml:space="preserve">The PBAC noted </w:t>
      </w:r>
      <w:r w:rsidR="001F48E0">
        <w:t xml:space="preserve">the recent post-market review of ezetimibe showed an 18-53% usage of ezetimibe outside the intended population and that much of this use occurred in a population that was not up titrated to maximal tolerated statin dose, or where evidence of true statin intolerance was not demonstrated. </w:t>
      </w:r>
      <w:r w:rsidR="00A7093E" w:rsidRPr="00743335">
        <w:rPr>
          <w:rFonts w:eastAsia="Times New Roman"/>
        </w:rPr>
        <w:t xml:space="preserve">The </w:t>
      </w:r>
      <w:r w:rsidR="006414BA" w:rsidRPr="00743335">
        <w:rPr>
          <w:rFonts w:eastAsia="Times New Roman"/>
        </w:rPr>
        <w:t xml:space="preserve">PBAC </w:t>
      </w:r>
      <w:r w:rsidR="00A7093E" w:rsidRPr="00743335">
        <w:rPr>
          <w:rFonts w:eastAsia="Times New Roman"/>
        </w:rPr>
        <w:t xml:space="preserve">considered </w:t>
      </w:r>
      <w:r w:rsidR="006414BA" w:rsidRPr="00743335">
        <w:rPr>
          <w:rFonts w:eastAsia="Times New Roman"/>
        </w:rPr>
        <w:t>the definition</w:t>
      </w:r>
      <w:r w:rsidR="001F48E0">
        <w:rPr>
          <w:rFonts w:eastAsia="Times New Roman"/>
        </w:rPr>
        <w:t>s</w:t>
      </w:r>
      <w:r w:rsidR="006414BA" w:rsidRPr="00743335">
        <w:rPr>
          <w:rFonts w:eastAsia="Times New Roman"/>
        </w:rPr>
        <w:t xml:space="preserve"> of </w:t>
      </w:r>
      <w:r w:rsidR="001F48E0">
        <w:rPr>
          <w:rFonts w:eastAsia="Times New Roman"/>
        </w:rPr>
        <w:t>“</w:t>
      </w:r>
      <w:r w:rsidR="001F48E0" w:rsidRPr="00743335">
        <w:t>maximum tolerated dose</w:t>
      </w:r>
      <w:r w:rsidR="001F48E0">
        <w:t>”</w:t>
      </w:r>
      <w:r w:rsidR="001F48E0" w:rsidRPr="00743335">
        <w:t xml:space="preserve"> of </w:t>
      </w:r>
      <w:r w:rsidR="001F48E0">
        <w:t xml:space="preserve">a </w:t>
      </w:r>
      <w:r w:rsidR="001F48E0" w:rsidRPr="00743335">
        <w:t>statin</w:t>
      </w:r>
      <w:r w:rsidR="001F48E0">
        <w:t xml:space="preserve"> and “clinically important product-related adverse event” </w:t>
      </w:r>
      <w:r w:rsidR="00A7093E" w:rsidRPr="00743335">
        <w:rPr>
          <w:rFonts w:eastAsia="Times New Roman"/>
        </w:rPr>
        <w:t>in the restriction requires revision</w:t>
      </w:r>
      <w:r w:rsidR="006414BA" w:rsidRPr="00743335">
        <w:rPr>
          <w:rFonts w:eastAsia="Times New Roman"/>
        </w:rPr>
        <w:t xml:space="preserve"> to ensure that patients are treated with the maximal tolerated dose of statin.</w:t>
      </w:r>
    </w:p>
    <w:p w:rsidR="00B12DBE" w:rsidRPr="00743335" w:rsidRDefault="00B12DBE" w:rsidP="007D1A8C">
      <w:pPr>
        <w:pStyle w:val="ListParagraph"/>
        <w:numPr>
          <w:ilvl w:val="1"/>
          <w:numId w:val="1"/>
        </w:numPr>
        <w:ind w:left="709" w:hanging="709"/>
        <w:jc w:val="both"/>
      </w:pPr>
      <w:r w:rsidRPr="00743335">
        <w:t xml:space="preserve">The ESC agreed with </w:t>
      </w:r>
      <w:r w:rsidR="00AF626E" w:rsidRPr="00743335">
        <w:t xml:space="preserve">the </w:t>
      </w:r>
      <w:r w:rsidRPr="00743335">
        <w:t>submission proposal to restrict prescribing to Consultant Physicians</w:t>
      </w:r>
      <w:r w:rsidR="00AF626E" w:rsidRPr="00743335">
        <w:t xml:space="preserve">, consistent with the current </w:t>
      </w:r>
      <w:r w:rsidR="006C2463" w:rsidRPr="00743335">
        <w:t>evolocumab</w:t>
      </w:r>
      <w:r w:rsidR="00AF626E" w:rsidRPr="00743335">
        <w:t xml:space="preserve"> PBS listing</w:t>
      </w:r>
      <w:r w:rsidRPr="00743335">
        <w:t>.</w:t>
      </w:r>
    </w:p>
    <w:p w:rsidR="00C317F3" w:rsidRPr="00743335" w:rsidRDefault="00775350" w:rsidP="007D1A8C">
      <w:pPr>
        <w:pStyle w:val="ListParagraph"/>
        <w:numPr>
          <w:ilvl w:val="1"/>
          <w:numId w:val="1"/>
        </w:numPr>
        <w:ind w:left="709" w:hanging="709"/>
        <w:jc w:val="both"/>
      </w:pPr>
      <w:r w:rsidRPr="00743335">
        <w:t>The current listing of evolocumab is subject to a special pricing arrangement (</w:t>
      </w:r>
      <w:r w:rsidR="007F7043">
        <w:rPr>
          <w:noProof/>
          <w:color w:val="000000"/>
          <w:highlight w:val="black"/>
        </w:rPr>
        <w:t>''''''''''</w:t>
      </w:r>
      <w:r w:rsidRPr="00743335">
        <w:t>% rebate on government expenditure). The resubmission proposed a revision of the special pricing arrangement to include a further discount for the expanded listing (</w:t>
      </w:r>
      <w:r w:rsidR="007F7043">
        <w:rPr>
          <w:noProof/>
          <w:color w:val="000000"/>
          <w:highlight w:val="black"/>
        </w:rPr>
        <w:t>'''''''''''</w:t>
      </w:r>
      <w:r w:rsidRPr="00743335">
        <w:t xml:space="preserve">% rebate on government expenditure). </w:t>
      </w:r>
    </w:p>
    <w:p w:rsidR="000447C4" w:rsidRPr="00743335" w:rsidRDefault="000447C4" w:rsidP="000447C4">
      <w:pPr>
        <w:pStyle w:val="ListParagraph"/>
        <w:ind w:left="709"/>
        <w:jc w:val="both"/>
        <w:rPr>
          <w:i/>
        </w:rPr>
      </w:pPr>
      <w:r w:rsidRPr="00743335">
        <w:rPr>
          <w:i/>
        </w:rPr>
        <w:t>For more detail on PBAC’s view, see section 7 PBAC outcome.</w:t>
      </w:r>
    </w:p>
    <w:p w:rsidR="00C317F3" w:rsidRPr="00743335" w:rsidRDefault="00C317F3" w:rsidP="002001C6">
      <w:pPr>
        <w:pStyle w:val="Heading1"/>
        <w:ind w:left="709" w:hanging="709"/>
      </w:pPr>
      <w:bookmarkStart w:id="5" w:name="_Toc413139273"/>
      <w:bookmarkStart w:id="6" w:name="_Toc492314250"/>
      <w:r w:rsidRPr="00743335">
        <w:t>Background</w:t>
      </w:r>
      <w:bookmarkEnd w:id="5"/>
      <w:bookmarkEnd w:id="6"/>
    </w:p>
    <w:p w:rsidR="0017638E" w:rsidRPr="00743335" w:rsidRDefault="0017638E" w:rsidP="0017638E">
      <w:pPr>
        <w:pStyle w:val="Heading2"/>
        <w:rPr>
          <w:i w:val="0"/>
        </w:rPr>
      </w:pPr>
      <w:bookmarkStart w:id="7" w:name="_Toc492314251"/>
      <w:r w:rsidRPr="00743335">
        <w:rPr>
          <w:i w:val="0"/>
        </w:rPr>
        <w:t>Registration status</w:t>
      </w:r>
      <w:bookmarkEnd w:id="7"/>
    </w:p>
    <w:p w:rsidR="00A91B6F" w:rsidRPr="00743335" w:rsidRDefault="00A91B6F" w:rsidP="007D1A8C">
      <w:pPr>
        <w:pStyle w:val="ListParagraph"/>
        <w:numPr>
          <w:ilvl w:val="1"/>
          <w:numId w:val="1"/>
        </w:numPr>
        <w:ind w:left="709" w:hanging="709"/>
        <w:jc w:val="both"/>
      </w:pPr>
      <w:r w:rsidRPr="00743335">
        <w:t xml:space="preserve">Evolocumab was approved by the TGA on 4 December 2015 for the treatment of: </w:t>
      </w:r>
    </w:p>
    <w:p w:rsidR="00A91B6F" w:rsidRPr="00743335" w:rsidRDefault="00A91B6F" w:rsidP="00C9669A">
      <w:pPr>
        <w:pStyle w:val="ListParagraph"/>
        <w:numPr>
          <w:ilvl w:val="0"/>
          <w:numId w:val="6"/>
        </w:numPr>
        <w:ind w:left="1077" w:hanging="357"/>
        <w:jc w:val="both"/>
      </w:pPr>
      <w:r w:rsidRPr="00743335">
        <w:t>Adults with heterozygous familial hypercholesterolaemia (HeFH) or clinical atherosclerotic cardiovascular disease (CVD):</w:t>
      </w:r>
    </w:p>
    <w:p w:rsidR="00A91B6F" w:rsidRPr="00743335" w:rsidRDefault="00A91B6F" w:rsidP="00C9669A">
      <w:pPr>
        <w:pStyle w:val="ListParagraph"/>
        <w:numPr>
          <w:ilvl w:val="1"/>
          <w:numId w:val="6"/>
        </w:numPr>
        <w:ind w:left="1434" w:hanging="357"/>
        <w:jc w:val="both"/>
      </w:pPr>
      <w:r w:rsidRPr="00743335">
        <w:t>in combination with a statin or statin with other lipid lowering therapies,</w:t>
      </w:r>
    </w:p>
    <w:p w:rsidR="00A91B6F" w:rsidRPr="00743335" w:rsidRDefault="00A91B6F" w:rsidP="00C9669A">
      <w:pPr>
        <w:pStyle w:val="ListParagraph"/>
        <w:numPr>
          <w:ilvl w:val="1"/>
          <w:numId w:val="6"/>
        </w:numPr>
        <w:ind w:left="1434" w:hanging="357"/>
        <w:jc w:val="both"/>
      </w:pPr>
      <w:r w:rsidRPr="00743335">
        <w:t>in combination with other lipid-lowering therapies in patients who are statin-intolerant.</w:t>
      </w:r>
    </w:p>
    <w:p w:rsidR="00A91B6F" w:rsidRPr="00743335" w:rsidRDefault="00A91B6F" w:rsidP="00C9669A">
      <w:pPr>
        <w:pStyle w:val="ListParagraph"/>
        <w:numPr>
          <w:ilvl w:val="0"/>
          <w:numId w:val="6"/>
        </w:numPr>
        <w:ind w:left="1077" w:hanging="357"/>
        <w:jc w:val="both"/>
      </w:pPr>
      <w:r w:rsidRPr="00743335">
        <w:t>Homozygous familial hypercholesterolaemia (HoFH)</w:t>
      </w:r>
    </w:p>
    <w:p w:rsidR="00A91B6F" w:rsidRPr="00743335" w:rsidRDefault="00A91B6F" w:rsidP="00C9669A">
      <w:pPr>
        <w:pStyle w:val="ListParagraph"/>
        <w:numPr>
          <w:ilvl w:val="1"/>
          <w:numId w:val="6"/>
        </w:numPr>
        <w:ind w:left="1434" w:hanging="357"/>
        <w:jc w:val="both"/>
      </w:pPr>
      <w:r w:rsidRPr="00743335">
        <w:t>in combination with other lipid lowering therapies in adults and adolescents aged 12 years and over.</w:t>
      </w:r>
    </w:p>
    <w:p w:rsidR="00A91B6F" w:rsidRPr="00743335" w:rsidRDefault="000447C4" w:rsidP="00A91B6F">
      <w:pPr>
        <w:pStyle w:val="ListParagraph"/>
        <w:jc w:val="both"/>
      </w:pPr>
      <w:r w:rsidRPr="00743335">
        <w:t>At the time of PBAC consideration, t</w:t>
      </w:r>
      <w:r w:rsidR="00A91B6F" w:rsidRPr="00743335">
        <w:t>he current TGA indication notes that the effect of evolocumab on cardiovascular morbidity and mortality has not yet been determined.</w:t>
      </w:r>
    </w:p>
    <w:p w:rsidR="00A91B6F" w:rsidRPr="00743335" w:rsidRDefault="00A91B6F" w:rsidP="007D1A8C">
      <w:pPr>
        <w:pStyle w:val="ListParagraph"/>
        <w:numPr>
          <w:ilvl w:val="1"/>
          <w:numId w:val="1"/>
        </w:numPr>
        <w:ind w:left="709" w:hanging="709"/>
        <w:jc w:val="both"/>
      </w:pPr>
      <w:r w:rsidRPr="00743335">
        <w:t xml:space="preserve">The resubmission noted that the sponsor is seeking a revision of the TGA indication to include a broader population (any patient with </w:t>
      </w:r>
      <w:r w:rsidR="002641D2" w:rsidRPr="00743335">
        <w:t>hypercholesterolaemia</w:t>
      </w:r>
      <w:r w:rsidRPr="00743335">
        <w:t xml:space="preserve"> OR atherosclerotic cardiovascular disease OR at risk of atherosclerotic cardiovascular disease) based on the availability of cardiovascular outcome data. The sponsor is also requesting TGA approval for evolocumab as a monotherapy agent. The proposed revision is expected to be considered by the TGA in August 2018.</w:t>
      </w:r>
    </w:p>
    <w:p w:rsidR="0017638E" w:rsidRPr="00743335" w:rsidRDefault="0017638E" w:rsidP="000126A7">
      <w:pPr>
        <w:pStyle w:val="Heading2"/>
        <w:shd w:val="clear" w:color="auto" w:fill="FFFFFF" w:themeFill="background1"/>
        <w:rPr>
          <w:i w:val="0"/>
        </w:rPr>
      </w:pPr>
      <w:bookmarkStart w:id="8" w:name="_Toc492314252"/>
      <w:r w:rsidRPr="00743335">
        <w:rPr>
          <w:i w:val="0"/>
        </w:rPr>
        <w:t>Previous PBAC consideration</w:t>
      </w:r>
      <w:bookmarkEnd w:id="8"/>
    </w:p>
    <w:p w:rsidR="00774304" w:rsidRPr="00743335" w:rsidRDefault="00264456" w:rsidP="007D1A8C">
      <w:pPr>
        <w:pStyle w:val="ListParagraph"/>
        <w:numPr>
          <w:ilvl w:val="1"/>
          <w:numId w:val="1"/>
        </w:numPr>
        <w:ind w:left="709" w:hanging="709"/>
        <w:jc w:val="both"/>
      </w:pPr>
      <w:r w:rsidRPr="00743335">
        <w:t>The outstanding matters of concerns from the previous March 2016 PBAC meeting are summarised in the table below</w:t>
      </w:r>
      <w:r w:rsidR="00B17F3D" w:rsidRPr="00743335">
        <w:t>.</w:t>
      </w:r>
    </w:p>
    <w:p w:rsidR="0052590B" w:rsidRPr="00743335" w:rsidRDefault="0052590B">
      <w:pPr>
        <w:spacing w:before="0" w:line="259" w:lineRule="auto"/>
        <w:rPr>
          <w:rFonts w:ascii="Arial Narrow" w:hAnsi="Arial Narrow"/>
          <w:b/>
          <w:sz w:val="20"/>
        </w:rPr>
      </w:pPr>
      <w:r w:rsidRPr="00743335">
        <w:br w:type="page"/>
      </w:r>
    </w:p>
    <w:p w:rsidR="000126A7" w:rsidRPr="00743335" w:rsidRDefault="000126A7" w:rsidP="000126A7">
      <w:pPr>
        <w:pStyle w:val="TableHeading0"/>
      </w:pPr>
      <w:r w:rsidRPr="00743335">
        <w:t xml:space="preserve">Table </w:t>
      </w:r>
      <w:r w:rsidR="009F203E" w:rsidRPr="00743335">
        <w:t>2</w:t>
      </w:r>
      <w:r w:rsidRPr="00743335">
        <w:t>: Outstanding matters of concern from March 2016 resubmission</w:t>
      </w:r>
    </w:p>
    <w:tbl>
      <w:tblPr>
        <w:tblStyle w:val="TableGrid"/>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Outstanding matters of concern from March 2016 resubmission"/>
      </w:tblPr>
      <w:tblGrid>
        <w:gridCol w:w="1526"/>
        <w:gridCol w:w="3826"/>
        <w:gridCol w:w="3827"/>
      </w:tblGrid>
      <w:tr w:rsidR="00C627CD" w:rsidRPr="00743335" w:rsidTr="00C627CD">
        <w:trPr>
          <w:cnfStyle w:val="100000000000" w:firstRow="1" w:lastRow="0" w:firstColumn="0" w:lastColumn="0" w:oddVBand="0" w:evenVBand="0" w:oddHBand="0" w:evenHBand="0" w:firstRowFirstColumn="0" w:firstRowLastColumn="0" w:lastRowFirstColumn="0" w:lastRowLastColumn="0"/>
          <w:cantSplit/>
          <w:tblHeader/>
        </w:trPr>
        <w:tc>
          <w:tcPr>
            <w:tcW w:w="1526" w:type="dxa"/>
            <w:shd w:val="clear" w:color="auto" w:fill="FFFFFF" w:themeFill="background1"/>
          </w:tcPr>
          <w:p w:rsidR="00C627CD" w:rsidRPr="00743335" w:rsidRDefault="00C627CD" w:rsidP="003A6D1B">
            <w:pPr>
              <w:pStyle w:val="TableText"/>
              <w:keepNext w:val="0"/>
              <w:widowControl w:val="0"/>
              <w:rPr>
                <w:lang w:val="en-AU"/>
              </w:rPr>
            </w:pPr>
            <w:r w:rsidRPr="00743335">
              <w:rPr>
                <w:lang w:val="en-AU"/>
              </w:rPr>
              <w:t>Component</w:t>
            </w:r>
          </w:p>
        </w:tc>
        <w:tc>
          <w:tcPr>
            <w:tcW w:w="3826" w:type="dxa"/>
            <w:shd w:val="clear" w:color="auto" w:fill="auto"/>
          </w:tcPr>
          <w:p w:rsidR="00C627CD" w:rsidRPr="00743335" w:rsidRDefault="00C627CD" w:rsidP="003A6D1B">
            <w:pPr>
              <w:pStyle w:val="TableText"/>
              <w:keepNext w:val="0"/>
              <w:widowControl w:val="0"/>
              <w:rPr>
                <w:lang w:val="en-AU"/>
              </w:rPr>
            </w:pPr>
            <w:r w:rsidRPr="00743335">
              <w:rPr>
                <w:lang w:val="en-AU"/>
              </w:rPr>
              <w:t>Matter of concern</w:t>
            </w:r>
          </w:p>
        </w:tc>
        <w:tc>
          <w:tcPr>
            <w:tcW w:w="3827" w:type="dxa"/>
            <w:shd w:val="clear" w:color="auto" w:fill="auto"/>
          </w:tcPr>
          <w:p w:rsidR="00C627CD" w:rsidRPr="00743335" w:rsidRDefault="00C627CD" w:rsidP="003A6D1B">
            <w:pPr>
              <w:pStyle w:val="TableText"/>
              <w:keepNext w:val="0"/>
              <w:widowControl w:val="0"/>
              <w:jc w:val="center"/>
              <w:rPr>
                <w:lang w:val="en-AU"/>
              </w:rPr>
            </w:pPr>
            <w:r w:rsidRPr="00743335">
              <w:rPr>
                <w:lang w:val="en-AU"/>
              </w:rPr>
              <w:t>How the resubmission addresses it</w:t>
            </w:r>
          </w:p>
        </w:tc>
      </w:tr>
      <w:tr w:rsidR="00C627CD" w:rsidRPr="00743335" w:rsidTr="00FA0860">
        <w:trPr>
          <w:cantSplit/>
        </w:trPr>
        <w:tc>
          <w:tcPr>
            <w:tcW w:w="1526" w:type="dxa"/>
            <w:vAlign w:val="center"/>
          </w:tcPr>
          <w:p w:rsidR="00C627CD" w:rsidRPr="00743335" w:rsidRDefault="005B51DB" w:rsidP="00FA0860">
            <w:pPr>
              <w:pStyle w:val="TableText"/>
              <w:keepNext w:val="0"/>
              <w:widowControl w:val="0"/>
              <w:rPr>
                <w:lang w:val="en-AU"/>
              </w:rPr>
            </w:pPr>
            <w:r w:rsidRPr="00743335">
              <w:rPr>
                <w:lang w:val="en-AU"/>
              </w:rPr>
              <w:t>Clinical/</w:t>
            </w:r>
            <w:r w:rsidRPr="00743335">
              <w:rPr>
                <w:lang w:val="en-AU"/>
              </w:rPr>
              <w:br/>
              <w:t>Economic issue</w:t>
            </w:r>
          </w:p>
        </w:tc>
        <w:tc>
          <w:tcPr>
            <w:tcW w:w="3826" w:type="dxa"/>
            <w:vAlign w:val="center"/>
          </w:tcPr>
          <w:p w:rsidR="00C627CD" w:rsidRPr="00743335" w:rsidRDefault="00C627CD" w:rsidP="003A6D1B">
            <w:pPr>
              <w:pStyle w:val="TableText"/>
              <w:keepNext w:val="0"/>
              <w:widowControl w:val="0"/>
              <w:jc w:val="both"/>
              <w:rPr>
                <w:lang w:val="en-AU"/>
              </w:rPr>
            </w:pPr>
            <w:r w:rsidRPr="00743335">
              <w:rPr>
                <w:lang w:val="en-AU"/>
              </w:rPr>
              <w:t xml:space="preserve">[6.34] The current published literature supports the hypothesis that a reduction in </w:t>
            </w:r>
            <w:r w:rsidR="00FD3D08" w:rsidRPr="00743335">
              <w:rPr>
                <w:lang w:val="en-AU"/>
              </w:rPr>
              <w:t>LDL-c</w:t>
            </w:r>
            <w:r w:rsidRPr="00743335">
              <w:rPr>
                <w:lang w:val="en-AU"/>
              </w:rPr>
              <w:t xml:space="preserve"> levels is associated with a reduction in cardiovascular risk. Therefore the greater </w:t>
            </w:r>
            <w:r w:rsidR="00FD3D08" w:rsidRPr="00743335">
              <w:rPr>
                <w:lang w:val="en-AU"/>
              </w:rPr>
              <w:t>LDL-c</w:t>
            </w:r>
            <w:r w:rsidRPr="00743335">
              <w:rPr>
                <w:lang w:val="en-AU"/>
              </w:rPr>
              <w:t xml:space="preserve"> reductions associated with evolocumab treatment compared to ezetimibe and placebo might translate into meaningful reductions in cardiovascular events. However, the magnitude of benefit remains unclear.</w:t>
            </w:r>
          </w:p>
        </w:tc>
        <w:tc>
          <w:tcPr>
            <w:tcW w:w="3827" w:type="dxa"/>
          </w:tcPr>
          <w:p w:rsidR="00C627CD" w:rsidRPr="00743335" w:rsidRDefault="00C627CD" w:rsidP="003A6D1B">
            <w:pPr>
              <w:pStyle w:val="TableText"/>
              <w:keepNext w:val="0"/>
              <w:widowControl w:val="0"/>
              <w:rPr>
                <w:lang w:val="en-AU"/>
              </w:rPr>
            </w:pPr>
            <w:r w:rsidRPr="00743335">
              <w:rPr>
                <w:lang w:val="en-AU"/>
              </w:rPr>
              <w:t>The resubmission presented cardiovascular outcome data with evolocumab versus placebo from the key FOURIER trial.</w:t>
            </w: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Clinical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[6.3] Current data are inadequate to reliably inform the comparison of evolocumab and alirocumab.</w:t>
            </w:r>
          </w:p>
        </w:tc>
        <w:tc>
          <w:tcPr>
            <w:tcW w:w="3827" w:type="dxa"/>
          </w:tcPr>
          <w:p w:rsidR="00C627CD" w:rsidRPr="00743335" w:rsidRDefault="00C627CD" w:rsidP="00EF72FB">
            <w:pPr>
              <w:pStyle w:val="TableText"/>
              <w:keepNext w:val="0"/>
              <w:widowControl w:val="0"/>
              <w:rPr>
                <w:lang w:val="en-AU"/>
              </w:rPr>
            </w:pPr>
            <w:r w:rsidRPr="00743335">
              <w:rPr>
                <w:lang w:val="en-AU"/>
              </w:rPr>
              <w:t xml:space="preserve">The resubmission presented updated indirect analysis of evolocumab versus alirocumab with additional studies and subset populations (e.g. </w:t>
            </w:r>
            <w:r w:rsidR="00EF72FB" w:rsidRPr="00743335">
              <w:rPr>
                <w:lang w:val="en-AU"/>
              </w:rPr>
              <w:t>FH</w:t>
            </w:r>
            <w:r w:rsidRPr="00743335">
              <w:rPr>
                <w:lang w:val="en-AU"/>
              </w:rPr>
              <w:t>, inadequate control on statins)</w:t>
            </w:r>
            <w:r w:rsidR="00A17525" w:rsidRPr="00743335">
              <w:rPr>
                <w:lang w:val="en-AU"/>
              </w:rPr>
              <w:t>.</w:t>
            </w: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Economic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[6.41] The economic analysis should be interpreted with caution as the approach used in the submission lacked transparency and was reliant on complex methods to populate the model.</w:t>
            </w:r>
          </w:p>
        </w:tc>
        <w:tc>
          <w:tcPr>
            <w:tcW w:w="3827" w:type="dxa"/>
            <w:vMerge w:val="restart"/>
          </w:tcPr>
          <w:p w:rsidR="00C627CD" w:rsidRPr="00743335" w:rsidRDefault="00C627CD" w:rsidP="003A6D1B">
            <w:pPr>
              <w:pStyle w:val="TableText"/>
              <w:keepNext w:val="0"/>
              <w:widowControl w:val="0"/>
              <w:jc w:val="both"/>
              <w:rPr>
                <w:lang w:val="en-AU"/>
              </w:rPr>
            </w:pPr>
            <w:r w:rsidRPr="00743335">
              <w:rPr>
                <w:lang w:val="en-AU"/>
              </w:rPr>
              <w:t>The resubmission reduced complexity by removing the Framingham risk equations (with additional risk multipliers) and estimating cardiovascular risk (with additional risk multipliers) from alternative data sources/assumptions. The resubmission also reduced complexity by the removal of time dependent transitions when the time origin is not the start of the model (‘tunnel states’).</w:t>
            </w:r>
          </w:p>
          <w:p w:rsidR="00C627CD" w:rsidRPr="00743335" w:rsidRDefault="00C627CD" w:rsidP="003A6D1B">
            <w:pPr>
              <w:pStyle w:val="TableText"/>
              <w:keepNext w:val="0"/>
              <w:widowControl w:val="0"/>
              <w:jc w:val="both"/>
              <w:rPr>
                <w:lang w:val="en-AU"/>
              </w:rPr>
            </w:pP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Economic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 xml:space="preserve">[6.47] Key issues with the economic model included the modelling of patient characteristics and the estimation of the underlying cardiovascular risk as well as the impact of these estimates on the transformation of </w:t>
            </w:r>
            <w:r w:rsidR="00FD3D08" w:rsidRPr="00743335">
              <w:rPr>
                <w:lang w:val="en-AU"/>
              </w:rPr>
              <w:t>LDL-c</w:t>
            </w:r>
            <w:r w:rsidRPr="00743335">
              <w:rPr>
                <w:lang w:val="en-AU"/>
              </w:rPr>
              <w:t xml:space="preserve"> outcomes to cardiovascular outcomes. The issues had a moderate-to-high impact on the model and generally </w:t>
            </w:r>
            <w:r w:rsidR="005E1157" w:rsidRPr="00743335">
              <w:rPr>
                <w:lang w:val="en-AU"/>
              </w:rPr>
              <w:t>favoured</w:t>
            </w:r>
            <w:r w:rsidRPr="00743335">
              <w:rPr>
                <w:lang w:val="en-AU"/>
              </w:rPr>
              <w:t xml:space="preserve"> evolocumab</w:t>
            </w:r>
            <w:r w:rsidR="00A17525" w:rsidRPr="00743335">
              <w:rPr>
                <w:lang w:val="en-AU"/>
              </w:rPr>
              <w:t>.</w:t>
            </w:r>
          </w:p>
        </w:tc>
        <w:tc>
          <w:tcPr>
            <w:tcW w:w="3827" w:type="dxa"/>
            <w:vMerge/>
          </w:tcPr>
          <w:p w:rsidR="00C627CD" w:rsidRPr="00743335" w:rsidRDefault="00C627CD" w:rsidP="003A6D1B">
            <w:pPr>
              <w:pStyle w:val="TableText"/>
              <w:keepNext w:val="0"/>
              <w:widowControl w:val="0"/>
              <w:rPr>
                <w:lang w:val="en-AU"/>
              </w:rPr>
            </w:pP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Economic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[6.47] A key issue with the economic model was the assumption of perfect persistence</w:t>
            </w:r>
            <w:r w:rsidR="00A17525" w:rsidRPr="00743335">
              <w:rPr>
                <w:lang w:val="en-AU"/>
              </w:rPr>
              <w:t>.</w:t>
            </w:r>
          </w:p>
        </w:tc>
        <w:tc>
          <w:tcPr>
            <w:tcW w:w="3827" w:type="dxa"/>
          </w:tcPr>
          <w:p w:rsidR="00C627CD" w:rsidRPr="00743335" w:rsidRDefault="00C627CD" w:rsidP="003A6D1B">
            <w:pPr>
              <w:pStyle w:val="TableText"/>
              <w:keepNext w:val="0"/>
              <w:widowControl w:val="0"/>
              <w:rPr>
                <w:lang w:val="en-AU"/>
              </w:rPr>
            </w:pPr>
            <w:r w:rsidRPr="00743335">
              <w:rPr>
                <w:lang w:val="en-AU"/>
              </w:rPr>
              <w:t>The resubmission maintained this assumption but changed the structure of the model to allow testing of persistence rates in sensitivity analyses</w:t>
            </w:r>
            <w:r w:rsidR="00A17525" w:rsidRPr="00743335">
              <w:rPr>
                <w:lang w:val="en-AU"/>
              </w:rPr>
              <w:t>.</w:t>
            </w: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Economic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[7.6] The PBAC considered that the cost-effectiveness of evolocumab when used to treat heterozygous familial hypercholesterolaemia was unacceptably high and uncertain and that further clinical evidence for this population was required.</w:t>
            </w:r>
          </w:p>
        </w:tc>
        <w:tc>
          <w:tcPr>
            <w:tcW w:w="3827" w:type="dxa"/>
          </w:tcPr>
          <w:p w:rsidR="00C627CD" w:rsidRPr="00743335" w:rsidRDefault="00C627CD" w:rsidP="00EF72FB">
            <w:pPr>
              <w:pStyle w:val="TableText"/>
              <w:keepNext w:val="0"/>
              <w:widowControl w:val="0"/>
              <w:rPr>
                <w:lang w:val="en-AU"/>
              </w:rPr>
            </w:pPr>
            <w:r w:rsidRPr="00743335">
              <w:rPr>
                <w:lang w:val="en-AU"/>
              </w:rPr>
              <w:t xml:space="preserve">The resubmission acknowledged the limited available data in heterozygous </w:t>
            </w:r>
            <w:r w:rsidR="00EF72FB" w:rsidRPr="00743335">
              <w:rPr>
                <w:lang w:val="en-AU"/>
              </w:rPr>
              <w:t>FH</w:t>
            </w:r>
            <w:r w:rsidRPr="00743335">
              <w:rPr>
                <w:lang w:val="en-AU"/>
              </w:rPr>
              <w:t xml:space="preserve"> but argued that the surrogate to final relationship between </w:t>
            </w:r>
            <w:r w:rsidR="00FD3D08" w:rsidRPr="00743335">
              <w:rPr>
                <w:lang w:val="en-AU"/>
              </w:rPr>
              <w:t>LDL-c</w:t>
            </w:r>
            <w:r w:rsidRPr="00743335">
              <w:rPr>
                <w:lang w:val="en-AU"/>
              </w:rPr>
              <w:t xml:space="preserve"> and cardiovascular outcomes (supported by the FOURIER study) is generalisable to the target PBS populations</w:t>
            </w:r>
            <w:r w:rsidR="00A17525" w:rsidRPr="00743335">
              <w:rPr>
                <w:lang w:val="en-AU"/>
              </w:rPr>
              <w:t>.</w:t>
            </w:r>
          </w:p>
        </w:tc>
      </w:tr>
      <w:tr w:rsidR="00C627CD" w:rsidRPr="00743335" w:rsidTr="00FA0860">
        <w:trPr>
          <w:cantSplit/>
        </w:trPr>
        <w:tc>
          <w:tcPr>
            <w:tcW w:w="1526" w:type="dxa"/>
            <w:vAlign w:val="center"/>
          </w:tcPr>
          <w:p w:rsidR="00C627CD" w:rsidRPr="00743335" w:rsidRDefault="005B51DB" w:rsidP="000B7D5A">
            <w:pPr>
              <w:pStyle w:val="TableText"/>
              <w:keepNext w:val="0"/>
              <w:widowControl w:val="0"/>
              <w:rPr>
                <w:lang w:val="en-AU"/>
              </w:rPr>
            </w:pPr>
            <w:r w:rsidRPr="00743335">
              <w:rPr>
                <w:lang w:val="en-AU"/>
              </w:rPr>
              <w:t>Fina</w:t>
            </w:r>
            <w:r w:rsidR="00294942" w:rsidRPr="00743335">
              <w:rPr>
                <w:lang w:val="en-AU"/>
              </w:rPr>
              <w:t>n</w:t>
            </w:r>
            <w:r w:rsidRPr="00743335">
              <w:rPr>
                <w:lang w:val="en-AU"/>
              </w:rPr>
              <w:t>cial issue</w:t>
            </w:r>
          </w:p>
        </w:tc>
        <w:tc>
          <w:tcPr>
            <w:tcW w:w="3826" w:type="dxa"/>
            <w:vAlign w:val="center"/>
          </w:tcPr>
          <w:p w:rsidR="00C627CD" w:rsidRPr="00743335" w:rsidRDefault="00C627CD" w:rsidP="003A6D1B">
            <w:pPr>
              <w:pStyle w:val="TableText"/>
              <w:keepNext w:val="0"/>
              <w:widowControl w:val="0"/>
              <w:rPr>
                <w:lang w:val="en-AU"/>
              </w:rPr>
            </w:pPr>
            <w:r w:rsidRPr="00743335">
              <w:rPr>
                <w:lang w:val="en-AU"/>
              </w:rPr>
              <w:t>[6.59] The estimated cost of listing evolocumab on the PBS is highly uncertain due to assumptions regarding the proportion of patients diagnosed with familial hypercholesterolaemia, the proportion of patients eligible for treatment under the proposed restriction and likely treatment adherence in clinical practice.</w:t>
            </w:r>
          </w:p>
        </w:tc>
        <w:tc>
          <w:tcPr>
            <w:tcW w:w="3827" w:type="dxa"/>
          </w:tcPr>
          <w:p w:rsidR="00C627CD" w:rsidRPr="00743335" w:rsidRDefault="00C627CD" w:rsidP="003A6D1B">
            <w:pPr>
              <w:pStyle w:val="TableText"/>
              <w:keepNext w:val="0"/>
              <w:widowControl w:val="0"/>
              <w:rPr>
                <w:lang w:val="en-AU"/>
              </w:rPr>
            </w:pPr>
            <w:r w:rsidRPr="00743335">
              <w:rPr>
                <w:lang w:val="en-AU"/>
              </w:rPr>
              <w:t>The resubmission presented revised budget impact estimates based on data from additional sources. The resubmission stated that uncertainty can be managed through a risk share arrangement</w:t>
            </w:r>
            <w:r w:rsidR="00A17525" w:rsidRPr="00743335">
              <w:rPr>
                <w:lang w:val="en-AU"/>
              </w:rPr>
              <w:t>.</w:t>
            </w:r>
          </w:p>
        </w:tc>
      </w:tr>
    </w:tbl>
    <w:p w:rsidR="00264456" w:rsidRPr="00743335" w:rsidRDefault="000126A7" w:rsidP="000126A7">
      <w:pPr>
        <w:pStyle w:val="TableFooter"/>
      </w:pPr>
      <w:r w:rsidRPr="00743335">
        <w:t>Source: Table 1.1-6 (p 20-21) of the resubmission</w:t>
      </w:r>
    </w:p>
    <w:p w:rsidR="00C317F3" w:rsidRPr="00743335" w:rsidRDefault="00C317F3" w:rsidP="002001C6">
      <w:pPr>
        <w:pStyle w:val="Heading1"/>
        <w:ind w:left="709" w:hanging="709"/>
      </w:pPr>
      <w:bookmarkStart w:id="9" w:name="_Toc492314253"/>
      <w:r w:rsidRPr="00743335">
        <w:t>Population and disease</w:t>
      </w:r>
      <w:bookmarkEnd w:id="9"/>
    </w:p>
    <w:p w:rsidR="00C317F3" w:rsidRPr="00743335" w:rsidRDefault="00F24145" w:rsidP="007D1A8C">
      <w:pPr>
        <w:pStyle w:val="ListParagraph"/>
        <w:numPr>
          <w:ilvl w:val="1"/>
          <w:numId w:val="1"/>
        </w:numPr>
        <w:ind w:left="709" w:hanging="709"/>
        <w:jc w:val="both"/>
      </w:pPr>
      <w:r w:rsidRPr="00743335">
        <w:t>Hypercholesterolaemia is a condition characterised by elevated serum cholesterol levels and is associated with the development of atherosclerosis and an increased incidence of angina, myocardial infarction, stroke, coronary artery disease and peripheral vascular disease.</w:t>
      </w:r>
    </w:p>
    <w:p w:rsidR="00B12DBE" w:rsidRPr="00743335" w:rsidRDefault="00F24145" w:rsidP="007D1A8C">
      <w:pPr>
        <w:pStyle w:val="ListParagraph"/>
        <w:numPr>
          <w:ilvl w:val="1"/>
          <w:numId w:val="1"/>
        </w:numPr>
        <w:ind w:left="709" w:hanging="709"/>
        <w:jc w:val="both"/>
        <w:rPr>
          <w:i/>
        </w:rPr>
      </w:pPr>
      <w:r w:rsidRPr="00743335">
        <w:t xml:space="preserve">The target population in the resubmission is the subset of </w:t>
      </w:r>
      <w:r w:rsidR="002641D2" w:rsidRPr="00743335">
        <w:t>hypercholesterolaemia</w:t>
      </w:r>
      <w:r w:rsidRPr="00743335">
        <w:t xml:space="preserve"> patients with high risk of cardiovascular events due to </w:t>
      </w:r>
      <w:r w:rsidR="00EF72FB" w:rsidRPr="00743335">
        <w:t>FH</w:t>
      </w:r>
      <w:r w:rsidRPr="00743335">
        <w:t xml:space="preserve"> with very high </w:t>
      </w:r>
      <w:r w:rsidR="00FD3D08" w:rsidRPr="00743335">
        <w:t>LDL-c</w:t>
      </w:r>
      <w:r w:rsidR="00B12DBE" w:rsidRPr="00743335">
        <w:t xml:space="preserve"> </w:t>
      </w:r>
      <w:r w:rsidRPr="00743335">
        <w:t>levels</w:t>
      </w:r>
      <w:r w:rsidR="003E1E30" w:rsidRPr="00743335">
        <w:t xml:space="preserve"> (&gt;</w:t>
      </w:r>
      <w:r w:rsidR="00D45DCB" w:rsidRPr="00743335">
        <w:t xml:space="preserve"> </w:t>
      </w:r>
      <w:r w:rsidR="003E1E30" w:rsidRPr="00743335">
        <w:t>5.0</w:t>
      </w:r>
      <w:r w:rsidR="00D45DCB" w:rsidRPr="00743335">
        <w:t xml:space="preserve"> </w:t>
      </w:r>
      <w:r w:rsidR="003E1E30" w:rsidRPr="00743335">
        <w:t xml:space="preserve">mmol/L) </w:t>
      </w:r>
      <w:r w:rsidRPr="00743335">
        <w:t>OR non-</w:t>
      </w:r>
      <w:r w:rsidR="00EF72FB" w:rsidRPr="00743335">
        <w:t>FH</w:t>
      </w:r>
      <w:r w:rsidRPr="00743335">
        <w:t xml:space="preserve"> with </w:t>
      </w:r>
      <w:r w:rsidR="003E1E30" w:rsidRPr="00743335">
        <w:t xml:space="preserve">established </w:t>
      </w:r>
      <w:r w:rsidR="00EF72FB" w:rsidRPr="00743335">
        <w:t>ASCVD</w:t>
      </w:r>
      <w:r w:rsidR="00D45DCB" w:rsidRPr="00743335">
        <w:t xml:space="preserve"> and high LDL</w:t>
      </w:r>
      <w:r w:rsidR="00EF72FB" w:rsidRPr="00743335">
        <w:t>-c</w:t>
      </w:r>
      <w:r w:rsidR="00D45DCB" w:rsidRPr="00743335">
        <w:t xml:space="preserve"> levels (&gt; 3.3 </w:t>
      </w:r>
      <w:r w:rsidR="00B12DBE" w:rsidRPr="00743335">
        <w:t>mmol/L) despite maximal tolerated dose of statins.</w:t>
      </w:r>
    </w:p>
    <w:p w:rsidR="00C317F3" w:rsidRPr="00743335" w:rsidRDefault="006E4AFC" w:rsidP="007D1A8C">
      <w:pPr>
        <w:pStyle w:val="ListParagraph"/>
        <w:numPr>
          <w:ilvl w:val="1"/>
          <w:numId w:val="1"/>
        </w:numPr>
        <w:ind w:left="709" w:hanging="709"/>
        <w:jc w:val="both"/>
      </w:pPr>
      <w:r w:rsidRPr="00743335">
        <w:t>The resubmission claimed that evolocumab would replace or be used in addition to other non-statin therapies for hypercholesterolaemia</w:t>
      </w:r>
      <w:r w:rsidR="00B12DBE" w:rsidRPr="00743335">
        <w:t>.</w:t>
      </w:r>
    </w:p>
    <w:p w:rsidR="00C317F3" w:rsidRPr="00743335" w:rsidRDefault="00C317F3" w:rsidP="002001C6">
      <w:pPr>
        <w:pStyle w:val="Heading1"/>
        <w:ind w:left="709" w:hanging="709"/>
      </w:pPr>
      <w:bookmarkStart w:id="10" w:name="_Toc413139275"/>
      <w:bookmarkStart w:id="11" w:name="_Toc492314254"/>
      <w:r w:rsidRPr="00743335">
        <w:t>Comparator</w:t>
      </w:r>
      <w:bookmarkEnd w:id="10"/>
      <w:bookmarkEnd w:id="11"/>
    </w:p>
    <w:p w:rsidR="006E4AFC" w:rsidRPr="00743335" w:rsidRDefault="006E4AFC" w:rsidP="007D1A8C">
      <w:pPr>
        <w:pStyle w:val="ListParagraph"/>
        <w:numPr>
          <w:ilvl w:val="1"/>
          <w:numId w:val="1"/>
        </w:numPr>
        <w:ind w:left="709" w:hanging="709"/>
        <w:jc w:val="both"/>
      </w:pPr>
      <w:r w:rsidRPr="00743335">
        <w:t xml:space="preserve">The resubmission nominated both ezetimibe (most widely used non-statin therapy) and placebo as the main comparators. </w:t>
      </w:r>
      <w:r w:rsidR="00C704BF" w:rsidRPr="00743335">
        <w:t xml:space="preserve">The </w:t>
      </w:r>
      <w:r w:rsidR="00A7093E" w:rsidRPr="00743335">
        <w:t>PBAC</w:t>
      </w:r>
      <w:r w:rsidR="00C704BF" w:rsidRPr="00743335">
        <w:t xml:space="preserve"> considered this </w:t>
      </w:r>
      <w:r w:rsidRPr="00743335">
        <w:t>was appropriate.</w:t>
      </w:r>
    </w:p>
    <w:p w:rsidR="006E4AFC" w:rsidRPr="00743335" w:rsidRDefault="006E4AFC" w:rsidP="007D1A8C">
      <w:pPr>
        <w:pStyle w:val="ListParagraph"/>
        <w:numPr>
          <w:ilvl w:val="1"/>
          <w:numId w:val="1"/>
        </w:numPr>
        <w:ind w:left="709" w:hanging="709"/>
        <w:jc w:val="both"/>
      </w:pPr>
      <w:r w:rsidRPr="00743335">
        <w:t>The resubmission also nominated alirocumab as a near</w:t>
      </w:r>
      <w:r w:rsidR="002B3EE1" w:rsidRPr="00743335">
        <w:t xml:space="preserve"> </w:t>
      </w:r>
      <w:r w:rsidR="00A17525" w:rsidRPr="00743335">
        <w:t xml:space="preserve">market </w:t>
      </w:r>
      <w:r w:rsidRPr="00743335">
        <w:t xml:space="preserve">comparator on the basis that it is a similar agent to evolocumab (same drug class) with overlapping indications. </w:t>
      </w:r>
      <w:r w:rsidR="00C704BF" w:rsidRPr="00743335">
        <w:t xml:space="preserve">The </w:t>
      </w:r>
      <w:r w:rsidR="00A7093E" w:rsidRPr="00743335">
        <w:t>PBAC</w:t>
      </w:r>
      <w:r w:rsidR="00C704BF" w:rsidRPr="00743335">
        <w:t xml:space="preserve"> considered this nomination was appropriate</w:t>
      </w:r>
      <w:r w:rsidRPr="00743335">
        <w:t>.</w:t>
      </w:r>
    </w:p>
    <w:p w:rsidR="006E4AFC" w:rsidRPr="00743335" w:rsidRDefault="006E4AFC" w:rsidP="007D1A8C">
      <w:pPr>
        <w:pStyle w:val="ListParagraph"/>
        <w:numPr>
          <w:ilvl w:val="1"/>
          <w:numId w:val="1"/>
        </w:numPr>
        <w:ind w:left="709" w:hanging="709"/>
        <w:jc w:val="both"/>
      </w:pPr>
      <w:r w:rsidRPr="00743335">
        <w:t>Other non-statin therapies could also be relevant secondary comparators (fibrates, bile acid sequestrants, nicotinic acid derivatives) particularly in high risk populations such as the proposed PBS population which require intensive lipid management and therefore may need multiple therapeutic agents.</w:t>
      </w:r>
      <w:r w:rsidR="00C704BF" w:rsidRPr="00743335">
        <w:t xml:space="preserve"> However,</w:t>
      </w:r>
      <w:r w:rsidR="00C63263" w:rsidRPr="00743335">
        <w:t xml:space="preserve"> the</w:t>
      </w:r>
      <w:r w:rsidR="00C704BF" w:rsidRPr="00743335">
        <w:t xml:space="preserve"> ESC noted that non-statin therapies</w:t>
      </w:r>
      <w:r w:rsidR="00BB5477">
        <w:t>,</w:t>
      </w:r>
      <w:r w:rsidR="00C704BF" w:rsidRPr="00743335">
        <w:t xml:space="preserve"> other than ezetimibe </w:t>
      </w:r>
      <w:r w:rsidR="00775567">
        <w:t xml:space="preserve">in combination with statins, </w:t>
      </w:r>
      <w:r w:rsidR="00C704BF" w:rsidRPr="00743335">
        <w:t>have not been shown to result in a reduction of cardiovascular events.</w:t>
      </w:r>
      <w:r w:rsidR="0096520B" w:rsidRPr="00743335">
        <w:t xml:space="preserve"> The PBAC agreed the nominated comparators were the most relevant for assessment of cost-effectiveness of evolocumab.</w:t>
      </w:r>
    </w:p>
    <w:p w:rsidR="008C7D41" w:rsidRPr="00743335" w:rsidRDefault="008C7D41" w:rsidP="008C7D41">
      <w:pPr>
        <w:pStyle w:val="ListParagraph"/>
        <w:ind w:left="709"/>
        <w:jc w:val="both"/>
        <w:rPr>
          <w:i/>
        </w:rPr>
      </w:pPr>
      <w:r w:rsidRPr="00743335">
        <w:rPr>
          <w:i/>
        </w:rPr>
        <w:t>For more detail on PBAC’s view, see section 7 PBAC outcome.</w:t>
      </w:r>
    </w:p>
    <w:p w:rsidR="00C317F3" w:rsidRPr="00743335" w:rsidRDefault="00C317F3" w:rsidP="002001C6">
      <w:pPr>
        <w:pStyle w:val="Heading1"/>
        <w:ind w:left="709" w:hanging="709"/>
      </w:pPr>
      <w:bookmarkStart w:id="12" w:name="_Toc413139276"/>
      <w:bookmarkStart w:id="13" w:name="_Toc492314255"/>
      <w:r w:rsidRPr="00743335">
        <w:t>Consideration of the evidence</w:t>
      </w:r>
      <w:bookmarkEnd w:id="12"/>
      <w:bookmarkEnd w:id="13"/>
    </w:p>
    <w:p w:rsidR="0041694C" w:rsidRPr="00743335" w:rsidRDefault="0041694C" w:rsidP="00C9669A">
      <w:pPr>
        <w:pStyle w:val="Heading2"/>
      </w:pPr>
      <w:bookmarkStart w:id="14" w:name="_Toc413139277"/>
      <w:bookmarkStart w:id="15" w:name="_Toc492314256"/>
      <w:r w:rsidRPr="00743335">
        <w:t>Sponsor hearing</w:t>
      </w:r>
    </w:p>
    <w:p w:rsidR="008D4009" w:rsidRPr="00743335" w:rsidRDefault="0041694C" w:rsidP="007D1A8C">
      <w:pPr>
        <w:pStyle w:val="ListParagraph"/>
        <w:numPr>
          <w:ilvl w:val="1"/>
          <w:numId w:val="1"/>
        </w:numPr>
        <w:ind w:left="709" w:hanging="709"/>
        <w:jc w:val="both"/>
      </w:pPr>
      <w:r w:rsidRPr="00743335">
        <w:t xml:space="preserve">The sponsor requested a hearing for this item. </w:t>
      </w:r>
      <w:r w:rsidR="000B1D63" w:rsidRPr="00743335">
        <w:t xml:space="preserve"> The sponsor</w:t>
      </w:r>
      <w:r w:rsidR="00A17525" w:rsidRPr="00743335">
        <w:t xml:space="preserve"> </w:t>
      </w:r>
      <w:r w:rsidR="000B1D63" w:rsidRPr="00743335">
        <w:t>clarif</w:t>
      </w:r>
      <w:r w:rsidR="00A17525" w:rsidRPr="00743335">
        <w:t>ied</w:t>
      </w:r>
      <w:r w:rsidR="000B1D63" w:rsidRPr="00743335">
        <w:t xml:space="preserve"> that the FH population</w:t>
      </w:r>
      <w:r w:rsidRPr="00743335">
        <w:t xml:space="preserve"> </w:t>
      </w:r>
      <w:r w:rsidR="000B1D63" w:rsidRPr="00743335">
        <w:t xml:space="preserve">had the highest unmet clinical need and </w:t>
      </w:r>
      <w:r w:rsidR="00A17525" w:rsidRPr="00743335">
        <w:t>acknowledged that</w:t>
      </w:r>
      <w:r w:rsidR="000B1D63" w:rsidRPr="00743335">
        <w:t xml:space="preserve"> further work may be required to establish</w:t>
      </w:r>
      <w:r w:rsidR="00BB5477">
        <w:t xml:space="preserve"> </w:t>
      </w:r>
      <w:r w:rsidR="00BB5477" w:rsidRPr="00BB5477">
        <w:t>the most cost-effective approach to make PCSK9 inhibitors available in the larger non-FH population.</w:t>
      </w:r>
      <w:r w:rsidR="000B1D63" w:rsidRPr="00743335">
        <w:t xml:space="preserve"> </w:t>
      </w:r>
      <w:r w:rsidRPr="00743335">
        <w:t xml:space="preserve">The clinician presented </w:t>
      </w:r>
      <w:r w:rsidR="000B1D63" w:rsidRPr="00743335">
        <w:t xml:space="preserve">the </w:t>
      </w:r>
      <w:r w:rsidRPr="00743335">
        <w:t>clinical</w:t>
      </w:r>
      <w:r w:rsidR="000B1D63" w:rsidRPr="00743335">
        <w:t xml:space="preserve"> argument for the plausibility of the intermediate outcomes of </w:t>
      </w:r>
      <w:r w:rsidR="004B5EBB" w:rsidRPr="00743335">
        <w:t xml:space="preserve">reduced </w:t>
      </w:r>
      <w:r w:rsidR="00FC4E63" w:rsidRPr="00743335">
        <w:t>myocardial infarction (</w:t>
      </w:r>
      <w:r w:rsidR="004B5EBB" w:rsidRPr="00743335">
        <w:t>MI</w:t>
      </w:r>
      <w:r w:rsidR="00FC4E63" w:rsidRPr="00743335">
        <w:t>)</w:t>
      </w:r>
      <w:r w:rsidR="004B5EBB" w:rsidRPr="00743335">
        <w:t xml:space="preserve"> and stroke </w:t>
      </w:r>
      <w:r w:rsidR="000B1D63" w:rsidRPr="00743335">
        <w:t>l</w:t>
      </w:r>
      <w:r w:rsidR="004B5EBB" w:rsidRPr="00743335">
        <w:t>e</w:t>
      </w:r>
      <w:r w:rsidR="000B1D63" w:rsidRPr="00743335">
        <w:t>ading to</w:t>
      </w:r>
      <w:r w:rsidR="004B5EBB" w:rsidRPr="00743335">
        <w:t xml:space="preserve"> better survival, despite </w:t>
      </w:r>
      <w:r w:rsidR="00FC4E63" w:rsidRPr="00743335">
        <w:t>lack of CV mortality benefit</w:t>
      </w:r>
      <w:r w:rsidR="004B5EBB" w:rsidRPr="00743335">
        <w:t xml:space="preserve">s </w:t>
      </w:r>
      <w:r w:rsidR="00FC4E63" w:rsidRPr="00743335">
        <w:t>in</w:t>
      </w:r>
      <w:r w:rsidR="004B5EBB" w:rsidRPr="00743335">
        <w:t xml:space="preserve"> the FOURIER trial, and that a </w:t>
      </w:r>
      <w:r w:rsidR="007F7043">
        <w:rPr>
          <w:noProof/>
          <w:color w:val="000000"/>
          <w:highlight w:val="black"/>
        </w:rPr>
        <w:t>''''''''''''''''''''</w:t>
      </w:r>
      <w:r w:rsidR="004B5EBB" w:rsidRPr="00743335">
        <w:t xml:space="preserve"> year lag in achieving a CV mortality benefit </w:t>
      </w:r>
      <w:r w:rsidR="00823E73">
        <w:t>has been seen in previous statin studies and is more biologically plausible</w:t>
      </w:r>
      <w:r w:rsidR="004B5EBB" w:rsidRPr="00743335">
        <w:t>. The clinic</w:t>
      </w:r>
      <w:r w:rsidR="008D1929" w:rsidRPr="00743335">
        <w:t>i</w:t>
      </w:r>
      <w:r w:rsidR="004B5EBB" w:rsidRPr="00743335">
        <w:t>an further argued that due to the higher risk of CV event</w:t>
      </w:r>
      <w:r w:rsidR="008D1929" w:rsidRPr="00743335">
        <w:t>s</w:t>
      </w:r>
      <w:r w:rsidR="004B5EBB" w:rsidRPr="00743335">
        <w:t>, the FH population are very compliant with statin therapy and the requirement in the restriction to have had at least three months treatment with a maximum tolerated dose of a statin</w:t>
      </w:r>
      <w:r w:rsidR="000B1D63" w:rsidRPr="00743335">
        <w:t xml:space="preserve"> </w:t>
      </w:r>
      <w:r w:rsidR="004B5EBB" w:rsidRPr="00743335">
        <w:t>was reasonable</w:t>
      </w:r>
      <w:r w:rsidR="008D1929" w:rsidRPr="00743335">
        <w:t xml:space="preserve"> and would not require </w:t>
      </w:r>
      <w:r w:rsidR="004F36B4" w:rsidRPr="00743335">
        <w:t>further</w:t>
      </w:r>
      <w:r w:rsidR="008D1929" w:rsidRPr="00743335">
        <w:t xml:space="preserve"> qualification</w:t>
      </w:r>
      <w:r w:rsidR="004B5EBB" w:rsidRPr="00743335">
        <w:t xml:space="preserve">. In response to the PBAC query about the appropriate LDL-c </w:t>
      </w:r>
      <w:r w:rsidR="00FC4E63" w:rsidRPr="00743335">
        <w:t xml:space="preserve">threshold </w:t>
      </w:r>
      <w:r w:rsidR="008D4009" w:rsidRPr="00743335">
        <w:t xml:space="preserve">for defining eligibility for </w:t>
      </w:r>
      <w:r w:rsidR="004F36B4" w:rsidRPr="00743335">
        <w:t>treatment</w:t>
      </w:r>
      <w:r w:rsidR="00FC4E63" w:rsidRPr="00743335">
        <w:t>,</w:t>
      </w:r>
      <w:r w:rsidR="008D4009" w:rsidRPr="00743335">
        <w:t xml:space="preserve"> the </w:t>
      </w:r>
      <w:r w:rsidR="004F36B4" w:rsidRPr="00743335">
        <w:t>clinician</w:t>
      </w:r>
      <w:r w:rsidR="008D4009" w:rsidRPr="00743335">
        <w:t xml:space="preserve"> </w:t>
      </w:r>
      <w:r w:rsidR="00FC4E63" w:rsidRPr="00743335">
        <w:t>stat</w:t>
      </w:r>
      <w:r w:rsidR="008D4009" w:rsidRPr="00743335">
        <w:t xml:space="preserve">ed that the requirement for </w:t>
      </w:r>
      <w:r w:rsidR="00812333">
        <w:t>&gt;</w:t>
      </w:r>
      <w:r w:rsidR="008D4009" w:rsidRPr="00743335">
        <w:t>5</w:t>
      </w:r>
      <w:r w:rsidR="004F36B4" w:rsidRPr="00743335">
        <w:t xml:space="preserve"> </w:t>
      </w:r>
      <w:r w:rsidR="008D4009" w:rsidRPr="00743335">
        <w:t xml:space="preserve">mmol/L in the absence of a prior </w:t>
      </w:r>
      <w:r w:rsidR="00EC226B" w:rsidRPr="00743335">
        <w:t xml:space="preserve">CV </w:t>
      </w:r>
      <w:r w:rsidR="008D4009" w:rsidRPr="00743335">
        <w:t xml:space="preserve">event was reasonable and reflects patients who will present regularly with complications who may achieve </w:t>
      </w:r>
      <w:r w:rsidR="008D1929" w:rsidRPr="00743335">
        <w:t xml:space="preserve">a </w:t>
      </w:r>
      <w:r w:rsidR="008D4009" w:rsidRPr="00743335">
        <w:t xml:space="preserve">clinically meaningful reduction with a PCSK9 inhibitor and statin </w:t>
      </w:r>
      <w:r w:rsidR="00FC4E63" w:rsidRPr="00743335">
        <w:t>combination</w:t>
      </w:r>
      <w:r w:rsidR="00812333">
        <w:t>.  The clinician also felt that &gt;</w:t>
      </w:r>
      <w:r w:rsidR="008D4009" w:rsidRPr="00743335">
        <w:t>3.3</w:t>
      </w:r>
      <w:r w:rsidR="004F36B4" w:rsidRPr="00743335">
        <w:t xml:space="preserve"> </w:t>
      </w:r>
      <w:r w:rsidR="008D4009" w:rsidRPr="00743335">
        <w:t>mmol/L is appropriate for those who have established ASCVD.</w:t>
      </w:r>
      <w:r w:rsidR="00B6694C" w:rsidRPr="00743335">
        <w:t xml:space="preserve"> The PBAC considered that the hearing was informative. </w:t>
      </w:r>
    </w:p>
    <w:p w:rsidR="0041694C" w:rsidRPr="00743335" w:rsidRDefault="0041694C" w:rsidP="00C9669A">
      <w:pPr>
        <w:pStyle w:val="Heading2"/>
      </w:pPr>
      <w:r w:rsidRPr="00743335">
        <w:t>Consumer comments</w:t>
      </w:r>
    </w:p>
    <w:p w:rsidR="00B6694C" w:rsidRPr="00743335" w:rsidRDefault="0041694C" w:rsidP="007D1A8C">
      <w:pPr>
        <w:pStyle w:val="ListParagraph"/>
        <w:numPr>
          <w:ilvl w:val="1"/>
          <w:numId w:val="1"/>
        </w:numPr>
        <w:ind w:left="709" w:hanging="709"/>
        <w:jc w:val="both"/>
        <w:rPr>
          <w:rFonts w:cs="Arial"/>
          <w:bCs/>
          <w:snapToGrid w:val="0"/>
          <w:color w:val="FF0000"/>
        </w:rPr>
      </w:pPr>
      <w:r w:rsidRPr="00743335">
        <w:rPr>
          <w:rFonts w:cs="Arial"/>
          <w:bCs/>
          <w:snapToGrid w:val="0"/>
        </w:rPr>
        <w:t>The PBAC noted and welcomed the input from individuals (</w:t>
      </w:r>
      <w:r w:rsidR="00B6694C" w:rsidRPr="00743335">
        <w:rPr>
          <w:rFonts w:cs="Arial"/>
          <w:bCs/>
          <w:snapToGrid w:val="0"/>
        </w:rPr>
        <w:t>18</w:t>
      </w:r>
      <w:r w:rsidRPr="00743335">
        <w:rPr>
          <w:rFonts w:cs="Arial"/>
          <w:bCs/>
          <w:snapToGrid w:val="0"/>
        </w:rPr>
        <w:t>), health care professionals (</w:t>
      </w:r>
      <w:r w:rsidR="00B6694C" w:rsidRPr="00743335">
        <w:rPr>
          <w:rFonts w:cs="Arial"/>
          <w:bCs/>
          <w:snapToGrid w:val="0"/>
        </w:rPr>
        <w:t>2</w:t>
      </w:r>
      <w:r w:rsidRPr="00743335">
        <w:rPr>
          <w:rFonts w:cs="Arial"/>
          <w:bCs/>
          <w:snapToGrid w:val="0"/>
        </w:rPr>
        <w:t xml:space="preserve">) and organisations (1) via the Consumer Comments facility on the PBS website.  The comments described </w:t>
      </w:r>
      <w:r w:rsidR="00B6694C" w:rsidRPr="00743335">
        <w:rPr>
          <w:rFonts w:cs="Arial"/>
          <w:bCs/>
          <w:snapToGrid w:val="0"/>
        </w:rPr>
        <w:t>the high clinical need for patients, both with and without FH, who require effective therapies to lower LDL-c to less than 1.8</w:t>
      </w:r>
      <w:r w:rsidR="001A12BE" w:rsidRPr="00743335">
        <w:rPr>
          <w:rFonts w:cs="Arial"/>
          <w:bCs/>
          <w:snapToGrid w:val="0"/>
        </w:rPr>
        <w:t> </w:t>
      </w:r>
      <w:r w:rsidR="00B6694C" w:rsidRPr="00743335">
        <w:rPr>
          <w:rFonts w:cs="Arial"/>
          <w:bCs/>
          <w:snapToGrid w:val="0"/>
        </w:rPr>
        <w:t xml:space="preserve">mmol/L. </w:t>
      </w:r>
      <w:r w:rsidR="00FC4E63" w:rsidRPr="00743335">
        <w:rPr>
          <w:rFonts w:cs="Arial"/>
          <w:bCs/>
          <w:snapToGrid w:val="0"/>
        </w:rPr>
        <w:t>Several</w:t>
      </w:r>
      <w:r w:rsidR="00B6694C" w:rsidRPr="00743335">
        <w:rPr>
          <w:rFonts w:cs="Arial"/>
          <w:bCs/>
          <w:snapToGrid w:val="0"/>
        </w:rPr>
        <w:t xml:space="preserve"> comments describe</w:t>
      </w:r>
      <w:r w:rsidR="001D23AD" w:rsidRPr="00743335">
        <w:rPr>
          <w:rFonts w:cs="Arial"/>
          <w:bCs/>
          <w:snapToGrid w:val="0"/>
        </w:rPr>
        <w:t>d</w:t>
      </w:r>
      <w:r w:rsidR="00B6694C" w:rsidRPr="00743335">
        <w:rPr>
          <w:rFonts w:cs="Arial"/>
          <w:bCs/>
          <w:snapToGrid w:val="0"/>
        </w:rPr>
        <w:t xml:space="preserve"> evol</w:t>
      </w:r>
      <w:r w:rsidR="00FC4E63" w:rsidRPr="00743335">
        <w:rPr>
          <w:rFonts w:cs="Arial"/>
          <w:bCs/>
          <w:snapToGrid w:val="0"/>
        </w:rPr>
        <w:t>o</w:t>
      </w:r>
      <w:r w:rsidR="00B6694C" w:rsidRPr="00743335">
        <w:rPr>
          <w:rFonts w:cs="Arial"/>
          <w:bCs/>
          <w:snapToGrid w:val="0"/>
        </w:rPr>
        <w:t xml:space="preserve">cumab as a safe and effective alternative to statin therapy, to which they are intolerant. </w:t>
      </w:r>
    </w:p>
    <w:p w:rsidR="00C317F3" w:rsidRPr="00743335" w:rsidRDefault="00C317F3" w:rsidP="00C9669A">
      <w:pPr>
        <w:pStyle w:val="Heading2"/>
      </w:pPr>
      <w:r w:rsidRPr="00743335">
        <w:t>Clinical trials</w:t>
      </w:r>
      <w:bookmarkEnd w:id="14"/>
      <w:bookmarkEnd w:id="15"/>
    </w:p>
    <w:p w:rsidR="002E4D0D" w:rsidRPr="00743335" w:rsidRDefault="002E4D0D" w:rsidP="00B365E7">
      <w:pPr>
        <w:pStyle w:val="PBACHeading1"/>
        <w:numPr>
          <w:ilvl w:val="1"/>
          <w:numId w:val="1"/>
        </w:numPr>
        <w:rPr>
          <w:rFonts w:asciiTheme="minorHAnsi" w:hAnsiTheme="minorHAnsi"/>
          <w:b w:val="0"/>
          <w:sz w:val="24"/>
          <w:szCs w:val="24"/>
        </w:rPr>
      </w:pPr>
      <w:r w:rsidRPr="00743335">
        <w:rPr>
          <w:rFonts w:asciiTheme="minorHAnsi" w:hAnsiTheme="minorHAnsi"/>
          <w:b w:val="0"/>
          <w:sz w:val="24"/>
          <w:szCs w:val="24"/>
        </w:rPr>
        <w:t>The resubmission was based on a series of comparisons between evolocumab and nominated comparators:</w:t>
      </w:r>
    </w:p>
    <w:p w:rsidR="002E4D0D" w:rsidRPr="00743335" w:rsidRDefault="002E4D0D" w:rsidP="00C9669A">
      <w:pPr>
        <w:pStyle w:val="ListParagraph"/>
        <w:numPr>
          <w:ilvl w:val="0"/>
          <w:numId w:val="7"/>
        </w:numPr>
        <w:ind w:left="1077" w:hanging="357"/>
        <w:jc w:val="both"/>
      </w:pPr>
      <w:r w:rsidRPr="00743335">
        <w:t xml:space="preserve">One head-to-head comparison of cardiovascular outcomes with evolocumab versus placebo in </w:t>
      </w:r>
      <w:r w:rsidR="002641D2" w:rsidRPr="00743335">
        <w:t>hypercholesterolaemia</w:t>
      </w:r>
      <w:r w:rsidRPr="00743335">
        <w:t xml:space="preserve"> patients with atherosclerotic cardiovascular disease (FOURIER) including an additional safety sub-study investigating neurocognitive effects (EBBINGHAUS). Data from the FOURIER/EBBINGHAUS trial have not previously been considered by the PBAC.</w:t>
      </w:r>
    </w:p>
    <w:p w:rsidR="002E4D0D" w:rsidRPr="00743335" w:rsidRDefault="002E4D0D" w:rsidP="00C9669A">
      <w:pPr>
        <w:pStyle w:val="ListParagraph"/>
        <w:numPr>
          <w:ilvl w:val="0"/>
          <w:numId w:val="7"/>
        </w:numPr>
        <w:ind w:left="1077" w:hanging="357"/>
        <w:jc w:val="both"/>
      </w:pPr>
      <w:r w:rsidRPr="00743335">
        <w:t xml:space="preserve">One head-to-head comparison of atherosclerotic plaque burden with evolocumab versus placebo in </w:t>
      </w:r>
      <w:r w:rsidR="002641D2" w:rsidRPr="00743335">
        <w:t>hypercholesterolaemia</w:t>
      </w:r>
      <w:r w:rsidRPr="00743335">
        <w:t xml:space="preserve"> patients with evidence of coronary disease (GLAGOV). Data from the GLAGOV trial have not previously been considered by the PBAC.</w:t>
      </w:r>
    </w:p>
    <w:p w:rsidR="002E4D0D" w:rsidRPr="00743335" w:rsidRDefault="002E4D0D" w:rsidP="00C9669A">
      <w:pPr>
        <w:pStyle w:val="ListParagraph"/>
        <w:numPr>
          <w:ilvl w:val="0"/>
          <w:numId w:val="7"/>
        </w:numPr>
        <w:ind w:left="1077" w:hanging="357"/>
        <w:jc w:val="both"/>
      </w:pPr>
      <w:r w:rsidRPr="00743335">
        <w:t xml:space="preserve">Direct comparison of lipid outcomes with evolocumab versus placebo or ezetimibe in various </w:t>
      </w:r>
      <w:r w:rsidR="002641D2" w:rsidRPr="00743335">
        <w:t>hypercholesterolaemia</w:t>
      </w:r>
      <w:r w:rsidRPr="00743335">
        <w:t xml:space="preserve"> populations (FOURIER, GLAGOV, GAUSS-2, GAUSS-3, RUTHERFORD-2, LAPLACE-2, MENDEL-2, DESCARTES). Lipid outcomes from FOURIER, GLAGOV, and GAUSS-3 trials have not previously been considered by the PBAC. </w:t>
      </w:r>
    </w:p>
    <w:p w:rsidR="002E4D0D" w:rsidRPr="00743335" w:rsidRDefault="002E4D0D" w:rsidP="00C9669A">
      <w:pPr>
        <w:pStyle w:val="ListParagraph"/>
        <w:numPr>
          <w:ilvl w:val="0"/>
          <w:numId w:val="7"/>
        </w:numPr>
        <w:ind w:left="1077" w:hanging="357"/>
        <w:jc w:val="both"/>
      </w:pPr>
      <w:r w:rsidRPr="00743335">
        <w:t xml:space="preserve">Indirect comparison of lipid outcomes with evolocumab versus alirocumab in various </w:t>
      </w:r>
      <w:r w:rsidR="002641D2" w:rsidRPr="00743335">
        <w:t>hypercholesterolaemia</w:t>
      </w:r>
      <w:r w:rsidRPr="00743335">
        <w:t xml:space="preserve"> populations (GAUSS-2, LAPLACE-1, LAPLACE-2, MENDEL-1, MENDEL-2, RUTHERFORD-2, YUKAWA-1, YUKAWA-2, McKenney 2012, Roth 2012, Stein 2012, Teramoto 2016, ODYSSEY HIGH FH, ODYSSEY ALTERNATIVE, ODYSSEY LONGTERM, ODYSSEY CHOICE-1, ODYSSEY CHOICE-2, ODYSSEY COMBO-I, ODYSSEY COMBO-2, ODYSSEY FH-1, ODYSSEY FH-2, ODYSSEY MONO, ODYSSEY OPTIONS-1, ODYSSEY OPTIONS-2, ODYSSEY JAPAN). The indirect comparison included updated data and </w:t>
      </w:r>
      <w:r w:rsidR="009554D5" w:rsidRPr="00743335">
        <w:t xml:space="preserve">new </w:t>
      </w:r>
      <w:r w:rsidRPr="00743335">
        <w:t>analyses not previously considered by the PBAC.</w:t>
      </w:r>
    </w:p>
    <w:p w:rsidR="00CA702D" w:rsidRPr="00743335" w:rsidRDefault="00C317F3" w:rsidP="00B365E7">
      <w:pPr>
        <w:pStyle w:val="ListParagraph"/>
        <w:numPr>
          <w:ilvl w:val="1"/>
          <w:numId w:val="1"/>
        </w:numPr>
        <w:spacing w:before="0" w:after="120"/>
        <w:jc w:val="both"/>
      </w:pPr>
      <w:r w:rsidRPr="00743335">
        <w:t xml:space="preserve">Details of the trials presented in the </w:t>
      </w:r>
      <w:r w:rsidR="009F203E" w:rsidRPr="00743335">
        <w:t>re</w:t>
      </w:r>
      <w:r w:rsidRPr="00743335">
        <w:t xml:space="preserve">submission are provided in the table below.  </w:t>
      </w:r>
    </w:p>
    <w:p w:rsidR="00CA702D" w:rsidRPr="00743335" w:rsidRDefault="00CA702D" w:rsidP="00CA702D">
      <w:pPr>
        <w:pStyle w:val="TableHeading0"/>
      </w:pPr>
      <w:r w:rsidRPr="00743335">
        <w:t xml:space="preserve">Table </w:t>
      </w:r>
      <w:r w:rsidR="009F203E" w:rsidRPr="00743335">
        <w:t>3</w:t>
      </w:r>
      <w:r w:rsidRPr="00743335">
        <w:t xml:space="preserve">: Trials and associated reports presented in the </w:t>
      </w:r>
      <w:r w:rsidR="009F203E" w:rsidRPr="00743335">
        <w:t>re</w:t>
      </w:r>
      <w:r w:rsidRPr="00743335">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532"/>
        <w:gridCol w:w="2817"/>
      </w:tblGrid>
      <w:tr w:rsidR="00CA702D" w:rsidRPr="00743335" w:rsidTr="000156E5">
        <w:tc>
          <w:tcPr>
            <w:tcW w:w="954" w:type="pct"/>
          </w:tcPr>
          <w:p w:rsidR="00CA702D" w:rsidRPr="00743335" w:rsidRDefault="00CA702D" w:rsidP="000156E5">
            <w:pPr>
              <w:pStyle w:val="TableText"/>
              <w:keepNext w:val="0"/>
              <w:widowControl w:val="0"/>
              <w:rPr>
                <w:b/>
              </w:rPr>
            </w:pPr>
            <w:r w:rsidRPr="00743335">
              <w:rPr>
                <w:b/>
              </w:rPr>
              <w:t>Trial ID</w:t>
            </w:r>
          </w:p>
        </w:tc>
        <w:tc>
          <w:tcPr>
            <w:tcW w:w="2495" w:type="pct"/>
          </w:tcPr>
          <w:p w:rsidR="00CA702D" w:rsidRPr="00743335" w:rsidRDefault="00CA702D" w:rsidP="000156E5">
            <w:pPr>
              <w:pStyle w:val="TableText"/>
              <w:keepNext w:val="0"/>
              <w:widowControl w:val="0"/>
              <w:jc w:val="center"/>
              <w:rPr>
                <w:b/>
              </w:rPr>
            </w:pPr>
            <w:r w:rsidRPr="00743335">
              <w:rPr>
                <w:b/>
              </w:rPr>
              <w:t>Protocol title/ Publication title</w:t>
            </w:r>
          </w:p>
        </w:tc>
        <w:tc>
          <w:tcPr>
            <w:tcW w:w="1551" w:type="pct"/>
          </w:tcPr>
          <w:p w:rsidR="00CA702D" w:rsidRPr="00743335" w:rsidRDefault="00CA702D" w:rsidP="000156E5">
            <w:pPr>
              <w:pStyle w:val="TableText"/>
              <w:keepNext w:val="0"/>
              <w:widowControl w:val="0"/>
              <w:jc w:val="center"/>
              <w:rPr>
                <w:b/>
              </w:rPr>
            </w:pPr>
            <w:r w:rsidRPr="00743335">
              <w:rPr>
                <w:b/>
              </w:rPr>
              <w:t>Publication citation</w:t>
            </w:r>
          </w:p>
        </w:tc>
      </w:tr>
      <w:tr w:rsidR="00CA702D" w:rsidRPr="00743335" w:rsidTr="000156E5">
        <w:tc>
          <w:tcPr>
            <w:tcW w:w="5000" w:type="pct"/>
            <w:gridSpan w:val="3"/>
          </w:tcPr>
          <w:p w:rsidR="00CA702D" w:rsidRPr="00743335" w:rsidRDefault="00CA702D" w:rsidP="000156E5">
            <w:pPr>
              <w:pStyle w:val="TableText"/>
              <w:keepNext w:val="0"/>
              <w:widowControl w:val="0"/>
              <w:rPr>
                <w:b/>
              </w:rPr>
            </w:pPr>
            <w:r w:rsidRPr="00743335">
              <w:rPr>
                <w:b/>
              </w:rPr>
              <w:t>Evolocumab clinical trials</w:t>
            </w:r>
          </w:p>
        </w:tc>
      </w:tr>
      <w:tr w:rsidR="00CA702D" w:rsidRPr="00743335" w:rsidTr="009F203E">
        <w:tc>
          <w:tcPr>
            <w:tcW w:w="954" w:type="pct"/>
            <w:vMerge w:val="restart"/>
            <w:vAlign w:val="center"/>
          </w:tcPr>
          <w:p w:rsidR="00CA702D" w:rsidRPr="00743335" w:rsidRDefault="00CA702D" w:rsidP="000156E5">
            <w:pPr>
              <w:pStyle w:val="Tabletext0"/>
            </w:pPr>
            <w:r w:rsidRPr="00743335">
              <w:t>20080398</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Amgen Clinical Study Report (2012). A Phase 1, Randomised, Double-blind, Placebo-controlled, Ascending Multiple-dose Study to Evaluate the Safety, Tolerability, Pharmacokinetics, and Pharmacodynamics of AMG 145 in Subjects with Hyperlipidemia on Stable Doses of a Statin</w:t>
            </w:r>
          </w:p>
        </w:tc>
        <w:tc>
          <w:tcPr>
            <w:tcW w:w="1551" w:type="pct"/>
            <w:tcBorders>
              <w:bottom w:val="nil"/>
            </w:tcBorders>
            <w:vAlign w:val="center"/>
          </w:tcPr>
          <w:p w:rsidR="00CA702D" w:rsidRPr="00743335" w:rsidRDefault="00CA702D" w:rsidP="000156E5">
            <w:pPr>
              <w:pStyle w:val="TableText"/>
              <w:keepNext w:val="0"/>
              <w:widowControl w:val="0"/>
              <w:jc w:val="both"/>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 xml:space="preserve">Dias C et al (2012). Effects of AMG 145 on Low-Density Lipoprotein Cholesterol Levels Results From 2 Randomised, Double-Blind, Placebo-Controlled, Ascending-Dose Phase 1 Studies in Healthy Volunteers and Hypercholesterolemic Subjects on Statins.  </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Journal of the American College of Cardiology 60: 1888–1898</w:t>
            </w:r>
          </w:p>
        </w:tc>
      </w:tr>
      <w:tr w:rsidR="00CA702D" w:rsidRPr="00743335" w:rsidTr="009F203E">
        <w:tc>
          <w:tcPr>
            <w:tcW w:w="954" w:type="pct"/>
            <w:vMerge w:val="restart"/>
            <w:vAlign w:val="center"/>
          </w:tcPr>
          <w:p w:rsidR="00CA702D" w:rsidRPr="00743335" w:rsidRDefault="00CA702D" w:rsidP="000156E5">
            <w:pPr>
              <w:pStyle w:val="Tabletext0"/>
            </w:pPr>
            <w:r w:rsidRPr="00743335">
              <w:t>20101154</w:t>
            </w:r>
          </w:p>
          <w:p w:rsidR="00CA702D" w:rsidRPr="00743335" w:rsidRDefault="00CA702D" w:rsidP="000156E5">
            <w:pPr>
              <w:pStyle w:val="Tabletext0"/>
            </w:pPr>
            <w:r w:rsidRPr="00743335">
              <w:t>(MENDEL-1)</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(2012). A Randomised, Placebo- and Ezetimibe-controlled, Dose-ranging Study to Evaluate Tolerability and Efficacy of AMG 145 on </w:t>
            </w:r>
            <w:r w:rsidR="00FD3D08" w:rsidRPr="00743335">
              <w:t>LDL-c</w:t>
            </w:r>
            <w:r w:rsidRPr="00743335">
              <w:t xml:space="preserve">-C in Hypercholesterolemic Subjects With a 10-year Framingham Risk Score of 10% or Less (MENDEL-1: Monoclonal antibody against PCSK9 to reduce Elevated </w:t>
            </w:r>
            <w:r w:rsidR="00FD3D08" w:rsidRPr="00743335">
              <w:t>LDL-c</w:t>
            </w:r>
            <w:r w:rsidRPr="00743335">
              <w:t>-C in subjects currently Not receiving Drug therapy for Easing Lipid levels)</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 xml:space="preserve">Koren M et al (2012). Efficacy, safety and tolerability of a monoclonal antibody to protein convertase subtilisin/kexin type 9 as monotherapy in patients with hypercholesterolaemia (MENDEL-1): a randomised, double-blind, placebo-controlled, phase 2 study. </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Lancet 380:1995–2006</w:t>
            </w:r>
          </w:p>
        </w:tc>
      </w:tr>
      <w:tr w:rsidR="00CA702D" w:rsidRPr="00743335" w:rsidTr="009F203E">
        <w:tc>
          <w:tcPr>
            <w:tcW w:w="954" w:type="pct"/>
            <w:vMerge w:val="restart"/>
            <w:vAlign w:val="center"/>
          </w:tcPr>
          <w:p w:rsidR="00CA702D" w:rsidRPr="00743335" w:rsidRDefault="00CA702D" w:rsidP="000156E5">
            <w:pPr>
              <w:pStyle w:val="Tabletext0"/>
            </w:pPr>
            <w:r w:rsidRPr="00743335">
              <w:t>20101155</w:t>
            </w:r>
          </w:p>
          <w:p w:rsidR="00CA702D" w:rsidRPr="00743335" w:rsidRDefault="00CA702D" w:rsidP="000156E5">
            <w:pPr>
              <w:pStyle w:val="Tabletext0"/>
            </w:pPr>
            <w:r w:rsidRPr="00743335">
              <w:t>(LA</w:t>
            </w:r>
            <w:r w:rsidR="00AF3F89" w:rsidRPr="00743335">
              <w:t>PLACE-1</w:t>
            </w:r>
            <w:r w:rsidRPr="00743335">
              <w:t>)</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(2014). A Double-blind, Randomised, Placebo-controlled, Multicenter, Dose-ranging Study to Evaluate Tolerability and Efficacy of AMG 145 on </w:t>
            </w:r>
            <w:r w:rsidR="00FD3D08" w:rsidRPr="00743335">
              <w:t>LDL-c</w:t>
            </w:r>
            <w:r w:rsidRPr="00743335">
              <w:t xml:space="preserve">-C in Combination with HMG-CoA Reductase Inhibitors in Hypercholesterolemic Subjects (LAPLACE: </w:t>
            </w:r>
            <w:r w:rsidR="00FD3D08" w:rsidRPr="00743335">
              <w:t>LDL-c</w:t>
            </w:r>
            <w:r w:rsidRPr="00743335">
              <w:t>-C Assessment w/ PCSK9 monoclonaL Antibody inhibition Combined with statin thErapy)</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 xml:space="preserve">Giugliano R et al (2012). Efficacy, safety and tolerability of a monoclonal antibody to protein convertase subtilisin/kexin type 9 in combination with a statin in patients with hypercholesterolaemia (LAPLACE-TIMI 57): a randomised, placebo-controlled, dose-ranging, phase 2 study. </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Lancet 380: 2007–2017</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20090158</w:t>
            </w:r>
            <w:r w:rsidRPr="00743335">
              <w:rPr>
                <w:rFonts w:ascii="Arial Narrow" w:hAnsi="Arial Narrow"/>
                <w:sz w:val="20"/>
              </w:rPr>
              <w:br/>
              <w:t>(RUTHERFORD-1)</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(2012). A Double-blind, Randomised, Placebo-controlled, Multicenter Study to Evaluate Tolerability and Efficacy of AMG 145 on </w:t>
            </w:r>
            <w:r w:rsidR="00FD3D08" w:rsidRPr="00743335">
              <w:t>LDL-c</w:t>
            </w:r>
            <w:r w:rsidRPr="00743335">
              <w:t>-C in Subjects with Heterozygous Familial hypercholesterolaemia</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 xml:space="preserve">Raal F et al (2012). Low-density lipoprotein cholesterol-lowering effects of AMG 145, a monoclonal antibody to proprotein convertase subtilisin/kexin type 9 serine protease in patients with heterozygous familial hypercholesterolaemia: The reduction of </w:t>
            </w:r>
            <w:r w:rsidR="00FD3D08" w:rsidRPr="00743335">
              <w:t>LDL-c</w:t>
            </w:r>
            <w:r w:rsidRPr="00743335">
              <w:t>-C with PCSK9 inhibition in heterozygous familial hypercholesterolaemia disorder (RUTHERFORD) randomized trial</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Circulation 126: 2408–2417</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20090159</w:t>
            </w:r>
            <w:r w:rsidRPr="00743335">
              <w:rPr>
                <w:rFonts w:ascii="Arial Narrow" w:hAnsi="Arial Narrow"/>
                <w:sz w:val="20"/>
              </w:rPr>
              <w:br/>
              <w:t>(GAUSS-1)</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(2012). A Randomised, Multicenter Study to Evaluate Tolerability and Efficacy of AMG 145 on </w:t>
            </w:r>
            <w:r w:rsidR="00FD3D08" w:rsidRPr="00743335">
              <w:t>LDL-c</w:t>
            </w:r>
            <w:r w:rsidRPr="00743335">
              <w:t>-C, Compared with Ezetimibe, in Hypercholesterolemic Subjects Unable to Tolerate an Effective Dose of a HMG-CoA Reductase Inhibitor (GAUSS: Goal Achievement after Utilising an anti-PCSK9 antibody in Statin Intolerant Subjects)</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Borders>
              <w:bottom w:val="single" w:sz="4" w:space="0" w:color="auto"/>
            </w:tcBorders>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Sullivan D et al (2012). Effect of a monoclonal antibody to PCSK9 on low-density lipoprotein cholesterol levels in statin-intolerant patients: The GAUSS randomized trial</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Journal of the American Medical Association 308: 2497–2506</w:t>
            </w:r>
          </w:p>
        </w:tc>
      </w:tr>
      <w:tr w:rsidR="00CA702D" w:rsidRPr="00743335" w:rsidTr="009F203E">
        <w:tc>
          <w:tcPr>
            <w:tcW w:w="954" w:type="pct"/>
            <w:tcBorders>
              <w:bottom w:val="nil"/>
            </w:tcBorders>
            <w:vAlign w:val="center"/>
          </w:tcPr>
          <w:p w:rsidR="00CA702D" w:rsidRPr="00743335" w:rsidRDefault="00CA702D" w:rsidP="000156E5">
            <w:pPr>
              <w:rPr>
                <w:rFonts w:ascii="Arial Narrow" w:hAnsi="Arial Narrow"/>
                <w:sz w:val="20"/>
              </w:rPr>
            </w:pPr>
            <w:r w:rsidRPr="00743335">
              <w:rPr>
                <w:rFonts w:ascii="Arial Narrow" w:hAnsi="Arial Narrow"/>
                <w:sz w:val="20"/>
              </w:rPr>
              <w:t>20110231</w:t>
            </w:r>
            <w:r w:rsidRPr="00743335">
              <w:rPr>
                <w:rFonts w:ascii="Arial Narrow" w:hAnsi="Arial Narrow"/>
                <w:sz w:val="20"/>
              </w:rPr>
              <w:br/>
              <w:t>(YUKAWA-1)</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(2013). A Double-blind, Randomised, Placebo-controlled, Multicenter Study to Evaluate Tolerability and Efficacy of AMG 145 on </w:t>
            </w:r>
            <w:r w:rsidR="00FD3D08" w:rsidRPr="00743335">
              <w:t>LDL-c</w:t>
            </w:r>
            <w:r w:rsidRPr="00743335">
              <w:t>-C in Combination With Stable Statin Therapy in Japanese Subjects With hypercholesterolaemia and High Cardiovascular Risk</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tcBorders>
              <w:top w:val="nil"/>
            </w:tcBorders>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Hirayama A et al (2014). Effects of evolocumab (AMG 145), a monoclonal antibody to PCSK9, in hypercholesterolemic, statin-treated japanese patients at high cardiovascular risk - Primary results from the phase 2 YUKAWA study</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Circulation Journal 78: 1073–1082</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 20110114</w:t>
            </w:r>
            <w:r w:rsidRPr="00743335">
              <w:rPr>
                <w:rFonts w:ascii="Arial Narrow" w:hAnsi="Arial Narrow"/>
                <w:sz w:val="20"/>
              </w:rPr>
              <w:br/>
              <w:t>(MENDEL-2)</w:t>
            </w:r>
          </w:p>
          <w:p w:rsidR="00CA702D" w:rsidRPr="00743335" w:rsidRDefault="00CA702D" w:rsidP="000156E5">
            <w:pPr>
              <w:pStyle w:val="TableText"/>
              <w:keepNext w:val="0"/>
              <w:widowControl w:val="0"/>
            </w:pPr>
          </w:p>
        </w:tc>
        <w:tc>
          <w:tcPr>
            <w:tcW w:w="2495" w:type="pct"/>
            <w:tcBorders>
              <w:bottom w:val="nil"/>
            </w:tcBorders>
            <w:vAlign w:val="center"/>
          </w:tcPr>
          <w:p w:rsidR="00CA702D" w:rsidRPr="00743335" w:rsidRDefault="00CA702D" w:rsidP="000156E5">
            <w:pPr>
              <w:pStyle w:val="TableText"/>
              <w:keepNext w:val="0"/>
              <w:widowControl w:val="0"/>
              <w:jc w:val="both"/>
            </w:pPr>
            <w:r w:rsidRPr="00743335">
              <w:t>Amgen Clinical Study Report (2014). A Double-blind, Randomised, Placebo and Ezetimibe-controlled, Multicenter Study to Evaluate Safety and Efficacy of Lipid Lowering Monotherapy With AMG 145 in Subjects With a 10-Year Framingham Risk Score of 10% or Less</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Koren MJ et al (2014). Anti-PCSK9 monotherapy for hypercholesterolaemia: The MENDEL-2 randomized, controlled phase III clinical trial of evolocumab</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Journal of the American College of Cardiology 63: 2531–2540</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20110115</w:t>
            </w:r>
            <w:r w:rsidRPr="00743335">
              <w:rPr>
                <w:rFonts w:ascii="Arial Narrow" w:hAnsi="Arial Narrow"/>
                <w:sz w:val="20"/>
              </w:rPr>
              <w:br/>
              <w:t>(LAPLACE-2)</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(2014). A Double-blind, Randomised, Placebo and Ezetimibe Controlled, Multicentre Study to Evaluate Safety, Tolerability and Efficacy of AMG 145 on </w:t>
            </w:r>
            <w:r w:rsidR="00FD3D08" w:rsidRPr="00743335">
              <w:t>LDL-c</w:t>
            </w:r>
            <w:r w:rsidRPr="00743335">
              <w:t>-C in Combination with Statin Therapy in Subjects with Primary hypercholesterolaemia and Mixed Dyslipidemia.</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nil"/>
            </w:tcBorders>
            <w:vAlign w:val="center"/>
          </w:tcPr>
          <w:p w:rsidR="00CA702D" w:rsidRPr="00743335" w:rsidRDefault="00CA702D" w:rsidP="000156E5">
            <w:pPr>
              <w:pStyle w:val="TableText"/>
              <w:keepNext w:val="0"/>
              <w:widowControl w:val="0"/>
              <w:jc w:val="both"/>
            </w:pPr>
            <w:r w:rsidRPr="00743335">
              <w:t xml:space="preserve">Robinson JG et al (2014). Effect of evolocumab or ezetimibe added to moderate- Or high-intensity statin therapy on </w:t>
            </w:r>
            <w:r w:rsidR="00FD3D08" w:rsidRPr="00743335">
              <w:t>LDL-c</w:t>
            </w:r>
            <w:r w:rsidRPr="00743335">
              <w:t>-C lowering in patients with hypercholesterolaemia: The LAPLACE-2 randomized clinical trial</w:t>
            </w:r>
          </w:p>
        </w:tc>
        <w:tc>
          <w:tcPr>
            <w:tcW w:w="1551" w:type="pct"/>
            <w:tcBorders>
              <w:top w:val="nil"/>
              <w:bottom w:val="nil"/>
            </w:tcBorders>
            <w:vAlign w:val="center"/>
          </w:tcPr>
          <w:p w:rsidR="00CA702D" w:rsidRPr="00743335" w:rsidRDefault="00CA702D" w:rsidP="000156E5">
            <w:pPr>
              <w:pStyle w:val="TableText"/>
              <w:keepNext w:val="0"/>
              <w:widowControl w:val="0"/>
            </w:pPr>
            <w:r w:rsidRPr="00743335">
              <w:t>Journal of the American Medical Association 311: 1870–1882</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20110116</w:t>
            </w:r>
            <w:r w:rsidRPr="00743335">
              <w:rPr>
                <w:rFonts w:ascii="Arial Narrow" w:hAnsi="Arial Narrow"/>
                <w:sz w:val="20"/>
              </w:rPr>
              <w:br/>
              <w:t>(GAUSS-2)</w:t>
            </w:r>
          </w:p>
        </w:tc>
        <w:tc>
          <w:tcPr>
            <w:tcW w:w="2495" w:type="pct"/>
            <w:tcBorders>
              <w:top w:val="nil"/>
              <w:bottom w:val="nil"/>
            </w:tcBorders>
            <w:vAlign w:val="center"/>
          </w:tcPr>
          <w:p w:rsidR="00CA702D" w:rsidRPr="00743335" w:rsidRDefault="00CA702D" w:rsidP="000156E5">
            <w:pPr>
              <w:pStyle w:val="TableText"/>
              <w:keepNext w:val="0"/>
              <w:widowControl w:val="0"/>
              <w:jc w:val="both"/>
            </w:pPr>
            <w:r w:rsidRPr="00743335">
              <w:t>Amgen Clinical Study Report (2014). A Double-blind, Randomised, Multicenter Study to Evaluate Safety and Efficacy of AMG 145, Compared With Ezetimibe, in Hypercholesterolemic Subjects Unable to Tolerate an Effective Dose of a HMG-CoA Reductase Inhibitor</w:t>
            </w:r>
          </w:p>
        </w:tc>
        <w:tc>
          <w:tcPr>
            <w:tcW w:w="1551" w:type="pct"/>
            <w:tcBorders>
              <w:top w:val="nil"/>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Stroes E et al (2014). Anti-PCSK9 antibody effectively lowers cholesterol in patients with statin intolerance: The GAUSS-2 randomized, placebo-controlled phase 3 clinical trial of evolocumab</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Journal of the American College of Cardiology 63: 2541–2548</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20110117</w:t>
            </w:r>
            <w:r w:rsidRPr="00743335">
              <w:rPr>
                <w:rFonts w:ascii="Arial Narrow" w:hAnsi="Arial Narrow"/>
                <w:sz w:val="20"/>
              </w:rPr>
              <w:br/>
              <w:t>(RUTHERFORD-2)</w:t>
            </w:r>
          </w:p>
          <w:p w:rsidR="00CA702D" w:rsidRPr="00743335" w:rsidRDefault="00CA702D" w:rsidP="000156E5">
            <w:pPr>
              <w:pStyle w:val="TableText"/>
              <w:keepNext w:val="0"/>
              <w:widowControl w:val="0"/>
            </w:pP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(2014). A double-blind, randomised, placebo-controlled, multicentre study to evaluate safety, tolerability and efficacy of AMG 145 on </w:t>
            </w:r>
            <w:r w:rsidR="00FD3D08" w:rsidRPr="00743335">
              <w:t>LDL-c</w:t>
            </w:r>
            <w:r w:rsidRPr="00743335">
              <w:t>-C in subjects with heterozygous familial hypercholesterolaemia.</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Raal F et al (2015). PCSK9 inhibition with evolocumab (AMG 145) in heterozygous familial hypercholesterolaemia (RUTHERFORD-2): a randomised, double-blind, placebo-controlled trial.</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Lancet 9965: 331–340</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20110109</w:t>
            </w:r>
            <w:r w:rsidRPr="00743335">
              <w:rPr>
                <w:rFonts w:ascii="Arial Narrow" w:hAnsi="Arial Narrow"/>
                <w:sz w:val="20"/>
              </w:rPr>
              <w:br/>
              <w:t>(DESCARTES)</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(2014). A Double-blind, Randomised, Placebo-controlled, Multicenter Study to Evaluate Long-term Tolerability and Durable Efficacy of AMG 145 on </w:t>
            </w:r>
            <w:r w:rsidR="00FD3D08" w:rsidRPr="00743335">
              <w:t>LDL-c</w:t>
            </w:r>
            <w:r w:rsidRPr="00743335">
              <w:t>-C in Hyperlipidemic Subjects</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vAlign w:val="center"/>
          </w:tcPr>
          <w:p w:rsidR="00CA702D" w:rsidRPr="00743335" w:rsidRDefault="00CA702D" w:rsidP="000156E5">
            <w:pPr>
              <w:pStyle w:val="TableText"/>
              <w:keepNext w:val="0"/>
              <w:widowControl w:val="0"/>
            </w:pPr>
          </w:p>
        </w:tc>
        <w:tc>
          <w:tcPr>
            <w:tcW w:w="2495" w:type="pct"/>
            <w:tcBorders>
              <w:top w:val="nil"/>
              <w:bottom w:val="single" w:sz="4" w:space="0" w:color="auto"/>
            </w:tcBorders>
            <w:vAlign w:val="center"/>
          </w:tcPr>
          <w:p w:rsidR="00CA702D" w:rsidRPr="00743335" w:rsidRDefault="00CA702D" w:rsidP="000156E5">
            <w:pPr>
              <w:pStyle w:val="TableText"/>
              <w:keepNext w:val="0"/>
              <w:widowControl w:val="0"/>
              <w:jc w:val="both"/>
            </w:pPr>
            <w:r w:rsidRPr="00743335">
              <w:t xml:space="preserve">Blom D et al (2014).  A 52-week placebo-controlled trial of evolocumab in hyperlipidemia. </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New England Journal of Medicine 370:1809–1819</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20120122</w:t>
            </w:r>
            <w:r w:rsidRPr="00743335">
              <w:rPr>
                <w:rFonts w:ascii="Arial Narrow" w:hAnsi="Arial Narrow"/>
                <w:sz w:val="20"/>
              </w:rPr>
              <w:br/>
              <w:t>(YUKAWA-2)</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(2013). A Double-blind, Randomised, Placebo-Controlled, Multicenter Study to Evaluate Safety, Tolerability and Efficacy of AMG 145 on </w:t>
            </w:r>
            <w:r w:rsidR="00FD3D08" w:rsidRPr="00743335">
              <w:t>LDL-c</w:t>
            </w:r>
            <w:r w:rsidRPr="00743335">
              <w:t>-C in Combination With Statin Therapy in Japanese Subjects With High Cardiovascular Risk and With Hyperlipidemia or Mixed Dyslipidemia</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bottom w:val="single" w:sz="4" w:space="0" w:color="auto"/>
            </w:tcBorders>
          </w:tcPr>
          <w:p w:rsidR="00CA702D" w:rsidRPr="00743335" w:rsidRDefault="00CA702D" w:rsidP="000156E5">
            <w:pPr>
              <w:pStyle w:val="TableText"/>
              <w:keepNext w:val="0"/>
              <w:widowControl w:val="0"/>
              <w:jc w:val="both"/>
            </w:pPr>
            <w:r w:rsidRPr="00743335">
              <w:t>Kiyosue et al (2016). A Phase 3 Study of Evolocumab (AMG 145) in Statin-Treated Japanese Patients at HighCardiovascular Risk</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American Journal of Cardiology 117: 40–47</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20120332</w:t>
            </w:r>
            <w:r w:rsidRPr="00743335">
              <w:rPr>
                <w:rFonts w:ascii="Arial Narrow" w:hAnsi="Arial Narrow"/>
                <w:sz w:val="20"/>
              </w:rPr>
              <w:br/>
              <w:t>(GAUSS-3)</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Amgen Clinical Study Report (2016). A Double-blind, Randomised, Multicenter Study to Evaluate the Safety and Efficacy of AMG 145, Compared With Ezetimibe, in Hypercholesterolemic Subjects Unable to Tolerate an Effective Dose of a HMG-CoA Reductase Inhibitor Due to Muscle Related Side Effects</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bottom w:val="single" w:sz="4" w:space="0" w:color="auto"/>
            </w:tcBorders>
          </w:tcPr>
          <w:p w:rsidR="00CA702D" w:rsidRPr="00743335" w:rsidRDefault="00CA702D" w:rsidP="000156E5">
            <w:pPr>
              <w:pStyle w:val="TableText"/>
              <w:keepNext w:val="0"/>
              <w:widowControl w:val="0"/>
              <w:jc w:val="both"/>
            </w:pPr>
            <w:r w:rsidRPr="00743335">
              <w:t>Nissen SE et al (2016). Efficacy and tolerability of evolocumab vs ezetimibe in patients with muscle-related statin intolerance.  The GAUSS-3 randomised clinical trial</w:t>
            </w:r>
          </w:p>
        </w:tc>
        <w:tc>
          <w:tcPr>
            <w:tcW w:w="1551" w:type="pct"/>
            <w:tcBorders>
              <w:top w:val="nil"/>
              <w:bottom w:val="single" w:sz="4" w:space="0" w:color="auto"/>
            </w:tcBorders>
            <w:vAlign w:val="center"/>
          </w:tcPr>
          <w:p w:rsidR="00CA702D" w:rsidRPr="00743335" w:rsidRDefault="00CA702D" w:rsidP="000156E5">
            <w:pPr>
              <w:pStyle w:val="TableText"/>
              <w:keepNext w:val="0"/>
              <w:widowControl w:val="0"/>
            </w:pPr>
            <w:r w:rsidRPr="00743335">
              <w:t>Journal of the American Medical Association 315: 1580–1590</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20110118</w:t>
            </w:r>
            <w:r w:rsidRPr="00743335">
              <w:rPr>
                <w:rFonts w:ascii="Arial Narrow" w:hAnsi="Arial Narrow"/>
                <w:sz w:val="20"/>
              </w:rPr>
              <w:br/>
              <w:t>(FOURIER)</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 xml:space="preserve">Amgen Clinical Study Report (2017). A Double-blind, Randomised, Placebo-controlled, Multicenter Study Assessing the Impact of Additional </w:t>
            </w:r>
            <w:r w:rsidR="00FD3D08" w:rsidRPr="00743335">
              <w:t>LDL-c</w:t>
            </w:r>
            <w:r w:rsidRPr="00743335">
              <w:t>-Cholesterol Reduction on Major Cardiovascular Events When AMG 145 is Used in Combination With Statin Therapy in Patients with Clinically Evident Cardiovascular Disease</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bottom w:val="single" w:sz="4" w:space="0" w:color="auto"/>
            </w:tcBorders>
          </w:tcPr>
          <w:p w:rsidR="00CA702D" w:rsidRPr="00743335" w:rsidRDefault="00CA702D" w:rsidP="000156E5">
            <w:pPr>
              <w:pStyle w:val="TableText"/>
              <w:keepNext w:val="0"/>
              <w:widowControl w:val="0"/>
              <w:jc w:val="both"/>
            </w:pPr>
            <w:r w:rsidRPr="00743335">
              <w:t>Sabatine MS et al (2017). Evolocumab and Clinical Outcomes in Patients with Cardiovascular Disease</w:t>
            </w:r>
          </w:p>
        </w:tc>
        <w:tc>
          <w:tcPr>
            <w:tcW w:w="1551" w:type="pct"/>
            <w:tcBorders>
              <w:top w:val="nil"/>
              <w:bottom w:val="single" w:sz="4" w:space="0" w:color="auto"/>
            </w:tcBorders>
          </w:tcPr>
          <w:p w:rsidR="00CA702D" w:rsidRPr="00743335" w:rsidRDefault="00CA702D" w:rsidP="000156E5">
            <w:pPr>
              <w:pStyle w:val="TableText"/>
              <w:keepNext w:val="0"/>
              <w:widowControl w:val="0"/>
            </w:pPr>
            <w:r w:rsidRPr="00743335">
              <w:t>New England Journal of Medicine 376: 1713-1722</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20130385</w:t>
            </w:r>
            <w:r w:rsidRPr="00743335">
              <w:rPr>
                <w:rFonts w:ascii="Arial Narrow" w:hAnsi="Arial Narrow"/>
                <w:sz w:val="20"/>
              </w:rPr>
              <w:br/>
              <w:t>(EBBINGHAUS)</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Amgen Clinical Study Report (2017). A Double-Blind, Placebo Controlled, Multicenter Study to Assess the Effect of Evolocumab on Cognitive Function in Patients with Clinically Evident Cardiovascular Disease and Receiving Statin Background Lipid Lowering Therapy: A Study for Subjects Enrolled in the FOURIER (Study 20110118) Trial</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bottom w:val="single" w:sz="4" w:space="0" w:color="auto"/>
            </w:tcBorders>
          </w:tcPr>
          <w:p w:rsidR="00CA702D" w:rsidRPr="00743335" w:rsidRDefault="00CA702D" w:rsidP="000156E5">
            <w:pPr>
              <w:pStyle w:val="TableText"/>
              <w:keepNext w:val="0"/>
              <w:widowControl w:val="0"/>
              <w:jc w:val="both"/>
            </w:pPr>
            <w:r w:rsidRPr="00743335">
              <w:t>Giugliano et al (2017). Cognitive Function in a Randomized Trial of Evolocumab</w:t>
            </w:r>
          </w:p>
        </w:tc>
        <w:tc>
          <w:tcPr>
            <w:tcW w:w="1551" w:type="pct"/>
            <w:tcBorders>
              <w:top w:val="nil"/>
              <w:bottom w:val="single" w:sz="4" w:space="0" w:color="auto"/>
            </w:tcBorders>
          </w:tcPr>
          <w:p w:rsidR="00CA702D" w:rsidRPr="00743335" w:rsidRDefault="00CA702D" w:rsidP="000156E5">
            <w:pPr>
              <w:pStyle w:val="TableText"/>
              <w:keepNext w:val="0"/>
              <w:widowControl w:val="0"/>
            </w:pPr>
            <w:r w:rsidRPr="00743335">
              <w:t>New England Journal of Medicine 377: 633-643</w:t>
            </w:r>
          </w:p>
        </w:tc>
      </w:tr>
      <w:tr w:rsidR="00CA702D" w:rsidRPr="00743335" w:rsidTr="009F203E">
        <w:tc>
          <w:tcPr>
            <w:tcW w:w="954" w:type="pct"/>
            <w:vMerge w:val="restart"/>
            <w:vAlign w:val="center"/>
          </w:tcPr>
          <w:p w:rsidR="00CA702D" w:rsidRPr="00743335" w:rsidRDefault="00CA702D" w:rsidP="000156E5">
            <w:pPr>
              <w:rPr>
                <w:rFonts w:ascii="Arial Narrow" w:hAnsi="Arial Narrow"/>
                <w:sz w:val="20"/>
              </w:rPr>
            </w:pPr>
            <w:r w:rsidRPr="00743335">
              <w:rPr>
                <w:rFonts w:ascii="Arial Narrow" w:hAnsi="Arial Narrow"/>
                <w:sz w:val="20"/>
              </w:rPr>
              <w:t>20120153</w:t>
            </w:r>
            <w:r w:rsidRPr="00743335">
              <w:rPr>
                <w:rFonts w:ascii="Arial Narrow" w:hAnsi="Arial Narrow"/>
                <w:sz w:val="20"/>
              </w:rPr>
              <w:br/>
              <w:t>(GLAGOV)</w:t>
            </w:r>
          </w:p>
        </w:tc>
        <w:tc>
          <w:tcPr>
            <w:tcW w:w="2495" w:type="pct"/>
            <w:tcBorders>
              <w:bottom w:val="nil"/>
            </w:tcBorders>
            <w:vAlign w:val="center"/>
          </w:tcPr>
          <w:p w:rsidR="00CA702D" w:rsidRPr="00743335" w:rsidRDefault="00CA702D" w:rsidP="000156E5">
            <w:pPr>
              <w:pStyle w:val="TableText"/>
              <w:keepNext w:val="0"/>
              <w:widowControl w:val="0"/>
              <w:jc w:val="both"/>
            </w:pPr>
            <w:r w:rsidRPr="00743335">
              <w:t>Amgen Clinical Study Report (2016). A Randomised, Multi-center, Placebo-controlled, Parallel Group Study to Determine the Effects of AMG 145 Treatment on Atherosclerotic Disease Burden As Measured By Intravascular Ultrasound in Subjects Undergoing Coronary Catheterisation</w:t>
            </w:r>
          </w:p>
        </w:tc>
        <w:tc>
          <w:tcPr>
            <w:tcW w:w="1551" w:type="pct"/>
            <w:tcBorders>
              <w:bottom w:val="nil"/>
            </w:tcBorders>
            <w:vAlign w:val="center"/>
          </w:tcPr>
          <w:p w:rsidR="00CA702D" w:rsidRPr="00743335" w:rsidRDefault="00CA702D" w:rsidP="000156E5">
            <w:pPr>
              <w:pStyle w:val="TableText"/>
              <w:keepNext w:val="0"/>
              <w:widowControl w:val="0"/>
            </w:pPr>
            <w:r w:rsidRPr="00743335">
              <w:t>Internal study report</w:t>
            </w:r>
          </w:p>
        </w:tc>
      </w:tr>
      <w:tr w:rsidR="00CA702D" w:rsidRPr="00743335" w:rsidTr="009F203E">
        <w:tc>
          <w:tcPr>
            <w:tcW w:w="954" w:type="pct"/>
            <w:vMerge/>
          </w:tcPr>
          <w:p w:rsidR="00CA702D" w:rsidRPr="00743335" w:rsidRDefault="00CA702D" w:rsidP="000156E5">
            <w:pPr>
              <w:pStyle w:val="TableText"/>
              <w:keepNext w:val="0"/>
              <w:widowControl w:val="0"/>
            </w:pPr>
          </w:p>
        </w:tc>
        <w:tc>
          <w:tcPr>
            <w:tcW w:w="2495" w:type="pct"/>
            <w:tcBorders>
              <w:top w:val="nil"/>
            </w:tcBorders>
          </w:tcPr>
          <w:p w:rsidR="00CA702D" w:rsidRPr="00743335" w:rsidRDefault="00CA702D" w:rsidP="000156E5">
            <w:pPr>
              <w:pStyle w:val="TableText"/>
              <w:keepNext w:val="0"/>
              <w:widowControl w:val="0"/>
              <w:jc w:val="both"/>
            </w:pPr>
            <w:r w:rsidRPr="00743335">
              <w:t>Nicholls SJ et al (2016). Effect of Evolocumab on Progression of Coronary Disease in Statin-Treated Patients. The GLAGOV Randomised Clinical Trial</w:t>
            </w:r>
          </w:p>
        </w:tc>
        <w:tc>
          <w:tcPr>
            <w:tcW w:w="1551" w:type="pct"/>
            <w:tcBorders>
              <w:top w:val="nil"/>
            </w:tcBorders>
            <w:vAlign w:val="center"/>
          </w:tcPr>
          <w:p w:rsidR="00CA702D" w:rsidRPr="00743335" w:rsidRDefault="00CA702D" w:rsidP="000156E5">
            <w:pPr>
              <w:pStyle w:val="TableText"/>
              <w:keepNext w:val="0"/>
              <w:widowControl w:val="0"/>
            </w:pPr>
            <w:r w:rsidRPr="00743335">
              <w:t>Journal of the American Medical Association 316: 2373-2384</w:t>
            </w:r>
          </w:p>
        </w:tc>
      </w:tr>
      <w:tr w:rsidR="00CA702D" w:rsidRPr="00743335" w:rsidTr="000156E5">
        <w:tc>
          <w:tcPr>
            <w:tcW w:w="5000" w:type="pct"/>
            <w:gridSpan w:val="3"/>
          </w:tcPr>
          <w:p w:rsidR="00CA702D" w:rsidRPr="00743335" w:rsidRDefault="00CA702D" w:rsidP="000156E5">
            <w:pPr>
              <w:pStyle w:val="TableText"/>
              <w:keepNext w:val="0"/>
              <w:widowControl w:val="0"/>
              <w:rPr>
                <w:b/>
              </w:rPr>
            </w:pPr>
            <w:r w:rsidRPr="00743335">
              <w:rPr>
                <w:b/>
              </w:rPr>
              <w:t>Alirocumab clinical trials</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McKenney </w:t>
            </w:r>
            <w:r w:rsidRPr="00743335">
              <w:rPr>
                <w:rFonts w:ascii="Arial Narrow" w:hAnsi="Arial Narrow"/>
                <w:sz w:val="20"/>
              </w:rPr>
              <w:br/>
              <w:t>(2012)</w:t>
            </w:r>
          </w:p>
        </w:tc>
        <w:tc>
          <w:tcPr>
            <w:tcW w:w="2495" w:type="pct"/>
            <w:vAlign w:val="center"/>
          </w:tcPr>
          <w:p w:rsidR="00CA702D" w:rsidRPr="00743335" w:rsidRDefault="00CA702D" w:rsidP="000156E5">
            <w:pPr>
              <w:pStyle w:val="TableText"/>
              <w:keepNext w:val="0"/>
              <w:widowControl w:val="0"/>
              <w:jc w:val="both"/>
            </w:pPr>
            <w:r w:rsidRPr="00743335">
              <w:t>McKenney JM et al (2012). Safety and efficacy of a monoclonal antibody to proprotein convertase subtilisin/kexin type 9 serine protease, SAR236553/REGN727, in patients with primary hypercholesterolaemia receiving ongoing stable atorvastatin therapy.</w:t>
            </w:r>
          </w:p>
        </w:tc>
        <w:tc>
          <w:tcPr>
            <w:tcW w:w="1551" w:type="pct"/>
            <w:vAlign w:val="center"/>
          </w:tcPr>
          <w:p w:rsidR="00CA702D" w:rsidRPr="00743335" w:rsidRDefault="00CA702D" w:rsidP="000156E5">
            <w:pPr>
              <w:pStyle w:val="TableText"/>
              <w:keepNext w:val="0"/>
              <w:widowControl w:val="0"/>
            </w:pPr>
            <w:r w:rsidRPr="00743335">
              <w:t>Journal of the American College of Cardiology 59: 2344–2353</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Stein </w:t>
            </w:r>
            <w:r w:rsidRPr="00743335">
              <w:rPr>
                <w:rFonts w:ascii="Arial Narrow" w:hAnsi="Arial Narrow"/>
                <w:sz w:val="20"/>
              </w:rPr>
              <w:br/>
              <w:t>(2012)</w:t>
            </w:r>
          </w:p>
        </w:tc>
        <w:tc>
          <w:tcPr>
            <w:tcW w:w="2495" w:type="pct"/>
            <w:vAlign w:val="center"/>
          </w:tcPr>
          <w:p w:rsidR="00CA702D" w:rsidRPr="00743335" w:rsidRDefault="00CA702D" w:rsidP="000156E5">
            <w:pPr>
              <w:pStyle w:val="TableText"/>
              <w:keepNext w:val="0"/>
              <w:widowControl w:val="0"/>
              <w:jc w:val="both"/>
            </w:pPr>
            <w:r w:rsidRPr="00743335">
              <w:t>Stein EA et al (2012). Effect of a monoclonal antibody to PCSK9, REGN727/SAR236553, to reduce low-density lipoprotein cholesterol in patients with heterozygous familial hypercholesterolaemia on stable statin dose with or without ezetimibe therapy: a phase 2 randomised controlled trial.</w:t>
            </w:r>
          </w:p>
        </w:tc>
        <w:tc>
          <w:tcPr>
            <w:tcW w:w="1551" w:type="pct"/>
            <w:vAlign w:val="center"/>
          </w:tcPr>
          <w:p w:rsidR="00CA702D" w:rsidRPr="00743335" w:rsidRDefault="00CA702D" w:rsidP="000156E5">
            <w:pPr>
              <w:pStyle w:val="TableText"/>
              <w:keepNext w:val="0"/>
              <w:widowControl w:val="0"/>
            </w:pPr>
            <w:r w:rsidRPr="00743335">
              <w:t>Lancet 380: 29–36</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Roth </w:t>
            </w:r>
            <w:r w:rsidRPr="00743335">
              <w:rPr>
                <w:rFonts w:ascii="Arial Narrow" w:hAnsi="Arial Narrow"/>
                <w:sz w:val="20"/>
              </w:rPr>
              <w:br/>
              <w:t>(2012)</w:t>
            </w:r>
          </w:p>
        </w:tc>
        <w:tc>
          <w:tcPr>
            <w:tcW w:w="2495" w:type="pct"/>
            <w:vAlign w:val="center"/>
          </w:tcPr>
          <w:p w:rsidR="00CA702D" w:rsidRPr="00743335" w:rsidRDefault="00CA702D" w:rsidP="000156E5">
            <w:pPr>
              <w:pStyle w:val="TableText"/>
              <w:keepNext w:val="0"/>
              <w:widowControl w:val="0"/>
              <w:jc w:val="both"/>
            </w:pPr>
            <w:r w:rsidRPr="00743335">
              <w:t>Roth EM et al (2012). Atorvastatin with or without an antibody to PCSK9 in primary hypercholesterolaemia.</w:t>
            </w:r>
          </w:p>
        </w:tc>
        <w:tc>
          <w:tcPr>
            <w:tcW w:w="1551" w:type="pct"/>
            <w:vAlign w:val="center"/>
          </w:tcPr>
          <w:p w:rsidR="00CA702D" w:rsidRPr="00743335" w:rsidRDefault="00CA702D" w:rsidP="000156E5">
            <w:pPr>
              <w:pStyle w:val="TableText"/>
              <w:keepNext w:val="0"/>
              <w:widowControl w:val="0"/>
            </w:pPr>
            <w:r w:rsidRPr="00743335">
              <w:t>New England Journal of Medicine 367: 1891–1900</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Teramoto </w:t>
            </w:r>
            <w:r w:rsidRPr="00743335">
              <w:rPr>
                <w:rFonts w:ascii="Arial Narrow" w:hAnsi="Arial Narrow"/>
                <w:sz w:val="20"/>
              </w:rPr>
              <w:br/>
              <w:t>(2014)</w:t>
            </w:r>
          </w:p>
        </w:tc>
        <w:tc>
          <w:tcPr>
            <w:tcW w:w="2495" w:type="pct"/>
            <w:vAlign w:val="center"/>
          </w:tcPr>
          <w:p w:rsidR="00CA702D" w:rsidRPr="00743335" w:rsidRDefault="00CA702D" w:rsidP="000156E5">
            <w:pPr>
              <w:pStyle w:val="TableText"/>
              <w:keepNext w:val="0"/>
              <w:widowControl w:val="0"/>
              <w:jc w:val="both"/>
            </w:pPr>
            <w:r w:rsidRPr="00743335">
              <w:t xml:space="preserve">Teramoto T et al (2014). Efficacy and safety of alirocumab in Japanese patients with </w:t>
            </w:r>
            <w:r w:rsidR="002641D2" w:rsidRPr="00743335">
              <w:t>hypercholesterolaemia</w:t>
            </w:r>
            <w:r w:rsidRPr="00743335">
              <w:t xml:space="preserve"> on stable statin therapy: First data with the 75 mg every two weeks dose</w:t>
            </w:r>
          </w:p>
        </w:tc>
        <w:tc>
          <w:tcPr>
            <w:tcW w:w="1551" w:type="pct"/>
            <w:vAlign w:val="center"/>
          </w:tcPr>
          <w:p w:rsidR="00CA702D" w:rsidRPr="00743335" w:rsidRDefault="00CA702D" w:rsidP="000156E5">
            <w:pPr>
              <w:pStyle w:val="TableText"/>
              <w:keepNext w:val="0"/>
              <w:widowControl w:val="0"/>
            </w:pPr>
            <w:r w:rsidRPr="00743335">
              <w:t xml:space="preserve">Circulation 130:  A13651 </w:t>
            </w:r>
            <w:r w:rsidRPr="00743335">
              <w:br/>
              <w:t>[abstract only]</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MONO</w:t>
            </w:r>
          </w:p>
        </w:tc>
        <w:tc>
          <w:tcPr>
            <w:tcW w:w="2495" w:type="pct"/>
            <w:vAlign w:val="center"/>
          </w:tcPr>
          <w:p w:rsidR="00CA702D" w:rsidRPr="00743335" w:rsidRDefault="00CA702D" w:rsidP="000156E5">
            <w:pPr>
              <w:pStyle w:val="TableText"/>
              <w:keepNext w:val="0"/>
              <w:widowControl w:val="0"/>
              <w:jc w:val="both"/>
            </w:pPr>
            <w:r w:rsidRPr="00743335">
              <w:t>Roth EM et al (2014). Monotherapy with the PCSK9 inhibitor alirocumab versus ezetimibe in patients with hypercholesterolaemia: results of a 24 week, double-blind, randomized Phase 3 trial.</w:t>
            </w:r>
          </w:p>
        </w:tc>
        <w:tc>
          <w:tcPr>
            <w:tcW w:w="1551" w:type="pct"/>
            <w:vAlign w:val="center"/>
          </w:tcPr>
          <w:p w:rsidR="00CA702D" w:rsidRPr="00743335" w:rsidRDefault="00CA702D" w:rsidP="000156E5">
            <w:pPr>
              <w:pStyle w:val="TableText"/>
              <w:keepNext w:val="0"/>
              <w:widowControl w:val="0"/>
            </w:pPr>
            <w:r w:rsidRPr="00743335">
              <w:t>International Journal of Cardiology 176: 55–61</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COMBO I</w:t>
            </w:r>
          </w:p>
        </w:tc>
        <w:tc>
          <w:tcPr>
            <w:tcW w:w="2495" w:type="pct"/>
            <w:vAlign w:val="center"/>
          </w:tcPr>
          <w:p w:rsidR="00CA702D" w:rsidRPr="00743335" w:rsidRDefault="00CA702D" w:rsidP="000156E5">
            <w:pPr>
              <w:pStyle w:val="TableText"/>
              <w:keepNext w:val="0"/>
              <w:widowControl w:val="0"/>
              <w:jc w:val="both"/>
            </w:pPr>
            <w:r w:rsidRPr="00743335">
              <w:t>Kereiakes D et al (2015). Efficacy and safety of the proprotein convertase subtilisin/kexin type 9 inhibitor alirocumab among high cardiovascular risk patients on maximally tolerated statin therapy: The ODYSSEY COMBO I study</w:t>
            </w:r>
          </w:p>
        </w:tc>
        <w:tc>
          <w:tcPr>
            <w:tcW w:w="1551" w:type="pct"/>
            <w:vAlign w:val="center"/>
          </w:tcPr>
          <w:p w:rsidR="00CA702D" w:rsidRPr="00743335" w:rsidRDefault="00CA702D" w:rsidP="000156E5">
            <w:pPr>
              <w:pStyle w:val="TableText"/>
              <w:keepNext w:val="0"/>
              <w:widowControl w:val="0"/>
            </w:pPr>
            <w:r w:rsidRPr="00743335">
              <w:t>American Heart Journal 169: 906-915</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COMBO II</w:t>
            </w:r>
          </w:p>
        </w:tc>
        <w:tc>
          <w:tcPr>
            <w:tcW w:w="2495" w:type="pct"/>
            <w:vAlign w:val="center"/>
          </w:tcPr>
          <w:p w:rsidR="00CA702D" w:rsidRPr="00743335" w:rsidRDefault="00CA702D" w:rsidP="000156E5">
            <w:pPr>
              <w:pStyle w:val="TableText"/>
              <w:keepNext w:val="0"/>
              <w:widowControl w:val="0"/>
              <w:jc w:val="both"/>
            </w:pPr>
            <w:r w:rsidRPr="00743335">
              <w:t>Cannon CP et al (2015). Efficacy and safety of alirocumab in high cardiovascular risk patients with inadequately controlled hypercholesterolaemia on maximally tolerated doses of statins: the ODYSSEY COMBO II randomized controlled trial</w:t>
            </w:r>
          </w:p>
        </w:tc>
        <w:tc>
          <w:tcPr>
            <w:tcW w:w="1551" w:type="pct"/>
            <w:vAlign w:val="center"/>
          </w:tcPr>
          <w:p w:rsidR="00CA702D" w:rsidRPr="00743335" w:rsidRDefault="00CA702D" w:rsidP="000156E5">
            <w:pPr>
              <w:pStyle w:val="TableText"/>
              <w:keepNext w:val="0"/>
              <w:widowControl w:val="0"/>
            </w:pPr>
            <w:r w:rsidRPr="00743335">
              <w:t>European Heart Journal 36: 1186–1194</w:t>
            </w:r>
          </w:p>
        </w:tc>
      </w:tr>
      <w:tr w:rsidR="00CA702D" w:rsidRPr="00743335" w:rsidTr="000156E5">
        <w:tc>
          <w:tcPr>
            <w:tcW w:w="954" w:type="pct"/>
            <w:vAlign w:val="center"/>
          </w:tcPr>
          <w:p w:rsidR="00CA702D" w:rsidRPr="00743335" w:rsidRDefault="00CA702D" w:rsidP="000156E5">
            <w:pPr>
              <w:pStyle w:val="TableText"/>
              <w:keepNext w:val="0"/>
              <w:widowControl w:val="0"/>
            </w:pPr>
            <w:r w:rsidRPr="00743335">
              <w:t xml:space="preserve">ODYSSEY </w:t>
            </w:r>
            <w:r w:rsidRPr="00743335">
              <w:br/>
              <w:t>OPTIONS I</w:t>
            </w:r>
          </w:p>
        </w:tc>
        <w:tc>
          <w:tcPr>
            <w:tcW w:w="2495" w:type="pct"/>
            <w:vAlign w:val="center"/>
          </w:tcPr>
          <w:p w:rsidR="00CA702D" w:rsidRPr="00743335" w:rsidRDefault="00CA702D" w:rsidP="000156E5">
            <w:pPr>
              <w:pStyle w:val="TableText"/>
              <w:keepNext w:val="0"/>
              <w:widowControl w:val="0"/>
              <w:jc w:val="both"/>
            </w:pPr>
            <w:r w:rsidRPr="00743335">
              <w:t>Bays H et al (2015). Alirocumab as Add-on To Atorvastatin Versus Other Lipid Treatment Strategies: ODYSSEY OPTIONS I Randomized Trial.</w:t>
            </w:r>
          </w:p>
        </w:tc>
        <w:tc>
          <w:tcPr>
            <w:tcW w:w="1551" w:type="pct"/>
            <w:vAlign w:val="center"/>
          </w:tcPr>
          <w:p w:rsidR="00CA702D" w:rsidRPr="00743335" w:rsidRDefault="00CA702D" w:rsidP="000156E5">
            <w:pPr>
              <w:pStyle w:val="TableText"/>
              <w:keepNext w:val="0"/>
              <w:widowControl w:val="0"/>
            </w:pPr>
            <w:r w:rsidRPr="00743335">
              <w:t>Journal of Clinical Endocrinology and Metabolism 100: 3140-3148</w:t>
            </w:r>
          </w:p>
        </w:tc>
      </w:tr>
      <w:tr w:rsidR="00CA702D" w:rsidRPr="00743335" w:rsidTr="000156E5">
        <w:tc>
          <w:tcPr>
            <w:tcW w:w="954" w:type="pct"/>
            <w:vAlign w:val="center"/>
          </w:tcPr>
          <w:p w:rsidR="00CA702D" w:rsidRPr="00743335" w:rsidRDefault="00CA702D" w:rsidP="000156E5">
            <w:pPr>
              <w:pStyle w:val="TableText"/>
              <w:keepNext w:val="0"/>
              <w:widowControl w:val="0"/>
            </w:pPr>
            <w:r w:rsidRPr="00743335">
              <w:t xml:space="preserve">ODYSSEY </w:t>
            </w:r>
            <w:r w:rsidRPr="00743335">
              <w:br/>
              <w:t>OPTIONS II</w:t>
            </w:r>
          </w:p>
        </w:tc>
        <w:tc>
          <w:tcPr>
            <w:tcW w:w="2495" w:type="pct"/>
            <w:vAlign w:val="center"/>
          </w:tcPr>
          <w:p w:rsidR="00CA702D" w:rsidRPr="00743335" w:rsidRDefault="00CA702D" w:rsidP="000156E5">
            <w:pPr>
              <w:pStyle w:val="TableText"/>
              <w:keepNext w:val="0"/>
              <w:widowControl w:val="0"/>
              <w:jc w:val="both"/>
            </w:pPr>
            <w:r w:rsidRPr="00743335">
              <w:t>Farnier M et al (2016). Efficacy and safety of adding alirocumab to rosuvastatin versus adding ezetimibe or doubling the rosuvastatin dose in high cardiovascular-risk patients: The ODYSSEY OPTIONS II randomized trial</w:t>
            </w:r>
          </w:p>
        </w:tc>
        <w:tc>
          <w:tcPr>
            <w:tcW w:w="1551" w:type="pct"/>
            <w:vAlign w:val="center"/>
          </w:tcPr>
          <w:p w:rsidR="00CA702D" w:rsidRPr="00743335" w:rsidRDefault="00CA702D" w:rsidP="000156E5">
            <w:pPr>
              <w:rPr>
                <w:rFonts w:ascii="Arial Narrow" w:hAnsi="Arial Narrow"/>
                <w:sz w:val="20"/>
              </w:rPr>
            </w:pPr>
            <w:r w:rsidRPr="00743335">
              <w:rPr>
                <w:rFonts w:ascii="Arial Narrow" w:hAnsi="Arial Narrow"/>
                <w:sz w:val="20"/>
              </w:rPr>
              <w:t>Atherosclerosis 244: 138-146</w:t>
            </w:r>
          </w:p>
        </w:tc>
      </w:tr>
      <w:tr w:rsidR="00CA702D" w:rsidRPr="00743335" w:rsidTr="000156E5">
        <w:tc>
          <w:tcPr>
            <w:tcW w:w="954" w:type="pct"/>
            <w:vAlign w:val="center"/>
          </w:tcPr>
          <w:p w:rsidR="00CA702D" w:rsidRPr="00743335" w:rsidRDefault="00CA702D" w:rsidP="000156E5">
            <w:pPr>
              <w:pStyle w:val="TableText"/>
              <w:keepNext w:val="0"/>
              <w:widowControl w:val="0"/>
            </w:pPr>
            <w:r w:rsidRPr="00743335">
              <w:t>ODYSSEY ALTERNATIVE</w:t>
            </w:r>
          </w:p>
        </w:tc>
        <w:tc>
          <w:tcPr>
            <w:tcW w:w="2495" w:type="pct"/>
            <w:vAlign w:val="center"/>
          </w:tcPr>
          <w:p w:rsidR="00CA702D" w:rsidRPr="00743335" w:rsidRDefault="00CA702D" w:rsidP="000156E5">
            <w:pPr>
              <w:pStyle w:val="TableText"/>
              <w:keepNext w:val="0"/>
              <w:widowControl w:val="0"/>
              <w:jc w:val="both"/>
            </w:pPr>
            <w:r w:rsidRPr="00743335">
              <w:t>Moriarty P et al (2015). Efficacy and safety of alirocumab versus ezetimibe in statin-intolerant patients, with a statin-re-challenge arm: The ODYSSEY ALTERNATIVE randomized trial.</w:t>
            </w:r>
          </w:p>
        </w:tc>
        <w:tc>
          <w:tcPr>
            <w:tcW w:w="1551" w:type="pct"/>
            <w:vAlign w:val="center"/>
          </w:tcPr>
          <w:p w:rsidR="00CA702D" w:rsidRPr="00743335" w:rsidRDefault="00CA702D" w:rsidP="000156E5">
            <w:pPr>
              <w:pStyle w:val="TableText"/>
              <w:keepNext w:val="0"/>
              <w:widowControl w:val="0"/>
            </w:pPr>
            <w:r w:rsidRPr="00743335">
              <w:t>Journal of Clinical Lipidology 9: 758-769</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FH I</w:t>
            </w:r>
          </w:p>
        </w:tc>
        <w:tc>
          <w:tcPr>
            <w:tcW w:w="2495" w:type="pct"/>
            <w:vAlign w:val="center"/>
          </w:tcPr>
          <w:p w:rsidR="00CA702D" w:rsidRPr="00743335" w:rsidRDefault="00CA702D" w:rsidP="000156E5">
            <w:pPr>
              <w:pStyle w:val="TableText"/>
              <w:keepNext w:val="0"/>
              <w:widowControl w:val="0"/>
              <w:jc w:val="both"/>
            </w:pPr>
            <w:r w:rsidRPr="00743335">
              <w:t xml:space="preserve">Kastelein J et al (2015). ODYSSEY FH I and FH II: 78 week results with alirocumab treatment in 735 patients with heterozygous familial hypercholesterolaemia. </w:t>
            </w:r>
          </w:p>
        </w:tc>
        <w:tc>
          <w:tcPr>
            <w:tcW w:w="1551" w:type="pct"/>
            <w:vAlign w:val="center"/>
          </w:tcPr>
          <w:p w:rsidR="00CA702D" w:rsidRPr="00743335" w:rsidRDefault="00CA702D" w:rsidP="000156E5">
            <w:pPr>
              <w:pStyle w:val="TableText"/>
              <w:keepNext w:val="0"/>
              <w:widowControl w:val="0"/>
            </w:pPr>
            <w:r w:rsidRPr="00743335">
              <w:t>European Heart Journal 36: 2996-3003</w:t>
            </w:r>
          </w:p>
        </w:tc>
      </w:tr>
      <w:tr w:rsidR="00CA702D" w:rsidRPr="00743335" w:rsidTr="000156E5">
        <w:tc>
          <w:tcPr>
            <w:tcW w:w="954" w:type="pct"/>
            <w:vAlign w:val="center"/>
          </w:tcPr>
          <w:p w:rsidR="00CA702D" w:rsidRPr="00743335" w:rsidRDefault="00CA702D" w:rsidP="000156E5">
            <w:pPr>
              <w:pStyle w:val="TableText"/>
              <w:keepNext w:val="0"/>
              <w:widowControl w:val="0"/>
            </w:pPr>
            <w:r w:rsidRPr="00743335">
              <w:t xml:space="preserve">ODYSSEY </w:t>
            </w:r>
            <w:r w:rsidRPr="00743335">
              <w:br/>
              <w:t>FH II</w:t>
            </w:r>
          </w:p>
        </w:tc>
        <w:tc>
          <w:tcPr>
            <w:tcW w:w="2495" w:type="pct"/>
            <w:vAlign w:val="center"/>
          </w:tcPr>
          <w:p w:rsidR="00CA702D" w:rsidRPr="00743335" w:rsidRDefault="00CA702D" w:rsidP="000156E5">
            <w:pPr>
              <w:pStyle w:val="TableText"/>
              <w:keepNext w:val="0"/>
              <w:widowControl w:val="0"/>
              <w:jc w:val="both"/>
            </w:pPr>
            <w:r w:rsidRPr="00743335">
              <w:t xml:space="preserve">Kastelein J et al (2015). ODYSSEY FH I and FH II: 78 week results with alirocumab treatment in 735 patients with heterozygous familial hypercholesterolaemia. </w:t>
            </w:r>
          </w:p>
        </w:tc>
        <w:tc>
          <w:tcPr>
            <w:tcW w:w="1551" w:type="pct"/>
            <w:vAlign w:val="center"/>
          </w:tcPr>
          <w:p w:rsidR="00CA702D" w:rsidRPr="00743335" w:rsidRDefault="00CA702D" w:rsidP="000156E5">
            <w:pPr>
              <w:pStyle w:val="TableText"/>
              <w:keepNext w:val="0"/>
              <w:widowControl w:val="0"/>
            </w:pPr>
            <w:r w:rsidRPr="00743335">
              <w:t>European Heart Journal 36: 2996-3003</w:t>
            </w:r>
          </w:p>
        </w:tc>
      </w:tr>
      <w:tr w:rsidR="00CA702D" w:rsidRPr="00743335" w:rsidTr="000156E5">
        <w:tc>
          <w:tcPr>
            <w:tcW w:w="954" w:type="pct"/>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FH HIGHRISK</w:t>
            </w:r>
          </w:p>
        </w:tc>
        <w:tc>
          <w:tcPr>
            <w:tcW w:w="2495" w:type="pct"/>
          </w:tcPr>
          <w:p w:rsidR="00CA702D" w:rsidRPr="00743335" w:rsidRDefault="00CA702D" w:rsidP="000156E5">
            <w:pPr>
              <w:pStyle w:val="TableText"/>
              <w:keepNext w:val="0"/>
              <w:widowControl w:val="0"/>
              <w:jc w:val="both"/>
            </w:pPr>
            <w:r w:rsidRPr="00743335">
              <w:t xml:space="preserve">Ginsberg HN et al (2016). Efficacy and Safety of Alirocumab in Patients with Heterozygous Familial </w:t>
            </w:r>
            <w:r w:rsidR="002641D2" w:rsidRPr="00743335">
              <w:t>Hypercholesterolaemia</w:t>
            </w:r>
            <w:r w:rsidRPr="00743335">
              <w:t xml:space="preserve"> and </w:t>
            </w:r>
            <w:r w:rsidR="00FD3D08" w:rsidRPr="00743335">
              <w:t>LDL-c</w:t>
            </w:r>
            <w:r w:rsidRPr="00743335">
              <w:t>-C of 160 mg/dl or Higher</w:t>
            </w:r>
          </w:p>
        </w:tc>
        <w:tc>
          <w:tcPr>
            <w:tcW w:w="1551" w:type="pct"/>
            <w:vAlign w:val="center"/>
          </w:tcPr>
          <w:p w:rsidR="00CA702D" w:rsidRPr="00743335" w:rsidRDefault="00CA702D" w:rsidP="000156E5">
            <w:pPr>
              <w:pStyle w:val="TableText"/>
              <w:keepNext w:val="0"/>
              <w:widowControl w:val="0"/>
            </w:pPr>
            <w:r w:rsidRPr="00743335">
              <w:t>Cardiovascular Drugs and Therapy 30: 473–483</w:t>
            </w:r>
          </w:p>
        </w:tc>
      </w:tr>
      <w:tr w:rsidR="00CA702D" w:rsidRPr="00743335" w:rsidTr="000156E5">
        <w:trPr>
          <w:trHeight w:val="50"/>
        </w:trPr>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LONG TERM</w:t>
            </w:r>
          </w:p>
        </w:tc>
        <w:tc>
          <w:tcPr>
            <w:tcW w:w="2495" w:type="pct"/>
            <w:vAlign w:val="center"/>
          </w:tcPr>
          <w:p w:rsidR="00CA702D" w:rsidRPr="00743335" w:rsidRDefault="00CA702D" w:rsidP="000156E5">
            <w:pPr>
              <w:pStyle w:val="TableText"/>
              <w:keepNext w:val="0"/>
              <w:widowControl w:val="0"/>
              <w:jc w:val="both"/>
            </w:pPr>
            <w:r w:rsidRPr="00743335">
              <w:t>Robinson JG et al (2015). Efficacy and safety of alirocumab in reducing lipids and cardiovascular events.</w:t>
            </w:r>
          </w:p>
        </w:tc>
        <w:tc>
          <w:tcPr>
            <w:tcW w:w="1551" w:type="pct"/>
            <w:vAlign w:val="center"/>
          </w:tcPr>
          <w:p w:rsidR="00CA702D" w:rsidRPr="00743335" w:rsidRDefault="00CA702D" w:rsidP="000156E5">
            <w:pPr>
              <w:pStyle w:val="TableText"/>
              <w:keepNext w:val="0"/>
              <w:widowControl w:val="0"/>
            </w:pPr>
            <w:r w:rsidRPr="00743335">
              <w:t>New England Journal of Medicine 372: 1489–1499</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CHOICE I</w:t>
            </w:r>
          </w:p>
        </w:tc>
        <w:tc>
          <w:tcPr>
            <w:tcW w:w="2495" w:type="pct"/>
            <w:vAlign w:val="center"/>
          </w:tcPr>
          <w:p w:rsidR="00CA702D" w:rsidRPr="00743335" w:rsidRDefault="00CA702D" w:rsidP="000156E5">
            <w:pPr>
              <w:pStyle w:val="TableText"/>
              <w:keepNext w:val="0"/>
              <w:widowControl w:val="0"/>
              <w:jc w:val="both"/>
            </w:pPr>
            <w:r w:rsidRPr="00743335">
              <w:t>Roth EM et al (2016). A phase III randomized trial evaluating alirocumab 300 mg every 4 weeks as monotherapy or add-on to statin: ODYSSEY CHOICE I</w:t>
            </w:r>
          </w:p>
        </w:tc>
        <w:tc>
          <w:tcPr>
            <w:tcW w:w="1551" w:type="pct"/>
            <w:vAlign w:val="center"/>
          </w:tcPr>
          <w:p w:rsidR="00CA702D" w:rsidRPr="00743335" w:rsidRDefault="00CA702D" w:rsidP="000156E5">
            <w:pPr>
              <w:pStyle w:val="TableText"/>
              <w:keepNext w:val="0"/>
              <w:widowControl w:val="0"/>
            </w:pPr>
            <w:r w:rsidRPr="00743335">
              <w:t>Atherosclerosis 254: 254-262</w:t>
            </w:r>
          </w:p>
        </w:tc>
      </w:tr>
      <w:tr w:rsidR="00CA702D" w:rsidRPr="00743335" w:rsidTr="000156E5">
        <w:tc>
          <w:tcPr>
            <w:tcW w:w="954" w:type="pct"/>
            <w:vAlign w:val="center"/>
          </w:tcPr>
          <w:p w:rsidR="00CA702D" w:rsidRPr="00743335" w:rsidRDefault="00CA702D" w:rsidP="000156E5">
            <w:pPr>
              <w:rPr>
                <w:rFonts w:ascii="Arial Narrow" w:hAnsi="Arial Narrow"/>
                <w:sz w:val="20"/>
              </w:rPr>
            </w:pPr>
            <w:r w:rsidRPr="00743335">
              <w:rPr>
                <w:rFonts w:ascii="Arial Narrow" w:hAnsi="Arial Narrow"/>
                <w:sz w:val="20"/>
              </w:rPr>
              <w:t xml:space="preserve">ODYSSEY </w:t>
            </w:r>
            <w:r w:rsidRPr="00743335">
              <w:rPr>
                <w:rFonts w:ascii="Arial Narrow" w:hAnsi="Arial Narrow"/>
                <w:sz w:val="20"/>
              </w:rPr>
              <w:br/>
              <w:t>CHOICE II</w:t>
            </w:r>
          </w:p>
        </w:tc>
        <w:tc>
          <w:tcPr>
            <w:tcW w:w="2495" w:type="pct"/>
            <w:vAlign w:val="center"/>
          </w:tcPr>
          <w:p w:rsidR="00CA702D" w:rsidRPr="00743335" w:rsidRDefault="00CA702D" w:rsidP="000156E5">
            <w:pPr>
              <w:pStyle w:val="TableText"/>
              <w:keepNext w:val="0"/>
              <w:widowControl w:val="0"/>
              <w:jc w:val="both"/>
            </w:pPr>
            <w:r w:rsidRPr="00743335">
              <w:t xml:space="preserve">Stroes E et al (2016). Efficacy and Safety of Alirocumab 150 mg Every 4 Weeks in Patients With </w:t>
            </w:r>
            <w:r w:rsidR="002641D2" w:rsidRPr="00743335">
              <w:t>Hypercholesterolaemia</w:t>
            </w:r>
            <w:r w:rsidRPr="00743335">
              <w:t xml:space="preserve"> Not on Statin Therapy: The ODYSSEY CHOICE II Study</w:t>
            </w:r>
          </w:p>
        </w:tc>
        <w:tc>
          <w:tcPr>
            <w:tcW w:w="1551" w:type="pct"/>
            <w:vAlign w:val="center"/>
          </w:tcPr>
          <w:p w:rsidR="00CA702D" w:rsidRPr="00743335" w:rsidRDefault="00CA702D" w:rsidP="000156E5">
            <w:pPr>
              <w:pStyle w:val="TableText"/>
              <w:keepNext w:val="0"/>
              <w:widowControl w:val="0"/>
            </w:pPr>
            <w:r w:rsidRPr="00743335">
              <w:t>Journal of the American Heart Association 5: e003421</w:t>
            </w:r>
          </w:p>
        </w:tc>
      </w:tr>
      <w:tr w:rsidR="00CA702D" w:rsidRPr="00743335" w:rsidTr="000156E5">
        <w:tc>
          <w:tcPr>
            <w:tcW w:w="954" w:type="pct"/>
            <w:vAlign w:val="center"/>
          </w:tcPr>
          <w:p w:rsidR="00CA702D" w:rsidRPr="00743335" w:rsidRDefault="00CA702D" w:rsidP="000156E5">
            <w:pPr>
              <w:pStyle w:val="TableText"/>
              <w:keepNext w:val="0"/>
              <w:widowControl w:val="0"/>
            </w:pPr>
            <w:r w:rsidRPr="00743335">
              <w:t>ODYSSEY OUTCOMES</w:t>
            </w:r>
          </w:p>
        </w:tc>
        <w:tc>
          <w:tcPr>
            <w:tcW w:w="2495" w:type="pct"/>
            <w:vAlign w:val="center"/>
          </w:tcPr>
          <w:p w:rsidR="00CA702D" w:rsidRPr="00743335" w:rsidRDefault="00CA702D" w:rsidP="000156E5">
            <w:pPr>
              <w:pStyle w:val="TableText"/>
              <w:keepNext w:val="0"/>
              <w:widowControl w:val="0"/>
              <w:jc w:val="both"/>
            </w:pPr>
            <w:r w:rsidRPr="00743335">
              <w:t>Schwartz G et al (2014). Effect of alirocumab, a monoclonal antibody to PCSK9, on long-term cardiovascular outcomes following acute coronary syndromes: Rationale and design of the ODYSSEY Outcomes trial.</w:t>
            </w:r>
          </w:p>
        </w:tc>
        <w:tc>
          <w:tcPr>
            <w:tcW w:w="1551" w:type="pct"/>
            <w:vAlign w:val="center"/>
          </w:tcPr>
          <w:p w:rsidR="00CA702D" w:rsidRPr="00743335" w:rsidRDefault="00CA702D" w:rsidP="000156E5">
            <w:pPr>
              <w:pStyle w:val="TableText"/>
              <w:keepNext w:val="0"/>
              <w:widowControl w:val="0"/>
            </w:pPr>
            <w:r w:rsidRPr="00743335">
              <w:t>American Heart Journal 168: 682-689</w:t>
            </w:r>
          </w:p>
        </w:tc>
      </w:tr>
    </w:tbl>
    <w:p w:rsidR="00CA702D" w:rsidRPr="00743335" w:rsidRDefault="00CA702D" w:rsidP="00CA702D">
      <w:pPr>
        <w:pStyle w:val="TableFooter"/>
      </w:pPr>
      <w:r w:rsidRPr="00743335">
        <w:t>Source: Table 2.2-1 (p 38-45) of the resubmission; Table 3 (p 10-14) Attachment 5 of the resubmission</w:t>
      </w:r>
    </w:p>
    <w:p w:rsidR="00CA702D" w:rsidRPr="00743335" w:rsidRDefault="00CA702D" w:rsidP="00CA702D">
      <w:pPr>
        <w:pStyle w:val="TableFooter"/>
      </w:pPr>
      <w:r w:rsidRPr="00743335">
        <w:t>Note: Only includes the main publications for each trial</w:t>
      </w:r>
    </w:p>
    <w:p w:rsidR="00813A0A" w:rsidRPr="00743335" w:rsidRDefault="00813A0A" w:rsidP="00B365E7">
      <w:pPr>
        <w:pStyle w:val="ListParagraph"/>
        <w:numPr>
          <w:ilvl w:val="1"/>
          <w:numId w:val="1"/>
        </w:numPr>
        <w:spacing w:before="0" w:after="120"/>
        <w:jc w:val="both"/>
      </w:pPr>
      <w:r w:rsidRPr="00743335">
        <w:t xml:space="preserve">The resubmission focused on new data from the FOURIER, EBBINGHAUS and GLAGOV trials. </w:t>
      </w:r>
      <w:r w:rsidR="00C317F3" w:rsidRPr="00743335">
        <w:t>The key features of the</w:t>
      </w:r>
      <w:r w:rsidRPr="00743335">
        <w:t>se studies</w:t>
      </w:r>
      <w:r w:rsidR="00C317F3" w:rsidRPr="00743335">
        <w:t xml:space="preserve"> are summarised in the table below.</w:t>
      </w:r>
    </w:p>
    <w:p w:rsidR="00C317F3" w:rsidRPr="00743335" w:rsidRDefault="00726E52" w:rsidP="00772501">
      <w:pPr>
        <w:pStyle w:val="TableHeading0"/>
      </w:pPr>
      <w:r w:rsidRPr="00743335">
        <w:t xml:space="preserve">Table </w:t>
      </w:r>
      <w:r w:rsidR="009F203E" w:rsidRPr="00743335">
        <w:t>4</w:t>
      </w:r>
      <w:r w:rsidR="00C317F3" w:rsidRPr="00743335">
        <w:t>: Key features of the included evidence</w:t>
      </w:r>
      <w:r w:rsidR="00813A0A" w:rsidRPr="00743335">
        <w:t xml:space="preserve"> (evolocumab versus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8"/>
        <w:gridCol w:w="716"/>
        <w:gridCol w:w="1665"/>
        <w:gridCol w:w="735"/>
        <w:gridCol w:w="1734"/>
        <w:gridCol w:w="1214"/>
        <w:gridCol w:w="1840"/>
      </w:tblGrid>
      <w:tr w:rsidR="00A635CB" w:rsidRPr="00743335" w:rsidTr="00284A38">
        <w:tc>
          <w:tcPr>
            <w:tcW w:w="655" w:type="pct"/>
            <w:shd w:val="clear" w:color="auto" w:fill="auto"/>
            <w:vAlign w:val="center"/>
          </w:tcPr>
          <w:p w:rsidR="00C317F3" w:rsidRPr="00743335" w:rsidRDefault="00C317F3" w:rsidP="00772501">
            <w:pPr>
              <w:pStyle w:val="TableText"/>
              <w:rPr>
                <w:b/>
              </w:rPr>
            </w:pPr>
            <w:r w:rsidRPr="00743335">
              <w:rPr>
                <w:b/>
              </w:rPr>
              <w:t>Trial</w:t>
            </w:r>
          </w:p>
        </w:tc>
        <w:tc>
          <w:tcPr>
            <w:tcW w:w="401" w:type="pct"/>
            <w:shd w:val="clear" w:color="auto" w:fill="auto"/>
            <w:vAlign w:val="center"/>
          </w:tcPr>
          <w:p w:rsidR="00C317F3" w:rsidRPr="00743335" w:rsidRDefault="00C317F3" w:rsidP="00813A0A">
            <w:pPr>
              <w:pStyle w:val="TableText"/>
              <w:jc w:val="center"/>
              <w:rPr>
                <w:b/>
              </w:rPr>
            </w:pPr>
            <w:r w:rsidRPr="00743335">
              <w:rPr>
                <w:b/>
              </w:rPr>
              <w:t>N</w:t>
            </w:r>
          </w:p>
        </w:tc>
        <w:tc>
          <w:tcPr>
            <w:tcW w:w="923" w:type="pct"/>
            <w:shd w:val="clear" w:color="auto" w:fill="auto"/>
            <w:vAlign w:val="center"/>
          </w:tcPr>
          <w:p w:rsidR="00C317F3" w:rsidRPr="00743335" w:rsidRDefault="00C317F3" w:rsidP="00726E52">
            <w:pPr>
              <w:pStyle w:val="TableText"/>
              <w:jc w:val="center"/>
              <w:rPr>
                <w:b/>
              </w:rPr>
            </w:pPr>
            <w:r w:rsidRPr="00743335">
              <w:rPr>
                <w:b/>
              </w:rPr>
              <w:t>Design/ duration</w:t>
            </w:r>
            <w:r w:rsidR="005F2A6B" w:rsidRPr="00743335">
              <w:rPr>
                <w:b/>
              </w:rPr>
              <w:t xml:space="preserve"> of follow-up</w:t>
            </w:r>
          </w:p>
        </w:tc>
        <w:tc>
          <w:tcPr>
            <w:tcW w:w="411" w:type="pct"/>
            <w:shd w:val="clear" w:color="auto" w:fill="auto"/>
            <w:vAlign w:val="center"/>
          </w:tcPr>
          <w:p w:rsidR="00C317F3" w:rsidRPr="00743335" w:rsidRDefault="00C317F3" w:rsidP="00726E52">
            <w:pPr>
              <w:pStyle w:val="TableText"/>
              <w:jc w:val="center"/>
              <w:rPr>
                <w:b/>
              </w:rPr>
            </w:pPr>
            <w:r w:rsidRPr="00743335">
              <w:rPr>
                <w:b/>
              </w:rPr>
              <w:t>Risk of bias</w:t>
            </w:r>
          </w:p>
        </w:tc>
        <w:tc>
          <w:tcPr>
            <w:tcW w:w="916" w:type="pct"/>
            <w:shd w:val="clear" w:color="auto" w:fill="auto"/>
            <w:vAlign w:val="center"/>
          </w:tcPr>
          <w:p w:rsidR="00C317F3" w:rsidRPr="00743335" w:rsidRDefault="00C317F3" w:rsidP="00726E52">
            <w:pPr>
              <w:pStyle w:val="TableText"/>
              <w:jc w:val="center"/>
              <w:rPr>
                <w:b/>
              </w:rPr>
            </w:pPr>
            <w:r w:rsidRPr="00743335">
              <w:rPr>
                <w:b/>
              </w:rPr>
              <w:t>Patient population</w:t>
            </w:r>
          </w:p>
        </w:tc>
        <w:tc>
          <w:tcPr>
            <w:tcW w:w="675" w:type="pct"/>
            <w:shd w:val="clear" w:color="auto" w:fill="auto"/>
            <w:vAlign w:val="center"/>
          </w:tcPr>
          <w:p w:rsidR="00C317F3" w:rsidRPr="00743335" w:rsidRDefault="00726E52" w:rsidP="00726E52">
            <w:pPr>
              <w:pStyle w:val="TableText"/>
              <w:jc w:val="center"/>
              <w:rPr>
                <w:b/>
              </w:rPr>
            </w:pPr>
            <w:r w:rsidRPr="00743335">
              <w:rPr>
                <w:b/>
              </w:rPr>
              <w:t>Outcomes</w:t>
            </w:r>
          </w:p>
        </w:tc>
        <w:tc>
          <w:tcPr>
            <w:tcW w:w="1019" w:type="pct"/>
            <w:shd w:val="clear" w:color="auto" w:fill="auto"/>
            <w:vAlign w:val="center"/>
          </w:tcPr>
          <w:p w:rsidR="00C317F3" w:rsidRPr="00743335" w:rsidRDefault="00C317F3" w:rsidP="00284A38">
            <w:pPr>
              <w:pStyle w:val="TableText"/>
              <w:jc w:val="center"/>
              <w:rPr>
                <w:b/>
              </w:rPr>
            </w:pPr>
            <w:r w:rsidRPr="00743335">
              <w:rPr>
                <w:b/>
              </w:rPr>
              <w:t>Use in modelled evaluation</w:t>
            </w:r>
          </w:p>
        </w:tc>
      </w:tr>
      <w:tr w:rsidR="00A635CB" w:rsidRPr="00743335" w:rsidTr="00284A38">
        <w:tc>
          <w:tcPr>
            <w:tcW w:w="655" w:type="pct"/>
            <w:shd w:val="clear" w:color="auto" w:fill="auto"/>
            <w:vAlign w:val="center"/>
          </w:tcPr>
          <w:p w:rsidR="00C317F3" w:rsidRPr="00743335" w:rsidRDefault="00813A0A" w:rsidP="00772501">
            <w:pPr>
              <w:pStyle w:val="TableText"/>
            </w:pPr>
            <w:r w:rsidRPr="00743335">
              <w:t>FOURIER</w:t>
            </w:r>
          </w:p>
        </w:tc>
        <w:tc>
          <w:tcPr>
            <w:tcW w:w="401" w:type="pct"/>
            <w:shd w:val="clear" w:color="auto" w:fill="auto"/>
            <w:vAlign w:val="center"/>
          </w:tcPr>
          <w:p w:rsidR="00C317F3" w:rsidRPr="00743335" w:rsidRDefault="00726E52" w:rsidP="00726E52">
            <w:pPr>
              <w:pStyle w:val="TableText"/>
              <w:jc w:val="center"/>
            </w:pPr>
            <w:r w:rsidRPr="00743335">
              <w:t>27,564</w:t>
            </w:r>
          </w:p>
        </w:tc>
        <w:tc>
          <w:tcPr>
            <w:tcW w:w="923" w:type="pct"/>
            <w:shd w:val="clear" w:color="auto" w:fill="auto"/>
            <w:vAlign w:val="center"/>
          </w:tcPr>
          <w:p w:rsidR="00C317F3" w:rsidRPr="00743335" w:rsidRDefault="00726E52" w:rsidP="00726E52">
            <w:pPr>
              <w:pStyle w:val="TableText"/>
              <w:jc w:val="center"/>
            </w:pPr>
            <w:r w:rsidRPr="00743335">
              <w:t xml:space="preserve">MC, </w:t>
            </w:r>
            <w:r w:rsidR="00C317F3" w:rsidRPr="00743335">
              <w:t>R, DB</w:t>
            </w:r>
            <w:r w:rsidRPr="00743335">
              <w:t>, PC</w:t>
            </w:r>
          </w:p>
          <w:p w:rsidR="00C317F3" w:rsidRPr="00743335" w:rsidRDefault="00726E52" w:rsidP="00726E52">
            <w:pPr>
              <w:pStyle w:val="TableText"/>
              <w:jc w:val="center"/>
            </w:pPr>
            <w:r w:rsidRPr="00743335">
              <w:t>Approximately 2 year duration</w:t>
            </w:r>
          </w:p>
        </w:tc>
        <w:tc>
          <w:tcPr>
            <w:tcW w:w="411" w:type="pct"/>
            <w:shd w:val="clear" w:color="auto" w:fill="auto"/>
            <w:vAlign w:val="center"/>
          </w:tcPr>
          <w:p w:rsidR="00726E52" w:rsidRPr="00743335" w:rsidRDefault="00C317F3" w:rsidP="00726E52">
            <w:pPr>
              <w:pStyle w:val="TableText"/>
              <w:jc w:val="center"/>
            </w:pPr>
            <w:r w:rsidRPr="00743335">
              <w:t>Low</w:t>
            </w:r>
          </w:p>
        </w:tc>
        <w:tc>
          <w:tcPr>
            <w:tcW w:w="916" w:type="pct"/>
            <w:shd w:val="clear" w:color="auto" w:fill="auto"/>
            <w:vAlign w:val="center"/>
          </w:tcPr>
          <w:p w:rsidR="00C317F3" w:rsidRPr="00743335" w:rsidRDefault="00054DDF" w:rsidP="00726E52">
            <w:pPr>
              <w:pStyle w:val="TableText"/>
              <w:jc w:val="center"/>
              <w:rPr>
                <w:rFonts w:ascii="Times" w:eastAsia="Times New Roman" w:hAnsi="Times" w:cs="Times New Roman"/>
              </w:rPr>
            </w:pPr>
            <w:r w:rsidRPr="00743335">
              <w:t>Hypercholesterolaemia</w:t>
            </w:r>
            <w:r w:rsidR="00726E52" w:rsidRPr="00743335">
              <w:t xml:space="preserve"> with atherosclerotic disease</w:t>
            </w:r>
          </w:p>
        </w:tc>
        <w:tc>
          <w:tcPr>
            <w:tcW w:w="675" w:type="pct"/>
            <w:shd w:val="clear" w:color="auto" w:fill="auto"/>
            <w:vAlign w:val="center"/>
          </w:tcPr>
          <w:p w:rsidR="00C317F3" w:rsidRPr="00743335" w:rsidRDefault="00726E52" w:rsidP="00726E52">
            <w:pPr>
              <w:pStyle w:val="TableText"/>
              <w:jc w:val="center"/>
              <w:rPr>
                <w:rFonts w:ascii="Times" w:eastAsia="Times New Roman" w:hAnsi="Times" w:cs="Times New Roman"/>
              </w:rPr>
            </w:pPr>
            <w:r w:rsidRPr="00743335">
              <w:t>Cardiovascular events, lipid parameters</w:t>
            </w:r>
          </w:p>
        </w:tc>
        <w:tc>
          <w:tcPr>
            <w:tcW w:w="1019" w:type="pct"/>
            <w:shd w:val="clear" w:color="auto" w:fill="auto"/>
            <w:vAlign w:val="center"/>
          </w:tcPr>
          <w:p w:rsidR="00C317F3" w:rsidRPr="00743335" w:rsidRDefault="00A635CB" w:rsidP="00284A38">
            <w:pPr>
              <w:pStyle w:val="TableText"/>
              <w:jc w:val="center"/>
              <w:rPr>
                <w:rFonts w:ascii="Times" w:eastAsia="Times New Roman" w:hAnsi="Times" w:cs="Times New Roman"/>
              </w:rPr>
            </w:pPr>
            <w:r w:rsidRPr="00743335">
              <w:t xml:space="preserve">Used to support relationship between </w:t>
            </w:r>
            <w:r w:rsidR="00FD3D08" w:rsidRPr="00743335">
              <w:t>LDL-c</w:t>
            </w:r>
            <w:r w:rsidRPr="00743335">
              <w:t xml:space="preserve"> and cardiovascular events</w:t>
            </w:r>
          </w:p>
        </w:tc>
      </w:tr>
      <w:tr w:rsidR="00A635CB" w:rsidRPr="00743335" w:rsidTr="00284A38">
        <w:tc>
          <w:tcPr>
            <w:tcW w:w="655" w:type="pct"/>
            <w:shd w:val="clear" w:color="auto" w:fill="auto"/>
            <w:vAlign w:val="center"/>
          </w:tcPr>
          <w:p w:rsidR="00C317F3" w:rsidRPr="00743335" w:rsidRDefault="00813A0A" w:rsidP="00772501">
            <w:pPr>
              <w:pStyle w:val="TableText"/>
            </w:pPr>
            <w:r w:rsidRPr="00743335">
              <w:t>EBBINGHAUS</w:t>
            </w:r>
          </w:p>
          <w:p w:rsidR="00813A0A" w:rsidRPr="00743335" w:rsidRDefault="00813A0A" w:rsidP="00772501">
            <w:pPr>
              <w:pStyle w:val="TableText"/>
              <w:rPr>
                <w:rFonts w:ascii="Times" w:eastAsia="Times New Roman" w:hAnsi="Times" w:cs="Times New Roman"/>
              </w:rPr>
            </w:pPr>
            <w:r w:rsidRPr="00743335">
              <w:t>Sub-study</w:t>
            </w:r>
          </w:p>
        </w:tc>
        <w:tc>
          <w:tcPr>
            <w:tcW w:w="401" w:type="pct"/>
            <w:shd w:val="clear" w:color="auto" w:fill="auto"/>
            <w:vAlign w:val="center"/>
          </w:tcPr>
          <w:p w:rsidR="00C317F3" w:rsidRPr="00743335" w:rsidRDefault="00726E52" w:rsidP="00726E52">
            <w:pPr>
              <w:pStyle w:val="TableText"/>
              <w:jc w:val="center"/>
            </w:pPr>
            <w:r w:rsidRPr="00743335">
              <w:t>1,974</w:t>
            </w:r>
          </w:p>
        </w:tc>
        <w:tc>
          <w:tcPr>
            <w:tcW w:w="923" w:type="pct"/>
            <w:shd w:val="clear" w:color="auto" w:fill="auto"/>
            <w:vAlign w:val="center"/>
          </w:tcPr>
          <w:p w:rsidR="00C317F3" w:rsidRPr="00743335" w:rsidRDefault="00726E52" w:rsidP="00726E52">
            <w:pPr>
              <w:pStyle w:val="TableText"/>
              <w:jc w:val="center"/>
            </w:pPr>
            <w:r w:rsidRPr="00743335">
              <w:t>Nested sub-study of FOURIER</w:t>
            </w:r>
          </w:p>
        </w:tc>
        <w:tc>
          <w:tcPr>
            <w:tcW w:w="411" w:type="pct"/>
            <w:shd w:val="clear" w:color="auto" w:fill="auto"/>
            <w:vAlign w:val="center"/>
          </w:tcPr>
          <w:p w:rsidR="00C317F3" w:rsidRPr="00743335" w:rsidRDefault="00726E52" w:rsidP="00726E52">
            <w:pPr>
              <w:pStyle w:val="TableText"/>
              <w:jc w:val="center"/>
              <w:rPr>
                <w:rFonts w:ascii="Times" w:eastAsia="Times New Roman" w:hAnsi="Times" w:cs="Times New Roman"/>
              </w:rPr>
            </w:pPr>
            <w:r w:rsidRPr="00743335">
              <w:t>Low</w:t>
            </w:r>
          </w:p>
        </w:tc>
        <w:tc>
          <w:tcPr>
            <w:tcW w:w="916" w:type="pct"/>
            <w:shd w:val="clear" w:color="auto" w:fill="auto"/>
            <w:vAlign w:val="center"/>
          </w:tcPr>
          <w:p w:rsidR="00C317F3" w:rsidRPr="00743335" w:rsidRDefault="00054DDF" w:rsidP="00726E52">
            <w:pPr>
              <w:pStyle w:val="TableText"/>
              <w:jc w:val="center"/>
              <w:rPr>
                <w:rFonts w:ascii="Times" w:eastAsia="Times New Roman" w:hAnsi="Times" w:cs="Times New Roman"/>
              </w:rPr>
            </w:pPr>
            <w:r w:rsidRPr="00743335">
              <w:t>Hypercholesterolaemia</w:t>
            </w:r>
            <w:r w:rsidR="00726E52" w:rsidRPr="00743335">
              <w:t xml:space="preserve"> with atherosclerotic disease</w:t>
            </w:r>
          </w:p>
        </w:tc>
        <w:tc>
          <w:tcPr>
            <w:tcW w:w="675" w:type="pct"/>
            <w:shd w:val="clear" w:color="auto" w:fill="auto"/>
            <w:vAlign w:val="center"/>
          </w:tcPr>
          <w:p w:rsidR="00C317F3" w:rsidRPr="00743335" w:rsidRDefault="00726E52" w:rsidP="00726E52">
            <w:pPr>
              <w:pStyle w:val="TableText"/>
              <w:jc w:val="center"/>
              <w:rPr>
                <w:rFonts w:ascii="Times" w:eastAsia="Times New Roman" w:hAnsi="Times" w:cs="Times New Roman"/>
              </w:rPr>
            </w:pPr>
            <w:r w:rsidRPr="00743335">
              <w:t>Neurocognitive measures</w:t>
            </w:r>
          </w:p>
        </w:tc>
        <w:tc>
          <w:tcPr>
            <w:tcW w:w="1019" w:type="pct"/>
            <w:shd w:val="clear" w:color="auto" w:fill="auto"/>
            <w:vAlign w:val="center"/>
          </w:tcPr>
          <w:p w:rsidR="00C317F3" w:rsidRPr="00743335" w:rsidRDefault="00C317F3" w:rsidP="00284A38">
            <w:pPr>
              <w:pStyle w:val="TableText"/>
              <w:jc w:val="center"/>
              <w:rPr>
                <w:rFonts w:ascii="Times" w:eastAsia="Times New Roman" w:hAnsi="Times" w:cs="Times New Roman"/>
              </w:rPr>
            </w:pPr>
            <w:r w:rsidRPr="00743335">
              <w:t>Not used</w:t>
            </w:r>
          </w:p>
        </w:tc>
      </w:tr>
      <w:tr w:rsidR="00A635CB" w:rsidRPr="00743335" w:rsidTr="00284A38">
        <w:tc>
          <w:tcPr>
            <w:tcW w:w="655" w:type="pct"/>
            <w:shd w:val="clear" w:color="auto" w:fill="auto"/>
            <w:vAlign w:val="center"/>
          </w:tcPr>
          <w:p w:rsidR="00C317F3" w:rsidRPr="00743335" w:rsidRDefault="00813A0A" w:rsidP="00772501">
            <w:pPr>
              <w:pStyle w:val="TableText"/>
              <w:rPr>
                <w:rFonts w:ascii="Times" w:eastAsia="Times New Roman" w:hAnsi="Times" w:cs="Times New Roman"/>
              </w:rPr>
            </w:pPr>
            <w:r w:rsidRPr="00743335">
              <w:t>GLAGOV</w:t>
            </w:r>
          </w:p>
        </w:tc>
        <w:tc>
          <w:tcPr>
            <w:tcW w:w="401" w:type="pct"/>
            <w:shd w:val="clear" w:color="auto" w:fill="auto"/>
            <w:vAlign w:val="center"/>
          </w:tcPr>
          <w:p w:rsidR="00C317F3" w:rsidRPr="00743335" w:rsidRDefault="00726E52" w:rsidP="00726E52">
            <w:pPr>
              <w:pStyle w:val="TableText"/>
              <w:jc w:val="center"/>
            </w:pPr>
            <w:r w:rsidRPr="00743335">
              <w:t>970</w:t>
            </w:r>
          </w:p>
        </w:tc>
        <w:tc>
          <w:tcPr>
            <w:tcW w:w="923" w:type="pct"/>
            <w:shd w:val="clear" w:color="auto" w:fill="auto"/>
            <w:vAlign w:val="center"/>
          </w:tcPr>
          <w:p w:rsidR="00726E52" w:rsidRPr="00743335" w:rsidRDefault="00726E52" w:rsidP="00726E52">
            <w:pPr>
              <w:pStyle w:val="TableText"/>
              <w:jc w:val="center"/>
            </w:pPr>
            <w:r w:rsidRPr="00743335">
              <w:t>MC, R, DB, PC</w:t>
            </w:r>
          </w:p>
          <w:p w:rsidR="00C317F3" w:rsidRPr="00743335" w:rsidRDefault="00726E52" w:rsidP="00726E52">
            <w:pPr>
              <w:pStyle w:val="TableText"/>
              <w:jc w:val="center"/>
            </w:pPr>
            <w:r w:rsidRPr="00743335">
              <w:t>78 week duration</w:t>
            </w:r>
          </w:p>
        </w:tc>
        <w:tc>
          <w:tcPr>
            <w:tcW w:w="411" w:type="pct"/>
            <w:shd w:val="clear" w:color="auto" w:fill="auto"/>
            <w:vAlign w:val="center"/>
          </w:tcPr>
          <w:p w:rsidR="00C317F3" w:rsidRPr="00743335" w:rsidRDefault="00C317F3" w:rsidP="00726E52">
            <w:pPr>
              <w:pStyle w:val="TableText"/>
              <w:jc w:val="center"/>
              <w:rPr>
                <w:rFonts w:ascii="Times" w:eastAsia="Times New Roman" w:hAnsi="Times" w:cs="Times New Roman"/>
              </w:rPr>
            </w:pPr>
            <w:r w:rsidRPr="00743335">
              <w:t>Low</w:t>
            </w:r>
          </w:p>
        </w:tc>
        <w:tc>
          <w:tcPr>
            <w:tcW w:w="916" w:type="pct"/>
            <w:shd w:val="clear" w:color="auto" w:fill="auto"/>
            <w:vAlign w:val="center"/>
          </w:tcPr>
          <w:p w:rsidR="00C317F3" w:rsidRPr="00743335" w:rsidRDefault="00054DDF" w:rsidP="00726E52">
            <w:pPr>
              <w:pStyle w:val="TableText"/>
              <w:jc w:val="center"/>
              <w:rPr>
                <w:rFonts w:ascii="Times" w:eastAsia="Times New Roman" w:hAnsi="Times" w:cs="Times New Roman"/>
              </w:rPr>
            </w:pPr>
            <w:r w:rsidRPr="00743335">
              <w:t>Hypercholesterolaemia</w:t>
            </w:r>
            <w:r w:rsidR="00726E52" w:rsidRPr="00743335">
              <w:t xml:space="preserve"> with atherosclerotic disease</w:t>
            </w:r>
          </w:p>
        </w:tc>
        <w:tc>
          <w:tcPr>
            <w:tcW w:w="675" w:type="pct"/>
            <w:shd w:val="clear" w:color="auto" w:fill="auto"/>
            <w:vAlign w:val="center"/>
          </w:tcPr>
          <w:p w:rsidR="00C317F3" w:rsidRPr="00743335" w:rsidRDefault="00A635CB" w:rsidP="00A635CB">
            <w:pPr>
              <w:pStyle w:val="TableText"/>
              <w:jc w:val="center"/>
            </w:pPr>
            <w:r w:rsidRPr="00743335">
              <w:t>Intravascular imaging outcomes</w:t>
            </w:r>
          </w:p>
        </w:tc>
        <w:tc>
          <w:tcPr>
            <w:tcW w:w="1019" w:type="pct"/>
            <w:shd w:val="clear" w:color="auto" w:fill="auto"/>
            <w:vAlign w:val="center"/>
          </w:tcPr>
          <w:p w:rsidR="00C317F3" w:rsidRPr="00743335" w:rsidRDefault="00C317F3" w:rsidP="00284A38">
            <w:pPr>
              <w:pStyle w:val="TableText"/>
              <w:jc w:val="center"/>
              <w:rPr>
                <w:rFonts w:ascii="Times" w:eastAsia="Times New Roman" w:hAnsi="Times" w:cs="Times New Roman"/>
              </w:rPr>
            </w:pPr>
            <w:r w:rsidRPr="00743335">
              <w:t>Not used</w:t>
            </w:r>
          </w:p>
        </w:tc>
      </w:tr>
    </w:tbl>
    <w:p w:rsidR="00C317F3" w:rsidRPr="00743335" w:rsidRDefault="00726E52" w:rsidP="00772501">
      <w:pPr>
        <w:pStyle w:val="TableFooter"/>
      </w:pPr>
      <w:r w:rsidRPr="00743335">
        <w:t>Abbreviations: DB, double blind;</w:t>
      </w:r>
      <w:r w:rsidR="00A635CB" w:rsidRPr="00743335">
        <w:t xml:space="preserve"> </w:t>
      </w:r>
      <w:r w:rsidR="00FD3D08" w:rsidRPr="00743335">
        <w:t>LDL-c</w:t>
      </w:r>
      <w:r w:rsidR="00A635CB" w:rsidRPr="00743335">
        <w:t>, low density lipoprotein cholesterol;</w:t>
      </w:r>
      <w:r w:rsidRPr="00743335">
        <w:t xml:space="preserve"> MC, multi-centre; PC, placebo-controlled; R, </w:t>
      </w:r>
      <w:r w:rsidR="00C317F3" w:rsidRPr="00743335">
        <w:t>randomised.</w:t>
      </w:r>
    </w:p>
    <w:p w:rsidR="00C317F3" w:rsidRPr="00743335" w:rsidRDefault="00726E52" w:rsidP="00772501">
      <w:pPr>
        <w:pStyle w:val="TableFooter"/>
      </w:pPr>
      <w:r w:rsidRPr="00743335">
        <w:t>Source: Table 2.2-1 (p 39-46), Table 2.3-1 (p 47-48), Table 2.4-1 (p 49) of the resubmission</w:t>
      </w:r>
    </w:p>
    <w:p w:rsidR="008C7D41" w:rsidRPr="00743335" w:rsidRDefault="008C7D41" w:rsidP="008C7D41">
      <w:pPr>
        <w:pStyle w:val="ListParagraph"/>
        <w:ind w:left="709"/>
        <w:jc w:val="both"/>
        <w:rPr>
          <w:i/>
        </w:rPr>
      </w:pPr>
      <w:bookmarkStart w:id="16" w:name="_Toc413139278"/>
      <w:bookmarkStart w:id="17" w:name="_Toc492314257"/>
      <w:r w:rsidRPr="00743335">
        <w:rPr>
          <w:i/>
        </w:rPr>
        <w:t>For more detail on PBAC’s view, see section 7 PBAC outcome.</w:t>
      </w:r>
    </w:p>
    <w:p w:rsidR="00C317F3" w:rsidRPr="00743335" w:rsidRDefault="00C317F3" w:rsidP="00C9669A">
      <w:pPr>
        <w:pStyle w:val="Heading2"/>
      </w:pPr>
      <w:r w:rsidRPr="00743335">
        <w:t>Comparative effectiveness</w:t>
      </w:r>
      <w:bookmarkEnd w:id="16"/>
      <w:bookmarkEnd w:id="17"/>
      <w:r w:rsidRPr="00743335">
        <w:t xml:space="preserve"> </w:t>
      </w:r>
    </w:p>
    <w:p w:rsidR="00284A38" w:rsidRPr="00743335" w:rsidRDefault="00284A38" w:rsidP="00B365E7">
      <w:pPr>
        <w:pStyle w:val="ListParagraph"/>
        <w:numPr>
          <w:ilvl w:val="1"/>
          <w:numId w:val="1"/>
        </w:numPr>
        <w:spacing w:before="0" w:after="120"/>
        <w:jc w:val="both"/>
      </w:pPr>
      <w:r w:rsidRPr="00743335">
        <w:t xml:space="preserve">The previous March 2015 and March 2016 submissions presented exploratory analyses of cardiovascular safety data from the OSLER studies (long-term follow-up of patients previously enrolled in the evolocumab lipid trials). </w:t>
      </w:r>
      <w:r w:rsidR="00E87788" w:rsidRPr="00743335">
        <w:t>These</w:t>
      </w:r>
      <w:r w:rsidRPr="00743335">
        <w:t xml:space="preserve"> analyses suggest</w:t>
      </w:r>
      <w:r w:rsidR="00E87788" w:rsidRPr="00743335">
        <w:t>ed</w:t>
      </w:r>
      <w:r w:rsidRPr="00743335">
        <w:t xml:space="preserve"> a</w:t>
      </w:r>
      <w:r w:rsidR="00E87788" w:rsidRPr="00743335">
        <w:t xml:space="preserve"> potential </w:t>
      </w:r>
      <w:r w:rsidRPr="00743335">
        <w:t>reduction in cardiovascular risk with evolocuma</w:t>
      </w:r>
      <w:r w:rsidR="00E87788" w:rsidRPr="00743335">
        <w:t>b compared to standard of care</w:t>
      </w:r>
      <w:r w:rsidRPr="00743335">
        <w:t>.</w:t>
      </w:r>
    </w:p>
    <w:p w:rsidR="00E87788" w:rsidRPr="00743335" w:rsidRDefault="00E87788" w:rsidP="00B365E7">
      <w:pPr>
        <w:pStyle w:val="ListParagraph"/>
        <w:numPr>
          <w:ilvl w:val="1"/>
          <w:numId w:val="1"/>
        </w:numPr>
        <w:spacing w:before="0" w:after="120"/>
        <w:jc w:val="both"/>
      </w:pPr>
      <w:r w:rsidRPr="00743335">
        <w:t xml:space="preserve">Key cardiovascular outcomes reported in the FOURIER trial are summarised in the table below. </w:t>
      </w:r>
      <w:r w:rsidR="00284A38" w:rsidRPr="00743335">
        <w:t xml:space="preserve"> </w:t>
      </w:r>
    </w:p>
    <w:p w:rsidR="0052590B" w:rsidRPr="00743335" w:rsidRDefault="0052590B">
      <w:pPr>
        <w:spacing w:before="0" w:line="259" w:lineRule="auto"/>
        <w:rPr>
          <w:rFonts w:ascii="Arial Narrow" w:hAnsi="Arial Narrow"/>
          <w:b/>
          <w:sz w:val="20"/>
        </w:rPr>
      </w:pPr>
      <w:r w:rsidRPr="00743335">
        <w:br w:type="page"/>
      </w:r>
    </w:p>
    <w:p w:rsidR="00E87788" w:rsidRPr="00743335" w:rsidRDefault="00E87788" w:rsidP="00E87788">
      <w:pPr>
        <w:pStyle w:val="TableHeading0"/>
      </w:pPr>
      <w:r w:rsidRPr="00743335">
        <w:t xml:space="preserve">Table </w:t>
      </w:r>
      <w:r w:rsidR="009F203E" w:rsidRPr="00743335">
        <w:t>5</w:t>
      </w:r>
      <w:r w:rsidRPr="00743335">
        <w:t xml:space="preserve">: Key cardiovascular time to event analyses reported in the FOURIER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1390"/>
        <w:gridCol w:w="1391"/>
        <w:gridCol w:w="1840"/>
      </w:tblGrid>
      <w:tr w:rsidR="00E87788" w:rsidRPr="00743335" w:rsidTr="009F203E">
        <w:trPr>
          <w:tblHeader/>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rPr>
                <w:b/>
              </w:rPr>
            </w:pPr>
            <w:r w:rsidRPr="00743335">
              <w:rPr>
                <w:b/>
              </w:rPr>
              <w:t xml:space="preserve">Outcome </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Evolocumab</w:t>
            </w:r>
          </w:p>
          <w:p w:rsidR="00E87788" w:rsidRPr="00743335" w:rsidRDefault="00E87788" w:rsidP="006821BC">
            <w:pPr>
              <w:pStyle w:val="TableText"/>
              <w:keepNext w:val="0"/>
              <w:widowControl w:val="0"/>
              <w:spacing w:line="256" w:lineRule="auto"/>
              <w:jc w:val="center"/>
              <w:rPr>
                <w:b/>
              </w:rPr>
            </w:pPr>
            <w:r w:rsidRPr="00743335">
              <w:rPr>
                <w:b/>
              </w:rPr>
              <w:t>N = 13,784</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Placebo</w:t>
            </w:r>
          </w:p>
          <w:p w:rsidR="00E87788" w:rsidRPr="00743335" w:rsidRDefault="00E87788" w:rsidP="006821BC">
            <w:pPr>
              <w:pStyle w:val="TableText"/>
              <w:keepNext w:val="0"/>
              <w:widowControl w:val="0"/>
              <w:spacing w:line="256" w:lineRule="auto"/>
              <w:jc w:val="center"/>
              <w:rPr>
                <w:b/>
              </w:rPr>
            </w:pPr>
            <w:r w:rsidRPr="00743335">
              <w:rPr>
                <w:b/>
              </w:rPr>
              <w:t>N = 13,780</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 xml:space="preserve">Hazard ratio </w:t>
            </w:r>
          </w:p>
          <w:p w:rsidR="00E87788" w:rsidRPr="00743335" w:rsidRDefault="00E87788" w:rsidP="006821BC">
            <w:pPr>
              <w:pStyle w:val="TableText"/>
              <w:keepNext w:val="0"/>
              <w:widowControl w:val="0"/>
              <w:spacing w:line="256" w:lineRule="auto"/>
              <w:jc w:val="center"/>
              <w:rPr>
                <w:b/>
              </w:rPr>
            </w:pPr>
            <w:r w:rsidRPr="00743335">
              <w:rPr>
                <w:b/>
              </w:rPr>
              <w:t>(95% CI)</w:t>
            </w:r>
          </w:p>
        </w:tc>
      </w:tr>
      <w:tr w:rsidR="00E87788" w:rsidRPr="00743335" w:rsidTr="009F203E">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rPr>
                <w:b/>
              </w:rPr>
            </w:pPr>
            <w:r w:rsidRPr="00743335">
              <w:rPr>
                <w:b/>
              </w:rPr>
              <w:t>Composite outcomes (first event only)</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widowControl w:val="0"/>
              <w:spacing w:line="256" w:lineRule="auto"/>
            </w:pPr>
            <w:r w:rsidRPr="00743335">
              <w:t>Time to cardiovascular death, myocardial infarction, stroke, hospitalisation for unstable angina, or coronary revascularisation [primary outcome]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1,344 (9.75%)</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1,563 (11.34%)</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0.85 (0.79, 0.92)</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cardiovascular death, myocardial infarction, or stroke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816 (5.92%)</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1,013 (7.35%)</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0.80 (0.73, 0.88)</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CTTC composite (coronary death, myocardial infarction, stroke or coronary revascularisation) [post-hoc outcome]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1,271 (9.22%)</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1,512 (10.97%)</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0.83 (0.77, 0.90)</w:t>
            </w:r>
          </w:p>
        </w:tc>
      </w:tr>
      <w:tr w:rsidR="00E87788" w:rsidRPr="00743335" w:rsidTr="009F203E">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rPr>
                <w:b/>
              </w:rPr>
            </w:pPr>
            <w:r w:rsidRPr="00743335">
              <w:rPr>
                <w:b/>
              </w:rPr>
              <w:t>Individual outcomes</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cardiovascular death</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251 (1.82%)</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240 (1.74%)</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1.05 (0.88, 1.25)</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Death due to myocardial infarction</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25 (0.18%)</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30 (0.22%)</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0.84 (0.49, 1.42)</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Death due to stroke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31 (0.22%)</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33 (0.24%)</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0.94 (0.58, 1.54)</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Death due to other cardiovascular causes</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195 (1.41%)</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177 (1.28%)</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1.10 (0.90, 1.35)</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coronary death</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176 (1.28%)</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173 (1.26%)</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1.02 (0.82, 1.25)</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death by any cause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444 (3.22%)</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426 (3.09%)</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1.04 (0.91, 1.19)</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xml:space="preserve">Time to first myocardial infarction </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468 (3.40%)</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639 (4.64%)</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0.73 (0.65, 0.82)</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first stroke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207 (1.50%)</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262 (1.90%)</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0.79 (0.66, 0.95)</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Ischaemic stroke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171 (1.24%)</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226 (1.64%)</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0.75 (0.62, 0.92)</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Haemorrhagic stroke</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29 (0.21%)</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25 (0.18%)</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1.16 (0.68, 1.98)</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 xml:space="preserve">- Unknown </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13 (0.09%)</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14 (0.10%)</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0.93 (0.44, 1.97)</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first coronary revascularisation</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759 (5.51%)</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965 (7.00%)</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rPr>
                <w:b/>
              </w:rPr>
            </w:pPr>
            <w:r w:rsidRPr="00743335">
              <w:rPr>
                <w:b/>
              </w:rPr>
              <w:t>0.78 (0.71, 0.86)</w:t>
            </w:r>
          </w:p>
        </w:tc>
      </w:tr>
      <w:tr w:rsidR="00E87788" w:rsidRPr="00743335" w:rsidTr="009F203E">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pPr>
            <w:r w:rsidRPr="00743335">
              <w:t>Time to first hospitalisation for unstable angina</w:t>
            </w:r>
          </w:p>
        </w:tc>
        <w:tc>
          <w:tcPr>
            <w:tcW w:w="1364"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236 (1.71%)</w:t>
            </w:r>
          </w:p>
        </w:tc>
        <w:tc>
          <w:tcPr>
            <w:tcW w:w="1365"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239 (1.73%)</w:t>
            </w:r>
          </w:p>
        </w:tc>
        <w:tc>
          <w:tcPr>
            <w:tcW w:w="1806" w:type="dxa"/>
            <w:tcBorders>
              <w:top w:val="single" w:sz="4" w:space="0" w:color="auto"/>
              <w:left w:val="single" w:sz="4" w:space="0" w:color="auto"/>
              <w:bottom w:val="single" w:sz="4" w:space="0" w:color="auto"/>
              <w:right w:val="single" w:sz="4" w:space="0" w:color="auto"/>
            </w:tcBorders>
            <w:vAlign w:val="center"/>
          </w:tcPr>
          <w:p w:rsidR="00E87788" w:rsidRPr="00743335" w:rsidRDefault="00E87788" w:rsidP="006821BC">
            <w:pPr>
              <w:pStyle w:val="TableText"/>
              <w:keepNext w:val="0"/>
              <w:widowControl w:val="0"/>
              <w:spacing w:line="256" w:lineRule="auto"/>
              <w:jc w:val="center"/>
            </w:pPr>
            <w:r w:rsidRPr="00743335">
              <w:t>0.99 (0.82, 1.18)</w:t>
            </w:r>
          </w:p>
        </w:tc>
      </w:tr>
    </w:tbl>
    <w:p w:rsidR="00E87788" w:rsidRPr="00743335" w:rsidRDefault="00E87788" w:rsidP="00E87788">
      <w:pPr>
        <w:pStyle w:val="TableFooter"/>
      </w:pPr>
      <w:r w:rsidRPr="00743335">
        <w:t>Abbreviations: CTTC, Cholesterol Treatment Trialists’ Collaboration</w:t>
      </w:r>
    </w:p>
    <w:p w:rsidR="00E87788" w:rsidRPr="00743335" w:rsidRDefault="00E87788" w:rsidP="00E87788">
      <w:pPr>
        <w:pStyle w:val="TableFooter"/>
      </w:pPr>
      <w:r w:rsidRPr="00743335">
        <w:t>Source: Table 2.5-1 (p 54-55) of the resubmission; Table 10-9 (p 138), Table 14-4.3.25 (p 342), Table 14-4.3.26 (p 343) of the FOURIER trial report; Table 2 (p 6) of the Sabatine (2017) publication</w:t>
      </w:r>
    </w:p>
    <w:p w:rsidR="00181F8F" w:rsidRPr="00743335" w:rsidRDefault="00181F8F" w:rsidP="00B365E7">
      <w:pPr>
        <w:pStyle w:val="ListParagraph"/>
        <w:numPr>
          <w:ilvl w:val="1"/>
          <w:numId w:val="1"/>
        </w:numPr>
        <w:spacing w:before="0" w:after="120"/>
        <w:jc w:val="both"/>
      </w:pPr>
      <w:r w:rsidRPr="00743335">
        <w:rPr>
          <w:szCs w:val="24"/>
        </w:rPr>
        <w:t xml:space="preserve">The ESC noted the primary composite outcomes for major adverse cardiac events (MACE) and extended MACE endpoints were positive in the </w:t>
      </w:r>
      <w:r w:rsidR="00423056" w:rsidRPr="00743335">
        <w:rPr>
          <w:szCs w:val="24"/>
        </w:rPr>
        <w:t>FOURIER</w:t>
      </w:r>
      <w:r w:rsidRPr="00743335">
        <w:rPr>
          <w:szCs w:val="24"/>
        </w:rPr>
        <w:t xml:space="preserve"> trial data.</w:t>
      </w:r>
    </w:p>
    <w:p w:rsidR="00E87788" w:rsidRPr="00743335" w:rsidRDefault="00E87788" w:rsidP="00B365E7">
      <w:pPr>
        <w:pStyle w:val="ListParagraph"/>
        <w:numPr>
          <w:ilvl w:val="1"/>
          <w:numId w:val="1"/>
        </w:numPr>
        <w:spacing w:before="0" w:after="120"/>
        <w:jc w:val="both"/>
      </w:pPr>
      <w:r w:rsidRPr="00743335">
        <w:t>Treatment with evolocumab was associated with a decreased risk of myocardial infarct</w:t>
      </w:r>
      <w:r w:rsidR="0046709B" w:rsidRPr="00743335">
        <w:t>ion</w:t>
      </w:r>
      <w:r w:rsidRPr="00743335">
        <w:t>, coronary revascularisat</w:t>
      </w:r>
      <w:r w:rsidR="0046709B" w:rsidRPr="00743335">
        <w:t>ion</w:t>
      </w:r>
      <w:r w:rsidRPr="00743335">
        <w:t xml:space="preserve"> and ischaemic </w:t>
      </w:r>
      <w:r w:rsidR="0046709B" w:rsidRPr="00743335">
        <w:t>stroke</w:t>
      </w:r>
      <w:r w:rsidRPr="00743335">
        <w:t xml:space="preserve"> compared to placebo. There was no apparent difference in angina, coronary death, cardiovascular death or all-cause mortality between treatment arms</w:t>
      </w:r>
      <w:r w:rsidR="00450134" w:rsidRPr="00743335">
        <w:t>, although ESC noted these were not individually primary or, for angina and coronary death, secondary endpoints</w:t>
      </w:r>
      <w:r w:rsidRPr="00743335">
        <w:t>.</w:t>
      </w:r>
      <w:r w:rsidR="00EA3034" w:rsidRPr="00743335">
        <w:t xml:space="preserve">  The difference in cardiovascular events was associated with a 59% relative decrease and a 1.38 mmol/L absolute decrease in </w:t>
      </w:r>
      <w:r w:rsidR="00FD3D08" w:rsidRPr="00743335">
        <w:t>LDL-c</w:t>
      </w:r>
      <w:r w:rsidR="00EA3034" w:rsidRPr="00743335">
        <w:t xml:space="preserve"> levels compared to placebo.</w:t>
      </w:r>
    </w:p>
    <w:p w:rsidR="002D4A52" w:rsidRPr="00743335" w:rsidRDefault="002D4A52" w:rsidP="00B365E7">
      <w:pPr>
        <w:pStyle w:val="ListParagraph"/>
        <w:numPr>
          <w:ilvl w:val="1"/>
          <w:numId w:val="1"/>
        </w:numPr>
        <w:spacing w:before="0" w:after="120"/>
        <w:jc w:val="both"/>
      </w:pPr>
      <w:r w:rsidRPr="00743335">
        <w:t>The results of the FOURIER trial were</w:t>
      </w:r>
      <w:r w:rsidR="00EA3034" w:rsidRPr="00743335">
        <w:t xml:space="preserve"> broadly</w:t>
      </w:r>
      <w:r w:rsidRPr="00743335">
        <w:t xml:space="preserve"> consistent with the results from the IMPROVE-IT trial (the key cardiovascular outcome study for ezetimibe)</w:t>
      </w:r>
      <w:r w:rsidR="00953F16">
        <w:t>, noting that the entry criteria and clinical population studied in the two trials was different</w:t>
      </w:r>
      <w:r w:rsidRPr="00743335">
        <w:t>. Treatment with simvastatin and ezetimibe combination therapy was associated with a decreased risk of myocardial infarction (HR 0.87; 95% CI 0.80, 0.95), urgent coronary revascularisation (HR 0.81; 95% CI 0.72, 0.91) and ischaemic stroke (HR 0.79; 95% CI 0.67, 0.94) compared to simvastatin monotherapy. There was no apparent difference in angina, coronary death, cardiovascular death or all-cause mortality between treatment arms.</w:t>
      </w:r>
      <w:r w:rsidR="00EA3034" w:rsidRPr="00743335">
        <w:t xml:space="preserve"> The difference in cardiovascular events was associated with an 18.3% relative decrease and a 0.33 mmol/L absolute decrease in </w:t>
      </w:r>
      <w:r w:rsidR="00FD3D08" w:rsidRPr="00743335">
        <w:t>LDL-c</w:t>
      </w:r>
      <w:r w:rsidR="00EA3034" w:rsidRPr="00743335">
        <w:t xml:space="preserve"> levels compared to simvastatin monotherapy.</w:t>
      </w:r>
    </w:p>
    <w:p w:rsidR="00423056" w:rsidRPr="00743335" w:rsidRDefault="00E87788" w:rsidP="00B365E7">
      <w:pPr>
        <w:pStyle w:val="ListParagraph"/>
        <w:numPr>
          <w:ilvl w:val="1"/>
          <w:numId w:val="1"/>
        </w:numPr>
        <w:spacing w:before="0" w:after="120"/>
        <w:jc w:val="both"/>
        <w:rPr>
          <w:i/>
        </w:rPr>
      </w:pPr>
      <w:r w:rsidRPr="00743335">
        <w:t>A landmark analysis of FOURIER outcomes indicated that relative reductions in myocardial infarction, stroke and coronary revascularisations with evolocumab treatment were generally smaller in the first year compared to later years. There was no apparent difference in angina or mortality between treatment arms in the first year or subsequent years. The resubmission claimed that this analysis indicates that there is a treatment lag between the initiation of evolocumab therapy and the accrual of cardiovascular benefits.</w:t>
      </w:r>
      <w:r w:rsidR="00423056" w:rsidRPr="00743335">
        <w:t xml:space="preserve"> The resubmission also suggested that the </w:t>
      </w:r>
      <w:r w:rsidR="000519DC" w:rsidRPr="00743335">
        <w:t>Kaplan-Meier</w:t>
      </w:r>
      <w:r w:rsidR="00423056" w:rsidRPr="00743335">
        <w:t xml:space="preserve"> curves diverged with increasing duration of follow-up</w:t>
      </w:r>
      <w:r w:rsidR="000519DC" w:rsidRPr="00743335">
        <w:t>, as seen in Figures 1</w:t>
      </w:r>
      <w:r w:rsidR="00423056" w:rsidRPr="00743335">
        <w:t>.</w:t>
      </w:r>
      <w:r w:rsidR="003E1E30" w:rsidRPr="00743335">
        <w:t xml:space="preserve"> The ESC noted, the economic model does not include a lag between treatment with evolocumab and CV events (see Economic analysis).</w:t>
      </w:r>
    </w:p>
    <w:p w:rsidR="000519DC" w:rsidRPr="00743335" w:rsidRDefault="000519DC" w:rsidP="000519DC">
      <w:pPr>
        <w:pStyle w:val="TableHeading0"/>
      </w:pPr>
      <w:bookmarkStart w:id="18" w:name="_Ref484439189"/>
      <w:r w:rsidRPr="00743335">
        <w:t xml:space="preserve">Figure </w:t>
      </w:r>
      <w:bookmarkEnd w:id="18"/>
      <w:r w:rsidRPr="00743335">
        <w:t>1: Cumulative Incidence of the primary and secondary endpoints in FOURIER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Cumulative Incidence of the primary and secondary endpoints in FOURIER"/>
      </w:tblPr>
      <w:tblGrid>
        <w:gridCol w:w="4622"/>
        <w:gridCol w:w="4620"/>
      </w:tblGrid>
      <w:tr w:rsidR="000519DC" w:rsidRPr="00743335" w:rsidTr="009A7B00">
        <w:trPr>
          <w:cnfStyle w:val="100000000000" w:firstRow="1" w:lastRow="0" w:firstColumn="0" w:lastColumn="0" w:oddVBand="0" w:evenVBand="0" w:oddHBand="0" w:evenHBand="0" w:firstRowFirstColumn="0" w:firstRowLastColumn="0" w:lastRowFirstColumn="0" w:lastRowLastColumn="0"/>
          <w:tblHeader/>
        </w:trPr>
        <w:tc>
          <w:tcPr>
            <w:tcW w:w="4924" w:type="dxa"/>
            <w:shd w:val="clear" w:color="auto" w:fill="auto"/>
          </w:tcPr>
          <w:p w:rsidR="000519DC" w:rsidRPr="00743335" w:rsidRDefault="000519DC" w:rsidP="002F05B0">
            <w:pPr>
              <w:rPr>
                <w:lang w:val="en-AU" w:bidi="hi-IN"/>
              </w:rPr>
            </w:pPr>
            <w:r w:rsidRPr="00743335">
              <w:rPr>
                <w:noProof/>
                <w:highlight w:val="yellow"/>
                <w:lang w:eastAsia="en-AU"/>
              </w:rPr>
              <w:drawing>
                <wp:inline distT="0" distB="0" distL="0" distR="0" wp14:anchorId="297B5FD2" wp14:editId="4CB0ABB8">
                  <wp:extent cx="2751706" cy="2286953"/>
                  <wp:effectExtent l="0" t="0" r="0" b="0"/>
                  <wp:docPr id="26" name="Picture 26" title="A. Primary Efficacy End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7771" cy="2300305"/>
                          </a:xfrm>
                          <a:prstGeom prst="rect">
                            <a:avLst/>
                          </a:prstGeom>
                        </pic:spPr>
                      </pic:pic>
                    </a:graphicData>
                  </a:graphic>
                </wp:inline>
              </w:drawing>
            </w:r>
          </w:p>
        </w:tc>
        <w:tc>
          <w:tcPr>
            <w:tcW w:w="4924" w:type="dxa"/>
            <w:shd w:val="clear" w:color="auto" w:fill="auto"/>
          </w:tcPr>
          <w:p w:rsidR="000519DC" w:rsidRPr="00743335" w:rsidRDefault="000519DC" w:rsidP="002F05B0">
            <w:pPr>
              <w:rPr>
                <w:lang w:val="en-AU" w:bidi="hi-IN"/>
              </w:rPr>
            </w:pPr>
            <w:r w:rsidRPr="00743335">
              <w:rPr>
                <w:noProof/>
                <w:highlight w:val="yellow"/>
                <w:lang w:eastAsia="en-AU"/>
              </w:rPr>
              <w:drawing>
                <wp:inline distT="0" distB="0" distL="0" distR="0" wp14:anchorId="15107368" wp14:editId="59A5AF21">
                  <wp:extent cx="2750328" cy="2288126"/>
                  <wp:effectExtent l="0" t="0" r="0" b="0"/>
                  <wp:docPr id="27" name="Picture 27" title="B Key Secondary Efficacy End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8822" cy="2286873"/>
                          </a:xfrm>
                          <a:prstGeom prst="rect">
                            <a:avLst/>
                          </a:prstGeom>
                        </pic:spPr>
                      </pic:pic>
                    </a:graphicData>
                  </a:graphic>
                </wp:inline>
              </w:drawing>
            </w:r>
          </w:p>
        </w:tc>
      </w:tr>
    </w:tbl>
    <w:p w:rsidR="000519DC" w:rsidRPr="00743335" w:rsidRDefault="000519DC" w:rsidP="000519DC">
      <w:pPr>
        <w:pStyle w:val="TableFooter"/>
      </w:pPr>
      <w:r w:rsidRPr="00743335">
        <w:t>Primary end point consists of cardiovascular death, myocardial infarction, stroke, hospitalization for unstable angina, or coronary revascularization. The key secondary end point consists of cardiovascular death, myocardial infarction, or stroke.</w:t>
      </w:r>
    </w:p>
    <w:p w:rsidR="000519DC" w:rsidRPr="00743335" w:rsidRDefault="000519DC" w:rsidP="000519DC">
      <w:pPr>
        <w:pStyle w:val="TableFooter"/>
      </w:pPr>
      <w:r w:rsidRPr="00743335">
        <w:t>Source: Figure 2.5-1 (p 55) of the resubmission</w:t>
      </w:r>
    </w:p>
    <w:p w:rsidR="0046709B" w:rsidRPr="00743335" w:rsidRDefault="0046709B" w:rsidP="00B365E7">
      <w:pPr>
        <w:pStyle w:val="ListParagraph"/>
        <w:numPr>
          <w:ilvl w:val="1"/>
          <w:numId w:val="1"/>
        </w:numPr>
        <w:jc w:val="both"/>
      </w:pPr>
      <w:r w:rsidRPr="00743335">
        <w:t>The FOURIER trial report noted some differences in treatment effects across patient subgroups defined by race, geographic location and previous history of myocardial infarction.</w:t>
      </w:r>
    </w:p>
    <w:p w:rsidR="00543B16" w:rsidRPr="00743335" w:rsidRDefault="00543B16" w:rsidP="00B365E7">
      <w:pPr>
        <w:pStyle w:val="ListParagraph"/>
        <w:numPr>
          <w:ilvl w:val="1"/>
          <w:numId w:val="1"/>
        </w:numPr>
        <w:spacing w:before="0" w:after="120"/>
        <w:jc w:val="both"/>
      </w:pPr>
      <w:r w:rsidRPr="00743335">
        <w:t>Cardiovascular imaging results from the GLAGOV trial indicated that treatment with evolocumab was also associated with a statistically significant reduction in atheroma volume over time compared to placebo</w:t>
      </w:r>
      <w:r w:rsidR="00E45D6A" w:rsidRPr="00743335">
        <w:t xml:space="preserve"> (least squares mean change in percent atheroma volume -0.96 vs 0.05; treatment difference -1.01; 95% CI -1.38, -0.64)</w:t>
      </w:r>
      <w:r w:rsidRPr="00743335">
        <w:t xml:space="preserve">. </w:t>
      </w:r>
    </w:p>
    <w:p w:rsidR="00646A08" w:rsidRPr="00743335" w:rsidRDefault="00646A08" w:rsidP="00B365E7">
      <w:pPr>
        <w:pStyle w:val="ListParagraph"/>
        <w:numPr>
          <w:ilvl w:val="1"/>
          <w:numId w:val="1"/>
        </w:numPr>
        <w:spacing w:before="0" w:after="120"/>
        <w:jc w:val="both"/>
      </w:pPr>
      <w:r w:rsidRPr="00743335">
        <w:t xml:space="preserve">A summary of </w:t>
      </w:r>
      <w:r w:rsidR="00FD3D08" w:rsidRPr="00743335">
        <w:t>LDL-c</w:t>
      </w:r>
      <w:r w:rsidRPr="00743335">
        <w:t xml:space="preserve"> results from</w:t>
      </w:r>
      <w:r w:rsidR="00973D37" w:rsidRPr="00743335">
        <w:t xml:space="preserve"> FOURIER, GLAGOV and the lipid trials</w:t>
      </w:r>
      <w:r w:rsidRPr="00743335">
        <w:t xml:space="preserve"> demonstrated that treatment with evolocumab (fortnightly and monthly dosing) was associated with statistically significant decreases in </w:t>
      </w:r>
      <w:r w:rsidR="00FD3D08" w:rsidRPr="00743335">
        <w:t>LDL-c</w:t>
      </w:r>
      <w:r w:rsidRPr="00743335">
        <w:t xml:space="preserve"> levels compared to ezetimibe (approximately 40% reduction) and placebo (approximately 60% reduction) in mixed hypercholesterolaemia populations. The </w:t>
      </w:r>
      <w:r w:rsidR="00FD3D08" w:rsidRPr="00743335">
        <w:t>LDL-c</w:t>
      </w:r>
      <w:r w:rsidRPr="00743335">
        <w:t xml:space="preserve"> outcomes were consistent with results previously considered by PBAC (March 2015 and March 2016 evolocumab submissions).</w:t>
      </w:r>
    </w:p>
    <w:p w:rsidR="00973D37" w:rsidRPr="00743335" w:rsidRDefault="00973D37" w:rsidP="00B365E7">
      <w:pPr>
        <w:pStyle w:val="ListParagraph"/>
        <w:numPr>
          <w:ilvl w:val="1"/>
          <w:numId w:val="1"/>
        </w:numPr>
        <w:spacing w:before="0" w:after="120"/>
        <w:jc w:val="both"/>
      </w:pPr>
      <w:r w:rsidRPr="00743335">
        <w:t xml:space="preserve">An overall summary of the indirect analyses comparing evolocumab and alirocumab is summarised in the table below. </w:t>
      </w:r>
    </w:p>
    <w:p w:rsidR="00973D37" w:rsidRPr="00743335" w:rsidRDefault="00973D37" w:rsidP="00B365E7">
      <w:pPr>
        <w:pStyle w:val="ListParagraph"/>
        <w:numPr>
          <w:ilvl w:val="1"/>
          <w:numId w:val="1"/>
        </w:numPr>
        <w:spacing w:before="0" w:after="120"/>
        <w:jc w:val="both"/>
      </w:pPr>
      <w:r w:rsidRPr="00743335">
        <w:t xml:space="preserve">The inclusion/exclusion of trials for the indirect comparison </w:t>
      </w:r>
      <w:r w:rsidR="00294942" w:rsidRPr="00743335">
        <w:t>was</w:t>
      </w:r>
      <w:r w:rsidRPr="00743335">
        <w:t xml:space="preserve"> not adequately justified in the resubmission (e.g. comparisons include early phase II trials but do not include new data from the FOURIER trial).</w:t>
      </w:r>
    </w:p>
    <w:p w:rsidR="00973D37" w:rsidRPr="00743335" w:rsidRDefault="00973D37" w:rsidP="00B365E7">
      <w:pPr>
        <w:pStyle w:val="ListParagraph"/>
        <w:numPr>
          <w:ilvl w:val="1"/>
          <w:numId w:val="1"/>
        </w:numPr>
        <w:spacing w:before="0" w:after="120"/>
        <w:jc w:val="both"/>
      </w:pPr>
      <w:r w:rsidRPr="00743335">
        <w:t>The robustness of meta-analysed results used in the indirect analysis for both evolocumab and alirocumab was unclear given the major heterogeneity between studies (most I</w:t>
      </w:r>
      <w:r w:rsidRPr="00743335">
        <w:rPr>
          <w:vertAlign w:val="superscript"/>
        </w:rPr>
        <w:t>2</w:t>
      </w:r>
      <w:r w:rsidRPr="00743335">
        <w:t xml:space="preserve"> estimates between 80-90%). Additionally, the exchangeability of the evolocumab and alirocumab trials was also unclear (varying study designs and trial characteristics).</w:t>
      </w:r>
    </w:p>
    <w:p w:rsidR="00973D37" w:rsidRPr="00743335" w:rsidRDefault="00973D37" w:rsidP="00B365E7">
      <w:pPr>
        <w:pStyle w:val="ListParagraph"/>
        <w:numPr>
          <w:ilvl w:val="1"/>
          <w:numId w:val="1"/>
        </w:numPr>
        <w:spacing w:before="0" w:after="120"/>
        <w:jc w:val="both"/>
      </w:pPr>
      <w:r w:rsidRPr="00743335">
        <w:t>The analyses presented in the resubmission do not directly address the comparative efficacy of evolocumab versus dose titration with alirocumab (recommended treatment regimen in the product information).</w:t>
      </w:r>
    </w:p>
    <w:p w:rsidR="00973D37" w:rsidRPr="00743335" w:rsidRDefault="00FE7F1A" w:rsidP="00B365E7">
      <w:pPr>
        <w:pStyle w:val="ListParagraph"/>
        <w:numPr>
          <w:ilvl w:val="1"/>
          <w:numId w:val="1"/>
        </w:numPr>
        <w:spacing w:before="0" w:after="120"/>
        <w:jc w:val="both"/>
      </w:pPr>
      <w:r w:rsidRPr="00743335">
        <w:t>A</w:t>
      </w:r>
      <w:r w:rsidR="00973D37" w:rsidRPr="00743335">
        <w:t xml:space="preserve">lternative indirect analyses were </w:t>
      </w:r>
      <w:r w:rsidRPr="00743335">
        <w:t xml:space="preserve">also </w:t>
      </w:r>
      <w:r w:rsidR="00973D37" w:rsidRPr="00743335">
        <w:t>conducted during the evaluation comparing the results of the FOURIER trial (the most robust data for evolocumab) to the available alirocumab trials using placebo as the common comparator.</w:t>
      </w:r>
      <w:r w:rsidR="00645863" w:rsidRPr="00743335">
        <w:t xml:space="preserve"> Similar to the analyses presented in the resubmission, these analyses were limited by substantial heterogeneity in the alirocumab trials and uncertain exchangeability between the evolocumab and alirocumab trials.</w:t>
      </w:r>
    </w:p>
    <w:p w:rsidR="00B73A3B" w:rsidRDefault="00B73A3B">
      <w:pPr>
        <w:spacing w:before="0" w:line="259" w:lineRule="auto"/>
        <w:rPr>
          <w:rFonts w:ascii="Arial Narrow" w:hAnsi="Arial Narrow"/>
          <w:b/>
          <w:sz w:val="20"/>
        </w:rPr>
      </w:pPr>
      <w:r>
        <w:br w:type="page"/>
      </w:r>
    </w:p>
    <w:p w:rsidR="00973D37" w:rsidRPr="00743335" w:rsidRDefault="009F203E" w:rsidP="00973D37">
      <w:pPr>
        <w:pStyle w:val="TableHeading0"/>
        <w:jc w:val="both"/>
      </w:pPr>
      <w:r w:rsidRPr="00743335">
        <w:t>Table 6</w:t>
      </w:r>
      <w:r w:rsidR="00973D37" w:rsidRPr="00743335">
        <w:t xml:space="preserve">: Indirect comparison of change in mean </w:t>
      </w:r>
      <w:r w:rsidR="00FD3D08" w:rsidRPr="00743335">
        <w:t>LDL-c</w:t>
      </w:r>
      <w:r w:rsidR="00973D37" w:rsidRPr="00743335">
        <w:t xml:space="preserve"> levels with evolocumab and alirocumab in mixed hypercholesterolaemia populations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5"/>
        <w:gridCol w:w="2107"/>
      </w:tblGrid>
      <w:tr w:rsidR="00973D37" w:rsidRPr="00743335" w:rsidTr="009F203E">
        <w:trPr>
          <w:tblHeader/>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Comparison</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 xml:space="preserve">Treatment difference, </w:t>
            </w:r>
          </w:p>
          <w:p w:rsidR="00973D37" w:rsidRPr="00743335" w:rsidRDefault="00973D37" w:rsidP="009C55AD">
            <w:pPr>
              <w:pStyle w:val="TableText"/>
              <w:keepNext w:val="0"/>
              <w:widowControl w:val="0"/>
              <w:spacing w:line="256" w:lineRule="auto"/>
              <w:jc w:val="center"/>
              <w:rPr>
                <w:b/>
              </w:rPr>
            </w:pPr>
            <w:r w:rsidRPr="00743335">
              <w:rPr>
                <w:b/>
              </w:rPr>
              <w:t>Mean (95% CI)</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(all trials) </w:t>
            </w:r>
            <w:r w:rsidRPr="00743335">
              <w:br/>
              <w:t>using placebo common comparator</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-17.30 (-24.56, -10.04)</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(all trials) </w:t>
            </w:r>
          </w:p>
          <w:p w:rsidR="00973D37" w:rsidRPr="00743335" w:rsidRDefault="00973D37" w:rsidP="009C55AD">
            <w:pPr>
              <w:pStyle w:val="TableText"/>
              <w:keepNext w:val="0"/>
              <w:widowControl w:val="0"/>
              <w:spacing w:line="256" w:lineRule="auto"/>
              <w:jc w:val="right"/>
            </w:pPr>
            <w:r w:rsidRPr="00743335">
              <w:t>using ezetimibe common comparator</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-13.06 (-17.68, -8.44)</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(inadequate control on statins) </w:t>
            </w:r>
            <w:r w:rsidRPr="00743335">
              <w:br/>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-20.25 (-28.60, -11.90)</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(inadequate control on statins) </w:t>
            </w:r>
          </w:p>
          <w:p w:rsidR="00973D37" w:rsidRPr="00743335" w:rsidRDefault="00973D37" w:rsidP="009C55AD">
            <w:pPr>
              <w:pStyle w:val="TableText"/>
              <w:keepNext w:val="0"/>
              <w:widowControl w:val="0"/>
              <w:spacing w:line="256" w:lineRule="auto"/>
              <w:jc w:val="right"/>
            </w:pPr>
            <w:r w:rsidRPr="00743335">
              <w:t xml:space="preserve">using ezetimibe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-19.52 (-27.39, -11.65)</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(familial hypercholesterolaemia) </w:t>
            </w:r>
            <w:r w:rsidRPr="00743335">
              <w:br/>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-11.70 (-18.82, -4.58)</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75 mg (statin intolerant) </w:t>
            </w:r>
          </w:p>
          <w:p w:rsidR="00973D37" w:rsidRPr="00743335" w:rsidRDefault="00973D37" w:rsidP="009C55AD">
            <w:pPr>
              <w:pStyle w:val="TableText"/>
              <w:keepNext w:val="0"/>
              <w:widowControl w:val="0"/>
              <w:spacing w:line="256" w:lineRule="auto"/>
              <w:jc w:val="right"/>
            </w:pPr>
            <w:r w:rsidRPr="00743335">
              <w:t xml:space="preserve">using ezetimibe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pPr>
            <w:r w:rsidRPr="00743335">
              <w:t>-7.78 (-15.56, 0.00)</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150 mg (all trials) </w:t>
            </w:r>
          </w:p>
          <w:p w:rsidR="00973D37" w:rsidRPr="00743335" w:rsidRDefault="00973D37" w:rsidP="009C55AD">
            <w:pPr>
              <w:pStyle w:val="TableText"/>
              <w:keepNext w:val="0"/>
              <w:widowControl w:val="0"/>
              <w:spacing w:line="256" w:lineRule="auto"/>
              <w:jc w:val="right"/>
            </w:pPr>
            <w:r w:rsidRPr="00743335">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-10.60 (-19.07, -2.13)</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150 mg (familial hypercholesterolaemia) 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pPr>
            <w:r w:rsidRPr="00743335">
              <w:t>-12.35 (-30.00, 5.30)</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140 mg versus alirocumab 150 mg (inadequate control on statins) </w:t>
            </w:r>
            <w:r w:rsidRPr="00743335">
              <w:br/>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-13.93 (-23.42, -4.44)</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Evolocumab 420 mg versus alirocumab 300 mg (all trials)</w:t>
            </w:r>
          </w:p>
          <w:p w:rsidR="00973D37" w:rsidRPr="00743335" w:rsidRDefault="00973D37" w:rsidP="009C55AD">
            <w:pPr>
              <w:pStyle w:val="TableText"/>
              <w:keepNext w:val="0"/>
              <w:widowControl w:val="0"/>
              <w:spacing w:line="256" w:lineRule="auto"/>
              <w:jc w:val="right"/>
            </w:pPr>
            <w:r w:rsidRPr="00743335">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-13.62 (-23.56, -3.68)</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420 mg versus alirocumab 300 mg (familial hypercholesterolaemia) </w:t>
            </w:r>
          </w:p>
          <w:p w:rsidR="00973D37" w:rsidRPr="00743335" w:rsidRDefault="00973D37" w:rsidP="009C55AD">
            <w:pPr>
              <w:pStyle w:val="TableText"/>
              <w:keepNext w:val="0"/>
              <w:widowControl w:val="0"/>
              <w:spacing w:line="256" w:lineRule="auto"/>
              <w:jc w:val="right"/>
            </w:pPr>
            <w:r w:rsidRPr="00743335">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rPr>
                <w:b/>
              </w:rPr>
            </w:pPr>
            <w:r w:rsidRPr="00743335">
              <w:rPr>
                <w:b/>
              </w:rPr>
              <w:t>-31.22 (-46.96, -15.48)</w:t>
            </w:r>
          </w:p>
        </w:tc>
      </w:tr>
      <w:tr w:rsidR="00973D37" w:rsidRPr="00743335" w:rsidTr="009F203E">
        <w:trPr>
          <w:trHeight w:val="70"/>
        </w:trPr>
        <w:tc>
          <w:tcPr>
            <w:tcW w:w="3860" w:type="pct"/>
            <w:tcBorders>
              <w:top w:val="single" w:sz="4" w:space="0" w:color="auto"/>
              <w:left w:val="single" w:sz="4" w:space="0" w:color="auto"/>
              <w:bottom w:val="doub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right"/>
            </w:pPr>
            <w:r w:rsidRPr="00743335">
              <w:t xml:space="preserve">Evolocumab 420 mg versus alirocumab 300 mg (inadequate control on statins) </w:t>
            </w:r>
          </w:p>
          <w:p w:rsidR="00973D37" w:rsidRPr="00743335" w:rsidRDefault="00973D37" w:rsidP="009C55AD">
            <w:pPr>
              <w:pStyle w:val="TableText"/>
              <w:keepNext w:val="0"/>
              <w:widowControl w:val="0"/>
              <w:spacing w:line="256" w:lineRule="auto"/>
              <w:jc w:val="right"/>
            </w:pPr>
            <w:r w:rsidRPr="00743335">
              <w:t>using placebo common comparator</w:t>
            </w:r>
          </w:p>
        </w:tc>
        <w:tc>
          <w:tcPr>
            <w:tcW w:w="1140" w:type="pct"/>
            <w:tcBorders>
              <w:top w:val="single" w:sz="4" w:space="0" w:color="auto"/>
              <w:left w:val="single" w:sz="4" w:space="0" w:color="auto"/>
              <w:bottom w:val="double" w:sz="4" w:space="0" w:color="auto"/>
              <w:right w:val="single" w:sz="4" w:space="0" w:color="auto"/>
            </w:tcBorders>
            <w:vAlign w:val="center"/>
          </w:tcPr>
          <w:p w:rsidR="00973D37" w:rsidRPr="00743335" w:rsidRDefault="00973D37" w:rsidP="009C55AD">
            <w:pPr>
              <w:pStyle w:val="TableText"/>
              <w:keepNext w:val="0"/>
              <w:widowControl w:val="0"/>
              <w:spacing w:line="256" w:lineRule="auto"/>
              <w:jc w:val="center"/>
            </w:pPr>
            <w:r w:rsidRPr="00743335">
              <w:t>-8.12 (-16.97, 0.73)</w:t>
            </w:r>
          </w:p>
        </w:tc>
      </w:tr>
      <w:tr w:rsidR="00973D37" w:rsidRPr="00743335" w:rsidTr="009F203E">
        <w:trPr>
          <w:trHeight w:val="70"/>
        </w:trPr>
        <w:tc>
          <w:tcPr>
            <w:tcW w:w="3860" w:type="pct"/>
            <w:tcBorders>
              <w:top w:val="double" w:sz="4" w:space="0" w:color="auto"/>
              <w:left w:val="single" w:sz="4" w:space="0" w:color="auto"/>
              <w:bottom w:val="single" w:sz="4" w:space="0" w:color="auto"/>
              <w:right w:val="single" w:sz="4" w:space="0" w:color="auto"/>
            </w:tcBorders>
            <w:vAlign w:val="center"/>
          </w:tcPr>
          <w:p w:rsidR="0061245D" w:rsidRPr="00743335" w:rsidRDefault="0061245D" w:rsidP="0061245D">
            <w:pPr>
              <w:pStyle w:val="TableText"/>
              <w:keepNext w:val="0"/>
              <w:widowControl w:val="0"/>
              <w:spacing w:line="256" w:lineRule="auto"/>
              <w:jc w:val="right"/>
            </w:pPr>
            <w:r w:rsidRPr="00743335">
              <w:t xml:space="preserve">Evolocumab 140 or 420 mg (FOURIER) versus alirocumab 75 mg (all trials) </w:t>
            </w:r>
          </w:p>
          <w:p w:rsidR="00973D37" w:rsidRPr="00743335" w:rsidRDefault="0061245D" w:rsidP="0061245D">
            <w:pPr>
              <w:pStyle w:val="TableText"/>
              <w:keepNext w:val="0"/>
              <w:widowControl w:val="0"/>
              <w:spacing w:line="256" w:lineRule="auto"/>
              <w:jc w:val="right"/>
            </w:pPr>
            <w:r w:rsidRPr="00743335">
              <w:t xml:space="preserve">using placebo common comparator </w:t>
            </w:r>
          </w:p>
        </w:tc>
        <w:tc>
          <w:tcPr>
            <w:tcW w:w="1140" w:type="pct"/>
            <w:tcBorders>
              <w:top w:val="double" w:sz="4" w:space="0" w:color="auto"/>
              <w:left w:val="single" w:sz="4" w:space="0" w:color="auto"/>
              <w:bottom w:val="single" w:sz="4" w:space="0" w:color="auto"/>
              <w:right w:val="single" w:sz="4" w:space="0" w:color="auto"/>
            </w:tcBorders>
            <w:vAlign w:val="center"/>
          </w:tcPr>
          <w:p w:rsidR="00973D37" w:rsidRPr="00743335" w:rsidRDefault="0061245D" w:rsidP="0061245D">
            <w:pPr>
              <w:pStyle w:val="TableText"/>
              <w:keepNext w:val="0"/>
              <w:widowControl w:val="0"/>
              <w:spacing w:line="256" w:lineRule="auto"/>
              <w:jc w:val="center"/>
              <w:rPr>
                <w:b/>
              </w:rPr>
            </w:pPr>
            <w:r w:rsidRPr="00743335">
              <w:rPr>
                <w:b/>
              </w:rPr>
              <w:t>-6.30 (-11.34, -1.26)</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61245D" w:rsidRPr="00743335" w:rsidRDefault="0061245D" w:rsidP="0061245D">
            <w:pPr>
              <w:pStyle w:val="TableText"/>
              <w:keepNext w:val="0"/>
              <w:widowControl w:val="0"/>
              <w:spacing w:line="256" w:lineRule="auto"/>
              <w:jc w:val="right"/>
            </w:pPr>
            <w:r w:rsidRPr="00743335">
              <w:t xml:space="preserve">Evolocumab 140 or 420 mg (FOURIER) versus alirocumab 150 mg (all trials) </w:t>
            </w:r>
          </w:p>
          <w:p w:rsidR="00973D37" w:rsidRPr="00743335" w:rsidRDefault="0061245D" w:rsidP="0061245D">
            <w:pPr>
              <w:pStyle w:val="TableText"/>
              <w:keepNext w:val="0"/>
              <w:widowControl w:val="0"/>
              <w:spacing w:line="256" w:lineRule="auto"/>
              <w:jc w:val="right"/>
            </w:pPr>
            <w:r w:rsidRPr="00743335">
              <w:t>using placebo common comparator</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61245D" w:rsidP="009C55AD">
            <w:pPr>
              <w:pStyle w:val="TableText"/>
              <w:keepNext w:val="0"/>
              <w:widowControl w:val="0"/>
              <w:spacing w:line="256" w:lineRule="auto"/>
              <w:jc w:val="center"/>
            </w:pPr>
            <w:r w:rsidRPr="00743335">
              <w:t>0.40 (-6.27, 7.07)</w:t>
            </w:r>
          </w:p>
        </w:tc>
      </w:tr>
      <w:tr w:rsidR="00973D37"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973D37" w:rsidRPr="00743335" w:rsidRDefault="0061245D" w:rsidP="0061245D">
            <w:pPr>
              <w:pStyle w:val="TableText"/>
              <w:keepNext w:val="0"/>
              <w:widowControl w:val="0"/>
              <w:spacing w:line="256" w:lineRule="auto"/>
              <w:jc w:val="right"/>
            </w:pPr>
            <w:r w:rsidRPr="00743335">
              <w:t xml:space="preserve">Evolocumab 140 or 420 mg (FOURIER) versus alirocumab titration 75-150 mg (all trials) 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973D37" w:rsidRPr="00743335" w:rsidRDefault="0061245D" w:rsidP="009C55AD">
            <w:pPr>
              <w:pStyle w:val="TableText"/>
              <w:keepNext w:val="0"/>
              <w:widowControl w:val="0"/>
              <w:spacing w:line="256" w:lineRule="auto"/>
              <w:jc w:val="center"/>
              <w:rPr>
                <w:b/>
              </w:rPr>
            </w:pPr>
            <w:r w:rsidRPr="00743335">
              <w:rPr>
                <w:b/>
              </w:rPr>
              <w:t>-4.43 (-9.54, 0.68)</w:t>
            </w:r>
          </w:p>
        </w:tc>
      </w:tr>
      <w:tr w:rsidR="0061245D" w:rsidRPr="00743335" w:rsidTr="009F203E">
        <w:trPr>
          <w:trHeight w:val="70"/>
        </w:trPr>
        <w:tc>
          <w:tcPr>
            <w:tcW w:w="3860" w:type="pct"/>
            <w:tcBorders>
              <w:top w:val="single" w:sz="4" w:space="0" w:color="auto"/>
              <w:left w:val="single" w:sz="4" w:space="0" w:color="auto"/>
              <w:bottom w:val="single" w:sz="4" w:space="0" w:color="auto"/>
              <w:right w:val="single" w:sz="4" w:space="0" w:color="auto"/>
            </w:tcBorders>
            <w:vAlign w:val="center"/>
          </w:tcPr>
          <w:p w:rsidR="00156819" w:rsidRPr="00743335" w:rsidRDefault="00156819" w:rsidP="00156819">
            <w:pPr>
              <w:pStyle w:val="TableText"/>
              <w:keepNext w:val="0"/>
              <w:widowControl w:val="0"/>
              <w:spacing w:line="256" w:lineRule="auto"/>
              <w:jc w:val="right"/>
            </w:pPr>
            <w:r w:rsidRPr="00743335">
              <w:t xml:space="preserve">Evolocumab 140 or 420 mg (FOURIER) versus alirocumab 300 mg (all trials) </w:t>
            </w:r>
          </w:p>
          <w:p w:rsidR="0061245D" w:rsidRPr="00743335" w:rsidRDefault="00156819" w:rsidP="00156819">
            <w:pPr>
              <w:pStyle w:val="TableText"/>
              <w:keepNext w:val="0"/>
              <w:widowControl w:val="0"/>
              <w:spacing w:line="256" w:lineRule="auto"/>
              <w:jc w:val="right"/>
            </w:pPr>
            <w:r w:rsidRPr="00743335">
              <w:t xml:space="preserve">using placebo common comparator </w:t>
            </w:r>
          </w:p>
        </w:tc>
        <w:tc>
          <w:tcPr>
            <w:tcW w:w="1140" w:type="pct"/>
            <w:tcBorders>
              <w:top w:val="single" w:sz="4" w:space="0" w:color="auto"/>
              <w:left w:val="single" w:sz="4" w:space="0" w:color="auto"/>
              <w:bottom w:val="single" w:sz="4" w:space="0" w:color="auto"/>
              <w:right w:val="single" w:sz="4" w:space="0" w:color="auto"/>
            </w:tcBorders>
            <w:vAlign w:val="center"/>
          </w:tcPr>
          <w:p w:rsidR="0061245D" w:rsidRPr="00743335" w:rsidRDefault="00156819" w:rsidP="009C55AD">
            <w:pPr>
              <w:pStyle w:val="TableText"/>
              <w:keepNext w:val="0"/>
              <w:widowControl w:val="0"/>
              <w:spacing w:line="256" w:lineRule="auto"/>
              <w:jc w:val="center"/>
              <w:rPr>
                <w:b/>
              </w:rPr>
            </w:pPr>
            <w:r w:rsidRPr="00743335">
              <w:rPr>
                <w:b/>
              </w:rPr>
              <w:t>-9.90 (-19.32, -0.48)</w:t>
            </w:r>
          </w:p>
        </w:tc>
      </w:tr>
    </w:tbl>
    <w:p w:rsidR="00973D37" w:rsidRPr="00743335" w:rsidRDefault="00973D37" w:rsidP="00973D37">
      <w:pPr>
        <w:pStyle w:val="TableFooter"/>
      </w:pPr>
      <w:r w:rsidRPr="00743335">
        <w:t>Abbreviations: CI, confidence interval</w:t>
      </w:r>
    </w:p>
    <w:p w:rsidR="00973D37" w:rsidRPr="00743335" w:rsidRDefault="00973D37" w:rsidP="00973D37">
      <w:pPr>
        <w:pStyle w:val="TableFooter"/>
      </w:pPr>
      <w:r w:rsidRPr="00743335">
        <w:t>Source: Table 15 (p 38-40), Table 16 (p 41-45); Figure 7 (p 51); Figure 10 (p 53); Figure 11 (p 54), Figure 13 (p 56), Figure 15 (p 57), Figure 16 (p 58), Figure 17 (p 59); Figure 19 (p 60); Figure 20 (p 61) of Attachment 5 of the resubmission</w:t>
      </w:r>
      <w:r w:rsidR="009C097C" w:rsidRPr="00743335">
        <w:t>; Table 14-4.15.1 (p 576) of the FOURIER trial report.</w:t>
      </w:r>
    </w:p>
    <w:p w:rsidR="00973D37" w:rsidRPr="00743335" w:rsidRDefault="00973D37" w:rsidP="009C097C">
      <w:pPr>
        <w:pStyle w:val="TableFooter"/>
      </w:pPr>
      <w:r w:rsidRPr="00743335">
        <w:t>Note: Resubmission only presented p-values for indirect analyses. Mean treatment difference was calculated during the evaluation based on Bucher method using Excel workbook published by Tobias et al [IMTC.xls; Version 1.0.1, October 2013] available at http://metaanalisisenred.weebly.com/excel.html.</w:t>
      </w:r>
    </w:p>
    <w:p w:rsidR="009C097C" w:rsidRPr="00743335" w:rsidRDefault="009C097C" w:rsidP="00B365E7">
      <w:pPr>
        <w:pStyle w:val="ListParagraph"/>
        <w:numPr>
          <w:ilvl w:val="1"/>
          <w:numId w:val="1"/>
        </w:numPr>
        <w:spacing w:before="0" w:after="120"/>
        <w:jc w:val="both"/>
      </w:pPr>
      <w:r w:rsidRPr="00743335">
        <w:t xml:space="preserve">Indirect analyses conducted in the resubmission indicated that treatment with evolocumab was associated with a statistically significantly larger reduction in </w:t>
      </w:r>
      <w:r w:rsidR="00FD3D08" w:rsidRPr="00743335">
        <w:t>LDL-c</w:t>
      </w:r>
      <w:r w:rsidRPr="00743335">
        <w:t xml:space="preserve"> levels compared to alirocumab for all dose strengths.</w:t>
      </w:r>
    </w:p>
    <w:p w:rsidR="00C317F3" w:rsidRPr="00743335" w:rsidRDefault="000C7DA8" w:rsidP="003D14A1">
      <w:pPr>
        <w:pStyle w:val="ListParagraph"/>
        <w:numPr>
          <w:ilvl w:val="1"/>
          <w:numId w:val="1"/>
        </w:numPr>
        <w:spacing w:before="0" w:after="120"/>
        <w:ind w:left="709" w:hanging="709"/>
        <w:jc w:val="both"/>
      </w:pPr>
      <w:r w:rsidRPr="00743335">
        <w:t xml:space="preserve">Indirect analyses conducted during the evaluation indicated the treatment with evolocumab was associated with a statistically significantly larger reduction in </w:t>
      </w:r>
      <w:r w:rsidR="00FD3D08" w:rsidRPr="00743335">
        <w:t>LDL-c</w:t>
      </w:r>
      <w:r w:rsidRPr="00743335">
        <w:t xml:space="preserve"> levels compared to lower-dose alirocumab treatment regimens (75 mg fortnightly, 300 mg monthly). However, there was no statistically significant difference between evolocumab and higher dose alirocumab treatment regimens (150 mg fortnightly, titration 75-150 mg fortnightly).</w:t>
      </w:r>
      <w:r w:rsidR="00891E2B" w:rsidRPr="00743335">
        <w:t xml:space="preserve"> The PSCR (p2) agree</w:t>
      </w:r>
      <w:r w:rsidR="00A0559F" w:rsidRPr="00743335">
        <w:t>d</w:t>
      </w:r>
      <w:r w:rsidR="00891E2B" w:rsidRPr="00743335">
        <w:t xml:space="preserve"> with the conclusion in the Commentary.</w:t>
      </w:r>
    </w:p>
    <w:p w:rsidR="008C7D41" w:rsidRPr="00743335" w:rsidRDefault="008C7D41" w:rsidP="008C7D41">
      <w:pPr>
        <w:pStyle w:val="ListParagraph"/>
        <w:ind w:left="709"/>
        <w:jc w:val="both"/>
        <w:rPr>
          <w:i/>
        </w:rPr>
      </w:pPr>
      <w:bookmarkStart w:id="19" w:name="_Toc413139279"/>
      <w:bookmarkStart w:id="20" w:name="_Toc492314258"/>
      <w:r w:rsidRPr="00743335">
        <w:rPr>
          <w:i/>
        </w:rPr>
        <w:t>For more detail on PBAC’s view, see section 7 PBAC outcome.</w:t>
      </w:r>
    </w:p>
    <w:p w:rsidR="00C317F3" w:rsidRPr="00743335" w:rsidRDefault="00C317F3" w:rsidP="00C9669A">
      <w:pPr>
        <w:pStyle w:val="Heading2"/>
      </w:pPr>
      <w:r w:rsidRPr="00743335">
        <w:t>Comparative harms</w:t>
      </w:r>
      <w:bookmarkEnd w:id="19"/>
      <w:bookmarkEnd w:id="20"/>
    </w:p>
    <w:p w:rsidR="00C317F3" w:rsidRPr="00743335" w:rsidRDefault="00767129" w:rsidP="003D14A1">
      <w:pPr>
        <w:pStyle w:val="ListParagraph"/>
        <w:numPr>
          <w:ilvl w:val="1"/>
          <w:numId w:val="1"/>
        </w:numPr>
        <w:spacing w:before="0" w:after="120"/>
        <w:ind w:left="709" w:hanging="709"/>
        <w:jc w:val="both"/>
      </w:pPr>
      <w:r w:rsidRPr="00743335">
        <w:t xml:space="preserve">The incidence of adverse events reported in new evolocumab trials was consistent with previous data. </w:t>
      </w:r>
    </w:p>
    <w:p w:rsidR="00767129" w:rsidRPr="00743335" w:rsidRDefault="00767129" w:rsidP="003D14A1">
      <w:pPr>
        <w:pStyle w:val="ListParagraph"/>
        <w:numPr>
          <w:ilvl w:val="1"/>
          <w:numId w:val="1"/>
        </w:numPr>
        <w:spacing w:before="0" w:after="120"/>
        <w:ind w:left="709" w:hanging="709"/>
        <w:jc w:val="both"/>
      </w:pPr>
      <w:r w:rsidRPr="00743335">
        <w:t>The most frequently reported adverse events with evolocumab were musculoskeletal disorders (myalgia, pain in extremity, muscle spasms, arthralgia, back pain), infections (nasopharyngitis, upper respiratory tract infection, influenza), general disorders and administration site conditions (fatigue, injection site reactions), gastrointestinal disorders (diarrhoea, nausea, constipation) and nervous system disorders (headache).</w:t>
      </w:r>
    </w:p>
    <w:p w:rsidR="00B52D1C" w:rsidRPr="00743335" w:rsidRDefault="00B52D1C" w:rsidP="003D14A1">
      <w:pPr>
        <w:pStyle w:val="ListParagraph"/>
        <w:numPr>
          <w:ilvl w:val="1"/>
          <w:numId w:val="1"/>
        </w:numPr>
        <w:spacing w:before="0" w:after="120"/>
        <w:ind w:left="709" w:hanging="709"/>
        <w:jc w:val="both"/>
      </w:pPr>
      <w:r w:rsidRPr="00743335">
        <w:t xml:space="preserve">In regards to adverse events of special interest, treatment </w:t>
      </w:r>
      <w:r w:rsidR="00FE7F1A" w:rsidRPr="00743335">
        <w:t xml:space="preserve">with </w:t>
      </w:r>
      <w:r w:rsidRPr="00743335">
        <w:t>evolocumab was associated with a higher incidence of mild to moderate hypersensitivity reactions and injection site reactions compared to placebo.</w:t>
      </w:r>
    </w:p>
    <w:p w:rsidR="00767129" w:rsidRPr="00743335" w:rsidRDefault="00767129" w:rsidP="003D14A1">
      <w:pPr>
        <w:pStyle w:val="ListParagraph"/>
        <w:numPr>
          <w:ilvl w:val="1"/>
          <w:numId w:val="1"/>
        </w:numPr>
        <w:spacing w:before="0" w:after="120"/>
        <w:ind w:left="709" w:hanging="709"/>
        <w:jc w:val="both"/>
      </w:pPr>
      <w:r w:rsidRPr="00743335">
        <w:t xml:space="preserve">There was no statistically significant difference in neurocognitive measures between evolocumab and placebo for patients enrolled in the EBBINGHAUS sub-study. </w:t>
      </w:r>
    </w:p>
    <w:p w:rsidR="00767129" w:rsidRPr="00743335" w:rsidRDefault="00767129" w:rsidP="003D14A1">
      <w:pPr>
        <w:pStyle w:val="ListParagraph"/>
        <w:numPr>
          <w:ilvl w:val="1"/>
          <w:numId w:val="1"/>
        </w:numPr>
        <w:spacing w:before="0" w:after="120"/>
        <w:ind w:left="709" w:hanging="709"/>
        <w:jc w:val="both"/>
      </w:pPr>
      <w:r w:rsidRPr="00743335">
        <w:t>Available comparative safety data did not clearly favour evolocumab, ezetimibe or placebo. There was insufficient data presented in the resubmission to adequately assess the comparative safety of evolocumab and alirocumab.</w:t>
      </w:r>
    </w:p>
    <w:p w:rsidR="003E1E30" w:rsidRPr="00743335" w:rsidRDefault="00B52D1C" w:rsidP="003D14A1">
      <w:pPr>
        <w:pStyle w:val="ListParagraph"/>
        <w:numPr>
          <w:ilvl w:val="1"/>
          <w:numId w:val="1"/>
        </w:numPr>
        <w:spacing w:before="0" w:after="120"/>
        <w:ind w:left="709" w:hanging="709"/>
        <w:jc w:val="both"/>
        <w:rPr>
          <w:i/>
        </w:rPr>
      </w:pPr>
      <w:r w:rsidRPr="00743335">
        <w:t xml:space="preserve">An expanded assessment of harms did not identify any important risk with evolocumab treatment. Important potential risks included hypersensitivity reactions and immunogenicity (i.e. development of anti-evolocumab antibodies). Missing information for evolocumab included the long-term effects of exposure to low </w:t>
      </w:r>
      <w:r w:rsidR="00FD3D08" w:rsidRPr="00743335">
        <w:t>LDL-c</w:t>
      </w:r>
      <w:r w:rsidRPr="00743335">
        <w:t xml:space="preserve"> levels (&lt; 1 mmol/L).</w:t>
      </w:r>
      <w:r w:rsidR="00C6106B" w:rsidRPr="00743335">
        <w:t xml:space="preserve"> </w:t>
      </w:r>
    </w:p>
    <w:p w:rsidR="00827849" w:rsidRPr="00743335" w:rsidRDefault="00C6106B" w:rsidP="003D14A1">
      <w:pPr>
        <w:pStyle w:val="ListParagraph"/>
        <w:numPr>
          <w:ilvl w:val="1"/>
          <w:numId w:val="1"/>
        </w:numPr>
        <w:spacing w:before="0" w:after="120"/>
        <w:ind w:left="709" w:hanging="709"/>
        <w:jc w:val="both"/>
      </w:pPr>
      <w:r w:rsidRPr="00743335">
        <w:t>The ESC noted t</w:t>
      </w:r>
      <w:r w:rsidR="00BB5D3F" w:rsidRPr="00743335">
        <w:t>he development of anti-evolocumab antibodies was detected in 0.3% (43/13,789) of patients. The presence of anti-evolocumab antibodies was not associated with a reduction in treatment efficacy or an increase in the incidence of adverse events.</w:t>
      </w:r>
    </w:p>
    <w:p w:rsidR="00C6106B" w:rsidRPr="00743335" w:rsidRDefault="002F05B0" w:rsidP="003D14A1">
      <w:pPr>
        <w:pStyle w:val="ListParagraph"/>
        <w:numPr>
          <w:ilvl w:val="1"/>
          <w:numId w:val="1"/>
        </w:numPr>
        <w:spacing w:before="0" w:after="120"/>
        <w:ind w:left="709" w:hanging="709"/>
        <w:jc w:val="both"/>
      </w:pPr>
      <w:r w:rsidRPr="003D14A1">
        <w:t>While</w:t>
      </w:r>
      <w:r w:rsidRPr="00743335">
        <w:rPr>
          <w:szCs w:val="24"/>
        </w:rPr>
        <w:t xml:space="preserve"> there is limited (4 year+) </w:t>
      </w:r>
      <w:r w:rsidR="006C2463" w:rsidRPr="00743335">
        <w:rPr>
          <w:szCs w:val="24"/>
        </w:rPr>
        <w:t>long-term</w:t>
      </w:r>
      <w:r w:rsidRPr="00743335">
        <w:rPr>
          <w:szCs w:val="24"/>
        </w:rPr>
        <w:t xml:space="preserve"> safety data, no safety signals have been identified in the new data submitted or in the PSUR and there are no safety signals for very low LDL-c levels (&lt;0.6mmol/L), particularly neurocognitive</w:t>
      </w:r>
      <w:r w:rsidR="00C6106B" w:rsidRPr="00743335">
        <w:t>.</w:t>
      </w:r>
    </w:p>
    <w:p w:rsidR="008C7D41" w:rsidRPr="00743335" w:rsidRDefault="008C7D41" w:rsidP="008C7D41">
      <w:pPr>
        <w:pStyle w:val="ListParagraph"/>
        <w:ind w:left="709"/>
        <w:jc w:val="both"/>
        <w:rPr>
          <w:i/>
        </w:rPr>
      </w:pPr>
      <w:bookmarkStart w:id="21" w:name="_Toc492314259"/>
      <w:bookmarkStart w:id="22" w:name="_Toc413139281"/>
      <w:r w:rsidRPr="00743335">
        <w:rPr>
          <w:i/>
        </w:rPr>
        <w:t>For more detail on PBAC’s view, see section 7 PBAC outcome.</w:t>
      </w:r>
    </w:p>
    <w:p w:rsidR="00624315" w:rsidRPr="00743335" w:rsidRDefault="00624315" w:rsidP="00C9669A">
      <w:pPr>
        <w:pStyle w:val="Heading2"/>
      </w:pPr>
      <w:r w:rsidRPr="00743335">
        <w:t>Benefits and harms</w:t>
      </w:r>
      <w:bookmarkEnd w:id="21"/>
    </w:p>
    <w:p w:rsidR="00E35C99" w:rsidRPr="00743335" w:rsidRDefault="00E35C99" w:rsidP="003D14A1">
      <w:pPr>
        <w:pStyle w:val="ListParagraph"/>
        <w:numPr>
          <w:ilvl w:val="1"/>
          <w:numId w:val="1"/>
        </w:numPr>
        <w:spacing w:before="0" w:after="120"/>
        <w:ind w:left="709" w:hanging="709"/>
        <w:jc w:val="both"/>
      </w:pPr>
      <w:r w:rsidRPr="00743335">
        <w:t xml:space="preserve">On the basis of direct evidence presented </w:t>
      </w:r>
      <w:r w:rsidR="003E1C61" w:rsidRPr="00743335">
        <w:t>in</w:t>
      </w:r>
      <w:r w:rsidRPr="00743335">
        <w:t xml:space="preserve"> the resubmission, </w:t>
      </w:r>
      <w:r w:rsidR="004D5041" w:rsidRPr="00743335">
        <w:t>for every 1000 patients</w:t>
      </w:r>
      <w:r w:rsidR="00D41FAC" w:rsidRPr="00743335">
        <w:t xml:space="preserve"> (hypercholesterolaemia with atherosclerotic disease)</w:t>
      </w:r>
      <w:r w:rsidR="004D5041" w:rsidRPr="00743335">
        <w:t xml:space="preserve"> treated </w:t>
      </w:r>
      <w:r w:rsidR="0060632B" w:rsidRPr="00743335">
        <w:t xml:space="preserve">with </w:t>
      </w:r>
      <w:r w:rsidR="00D41FAC" w:rsidRPr="00743335">
        <w:t>evolocumab</w:t>
      </w:r>
      <w:r w:rsidRPr="00743335">
        <w:t xml:space="preserve"> </w:t>
      </w:r>
      <w:r w:rsidR="0060632B" w:rsidRPr="00743335">
        <w:t>in comparison to placebo would result in</w:t>
      </w:r>
      <w:r w:rsidRPr="00743335">
        <w:t>:</w:t>
      </w:r>
    </w:p>
    <w:p w:rsidR="00E35C99" w:rsidRPr="00743335" w:rsidRDefault="00E35C99" w:rsidP="00C9669A">
      <w:pPr>
        <w:pStyle w:val="ListParagraph"/>
        <w:numPr>
          <w:ilvl w:val="0"/>
          <w:numId w:val="8"/>
        </w:numPr>
        <w:jc w:val="both"/>
      </w:pPr>
      <w:r w:rsidRPr="00743335">
        <w:t xml:space="preserve">Approximately </w:t>
      </w:r>
      <w:r w:rsidR="004D5041" w:rsidRPr="00743335">
        <w:t>1</w:t>
      </w:r>
      <w:r w:rsidR="0060632B" w:rsidRPr="00743335">
        <w:t>2</w:t>
      </w:r>
      <w:r w:rsidR="004D5041" w:rsidRPr="00743335">
        <w:t xml:space="preserve"> fewer patient</w:t>
      </w:r>
      <w:r w:rsidR="0060632B" w:rsidRPr="00743335">
        <w:t>s</w:t>
      </w:r>
      <w:r w:rsidR="004D5041" w:rsidRPr="00743335">
        <w:t xml:space="preserve"> with myocardial infarction over a mean duration of 2 years</w:t>
      </w:r>
    </w:p>
    <w:p w:rsidR="004D5041" w:rsidRPr="00743335" w:rsidRDefault="0060632B" w:rsidP="00C9669A">
      <w:pPr>
        <w:pStyle w:val="ListParagraph"/>
        <w:numPr>
          <w:ilvl w:val="0"/>
          <w:numId w:val="8"/>
        </w:numPr>
        <w:jc w:val="both"/>
      </w:pPr>
      <w:r w:rsidRPr="00743335">
        <w:t>Approximately 4 fewer patients with ischaemic stroke over a mean duration of 2 years</w:t>
      </w:r>
    </w:p>
    <w:p w:rsidR="0060632B" w:rsidRPr="00743335" w:rsidRDefault="0060632B" w:rsidP="00C9669A">
      <w:pPr>
        <w:pStyle w:val="ListParagraph"/>
        <w:numPr>
          <w:ilvl w:val="0"/>
          <w:numId w:val="8"/>
        </w:numPr>
        <w:jc w:val="both"/>
      </w:pPr>
      <w:r w:rsidRPr="00743335">
        <w:t>Approximately 15 fewer patients with coronary revascularisation over a mean duration of 2 years</w:t>
      </w:r>
    </w:p>
    <w:p w:rsidR="00E35C99" w:rsidRPr="00743335" w:rsidRDefault="0060632B" w:rsidP="00C9669A">
      <w:pPr>
        <w:pStyle w:val="ListParagraph"/>
        <w:numPr>
          <w:ilvl w:val="0"/>
          <w:numId w:val="8"/>
        </w:numPr>
        <w:jc w:val="both"/>
      </w:pPr>
      <w:r w:rsidRPr="00743335">
        <w:t>No apparent difference in cardiovascular death over a mean duration of 2 years</w:t>
      </w:r>
    </w:p>
    <w:p w:rsidR="0060632B" w:rsidRPr="00743335" w:rsidRDefault="0060632B" w:rsidP="00C9669A">
      <w:pPr>
        <w:pStyle w:val="ListParagraph"/>
        <w:numPr>
          <w:ilvl w:val="0"/>
          <w:numId w:val="8"/>
        </w:numPr>
        <w:jc w:val="both"/>
      </w:pPr>
      <w:r w:rsidRPr="00743335">
        <w:t>No apparent difference in adverse events over a mean duration of 2 years</w:t>
      </w:r>
    </w:p>
    <w:p w:rsidR="00D41FAC" w:rsidRPr="00743335" w:rsidRDefault="00D41FAC" w:rsidP="003D14A1">
      <w:pPr>
        <w:pStyle w:val="ListParagraph"/>
        <w:numPr>
          <w:ilvl w:val="1"/>
          <w:numId w:val="1"/>
        </w:numPr>
        <w:spacing w:before="0" w:after="120"/>
        <w:ind w:left="709" w:hanging="709"/>
        <w:jc w:val="both"/>
      </w:pPr>
      <w:r w:rsidRPr="00743335">
        <w:t xml:space="preserve">On the basis of direct evidence presented </w:t>
      </w:r>
      <w:r w:rsidR="003E1C61" w:rsidRPr="00743335">
        <w:t>in</w:t>
      </w:r>
      <w:r w:rsidRPr="00743335">
        <w:t xml:space="preserve"> the </w:t>
      </w:r>
      <w:r w:rsidR="002047DB" w:rsidRPr="00743335">
        <w:t>re</w:t>
      </w:r>
      <w:r w:rsidRPr="00743335">
        <w:t>submission, the compa</w:t>
      </w:r>
      <w:r w:rsidR="002047DB" w:rsidRPr="00743335">
        <w:t>rison of evolocumab</w:t>
      </w:r>
      <w:r w:rsidRPr="00743335">
        <w:t xml:space="preserve"> and placebo in patients with hypercholesterolaemia resulted in:</w:t>
      </w:r>
    </w:p>
    <w:p w:rsidR="00D41FAC" w:rsidRPr="00743335" w:rsidRDefault="00D41FAC" w:rsidP="00C9669A">
      <w:pPr>
        <w:pStyle w:val="ListParagraph"/>
        <w:numPr>
          <w:ilvl w:val="0"/>
          <w:numId w:val="9"/>
        </w:numPr>
        <w:spacing w:before="0" w:after="0"/>
        <w:contextualSpacing/>
        <w:jc w:val="both"/>
      </w:pPr>
      <w:r w:rsidRPr="00743335">
        <w:t xml:space="preserve">Approximately a 60% relative reduction in </w:t>
      </w:r>
      <w:r w:rsidR="00FD3D08" w:rsidRPr="00743335">
        <w:t>LDL-c</w:t>
      </w:r>
      <w:r w:rsidRPr="00743335">
        <w:t xml:space="preserve"> levels </w:t>
      </w:r>
    </w:p>
    <w:p w:rsidR="004D5041" w:rsidRPr="00743335" w:rsidRDefault="00D41FAC" w:rsidP="00C9669A">
      <w:pPr>
        <w:pStyle w:val="ListParagraph"/>
        <w:numPr>
          <w:ilvl w:val="0"/>
          <w:numId w:val="9"/>
        </w:numPr>
        <w:spacing w:before="0" w:after="0"/>
        <w:contextualSpacing/>
        <w:jc w:val="both"/>
      </w:pPr>
      <w:r w:rsidRPr="00743335">
        <w:t>No apparent</w:t>
      </w:r>
      <w:r w:rsidR="002047DB" w:rsidRPr="00743335">
        <w:t xml:space="preserve"> difference in adverse events</w:t>
      </w:r>
    </w:p>
    <w:p w:rsidR="002047DB" w:rsidRPr="00743335" w:rsidRDefault="002047DB" w:rsidP="002047DB">
      <w:pPr>
        <w:spacing w:before="0" w:after="0"/>
        <w:contextualSpacing/>
        <w:jc w:val="both"/>
      </w:pPr>
    </w:p>
    <w:p w:rsidR="002047DB" w:rsidRPr="00743335" w:rsidRDefault="002047DB" w:rsidP="003D14A1">
      <w:pPr>
        <w:pStyle w:val="ListParagraph"/>
        <w:numPr>
          <w:ilvl w:val="1"/>
          <w:numId w:val="1"/>
        </w:numPr>
        <w:spacing w:before="0" w:after="120"/>
        <w:ind w:left="709" w:hanging="709"/>
        <w:jc w:val="both"/>
      </w:pPr>
      <w:r w:rsidRPr="00743335">
        <w:t xml:space="preserve">On the basis of direct evidence presented </w:t>
      </w:r>
      <w:r w:rsidR="003E1C61" w:rsidRPr="00743335">
        <w:t>in</w:t>
      </w:r>
      <w:r w:rsidRPr="00743335">
        <w:t xml:space="preserve"> the resubmission, the comparison of evolocumab and </w:t>
      </w:r>
      <w:r w:rsidR="006C2463" w:rsidRPr="00743335">
        <w:t>ezetimibe</w:t>
      </w:r>
      <w:r w:rsidRPr="00743335">
        <w:t xml:space="preserve"> in patients with hypercholesterolaemia resulted in:</w:t>
      </w:r>
    </w:p>
    <w:p w:rsidR="002047DB" w:rsidRPr="00743335" w:rsidRDefault="002047DB" w:rsidP="00C9669A">
      <w:pPr>
        <w:pStyle w:val="ListParagraph"/>
        <w:numPr>
          <w:ilvl w:val="0"/>
          <w:numId w:val="9"/>
        </w:numPr>
        <w:spacing w:before="0" w:after="0"/>
        <w:contextualSpacing/>
        <w:jc w:val="both"/>
      </w:pPr>
      <w:r w:rsidRPr="00743335">
        <w:t xml:space="preserve">Approximately a 40% relative reduction in </w:t>
      </w:r>
      <w:r w:rsidR="00FD3D08" w:rsidRPr="00743335">
        <w:t>LDL-c</w:t>
      </w:r>
      <w:r w:rsidRPr="00743335">
        <w:t xml:space="preserve"> levels </w:t>
      </w:r>
    </w:p>
    <w:p w:rsidR="00E35C99" w:rsidRPr="00743335" w:rsidRDefault="002047DB" w:rsidP="00C9669A">
      <w:pPr>
        <w:pStyle w:val="ListParagraph"/>
        <w:numPr>
          <w:ilvl w:val="0"/>
          <w:numId w:val="9"/>
        </w:numPr>
        <w:spacing w:before="0" w:after="0"/>
        <w:contextualSpacing/>
        <w:jc w:val="both"/>
      </w:pPr>
      <w:r w:rsidRPr="00743335">
        <w:t>No apparent difference in adverse events</w:t>
      </w:r>
    </w:p>
    <w:p w:rsidR="002047DB" w:rsidRPr="00743335" w:rsidRDefault="002047DB" w:rsidP="003D14A1">
      <w:pPr>
        <w:pStyle w:val="ListParagraph"/>
        <w:numPr>
          <w:ilvl w:val="1"/>
          <w:numId w:val="1"/>
        </w:numPr>
        <w:spacing w:before="0" w:after="120"/>
        <w:ind w:left="709" w:hanging="709"/>
        <w:jc w:val="both"/>
      </w:pPr>
      <w:r w:rsidRPr="00743335">
        <w:t xml:space="preserve">Current data </w:t>
      </w:r>
      <w:r w:rsidR="003E1C61" w:rsidRPr="00743335">
        <w:t>are</w:t>
      </w:r>
      <w:r w:rsidRPr="00743335">
        <w:t xml:space="preserve"> inadequate to reliably quantify the comparative benefits and harms of evolocumab and alirocumab.</w:t>
      </w:r>
    </w:p>
    <w:p w:rsidR="00C317F3" w:rsidRPr="00743335" w:rsidRDefault="008058E8" w:rsidP="00772501">
      <w:pPr>
        <w:pStyle w:val="Heading2"/>
      </w:pPr>
      <w:bookmarkStart w:id="23" w:name="_Toc492314260"/>
      <w:bookmarkEnd w:id="22"/>
      <w:r w:rsidRPr="00743335">
        <w:t>Interpretation of clinical evidence</w:t>
      </w:r>
      <w:bookmarkEnd w:id="23"/>
    </w:p>
    <w:p w:rsidR="002A6959" w:rsidRPr="00743335" w:rsidRDefault="002A6959" w:rsidP="003D14A1">
      <w:pPr>
        <w:pStyle w:val="ListParagraph"/>
        <w:numPr>
          <w:ilvl w:val="1"/>
          <w:numId w:val="1"/>
        </w:numPr>
        <w:spacing w:before="0" w:after="120"/>
        <w:ind w:left="709" w:hanging="709"/>
        <w:jc w:val="both"/>
      </w:pPr>
      <w:r w:rsidRPr="00743335">
        <w:t>The resubmission described evolocumab as superior in terms of efficacy (based on surrogate outcome measures) and similar in terms of safety compared to ezetimibe. T</w:t>
      </w:r>
      <w:r w:rsidR="00A0559F" w:rsidRPr="00743335">
        <w:t>he PBAC considered t</w:t>
      </w:r>
      <w:r w:rsidRPr="00743335">
        <w:t xml:space="preserve">his claim </w:t>
      </w:r>
      <w:r w:rsidR="00891E2B" w:rsidRPr="00743335">
        <w:t>is</w:t>
      </w:r>
      <w:r w:rsidRPr="00743335">
        <w:t xml:space="preserve"> reasonable</w:t>
      </w:r>
      <w:r w:rsidR="003D4CE2" w:rsidRPr="00743335">
        <w:t xml:space="preserve"> based on the direct comparison on data from the evolocumab lipid trials</w:t>
      </w:r>
      <w:r w:rsidRPr="00743335">
        <w:t>.</w:t>
      </w:r>
    </w:p>
    <w:p w:rsidR="00181F8F" w:rsidRPr="00743335" w:rsidRDefault="002A6959" w:rsidP="003D14A1">
      <w:pPr>
        <w:pStyle w:val="ListParagraph"/>
        <w:numPr>
          <w:ilvl w:val="1"/>
          <w:numId w:val="1"/>
        </w:numPr>
        <w:spacing w:before="0" w:after="120"/>
        <w:ind w:left="709" w:hanging="709"/>
        <w:jc w:val="both"/>
      </w:pPr>
      <w:r w:rsidRPr="00743335">
        <w:t xml:space="preserve">The resubmission described evolocumab as superior in terms of efficacy and similar in terms of safety compared to placebo. This claim </w:t>
      </w:r>
      <w:r w:rsidR="00891E2B" w:rsidRPr="00743335">
        <w:t>is</w:t>
      </w:r>
      <w:r w:rsidRPr="00743335">
        <w:t xml:space="preserve"> reasonable</w:t>
      </w:r>
      <w:r w:rsidR="003D4CE2" w:rsidRPr="00743335">
        <w:t xml:space="preserve"> based on the direct comparison of treatments in the FOURIER trial (although evolocumab was not associated with a reduction in cardiovascular mortality)</w:t>
      </w:r>
      <w:r w:rsidRPr="00743335">
        <w:t>.</w:t>
      </w:r>
      <w:r w:rsidR="00181F8F" w:rsidRPr="00743335">
        <w:t xml:space="preserve"> The </w:t>
      </w:r>
      <w:r w:rsidR="00A0559F" w:rsidRPr="00743335">
        <w:t>PBA</w:t>
      </w:r>
      <w:r w:rsidR="00181F8F" w:rsidRPr="00743335">
        <w:t xml:space="preserve">C noted the FOURIER trial was not powered to show a mortality benefit, it was not a primary or secondary endpoint in the trial and the follow-up period was likely too short.  Effect on all of the other cardiovascular outcomes was robust and consistent with the extensive body of knowledge of the benefits of LDL-c lowering.  </w:t>
      </w:r>
    </w:p>
    <w:p w:rsidR="00750B5A" w:rsidRPr="00743335" w:rsidRDefault="002A6959" w:rsidP="003D14A1">
      <w:pPr>
        <w:pStyle w:val="ListParagraph"/>
        <w:numPr>
          <w:ilvl w:val="1"/>
          <w:numId w:val="1"/>
        </w:numPr>
        <w:spacing w:before="0" w:after="120"/>
        <w:ind w:left="709" w:hanging="709"/>
        <w:jc w:val="both"/>
      </w:pPr>
      <w:r w:rsidRPr="00743335">
        <w:t>The resubmission described evolocumab as superior in terms of efficacy (based on surrogate outcome measures) and similar in terms of safety compared to alirocumab. The</w:t>
      </w:r>
      <w:r w:rsidR="00A0559F" w:rsidRPr="00743335">
        <w:t xml:space="preserve"> ESC considered the</w:t>
      </w:r>
      <w:r w:rsidRPr="00743335">
        <w:t xml:space="preserve"> efficacy claim may be reasonable against lower dose strengths of alirocumab (75 mg fortnightly or 300 mg monthly) but was not adequately supported for higher strengths (titration 75-150 mg fortnightly, 150 mg fortnightly). The safety claim may also be reasonable despite the lack of comparative data.</w:t>
      </w:r>
      <w:r w:rsidR="00A0559F" w:rsidRPr="00743335">
        <w:t xml:space="preserve"> The PBAC noted the 75 mg fortnightly dose is titratable to 150 mg fortnightly; a dose f</w:t>
      </w:r>
      <w:r w:rsidR="008873E0" w:rsidRPr="00743335">
        <w:t>or which the superiority claim i</w:t>
      </w:r>
      <w:r w:rsidR="00A0559F" w:rsidRPr="00743335">
        <w:t>s not supported.</w:t>
      </w:r>
    </w:p>
    <w:p w:rsidR="0041694C" w:rsidRPr="00743335" w:rsidRDefault="0041694C" w:rsidP="003D14A1">
      <w:pPr>
        <w:pStyle w:val="ListParagraph"/>
        <w:numPr>
          <w:ilvl w:val="1"/>
          <w:numId w:val="1"/>
        </w:numPr>
        <w:spacing w:before="0" w:after="120"/>
        <w:ind w:left="709" w:hanging="709"/>
        <w:jc w:val="both"/>
        <w:rPr>
          <w:rFonts w:cs="Arial"/>
          <w:snapToGrid w:val="0"/>
          <w:szCs w:val="20"/>
        </w:rPr>
      </w:pPr>
      <w:bookmarkStart w:id="24" w:name="_Toc413139282"/>
      <w:bookmarkStart w:id="25" w:name="_Toc492314261"/>
      <w:r w:rsidRPr="003D14A1">
        <w:t>The</w:t>
      </w:r>
      <w:r w:rsidRPr="00743335">
        <w:rPr>
          <w:rFonts w:cs="Arial"/>
          <w:snapToGrid w:val="0"/>
          <w:szCs w:val="20"/>
        </w:rPr>
        <w:t xml:space="preserve"> PBAC considered that the claim of superior comparative effectiveness</w:t>
      </w:r>
      <w:r w:rsidR="006240F5" w:rsidRPr="00743335">
        <w:rPr>
          <w:rFonts w:cs="Arial"/>
          <w:snapToGrid w:val="0"/>
          <w:szCs w:val="20"/>
        </w:rPr>
        <w:t xml:space="preserve"> </w:t>
      </w:r>
      <w:r w:rsidR="006240F5" w:rsidRPr="0086430F">
        <w:rPr>
          <w:rFonts w:cs="Arial"/>
          <w:snapToGrid w:val="0"/>
          <w:szCs w:val="20"/>
        </w:rPr>
        <w:t>compared to ezetimibe</w:t>
      </w:r>
      <w:r w:rsidR="006240F5" w:rsidRPr="00743335">
        <w:rPr>
          <w:rFonts w:cs="Arial"/>
          <w:snapToGrid w:val="0"/>
          <w:szCs w:val="20"/>
        </w:rPr>
        <w:t xml:space="preserve"> (based on the lipid trials) and placebo (based on the FOURIER trial) </w:t>
      </w:r>
      <w:r w:rsidRPr="00743335">
        <w:rPr>
          <w:rFonts w:cs="Arial"/>
          <w:snapToGrid w:val="0"/>
          <w:szCs w:val="20"/>
        </w:rPr>
        <w:t>was reasonable.</w:t>
      </w:r>
    </w:p>
    <w:p w:rsidR="0041694C" w:rsidRPr="00743335" w:rsidRDefault="0041694C" w:rsidP="003D14A1">
      <w:pPr>
        <w:pStyle w:val="ListParagraph"/>
        <w:numPr>
          <w:ilvl w:val="1"/>
          <w:numId w:val="1"/>
        </w:numPr>
        <w:spacing w:before="0" w:after="120"/>
        <w:ind w:left="709" w:hanging="709"/>
        <w:jc w:val="both"/>
        <w:rPr>
          <w:rFonts w:cs="Arial"/>
          <w:snapToGrid w:val="0"/>
          <w:szCs w:val="20"/>
        </w:rPr>
      </w:pPr>
      <w:r w:rsidRPr="003D14A1">
        <w:t>The</w:t>
      </w:r>
      <w:r w:rsidRPr="0086430F">
        <w:rPr>
          <w:rFonts w:cs="Arial"/>
          <w:snapToGrid w:val="0"/>
          <w:szCs w:val="20"/>
        </w:rPr>
        <w:t xml:space="preserve"> PBAC considered that the claim of </w:t>
      </w:r>
      <w:r w:rsidR="008603A5" w:rsidRPr="00743335">
        <w:rPr>
          <w:rFonts w:cs="Arial"/>
          <w:snapToGrid w:val="0"/>
          <w:szCs w:val="20"/>
        </w:rPr>
        <w:t>similar</w:t>
      </w:r>
      <w:r w:rsidRPr="00743335">
        <w:rPr>
          <w:rFonts w:cs="Arial"/>
          <w:snapToGrid w:val="0"/>
          <w:szCs w:val="20"/>
        </w:rPr>
        <w:t xml:space="preserve"> safety </w:t>
      </w:r>
      <w:r w:rsidR="006240F5" w:rsidRPr="00743335">
        <w:rPr>
          <w:rFonts w:cs="Arial"/>
          <w:snapToGrid w:val="0"/>
          <w:szCs w:val="20"/>
        </w:rPr>
        <w:t xml:space="preserve">compared to ezetimibe (based on the lipid trials) and placebo (based on the FOURIER trial) </w:t>
      </w:r>
      <w:r w:rsidRPr="00743335">
        <w:rPr>
          <w:rFonts w:cs="Arial"/>
          <w:snapToGrid w:val="0"/>
          <w:szCs w:val="20"/>
        </w:rPr>
        <w:t>was reasonable.</w:t>
      </w:r>
    </w:p>
    <w:p w:rsidR="006240F5" w:rsidRPr="00743335" w:rsidRDefault="006240F5" w:rsidP="003D14A1">
      <w:pPr>
        <w:pStyle w:val="ListParagraph"/>
        <w:numPr>
          <w:ilvl w:val="1"/>
          <w:numId w:val="1"/>
        </w:numPr>
        <w:spacing w:before="0" w:after="120"/>
        <w:ind w:left="709" w:hanging="709"/>
        <w:jc w:val="both"/>
        <w:rPr>
          <w:rFonts w:cs="Arial"/>
          <w:snapToGrid w:val="0"/>
          <w:szCs w:val="20"/>
        </w:rPr>
      </w:pPr>
      <w:r w:rsidRPr="0086430F">
        <w:rPr>
          <w:rFonts w:cs="Arial"/>
          <w:snapToGrid w:val="0"/>
          <w:szCs w:val="20"/>
        </w:rPr>
        <w:t xml:space="preserve">The PBAC considered the </w:t>
      </w:r>
      <w:r w:rsidR="005E1157">
        <w:rPr>
          <w:rFonts w:cs="Arial"/>
          <w:snapToGrid w:val="0"/>
          <w:szCs w:val="20"/>
        </w:rPr>
        <w:t>comparative effic</w:t>
      </w:r>
      <w:r w:rsidRPr="00743335">
        <w:rPr>
          <w:rFonts w:cs="Arial"/>
          <w:snapToGrid w:val="0"/>
          <w:szCs w:val="20"/>
        </w:rPr>
        <w:t xml:space="preserve">acy and safety to alirocumab remains uncertain. </w:t>
      </w:r>
    </w:p>
    <w:p w:rsidR="008C7D41" w:rsidRPr="00743335" w:rsidRDefault="008C7D41" w:rsidP="008C7D41">
      <w:pPr>
        <w:pStyle w:val="ListParagraph"/>
        <w:ind w:left="709"/>
        <w:jc w:val="both"/>
        <w:rPr>
          <w:i/>
        </w:rPr>
      </w:pPr>
      <w:r w:rsidRPr="00743335">
        <w:rPr>
          <w:i/>
        </w:rPr>
        <w:t>For more detail on PBAC’s view, see section 7 PBAC outcome.</w:t>
      </w:r>
    </w:p>
    <w:p w:rsidR="00C317F3" w:rsidRPr="00743335" w:rsidRDefault="00C317F3" w:rsidP="00772501">
      <w:pPr>
        <w:pStyle w:val="Heading2"/>
      </w:pPr>
      <w:r w:rsidRPr="00743335">
        <w:t>Economic analysis</w:t>
      </w:r>
      <w:bookmarkEnd w:id="24"/>
      <w:bookmarkEnd w:id="25"/>
    </w:p>
    <w:p w:rsidR="00C317F3" w:rsidRPr="00743335" w:rsidRDefault="002047DB" w:rsidP="003D14A1">
      <w:pPr>
        <w:pStyle w:val="ListParagraph"/>
        <w:numPr>
          <w:ilvl w:val="1"/>
          <w:numId w:val="1"/>
        </w:numPr>
        <w:spacing w:before="0" w:after="120"/>
        <w:ind w:left="709" w:hanging="709"/>
        <w:jc w:val="both"/>
      </w:pPr>
      <w:r w:rsidRPr="00743335">
        <w:t xml:space="preserve">The resubmission presented a stepped economic evaluation of evolocumab for the treatment of familial hypercholesterolaemia with atherosclerotic disease, familial hypercholesterolaemia with very high </w:t>
      </w:r>
      <w:r w:rsidR="00FD3D08" w:rsidRPr="00743335">
        <w:t>LDL-c</w:t>
      </w:r>
      <w:r w:rsidRPr="00743335">
        <w:t xml:space="preserve"> levels and non-familial hypercholesterolaemia with atherosclerotic disease either as a replacement to ezetimibe or as an add-on to existing therapies. </w:t>
      </w:r>
    </w:p>
    <w:p w:rsidR="008F3006" w:rsidRPr="00743335" w:rsidRDefault="008F3006" w:rsidP="003D14A1">
      <w:pPr>
        <w:pStyle w:val="ListParagraph"/>
        <w:numPr>
          <w:ilvl w:val="1"/>
          <w:numId w:val="1"/>
        </w:numPr>
        <w:spacing w:before="0" w:after="120"/>
        <w:ind w:left="709" w:hanging="709"/>
        <w:jc w:val="both"/>
      </w:pPr>
      <w:r w:rsidRPr="00743335">
        <w:t xml:space="preserve">The economic evaluation was based on relative </w:t>
      </w:r>
      <w:r w:rsidR="00FD3D08" w:rsidRPr="00743335">
        <w:t>LDL-c</w:t>
      </w:r>
      <w:r w:rsidRPr="00743335">
        <w:t xml:space="preserve"> reductions from the clinical trials and other modelled variables. The resubmission did not use cardiovascular outcome data from the FOURIER trial in the economic evaluation.</w:t>
      </w:r>
    </w:p>
    <w:p w:rsidR="002047DB" w:rsidRPr="00743335" w:rsidRDefault="000F1660" w:rsidP="002047DB">
      <w:pPr>
        <w:pStyle w:val="TableHeading0"/>
        <w:keepNext w:val="0"/>
        <w:widowControl w:val="0"/>
      </w:pPr>
      <w:r w:rsidRPr="00743335">
        <w:t xml:space="preserve">Table </w:t>
      </w:r>
      <w:r w:rsidR="009F203E" w:rsidRPr="00743335">
        <w:t>7</w:t>
      </w:r>
      <w:r w:rsidR="002047DB" w:rsidRPr="00743335">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357"/>
      </w:tblGrid>
      <w:tr w:rsidR="002047DB" w:rsidRPr="00743335" w:rsidTr="009F203E">
        <w:tc>
          <w:tcPr>
            <w:tcW w:w="1020" w:type="pct"/>
            <w:shd w:val="clear" w:color="auto" w:fill="auto"/>
          </w:tcPr>
          <w:p w:rsidR="002047DB" w:rsidRPr="00743335" w:rsidRDefault="002047DB" w:rsidP="002047DB">
            <w:pPr>
              <w:pStyle w:val="TableText"/>
              <w:keepNext w:val="0"/>
              <w:widowControl w:val="0"/>
              <w:rPr>
                <w:b/>
              </w:rPr>
            </w:pPr>
            <w:r w:rsidRPr="00743335">
              <w:rPr>
                <w:b/>
              </w:rPr>
              <w:t xml:space="preserve">Component </w:t>
            </w:r>
          </w:p>
        </w:tc>
        <w:tc>
          <w:tcPr>
            <w:tcW w:w="3980" w:type="pct"/>
            <w:shd w:val="clear" w:color="auto" w:fill="auto"/>
          </w:tcPr>
          <w:p w:rsidR="002047DB" w:rsidRPr="00743335" w:rsidRDefault="002047DB" w:rsidP="002047DB">
            <w:pPr>
              <w:pStyle w:val="TableText"/>
              <w:keepNext w:val="0"/>
              <w:widowControl w:val="0"/>
              <w:rPr>
                <w:b/>
              </w:rPr>
            </w:pPr>
            <w:r w:rsidRPr="00743335">
              <w:rPr>
                <w:b/>
              </w:rPr>
              <w:t>Description</w:t>
            </w:r>
          </w:p>
        </w:tc>
      </w:tr>
      <w:tr w:rsidR="002047DB" w:rsidRPr="00743335" w:rsidTr="009F203E">
        <w:tc>
          <w:tcPr>
            <w:tcW w:w="1020" w:type="pct"/>
            <w:shd w:val="clear" w:color="auto" w:fill="auto"/>
          </w:tcPr>
          <w:p w:rsidR="002047DB" w:rsidRPr="00743335" w:rsidRDefault="002047DB" w:rsidP="002047DB">
            <w:pPr>
              <w:pStyle w:val="TableText"/>
              <w:keepNext w:val="0"/>
              <w:widowControl w:val="0"/>
            </w:pPr>
            <w:r w:rsidRPr="00743335">
              <w:t xml:space="preserve">Type of analysis </w:t>
            </w:r>
          </w:p>
        </w:tc>
        <w:tc>
          <w:tcPr>
            <w:tcW w:w="3980" w:type="pct"/>
            <w:shd w:val="clear" w:color="auto" w:fill="auto"/>
            <w:vAlign w:val="center"/>
          </w:tcPr>
          <w:p w:rsidR="002047DB" w:rsidRPr="00743335" w:rsidRDefault="002047DB" w:rsidP="002047DB">
            <w:pPr>
              <w:pStyle w:val="TableText"/>
              <w:keepNext w:val="0"/>
              <w:widowControl w:val="0"/>
              <w:rPr>
                <w:rFonts w:ascii="Times" w:eastAsia="Times New Roman" w:hAnsi="Times" w:cs="Times New Roman"/>
                <w:szCs w:val="20"/>
              </w:rPr>
            </w:pPr>
            <w:r w:rsidRPr="00743335">
              <w:t>Cost-effectiveness analysis/cost-utility analysis</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Outcomes</w:t>
            </w:r>
          </w:p>
        </w:tc>
        <w:tc>
          <w:tcPr>
            <w:tcW w:w="3980" w:type="pct"/>
            <w:shd w:val="clear" w:color="auto" w:fill="auto"/>
            <w:vAlign w:val="center"/>
          </w:tcPr>
          <w:p w:rsidR="002047DB" w:rsidRPr="00743335" w:rsidRDefault="002047DB" w:rsidP="002047DB">
            <w:pPr>
              <w:pStyle w:val="TableText"/>
              <w:keepNext w:val="0"/>
              <w:widowControl w:val="0"/>
            </w:pPr>
            <w:r w:rsidRPr="00743335">
              <w:t xml:space="preserve">% reduction in </w:t>
            </w:r>
            <w:r w:rsidR="00FD3D08" w:rsidRPr="00743335">
              <w:t>LDL-c</w:t>
            </w:r>
            <w:r w:rsidRPr="00743335">
              <w:t>; life years; quality-adjusted life years</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Time horizon</w:t>
            </w:r>
          </w:p>
        </w:tc>
        <w:tc>
          <w:tcPr>
            <w:tcW w:w="3980" w:type="pct"/>
            <w:shd w:val="clear" w:color="auto" w:fill="auto"/>
            <w:vAlign w:val="center"/>
          </w:tcPr>
          <w:p w:rsidR="002047DB" w:rsidRPr="00743335" w:rsidRDefault="002047DB" w:rsidP="002047DB">
            <w:pPr>
              <w:pStyle w:val="TableText"/>
              <w:keepNext w:val="0"/>
              <w:widowControl w:val="0"/>
              <w:rPr>
                <w:rFonts w:ascii="Times" w:eastAsia="Times New Roman" w:hAnsi="Times" w:cs="Times New Roman"/>
                <w:szCs w:val="20"/>
              </w:rPr>
            </w:pPr>
            <w:r w:rsidRPr="00743335">
              <w:t>35 years</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Methods used to generate results</w:t>
            </w:r>
          </w:p>
        </w:tc>
        <w:tc>
          <w:tcPr>
            <w:tcW w:w="3980" w:type="pct"/>
            <w:shd w:val="clear" w:color="auto" w:fill="auto"/>
            <w:vAlign w:val="center"/>
          </w:tcPr>
          <w:p w:rsidR="002047DB" w:rsidRPr="00743335" w:rsidRDefault="002047DB" w:rsidP="002047DB">
            <w:pPr>
              <w:pStyle w:val="TableText"/>
              <w:keepNext w:val="0"/>
              <w:widowControl w:val="0"/>
              <w:rPr>
                <w:rFonts w:ascii="Times" w:eastAsia="Times New Roman" w:hAnsi="Times" w:cs="Times New Roman"/>
                <w:szCs w:val="20"/>
              </w:rPr>
            </w:pPr>
            <w:r w:rsidRPr="00743335">
              <w:t>Markov cohort expected value analysis (with half-cycle correction)</w:t>
            </w:r>
          </w:p>
        </w:tc>
      </w:tr>
      <w:tr w:rsidR="002047DB" w:rsidRPr="00743335" w:rsidTr="009F203E">
        <w:tc>
          <w:tcPr>
            <w:tcW w:w="1020" w:type="pct"/>
            <w:shd w:val="clear" w:color="auto" w:fill="auto"/>
          </w:tcPr>
          <w:p w:rsidR="002047DB" w:rsidRPr="00743335" w:rsidRDefault="002047DB" w:rsidP="002047DB">
            <w:pPr>
              <w:pStyle w:val="TableText"/>
              <w:keepNext w:val="0"/>
              <w:widowControl w:val="0"/>
            </w:pPr>
            <w:r w:rsidRPr="00743335">
              <w:t>Treatments</w:t>
            </w:r>
          </w:p>
        </w:tc>
        <w:tc>
          <w:tcPr>
            <w:tcW w:w="3980" w:type="pct"/>
            <w:shd w:val="clear" w:color="auto" w:fill="auto"/>
            <w:vAlign w:val="center"/>
          </w:tcPr>
          <w:p w:rsidR="002047DB" w:rsidRPr="00743335" w:rsidRDefault="002047DB" w:rsidP="002047DB">
            <w:pPr>
              <w:pStyle w:val="TableText"/>
              <w:keepNext w:val="0"/>
              <w:widowControl w:val="0"/>
            </w:pPr>
            <w:r w:rsidRPr="00743335">
              <w:t>Evolocumab, ezetimibe, placebo</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Health states</w:t>
            </w:r>
          </w:p>
        </w:tc>
        <w:tc>
          <w:tcPr>
            <w:tcW w:w="3980" w:type="pct"/>
            <w:shd w:val="clear" w:color="auto" w:fill="auto"/>
            <w:vAlign w:val="center"/>
          </w:tcPr>
          <w:p w:rsidR="002047DB" w:rsidRPr="00743335" w:rsidRDefault="002047DB" w:rsidP="002047DB">
            <w:pPr>
              <w:pStyle w:val="TableText"/>
              <w:keepNext w:val="0"/>
              <w:widowControl w:val="0"/>
              <w:jc w:val="both"/>
            </w:pPr>
            <w:r w:rsidRPr="00743335">
              <w:t xml:space="preserve">Five health states: baseline health state, myocardial infarction (with no history of stroke), ischaemic stroke (with or without a history of myocardial infarction), cardiovascular death and non-cardiovascular death </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Cycle length</w:t>
            </w:r>
          </w:p>
        </w:tc>
        <w:tc>
          <w:tcPr>
            <w:tcW w:w="3980" w:type="pct"/>
            <w:shd w:val="clear" w:color="auto" w:fill="auto"/>
            <w:vAlign w:val="center"/>
          </w:tcPr>
          <w:p w:rsidR="002047DB" w:rsidRPr="00743335" w:rsidRDefault="002047DB" w:rsidP="002047DB">
            <w:pPr>
              <w:pStyle w:val="TableText"/>
              <w:keepNext w:val="0"/>
              <w:widowControl w:val="0"/>
            </w:pPr>
            <w:r w:rsidRPr="00743335">
              <w:t>Monthly</w:t>
            </w:r>
          </w:p>
        </w:tc>
      </w:tr>
      <w:tr w:rsidR="002047DB" w:rsidRPr="00743335" w:rsidTr="009F203E">
        <w:tc>
          <w:tcPr>
            <w:tcW w:w="1020" w:type="pct"/>
            <w:shd w:val="clear" w:color="auto" w:fill="auto"/>
          </w:tcPr>
          <w:p w:rsidR="002047DB" w:rsidRPr="00743335" w:rsidRDefault="002047DB" w:rsidP="002047DB">
            <w:pPr>
              <w:pStyle w:val="TableText"/>
              <w:keepNext w:val="0"/>
              <w:widowControl w:val="0"/>
            </w:pPr>
            <w:r w:rsidRPr="00743335">
              <w:t xml:space="preserve">Transition probability </w:t>
            </w:r>
          </w:p>
        </w:tc>
        <w:tc>
          <w:tcPr>
            <w:tcW w:w="3980" w:type="pct"/>
            <w:shd w:val="clear" w:color="auto" w:fill="auto"/>
            <w:vAlign w:val="center"/>
          </w:tcPr>
          <w:p w:rsidR="002047DB" w:rsidRPr="00743335" w:rsidRDefault="002047DB" w:rsidP="002047DB">
            <w:pPr>
              <w:pStyle w:val="TableText"/>
              <w:keepNext w:val="0"/>
              <w:widowControl w:val="0"/>
              <w:jc w:val="both"/>
            </w:pPr>
            <w:r w:rsidRPr="00743335">
              <w:t xml:space="preserve">Transition probabilities were derived from the baseline composite cardiovascular event rate adjusted for </w:t>
            </w:r>
            <w:r w:rsidR="00FD3D08" w:rsidRPr="00743335">
              <w:t>LDL-c</w:t>
            </w:r>
            <w:r w:rsidRPr="00743335">
              <w:t xml:space="preserve"> treatment effects converted to relative reductions in cardiovascular event rates. Estimates were adjusted for the one month cycle length and transformed into probabilities. Probabilities were allocated to individual events based on the probability that an event is a CHD death and the probability that a non-fatal event is an MI or stroke. Probability of a cardiovascular event and the probability of a cardiovascular event being fatal were adjusted by time in model.</w:t>
            </w:r>
          </w:p>
        </w:tc>
      </w:tr>
      <w:tr w:rsidR="002047DB" w:rsidRPr="00743335" w:rsidTr="009F203E">
        <w:tc>
          <w:tcPr>
            <w:tcW w:w="1020" w:type="pct"/>
            <w:shd w:val="clear" w:color="auto" w:fill="auto"/>
          </w:tcPr>
          <w:p w:rsidR="002047DB" w:rsidRPr="00743335" w:rsidRDefault="002047DB" w:rsidP="002047DB">
            <w:pPr>
              <w:pStyle w:val="TableText"/>
              <w:keepNext w:val="0"/>
              <w:widowControl w:val="0"/>
            </w:pPr>
            <w:r w:rsidRPr="00743335">
              <w:t>Discount rate</w:t>
            </w:r>
          </w:p>
        </w:tc>
        <w:tc>
          <w:tcPr>
            <w:tcW w:w="3980" w:type="pct"/>
            <w:shd w:val="clear" w:color="auto" w:fill="auto"/>
            <w:vAlign w:val="center"/>
          </w:tcPr>
          <w:p w:rsidR="002047DB" w:rsidRPr="00743335" w:rsidRDefault="002047DB" w:rsidP="002047DB">
            <w:pPr>
              <w:pStyle w:val="TableText"/>
              <w:keepNext w:val="0"/>
              <w:widowControl w:val="0"/>
            </w:pPr>
            <w:r w:rsidRPr="00743335">
              <w:t>5% for costs and outcomes</w:t>
            </w:r>
          </w:p>
        </w:tc>
      </w:tr>
      <w:tr w:rsidR="002047DB" w:rsidRPr="00743335" w:rsidTr="009F203E">
        <w:tc>
          <w:tcPr>
            <w:tcW w:w="1020" w:type="pct"/>
            <w:shd w:val="clear" w:color="auto" w:fill="auto"/>
          </w:tcPr>
          <w:p w:rsidR="002047DB" w:rsidRPr="00743335" w:rsidRDefault="002047DB" w:rsidP="002047DB">
            <w:pPr>
              <w:pStyle w:val="TableText"/>
              <w:keepNext w:val="0"/>
              <w:widowControl w:val="0"/>
              <w:rPr>
                <w:rFonts w:ascii="Times" w:eastAsia="Times New Roman" w:hAnsi="Times" w:cs="Times New Roman"/>
                <w:szCs w:val="20"/>
              </w:rPr>
            </w:pPr>
            <w:r w:rsidRPr="00743335">
              <w:t>Software package</w:t>
            </w:r>
          </w:p>
        </w:tc>
        <w:tc>
          <w:tcPr>
            <w:tcW w:w="3980" w:type="pct"/>
            <w:shd w:val="clear" w:color="auto" w:fill="auto"/>
            <w:vAlign w:val="center"/>
          </w:tcPr>
          <w:p w:rsidR="002047DB" w:rsidRPr="00743335" w:rsidRDefault="002047DB" w:rsidP="002047DB">
            <w:pPr>
              <w:pStyle w:val="TableText"/>
              <w:keepNext w:val="0"/>
              <w:widowControl w:val="0"/>
            </w:pPr>
            <w:r w:rsidRPr="00743335">
              <w:t>Excel 2010</w:t>
            </w:r>
          </w:p>
        </w:tc>
      </w:tr>
    </w:tbl>
    <w:p w:rsidR="002047DB" w:rsidRPr="00743335" w:rsidRDefault="002047DB" w:rsidP="002047DB">
      <w:pPr>
        <w:pStyle w:val="TableFooter"/>
      </w:pPr>
      <w:r w:rsidRPr="00743335">
        <w:t xml:space="preserve">Abbreviations: CHD, coronary heart disease; </w:t>
      </w:r>
      <w:r w:rsidR="00FD3D08" w:rsidRPr="00743335">
        <w:t>LDL-c</w:t>
      </w:r>
      <w:r w:rsidRPr="00743335">
        <w:t>, low density lipoprotein cholesterol; MI, myocardial infarction</w:t>
      </w:r>
    </w:p>
    <w:p w:rsidR="002047DB" w:rsidRPr="00743335" w:rsidRDefault="002047DB" w:rsidP="000C3A94">
      <w:pPr>
        <w:pStyle w:val="TableFooter"/>
      </w:pPr>
      <w:r w:rsidRPr="00743335">
        <w:t>Source: Table 3.1-1 (p 78) of the resubmission</w:t>
      </w:r>
    </w:p>
    <w:p w:rsidR="000C3A94" w:rsidRPr="00743335" w:rsidRDefault="000C3A94" w:rsidP="003D14A1">
      <w:pPr>
        <w:pStyle w:val="ListParagraph"/>
        <w:numPr>
          <w:ilvl w:val="1"/>
          <w:numId w:val="1"/>
        </w:numPr>
        <w:spacing w:before="0" w:after="120"/>
        <w:ind w:left="709" w:hanging="709"/>
        <w:jc w:val="both"/>
      </w:pPr>
      <w:r w:rsidRPr="00743335">
        <w:t>All patients start in the baseline health state. In any month, patients can have no event or experience a non-fatal myocardial infarction, non-fatal ischaemic stroke, cardiovascular death, or non-cardiovascular death. Patients experiencing multiple non-fatal events accrue the acute costs and consequences of each event and have ongoing chronic costs and consequences based on the most severe event. The model allows patients on active treatment to discontinue therapy with no further drug costs and the same transition probabilities as placebo.</w:t>
      </w:r>
    </w:p>
    <w:p w:rsidR="00E37424" w:rsidRPr="00743335" w:rsidRDefault="000C3A94" w:rsidP="003D14A1">
      <w:pPr>
        <w:pStyle w:val="ListParagraph"/>
        <w:numPr>
          <w:ilvl w:val="1"/>
          <w:numId w:val="1"/>
        </w:numPr>
        <w:spacing w:before="0" w:after="120"/>
        <w:ind w:left="709" w:hanging="709"/>
        <w:jc w:val="both"/>
      </w:pPr>
      <w:r w:rsidRPr="00743335">
        <w:t>Key drivers of the economic model are summarised in the table below</w:t>
      </w:r>
    </w:p>
    <w:p w:rsidR="00E37424" w:rsidRPr="00743335" w:rsidRDefault="00E37424" w:rsidP="00FF4B95">
      <w:pPr>
        <w:pStyle w:val="TableHeading0"/>
        <w:keepNext w:val="0"/>
        <w:widowControl w:val="0"/>
      </w:pPr>
      <w:r w:rsidRPr="00743335">
        <w:t>T</w:t>
      </w:r>
      <w:r w:rsidR="000F1660" w:rsidRPr="00743335">
        <w:t xml:space="preserve">able </w:t>
      </w:r>
      <w:r w:rsidR="009F203E" w:rsidRPr="00743335">
        <w:t>8</w:t>
      </w:r>
      <w:r w:rsidRPr="0074333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7"/>
        <w:gridCol w:w="5961"/>
        <w:gridCol w:w="1664"/>
      </w:tblGrid>
      <w:tr w:rsidR="00E37424" w:rsidRPr="00743335" w:rsidTr="00AF38FB">
        <w:trPr>
          <w:tblHeader/>
        </w:trPr>
        <w:tc>
          <w:tcPr>
            <w:tcW w:w="802" w:type="pct"/>
            <w:shd w:val="clear" w:color="auto" w:fill="auto"/>
            <w:vAlign w:val="center"/>
          </w:tcPr>
          <w:p w:rsidR="00E37424" w:rsidRPr="00743335" w:rsidRDefault="00E37424" w:rsidP="00FF4B95">
            <w:pPr>
              <w:pStyle w:val="TableText"/>
              <w:keepNext w:val="0"/>
              <w:widowControl w:val="0"/>
              <w:rPr>
                <w:b/>
              </w:rPr>
            </w:pPr>
            <w:r w:rsidRPr="00743335">
              <w:rPr>
                <w:b/>
              </w:rPr>
              <w:t>Description</w:t>
            </w:r>
          </w:p>
        </w:tc>
        <w:tc>
          <w:tcPr>
            <w:tcW w:w="3282" w:type="pct"/>
            <w:shd w:val="clear" w:color="auto" w:fill="auto"/>
            <w:vAlign w:val="center"/>
          </w:tcPr>
          <w:p w:rsidR="00E37424" w:rsidRPr="00743335" w:rsidRDefault="00E37424" w:rsidP="00FF4B95">
            <w:pPr>
              <w:pStyle w:val="TableText"/>
              <w:keepNext w:val="0"/>
              <w:widowControl w:val="0"/>
              <w:jc w:val="center"/>
              <w:rPr>
                <w:b/>
              </w:rPr>
            </w:pPr>
            <w:r w:rsidRPr="00743335">
              <w:rPr>
                <w:b/>
              </w:rPr>
              <w:t>Method/Value</w:t>
            </w:r>
          </w:p>
        </w:tc>
        <w:tc>
          <w:tcPr>
            <w:tcW w:w="916" w:type="pct"/>
            <w:shd w:val="clear" w:color="auto" w:fill="auto"/>
            <w:vAlign w:val="center"/>
          </w:tcPr>
          <w:p w:rsidR="00E37424" w:rsidRPr="00743335" w:rsidRDefault="00E37424" w:rsidP="00FF4B95">
            <w:pPr>
              <w:pStyle w:val="TableText"/>
              <w:keepNext w:val="0"/>
              <w:widowControl w:val="0"/>
              <w:jc w:val="center"/>
              <w:rPr>
                <w:b/>
              </w:rPr>
            </w:pPr>
            <w:r w:rsidRPr="00743335">
              <w:rPr>
                <w:b/>
              </w:rPr>
              <w:t>Impact</w:t>
            </w:r>
          </w:p>
        </w:tc>
      </w:tr>
      <w:tr w:rsidR="00E37424" w:rsidRPr="00743335" w:rsidTr="00AF38FB">
        <w:tc>
          <w:tcPr>
            <w:tcW w:w="802" w:type="pct"/>
            <w:shd w:val="clear" w:color="auto" w:fill="auto"/>
            <w:vAlign w:val="center"/>
          </w:tcPr>
          <w:p w:rsidR="00E37424" w:rsidRPr="00743335" w:rsidRDefault="005C4F01" w:rsidP="00FF4B95">
            <w:pPr>
              <w:pStyle w:val="TableText"/>
              <w:keepNext w:val="0"/>
              <w:widowControl w:val="0"/>
            </w:pPr>
            <w:r w:rsidRPr="00743335">
              <w:t>Treatment effect on c</w:t>
            </w:r>
            <w:r w:rsidR="000C3A94" w:rsidRPr="00743335">
              <w:t>oronary death</w:t>
            </w:r>
          </w:p>
        </w:tc>
        <w:tc>
          <w:tcPr>
            <w:tcW w:w="3282" w:type="pct"/>
            <w:shd w:val="clear" w:color="auto" w:fill="auto"/>
            <w:vAlign w:val="center"/>
          </w:tcPr>
          <w:p w:rsidR="00B3343C" w:rsidRPr="00743335" w:rsidRDefault="00AF38FB" w:rsidP="00FF4B95">
            <w:pPr>
              <w:pStyle w:val="TableText"/>
              <w:keepNext w:val="0"/>
              <w:widowControl w:val="0"/>
            </w:pPr>
            <w:r w:rsidRPr="00743335">
              <w:t xml:space="preserve">The resubmission assumed </w:t>
            </w:r>
            <w:r w:rsidR="00F2781A" w:rsidRPr="00743335">
              <w:t>a</w:t>
            </w:r>
            <w:r w:rsidRPr="00743335">
              <w:t xml:space="preserve"> reduction in coronary death with active treatments based on </w:t>
            </w:r>
            <w:r w:rsidR="00B3343C" w:rsidRPr="00743335">
              <w:t>a multistep transformation of lipid parameters:</w:t>
            </w:r>
          </w:p>
          <w:p w:rsidR="00B3343C" w:rsidRPr="00743335" w:rsidRDefault="00B3343C" w:rsidP="00B3343C">
            <w:pPr>
              <w:pStyle w:val="TableText"/>
              <w:widowControl w:val="0"/>
            </w:pPr>
            <w:r w:rsidRPr="00743335">
              <w:t xml:space="preserve">- Relative </w:t>
            </w:r>
            <w:r w:rsidR="00FD3D08" w:rsidRPr="00743335">
              <w:t>LDL-c</w:t>
            </w:r>
            <w:r w:rsidRPr="00743335">
              <w:t xml:space="preserve"> reductions translated to absolute reductions based on assumed baseline </w:t>
            </w:r>
            <w:r w:rsidR="00FD3D08" w:rsidRPr="00743335">
              <w:t>LDL-c</w:t>
            </w:r>
            <w:r w:rsidRPr="00743335">
              <w:t xml:space="preserve"> levels</w:t>
            </w:r>
          </w:p>
          <w:p w:rsidR="00B3343C" w:rsidRPr="00743335" w:rsidRDefault="00B3343C" w:rsidP="00B3343C">
            <w:pPr>
              <w:pStyle w:val="TableText"/>
              <w:widowControl w:val="0"/>
            </w:pPr>
            <w:r w:rsidRPr="00743335">
              <w:t xml:space="preserve">-Transformed </w:t>
            </w:r>
            <w:r w:rsidR="00FD3D08" w:rsidRPr="00743335">
              <w:t>LDL-c</w:t>
            </w:r>
            <w:r w:rsidRPr="00743335">
              <w:t xml:space="preserve"> reductions translated to relative reductions in cardiovascular risk based on the CTTC analysis</w:t>
            </w:r>
            <w:r w:rsidR="0095581B" w:rsidRPr="00743335">
              <w:t xml:space="preserve"> (RR 0.78 per 1 mmol/L reduction in </w:t>
            </w:r>
            <w:r w:rsidR="00FD3D08" w:rsidRPr="00743335">
              <w:t>LDL-c</w:t>
            </w:r>
            <w:r w:rsidR="0095581B" w:rsidRPr="00743335">
              <w:t>)</w:t>
            </w:r>
          </w:p>
          <w:p w:rsidR="00B3343C" w:rsidRPr="00743335" w:rsidRDefault="00B3343C" w:rsidP="00B3343C">
            <w:pPr>
              <w:pStyle w:val="TableText"/>
              <w:keepNext w:val="0"/>
              <w:widowControl w:val="0"/>
            </w:pPr>
            <w:r w:rsidRPr="00743335">
              <w:t>- Relative reductions in cardiovascular risk translated to absolute reductions based on assumed baseline risk levels</w:t>
            </w:r>
          </w:p>
          <w:p w:rsidR="00B3343C" w:rsidRPr="00743335" w:rsidRDefault="00B3343C" w:rsidP="00FF4B95">
            <w:pPr>
              <w:pStyle w:val="TableText"/>
              <w:keepNext w:val="0"/>
              <w:widowControl w:val="0"/>
            </w:pPr>
          </w:p>
          <w:p w:rsidR="00200296" w:rsidRPr="00743335" w:rsidRDefault="000B7D5A" w:rsidP="00294942">
            <w:pPr>
              <w:pStyle w:val="TableText"/>
              <w:keepNext w:val="0"/>
              <w:widowControl w:val="0"/>
            </w:pPr>
            <w:r w:rsidRPr="00743335">
              <w:t>Based on this transformation the resubmission estimated a substantial reduction in coronary mortality with evolocumab treatment (approximately 55-64% risk reduction)</w:t>
            </w:r>
            <w:r w:rsidR="00E16564" w:rsidRPr="00743335">
              <w:t xml:space="preserve"> and a smaller reduction in coronary mortality with e</w:t>
            </w:r>
            <w:r w:rsidR="00294942" w:rsidRPr="00743335">
              <w:t>z</w:t>
            </w:r>
            <w:r w:rsidR="00E16564" w:rsidRPr="00743335">
              <w:t>etimibe (approximately 22-27% risk reduction)</w:t>
            </w:r>
            <w:r w:rsidRPr="00743335">
              <w:t>. This estimate was i</w:t>
            </w:r>
            <w:r w:rsidR="00E16564" w:rsidRPr="00743335">
              <w:t>n</w:t>
            </w:r>
            <w:r w:rsidRPr="00743335">
              <w:t>consistent with the results of the FOURIER trial which did not demonstrate a statistically significant difference in coronary death between evolocumab and placebo (HR 1.02; 95% CI 0.82, 1.25). The modelled reduction in coronary death was the primary drive</w:t>
            </w:r>
            <w:r w:rsidR="00E16564" w:rsidRPr="00743335">
              <w:t>r</w:t>
            </w:r>
            <w:r w:rsidRPr="00743335">
              <w:t xml:space="preserve"> of the economic model.</w:t>
            </w:r>
            <w:r w:rsidR="00DB0EBE" w:rsidRPr="00743335">
              <w:t xml:space="preserve"> The ESC considered a </w:t>
            </w:r>
            <w:r w:rsidR="004B3C30">
              <w:t xml:space="preserve">long term </w:t>
            </w:r>
            <w:r w:rsidR="00DB0EBE" w:rsidRPr="00743335">
              <w:t xml:space="preserve">reduction in CV death to be reasonable, however the 55-64% risk reduction with </w:t>
            </w:r>
            <w:r w:rsidR="005E1157" w:rsidRPr="00743335">
              <w:t>evolocumab</w:t>
            </w:r>
            <w:r w:rsidR="00DB0EBE" w:rsidRPr="00743335">
              <w:t xml:space="preserve"> may be overstated</w:t>
            </w:r>
            <w:r w:rsidR="00C63263" w:rsidRPr="00743335">
              <w:t>. This risk reduction was not validated with external data.</w:t>
            </w:r>
          </w:p>
          <w:p w:rsidR="00E97215" w:rsidRPr="00743335" w:rsidRDefault="006D4042" w:rsidP="006D4042">
            <w:pPr>
              <w:pStyle w:val="TableText"/>
              <w:keepNext w:val="0"/>
              <w:widowControl w:val="0"/>
              <w:rPr>
                <w:i/>
              </w:rPr>
            </w:pPr>
            <w:r w:rsidRPr="00743335">
              <w:t>The resubmission argued a time lag between LDL</w:t>
            </w:r>
            <w:r w:rsidR="005C0C92" w:rsidRPr="00743335">
              <w:t>-c</w:t>
            </w:r>
            <w:r w:rsidRPr="00743335">
              <w:t xml:space="preserve"> reductions and the impact on cardiovascular risk was not incorporated into the economic model </w:t>
            </w:r>
            <w:r w:rsidR="00BB5D3F" w:rsidRPr="00743335">
              <w:t xml:space="preserve">because </w:t>
            </w:r>
            <w:r w:rsidRPr="00743335">
              <w:t>it</w:t>
            </w:r>
            <w:r w:rsidR="00BB5D3F" w:rsidRPr="00743335">
              <w:t xml:space="preserve"> was</w:t>
            </w:r>
            <w:r w:rsidRPr="00743335">
              <w:t xml:space="preserve"> noted that the PBS Statin Review did not model a time lag. The ESC considered the</w:t>
            </w:r>
            <w:r w:rsidR="00E97215" w:rsidRPr="00743335">
              <w:t xml:space="preserve"> clear separation of cardiovascular death rates associated with evolocumab treatment compared to placebo and ezetimibe within the first year of the model </w:t>
            </w:r>
            <w:r w:rsidRPr="00743335">
              <w:t>was</w:t>
            </w:r>
            <w:r w:rsidR="00E97215" w:rsidRPr="00743335">
              <w:t xml:space="preserve"> inconsistent with the FOURIER trial evidence.</w:t>
            </w:r>
            <w:r w:rsidRPr="00743335">
              <w:t xml:space="preserve"> </w:t>
            </w:r>
          </w:p>
        </w:tc>
        <w:tc>
          <w:tcPr>
            <w:tcW w:w="916" w:type="pct"/>
            <w:shd w:val="clear" w:color="auto" w:fill="auto"/>
            <w:vAlign w:val="center"/>
          </w:tcPr>
          <w:p w:rsidR="00E37424" w:rsidRPr="00743335" w:rsidRDefault="00F85647" w:rsidP="00FF4B95">
            <w:pPr>
              <w:pStyle w:val="TableText"/>
              <w:keepNext w:val="0"/>
              <w:widowControl w:val="0"/>
              <w:jc w:val="center"/>
            </w:pPr>
            <w:r w:rsidRPr="00743335">
              <w:t>Very h</w:t>
            </w:r>
            <w:r w:rsidR="00E37424" w:rsidRPr="00743335">
              <w:t>igh</w:t>
            </w:r>
            <w:r w:rsidR="00AF38FB" w:rsidRPr="00743335">
              <w:t xml:space="preserve">, </w:t>
            </w:r>
            <w:r w:rsidR="00AF38FB" w:rsidRPr="00743335">
              <w:br/>
              <w:t>favours evolocumab</w:t>
            </w:r>
          </w:p>
        </w:tc>
      </w:tr>
      <w:tr w:rsidR="00200296" w:rsidRPr="00743335" w:rsidTr="00AF38FB">
        <w:tc>
          <w:tcPr>
            <w:tcW w:w="802" w:type="pct"/>
            <w:shd w:val="clear" w:color="auto" w:fill="auto"/>
            <w:vAlign w:val="center"/>
          </w:tcPr>
          <w:p w:rsidR="00200296" w:rsidRPr="00743335" w:rsidRDefault="000C3A94" w:rsidP="00FF4B95">
            <w:pPr>
              <w:pStyle w:val="TableText"/>
              <w:keepNext w:val="0"/>
              <w:widowControl w:val="0"/>
            </w:pPr>
            <w:r w:rsidRPr="00743335">
              <w:t>Baseline cardiovascular risk</w:t>
            </w:r>
          </w:p>
        </w:tc>
        <w:tc>
          <w:tcPr>
            <w:tcW w:w="3282" w:type="pct"/>
            <w:shd w:val="clear" w:color="auto" w:fill="auto"/>
            <w:vAlign w:val="center"/>
          </w:tcPr>
          <w:p w:rsidR="00200296" w:rsidRPr="00743335" w:rsidRDefault="00461766" w:rsidP="00FF4B95">
            <w:pPr>
              <w:pStyle w:val="TableText"/>
              <w:keepNext w:val="0"/>
              <w:widowControl w:val="0"/>
            </w:pPr>
            <w:r w:rsidRPr="00743335">
              <w:t>The resubmission assumed a cardiovascular event rate of 0.05 events per subject year (equivalent to a 5-year risk of 23%) in non-familial hypercholesterolaemia with atherosclerotic disease.</w:t>
            </w:r>
          </w:p>
          <w:p w:rsidR="00461766" w:rsidRPr="00743335" w:rsidRDefault="00461766" w:rsidP="00FF4B95">
            <w:pPr>
              <w:pStyle w:val="TableText"/>
              <w:keepNext w:val="0"/>
              <w:widowControl w:val="0"/>
            </w:pPr>
            <w:r w:rsidRPr="00743335">
              <w:t xml:space="preserve">The resubmission assumed that familial hypercholesterolaemia with very high </w:t>
            </w:r>
            <w:r w:rsidR="00FD3D08" w:rsidRPr="00743335">
              <w:t>LDL-c</w:t>
            </w:r>
            <w:r w:rsidRPr="00743335">
              <w:t xml:space="preserve"> levels (</w:t>
            </w:r>
            <w:r w:rsidR="00FD3D08" w:rsidRPr="00743335">
              <w:t>LDL-c</w:t>
            </w:r>
            <w:r w:rsidRPr="00743335">
              <w:t xml:space="preserve"> &gt; 5.0 mmol/L) would have the same cardiovascular events rate as non-familial hypercholesterolaemia with atherosclerotic disease (0.05 events per subject year). </w:t>
            </w:r>
          </w:p>
          <w:p w:rsidR="00461766" w:rsidRPr="00743335" w:rsidRDefault="00461766" w:rsidP="00FF4B95">
            <w:pPr>
              <w:pStyle w:val="TableText"/>
              <w:keepNext w:val="0"/>
              <w:widowControl w:val="0"/>
            </w:pPr>
            <w:r w:rsidRPr="00743335">
              <w:t>The resubmission assumed that familial hypercholesterolaemia with atherosclerotic disease (</w:t>
            </w:r>
            <w:r w:rsidR="00FD3D08" w:rsidRPr="00743335">
              <w:t>LDL-c</w:t>
            </w:r>
            <w:r w:rsidRPr="00743335">
              <w:t xml:space="preserve"> &gt; 3.3 mmol/L) would have twice the event rate of non-familial hypercholesterolaemia with atherosclerotic disease (0.10 events per subject year).</w:t>
            </w:r>
          </w:p>
          <w:p w:rsidR="00F2781A" w:rsidRPr="00743335" w:rsidRDefault="00461766" w:rsidP="00FF4B95">
            <w:pPr>
              <w:pStyle w:val="TableText"/>
              <w:keepNext w:val="0"/>
              <w:widowControl w:val="0"/>
            </w:pPr>
            <w:r w:rsidRPr="00743335">
              <w:t>The baseline risk assumptions were</w:t>
            </w:r>
            <w:r w:rsidR="00F2781A" w:rsidRPr="00743335">
              <w:t xml:space="preserve"> broadly</w:t>
            </w:r>
            <w:r w:rsidRPr="00743335">
              <w:t xml:space="preserve"> </w:t>
            </w:r>
            <w:r w:rsidR="00F2781A" w:rsidRPr="00743335">
              <w:t>based on cardiovascular risk estimates in untreated hypercholesterolaemia populations and epidemiology estimates of the increased risk associated with familial hypercholesterolaemia.</w:t>
            </w:r>
          </w:p>
          <w:p w:rsidR="00461766" w:rsidRPr="00743335" w:rsidRDefault="0007065A" w:rsidP="00E546CC">
            <w:pPr>
              <w:pStyle w:val="TableText"/>
              <w:keepNext w:val="0"/>
              <w:widowControl w:val="0"/>
            </w:pPr>
            <w:r w:rsidRPr="00743335">
              <w:t xml:space="preserve">The ESC </w:t>
            </w:r>
            <w:r w:rsidR="00E546CC">
              <w:t xml:space="preserve">agreed that familial hypercholesterolaemia was associated with an increased cardiovascular risk for any given cholesterol level than the general ASCVD population, but </w:t>
            </w:r>
            <w:r w:rsidRPr="00743335">
              <w:t xml:space="preserve">considered there were insufficient data presented in the submission </w:t>
            </w:r>
            <w:r w:rsidRPr="00743335">
              <w:rPr>
                <w:iCs/>
              </w:rPr>
              <w:t xml:space="preserve">to adequately support the assumptions regarding baseline cardiovascular risk </w:t>
            </w:r>
            <w:r w:rsidR="00461766" w:rsidRPr="00743335">
              <w:t>and therefore it was unclear whether they were representative of the target PBS populations</w:t>
            </w:r>
            <w:r w:rsidRPr="00743335">
              <w:t>.</w:t>
            </w:r>
          </w:p>
        </w:tc>
        <w:tc>
          <w:tcPr>
            <w:tcW w:w="916" w:type="pct"/>
            <w:shd w:val="clear" w:color="auto" w:fill="auto"/>
            <w:vAlign w:val="center"/>
          </w:tcPr>
          <w:p w:rsidR="00200296" w:rsidRPr="00743335" w:rsidRDefault="00461766" w:rsidP="00FF4B95">
            <w:pPr>
              <w:pStyle w:val="TableText"/>
              <w:keepNext w:val="0"/>
              <w:widowControl w:val="0"/>
              <w:jc w:val="center"/>
            </w:pPr>
            <w:r w:rsidRPr="00743335">
              <w:t>High, favours evolocumab</w:t>
            </w:r>
          </w:p>
        </w:tc>
      </w:tr>
      <w:tr w:rsidR="00200296" w:rsidRPr="00743335" w:rsidTr="00AF38FB">
        <w:tc>
          <w:tcPr>
            <w:tcW w:w="802" w:type="pct"/>
            <w:shd w:val="clear" w:color="auto" w:fill="auto"/>
            <w:vAlign w:val="center"/>
          </w:tcPr>
          <w:p w:rsidR="00200296" w:rsidRPr="00743335" w:rsidRDefault="000C3A94" w:rsidP="00FF4B95">
            <w:pPr>
              <w:pStyle w:val="TableText"/>
              <w:keepNext w:val="0"/>
              <w:widowControl w:val="0"/>
            </w:pPr>
            <w:r w:rsidRPr="00743335">
              <w:t xml:space="preserve">Baseline </w:t>
            </w:r>
            <w:r w:rsidR="00FD3D08" w:rsidRPr="00743335">
              <w:t>LDL-c</w:t>
            </w:r>
            <w:r w:rsidRPr="00743335">
              <w:t xml:space="preserve"> levels</w:t>
            </w:r>
          </w:p>
        </w:tc>
        <w:tc>
          <w:tcPr>
            <w:tcW w:w="3282" w:type="pct"/>
            <w:shd w:val="clear" w:color="auto" w:fill="auto"/>
            <w:vAlign w:val="center"/>
          </w:tcPr>
          <w:p w:rsidR="00461766" w:rsidRPr="00743335" w:rsidRDefault="00461766" w:rsidP="00FF4B95">
            <w:pPr>
              <w:pStyle w:val="TableText"/>
              <w:keepNext w:val="0"/>
              <w:widowControl w:val="0"/>
            </w:pPr>
            <w:r w:rsidRPr="00743335">
              <w:t xml:space="preserve">The resubmission assumed that the </w:t>
            </w:r>
            <w:r w:rsidR="00FD3D08" w:rsidRPr="00743335">
              <w:t>LDL-c</w:t>
            </w:r>
            <w:r w:rsidRPr="00743335">
              <w:t xml:space="preserve"> eligibility criterion (&gt; 3.3 mmol/L) for PBS populations with atherosclerotic disease would result in a mean baseline </w:t>
            </w:r>
            <w:r w:rsidR="00FD3D08" w:rsidRPr="00743335">
              <w:t>LDL-c</w:t>
            </w:r>
            <w:r w:rsidRPr="00743335">
              <w:t xml:space="preserve"> level of 5.5 mmol/L.</w:t>
            </w:r>
          </w:p>
          <w:p w:rsidR="00200296" w:rsidRPr="00743335" w:rsidRDefault="00461766" w:rsidP="00FF4B95">
            <w:pPr>
              <w:pStyle w:val="TableText"/>
              <w:keepNext w:val="0"/>
              <w:widowControl w:val="0"/>
            </w:pPr>
            <w:r w:rsidRPr="00743335">
              <w:t xml:space="preserve">The resubmission assumed that the </w:t>
            </w:r>
            <w:r w:rsidR="00FD3D08" w:rsidRPr="00743335">
              <w:t>LDL-c</w:t>
            </w:r>
            <w:r w:rsidRPr="00743335">
              <w:t xml:space="preserve"> eligibility criterion (&gt; 5 mmol/L) for PBS populations without atherosclerotic disease would result in a mean baseline </w:t>
            </w:r>
            <w:r w:rsidR="00FD3D08" w:rsidRPr="00743335">
              <w:t>LDL-c</w:t>
            </w:r>
            <w:r w:rsidRPr="00743335">
              <w:t xml:space="preserve"> level of 7.0 mmol/L.</w:t>
            </w:r>
          </w:p>
          <w:p w:rsidR="00461766" w:rsidRPr="00743335" w:rsidRDefault="00461766" w:rsidP="00FF4B95">
            <w:pPr>
              <w:pStyle w:val="TableText"/>
              <w:keepNext w:val="0"/>
              <w:widowControl w:val="0"/>
            </w:pPr>
            <w:r w:rsidRPr="00743335">
              <w:t xml:space="preserve">The baseline </w:t>
            </w:r>
            <w:r w:rsidR="00FD3D08" w:rsidRPr="00743335">
              <w:t>LDL-c</w:t>
            </w:r>
            <w:r w:rsidRPr="00743335">
              <w:t xml:space="preserve"> assumptions were not justified in the resubmission and therefore it was unclear whether they were representative of the target PBS populations</w:t>
            </w:r>
            <w:r w:rsidR="007636FB" w:rsidRPr="00743335">
              <w:t>.</w:t>
            </w:r>
          </w:p>
        </w:tc>
        <w:tc>
          <w:tcPr>
            <w:tcW w:w="916" w:type="pct"/>
            <w:shd w:val="clear" w:color="auto" w:fill="auto"/>
            <w:vAlign w:val="center"/>
          </w:tcPr>
          <w:p w:rsidR="00200296" w:rsidRPr="00743335" w:rsidRDefault="00461766" w:rsidP="00FF4B95">
            <w:pPr>
              <w:pStyle w:val="TableText"/>
              <w:keepNext w:val="0"/>
              <w:widowControl w:val="0"/>
              <w:jc w:val="center"/>
            </w:pPr>
            <w:r w:rsidRPr="00743335">
              <w:t>High, favours evolocumab</w:t>
            </w:r>
          </w:p>
        </w:tc>
      </w:tr>
      <w:tr w:rsidR="00200296" w:rsidRPr="00743335" w:rsidTr="00AF38FB">
        <w:tc>
          <w:tcPr>
            <w:tcW w:w="802" w:type="pct"/>
            <w:shd w:val="clear" w:color="auto" w:fill="auto"/>
            <w:vAlign w:val="center"/>
          </w:tcPr>
          <w:p w:rsidR="00200296" w:rsidRPr="00743335" w:rsidRDefault="000C3A94" w:rsidP="00FF4B95">
            <w:pPr>
              <w:pStyle w:val="TableText"/>
              <w:keepNext w:val="0"/>
              <w:widowControl w:val="0"/>
            </w:pPr>
            <w:r w:rsidRPr="00743335">
              <w:t>Distribution of cardiac events</w:t>
            </w:r>
          </w:p>
        </w:tc>
        <w:tc>
          <w:tcPr>
            <w:tcW w:w="3282" w:type="pct"/>
            <w:shd w:val="clear" w:color="auto" w:fill="auto"/>
            <w:vAlign w:val="center"/>
          </w:tcPr>
          <w:p w:rsidR="00535FCD" w:rsidRPr="00743335" w:rsidRDefault="00535FCD" w:rsidP="00FF4B95">
            <w:pPr>
              <w:pStyle w:val="TableText"/>
              <w:keepNext w:val="0"/>
              <w:widowControl w:val="0"/>
            </w:pPr>
            <w:r w:rsidRPr="00743335">
              <w:t>The resubmission estimated the distribution of cardiac events (myocardial infarction: 38.8%; ischaemic stroke 27.7%; coronary death 34.5%) based on the Heart Protection Study. The Heart Protection Study is unlikely to be representative of the target PBS populations. The most closely comparable distribution of events reported in the FOURIER trial for the placebo arm was: myocardial infarction: 62.0%, stroke: 23.5%, cardiovascular death 14.5%</w:t>
            </w:r>
            <w:r w:rsidR="006D4042" w:rsidRPr="00743335">
              <w:t>.</w:t>
            </w:r>
          </w:p>
          <w:p w:rsidR="006D4042" w:rsidRPr="00743335" w:rsidRDefault="00C63263" w:rsidP="00BB5D3F">
            <w:pPr>
              <w:pStyle w:val="TableText"/>
              <w:keepNext w:val="0"/>
              <w:widowControl w:val="0"/>
            </w:pPr>
            <w:r w:rsidRPr="00743335">
              <w:t>The ESC noted these modelled CV events did not match the CTTC composite outcome for which the events were predicated upon (coronary death, MI, ischaemic and haemorrhagic stroke, coronary revascularisation). A more appropriate approach would be to use individual CV event and mortality equations, which are reported in the FOURIER trial.</w:t>
            </w:r>
          </w:p>
        </w:tc>
        <w:tc>
          <w:tcPr>
            <w:tcW w:w="916" w:type="pct"/>
            <w:shd w:val="clear" w:color="auto" w:fill="auto"/>
            <w:vAlign w:val="center"/>
          </w:tcPr>
          <w:p w:rsidR="00200296" w:rsidRPr="00743335" w:rsidRDefault="00535FCD" w:rsidP="00FF4B95">
            <w:pPr>
              <w:pStyle w:val="TableText"/>
              <w:keepNext w:val="0"/>
              <w:widowControl w:val="0"/>
              <w:jc w:val="center"/>
            </w:pPr>
            <w:r w:rsidRPr="00743335">
              <w:t>High, favours evolocumab</w:t>
            </w:r>
          </w:p>
        </w:tc>
      </w:tr>
      <w:tr w:rsidR="000C3A94" w:rsidRPr="00743335" w:rsidTr="00AF38FB">
        <w:tc>
          <w:tcPr>
            <w:tcW w:w="802" w:type="pct"/>
            <w:shd w:val="clear" w:color="auto" w:fill="auto"/>
            <w:vAlign w:val="center"/>
          </w:tcPr>
          <w:p w:rsidR="000C3A94" w:rsidRPr="00743335" w:rsidRDefault="000C3A94" w:rsidP="00FF4B95">
            <w:pPr>
              <w:pStyle w:val="TableText"/>
              <w:keepNext w:val="0"/>
              <w:widowControl w:val="0"/>
            </w:pPr>
            <w:r w:rsidRPr="00743335">
              <w:t>Time horizon</w:t>
            </w:r>
          </w:p>
        </w:tc>
        <w:tc>
          <w:tcPr>
            <w:tcW w:w="3282" w:type="pct"/>
            <w:shd w:val="clear" w:color="auto" w:fill="auto"/>
            <w:vAlign w:val="center"/>
          </w:tcPr>
          <w:p w:rsidR="000C3A94" w:rsidRPr="00743335" w:rsidRDefault="00FF4B95" w:rsidP="00FF4B95">
            <w:pPr>
              <w:pStyle w:val="TableText"/>
              <w:keepNext w:val="0"/>
              <w:widowControl w:val="0"/>
            </w:pPr>
            <w:r w:rsidRPr="00743335">
              <w:t xml:space="preserve">The economic model was based on a 35 year time horizon. The nominated time horizon appeared appropriate to capture the majority of costs and benefits in patients with atherosclerotic disease but may be insufficient for familial patients with very high </w:t>
            </w:r>
            <w:r w:rsidR="00FD3D08" w:rsidRPr="00743335">
              <w:t>LDL-c</w:t>
            </w:r>
            <w:r w:rsidRPr="00743335">
              <w:t xml:space="preserve"> levels</w:t>
            </w:r>
            <w:r w:rsidR="00F2781A" w:rsidRPr="00743335">
              <w:t xml:space="preserve"> (baseline age 45 years; approximately 20-40% of patients were alive at the end of the model)</w:t>
            </w:r>
            <w:r w:rsidR="006240F5" w:rsidRPr="00743335">
              <w:t>.</w:t>
            </w:r>
            <w:r w:rsidR="00F2781A" w:rsidRPr="00743335">
              <w:rPr>
                <w:rStyle w:val="CommentReference"/>
                <w:sz w:val="20"/>
                <w:szCs w:val="22"/>
              </w:rPr>
              <w:t xml:space="preserve"> </w:t>
            </w:r>
          </w:p>
        </w:tc>
        <w:tc>
          <w:tcPr>
            <w:tcW w:w="916" w:type="pct"/>
            <w:shd w:val="clear" w:color="auto" w:fill="auto"/>
            <w:vAlign w:val="center"/>
          </w:tcPr>
          <w:p w:rsidR="000C3A94" w:rsidRPr="00743335" w:rsidRDefault="00FF4B95" w:rsidP="00FF4B95">
            <w:pPr>
              <w:pStyle w:val="TableText"/>
              <w:keepNext w:val="0"/>
              <w:widowControl w:val="0"/>
              <w:jc w:val="center"/>
            </w:pPr>
            <w:r w:rsidRPr="00743335">
              <w:t xml:space="preserve">High, </w:t>
            </w:r>
            <w:r w:rsidRPr="00743335">
              <w:br/>
              <w:t>variable direction</w:t>
            </w:r>
          </w:p>
        </w:tc>
      </w:tr>
    </w:tbl>
    <w:p w:rsidR="00B3343C" w:rsidRPr="00743335" w:rsidRDefault="00B3343C" w:rsidP="00FF4B95">
      <w:pPr>
        <w:pStyle w:val="TableFooter"/>
      </w:pPr>
      <w:r w:rsidRPr="00743335">
        <w:t xml:space="preserve">Abbreviations: CTTC, Cholesterol Treatment Trialists’ Collaboration; </w:t>
      </w:r>
      <w:r w:rsidR="00FD3D08" w:rsidRPr="00743335">
        <w:t>LDL-c</w:t>
      </w:r>
      <w:r w:rsidRPr="00743335">
        <w:t>, low density lipoprotein cholesterol; PBS, Pharmaceutical Benefits Scheme</w:t>
      </w:r>
    </w:p>
    <w:p w:rsidR="0052590B" w:rsidRPr="00743335" w:rsidRDefault="00E37424" w:rsidP="00FF4B95">
      <w:pPr>
        <w:pStyle w:val="TableFooter"/>
      </w:pPr>
      <w:r w:rsidRPr="00743335">
        <w:t>Source: compiled during the evaluation</w:t>
      </w:r>
    </w:p>
    <w:p w:rsidR="00E37424" w:rsidRPr="00743335" w:rsidRDefault="00E37424" w:rsidP="00FF4B95">
      <w:pPr>
        <w:pStyle w:val="TableFooter"/>
      </w:pPr>
    </w:p>
    <w:p w:rsidR="000C3A94" w:rsidRPr="00743335" w:rsidRDefault="000C3A94" w:rsidP="003D14A1">
      <w:pPr>
        <w:pStyle w:val="ListParagraph"/>
        <w:numPr>
          <w:ilvl w:val="1"/>
          <w:numId w:val="1"/>
        </w:numPr>
        <w:spacing w:before="0" w:after="120"/>
        <w:ind w:left="709" w:hanging="709"/>
        <w:jc w:val="both"/>
      </w:pPr>
      <w:r w:rsidRPr="00743335">
        <w:t>The results of the modelled economic evaluation are summarised below.</w:t>
      </w:r>
    </w:p>
    <w:p w:rsidR="000C3A94" w:rsidRPr="00743335" w:rsidRDefault="000F1660" w:rsidP="000C3A94">
      <w:pPr>
        <w:pStyle w:val="TableHeading0"/>
        <w:keepNext w:val="0"/>
        <w:widowControl w:val="0"/>
      </w:pPr>
      <w:r w:rsidRPr="00743335">
        <w:t xml:space="preserve">Table </w:t>
      </w:r>
      <w:r w:rsidR="009F203E" w:rsidRPr="00743335">
        <w:t>9</w:t>
      </w:r>
      <w:r w:rsidR="000C3A94" w:rsidRPr="00743335">
        <w:t xml:space="preserve">: </w:t>
      </w:r>
      <w:r w:rsidR="008F3006" w:rsidRPr="00743335">
        <w:t>Summary results of s</w:t>
      </w:r>
      <w:r w:rsidR="000C3A94" w:rsidRPr="00743335">
        <w:t xml:space="preserve">tepped economic evaluation of evolocumab versus ezetimibe or placebo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5"/>
        <w:gridCol w:w="1356"/>
        <w:gridCol w:w="1359"/>
        <w:gridCol w:w="1359"/>
        <w:gridCol w:w="1303"/>
        <w:gridCol w:w="1301"/>
      </w:tblGrid>
      <w:tr w:rsidR="000C3A94" w:rsidRPr="00743335" w:rsidTr="009F203E">
        <w:trPr>
          <w:trHeight w:val="155"/>
        </w:trPr>
        <w:tc>
          <w:tcPr>
            <w:tcW w:w="1320" w:type="pct"/>
            <w:vMerge w:val="restart"/>
            <w:vAlign w:val="center"/>
          </w:tcPr>
          <w:p w:rsidR="000C3A94" w:rsidRPr="00743335" w:rsidRDefault="000C3A94" w:rsidP="00931011">
            <w:pPr>
              <w:pStyle w:val="TableText"/>
              <w:keepNext w:val="0"/>
              <w:widowControl w:val="0"/>
              <w:jc w:val="center"/>
              <w:rPr>
                <w:b/>
              </w:rPr>
            </w:pPr>
            <w:r w:rsidRPr="00743335">
              <w:rPr>
                <w:b/>
              </w:rPr>
              <w:t>Type of resource item</w:t>
            </w:r>
          </w:p>
        </w:tc>
        <w:tc>
          <w:tcPr>
            <w:tcW w:w="747" w:type="pct"/>
            <w:vMerge w:val="restart"/>
            <w:vAlign w:val="center"/>
          </w:tcPr>
          <w:p w:rsidR="000C3A94" w:rsidRPr="00743335" w:rsidRDefault="000C3A94" w:rsidP="00931011">
            <w:pPr>
              <w:pStyle w:val="TableText"/>
              <w:keepNext w:val="0"/>
              <w:widowControl w:val="0"/>
              <w:jc w:val="center"/>
              <w:rPr>
                <w:b/>
              </w:rPr>
            </w:pPr>
            <w:r w:rsidRPr="00743335">
              <w:rPr>
                <w:b/>
              </w:rPr>
              <w:t>Evolocumab</w:t>
            </w:r>
          </w:p>
        </w:tc>
        <w:tc>
          <w:tcPr>
            <w:tcW w:w="749" w:type="pct"/>
            <w:vMerge w:val="restart"/>
            <w:vAlign w:val="center"/>
          </w:tcPr>
          <w:p w:rsidR="000C3A94" w:rsidRPr="00743335" w:rsidRDefault="000C3A94" w:rsidP="00931011">
            <w:pPr>
              <w:pStyle w:val="TableText"/>
              <w:keepNext w:val="0"/>
              <w:widowControl w:val="0"/>
              <w:jc w:val="center"/>
              <w:rPr>
                <w:b/>
              </w:rPr>
            </w:pPr>
            <w:r w:rsidRPr="00743335">
              <w:rPr>
                <w:b/>
              </w:rPr>
              <w:t>Ezetimibe</w:t>
            </w:r>
          </w:p>
        </w:tc>
        <w:tc>
          <w:tcPr>
            <w:tcW w:w="749" w:type="pct"/>
            <w:vMerge w:val="restart"/>
            <w:vAlign w:val="center"/>
          </w:tcPr>
          <w:p w:rsidR="000C3A94" w:rsidRPr="00743335" w:rsidRDefault="000C3A94" w:rsidP="00931011">
            <w:pPr>
              <w:pStyle w:val="TableText"/>
              <w:keepNext w:val="0"/>
              <w:widowControl w:val="0"/>
              <w:jc w:val="center"/>
              <w:rPr>
                <w:b/>
              </w:rPr>
            </w:pPr>
            <w:r w:rsidRPr="00743335">
              <w:rPr>
                <w:b/>
              </w:rPr>
              <w:t>Placebo</w:t>
            </w:r>
          </w:p>
        </w:tc>
        <w:tc>
          <w:tcPr>
            <w:tcW w:w="1435" w:type="pct"/>
            <w:gridSpan w:val="2"/>
          </w:tcPr>
          <w:p w:rsidR="000C3A94" w:rsidRPr="00743335" w:rsidRDefault="000C3A94" w:rsidP="00931011">
            <w:pPr>
              <w:pStyle w:val="TableText"/>
              <w:keepNext w:val="0"/>
              <w:widowControl w:val="0"/>
              <w:jc w:val="center"/>
              <w:rPr>
                <w:b/>
              </w:rPr>
            </w:pPr>
            <w:r w:rsidRPr="00743335">
              <w:rPr>
                <w:b/>
              </w:rPr>
              <w:t>Increment vs</w:t>
            </w:r>
          </w:p>
        </w:tc>
      </w:tr>
      <w:tr w:rsidR="000C3A94" w:rsidRPr="00743335" w:rsidTr="009F203E">
        <w:trPr>
          <w:trHeight w:val="155"/>
        </w:trPr>
        <w:tc>
          <w:tcPr>
            <w:tcW w:w="1320" w:type="pct"/>
            <w:vMerge/>
          </w:tcPr>
          <w:p w:rsidR="000C3A94" w:rsidRPr="00743335" w:rsidRDefault="000C3A94" w:rsidP="00931011">
            <w:pPr>
              <w:pStyle w:val="TableText"/>
              <w:keepNext w:val="0"/>
              <w:widowControl w:val="0"/>
              <w:jc w:val="center"/>
              <w:rPr>
                <w:b/>
              </w:rPr>
            </w:pPr>
          </w:p>
        </w:tc>
        <w:tc>
          <w:tcPr>
            <w:tcW w:w="747" w:type="pct"/>
            <w:vMerge/>
          </w:tcPr>
          <w:p w:rsidR="000C3A94" w:rsidRPr="00743335" w:rsidRDefault="000C3A94" w:rsidP="00931011">
            <w:pPr>
              <w:pStyle w:val="TableText"/>
              <w:keepNext w:val="0"/>
              <w:widowControl w:val="0"/>
              <w:jc w:val="center"/>
              <w:rPr>
                <w:b/>
              </w:rPr>
            </w:pPr>
          </w:p>
        </w:tc>
        <w:tc>
          <w:tcPr>
            <w:tcW w:w="749" w:type="pct"/>
            <w:vMerge/>
          </w:tcPr>
          <w:p w:rsidR="000C3A94" w:rsidRPr="00743335" w:rsidRDefault="000C3A94" w:rsidP="00931011">
            <w:pPr>
              <w:pStyle w:val="TableText"/>
              <w:keepNext w:val="0"/>
              <w:widowControl w:val="0"/>
              <w:jc w:val="center"/>
              <w:rPr>
                <w:b/>
              </w:rPr>
            </w:pPr>
          </w:p>
        </w:tc>
        <w:tc>
          <w:tcPr>
            <w:tcW w:w="749" w:type="pct"/>
            <w:vMerge/>
          </w:tcPr>
          <w:p w:rsidR="000C3A94" w:rsidRPr="00743335" w:rsidRDefault="000C3A94" w:rsidP="00931011">
            <w:pPr>
              <w:pStyle w:val="TableText"/>
              <w:keepNext w:val="0"/>
              <w:widowControl w:val="0"/>
              <w:jc w:val="center"/>
              <w:rPr>
                <w:b/>
              </w:rPr>
            </w:pPr>
          </w:p>
        </w:tc>
        <w:tc>
          <w:tcPr>
            <w:tcW w:w="718" w:type="pct"/>
          </w:tcPr>
          <w:p w:rsidR="000C3A94" w:rsidRPr="00743335" w:rsidRDefault="000C3A94" w:rsidP="00931011">
            <w:pPr>
              <w:pStyle w:val="TableText"/>
              <w:keepNext w:val="0"/>
              <w:widowControl w:val="0"/>
              <w:jc w:val="center"/>
              <w:rPr>
                <w:b/>
              </w:rPr>
            </w:pPr>
            <w:r w:rsidRPr="00743335">
              <w:rPr>
                <w:b/>
              </w:rPr>
              <w:t>Ezetimibe</w:t>
            </w:r>
          </w:p>
        </w:tc>
        <w:tc>
          <w:tcPr>
            <w:tcW w:w="717" w:type="pct"/>
          </w:tcPr>
          <w:p w:rsidR="000C3A94" w:rsidRPr="00743335" w:rsidRDefault="000C3A94" w:rsidP="00931011">
            <w:pPr>
              <w:pStyle w:val="TableText"/>
              <w:keepNext w:val="0"/>
              <w:widowControl w:val="0"/>
              <w:jc w:val="center"/>
              <w:rPr>
                <w:b/>
              </w:rPr>
            </w:pPr>
            <w:r w:rsidRPr="00743335">
              <w:rPr>
                <w:b/>
              </w:rPr>
              <w:t>Placebo</w:t>
            </w:r>
          </w:p>
        </w:tc>
      </w:tr>
      <w:tr w:rsidR="000C3A94" w:rsidRPr="00743335" w:rsidTr="009F203E">
        <w:tc>
          <w:tcPr>
            <w:tcW w:w="5000" w:type="pct"/>
            <w:gridSpan w:val="6"/>
          </w:tcPr>
          <w:p w:rsidR="000C3A94" w:rsidRPr="00743335" w:rsidRDefault="008F3006" w:rsidP="00931011">
            <w:pPr>
              <w:pStyle w:val="TableText"/>
              <w:keepNext w:val="0"/>
              <w:widowControl w:val="0"/>
              <w:jc w:val="both"/>
              <w:rPr>
                <w:b/>
              </w:rPr>
            </w:pPr>
            <w:r w:rsidRPr="00743335">
              <w:rPr>
                <w:b/>
              </w:rPr>
              <w:t>F</w:t>
            </w:r>
            <w:r w:rsidR="000C3A94" w:rsidRPr="00743335">
              <w:rPr>
                <w:b/>
              </w:rPr>
              <w:t>amilial hypercholesterolaemia with atherosclerotic disease</w:t>
            </w:r>
          </w:p>
        </w:tc>
      </w:tr>
      <w:tr w:rsidR="000C3A94" w:rsidRPr="00743335" w:rsidTr="009F203E">
        <w:tc>
          <w:tcPr>
            <w:tcW w:w="1320" w:type="pct"/>
          </w:tcPr>
          <w:p w:rsidR="000C3A94" w:rsidRPr="00743335" w:rsidRDefault="000C3A94" w:rsidP="00931011">
            <w:pPr>
              <w:pStyle w:val="TableText"/>
              <w:keepNext w:val="0"/>
              <w:widowControl w:val="0"/>
            </w:pPr>
            <w:r w:rsidRPr="00743335">
              <w:t>Costs</w:t>
            </w:r>
          </w:p>
        </w:tc>
        <w:tc>
          <w:tcPr>
            <w:tcW w:w="747"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r>
      <w:tr w:rsidR="000C3A94" w:rsidRPr="00743335" w:rsidTr="009F203E">
        <w:tc>
          <w:tcPr>
            <w:tcW w:w="1320" w:type="pct"/>
          </w:tcPr>
          <w:p w:rsidR="000C3A94" w:rsidRPr="00743335" w:rsidRDefault="000C3A94" w:rsidP="00931011">
            <w:pPr>
              <w:pStyle w:val="TableText"/>
              <w:keepNext w:val="0"/>
              <w:widowControl w:val="0"/>
            </w:pPr>
            <w:r w:rsidRPr="00743335">
              <w:t>QALYs</w:t>
            </w:r>
          </w:p>
        </w:tc>
        <w:tc>
          <w:tcPr>
            <w:tcW w:w="747" w:type="pct"/>
          </w:tcPr>
          <w:p w:rsidR="000C3A94" w:rsidRPr="00743335" w:rsidRDefault="000C3A94" w:rsidP="00931011">
            <w:pPr>
              <w:pStyle w:val="TableText"/>
              <w:keepNext w:val="0"/>
              <w:widowControl w:val="0"/>
              <w:jc w:val="center"/>
            </w:pPr>
            <w:r w:rsidRPr="00743335">
              <w:t>8.106</w:t>
            </w:r>
          </w:p>
        </w:tc>
        <w:tc>
          <w:tcPr>
            <w:tcW w:w="749" w:type="pct"/>
          </w:tcPr>
          <w:p w:rsidR="000C3A94" w:rsidRPr="00743335" w:rsidRDefault="000C3A94" w:rsidP="00931011">
            <w:pPr>
              <w:pStyle w:val="TableText"/>
              <w:keepNext w:val="0"/>
              <w:widowControl w:val="0"/>
              <w:jc w:val="center"/>
            </w:pPr>
            <w:r w:rsidRPr="00743335">
              <w:t>6.907</w:t>
            </w:r>
          </w:p>
        </w:tc>
        <w:tc>
          <w:tcPr>
            <w:tcW w:w="749" w:type="pct"/>
          </w:tcPr>
          <w:p w:rsidR="000C3A94" w:rsidRPr="00743335" w:rsidRDefault="000C3A94" w:rsidP="00931011">
            <w:pPr>
              <w:pStyle w:val="TableText"/>
              <w:keepNext w:val="0"/>
              <w:widowControl w:val="0"/>
              <w:jc w:val="center"/>
            </w:pPr>
            <w:r w:rsidRPr="00743335">
              <w:t>6.300</w:t>
            </w:r>
          </w:p>
        </w:tc>
        <w:tc>
          <w:tcPr>
            <w:tcW w:w="718" w:type="pct"/>
          </w:tcPr>
          <w:p w:rsidR="000C3A94" w:rsidRPr="00743335" w:rsidRDefault="000C3A94" w:rsidP="00931011">
            <w:pPr>
              <w:pStyle w:val="TableText"/>
              <w:keepNext w:val="0"/>
              <w:widowControl w:val="0"/>
              <w:jc w:val="center"/>
            </w:pPr>
            <w:r w:rsidRPr="00743335">
              <w:t>1.199</w:t>
            </w:r>
          </w:p>
        </w:tc>
        <w:tc>
          <w:tcPr>
            <w:tcW w:w="717" w:type="pct"/>
          </w:tcPr>
          <w:p w:rsidR="000C3A94" w:rsidRPr="00743335" w:rsidRDefault="000C3A94" w:rsidP="00931011">
            <w:pPr>
              <w:pStyle w:val="TableText"/>
              <w:keepNext w:val="0"/>
              <w:widowControl w:val="0"/>
              <w:jc w:val="center"/>
            </w:pPr>
            <w:r w:rsidRPr="00743335">
              <w:t>1.807</w:t>
            </w:r>
          </w:p>
        </w:tc>
      </w:tr>
      <w:tr w:rsidR="000C3A94" w:rsidRPr="00743335" w:rsidTr="009F203E">
        <w:tc>
          <w:tcPr>
            <w:tcW w:w="3565" w:type="pct"/>
            <w:gridSpan w:val="4"/>
          </w:tcPr>
          <w:p w:rsidR="000C3A94" w:rsidRPr="00743335" w:rsidRDefault="000C3A94" w:rsidP="00931011">
            <w:pPr>
              <w:pStyle w:val="TableText"/>
              <w:keepNext w:val="0"/>
              <w:widowControl w:val="0"/>
              <w:jc w:val="right"/>
              <w:rPr>
                <w:b/>
              </w:rPr>
            </w:pPr>
            <w:r w:rsidRPr="00743335">
              <w:rPr>
                <w:b/>
              </w:rPr>
              <w:t>Incremental cost per QALY gained</w:t>
            </w:r>
          </w:p>
        </w:tc>
        <w:tc>
          <w:tcPr>
            <w:tcW w:w="718"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0C3A94" w:rsidRPr="007F7043" w:rsidRDefault="007F7043" w:rsidP="00931011">
            <w:pPr>
              <w:pStyle w:val="TableText"/>
              <w:keepNext w:val="0"/>
              <w:widowControl w:val="0"/>
              <w:jc w:val="center"/>
              <w:rPr>
                <w:highlight w:val="black"/>
              </w:rPr>
            </w:pPr>
            <w:r>
              <w:rPr>
                <w:noProof/>
                <w:color w:val="000000"/>
                <w:highlight w:val="black"/>
              </w:rPr>
              <w:t>'''''''''''''''''''''</w:t>
            </w:r>
          </w:p>
        </w:tc>
      </w:tr>
      <w:tr w:rsidR="008F3006" w:rsidRPr="00743335" w:rsidTr="009F203E">
        <w:tc>
          <w:tcPr>
            <w:tcW w:w="5000" w:type="pct"/>
            <w:gridSpan w:val="6"/>
          </w:tcPr>
          <w:p w:rsidR="008F3006" w:rsidRPr="00743335" w:rsidRDefault="008F3006" w:rsidP="00931011">
            <w:pPr>
              <w:pStyle w:val="TableText"/>
              <w:keepNext w:val="0"/>
              <w:widowControl w:val="0"/>
              <w:jc w:val="both"/>
              <w:rPr>
                <w:b/>
              </w:rPr>
            </w:pPr>
            <w:r w:rsidRPr="00743335">
              <w:rPr>
                <w:b/>
              </w:rPr>
              <w:t xml:space="preserve">Familial hypercholesterolaemia with very high </w:t>
            </w:r>
            <w:r w:rsidR="00FD3D08" w:rsidRPr="00743335">
              <w:rPr>
                <w:b/>
              </w:rPr>
              <w:t>LDL-c</w:t>
            </w:r>
          </w:p>
        </w:tc>
      </w:tr>
      <w:tr w:rsidR="008F3006" w:rsidRPr="00743335" w:rsidTr="009F203E">
        <w:tc>
          <w:tcPr>
            <w:tcW w:w="1320" w:type="pct"/>
          </w:tcPr>
          <w:p w:rsidR="008F3006" w:rsidRPr="00743335" w:rsidRDefault="008F3006" w:rsidP="00931011">
            <w:pPr>
              <w:pStyle w:val="TableText"/>
              <w:keepNext w:val="0"/>
              <w:widowControl w:val="0"/>
            </w:pPr>
            <w:r w:rsidRPr="00743335">
              <w:t>Costs</w:t>
            </w:r>
          </w:p>
        </w:tc>
        <w:tc>
          <w:tcPr>
            <w:tcW w:w="74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r>
      <w:tr w:rsidR="008F3006" w:rsidRPr="00743335" w:rsidTr="009F203E">
        <w:tc>
          <w:tcPr>
            <w:tcW w:w="1320" w:type="pct"/>
          </w:tcPr>
          <w:p w:rsidR="008F3006" w:rsidRPr="00743335" w:rsidRDefault="008F3006" w:rsidP="00931011">
            <w:pPr>
              <w:pStyle w:val="TableText"/>
              <w:keepNext w:val="0"/>
              <w:widowControl w:val="0"/>
            </w:pPr>
            <w:r w:rsidRPr="00743335">
              <w:t>QALYs</w:t>
            </w:r>
          </w:p>
        </w:tc>
        <w:tc>
          <w:tcPr>
            <w:tcW w:w="747" w:type="pct"/>
          </w:tcPr>
          <w:p w:rsidR="008F3006" w:rsidRPr="00743335" w:rsidRDefault="008F3006" w:rsidP="00931011">
            <w:pPr>
              <w:pStyle w:val="TableText"/>
              <w:keepNext w:val="0"/>
              <w:widowControl w:val="0"/>
              <w:jc w:val="center"/>
            </w:pPr>
            <w:r w:rsidRPr="00743335">
              <w:t>11.553</w:t>
            </w:r>
          </w:p>
        </w:tc>
        <w:tc>
          <w:tcPr>
            <w:tcW w:w="749" w:type="pct"/>
          </w:tcPr>
          <w:p w:rsidR="008F3006" w:rsidRPr="00743335" w:rsidRDefault="008F3006" w:rsidP="00931011">
            <w:pPr>
              <w:pStyle w:val="TableText"/>
              <w:keepNext w:val="0"/>
              <w:widowControl w:val="0"/>
              <w:jc w:val="center"/>
            </w:pPr>
            <w:r w:rsidRPr="00743335">
              <w:t>10.026</w:t>
            </w:r>
          </w:p>
        </w:tc>
        <w:tc>
          <w:tcPr>
            <w:tcW w:w="749" w:type="pct"/>
          </w:tcPr>
          <w:p w:rsidR="008F3006" w:rsidRPr="00743335" w:rsidRDefault="008F3006" w:rsidP="00931011">
            <w:pPr>
              <w:pStyle w:val="TableText"/>
              <w:keepNext w:val="0"/>
              <w:widowControl w:val="0"/>
              <w:jc w:val="center"/>
            </w:pPr>
            <w:r w:rsidRPr="00743335">
              <w:t>9.154</w:t>
            </w:r>
          </w:p>
        </w:tc>
        <w:tc>
          <w:tcPr>
            <w:tcW w:w="718" w:type="pct"/>
          </w:tcPr>
          <w:p w:rsidR="008F3006" w:rsidRPr="00743335" w:rsidRDefault="008F3006" w:rsidP="00931011">
            <w:pPr>
              <w:pStyle w:val="TableText"/>
              <w:keepNext w:val="0"/>
              <w:widowControl w:val="0"/>
              <w:jc w:val="center"/>
            </w:pPr>
            <w:r w:rsidRPr="00743335">
              <w:t>1.528</w:t>
            </w:r>
          </w:p>
        </w:tc>
        <w:tc>
          <w:tcPr>
            <w:tcW w:w="717" w:type="pct"/>
          </w:tcPr>
          <w:p w:rsidR="008F3006" w:rsidRPr="00743335" w:rsidRDefault="008F3006" w:rsidP="00931011">
            <w:pPr>
              <w:pStyle w:val="TableText"/>
              <w:keepNext w:val="0"/>
              <w:widowControl w:val="0"/>
              <w:jc w:val="center"/>
            </w:pPr>
            <w:r w:rsidRPr="00743335">
              <w:t>2.399</w:t>
            </w:r>
          </w:p>
        </w:tc>
      </w:tr>
      <w:tr w:rsidR="008F3006" w:rsidRPr="00743335" w:rsidTr="009F203E">
        <w:tc>
          <w:tcPr>
            <w:tcW w:w="3565" w:type="pct"/>
            <w:gridSpan w:val="4"/>
          </w:tcPr>
          <w:p w:rsidR="008F3006" w:rsidRPr="00743335" w:rsidRDefault="008F3006" w:rsidP="00931011">
            <w:pPr>
              <w:pStyle w:val="TableText"/>
              <w:keepNext w:val="0"/>
              <w:widowControl w:val="0"/>
              <w:jc w:val="right"/>
              <w:rPr>
                <w:b/>
              </w:rPr>
            </w:pPr>
            <w:r w:rsidRPr="00743335">
              <w:rPr>
                <w:b/>
              </w:rPr>
              <w:t>Incremental cost per QALY gained</w:t>
            </w:r>
          </w:p>
        </w:tc>
        <w:tc>
          <w:tcPr>
            <w:tcW w:w="718"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r>
      <w:tr w:rsidR="008F3006" w:rsidRPr="00743335" w:rsidTr="009F203E">
        <w:tc>
          <w:tcPr>
            <w:tcW w:w="5000" w:type="pct"/>
            <w:gridSpan w:val="6"/>
          </w:tcPr>
          <w:p w:rsidR="008F3006" w:rsidRPr="00743335" w:rsidRDefault="008F3006" w:rsidP="00931011">
            <w:pPr>
              <w:pStyle w:val="TableText"/>
              <w:keepNext w:val="0"/>
              <w:widowControl w:val="0"/>
              <w:jc w:val="both"/>
              <w:rPr>
                <w:b/>
              </w:rPr>
            </w:pPr>
            <w:r w:rsidRPr="00743335">
              <w:rPr>
                <w:b/>
              </w:rPr>
              <w:t>Non-familial hypercholesterolaemia with atherosclerotic disease</w:t>
            </w:r>
          </w:p>
        </w:tc>
      </w:tr>
      <w:tr w:rsidR="008F3006" w:rsidRPr="00743335" w:rsidTr="009F203E">
        <w:tc>
          <w:tcPr>
            <w:tcW w:w="1320" w:type="pct"/>
          </w:tcPr>
          <w:p w:rsidR="008F3006" w:rsidRPr="00743335" w:rsidRDefault="008F3006" w:rsidP="00931011">
            <w:pPr>
              <w:pStyle w:val="TableText"/>
              <w:keepNext w:val="0"/>
              <w:widowControl w:val="0"/>
            </w:pPr>
            <w:r w:rsidRPr="00743335">
              <w:t>Costs</w:t>
            </w:r>
          </w:p>
        </w:tc>
        <w:tc>
          <w:tcPr>
            <w:tcW w:w="74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r>
      <w:tr w:rsidR="008F3006" w:rsidRPr="00743335" w:rsidTr="009F203E">
        <w:tc>
          <w:tcPr>
            <w:tcW w:w="1320" w:type="pct"/>
          </w:tcPr>
          <w:p w:rsidR="008F3006" w:rsidRPr="00743335" w:rsidRDefault="008F3006" w:rsidP="00931011">
            <w:pPr>
              <w:pStyle w:val="TableText"/>
              <w:keepNext w:val="0"/>
              <w:widowControl w:val="0"/>
            </w:pPr>
            <w:r w:rsidRPr="00743335">
              <w:t>QALYs</w:t>
            </w:r>
          </w:p>
        </w:tc>
        <w:tc>
          <w:tcPr>
            <w:tcW w:w="747" w:type="pct"/>
          </w:tcPr>
          <w:p w:rsidR="008F3006" w:rsidRPr="00743335" w:rsidRDefault="008F3006" w:rsidP="00931011">
            <w:pPr>
              <w:pStyle w:val="TableText"/>
              <w:keepNext w:val="0"/>
              <w:widowControl w:val="0"/>
              <w:jc w:val="center"/>
            </w:pPr>
            <w:r w:rsidRPr="00743335">
              <w:t>9.209</w:t>
            </w:r>
          </w:p>
        </w:tc>
        <w:tc>
          <w:tcPr>
            <w:tcW w:w="749" w:type="pct"/>
          </w:tcPr>
          <w:p w:rsidR="008F3006" w:rsidRPr="00743335" w:rsidRDefault="008F3006" w:rsidP="00931011">
            <w:pPr>
              <w:pStyle w:val="TableText"/>
              <w:keepNext w:val="0"/>
              <w:widowControl w:val="0"/>
              <w:jc w:val="center"/>
            </w:pPr>
            <w:r w:rsidRPr="00743335">
              <w:t>8.361</w:t>
            </w:r>
          </w:p>
        </w:tc>
        <w:tc>
          <w:tcPr>
            <w:tcW w:w="749" w:type="pct"/>
          </w:tcPr>
          <w:p w:rsidR="008F3006" w:rsidRPr="00743335" w:rsidRDefault="008F3006" w:rsidP="00931011">
            <w:pPr>
              <w:pStyle w:val="TableText"/>
              <w:keepNext w:val="0"/>
              <w:widowControl w:val="0"/>
              <w:jc w:val="center"/>
            </w:pPr>
            <w:r w:rsidRPr="00743335">
              <w:t>7.883</w:t>
            </w:r>
          </w:p>
        </w:tc>
        <w:tc>
          <w:tcPr>
            <w:tcW w:w="718" w:type="pct"/>
          </w:tcPr>
          <w:p w:rsidR="008F3006" w:rsidRPr="00743335" w:rsidRDefault="008F3006" w:rsidP="00931011">
            <w:pPr>
              <w:pStyle w:val="TableText"/>
              <w:keepNext w:val="0"/>
              <w:widowControl w:val="0"/>
              <w:jc w:val="center"/>
            </w:pPr>
            <w:r w:rsidRPr="00743335">
              <w:t>0.848</w:t>
            </w:r>
          </w:p>
        </w:tc>
        <w:tc>
          <w:tcPr>
            <w:tcW w:w="717" w:type="pct"/>
          </w:tcPr>
          <w:p w:rsidR="008F3006" w:rsidRPr="00743335" w:rsidRDefault="008F3006" w:rsidP="00931011">
            <w:pPr>
              <w:pStyle w:val="TableText"/>
              <w:keepNext w:val="0"/>
              <w:widowControl w:val="0"/>
              <w:jc w:val="center"/>
            </w:pPr>
            <w:r w:rsidRPr="00743335">
              <w:t>1.326</w:t>
            </w:r>
          </w:p>
        </w:tc>
      </w:tr>
      <w:tr w:rsidR="008F3006" w:rsidRPr="00743335" w:rsidTr="009F203E">
        <w:tc>
          <w:tcPr>
            <w:tcW w:w="3565" w:type="pct"/>
            <w:gridSpan w:val="4"/>
          </w:tcPr>
          <w:p w:rsidR="008F3006" w:rsidRPr="00743335" w:rsidRDefault="008F3006" w:rsidP="00931011">
            <w:pPr>
              <w:pStyle w:val="TableText"/>
              <w:keepNext w:val="0"/>
              <w:widowControl w:val="0"/>
              <w:jc w:val="right"/>
              <w:rPr>
                <w:b/>
              </w:rPr>
            </w:pPr>
            <w:r w:rsidRPr="00743335">
              <w:rPr>
                <w:b/>
              </w:rPr>
              <w:t>Incremental cost per QALY gained</w:t>
            </w:r>
          </w:p>
        </w:tc>
        <w:tc>
          <w:tcPr>
            <w:tcW w:w="718"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8F3006" w:rsidRPr="007F7043" w:rsidRDefault="007F7043" w:rsidP="00931011">
            <w:pPr>
              <w:pStyle w:val="TableText"/>
              <w:keepNext w:val="0"/>
              <w:widowControl w:val="0"/>
              <w:jc w:val="center"/>
              <w:rPr>
                <w:highlight w:val="black"/>
              </w:rPr>
            </w:pPr>
            <w:r>
              <w:rPr>
                <w:noProof/>
                <w:color w:val="000000"/>
                <w:highlight w:val="black"/>
              </w:rPr>
              <w:t>''''''''''''''''''''''</w:t>
            </w:r>
          </w:p>
        </w:tc>
      </w:tr>
    </w:tbl>
    <w:p w:rsidR="000C3A94" w:rsidRPr="00743335" w:rsidRDefault="000C3A94" w:rsidP="000C3A94">
      <w:pPr>
        <w:pStyle w:val="TableFooter"/>
      </w:pPr>
      <w:r w:rsidRPr="00743335">
        <w:t>Abbreviations: QALYs, quality-adjusted life years</w:t>
      </w:r>
    </w:p>
    <w:p w:rsidR="000C3A94" w:rsidRDefault="000C3A94" w:rsidP="008F3006">
      <w:pPr>
        <w:pStyle w:val="TableFooter"/>
      </w:pPr>
      <w:r w:rsidRPr="00743335">
        <w:t>Source: Constructed during the evaluation based on data from the ‘Evolocu</w:t>
      </w:r>
      <w:r w:rsidR="008F3006" w:rsidRPr="00743335">
        <w:t>mab Model Nov17’ Excel workbook</w:t>
      </w:r>
    </w:p>
    <w:p w:rsidR="003619BC" w:rsidRDefault="003619BC" w:rsidP="008F3006">
      <w:pPr>
        <w:pStyle w:val="TableFooter"/>
      </w:pPr>
    </w:p>
    <w:p w:rsidR="003619BC" w:rsidRDefault="003619BC" w:rsidP="008F3006">
      <w:pPr>
        <w:pStyle w:val="TableFooter"/>
        <w:rPr>
          <w:rFonts w:asciiTheme="minorHAnsi" w:eastAsiaTheme="minorHAnsi" w:hAnsiTheme="minorHAnsi" w:cstheme="minorBidi"/>
          <w:snapToGrid/>
          <w:sz w:val="24"/>
          <w:szCs w:val="22"/>
        </w:rPr>
      </w:pPr>
      <w:r w:rsidRPr="00437743">
        <w:rPr>
          <w:rFonts w:asciiTheme="minorHAnsi" w:eastAsiaTheme="minorHAnsi" w:hAnsiTheme="minorHAnsi" w:cstheme="minorBidi"/>
          <w:snapToGrid/>
          <w:sz w:val="24"/>
          <w:szCs w:val="22"/>
        </w:rPr>
        <w:t>The redacted table shows ICERs in the range of $15,000/QALY - $</w:t>
      </w:r>
      <w:r>
        <w:rPr>
          <w:rFonts w:asciiTheme="minorHAnsi" w:eastAsiaTheme="minorHAnsi" w:hAnsiTheme="minorHAnsi" w:cstheme="minorBidi"/>
          <w:snapToGrid/>
          <w:sz w:val="24"/>
          <w:szCs w:val="22"/>
        </w:rPr>
        <w:t>45,000</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QALY and </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4</w:t>
      </w:r>
      <w:r w:rsidRPr="00437743">
        <w:rPr>
          <w:rFonts w:asciiTheme="minorHAnsi" w:eastAsiaTheme="minorHAnsi" w:hAnsiTheme="minorHAnsi" w:cstheme="minorBidi"/>
          <w:snapToGrid/>
          <w:sz w:val="24"/>
          <w:szCs w:val="22"/>
        </w:rPr>
        <w:t>5,000/QALY - $</w:t>
      </w:r>
      <w:r>
        <w:rPr>
          <w:rFonts w:asciiTheme="minorHAnsi" w:eastAsiaTheme="minorHAnsi" w:hAnsiTheme="minorHAnsi" w:cstheme="minorBidi"/>
          <w:snapToGrid/>
          <w:sz w:val="24"/>
          <w:szCs w:val="22"/>
        </w:rPr>
        <w:t>75,000</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QALY</w:t>
      </w:r>
      <w:r w:rsidRPr="00437743">
        <w:rPr>
          <w:rFonts w:asciiTheme="minorHAnsi" w:eastAsiaTheme="minorHAnsi" w:hAnsiTheme="minorHAnsi" w:cstheme="minorBidi"/>
          <w:snapToGrid/>
          <w:sz w:val="24"/>
          <w:szCs w:val="22"/>
        </w:rPr>
        <w:t>, for familial hypercholesterolaemia with atherosclerotic disease</w:t>
      </w:r>
      <w:r>
        <w:rPr>
          <w:rFonts w:asciiTheme="minorHAnsi" w:eastAsiaTheme="minorHAnsi" w:hAnsiTheme="minorHAnsi" w:cstheme="minorBidi"/>
          <w:snapToGrid/>
          <w:sz w:val="24"/>
          <w:szCs w:val="22"/>
        </w:rPr>
        <w:t xml:space="preserve">, </w:t>
      </w:r>
      <w:r w:rsidRPr="00437743">
        <w:rPr>
          <w:rFonts w:asciiTheme="minorHAnsi" w:eastAsiaTheme="minorHAnsi" w:hAnsiTheme="minorHAnsi" w:cstheme="minorBidi"/>
          <w:snapToGrid/>
          <w:sz w:val="24"/>
          <w:szCs w:val="22"/>
        </w:rPr>
        <w:t>$15,000/QALY - $</w:t>
      </w:r>
      <w:r>
        <w:rPr>
          <w:rFonts w:asciiTheme="minorHAnsi" w:eastAsiaTheme="minorHAnsi" w:hAnsiTheme="minorHAnsi" w:cstheme="minorBidi"/>
          <w:snapToGrid/>
          <w:sz w:val="24"/>
          <w:szCs w:val="22"/>
        </w:rPr>
        <w:t>45,000</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QALY</w:t>
      </w:r>
      <w:r w:rsidRPr="00437743">
        <w:rPr>
          <w:rFonts w:asciiTheme="minorHAnsi" w:eastAsiaTheme="minorHAnsi" w:hAnsiTheme="minorHAnsi" w:cstheme="minorBidi"/>
          <w:snapToGrid/>
          <w:sz w:val="24"/>
          <w:szCs w:val="22"/>
        </w:rPr>
        <w:t xml:space="preserve"> and familial hypercholesterolaemia with very high LDL-c, and $15,000/QALY - $</w:t>
      </w:r>
      <w:r>
        <w:rPr>
          <w:rFonts w:asciiTheme="minorHAnsi" w:eastAsiaTheme="minorHAnsi" w:hAnsiTheme="minorHAnsi" w:cstheme="minorBidi"/>
          <w:snapToGrid/>
          <w:sz w:val="24"/>
          <w:szCs w:val="22"/>
        </w:rPr>
        <w:t>45,000</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QALY and </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4</w:t>
      </w:r>
      <w:r w:rsidRPr="00437743">
        <w:rPr>
          <w:rFonts w:asciiTheme="minorHAnsi" w:eastAsiaTheme="minorHAnsi" w:hAnsiTheme="minorHAnsi" w:cstheme="minorBidi"/>
          <w:snapToGrid/>
          <w:sz w:val="24"/>
          <w:szCs w:val="22"/>
        </w:rPr>
        <w:t>5,000/QALY - $</w:t>
      </w:r>
      <w:r>
        <w:rPr>
          <w:rFonts w:asciiTheme="minorHAnsi" w:eastAsiaTheme="minorHAnsi" w:hAnsiTheme="minorHAnsi" w:cstheme="minorBidi"/>
          <w:snapToGrid/>
          <w:sz w:val="24"/>
          <w:szCs w:val="22"/>
        </w:rPr>
        <w:t>75,000</w:t>
      </w:r>
      <w:r w:rsidRPr="0043774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QALY</w:t>
      </w:r>
      <w:r w:rsidRPr="00437743">
        <w:rPr>
          <w:rFonts w:asciiTheme="minorHAnsi" w:eastAsiaTheme="minorHAnsi" w:hAnsiTheme="minorHAnsi" w:cstheme="minorBidi"/>
          <w:snapToGrid/>
          <w:sz w:val="24"/>
          <w:szCs w:val="22"/>
        </w:rPr>
        <w:t xml:space="preserve"> for non-familial hypercholesterolaemia with atherosclerotic disease</w:t>
      </w:r>
      <w:r>
        <w:rPr>
          <w:rFonts w:asciiTheme="minorHAnsi" w:eastAsiaTheme="minorHAnsi" w:hAnsiTheme="minorHAnsi" w:cstheme="minorBidi"/>
          <w:snapToGrid/>
          <w:sz w:val="24"/>
          <w:szCs w:val="22"/>
        </w:rPr>
        <w:t>.</w:t>
      </w:r>
    </w:p>
    <w:p w:rsidR="003619BC" w:rsidRPr="00743335" w:rsidRDefault="003619BC" w:rsidP="008F3006">
      <w:pPr>
        <w:pStyle w:val="TableFooter"/>
      </w:pPr>
    </w:p>
    <w:p w:rsidR="008F3006" w:rsidRPr="00743335" w:rsidRDefault="008F3006" w:rsidP="003D14A1">
      <w:pPr>
        <w:pStyle w:val="ListParagraph"/>
        <w:numPr>
          <w:ilvl w:val="1"/>
          <w:numId w:val="1"/>
        </w:numPr>
        <w:spacing w:before="0" w:after="120"/>
        <w:ind w:left="709" w:hanging="709"/>
        <w:jc w:val="both"/>
      </w:pPr>
      <w:r w:rsidRPr="00743335">
        <w:t xml:space="preserve">The modelled baseline </w:t>
      </w:r>
      <w:r w:rsidR="00FD3D08" w:rsidRPr="00743335">
        <w:t>LDL-c</w:t>
      </w:r>
      <w:r w:rsidRPr="00743335">
        <w:t xml:space="preserve"> cholesterol level, the modelled cardiovascular event rate, the modelled distribution of cardiac events and the extrapolation of the modelled time horizon to 35 years had the largest impact on the stepped economic evaluation.</w:t>
      </w:r>
    </w:p>
    <w:p w:rsidR="00566C01" w:rsidRPr="00743335" w:rsidRDefault="00566C01" w:rsidP="003D14A1">
      <w:pPr>
        <w:pStyle w:val="ListParagraph"/>
        <w:numPr>
          <w:ilvl w:val="1"/>
          <w:numId w:val="1"/>
        </w:numPr>
        <w:spacing w:before="0" w:after="120"/>
        <w:ind w:left="709" w:hanging="709"/>
        <w:jc w:val="both"/>
      </w:pPr>
      <w:r w:rsidRPr="00743335">
        <w:t xml:space="preserve">The results of sensitivity analyses conducted during the evaluation indicated that the model was most sensitive to the assumed reduction in coronary death associated with </w:t>
      </w:r>
      <w:r w:rsidR="00FD3D08" w:rsidRPr="00743335">
        <w:t>LDL-c</w:t>
      </w:r>
      <w:r w:rsidRPr="00743335">
        <w:t xml:space="preserve"> lowering. Neither evolocumab nor ezetimibe have demonstrated a reduction in cardiovascular death.</w:t>
      </w:r>
    </w:p>
    <w:p w:rsidR="00566C01" w:rsidRPr="00743335" w:rsidRDefault="009F203E" w:rsidP="00ED5118">
      <w:pPr>
        <w:pStyle w:val="TableHeading0"/>
        <w:jc w:val="both"/>
      </w:pPr>
      <w:r w:rsidRPr="00743335">
        <w:t>Table 10</w:t>
      </w:r>
      <w:r w:rsidR="00566C01" w:rsidRPr="00743335">
        <w:t>: Summary results of sensitivity analyses removing coronary death treatment effects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5"/>
        <w:gridCol w:w="1356"/>
        <w:gridCol w:w="1359"/>
        <w:gridCol w:w="1359"/>
        <w:gridCol w:w="1303"/>
        <w:gridCol w:w="1301"/>
      </w:tblGrid>
      <w:tr w:rsidR="00566C01" w:rsidRPr="00743335" w:rsidTr="009F203E">
        <w:trPr>
          <w:trHeight w:val="155"/>
        </w:trPr>
        <w:tc>
          <w:tcPr>
            <w:tcW w:w="1320" w:type="pct"/>
            <w:vMerge w:val="restart"/>
            <w:vAlign w:val="center"/>
          </w:tcPr>
          <w:p w:rsidR="00566C01" w:rsidRPr="00743335" w:rsidRDefault="00566C01" w:rsidP="00931011">
            <w:pPr>
              <w:pStyle w:val="TableText"/>
              <w:keepNext w:val="0"/>
              <w:widowControl w:val="0"/>
              <w:jc w:val="center"/>
              <w:rPr>
                <w:b/>
              </w:rPr>
            </w:pPr>
            <w:r w:rsidRPr="00743335">
              <w:rPr>
                <w:b/>
              </w:rPr>
              <w:t>Type of resource item</w:t>
            </w:r>
          </w:p>
        </w:tc>
        <w:tc>
          <w:tcPr>
            <w:tcW w:w="747" w:type="pct"/>
            <w:vMerge w:val="restart"/>
            <w:vAlign w:val="center"/>
          </w:tcPr>
          <w:p w:rsidR="00566C01" w:rsidRPr="00743335" w:rsidRDefault="00566C01" w:rsidP="00931011">
            <w:pPr>
              <w:pStyle w:val="TableText"/>
              <w:keepNext w:val="0"/>
              <w:widowControl w:val="0"/>
              <w:jc w:val="center"/>
              <w:rPr>
                <w:b/>
              </w:rPr>
            </w:pPr>
            <w:r w:rsidRPr="00743335">
              <w:rPr>
                <w:b/>
              </w:rPr>
              <w:t>Evolocumab</w:t>
            </w:r>
          </w:p>
        </w:tc>
        <w:tc>
          <w:tcPr>
            <w:tcW w:w="749" w:type="pct"/>
            <w:vMerge w:val="restart"/>
            <w:vAlign w:val="center"/>
          </w:tcPr>
          <w:p w:rsidR="00566C01" w:rsidRPr="00743335" w:rsidRDefault="00566C01" w:rsidP="00931011">
            <w:pPr>
              <w:pStyle w:val="TableText"/>
              <w:keepNext w:val="0"/>
              <w:widowControl w:val="0"/>
              <w:jc w:val="center"/>
              <w:rPr>
                <w:b/>
              </w:rPr>
            </w:pPr>
            <w:r w:rsidRPr="00743335">
              <w:rPr>
                <w:b/>
              </w:rPr>
              <w:t>Ezetimibe</w:t>
            </w:r>
          </w:p>
        </w:tc>
        <w:tc>
          <w:tcPr>
            <w:tcW w:w="749" w:type="pct"/>
            <w:vMerge w:val="restart"/>
            <w:vAlign w:val="center"/>
          </w:tcPr>
          <w:p w:rsidR="00566C01" w:rsidRPr="00743335" w:rsidRDefault="00566C01" w:rsidP="00931011">
            <w:pPr>
              <w:pStyle w:val="TableText"/>
              <w:keepNext w:val="0"/>
              <w:widowControl w:val="0"/>
              <w:jc w:val="center"/>
              <w:rPr>
                <w:b/>
              </w:rPr>
            </w:pPr>
            <w:r w:rsidRPr="00743335">
              <w:rPr>
                <w:b/>
              </w:rPr>
              <w:t>Placebo</w:t>
            </w:r>
          </w:p>
        </w:tc>
        <w:tc>
          <w:tcPr>
            <w:tcW w:w="1435" w:type="pct"/>
            <w:gridSpan w:val="2"/>
          </w:tcPr>
          <w:p w:rsidR="00566C01" w:rsidRPr="00743335" w:rsidRDefault="00566C01" w:rsidP="00931011">
            <w:pPr>
              <w:pStyle w:val="TableText"/>
              <w:keepNext w:val="0"/>
              <w:widowControl w:val="0"/>
              <w:jc w:val="center"/>
              <w:rPr>
                <w:b/>
              </w:rPr>
            </w:pPr>
            <w:r w:rsidRPr="00743335">
              <w:rPr>
                <w:b/>
              </w:rPr>
              <w:t>Increment vs</w:t>
            </w:r>
          </w:p>
        </w:tc>
      </w:tr>
      <w:tr w:rsidR="00566C01" w:rsidRPr="00743335" w:rsidTr="009F203E">
        <w:trPr>
          <w:trHeight w:val="155"/>
        </w:trPr>
        <w:tc>
          <w:tcPr>
            <w:tcW w:w="1320" w:type="pct"/>
            <w:vMerge/>
          </w:tcPr>
          <w:p w:rsidR="00566C01" w:rsidRPr="00743335" w:rsidRDefault="00566C01" w:rsidP="00931011">
            <w:pPr>
              <w:pStyle w:val="TableText"/>
              <w:keepNext w:val="0"/>
              <w:widowControl w:val="0"/>
              <w:jc w:val="center"/>
              <w:rPr>
                <w:b/>
              </w:rPr>
            </w:pPr>
          </w:p>
        </w:tc>
        <w:tc>
          <w:tcPr>
            <w:tcW w:w="747" w:type="pct"/>
            <w:vMerge/>
          </w:tcPr>
          <w:p w:rsidR="00566C01" w:rsidRPr="00743335" w:rsidRDefault="00566C01" w:rsidP="00931011">
            <w:pPr>
              <w:pStyle w:val="TableText"/>
              <w:keepNext w:val="0"/>
              <w:widowControl w:val="0"/>
              <w:jc w:val="center"/>
              <w:rPr>
                <w:b/>
              </w:rPr>
            </w:pPr>
          </w:p>
        </w:tc>
        <w:tc>
          <w:tcPr>
            <w:tcW w:w="749" w:type="pct"/>
            <w:vMerge/>
          </w:tcPr>
          <w:p w:rsidR="00566C01" w:rsidRPr="00743335" w:rsidRDefault="00566C01" w:rsidP="00931011">
            <w:pPr>
              <w:pStyle w:val="TableText"/>
              <w:keepNext w:val="0"/>
              <w:widowControl w:val="0"/>
              <w:jc w:val="center"/>
              <w:rPr>
                <w:b/>
              </w:rPr>
            </w:pPr>
          </w:p>
        </w:tc>
        <w:tc>
          <w:tcPr>
            <w:tcW w:w="749" w:type="pct"/>
            <w:vMerge/>
          </w:tcPr>
          <w:p w:rsidR="00566C01" w:rsidRPr="00743335" w:rsidRDefault="00566C01" w:rsidP="00931011">
            <w:pPr>
              <w:pStyle w:val="TableText"/>
              <w:keepNext w:val="0"/>
              <w:widowControl w:val="0"/>
              <w:jc w:val="center"/>
              <w:rPr>
                <w:b/>
              </w:rPr>
            </w:pPr>
          </w:p>
        </w:tc>
        <w:tc>
          <w:tcPr>
            <w:tcW w:w="718" w:type="pct"/>
          </w:tcPr>
          <w:p w:rsidR="00566C01" w:rsidRPr="00743335" w:rsidRDefault="00566C01" w:rsidP="00931011">
            <w:pPr>
              <w:pStyle w:val="TableText"/>
              <w:keepNext w:val="0"/>
              <w:widowControl w:val="0"/>
              <w:jc w:val="center"/>
              <w:rPr>
                <w:b/>
              </w:rPr>
            </w:pPr>
            <w:r w:rsidRPr="00743335">
              <w:rPr>
                <w:b/>
              </w:rPr>
              <w:t>Ezetimibe</w:t>
            </w:r>
          </w:p>
        </w:tc>
        <w:tc>
          <w:tcPr>
            <w:tcW w:w="717" w:type="pct"/>
          </w:tcPr>
          <w:p w:rsidR="00566C01" w:rsidRPr="00743335" w:rsidRDefault="00566C01" w:rsidP="00931011">
            <w:pPr>
              <w:pStyle w:val="TableText"/>
              <w:keepNext w:val="0"/>
              <w:widowControl w:val="0"/>
              <w:jc w:val="center"/>
              <w:rPr>
                <w:b/>
              </w:rPr>
            </w:pPr>
            <w:r w:rsidRPr="00743335">
              <w:rPr>
                <w:b/>
              </w:rPr>
              <w:t>Placebo</w:t>
            </w:r>
          </w:p>
        </w:tc>
      </w:tr>
      <w:tr w:rsidR="00566C01" w:rsidRPr="00743335" w:rsidTr="009F203E">
        <w:tc>
          <w:tcPr>
            <w:tcW w:w="5000" w:type="pct"/>
            <w:gridSpan w:val="6"/>
          </w:tcPr>
          <w:p w:rsidR="00566C01" w:rsidRPr="00743335" w:rsidRDefault="00566C01" w:rsidP="00931011">
            <w:pPr>
              <w:pStyle w:val="TableText"/>
              <w:keepNext w:val="0"/>
              <w:widowControl w:val="0"/>
              <w:jc w:val="both"/>
              <w:rPr>
                <w:b/>
              </w:rPr>
            </w:pPr>
            <w:r w:rsidRPr="00743335">
              <w:rPr>
                <w:b/>
              </w:rPr>
              <w:t>Familial hypercholesterolaemia with atherosclerotic disease (no coronary death treatment effect)</w:t>
            </w:r>
          </w:p>
        </w:tc>
      </w:tr>
      <w:tr w:rsidR="00566C01" w:rsidRPr="00743335" w:rsidTr="009F203E">
        <w:tc>
          <w:tcPr>
            <w:tcW w:w="1320" w:type="pct"/>
          </w:tcPr>
          <w:p w:rsidR="00566C01" w:rsidRPr="00743335" w:rsidRDefault="00566C01" w:rsidP="00931011">
            <w:pPr>
              <w:pStyle w:val="TableText"/>
              <w:keepNext w:val="0"/>
              <w:widowControl w:val="0"/>
            </w:pPr>
            <w:r w:rsidRPr="00743335">
              <w:t>Costs</w:t>
            </w:r>
          </w:p>
        </w:tc>
        <w:tc>
          <w:tcPr>
            <w:tcW w:w="74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r w:rsidR="00566C01" w:rsidRPr="00743335" w:rsidTr="009F203E">
        <w:tc>
          <w:tcPr>
            <w:tcW w:w="1320" w:type="pct"/>
          </w:tcPr>
          <w:p w:rsidR="00566C01" w:rsidRPr="00743335" w:rsidRDefault="00566C01" w:rsidP="00931011">
            <w:pPr>
              <w:pStyle w:val="TableText"/>
              <w:keepNext w:val="0"/>
              <w:widowControl w:val="0"/>
            </w:pPr>
            <w:r w:rsidRPr="00743335">
              <w:t>QALYs</w:t>
            </w:r>
          </w:p>
        </w:tc>
        <w:tc>
          <w:tcPr>
            <w:tcW w:w="747" w:type="pct"/>
          </w:tcPr>
          <w:p w:rsidR="00566C01" w:rsidRPr="00743335" w:rsidRDefault="000C7BC3" w:rsidP="00931011">
            <w:pPr>
              <w:pStyle w:val="TableText"/>
              <w:keepNext w:val="0"/>
              <w:widowControl w:val="0"/>
              <w:jc w:val="center"/>
            </w:pPr>
            <w:r w:rsidRPr="00743335">
              <w:t>6.597</w:t>
            </w:r>
          </w:p>
        </w:tc>
        <w:tc>
          <w:tcPr>
            <w:tcW w:w="749" w:type="pct"/>
          </w:tcPr>
          <w:p w:rsidR="00566C01" w:rsidRPr="00743335" w:rsidRDefault="000C7BC3" w:rsidP="00931011">
            <w:pPr>
              <w:pStyle w:val="TableText"/>
              <w:keepNext w:val="0"/>
              <w:widowControl w:val="0"/>
              <w:jc w:val="center"/>
            </w:pPr>
            <w:r w:rsidRPr="00743335">
              <w:t>6.406</w:t>
            </w:r>
          </w:p>
        </w:tc>
        <w:tc>
          <w:tcPr>
            <w:tcW w:w="749" w:type="pct"/>
          </w:tcPr>
          <w:p w:rsidR="00566C01" w:rsidRPr="00743335" w:rsidRDefault="000C7BC3" w:rsidP="00931011">
            <w:pPr>
              <w:pStyle w:val="TableText"/>
              <w:keepNext w:val="0"/>
              <w:widowControl w:val="0"/>
              <w:jc w:val="center"/>
            </w:pPr>
            <w:r w:rsidRPr="00743335">
              <w:t>6.288</w:t>
            </w:r>
          </w:p>
        </w:tc>
        <w:tc>
          <w:tcPr>
            <w:tcW w:w="718" w:type="pct"/>
          </w:tcPr>
          <w:p w:rsidR="00566C01" w:rsidRPr="00743335" w:rsidRDefault="000C7BC3" w:rsidP="00931011">
            <w:pPr>
              <w:pStyle w:val="TableText"/>
              <w:keepNext w:val="0"/>
              <w:widowControl w:val="0"/>
              <w:jc w:val="center"/>
            </w:pPr>
            <w:r w:rsidRPr="00743335">
              <w:t>0.191</w:t>
            </w:r>
          </w:p>
        </w:tc>
        <w:tc>
          <w:tcPr>
            <w:tcW w:w="717" w:type="pct"/>
          </w:tcPr>
          <w:p w:rsidR="00566C01" w:rsidRPr="00743335" w:rsidRDefault="000C7BC3" w:rsidP="00931011">
            <w:pPr>
              <w:pStyle w:val="TableText"/>
              <w:keepNext w:val="0"/>
              <w:widowControl w:val="0"/>
              <w:jc w:val="center"/>
            </w:pPr>
            <w:r w:rsidRPr="00743335">
              <w:t>0.309</w:t>
            </w:r>
          </w:p>
        </w:tc>
      </w:tr>
      <w:tr w:rsidR="00566C01" w:rsidRPr="00743335" w:rsidTr="009F203E">
        <w:tc>
          <w:tcPr>
            <w:tcW w:w="3565" w:type="pct"/>
            <w:gridSpan w:val="4"/>
          </w:tcPr>
          <w:p w:rsidR="00566C01" w:rsidRPr="00743335" w:rsidRDefault="00566C01" w:rsidP="00931011">
            <w:pPr>
              <w:pStyle w:val="TableText"/>
              <w:keepNext w:val="0"/>
              <w:widowControl w:val="0"/>
              <w:jc w:val="right"/>
              <w:rPr>
                <w:b/>
              </w:rPr>
            </w:pPr>
            <w:r w:rsidRPr="00743335">
              <w:rPr>
                <w:b/>
              </w:rPr>
              <w:t>Incremental cost per QALY gained</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r w:rsidR="00566C01" w:rsidRPr="00743335" w:rsidTr="009F203E">
        <w:tc>
          <w:tcPr>
            <w:tcW w:w="5000" w:type="pct"/>
            <w:gridSpan w:val="6"/>
          </w:tcPr>
          <w:p w:rsidR="00566C01" w:rsidRPr="00743335" w:rsidRDefault="00566C01" w:rsidP="00931011">
            <w:pPr>
              <w:pStyle w:val="TableText"/>
              <w:keepNext w:val="0"/>
              <w:widowControl w:val="0"/>
              <w:jc w:val="both"/>
              <w:rPr>
                <w:b/>
              </w:rPr>
            </w:pPr>
            <w:r w:rsidRPr="00743335">
              <w:rPr>
                <w:b/>
              </w:rPr>
              <w:t xml:space="preserve">Familial hypercholesterolaemia with very high </w:t>
            </w:r>
            <w:r w:rsidR="00FD3D08" w:rsidRPr="00743335">
              <w:rPr>
                <w:b/>
              </w:rPr>
              <w:t>LDL-c</w:t>
            </w:r>
            <w:r w:rsidRPr="00743335">
              <w:rPr>
                <w:b/>
              </w:rPr>
              <w:t xml:space="preserve"> (no coronary death treatment effect)</w:t>
            </w:r>
          </w:p>
        </w:tc>
      </w:tr>
      <w:tr w:rsidR="00566C01" w:rsidRPr="00743335" w:rsidTr="009F203E">
        <w:tc>
          <w:tcPr>
            <w:tcW w:w="1320" w:type="pct"/>
          </w:tcPr>
          <w:p w:rsidR="00566C01" w:rsidRPr="00743335" w:rsidRDefault="00566C01" w:rsidP="00931011">
            <w:pPr>
              <w:pStyle w:val="TableText"/>
              <w:keepNext w:val="0"/>
              <w:widowControl w:val="0"/>
            </w:pPr>
            <w:r w:rsidRPr="00743335">
              <w:t>Costs</w:t>
            </w:r>
          </w:p>
        </w:tc>
        <w:tc>
          <w:tcPr>
            <w:tcW w:w="74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r w:rsidR="00566C01" w:rsidRPr="00743335" w:rsidTr="009F203E">
        <w:tc>
          <w:tcPr>
            <w:tcW w:w="1320" w:type="pct"/>
          </w:tcPr>
          <w:p w:rsidR="00566C01" w:rsidRPr="00743335" w:rsidRDefault="00566C01" w:rsidP="00931011">
            <w:pPr>
              <w:pStyle w:val="TableText"/>
              <w:keepNext w:val="0"/>
              <w:widowControl w:val="0"/>
            </w:pPr>
            <w:r w:rsidRPr="00743335">
              <w:t>QALYs</w:t>
            </w:r>
          </w:p>
        </w:tc>
        <w:tc>
          <w:tcPr>
            <w:tcW w:w="747" w:type="pct"/>
          </w:tcPr>
          <w:p w:rsidR="00566C01" w:rsidRPr="00743335" w:rsidRDefault="002F0B1E" w:rsidP="00931011">
            <w:pPr>
              <w:pStyle w:val="TableText"/>
              <w:keepNext w:val="0"/>
              <w:widowControl w:val="0"/>
              <w:jc w:val="center"/>
            </w:pPr>
            <w:r w:rsidRPr="00743335">
              <w:t>9.550</w:t>
            </w:r>
          </w:p>
        </w:tc>
        <w:tc>
          <w:tcPr>
            <w:tcW w:w="749" w:type="pct"/>
          </w:tcPr>
          <w:p w:rsidR="00566C01" w:rsidRPr="00743335" w:rsidRDefault="002F0B1E" w:rsidP="00931011">
            <w:pPr>
              <w:pStyle w:val="TableText"/>
              <w:keepNext w:val="0"/>
              <w:widowControl w:val="0"/>
              <w:jc w:val="center"/>
            </w:pPr>
            <w:r w:rsidRPr="00743335">
              <w:t>9.312</w:t>
            </w:r>
          </w:p>
        </w:tc>
        <w:tc>
          <w:tcPr>
            <w:tcW w:w="749" w:type="pct"/>
          </w:tcPr>
          <w:p w:rsidR="00566C01" w:rsidRPr="00743335" w:rsidRDefault="002F0B1E" w:rsidP="00931011">
            <w:pPr>
              <w:pStyle w:val="TableText"/>
              <w:keepNext w:val="0"/>
              <w:widowControl w:val="0"/>
              <w:jc w:val="center"/>
            </w:pPr>
            <w:r w:rsidRPr="00743335">
              <w:t>9.149</w:t>
            </w:r>
          </w:p>
        </w:tc>
        <w:tc>
          <w:tcPr>
            <w:tcW w:w="718" w:type="pct"/>
          </w:tcPr>
          <w:p w:rsidR="00566C01" w:rsidRPr="00743335" w:rsidRDefault="002F0B1E" w:rsidP="00931011">
            <w:pPr>
              <w:pStyle w:val="TableText"/>
              <w:keepNext w:val="0"/>
              <w:widowControl w:val="0"/>
              <w:jc w:val="center"/>
            </w:pPr>
            <w:r w:rsidRPr="00743335">
              <w:t>0.238</w:t>
            </w:r>
          </w:p>
        </w:tc>
        <w:tc>
          <w:tcPr>
            <w:tcW w:w="717" w:type="pct"/>
          </w:tcPr>
          <w:p w:rsidR="00566C01" w:rsidRPr="00743335" w:rsidRDefault="002F0B1E" w:rsidP="00931011">
            <w:pPr>
              <w:pStyle w:val="TableText"/>
              <w:keepNext w:val="0"/>
              <w:widowControl w:val="0"/>
              <w:jc w:val="center"/>
            </w:pPr>
            <w:r w:rsidRPr="00743335">
              <w:t>0.401</w:t>
            </w:r>
          </w:p>
        </w:tc>
      </w:tr>
      <w:tr w:rsidR="00566C01" w:rsidRPr="00743335" w:rsidTr="009F203E">
        <w:tc>
          <w:tcPr>
            <w:tcW w:w="3565" w:type="pct"/>
            <w:gridSpan w:val="4"/>
          </w:tcPr>
          <w:p w:rsidR="00566C01" w:rsidRPr="00743335" w:rsidRDefault="00566C01" w:rsidP="00931011">
            <w:pPr>
              <w:pStyle w:val="TableText"/>
              <w:keepNext w:val="0"/>
              <w:widowControl w:val="0"/>
              <w:jc w:val="right"/>
              <w:rPr>
                <w:b/>
              </w:rPr>
            </w:pPr>
            <w:r w:rsidRPr="00743335">
              <w:rPr>
                <w:b/>
              </w:rPr>
              <w:t>Incremental cost per QALY gained</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r w:rsidR="00566C01" w:rsidRPr="00743335" w:rsidTr="009F203E">
        <w:tc>
          <w:tcPr>
            <w:tcW w:w="5000" w:type="pct"/>
            <w:gridSpan w:val="6"/>
          </w:tcPr>
          <w:p w:rsidR="00566C01" w:rsidRPr="00743335" w:rsidRDefault="00566C01" w:rsidP="00931011">
            <w:pPr>
              <w:pStyle w:val="TableText"/>
              <w:keepNext w:val="0"/>
              <w:widowControl w:val="0"/>
              <w:jc w:val="both"/>
              <w:rPr>
                <w:b/>
              </w:rPr>
            </w:pPr>
            <w:r w:rsidRPr="00743335">
              <w:rPr>
                <w:b/>
              </w:rPr>
              <w:t>Non-familial hypercholesterolaemia with atherosclerotic disease (no coronary death treatment effect)</w:t>
            </w:r>
          </w:p>
        </w:tc>
      </w:tr>
      <w:tr w:rsidR="00566C01" w:rsidRPr="00743335" w:rsidTr="009F203E">
        <w:tc>
          <w:tcPr>
            <w:tcW w:w="1320" w:type="pct"/>
          </w:tcPr>
          <w:p w:rsidR="00566C01" w:rsidRPr="00743335" w:rsidRDefault="00566C01" w:rsidP="00931011">
            <w:pPr>
              <w:pStyle w:val="TableText"/>
              <w:keepNext w:val="0"/>
              <w:widowControl w:val="0"/>
            </w:pPr>
            <w:r w:rsidRPr="00743335">
              <w:t>Costs</w:t>
            </w:r>
          </w:p>
        </w:tc>
        <w:tc>
          <w:tcPr>
            <w:tcW w:w="74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49"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r w:rsidR="00566C01" w:rsidRPr="00743335" w:rsidTr="009F203E">
        <w:tc>
          <w:tcPr>
            <w:tcW w:w="1320" w:type="pct"/>
          </w:tcPr>
          <w:p w:rsidR="00566C01" w:rsidRPr="00743335" w:rsidRDefault="00566C01" w:rsidP="00931011">
            <w:pPr>
              <w:pStyle w:val="TableText"/>
              <w:keepNext w:val="0"/>
              <w:widowControl w:val="0"/>
            </w:pPr>
            <w:r w:rsidRPr="00743335">
              <w:t>QALYs</w:t>
            </w:r>
          </w:p>
        </w:tc>
        <w:tc>
          <w:tcPr>
            <w:tcW w:w="747" w:type="pct"/>
          </w:tcPr>
          <w:p w:rsidR="00566C01" w:rsidRPr="00743335" w:rsidRDefault="002F0B1E" w:rsidP="00931011">
            <w:pPr>
              <w:pStyle w:val="TableText"/>
              <w:keepNext w:val="0"/>
              <w:widowControl w:val="0"/>
              <w:jc w:val="center"/>
            </w:pPr>
            <w:r w:rsidRPr="00743335">
              <w:t>8.108</w:t>
            </w:r>
          </w:p>
        </w:tc>
        <w:tc>
          <w:tcPr>
            <w:tcW w:w="749" w:type="pct"/>
          </w:tcPr>
          <w:p w:rsidR="00566C01" w:rsidRPr="00743335" w:rsidRDefault="002F0B1E" w:rsidP="00931011">
            <w:pPr>
              <w:pStyle w:val="TableText"/>
              <w:keepNext w:val="0"/>
              <w:widowControl w:val="0"/>
              <w:jc w:val="center"/>
            </w:pPr>
            <w:r w:rsidRPr="00743335">
              <w:t>7.966</w:t>
            </w:r>
          </w:p>
        </w:tc>
        <w:tc>
          <w:tcPr>
            <w:tcW w:w="749" w:type="pct"/>
          </w:tcPr>
          <w:p w:rsidR="00566C01" w:rsidRPr="00743335" w:rsidRDefault="002F0B1E" w:rsidP="00931011">
            <w:pPr>
              <w:pStyle w:val="TableText"/>
              <w:keepNext w:val="0"/>
              <w:widowControl w:val="0"/>
              <w:jc w:val="center"/>
            </w:pPr>
            <w:r w:rsidRPr="00743335">
              <w:t>7.876</w:t>
            </w:r>
          </w:p>
        </w:tc>
        <w:tc>
          <w:tcPr>
            <w:tcW w:w="718" w:type="pct"/>
          </w:tcPr>
          <w:p w:rsidR="00566C01" w:rsidRPr="00743335" w:rsidRDefault="002F0B1E" w:rsidP="00931011">
            <w:pPr>
              <w:pStyle w:val="TableText"/>
              <w:keepNext w:val="0"/>
              <w:widowControl w:val="0"/>
              <w:jc w:val="center"/>
            </w:pPr>
            <w:r w:rsidRPr="00743335">
              <w:t>0.142</w:t>
            </w:r>
          </w:p>
        </w:tc>
        <w:tc>
          <w:tcPr>
            <w:tcW w:w="717" w:type="pct"/>
          </w:tcPr>
          <w:p w:rsidR="00566C01" w:rsidRPr="00743335" w:rsidRDefault="002F0B1E" w:rsidP="00931011">
            <w:pPr>
              <w:pStyle w:val="TableText"/>
              <w:keepNext w:val="0"/>
              <w:widowControl w:val="0"/>
              <w:jc w:val="center"/>
            </w:pPr>
            <w:r w:rsidRPr="00743335">
              <w:t>0.232</w:t>
            </w:r>
          </w:p>
        </w:tc>
      </w:tr>
      <w:tr w:rsidR="00566C01" w:rsidRPr="00743335" w:rsidTr="009F203E">
        <w:tc>
          <w:tcPr>
            <w:tcW w:w="3565" w:type="pct"/>
            <w:gridSpan w:val="4"/>
          </w:tcPr>
          <w:p w:rsidR="00566C01" w:rsidRPr="00743335" w:rsidRDefault="00566C01" w:rsidP="00931011">
            <w:pPr>
              <w:pStyle w:val="TableText"/>
              <w:keepNext w:val="0"/>
              <w:widowControl w:val="0"/>
              <w:jc w:val="right"/>
              <w:rPr>
                <w:b/>
              </w:rPr>
            </w:pPr>
            <w:r w:rsidRPr="00743335">
              <w:rPr>
                <w:b/>
              </w:rPr>
              <w:t>Incremental cost per QALY gained</w:t>
            </w:r>
          </w:p>
        </w:tc>
        <w:tc>
          <w:tcPr>
            <w:tcW w:w="718"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c>
          <w:tcPr>
            <w:tcW w:w="717" w:type="pct"/>
          </w:tcPr>
          <w:p w:rsidR="00566C01" w:rsidRPr="007F7043" w:rsidRDefault="007F7043" w:rsidP="00931011">
            <w:pPr>
              <w:pStyle w:val="TableText"/>
              <w:keepNext w:val="0"/>
              <w:widowControl w:val="0"/>
              <w:jc w:val="center"/>
              <w:rPr>
                <w:highlight w:val="black"/>
              </w:rPr>
            </w:pPr>
            <w:r>
              <w:rPr>
                <w:noProof/>
                <w:color w:val="000000"/>
                <w:highlight w:val="black"/>
              </w:rPr>
              <w:t>''''''''''''''''''''''</w:t>
            </w:r>
          </w:p>
        </w:tc>
      </w:tr>
    </w:tbl>
    <w:p w:rsidR="00566C01" w:rsidRPr="00743335" w:rsidRDefault="00566C01" w:rsidP="00566C01">
      <w:pPr>
        <w:pStyle w:val="TableFooter"/>
      </w:pPr>
      <w:r w:rsidRPr="00743335">
        <w:t>Abbreviations: QALYs, quality-adjusted life years</w:t>
      </w:r>
    </w:p>
    <w:p w:rsidR="00F856C7" w:rsidRDefault="00566C01" w:rsidP="00566C01">
      <w:pPr>
        <w:pStyle w:val="TableFooter"/>
      </w:pPr>
      <w:r w:rsidRPr="00743335">
        <w:t>Source: Constructed during the evaluation based on data from the ‘Evolocu</w:t>
      </w:r>
      <w:r w:rsidR="00975844" w:rsidRPr="00743335">
        <w:t>mab Model Nov17’ Excel workbook</w:t>
      </w:r>
    </w:p>
    <w:p w:rsidR="00437743" w:rsidRDefault="00437743" w:rsidP="00566C01">
      <w:pPr>
        <w:pStyle w:val="TableFooter"/>
      </w:pPr>
    </w:p>
    <w:p w:rsidR="00437743" w:rsidRPr="00437743" w:rsidRDefault="00437743" w:rsidP="00566C01">
      <w:pPr>
        <w:pStyle w:val="TableFooter"/>
        <w:rPr>
          <w:rFonts w:asciiTheme="minorHAnsi" w:eastAsiaTheme="minorHAnsi" w:hAnsiTheme="minorHAnsi" w:cstheme="minorBidi"/>
          <w:snapToGrid/>
          <w:sz w:val="24"/>
          <w:szCs w:val="22"/>
        </w:rPr>
      </w:pPr>
      <w:r w:rsidRPr="00437743">
        <w:rPr>
          <w:rFonts w:asciiTheme="minorHAnsi" w:eastAsiaTheme="minorHAnsi" w:hAnsiTheme="minorHAnsi" w:cstheme="minorBidi"/>
          <w:snapToGrid/>
          <w:sz w:val="24"/>
          <w:szCs w:val="22"/>
        </w:rPr>
        <w:t>The redacted table shows ICERs in the range of $105,000/QALY - $200,000/QALY, for familial hypercholesterolaemia with atherosclerotic disease and familial hypercholesterolaemia with very high LDL-c, and more than $200,000/QALY for non-familial hypercholesterolaemia with atherosclerotic disease</w:t>
      </w:r>
      <w:r w:rsidR="0007422C">
        <w:rPr>
          <w:rFonts w:asciiTheme="minorHAnsi" w:eastAsiaTheme="minorHAnsi" w:hAnsiTheme="minorHAnsi" w:cstheme="minorBidi"/>
          <w:snapToGrid/>
          <w:sz w:val="24"/>
          <w:szCs w:val="22"/>
        </w:rPr>
        <w:t xml:space="preserve"> </w:t>
      </w:r>
      <w:r w:rsidR="0007422C" w:rsidRPr="003619BC">
        <w:rPr>
          <w:rFonts w:asciiTheme="minorHAnsi" w:eastAsiaTheme="minorHAnsi" w:hAnsiTheme="minorHAnsi" w:cstheme="minorBidi"/>
          <w:snapToGrid/>
          <w:sz w:val="24"/>
          <w:szCs w:val="22"/>
        </w:rPr>
        <w:t>after removing coronary death treatment effects</w:t>
      </w:r>
      <w:r w:rsidRPr="00437743">
        <w:rPr>
          <w:rFonts w:asciiTheme="minorHAnsi" w:eastAsiaTheme="minorHAnsi" w:hAnsiTheme="minorHAnsi" w:cstheme="minorBidi"/>
          <w:snapToGrid/>
          <w:sz w:val="24"/>
          <w:szCs w:val="22"/>
        </w:rPr>
        <w:t>.</w:t>
      </w:r>
    </w:p>
    <w:p w:rsidR="00F856C7" w:rsidRPr="00743335" w:rsidRDefault="00F856C7" w:rsidP="003D14A1">
      <w:pPr>
        <w:pStyle w:val="ListParagraph"/>
        <w:numPr>
          <w:ilvl w:val="1"/>
          <w:numId w:val="1"/>
        </w:numPr>
        <w:spacing w:before="0" w:after="120"/>
        <w:ind w:left="709" w:hanging="709"/>
        <w:jc w:val="both"/>
      </w:pPr>
      <w:r w:rsidRPr="00743335">
        <w:t>The results of the sensitivity analyses indicate that treatment with evolocumab was associated with very high incremental cost-effectiveness ratios if no mortality benefit was assumed. This may represent an overly conservative assumption given the clear reductions in myocardial infarction and ischaemic stroke associated with evolocumab treatment</w:t>
      </w:r>
      <w:r w:rsidR="00961299">
        <w:t xml:space="preserve"> and the reduction of mortality seen in the </w:t>
      </w:r>
      <w:r w:rsidR="004C2DD0">
        <w:t>statin</w:t>
      </w:r>
      <w:r w:rsidR="00961299">
        <w:t xml:space="preserve"> meta-analys</w:t>
      </w:r>
      <w:r w:rsidR="004C2DD0">
        <w:t>e</w:t>
      </w:r>
      <w:r w:rsidR="00961299">
        <w:t>s</w:t>
      </w:r>
      <w:r w:rsidRPr="00743335">
        <w:t xml:space="preserve">. However, the structure of the economic model did not easily allow investigation of other alternatives such as </w:t>
      </w:r>
      <w:r w:rsidR="00C63263" w:rsidRPr="00743335">
        <w:t xml:space="preserve">a </w:t>
      </w:r>
      <w:r w:rsidRPr="00743335">
        <w:t>delayed impact on mortality or only having mortality reduction directly linked to myocardial infarctions and ischaemic stroke (approaches which have been used in other published economic models).</w:t>
      </w:r>
    </w:p>
    <w:p w:rsidR="00D7330A" w:rsidRPr="00743335" w:rsidRDefault="00D7330A" w:rsidP="003D14A1">
      <w:pPr>
        <w:pStyle w:val="ListParagraph"/>
        <w:numPr>
          <w:ilvl w:val="1"/>
          <w:numId w:val="1"/>
        </w:numPr>
        <w:spacing w:before="0" w:after="120"/>
        <w:ind w:left="709" w:hanging="709"/>
        <w:jc w:val="both"/>
      </w:pPr>
      <w:r w:rsidRPr="00743335">
        <w:t xml:space="preserve">The PBAC noted the pre-PBAC response (p1) provided sensitivity analyses incorporating a </w:t>
      </w:r>
      <w:r w:rsidR="007F7043">
        <w:rPr>
          <w:noProof/>
          <w:color w:val="000000"/>
          <w:highlight w:val="black"/>
        </w:rPr>
        <w:t>''''''' ''''''' ''''''''''</w:t>
      </w:r>
      <w:r w:rsidRPr="00743335">
        <w:t xml:space="preserve"> year time lag in CV mortality benefit for the FH population with ASCVD, with resultant ICERs of </w:t>
      </w:r>
      <w:r w:rsidR="00790432">
        <w:t>$15,000/QALY - $45,000/QALY</w:t>
      </w:r>
      <w:r w:rsidRPr="00743335">
        <w:t xml:space="preserve"> gained  , up from </w:t>
      </w:r>
      <w:r w:rsidR="00790432">
        <w:t>$15,000/QALY - $45,000/QALY</w:t>
      </w:r>
      <w:r w:rsidR="00790432" w:rsidRPr="00743335" w:rsidDel="00790432">
        <w:t xml:space="preserve"> </w:t>
      </w:r>
      <w:r w:rsidRPr="00743335">
        <w:t>gained in the base case.</w:t>
      </w:r>
    </w:p>
    <w:p w:rsidR="008C7D41" w:rsidRPr="00743335" w:rsidRDefault="008C7D41" w:rsidP="008C7D41">
      <w:pPr>
        <w:pStyle w:val="ListParagraph"/>
        <w:ind w:left="709"/>
        <w:jc w:val="both"/>
        <w:rPr>
          <w:i/>
        </w:rPr>
      </w:pPr>
      <w:bookmarkStart w:id="26" w:name="_Toc413139283"/>
      <w:bookmarkStart w:id="27" w:name="_Toc492314262"/>
      <w:r w:rsidRPr="00743335">
        <w:rPr>
          <w:i/>
        </w:rPr>
        <w:t>For more detail on PBAC’s view, see section 7 PBAC outcome.</w:t>
      </w:r>
    </w:p>
    <w:p w:rsidR="00C317F3" w:rsidRPr="00743335" w:rsidRDefault="00566C01" w:rsidP="00772501">
      <w:pPr>
        <w:pStyle w:val="Heading2"/>
      </w:pPr>
      <w:r w:rsidRPr="00743335">
        <w:t>Drug cost/patient/</w:t>
      </w:r>
      <w:r w:rsidR="00C317F3" w:rsidRPr="00743335">
        <w:t>year</w:t>
      </w:r>
      <w:bookmarkEnd w:id="26"/>
      <w:bookmarkEnd w:id="27"/>
      <w:r w:rsidR="00D7330A" w:rsidRPr="00743335">
        <w:t>: $</w:t>
      </w:r>
      <w:r w:rsidR="007F7043">
        <w:rPr>
          <w:noProof/>
          <w:color w:val="000000"/>
          <w:highlight w:val="black"/>
        </w:rPr>
        <w:t>''''''''''</w:t>
      </w:r>
    </w:p>
    <w:p w:rsidR="00566C01" w:rsidRPr="00743335" w:rsidRDefault="00566C01" w:rsidP="003D14A1">
      <w:pPr>
        <w:pStyle w:val="ListParagraph"/>
        <w:numPr>
          <w:ilvl w:val="1"/>
          <w:numId w:val="1"/>
        </w:numPr>
        <w:spacing w:before="0" w:after="120"/>
        <w:ind w:left="709" w:hanging="709"/>
        <w:jc w:val="both"/>
      </w:pPr>
      <w:r w:rsidRPr="00743335">
        <w:t>The estimated drug cost for evolocumab per patient per year was $</w:t>
      </w:r>
      <w:r w:rsidR="007F7043">
        <w:rPr>
          <w:noProof/>
          <w:color w:val="000000"/>
          <w:highlight w:val="black"/>
        </w:rPr>
        <w:t>'''''''''''</w:t>
      </w:r>
      <w:r w:rsidRPr="00743335">
        <w:t xml:space="preserve"> (based on 13 scripts using the effective DPMQ $</w:t>
      </w:r>
      <w:r w:rsidR="007F7043">
        <w:rPr>
          <w:noProof/>
          <w:color w:val="000000"/>
          <w:highlight w:val="black"/>
        </w:rPr>
        <w:t>''''''''''''</w:t>
      </w:r>
      <w:r w:rsidRPr="00743335">
        <w:t xml:space="preserve"> for the 140 mg fortnightly injection).</w:t>
      </w:r>
    </w:p>
    <w:p w:rsidR="00566C01" w:rsidRPr="00743335" w:rsidRDefault="00566C01" w:rsidP="003D14A1">
      <w:pPr>
        <w:pStyle w:val="ListParagraph"/>
        <w:numPr>
          <w:ilvl w:val="1"/>
          <w:numId w:val="1"/>
        </w:numPr>
        <w:spacing w:before="0" w:after="120"/>
        <w:ind w:left="709" w:hanging="709"/>
        <w:jc w:val="both"/>
      </w:pPr>
      <w:r w:rsidRPr="00743335">
        <w:t>The estimated drug cost for ezetimibe per patient per year was $802 (based on 12 scripts, using the current DPMQ $66.84 for ezetimibe 10 mg tablets).</w:t>
      </w:r>
    </w:p>
    <w:p w:rsidR="00C317F3" w:rsidRPr="00743335" w:rsidRDefault="00C317F3" w:rsidP="00772501">
      <w:pPr>
        <w:pStyle w:val="Heading2"/>
      </w:pPr>
      <w:bookmarkStart w:id="28" w:name="_Toc413139284"/>
      <w:bookmarkStart w:id="29" w:name="_Toc492314263"/>
      <w:r w:rsidRPr="00743335">
        <w:t>Estimated PBS usage &amp; financial implications</w:t>
      </w:r>
      <w:bookmarkEnd w:id="28"/>
      <w:bookmarkEnd w:id="29"/>
    </w:p>
    <w:p w:rsidR="00A82FC6" w:rsidRPr="00743335" w:rsidRDefault="00A82FC6" w:rsidP="003D14A1">
      <w:pPr>
        <w:pStyle w:val="ListParagraph"/>
        <w:numPr>
          <w:ilvl w:val="1"/>
          <w:numId w:val="1"/>
        </w:numPr>
        <w:spacing w:before="0" w:after="120"/>
        <w:ind w:left="709" w:hanging="709"/>
        <w:jc w:val="both"/>
      </w:pPr>
      <w:bookmarkStart w:id="30" w:name="_Toc413139285"/>
      <w:bookmarkStart w:id="31" w:name="_Toc492314264"/>
      <w:r w:rsidRPr="00743335">
        <w:t>This resubmission was considered by DUSC.  The resubmission used epidemiological (</w:t>
      </w:r>
      <w:r w:rsidR="00D7330A" w:rsidRPr="00743335">
        <w:t>FH</w:t>
      </w:r>
      <w:r w:rsidRPr="00743335">
        <w:t xml:space="preserve"> with </w:t>
      </w:r>
      <w:r w:rsidR="00D7330A" w:rsidRPr="00743335">
        <w:t>ASCVD</w:t>
      </w:r>
      <w:r w:rsidRPr="00743335">
        <w:t xml:space="preserve">, </w:t>
      </w:r>
      <w:r w:rsidR="00D7330A" w:rsidRPr="00743335">
        <w:t>FH</w:t>
      </w:r>
      <w:r w:rsidRPr="00743335">
        <w:t xml:space="preserve"> with very high LDL</w:t>
      </w:r>
      <w:r w:rsidR="00D7330A" w:rsidRPr="00743335">
        <w:t>-c</w:t>
      </w:r>
      <w:r w:rsidRPr="00743335">
        <w:t>) and market share (non-</w:t>
      </w:r>
      <w:r w:rsidR="00D7330A" w:rsidRPr="00743335">
        <w:t>FH</w:t>
      </w:r>
      <w:r w:rsidRPr="00743335">
        <w:t xml:space="preserve"> with </w:t>
      </w:r>
      <w:r w:rsidR="00D7330A" w:rsidRPr="00743335">
        <w:t>ASCVD</w:t>
      </w:r>
      <w:r w:rsidRPr="00743335">
        <w:t xml:space="preserve">) approaches to estimate the utilisation/financial implications associated with the PBS listing of evolocumab. </w:t>
      </w:r>
    </w:p>
    <w:p w:rsidR="00A82FC6" w:rsidRPr="00743335" w:rsidRDefault="00A82FC6" w:rsidP="00A82FC6">
      <w:pPr>
        <w:pStyle w:val="TableHeading0"/>
        <w:jc w:val="both"/>
        <w:rPr>
          <w:snapToGrid w:val="0"/>
        </w:rPr>
      </w:pPr>
      <w:r w:rsidRPr="00743335">
        <w:rPr>
          <w:snapToGrid w:val="0"/>
        </w:rPr>
        <w:t>Table 11: Estimated utilisation and cost to the PBS of evolocumab in the first six years of listing (effective price less patient copayments and cost offsets for</w:t>
      </w:r>
      <w:r w:rsidRPr="00743335">
        <w:t xml:space="preserve"> </w:t>
      </w:r>
      <w:r w:rsidRPr="00743335">
        <w:rPr>
          <w:snapToGrid w:val="0"/>
        </w:rPr>
        <w:t>change in use of background therapies)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2"/>
        <w:gridCol w:w="1192"/>
        <w:gridCol w:w="1192"/>
        <w:gridCol w:w="1194"/>
        <w:gridCol w:w="1192"/>
        <w:gridCol w:w="1192"/>
        <w:gridCol w:w="1192"/>
      </w:tblGrid>
      <w:tr w:rsidR="00A82FC6" w:rsidRPr="00743335" w:rsidTr="00AA316F">
        <w:trPr>
          <w:tblHeader/>
        </w:trPr>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Lines="40" w:after="96"/>
              <w:rPr>
                <w:rFonts w:ascii="Arial Narrow" w:eastAsia="Calibri" w:hAnsi="Arial Narrow" w:cs="Times New Roman"/>
                <w:sz w:val="20"/>
                <w:szCs w:val="20"/>
                <w:lang w:eastAsia="en-AU"/>
              </w:rPr>
            </w:pPr>
          </w:p>
        </w:tc>
        <w:tc>
          <w:tcPr>
            <w:tcW w:w="656" w:type="pct"/>
            <w:tcBorders>
              <w:bottom w:val="single" w:sz="4" w:space="0" w:color="auto"/>
            </w:tcBorders>
            <w:shd w:val="clear" w:color="auto" w:fill="auto"/>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Year 1</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(2018)</w:t>
            </w:r>
          </w:p>
        </w:tc>
        <w:tc>
          <w:tcPr>
            <w:tcW w:w="656" w:type="pct"/>
            <w:tcBorders>
              <w:bottom w:val="single" w:sz="4" w:space="0" w:color="auto"/>
            </w:tcBorders>
            <w:shd w:val="clear" w:color="auto" w:fill="auto"/>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Year 2</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(2019)</w:t>
            </w:r>
          </w:p>
        </w:tc>
        <w:tc>
          <w:tcPr>
            <w:tcW w:w="657" w:type="pct"/>
            <w:tcBorders>
              <w:bottom w:val="single" w:sz="4" w:space="0" w:color="auto"/>
            </w:tcBorders>
            <w:shd w:val="clear" w:color="auto" w:fill="auto"/>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Year 3</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(2020)</w:t>
            </w:r>
          </w:p>
        </w:tc>
        <w:tc>
          <w:tcPr>
            <w:tcW w:w="656" w:type="pct"/>
            <w:tcBorders>
              <w:bottom w:val="single" w:sz="4" w:space="0" w:color="auto"/>
            </w:tcBorders>
            <w:shd w:val="clear" w:color="auto" w:fill="auto"/>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Year 4</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(2021)</w:t>
            </w:r>
          </w:p>
        </w:tc>
        <w:tc>
          <w:tcPr>
            <w:tcW w:w="656" w:type="pct"/>
            <w:tcBorders>
              <w:bottom w:val="single" w:sz="4" w:space="0" w:color="auto"/>
              <w:right w:val="single" w:sz="4" w:space="0" w:color="auto"/>
            </w:tcBorders>
            <w:shd w:val="clear" w:color="auto" w:fill="auto"/>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 xml:space="preserve">Year 5 </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(2022)</w:t>
            </w:r>
          </w:p>
        </w:tc>
        <w:tc>
          <w:tcPr>
            <w:tcW w:w="656" w:type="pct"/>
            <w:tcBorders>
              <w:bottom w:val="single" w:sz="4" w:space="0" w:color="auto"/>
              <w:right w:val="single" w:sz="4" w:space="0" w:color="auto"/>
            </w:tcBorders>
            <w:vAlign w:val="center"/>
          </w:tcPr>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 xml:space="preserve">Year 6 </w:t>
            </w:r>
          </w:p>
          <w:p w:rsidR="00A82FC6" w:rsidRPr="00743335" w:rsidRDefault="00A82FC6" w:rsidP="00AA316F">
            <w:pPr>
              <w:widowControl w:val="0"/>
              <w:spacing w:before="40" w:after="40"/>
              <w:jc w:val="center"/>
              <w:rPr>
                <w:rFonts w:ascii="Arial Narrow" w:eastAsia="Calibri" w:hAnsi="Arial Narrow" w:cs="Times New Roman"/>
                <w:b/>
                <w:bCs/>
                <w:sz w:val="20"/>
                <w:szCs w:val="20"/>
                <w:lang w:eastAsia="en-AU"/>
              </w:rPr>
            </w:pPr>
            <w:r w:rsidRPr="00743335">
              <w:rPr>
                <w:rFonts w:ascii="Arial Narrow" w:eastAsia="Calibri" w:hAnsi="Arial Narrow" w:cs="Times New Roman"/>
                <w:b/>
                <w:bCs/>
                <w:sz w:val="20"/>
                <w:szCs w:val="20"/>
                <w:lang w:eastAsia="en-AU"/>
              </w:rPr>
              <w:t>(2023)</w:t>
            </w:r>
          </w:p>
        </w:tc>
      </w:tr>
      <w:tr w:rsidR="00A82FC6" w:rsidRPr="00743335" w:rsidTr="00AA316F">
        <w:tc>
          <w:tcPr>
            <w:tcW w:w="5000" w:type="pct"/>
            <w:gridSpan w:val="7"/>
            <w:tcBorders>
              <w:left w:val="single" w:sz="4" w:space="0" w:color="auto"/>
              <w:bottom w:val="single" w:sz="4" w:space="0" w:color="auto"/>
              <w:right w:val="single" w:sz="4" w:space="0" w:color="auto"/>
            </w:tcBorders>
            <w:shd w:val="clear" w:color="auto" w:fill="auto"/>
            <w:vAlign w:val="center"/>
          </w:tcPr>
          <w:p w:rsidR="00A82FC6" w:rsidRPr="00743335" w:rsidRDefault="00A82FC6" w:rsidP="00AA316F">
            <w:pPr>
              <w:spacing w:before="40" w:after="40"/>
              <w:rPr>
                <w:rFonts w:ascii="Arial Narrow" w:hAnsi="Arial Narrow" w:cs="Arial"/>
                <w:b/>
                <w:sz w:val="20"/>
                <w:szCs w:val="20"/>
              </w:rPr>
            </w:pPr>
            <w:r w:rsidRPr="00743335">
              <w:rPr>
                <w:rFonts w:ascii="Arial Narrow" w:hAnsi="Arial Narrow" w:cs="Arial"/>
                <w:b/>
                <w:sz w:val="20"/>
                <w:szCs w:val="20"/>
              </w:rPr>
              <w:t>Familial hypercholesterolaemia with atherosclerotic disease</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Treated patients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140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420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 xml:space="preserve">Total cost </w:t>
            </w:r>
            <w:r w:rsidRPr="00743335">
              <w:rPr>
                <w:rFonts w:ascii="Arial Narrow" w:eastAsia="Times New Roman" w:hAnsi="Arial Narrow" w:cs="Arial"/>
                <w:snapToGrid w:val="0"/>
                <w:sz w:val="20"/>
                <w:szCs w:val="20"/>
                <w:lang w:eastAsia="en-AU"/>
              </w:rPr>
              <w:br/>
              <w:t>(effective price)</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Patient co-payments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Substitution cost-offsets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Net cost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5000" w:type="pct"/>
            <w:gridSpan w:val="7"/>
            <w:tcBorders>
              <w:left w:val="single" w:sz="4" w:space="0" w:color="auto"/>
              <w:bottom w:val="single" w:sz="4" w:space="0" w:color="auto"/>
              <w:right w:val="single" w:sz="4" w:space="0" w:color="auto"/>
            </w:tcBorders>
            <w:shd w:val="clear" w:color="auto" w:fill="auto"/>
            <w:vAlign w:val="center"/>
          </w:tcPr>
          <w:p w:rsidR="00A82FC6" w:rsidRPr="00743335" w:rsidRDefault="00A82FC6" w:rsidP="00AA316F">
            <w:pPr>
              <w:spacing w:before="40" w:after="40"/>
              <w:rPr>
                <w:rFonts w:ascii="Arial Narrow" w:hAnsi="Arial Narrow" w:cs="Arial"/>
                <w:b/>
                <w:sz w:val="20"/>
                <w:szCs w:val="20"/>
              </w:rPr>
            </w:pPr>
            <w:r w:rsidRPr="00743335">
              <w:rPr>
                <w:rFonts w:ascii="Arial Narrow" w:hAnsi="Arial Narrow" w:cs="Arial"/>
                <w:b/>
                <w:sz w:val="20"/>
                <w:szCs w:val="20"/>
              </w:rPr>
              <w:t>Familial hypercholesterolaemia with very high LDL levels</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Treated patients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140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420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 xml:space="preserve">Total cost </w:t>
            </w:r>
            <w:r w:rsidRPr="00743335">
              <w:rPr>
                <w:rFonts w:ascii="Arial Narrow" w:eastAsia="Times New Roman" w:hAnsi="Arial Narrow" w:cs="Arial"/>
                <w:snapToGrid w:val="0"/>
                <w:sz w:val="20"/>
                <w:szCs w:val="20"/>
                <w:lang w:eastAsia="en-AU"/>
              </w:rPr>
              <w:br/>
              <w:t>(effective price)</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Patient co-payments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Substitution cost-offsets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bottom w:val="single" w:sz="4" w:space="0" w:color="auto"/>
            </w:tcBorders>
            <w:shd w:val="clear" w:color="auto" w:fill="auto"/>
            <w:vAlign w:val="center"/>
          </w:tcPr>
          <w:p w:rsidR="00A82FC6" w:rsidRPr="00743335" w:rsidRDefault="00A82FC6" w:rsidP="00AA316F">
            <w:pPr>
              <w:widowControl w:val="0"/>
              <w:spacing w:before="40" w:after="40"/>
              <w:rPr>
                <w:rFonts w:ascii="Arial Narrow" w:eastAsia="Calibri" w:hAnsi="Arial Narrow" w:cs="Times New Roman"/>
                <w:sz w:val="20"/>
                <w:szCs w:val="20"/>
                <w:lang w:eastAsia="en-AU"/>
              </w:rPr>
            </w:pPr>
            <w:r w:rsidRPr="00743335">
              <w:rPr>
                <w:rFonts w:ascii="Arial Narrow" w:eastAsia="Times New Roman" w:hAnsi="Arial Narrow" w:cs="Arial"/>
                <w:snapToGrid w:val="0"/>
                <w:sz w:val="20"/>
                <w:szCs w:val="20"/>
                <w:lang w:eastAsia="en-AU"/>
              </w:rPr>
              <w:t>Net cost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5000" w:type="pct"/>
            <w:gridSpan w:val="7"/>
            <w:tcBorders>
              <w:left w:val="single" w:sz="4" w:space="0" w:color="auto"/>
              <w:right w:val="single" w:sz="4" w:space="0" w:color="auto"/>
            </w:tcBorders>
            <w:shd w:val="clear" w:color="auto" w:fill="auto"/>
            <w:vAlign w:val="center"/>
          </w:tcPr>
          <w:p w:rsidR="00A82FC6" w:rsidRPr="00743335" w:rsidRDefault="00A82FC6" w:rsidP="00AA316F">
            <w:pPr>
              <w:spacing w:before="40" w:after="40"/>
              <w:rPr>
                <w:rFonts w:ascii="Arial Narrow" w:hAnsi="Arial Narrow" w:cs="Arial"/>
                <w:sz w:val="20"/>
                <w:szCs w:val="20"/>
              </w:rPr>
            </w:pPr>
            <w:r w:rsidRPr="00743335">
              <w:rPr>
                <w:rFonts w:ascii="Arial Narrow" w:hAnsi="Arial Narrow" w:cs="Arial"/>
                <w:b/>
                <w:sz w:val="20"/>
                <w:szCs w:val="20"/>
              </w:rPr>
              <w:t>Non-familial hypercholesterolaemia with atherosclerotic disease</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Treated patients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140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Estimated 420 mg scripts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 xml:space="preserve">Total cost </w:t>
            </w:r>
            <w:r w:rsidRPr="00743335">
              <w:rPr>
                <w:rFonts w:ascii="Arial Narrow" w:eastAsia="Times New Roman" w:hAnsi="Arial Narrow" w:cs="Arial"/>
                <w:snapToGrid w:val="0"/>
                <w:sz w:val="20"/>
                <w:szCs w:val="20"/>
                <w:lang w:eastAsia="en-AU"/>
              </w:rPr>
              <w:br/>
              <w:t>(effective price)</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Patient co-payments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Times New Roman" w:hAnsi="Arial Narrow" w:cs="Arial"/>
                <w:snapToGrid w:val="0"/>
                <w:sz w:val="20"/>
                <w:szCs w:val="20"/>
                <w:lang w:eastAsia="en-AU"/>
              </w:rPr>
            </w:pPr>
            <w:r w:rsidRPr="00743335">
              <w:rPr>
                <w:rFonts w:ascii="Arial Narrow" w:eastAsia="Times New Roman" w:hAnsi="Arial Narrow" w:cs="Arial"/>
                <w:snapToGrid w:val="0"/>
                <w:sz w:val="20"/>
                <w:szCs w:val="20"/>
                <w:lang w:eastAsia="en-AU"/>
              </w:rPr>
              <w:t>Substitution cost-offsets</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82FC6" w:rsidRPr="00743335" w:rsidTr="00AA316F">
        <w:tc>
          <w:tcPr>
            <w:tcW w:w="1063" w:type="pct"/>
            <w:tcBorders>
              <w:left w:val="single" w:sz="4" w:space="0" w:color="auto"/>
            </w:tcBorders>
            <w:shd w:val="clear" w:color="auto" w:fill="auto"/>
            <w:vAlign w:val="center"/>
          </w:tcPr>
          <w:p w:rsidR="00A82FC6" w:rsidRPr="00743335" w:rsidRDefault="00A82FC6" w:rsidP="00AA316F">
            <w:pPr>
              <w:widowControl w:val="0"/>
              <w:spacing w:before="40" w:after="40"/>
              <w:rPr>
                <w:rFonts w:ascii="Arial Narrow" w:eastAsia="Calibri" w:hAnsi="Arial Narrow" w:cs="Times New Roman"/>
                <w:sz w:val="20"/>
                <w:szCs w:val="20"/>
                <w:lang w:eastAsia="en-AU"/>
              </w:rPr>
            </w:pPr>
            <w:r w:rsidRPr="00743335">
              <w:rPr>
                <w:rFonts w:ascii="Arial Narrow" w:eastAsia="Times New Roman" w:hAnsi="Arial Narrow" w:cs="Arial"/>
                <w:snapToGrid w:val="0"/>
                <w:sz w:val="20"/>
                <w:szCs w:val="20"/>
                <w:lang w:eastAsia="en-AU"/>
              </w:rPr>
              <w:t>Net cost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7"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shd w:val="clear" w:color="auto" w:fill="auto"/>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56" w:type="pct"/>
            <w:tcBorders>
              <w:right w:val="single" w:sz="4" w:space="0" w:color="auto"/>
            </w:tcBorders>
            <w:vAlign w:val="center"/>
          </w:tcPr>
          <w:p w:rsidR="00A82FC6" w:rsidRPr="007F7043" w:rsidRDefault="007F7043" w:rsidP="00AA316F">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bl>
    <w:p w:rsidR="00A82FC6" w:rsidRPr="00743335" w:rsidRDefault="00A82FC6" w:rsidP="00A82FC6">
      <w:pPr>
        <w:pStyle w:val="TableFooter"/>
      </w:pPr>
      <w:r w:rsidRPr="00743335">
        <w:t>Abbreviations: FH, familial hypercholesterolaemia; ASCVD, atherosclerotic cardiovascular disease</w:t>
      </w:r>
    </w:p>
    <w:p w:rsidR="00A82FC6" w:rsidRDefault="00A82FC6" w:rsidP="00A82FC6">
      <w:pPr>
        <w:pStyle w:val="TableFooter"/>
      </w:pPr>
      <w:r w:rsidRPr="00743335">
        <w:t>Source: Table 4.4-1 (p 138) of the resubmission</w:t>
      </w:r>
    </w:p>
    <w:p w:rsidR="00790432" w:rsidRDefault="00790432" w:rsidP="00A82FC6">
      <w:pPr>
        <w:pStyle w:val="TableFooter"/>
      </w:pPr>
    </w:p>
    <w:p w:rsidR="00790432" w:rsidRDefault="00790432" w:rsidP="00A82FC6">
      <w:pPr>
        <w:pStyle w:val="TableFooter"/>
        <w:rPr>
          <w:rFonts w:asciiTheme="minorHAnsi" w:eastAsiaTheme="minorHAnsi" w:hAnsiTheme="minorHAnsi" w:cstheme="minorBidi"/>
          <w:snapToGrid/>
          <w:sz w:val="24"/>
          <w:szCs w:val="22"/>
        </w:rPr>
      </w:pPr>
      <w:r w:rsidRPr="00F606A1">
        <w:rPr>
          <w:rFonts w:asciiTheme="minorHAnsi" w:eastAsiaTheme="minorHAnsi" w:hAnsiTheme="minorHAnsi" w:cstheme="minorBidi"/>
          <w:snapToGrid/>
          <w:sz w:val="24"/>
          <w:szCs w:val="22"/>
        </w:rPr>
        <w:t xml:space="preserve">The redacted table shows that at year 5, for </w:t>
      </w:r>
      <w:r w:rsidR="00F606A1">
        <w:rPr>
          <w:rFonts w:asciiTheme="minorHAnsi" w:eastAsiaTheme="minorHAnsi" w:hAnsiTheme="minorHAnsi" w:cstheme="minorBidi"/>
          <w:snapToGrid/>
          <w:sz w:val="24"/>
          <w:szCs w:val="22"/>
        </w:rPr>
        <w:t>f</w:t>
      </w:r>
      <w:r w:rsidRPr="00F606A1">
        <w:rPr>
          <w:rFonts w:asciiTheme="minorHAnsi" w:eastAsiaTheme="minorHAnsi" w:hAnsiTheme="minorHAnsi" w:cstheme="minorBidi"/>
          <w:snapToGrid/>
          <w:sz w:val="24"/>
          <w:szCs w:val="22"/>
        </w:rPr>
        <w:t xml:space="preserve">amilial hypercholesterolaemia with atherosclerotic disease, the estimated number of patients was </w:t>
      </w:r>
      <w:r w:rsidR="00F606A1" w:rsidRPr="00F606A1">
        <w:rPr>
          <w:rFonts w:asciiTheme="minorHAnsi" w:eastAsiaTheme="minorHAnsi" w:hAnsiTheme="minorHAnsi" w:cstheme="minorBidi"/>
          <w:snapToGrid/>
          <w:sz w:val="24"/>
          <w:szCs w:val="22"/>
        </w:rPr>
        <w:t>less than 10,000 per year and the net cost to the PBS would be $20 - $30 million per year.</w:t>
      </w:r>
    </w:p>
    <w:p w:rsidR="00F606A1" w:rsidRDefault="00F606A1" w:rsidP="00A82FC6">
      <w:pPr>
        <w:pStyle w:val="TableFooter"/>
        <w:rPr>
          <w:rFonts w:asciiTheme="minorHAnsi" w:eastAsiaTheme="minorHAnsi" w:hAnsiTheme="minorHAnsi" w:cstheme="minorBidi"/>
          <w:snapToGrid/>
          <w:sz w:val="24"/>
          <w:szCs w:val="22"/>
        </w:rPr>
      </w:pPr>
    </w:p>
    <w:p w:rsidR="00F606A1" w:rsidRDefault="00F606A1" w:rsidP="00F606A1">
      <w:pPr>
        <w:pStyle w:val="TableFooter"/>
        <w:rPr>
          <w:rFonts w:asciiTheme="minorHAnsi" w:eastAsiaTheme="minorHAnsi" w:hAnsiTheme="minorHAnsi" w:cstheme="minorBidi"/>
          <w:snapToGrid/>
          <w:sz w:val="24"/>
          <w:szCs w:val="22"/>
        </w:rPr>
      </w:pPr>
      <w:r w:rsidRPr="00F606A1">
        <w:rPr>
          <w:rFonts w:asciiTheme="minorHAnsi" w:eastAsiaTheme="minorHAnsi" w:hAnsiTheme="minorHAnsi" w:cstheme="minorBidi"/>
          <w:snapToGrid/>
          <w:sz w:val="24"/>
          <w:szCs w:val="22"/>
        </w:rPr>
        <w:t xml:space="preserve">The redacted table shows that at year 5, for </w:t>
      </w:r>
      <w:r>
        <w:rPr>
          <w:rFonts w:asciiTheme="minorHAnsi" w:eastAsiaTheme="minorHAnsi" w:hAnsiTheme="minorHAnsi" w:cstheme="minorBidi"/>
          <w:snapToGrid/>
          <w:sz w:val="24"/>
          <w:szCs w:val="22"/>
        </w:rPr>
        <w:t>f</w:t>
      </w:r>
      <w:r w:rsidRPr="00F606A1">
        <w:rPr>
          <w:rFonts w:asciiTheme="minorHAnsi" w:eastAsiaTheme="minorHAnsi" w:hAnsiTheme="minorHAnsi" w:cstheme="minorBidi"/>
          <w:snapToGrid/>
          <w:sz w:val="24"/>
          <w:szCs w:val="22"/>
        </w:rPr>
        <w:t>amilial hypercholesterolaemia with very high LDL levels, the estimated number of patients was less than 10,000 per year and the net cost to the PBS would be $</w:t>
      </w:r>
      <w:r>
        <w:rPr>
          <w:rFonts w:asciiTheme="minorHAnsi" w:eastAsiaTheme="minorHAnsi" w:hAnsiTheme="minorHAnsi" w:cstheme="minorBidi"/>
          <w:snapToGrid/>
          <w:sz w:val="24"/>
          <w:szCs w:val="22"/>
        </w:rPr>
        <w:t>1</w:t>
      </w:r>
      <w:r w:rsidRPr="00F606A1">
        <w:rPr>
          <w:rFonts w:asciiTheme="minorHAnsi" w:eastAsiaTheme="minorHAnsi" w:hAnsiTheme="minorHAnsi" w:cstheme="minorBidi"/>
          <w:snapToGrid/>
          <w:sz w:val="24"/>
          <w:szCs w:val="22"/>
        </w:rPr>
        <w:t>0 - $</w:t>
      </w:r>
      <w:r>
        <w:rPr>
          <w:rFonts w:asciiTheme="minorHAnsi" w:eastAsiaTheme="minorHAnsi" w:hAnsiTheme="minorHAnsi" w:cstheme="minorBidi"/>
          <w:snapToGrid/>
          <w:sz w:val="24"/>
          <w:szCs w:val="22"/>
        </w:rPr>
        <w:t>2</w:t>
      </w:r>
      <w:r w:rsidRPr="00F606A1">
        <w:rPr>
          <w:rFonts w:asciiTheme="minorHAnsi" w:eastAsiaTheme="minorHAnsi" w:hAnsiTheme="minorHAnsi" w:cstheme="minorBidi"/>
          <w:snapToGrid/>
          <w:sz w:val="24"/>
          <w:szCs w:val="22"/>
        </w:rPr>
        <w:t>0 million per year.</w:t>
      </w:r>
    </w:p>
    <w:p w:rsidR="00F606A1" w:rsidRDefault="00F606A1" w:rsidP="00A82FC6">
      <w:pPr>
        <w:pStyle w:val="TableFooter"/>
        <w:rPr>
          <w:rFonts w:asciiTheme="minorHAnsi" w:eastAsiaTheme="minorHAnsi" w:hAnsiTheme="minorHAnsi" w:cstheme="minorBidi"/>
          <w:snapToGrid/>
          <w:sz w:val="24"/>
          <w:szCs w:val="22"/>
        </w:rPr>
      </w:pPr>
    </w:p>
    <w:p w:rsidR="00F606A1" w:rsidRDefault="00F606A1" w:rsidP="00F606A1">
      <w:pPr>
        <w:pStyle w:val="TableFooter"/>
        <w:rPr>
          <w:rFonts w:asciiTheme="minorHAnsi" w:eastAsiaTheme="minorHAnsi" w:hAnsiTheme="minorHAnsi" w:cstheme="minorBidi"/>
          <w:snapToGrid/>
          <w:sz w:val="24"/>
          <w:szCs w:val="22"/>
        </w:rPr>
      </w:pPr>
      <w:r w:rsidRPr="00F606A1">
        <w:rPr>
          <w:rFonts w:asciiTheme="minorHAnsi" w:eastAsiaTheme="minorHAnsi" w:hAnsiTheme="minorHAnsi" w:cstheme="minorBidi"/>
          <w:snapToGrid/>
          <w:sz w:val="24"/>
          <w:szCs w:val="22"/>
        </w:rPr>
        <w:t xml:space="preserve">The redacted table shows that at year 5, for </w:t>
      </w:r>
      <w:r>
        <w:rPr>
          <w:rFonts w:asciiTheme="minorHAnsi" w:eastAsiaTheme="minorHAnsi" w:hAnsiTheme="minorHAnsi" w:cstheme="minorBidi"/>
          <w:snapToGrid/>
          <w:sz w:val="24"/>
          <w:szCs w:val="22"/>
        </w:rPr>
        <w:t>non-f</w:t>
      </w:r>
      <w:r w:rsidRPr="00F606A1">
        <w:rPr>
          <w:rFonts w:asciiTheme="minorHAnsi" w:eastAsiaTheme="minorHAnsi" w:hAnsiTheme="minorHAnsi" w:cstheme="minorBidi"/>
          <w:snapToGrid/>
          <w:sz w:val="24"/>
          <w:szCs w:val="22"/>
        </w:rPr>
        <w:t xml:space="preserve">amilial hypercholesterolaemia with atherosclerotic disease, the estimated number of patients was </w:t>
      </w:r>
      <w:r w:rsidR="00E07D21">
        <w:rPr>
          <w:rFonts w:asciiTheme="minorHAnsi" w:eastAsiaTheme="minorHAnsi" w:hAnsiTheme="minorHAnsi" w:cstheme="minorBidi"/>
          <w:snapToGrid/>
          <w:sz w:val="24"/>
          <w:szCs w:val="22"/>
        </w:rPr>
        <w:t>50,000 – 100,000</w:t>
      </w:r>
      <w:r w:rsidRPr="00F606A1">
        <w:rPr>
          <w:rFonts w:asciiTheme="minorHAnsi" w:eastAsiaTheme="minorHAnsi" w:hAnsiTheme="minorHAnsi" w:cstheme="minorBidi"/>
          <w:snapToGrid/>
          <w:sz w:val="24"/>
          <w:szCs w:val="22"/>
        </w:rPr>
        <w:t xml:space="preserve"> per year and the net cost to the PBS would be </w:t>
      </w:r>
      <w:r>
        <w:rPr>
          <w:rFonts w:asciiTheme="minorHAnsi" w:eastAsiaTheme="minorHAnsi" w:hAnsiTheme="minorHAnsi" w:cstheme="minorBidi"/>
          <w:snapToGrid/>
          <w:sz w:val="24"/>
          <w:szCs w:val="22"/>
        </w:rPr>
        <w:t>more than $100 million per year</w:t>
      </w:r>
      <w:r w:rsidRPr="00F606A1">
        <w:rPr>
          <w:rFonts w:asciiTheme="minorHAnsi" w:eastAsiaTheme="minorHAnsi" w:hAnsiTheme="minorHAnsi" w:cstheme="minorBidi"/>
          <w:snapToGrid/>
          <w:sz w:val="24"/>
          <w:szCs w:val="22"/>
        </w:rPr>
        <w:t>.</w:t>
      </w:r>
    </w:p>
    <w:p w:rsidR="00F606A1" w:rsidRPr="00F606A1" w:rsidRDefault="00F606A1" w:rsidP="00A82FC6">
      <w:pPr>
        <w:pStyle w:val="TableFooter"/>
        <w:rPr>
          <w:rFonts w:asciiTheme="minorHAnsi" w:eastAsiaTheme="minorHAnsi" w:hAnsiTheme="minorHAnsi" w:cstheme="minorBidi"/>
          <w:snapToGrid/>
          <w:sz w:val="24"/>
          <w:szCs w:val="22"/>
        </w:rPr>
      </w:pPr>
    </w:p>
    <w:p w:rsidR="00A82FC6" w:rsidRPr="00743335" w:rsidRDefault="00A82FC6" w:rsidP="003D14A1">
      <w:pPr>
        <w:pStyle w:val="ListParagraph"/>
        <w:numPr>
          <w:ilvl w:val="1"/>
          <w:numId w:val="1"/>
        </w:numPr>
        <w:spacing w:before="0" w:after="120"/>
        <w:ind w:left="709" w:hanging="709"/>
        <w:jc w:val="both"/>
      </w:pPr>
      <w:r w:rsidRPr="00743335">
        <w:t xml:space="preserve">The estimated cumulative net cost across all populations was </w:t>
      </w:r>
      <w:r w:rsidR="00437743">
        <w:t>more than $100 million per year</w:t>
      </w:r>
      <w:r w:rsidRPr="00743335">
        <w:t xml:space="preserve"> over six years (published price </w:t>
      </w:r>
      <w:r w:rsidR="006C6E2A">
        <w:t>more than $100 million</w:t>
      </w:r>
      <w:r w:rsidRPr="00743335">
        <w:t>).</w:t>
      </w:r>
    </w:p>
    <w:p w:rsidR="00A82FC6" w:rsidRPr="00743335" w:rsidRDefault="005E78E4" w:rsidP="003D14A1">
      <w:pPr>
        <w:pStyle w:val="ListParagraph"/>
        <w:numPr>
          <w:ilvl w:val="1"/>
          <w:numId w:val="1"/>
        </w:numPr>
        <w:spacing w:before="0" w:after="120"/>
        <w:ind w:left="709" w:hanging="709"/>
        <w:jc w:val="both"/>
        <w:rPr>
          <w:szCs w:val="24"/>
        </w:rPr>
      </w:pPr>
      <w:r w:rsidRPr="00743335">
        <w:t xml:space="preserve">The </w:t>
      </w:r>
      <w:r w:rsidR="00A82FC6" w:rsidRPr="00743335">
        <w:t>DUSC</w:t>
      </w:r>
      <w:r w:rsidR="00A82FC6" w:rsidRPr="00743335">
        <w:rPr>
          <w:i/>
          <w:szCs w:val="24"/>
        </w:rPr>
        <w:t xml:space="preserve"> </w:t>
      </w:r>
      <w:r w:rsidR="00A82FC6" w:rsidRPr="00743335">
        <w:rPr>
          <w:szCs w:val="24"/>
        </w:rPr>
        <w:t xml:space="preserve">considers the eligible population with FH and ASCVD presented in the submission to be </w:t>
      </w:r>
      <w:r w:rsidR="00A82FC6" w:rsidRPr="00743335">
        <w:rPr>
          <w:color w:val="000000" w:themeColor="text1"/>
          <w:szCs w:val="24"/>
        </w:rPr>
        <w:t xml:space="preserve">underestimated, but uptake of evolocumab to be substantially overestimated. The number of patients with non-familial ASCVD are highly uncertain. </w:t>
      </w:r>
      <w:r w:rsidR="00A82FC6" w:rsidRPr="00743335">
        <w:rPr>
          <w:szCs w:val="24"/>
        </w:rPr>
        <w:t>The main issues are:</w:t>
      </w:r>
    </w:p>
    <w:p w:rsidR="00A82FC6" w:rsidRPr="00743335" w:rsidRDefault="00A82FC6" w:rsidP="00C9669A">
      <w:pPr>
        <w:pStyle w:val="BodyText"/>
        <w:numPr>
          <w:ilvl w:val="0"/>
          <w:numId w:val="12"/>
        </w:numPr>
        <w:ind w:left="426" w:hanging="426"/>
        <w:jc w:val="both"/>
        <w:rPr>
          <w:rFonts w:asciiTheme="minorHAnsi" w:eastAsia="SimSun" w:hAnsiTheme="minorHAnsi"/>
          <w:b/>
          <w:sz w:val="24"/>
          <w:szCs w:val="24"/>
        </w:rPr>
      </w:pPr>
      <w:r w:rsidRPr="00743335">
        <w:rPr>
          <w:rFonts w:asciiTheme="minorHAnsi" w:eastAsia="SimSun" w:hAnsiTheme="minorHAnsi"/>
          <w:sz w:val="24"/>
          <w:szCs w:val="24"/>
        </w:rPr>
        <w:t xml:space="preserve">The number of patients with FH and symptomatic ASCVD are likely to be underestimated because </w:t>
      </w:r>
    </w:p>
    <w:p w:rsidR="00A82FC6" w:rsidRPr="00743335" w:rsidRDefault="00A82FC6" w:rsidP="00C9669A">
      <w:pPr>
        <w:pStyle w:val="BodyText"/>
        <w:numPr>
          <w:ilvl w:val="1"/>
          <w:numId w:val="13"/>
        </w:numPr>
        <w:tabs>
          <w:tab w:val="left" w:pos="851"/>
        </w:tabs>
        <w:ind w:left="851" w:hanging="425"/>
        <w:jc w:val="both"/>
        <w:rPr>
          <w:rFonts w:asciiTheme="minorHAnsi" w:eastAsia="SimSun" w:hAnsiTheme="minorHAnsi"/>
          <w:b/>
          <w:sz w:val="24"/>
          <w:szCs w:val="24"/>
        </w:rPr>
      </w:pPr>
      <w:r w:rsidRPr="00743335">
        <w:rPr>
          <w:rFonts w:asciiTheme="minorHAnsi" w:eastAsia="SimSun" w:hAnsiTheme="minorHAnsi"/>
          <w:sz w:val="24"/>
          <w:szCs w:val="24"/>
        </w:rPr>
        <w:t>An adjustment for increased detection of FH is reasonable but should not have been applied to the proportion of patients with symptomatic disease who are presumably diagnosed</w:t>
      </w:r>
      <w:r w:rsidR="005E78E4" w:rsidRPr="00743335">
        <w:rPr>
          <w:rFonts w:asciiTheme="minorHAnsi" w:eastAsia="SimSun" w:hAnsiTheme="minorHAnsi"/>
          <w:sz w:val="24"/>
          <w:szCs w:val="24"/>
        </w:rPr>
        <w:t>. The pre-PBAC response (p2) suggested the assumption of prior diagnosis may not be correct and that the current diagnosis rate is low due to the complexity of the Dutch Lipid Clinical Network Score and the implications of diagnosis, and the expense of genetic testing</w:t>
      </w:r>
      <w:r w:rsidRPr="00743335">
        <w:rPr>
          <w:rFonts w:asciiTheme="minorHAnsi" w:eastAsia="SimSun" w:hAnsiTheme="minorHAnsi"/>
          <w:sz w:val="24"/>
          <w:szCs w:val="24"/>
        </w:rPr>
        <w:t>; and</w:t>
      </w:r>
    </w:p>
    <w:p w:rsidR="00A82FC6" w:rsidRPr="00743335" w:rsidRDefault="00A82FC6" w:rsidP="00C9669A">
      <w:pPr>
        <w:pStyle w:val="BodyText"/>
        <w:numPr>
          <w:ilvl w:val="1"/>
          <w:numId w:val="13"/>
        </w:numPr>
        <w:tabs>
          <w:tab w:val="left" w:pos="851"/>
        </w:tabs>
        <w:ind w:left="851" w:hanging="425"/>
        <w:jc w:val="both"/>
        <w:rPr>
          <w:rFonts w:asciiTheme="minorHAnsi" w:eastAsia="SimSun" w:hAnsiTheme="minorHAnsi"/>
          <w:b/>
          <w:sz w:val="24"/>
          <w:szCs w:val="24"/>
        </w:rPr>
      </w:pPr>
      <w:r w:rsidRPr="00743335">
        <w:rPr>
          <w:rFonts w:asciiTheme="minorHAnsi" w:eastAsia="SimSun" w:hAnsiTheme="minorHAnsi"/>
          <w:sz w:val="24"/>
          <w:szCs w:val="24"/>
        </w:rPr>
        <w:t xml:space="preserve">The proportion of the FH population with clinical disease can be determined from the AusDiab study but should have been applied to the adult rather than the overall Australian population.  </w:t>
      </w:r>
    </w:p>
    <w:p w:rsidR="00A82FC6" w:rsidRPr="00743335" w:rsidRDefault="00A82FC6" w:rsidP="00C9669A">
      <w:pPr>
        <w:pStyle w:val="ListParagraph"/>
        <w:widowControl w:val="0"/>
        <w:numPr>
          <w:ilvl w:val="0"/>
          <w:numId w:val="12"/>
        </w:numPr>
        <w:spacing w:before="0" w:after="0"/>
        <w:ind w:left="426" w:hanging="426"/>
        <w:contextualSpacing/>
        <w:jc w:val="both"/>
        <w:rPr>
          <w:rFonts w:eastAsia="SimSun"/>
          <w:szCs w:val="24"/>
        </w:rPr>
      </w:pPr>
      <w:r w:rsidRPr="00743335">
        <w:rPr>
          <w:rFonts w:eastAsia="SimSun"/>
          <w:szCs w:val="24"/>
        </w:rPr>
        <w:t>Estimating the size of the population with non-</w:t>
      </w:r>
      <w:r w:rsidR="008E0A1B" w:rsidRPr="00743335">
        <w:rPr>
          <w:rFonts w:eastAsia="SimSun"/>
          <w:szCs w:val="24"/>
        </w:rPr>
        <w:t xml:space="preserve">FH and </w:t>
      </w:r>
      <w:r w:rsidRPr="00743335">
        <w:rPr>
          <w:rFonts w:eastAsia="SimSun"/>
          <w:szCs w:val="24"/>
        </w:rPr>
        <w:t xml:space="preserve">ASCVD is difficult and the budget impact is highly uncertain. </w:t>
      </w:r>
      <w:r w:rsidR="008E0A1B" w:rsidRPr="00743335">
        <w:rPr>
          <w:rFonts w:eastAsia="SimSun"/>
          <w:szCs w:val="24"/>
        </w:rPr>
        <w:t xml:space="preserve">The </w:t>
      </w:r>
      <w:r w:rsidRPr="00743335">
        <w:rPr>
          <w:rFonts w:eastAsia="SimSun"/>
          <w:szCs w:val="24"/>
        </w:rPr>
        <w:t xml:space="preserve">DUSC agreed that the availability of evolocumab may result in growth in the market but the magnitude </w:t>
      </w:r>
      <w:r w:rsidR="006D5344">
        <w:rPr>
          <w:rFonts w:eastAsia="SimSun"/>
          <w:szCs w:val="24"/>
        </w:rPr>
        <w:t xml:space="preserve">of this growth </w:t>
      </w:r>
      <w:r w:rsidRPr="00743335">
        <w:rPr>
          <w:rFonts w:eastAsia="SimSun"/>
          <w:szCs w:val="24"/>
        </w:rPr>
        <w:t xml:space="preserve">is </w:t>
      </w:r>
      <w:r w:rsidR="006D5344">
        <w:rPr>
          <w:rFonts w:eastAsia="SimSun"/>
          <w:szCs w:val="24"/>
        </w:rPr>
        <w:t>unclear</w:t>
      </w:r>
      <w:r w:rsidRPr="00743335">
        <w:rPr>
          <w:rFonts w:eastAsia="SimSun"/>
          <w:szCs w:val="24"/>
        </w:rPr>
        <w:t>. People on lipid lowering therapies other than ezetimibe may be eligible for evolocumab and may not have been adequately accounted for in the estimates.</w:t>
      </w:r>
    </w:p>
    <w:p w:rsidR="00A82FC6" w:rsidRPr="00743335" w:rsidRDefault="00A82FC6" w:rsidP="004A09F4">
      <w:pPr>
        <w:pStyle w:val="BodyText"/>
        <w:numPr>
          <w:ilvl w:val="0"/>
          <w:numId w:val="12"/>
        </w:numPr>
        <w:ind w:left="426" w:hanging="426"/>
        <w:jc w:val="both"/>
        <w:rPr>
          <w:rFonts w:asciiTheme="minorHAnsi" w:eastAsia="SimSun" w:hAnsiTheme="minorHAnsi"/>
          <w:b/>
          <w:sz w:val="24"/>
          <w:szCs w:val="24"/>
        </w:rPr>
      </w:pPr>
      <w:r w:rsidRPr="00743335">
        <w:rPr>
          <w:rFonts w:asciiTheme="minorHAnsi" w:eastAsia="SimSun" w:hAnsiTheme="minorHAnsi"/>
          <w:sz w:val="24"/>
          <w:szCs w:val="24"/>
        </w:rPr>
        <w:t xml:space="preserve">The uptake of evolocumab in the eligible population (40% in Year 1 increasing to 70% for FH </w:t>
      </w:r>
      <w:r w:rsidR="008E0A1B" w:rsidRPr="00743335">
        <w:rPr>
          <w:rFonts w:asciiTheme="minorHAnsi" w:eastAsia="SimSun" w:hAnsiTheme="minorHAnsi"/>
          <w:sz w:val="24"/>
          <w:szCs w:val="24"/>
        </w:rPr>
        <w:t>and</w:t>
      </w:r>
      <w:r w:rsidRPr="00743335">
        <w:rPr>
          <w:rFonts w:asciiTheme="minorHAnsi" w:eastAsia="SimSun" w:hAnsiTheme="minorHAnsi"/>
          <w:sz w:val="24"/>
          <w:szCs w:val="24"/>
        </w:rPr>
        <w:t xml:space="preserve"> ASCVD; 20% increasing to 50% for FH primary prevention, 25% increasing to 50% for non-</w:t>
      </w:r>
      <w:r w:rsidR="008E0A1B" w:rsidRPr="00743335">
        <w:rPr>
          <w:rFonts w:asciiTheme="minorHAnsi" w:eastAsia="SimSun" w:hAnsiTheme="minorHAnsi"/>
          <w:sz w:val="24"/>
          <w:szCs w:val="24"/>
        </w:rPr>
        <w:t xml:space="preserve">FH and </w:t>
      </w:r>
      <w:r w:rsidRPr="00743335">
        <w:rPr>
          <w:rFonts w:asciiTheme="minorHAnsi" w:eastAsia="SimSun" w:hAnsiTheme="minorHAnsi"/>
          <w:sz w:val="24"/>
          <w:szCs w:val="24"/>
        </w:rPr>
        <w:t>ASCVD) is an overestimate based on uptake of injectable therapies in other chronic disease markets such as diabetes and osteoporosis.</w:t>
      </w:r>
      <w:r w:rsidR="00FB1372" w:rsidRPr="00743335">
        <w:rPr>
          <w:rFonts w:asciiTheme="minorHAnsi" w:eastAsia="SimSun" w:hAnsiTheme="minorHAnsi"/>
          <w:sz w:val="24"/>
          <w:szCs w:val="24"/>
        </w:rPr>
        <w:t xml:space="preserve"> </w:t>
      </w:r>
      <w:r w:rsidR="00FB1372" w:rsidRPr="0086430F">
        <w:rPr>
          <w:rFonts w:asciiTheme="minorHAnsi" w:eastAsia="SimSun" w:hAnsiTheme="minorHAnsi"/>
          <w:sz w:val="24"/>
          <w:szCs w:val="24"/>
        </w:rPr>
        <w:t xml:space="preserve">In the </w:t>
      </w:r>
      <w:r w:rsidR="00FB1372" w:rsidRPr="00743335">
        <w:rPr>
          <w:rFonts w:asciiTheme="minorHAnsi" w:eastAsia="SimSun" w:hAnsiTheme="minorHAnsi"/>
          <w:sz w:val="24"/>
          <w:szCs w:val="24"/>
        </w:rPr>
        <w:t xml:space="preserve">pre-PBAC </w:t>
      </w:r>
      <w:r w:rsidR="00743335" w:rsidRPr="00743335">
        <w:rPr>
          <w:rFonts w:asciiTheme="minorHAnsi" w:eastAsia="SimSun" w:hAnsiTheme="minorHAnsi"/>
          <w:sz w:val="24"/>
          <w:szCs w:val="24"/>
        </w:rPr>
        <w:t>response,</w:t>
      </w:r>
      <w:r w:rsidR="00FB1372" w:rsidRPr="00743335">
        <w:rPr>
          <w:rFonts w:asciiTheme="minorHAnsi" w:eastAsia="SimSun" w:hAnsiTheme="minorHAnsi"/>
          <w:sz w:val="24"/>
          <w:szCs w:val="24"/>
        </w:rPr>
        <w:t xml:space="preserve"> the sponsor consider</w:t>
      </w:r>
      <w:r w:rsidR="004A09F4">
        <w:rPr>
          <w:rFonts w:asciiTheme="minorHAnsi" w:eastAsia="SimSun" w:hAnsiTheme="minorHAnsi"/>
          <w:sz w:val="24"/>
          <w:szCs w:val="24"/>
        </w:rPr>
        <w:t>ed</w:t>
      </w:r>
      <w:r w:rsidR="00FB1372" w:rsidRPr="00743335">
        <w:rPr>
          <w:rFonts w:asciiTheme="minorHAnsi" w:eastAsia="SimSun" w:hAnsiTheme="minorHAnsi"/>
          <w:sz w:val="24"/>
          <w:szCs w:val="24"/>
        </w:rPr>
        <w:t xml:space="preserve"> that the particular characteristics that the medicine has relative to its alternatives</w:t>
      </w:r>
      <w:r w:rsidR="00301372" w:rsidRPr="00743335">
        <w:rPr>
          <w:rFonts w:asciiTheme="minorHAnsi" w:eastAsia="SimSun" w:hAnsiTheme="minorHAnsi"/>
          <w:sz w:val="24"/>
          <w:szCs w:val="24"/>
        </w:rPr>
        <w:t xml:space="preserve"> (</w:t>
      </w:r>
      <w:r w:rsidR="00FB1372" w:rsidRPr="00743335">
        <w:rPr>
          <w:rFonts w:asciiTheme="minorHAnsi" w:eastAsia="SimSun" w:hAnsiTheme="minorHAnsi"/>
          <w:sz w:val="24"/>
          <w:szCs w:val="24"/>
        </w:rPr>
        <w:t>rather than the route of administration</w:t>
      </w:r>
      <w:r w:rsidR="00301372" w:rsidRPr="00743335">
        <w:rPr>
          <w:rFonts w:asciiTheme="minorHAnsi" w:eastAsia="SimSun" w:hAnsiTheme="minorHAnsi"/>
          <w:sz w:val="24"/>
          <w:szCs w:val="24"/>
        </w:rPr>
        <w:t>)</w:t>
      </w:r>
      <w:r w:rsidR="00FB1372" w:rsidRPr="00743335">
        <w:rPr>
          <w:rFonts w:asciiTheme="minorHAnsi" w:eastAsia="SimSun" w:hAnsiTheme="minorHAnsi"/>
          <w:sz w:val="24"/>
          <w:szCs w:val="24"/>
        </w:rPr>
        <w:t xml:space="preserve"> may be the most important factor in uptake. </w:t>
      </w:r>
    </w:p>
    <w:p w:rsidR="008C7D41" w:rsidRPr="00743335" w:rsidRDefault="008C7D41" w:rsidP="008C7D41">
      <w:pPr>
        <w:pStyle w:val="ListParagraph"/>
        <w:ind w:left="709"/>
        <w:jc w:val="both"/>
        <w:rPr>
          <w:i/>
        </w:rPr>
      </w:pPr>
      <w:r w:rsidRPr="00743335">
        <w:rPr>
          <w:i/>
        </w:rPr>
        <w:t>For more detail on PBAC’s view, see section 7 PBAC outcome.</w:t>
      </w:r>
    </w:p>
    <w:p w:rsidR="00C317F3" w:rsidRPr="00743335" w:rsidRDefault="00C317F3" w:rsidP="00772501">
      <w:pPr>
        <w:pStyle w:val="Heading2"/>
      </w:pPr>
      <w:r w:rsidRPr="00743335">
        <w:t xml:space="preserve">Quality </w:t>
      </w:r>
      <w:r w:rsidR="00661286" w:rsidRPr="00743335">
        <w:t>u</w:t>
      </w:r>
      <w:r w:rsidRPr="00743335">
        <w:t xml:space="preserve">se of </w:t>
      </w:r>
      <w:r w:rsidR="00661286" w:rsidRPr="00743335">
        <w:t>m</w:t>
      </w:r>
      <w:r w:rsidRPr="00743335">
        <w:t>edicines</w:t>
      </w:r>
      <w:bookmarkEnd w:id="30"/>
      <w:bookmarkEnd w:id="31"/>
    </w:p>
    <w:p w:rsidR="00203291" w:rsidRPr="00743335" w:rsidRDefault="00203291" w:rsidP="003D14A1">
      <w:pPr>
        <w:pStyle w:val="ListParagraph"/>
        <w:numPr>
          <w:ilvl w:val="1"/>
          <w:numId w:val="1"/>
        </w:numPr>
        <w:spacing w:before="0" w:after="120"/>
        <w:ind w:left="709" w:hanging="709"/>
        <w:jc w:val="both"/>
      </w:pPr>
      <w:r w:rsidRPr="00743335">
        <w:t xml:space="preserve">The </w:t>
      </w:r>
      <w:r w:rsidR="009F203E" w:rsidRPr="00743335">
        <w:t>re</w:t>
      </w:r>
      <w:r w:rsidRPr="00743335">
        <w:t>submission claimed that the requested Authority Required restriction would reduce the risk of inappropriate use. The resubmission also stated that the sponsor provides a number of education tools for clinicians to assist in identifying eligible patients and provides financial support for the maintenance of a national familial hypercholesterolaemia registry. A patient support program for evolocumab was also commenced in 2016 and includes information about evolocumab and an injection reminder service.</w:t>
      </w:r>
    </w:p>
    <w:p w:rsidR="00C317F3" w:rsidRPr="00743335" w:rsidRDefault="00203291" w:rsidP="003D14A1">
      <w:pPr>
        <w:pStyle w:val="ListParagraph"/>
        <w:numPr>
          <w:ilvl w:val="1"/>
          <w:numId w:val="1"/>
        </w:numPr>
        <w:spacing w:before="0" w:after="120"/>
        <w:ind w:left="709" w:hanging="709"/>
        <w:jc w:val="both"/>
      </w:pPr>
      <w:r w:rsidRPr="00743335">
        <w:t>It is unclear whether the requested restriction</w:t>
      </w:r>
      <w:r w:rsidR="00615391" w:rsidRPr="00743335">
        <w:t xml:space="preserve"> (authority level, clinical criteria for statin intolerance)</w:t>
      </w:r>
      <w:r w:rsidRPr="00743335">
        <w:t xml:space="preserve"> and other proposed activities adequately address quality use of medicine issues surrounding statin intolerance (identification of intolerance, </w:t>
      </w:r>
      <w:r w:rsidR="00615391" w:rsidRPr="00743335">
        <w:t>early use of second-line therapies before optimal statin titration</w:t>
      </w:r>
      <w:r w:rsidRPr="00743335">
        <w:t>).</w:t>
      </w:r>
    </w:p>
    <w:p w:rsidR="00A82FC6" w:rsidRPr="00743335" w:rsidRDefault="00A82FC6" w:rsidP="003D14A1">
      <w:pPr>
        <w:pStyle w:val="ListParagraph"/>
        <w:numPr>
          <w:ilvl w:val="1"/>
          <w:numId w:val="1"/>
        </w:numPr>
        <w:spacing w:before="0" w:after="120"/>
        <w:ind w:left="709" w:hanging="709"/>
        <w:jc w:val="both"/>
      </w:pPr>
      <w:r w:rsidRPr="003D14A1">
        <w:t>The</w:t>
      </w:r>
      <w:r w:rsidRPr="00743335">
        <w:rPr>
          <w:rFonts w:eastAsia="SimSun"/>
          <w:szCs w:val="24"/>
        </w:rPr>
        <w:t xml:space="preserve"> DUSC noted the population with CVD is not homogenous. The submission did not consider QUM </w:t>
      </w:r>
      <w:r w:rsidRPr="00743335">
        <w:t>initiatives</w:t>
      </w:r>
      <w:r w:rsidRPr="00743335">
        <w:rPr>
          <w:rFonts w:eastAsia="SimSun"/>
          <w:szCs w:val="24"/>
        </w:rPr>
        <w:t xml:space="preserve"> for the populations with the highest burden of CVD including Aboriginal and Torres Strait Islanders and those with mental illness.</w:t>
      </w:r>
    </w:p>
    <w:p w:rsidR="00C317F3" w:rsidRPr="00743335" w:rsidRDefault="00C317F3" w:rsidP="00772501">
      <w:pPr>
        <w:pStyle w:val="Heading2"/>
      </w:pPr>
      <w:bookmarkStart w:id="32" w:name="_Toc413139286"/>
      <w:bookmarkStart w:id="33" w:name="_Toc492314265"/>
      <w:r w:rsidRPr="00743335">
        <w:t xml:space="preserve">Financial </w:t>
      </w:r>
      <w:r w:rsidR="00661286" w:rsidRPr="00743335">
        <w:t>m</w:t>
      </w:r>
      <w:r w:rsidRPr="00743335">
        <w:t xml:space="preserve">anagement – </w:t>
      </w:r>
      <w:r w:rsidR="00661286" w:rsidRPr="00743335">
        <w:t>r</w:t>
      </w:r>
      <w:r w:rsidRPr="00743335">
        <w:t xml:space="preserve">isk </w:t>
      </w:r>
      <w:r w:rsidR="00661286" w:rsidRPr="00743335">
        <w:t>s</w:t>
      </w:r>
      <w:r w:rsidRPr="00743335">
        <w:t xml:space="preserve">haring </w:t>
      </w:r>
      <w:r w:rsidR="00661286" w:rsidRPr="00743335">
        <w:t>a</w:t>
      </w:r>
      <w:r w:rsidRPr="00743335">
        <w:t>rrangements</w:t>
      </w:r>
      <w:bookmarkEnd w:id="32"/>
      <w:bookmarkEnd w:id="33"/>
    </w:p>
    <w:p w:rsidR="00866461" w:rsidRPr="00743335" w:rsidRDefault="00866461" w:rsidP="003D14A1">
      <w:pPr>
        <w:pStyle w:val="ListParagraph"/>
        <w:numPr>
          <w:ilvl w:val="1"/>
          <w:numId w:val="1"/>
        </w:numPr>
        <w:spacing w:before="0" w:after="120"/>
        <w:ind w:left="709" w:hanging="709"/>
        <w:jc w:val="both"/>
      </w:pPr>
      <w:r w:rsidRPr="00743335">
        <w:t xml:space="preserve">The current listing of evolocumab is subject to a risk sharing arrangement (subsidisation cap). The resubmission states that the sponsor is willing to consider a revised risk share arrangement for evolocumab which reflects forecast utilisation under the recommended restrictions and which will provide certainty as to the absolute maximum cost of evolocumab to the PBS. </w:t>
      </w:r>
    </w:p>
    <w:p w:rsidR="00C317F3" w:rsidRPr="00743335" w:rsidRDefault="00866461" w:rsidP="003D14A1">
      <w:pPr>
        <w:pStyle w:val="ListParagraph"/>
        <w:numPr>
          <w:ilvl w:val="1"/>
          <w:numId w:val="1"/>
        </w:numPr>
        <w:spacing w:before="0" w:after="120"/>
        <w:ind w:left="709" w:hanging="709"/>
        <w:jc w:val="both"/>
      </w:pPr>
      <w:r w:rsidRPr="00743335">
        <w:t>The current listing of evolocumab is subject to a special pricing arrangement (</w:t>
      </w:r>
      <w:r w:rsidR="007F7043">
        <w:rPr>
          <w:noProof/>
          <w:color w:val="000000"/>
          <w:highlight w:val="black"/>
        </w:rPr>
        <w:t>''''''''''''</w:t>
      </w:r>
      <w:r w:rsidRPr="00743335">
        <w:t>% rebate on government expenditure). The resubmission proposed a revision of the special pricing arrangement to include a further discount for the expanded listing (</w:t>
      </w:r>
      <w:r w:rsidR="007F7043">
        <w:rPr>
          <w:noProof/>
          <w:color w:val="000000"/>
          <w:highlight w:val="black"/>
        </w:rPr>
        <w:t>'''''''''</w:t>
      </w:r>
      <w:r w:rsidRPr="00743335">
        <w:t>% rebate on government expenditure).</w:t>
      </w:r>
    </w:p>
    <w:p w:rsidR="008C7D41" w:rsidRPr="00743335" w:rsidRDefault="008C7D41" w:rsidP="008C7D41">
      <w:pPr>
        <w:pStyle w:val="ListParagraph"/>
        <w:ind w:left="709"/>
        <w:jc w:val="both"/>
        <w:rPr>
          <w:i/>
        </w:rPr>
      </w:pPr>
      <w:r w:rsidRPr="00743335">
        <w:rPr>
          <w:i/>
        </w:rPr>
        <w:t>For more detail on PBAC’s view, see section 7 PBAC outcome.</w:t>
      </w:r>
    </w:p>
    <w:p w:rsidR="009C4BD2" w:rsidRPr="00743335" w:rsidRDefault="009C4BD2" w:rsidP="00C9669A">
      <w:pPr>
        <w:pStyle w:val="Heading1"/>
        <w:ind w:left="709" w:hanging="709"/>
      </w:pPr>
      <w:r w:rsidRPr="00743335">
        <w:t>PBAC Outcome</w:t>
      </w:r>
    </w:p>
    <w:p w:rsidR="00223789" w:rsidRPr="005B2316" w:rsidRDefault="00223789" w:rsidP="003D14A1">
      <w:pPr>
        <w:pStyle w:val="ListParagraph"/>
        <w:numPr>
          <w:ilvl w:val="1"/>
          <w:numId w:val="1"/>
        </w:numPr>
        <w:spacing w:before="0" w:after="120"/>
        <w:ind w:left="709" w:hanging="709"/>
        <w:jc w:val="both"/>
        <w:rPr>
          <w:rFonts w:cs="Arial"/>
          <w:bCs/>
          <w:snapToGrid w:val="0"/>
        </w:rPr>
      </w:pPr>
      <w:r w:rsidRPr="005B2316">
        <w:rPr>
          <w:snapToGrid w:val="0"/>
        </w:rPr>
        <w:t>The PBAC deferred making a recommendation to extend the PBS listing of evolocumab for patients with familial hypercholester</w:t>
      </w:r>
      <w:r w:rsidR="00301372" w:rsidRPr="005B2316">
        <w:rPr>
          <w:snapToGrid w:val="0"/>
        </w:rPr>
        <w:t>o</w:t>
      </w:r>
      <w:r w:rsidRPr="005B2316">
        <w:rPr>
          <w:snapToGrid w:val="0"/>
        </w:rPr>
        <w:t>laemia in order to address the residual uncertainty with the economic model following revisions provided in the pre-PBAC response. The PBAC did not recommend the listing of evolocumab for patients with non-familial hypercholeste</w:t>
      </w:r>
      <w:r w:rsidR="00301372" w:rsidRPr="005B2316">
        <w:rPr>
          <w:snapToGrid w:val="0"/>
        </w:rPr>
        <w:t>r</w:t>
      </w:r>
      <w:r w:rsidRPr="005B2316">
        <w:rPr>
          <w:snapToGrid w:val="0"/>
        </w:rPr>
        <w:t xml:space="preserve">olaemia with atherosclerotic disease on the basis of a high incremental cost effectiveness ratio and high and uncertain patient population numbers. </w:t>
      </w:r>
    </w:p>
    <w:p w:rsidR="00C90607" w:rsidRPr="00743335" w:rsidRDefault="00C90607" w:rsidP="00C90607">
      <w:pPr>
        <w:pStyle w:val="Heading2"/>
      </w:pPr>
      <w:r w:rsidRPr="00743335">
        <w:t>Familial hypercholester</w:t>
      </w:r>
      <w:r w:rsidR="00301372" w:rsidRPr="00743335">
        <w:t>o</w:t>
      </w:r>
      <w:r w:rsidRPr="00743335">
        <w:t>laemia (FH)</w:t>
      </w:r>
    </w:p>
    <w:p w:rsidR="00C90607" w:rsidRPr="00743335" w:rsidRDefault="00C90607" w:rsidP="003D14A1">
      <w:pPr>
        <w:pStyle w:val="ListParagraph"/>
        <w:numPr>
          <w:ilvl w:val="1"/>
          <w:numId w:val="1"/>
        </w:numPr>
        <w:spacing w:before="0" w:after="120"/>
        <w:ind w:left="709" w:hanging="709"/>
        <w:jc w:val="both"/>
        <w:rPr>
          <w:rFonts w:cs="Arial"/>
          <w:bCs/>
          <w:snapToGrid w:val="0"/>
        </w:rPr>
      </w:pPr>
      <w:r w:rsidRPr="003D14A1">
        <w:t>The</w:t>
      </w:r>
      <w:r w:rsidRPr="00743335">
        <w:rPr>
          <w:rFonts w:cs="Arial"/>
          <w:bCs/>
          <w:snapToGrid w:val="0"/>
        </w:rPr>
        <w:t xml:space="preserve"> PBAC noted the high unmet clinical need for additional effective therapy for patients with FH</w:t>
      </w:r>
      <w:r w:rsidR="00BC4700" w:rsidRPr="00743335">
        <w:rPr>
          <w:rFonts w:cs="Arial"/>
          <w:bCs/>
          <w:snapToGrid w:val="0"/>
        </w:rPr>
        <w:t xml:space="preserve">, recognising the increased risk of CV </w:t>
      </w:r>
      <w:r w:rsidR="0073428D" w:rsidRPr="00743335">
        <w:rPr>
          <w:rFonts w:cs="Arial"/>
          <w:bCs/>
          <w:snapToGrid w:val="0"/>
        </w:rPr>
        <w:t xml:space="preserve">events </w:t>
      </w:r>
      <w:r w:rsidR="004107A8" w:rsidRPr="00743335">
        <w:rPr>
          <w:rFonts w:cs="Arial"/>
          <w:bCs/>
          <w:snapToGrid w:val="0"/>
        </w:rPr>
        <w:t>for the FH population is not captured in risk calculators based on</w:t>
      </w:r>
      <w:r w:rsidR="00BC4700" w:rsidRPr="00743335">
        <w:rPr>
          <w:rFonts w:cs="Arial"/>
          <w:bCs/>
          <w:snapToGrid w:val="0"/>
        </w:rPr>
        <w:t xml:space="preserve"> LDL-c</w:t>
      </w:r>
      <w:r w:rsidRPr="00743335">
        <w:rPr>
          <w:rFonts w:cs="Arial"/>
          <w:bCs/>
          <w:snapToGrid w:val="0"/>
        </w:rPr>
        <w:t xml:space="preserve">. The PBAC considered that optimal dosing and </w:t>
      </w:r>
      <w:r w:rsidR="00255EB3" w:rsidRPr="00743335">
        <w:rPr>
          <w:rFonts w:cs="Arial"/>
          <w:bCs/>
          <w:snapToGrid w:val="0"/>
        </w:rPr>
        <w:t>up titration</w:t>
      </w:r>
      <w:r w:rsidRPr="00743335">
        <w:rPr>
          <w:rFonts w:cs="Arial"/>
          <w:bCs/>
          <w:snapToGrid w:val="0"/>
        </w:rPr>
        <w:t xml:space="preserve"> </w:t>
      </w:r>
      <w:r w:rsidR="009448D0" w:rsidRPr="00743335">
        <w:rPr>
          <w:rFonts w:cs="Arial"/>
          <w:bCs/>
          <w:snapToGrid w:val="0"/>
        </w:rPr>
        <w:t xml:space="preserve">of statins </w:t>
      </w:r>
      <w:r w:rsidRPr="00743335">
        <w:rPr>
          <w:rFonts w:cs="Arial"/>
          <w:bCs/>
          <w:snapToGrid w:val="0"/>
        </w:rPr>
        <w:t>remain</w:t>
      </w:r>
      <w:r w:rsidR="00EF4131" w:rsidRPr="00743335">
        <w:rPr>
          <w:rFonts w:cs="Arial"/>
          <w:bCs/>
          <w:snapToGrid w:val="0"/>
        </w:rPr>
        <w:t>s</w:t>
      </w:r>
      <w:r w:rsidRPr="00743335">
        <w:rPr>
          <w:rFonts w:cs="Arial"/>
          <w:bCs/>
          <w:snapToGrid w:val="0"/>
        </w:rPr>
        <w:t xml:space="preserve"> a major QUM</w:t>
      </w:r>
      <w:r w:rsidR="00C73834" w:rsidRPr="00743335">
        <w:rPr>
          <w:rFonts w:cs="Arial"/>
          <w:bCs/>
          <w:snapToGrid w:val="0"/>
        </w:rPr>
        <w:t xml:space="preserve"> issue, however the committee noted the sponsor hearing emphasised that for the FH population at </w:t>
      </w:r>
      <w:r w:rsidR="00EF4131" w:rsidRPr="00743335">
        <w:rPr>
          <w:rFonts w:cs="Arial"/>
          <w:bCs/>
          <w:snapToGrid w:val="0"/>
        </w:rPr>
        <w:t>elevated</w:t>
      </w:r>
      <w:r w:rsidR="00C73834" w:rsidRPr="00743335">
        <w:rPr>
          <w:rFonts w:cs="Arial"/>
          <w:bCs/>
          <w:snapToGrid w:val="0"/>
        </w:rPr>
        <w:t xml:space="preserve"> risk of CV events, it is not in patients’ interest to discontinue use of statins and/or ezetimibe</w:t>
      </w:r>
      <w:r w:rsidR="00961D1D">
        <w:rPr>
          <w:rFonts w:cs="Arial"/>
          <w:bCs/>
          <w:snapToGrid w:val="0"/>
        </w:rPr>
        <w:t xml:space="preserve"> or to not uptitrate statins as required to attain target LDL-c levels</w:t>
      </w:r>
      <w:r w:rsidR="00C73834" w:rsidRPr="00743335">
        <w:rPr>
          <w:rFonts w:cs="Arial"/>
          <w:bCs/>
          <w:snapToGrid w:val="0"/>
        </w:rPr>
        <w:t>.</w:t>
      </w:r>
    </w:p>
    <w:p w:rsidR="008425B0" w:rsidRPr="00743335" w:rsidRDefault="00255EB3" w:rsidP="003D14A1">
      <w:pPr>
        <w:pStyle w:val="ListParagraph"/>
        <w:numPr>
          <w:ilvl w:val="1"/>
          <w:numId w:val="1"/>
        </w:numPr>
        <w:spacing w:before="0" w:after="120"/>
        <w:ind w:left="709" w:hanging="709"/>
        <w:jc w:val="both"/>
        <w:rPr>
          <w:rFonts w:cs="Arial"/>
          <w:bCs/>
          <w:snapToGrid w:val="0"/>
        </w:rPr>
      </w:pPr>
      <w:r w:rsidRPr="00743335">
        <w:rPr>
          <w:rFonts w:cs="Arial"/>
          <w:bCs/>
          <w:snapToGrid w:val="0"/>
        </w:rPr>
        <w:t xml:space="preserve">The PBAC </w:t>
      </w:r>
      <w:r w:rsidR="009448D0" w:rsidRPr="00743335">
        <w:rPr>
          <w:rFonts w:cs="Arial"/>
          <w:bCs/>
          <w:snapToGrid w:val="0"/>
        </w:rPr>
        <w:t>not</w:t>
      </w:r>
      <w:r w:rsidRPr="00743335">
        <w:rPr>
          <w:rFonts w:cs="Arial"/>
          <w:bCs/>
          <w:snapToGrid w:val="0"/>
        </w:rPr>
        <w:t xml:space="preserve">ed the proposed Authority Required (written) restriction was complex as there are multiple considerations required to define a potentially cost-effective population. </w:t>
      </w:r>
    </w:p>
    <w:p w:rsidR="008425B0" w:rsidRPr="00743335" w:rsidRDefault="0073428D" w:rsidP="008425B0">
      <w:pPr>
        <w:pStyle w:val="ListParagraph"/>
        <w:widowControl w:val="0"/>
        <w:numPr>
          <w:ilvl w:val="0"/>
          <w:numId w:val="19"/>
        </w:numPr>
        <w:spacing w:before="0" w:after="120"/>
        <w:jc w:val="both"/>
        <w:rPr>
          <w:rFonts w:cs="Arial"/>
          <w:bCs/>
          <w:snapToGrid w:val="0"/>
        </w:rPr>
      </w:pPr>
      <w:r w:rsidRPr="00743335">
        <w:rPr>
          <w:rFonts w:cs="Arial"/>
          <w:bCs/>
          <w:snapToGrid w:val="0"/>
        </w:rPr>
        <w:t>The proposed reduction</w:t>
      </w:r>
      <w:r w:rsidR="009448D0" w:rsidRPr="00743335">
        <w:rPr>
          <w:rFonts w:cs="Arial"/>
          <w:bCs/>
          <w:snapToGrid w:val="0"/>
        </w:rPr>
        <w:t xml:space="preserve"> </w:t>
      </w:r>
      <w:r w:rsidRPr="00743335">
        <w:rPr>
          <w:rFonts w:cs="Arial"/>
          <w:bCs/>
          <w:snapToGrid w:val="0"/>
        </w:rPr>
        <w:t>in</w:t>
      </w:r>
      <w:r w:rsidR="00255EB3" w:rsidRPr="00743335">
        <w:rPr>
          <w:rFonts w:cs="Arial"/>
          <w:bCs/>
          <w:snapToGrid w:val="0"/>
        </w:rPr>
        <w:t xml:space="preserve"> the Dutch Lipid Clinic Network Score from </w:t>
      </w:r>
      <w:r w:rsidR="00E83B77" w:rsidRPr="00743335">
        <w:rPr>
          <w:rFonts w:cs="Arial"/>
          <w:bCs/>
          <w:snapToGrid w:val="0"/>
        </w:rPr>
        <w:t xml:space="preserve">at least </w:t>
      </w:r>
      <w:r w:rsidR="00255EB3" w:rsidRPr="00743335">
        <w:rPr>
          <w:rFonts w:cs="Arial"/>
          <w:bCs/>
          <w:snapToGrid w:val="0"/>
        </w:rPr>
        <w:t xml:space="preserve">7 </w:t>
      </w:r>
      <w:r w:rsidR="008425B0" w:rsidRPr="00743335">
        <w:rPr>
          <w:rFonts w:cs="Arial"/>
          <w:bCs/>
          <w:snapToGrid w:val="0"/>
        </w:rPr>
        <w:t>(</w:t>
      </w:r>
      <w:r w:rsidR="00255EB3" w:rsidRPr="00743335">
        <w:rPr>
          <w:rFonts w:cs="Arial"/>
          <w:bCs/>
          <w:snapToGrid w:val="0"/>
        </w:rPr>
        <w:t>in the current homozygous FH PBS listing</w:t>
      </w:r>
      <w:r w:rsidR="008425B0" w:rsidRPr="00743335">
        <w:rPr>
          <w:rFonts w:cs="Arial"/>
          <w:bCs/>
          <w:snapToGrid w:val="0"/>
        </w:rPr>
        <w:t>)</w:t>
      </w:r>
      <w:r w:rsidR="00255EB3" w:rsidRPr="00743335">
        <w:rPr>
          <w:rFonts w:cs="Arial"/>
          <w:bCs/>
          <w:snapToGrid w:val="0"/>
        </w:rPr>
        <w:t xml:space="preserve"> to </w:t>
      </w:r>
      <w:r w:rsidR="00E83B77" w:rsidRPr="00743335">
        <w:rPr>
          <w:rFonts w:cs="Arial"/>
          <w:bCs/>
          <w:snapToGrid w:val="0"/>
        </w:rPr>
        <w:t xml:space="preserve">at least </w:t>
      </w:r>
      <w:r w:rsidR="00255EB3" w:rsidRPr="00743335">
        <w:rPr>
          <w:rFonts w:cs="Arial"/>
          <w:bCs/>
          <w:snapToGrid w:val="0"/>
        </w:rPr>
        <w:t>6</w:t>
      </w:r>
      <w:r w:rsidR="008425B0" w:rsidRPr="00743335">
        <w:rPr>
          <w:rFonts w:cs="Arial"/>
          <w:bCs/>
          <w:snapToGrid w:val="0"/>
        </w:rPr>
        <w:t xml:space="preserve"> (</w:t>
      </w:r>
      <w:r w:rsidR="00EA69F6" w:rsidRPr="00743335">
        <w:rPr>
          <w:rFonts w:cs="Arial"/>
          <w:bCs/>
          <w:snapToGrid w:val="0"/>
        </w:rPr>
        <w:t>for a broader listing</w:t>
      </w:r>
      <w:r w:rsidR="00255EB3" w:rsidRPr="00743335">
        <w:rPr>
          <w:rFonts w:cs="Arial"/>
          <w:bCs/>
          <w:snapToGrid w:val="0"/>
        </w:rPr>
        <w:t xml:space="preserve"> </w:t>
      </w:r>
      <w:r w:rsidR="00EA69F6" w:rsidRPr="00743335">
        <w:rPr>
          <w:rFonts w:cs="Arial"/>
          <w:bCs/>
          <w:snapToGrid w:val="0"/>
        </w:rPr>
        <w:t>that includes both homozygous and heterozygous FH</w:t>
      </w:r>
      <w:r w:rsidR="008425B0" w:rsidRPr="00743335">
        <w:rPr>
          <w:rFonts w:cs="Arial"/>
          <w:bCs/>
          <w:snapToGrid w:val="0"/>
        </w:rPr>
        <w:t>)</w:t>
      </w:r>
      <w:r w:rsidR="00EA69F6" w:rsidRPr="00743335">
        <w:rPr>
          <w:rFonts w:cs="Arial"/>
          <w:bCs/>
          <w:snapToGrid w:val="0"/>
        </w:rPr>
        <w:t xml:space="preserve"> </w:t>
      </w:r>
      <w:r w:rsidR="00255EB3" w:rsidRPr="00743335">
        <w:rPr>
          <w:rFonts w:cs="Arial"/>
          <w:bCs/>
          <w:snapToGrid w:val="0"/>
        </w:rPr>
        <w:t>appears reasonable</w:t>
      </w:r>
      <w:r w:rsidR="008425B0" w:rsidRPr="00743335">
        <w:rPr>
          <w:rFonts w:cs="Arial"/>
          <w:bCs/>
          <w:snapToGrid w:val="0"/>
        </w:rPr>
        <w:t>,</w:t>
      </w:r>
      <w:r w:rsidR="00255EB3" w:rsidRPr="00743335">
        <w:rPr>
          <w:rFonts w:cs="Arial"/>
          <w:bCs/>
          <w:snapToGrid w:val="0"/>
        </w:rPr>
        <w:t xml:space="preserve"> as the PBAC noted a score </w:t>
      </w:r>
      <w:r w:rsidR="00E83B77" w:rsidRPr="00743335">
        <w:rPr>
          <w:rFonts w:cs="Arial"/>
          <w:bCs/>
          <w:snapToGrid w:val="0"/>
        </w:rPr>
        <w:t>of</w:t>
      </w:r>
      <w:r w:rsidR="00255EB3" w:rsidRPr="00743335">
        <w:rPr>
          <w:rFonts w:cs="Arial"/>
          <w:bCs/>
          <w:snapToGrid w:val="0"/>
        </w:rPr>
        <w:t xml:space="preserve"> 6–</w:t>
      </w:r>
      <w:r w:rsidR="008425B0" w:rsidRPr="00743335">
        <w:rPr>
          <w:rFonts w:cs="Arial"/>
          <w:bCs/>
          <w:snapToGrid w:val="0"/>
        </w:rPr>
        <w:t>8</w:t>
      </w:r>
      <w:r w:rsidR="00255EB3" w:rsidRPr="00743335">
        <w:rPr>
          <w:rFonts w:cs="Arial"/>
          <w:bCs/>
          <w:snapToGrid w:val="0"/>
        </w:rPr>
        <w:t xml:space="preserve"> is </w:t>
      </w:r>
      <w:r w:rsidR="008425B0" w:rsidRPr="00743335">
        <w:rPr>
          <w:rFonts w:cs="Arial"/>
          <w:bCs/>
          <w:snapToGrid w:val="0"/>
        </w:rPr>
        <w:t xml:space="preserve">considered </w:t>
      </w:r>
      <w:r w:rsidR="00E83B77" w:rsidRPr="00743335">
        <w:rPr>
          <w:rFonts w:cs="Arial"/>
          <w:bCs/>
          <w:snapToGrid w:val="0"/>
        </w:rPr>
        <w:t>probable FH.</w:t>
      </w:r>
      <w:r w:rsidR="00255EB3" w:rsidRPr="00743335">
        <w:rPr>
          <w:rFonts w:cs="Arial"/>
          <w:bCs/>
          <w:snapToGrid w:val="0"/>
        </w:rPr>
        <w:t xml:space="preserve"> </w:t>
      </w:r>
    </w:p>
    <w:p w:rsidR="00C73834" w:rsidRPr="00743335" w:rsidRDefault="00E83B77" w:rsidP="008425B0">
      <w:pPr>
        <w:pStyle w:val="ListParagraph"/>
        <w:widowControl w:val="0"/>
        <w:numPr>
          <w:ilvl w:val="0"/>
          <w:numId w:val="19"/>
        </w:numPr>
        <w:spacing w:before="0" w:after="120"/>
        <w:jc w:val="both"/>
        <w:rPr>
          <w:rFonts w:cs="Arial"/>
          <w:bCs/>
          <w:snapToGrid w:val="0"/>
        </w:rPr>
      </w:pPr>
      <w:r w:rsidRPr="00743335">
        <w:rPr>
          <w:rFonts w:cs="Arial"/>
          <w:bCs/>
          <w:snapToGrid w:val="0"/>
        </w:rPr>
        <w:t xml:space="preserve">The </w:t>
      </w:r>
      <w:r w:rsidR="004F36B4" w:rsidRPr="00743335">
        <w:rPr>
          <w:rFonts w:cs="Arial"/>
          <w:bCs/>
          <w:snapToGrid w:val="0"/>
        </w:rPr>
        <w:t xml:space="preserve">PBAC noted the </w:t>
      </w:r>
      <w:r w:rsidRPr="00743335">
        <w:rPr>
          <w:rFonts w:cs="Arial"/>
          <w:bCs/>
          <w:snapToGrid w:val="0"/>
        </w:rPr>
        <w:t xml:space="preserve">proposed LDL-c </w:t>
      </w:r>
      <w:r w:rsidR="004F36B4" w:rsidRPr="00743335">
        <w:t xml:space="preserve">qualifying thresholds of </w:t>
      </w:r>
      <w:r w:rsidR="004F36B4" w:rsidRPr="00743335">
        <w:rPr>
          <w:u w:val="single"/>
        </w:rPr>
        <w:t>&gt;</w:t>
      </w:r>
      <w:r w:rsidR="004F36B4" w:rsidRPr="00743335">
        <w:t xml:space="preserve"> 3.3 mmol/L in </w:t>
      </w:r>
      <w:r w:rsidR="00EF4131" w:rsidRPr="00743335">
        <w:t>FH</w:t>
      </w:r>
      <w:r w:rsidR="004F36B4" w:rsidRPr="00743335">
        <w:t xml:space="preserve"> patients with ASCVD and </w:t>
      </w:r>
      <w:r w:rsidR="004F36B4" w:rsidRPr="00743335">
        <w:rPr>
          <w:u w:val="single"/>
        </w:rPr>
        <w:t>&gt;</w:t>
      </w:r>
      <w:r w:rsidR="00EF4131" w:rsidRPr="00743335">
        <w:t xml:space="preserve"> 5.0 mmol/L in FH</w:t>
      </w:r>
      <w:r w:rsidR="004F36B4" w:rsidRPr="00743335">
        <w:t xml:space="preserve"> patients without ASCVD</w:t>
      </w:r>
      <w:r w:rsidR="004F36B4" w:rsidRPr="00743335">
        <w:rPr>
          <w:rFonts w:cs="Arial"/>
          <w:bCs/>
          <w:snapToGrid w:val="0"/>
        </w:rPr>
        <w:t xml:space="preserve"> differ to the PBS listing for ezetimibe (which specifies a </w:t>
      </w:r>
      <w:r w:rsidR="009448D0" w:rsidRPr="00743335">
        <w:rPr>
          <w:rFonts w:cs="Arial"/>
          <w:bCs/>
          <w:snapToGrid w:val="0"/>
        </w:rPr>
        <w:t>total cholesterol (</w:t>
      </w:r>
      <w:r w:rsidR="004F36B4" w:rsidRPr="00743335">
        <w:rPr>
          <w:rFonts w:cs="Arial"/>
          <w:bCs/>
          <w:snapToGrid w:val="0"/>
        </w:rPr>
        <w:t>TC</w:t>
      </w:r>
      <w:r w:rsidR="009448D0" w:rsidRPr="00743335">
        <w:rPr>
          <w:rFonts w:cs="Arial"/>
          <w:bCs/>
          <w:snapToGrid w:val="0"/>
        </w:rPr>
        <w:t>)</w:t>
      </w:r>
      <w:r w:rsidR="004F36B4" w:rsidRPr="00743335">
        <w:rPr>
          <w:rFonts w:cs="Arial"/>
          <w:bCs/>
          <w:snapToGrid w:val="0"/>
        </w:rPr>
        <w:t xml:space="preserve"> qualifying threshold of &gt; 4.0 mmol/L in patients with and without ASCVD) and are not</w:t>
      </w:r>
      <w:r w:rsidR="00255EB3" w:rsidRPr="00743335">
        <w:rPr>
          <w:rFonts w:cs="Arial"/>
          <w:bCs/>
          <w:snapToGrid w:val="0"/>
        </w:rPr>
        <w:t xml:space="preserve"> </w:t>
      </w:r>
      <w:r w:rsidR="004F36B4" w:rsidRPr="00743335">
        <w:rPr>
          <w:rFonts w:cs="Arial"/>
          <w:bCs/>
          <w:snapToGrid w:val="0"/>
        </w:rPr>
        <w:t>consistent with the clinical trial evidence which generally used less restrictive LDL-c thresholds. The PBAC considered the proposed thresholds in this submission may be reasonable</w:t>
      </w:r>
      <w:r w:rsidR="00EA69F6" w:rsidRPr="00743335">
        <w:rPr>
          <w:rFonts w:cs="Arial"/>
          <w:bCs/>
          <w:snapToGrid w:val="0"/>
        </w:rPr>
        <w:t>, as suggested in the sponsor hearing</w:t>
      </w:r>
      <w:r w:rsidR="004A33BF" w:rsidRPr="00743335">
        <w:rPr>
          <w:rFonts w:cs="Arial"/>
          <w:bCs/>
          <w:snapToGrid w:val="0"/>
        </w:rPr>
        <w:t>.</w:t>
      </w:r>
      <w:r w:rsidR="004F36B4" w:rsidRPr="00743335">
        <w:rPr>
          <w:rFonts w:cs="Arial"/>
          <w:bCs/>
          <w:snapToGrid w:val="0"/>
        </w:rPr>
        <w:t xml:space="preserve"> </w:t>
      </w:r>
      <w:r w:rsidR="004A33BF" w:rsidRPr="00743335">
        <w:rPr>
          <w:rFonts w:cs="Arial"/>
          <w:bCs/>
          <w:snapToGrid w:val="0"/>
        </w:rPr>
        <w:t xml:space="preserve">These thresholds would allow for meeting treatment goals of a </w:t>
      </w:r>
      <w:r w:rsidR="00EA69F6" w:rsidRPr="00743335">
        <w:rPr>
          <w:rFonts w:cs="Arial"/>
          <w:bCs/>
          <w:snapToGrid w:val="0"/>
        </w:rPr>
        <w:t>reduc</w:t>
      </w:r>
      <w:r w:rsidR="004A33BF" w:rsidRPr="00743335">
        <w:rPr>
          <w:rFonts w:cs="Arial"/>
          <w:bCs/>
          <w:snapToGrid w:val="0"/>
        </w:rPr>
        <w:t>tion in</w:t>
      </w:r>
      <w:r w:rsidR="00EA69F6" w:rsidRPr="00743335">
        <w:rPr>
          <w:rFonts w:cs="Arial"/>
          <w:bCs/>
          <w:snapToGrid w:val="0"/>
        </w:rPr>
        <w:t xml:space="preserve"> LDL-c by &gt;50% and/or reach</w:t>
      </w:r>
      <w:r w:rsidR="004A33BF" w:rsidRPr="00743335">
        <w:rPr>
          <w:rFonts w:cs="Arial"/>
          <w:bCs/>
          <w:snapToGrid w:val="0"/>
        </w:rPr>
        <w:t>ing</w:t>
      </w:r>
      <w:r w:rsidR="00EA69F6" w:rsidRPr="00743335">
        <w:rPr>
          <w:rFonts w:cs="Arial"/>
          <w:bCs/>
          <w:snapToGrid w:val="0"/>
        </w:rPr>
        <w:t xml:space="preserve"> a </w:t>
      </w:r>
      <w:r w:rsidR="0073717E">
        <w:rPr>
          <w:rFonts w:cs="Arial"/>
          <w:bCs/>
          <w:snapToGrid w:val="0"/>
        </w:rPr>
        <w:t xml:space="preserve">primary prevention </w:t>
      </w:r>
      <w:r w:rsidR="00EA69F6" w:rsidRPr="00743335">
        <w:rPr>
          <w:rFonts w:cs="Arial"/>
          <w:bCs/>
          <w:snapToGrid w:val="0"/>
        </w:rPr>
        <w:t>target of &lt;</w:t>
      </w:r>
      <w:r w:rsidR="00EA69F6" w:rsidRPr="00743335">
        <w:t xml:space="preserve"> </w:t>
      </w:r>
      <w:r w:rsidR="00EA69F6" w:rsidRPr="00743335">
        <w:rPr>
          <w:rFonts w:cs="Arial"/>
          <w:bCs/>
          <w:snapToGrid w:val="0"/>
        </w:rPr>
        <w:t xml:space="preserve">2.5 mmol/L for FH patients without ASCVD and </w:t>
      </w:r>
      <w:r w:rsidR="0073717E">
        <w:rPr>
          <w:rFonts w:cs="Arial"/>
          <w:bCs/>
          <w:snapToGrid w:val="0"/>
        </w:rPr>
        <w:t>a</w:t>
      </w:r>
      <w:r w:rsidR="0073717E" w:rsidRPr="00743335">
        <w:rPr>
          <w:rFonts w:cs="Arial"/>
          <w:bCs/>
          <w:snapToGrid w:val="0"/>
        </w:rPr>
        <w:t xml:space="preserve"> </w:t>
      </w:r>
      <w:r w:rsidR="00EA69F6" w:rsidRPr="00743335">
        <w:rPr>
          <w:rFonts w:cs="Arial"/>
          <w:bCs/>
          <w:snapToGrid w:val="0"/>
        </w:rPr>
        <w:t>secondary</w:t>
      </w:r>
      <w:r w:rsidR="0073717E">
        <w:rPr>
          <w:rFonts w:cs="Arial"/>
          <w:bCs/>
          <w:snapToGrid w:val="0"/>
        </w:rPr>
        <w:t xml:space="preserve"> prevention</w:t>
      </w:r>
      <w:r w:rsidR="00EA69F6" w:rsidRPr="00743335">
        <w:rPr>
          <w:rFonts w:cs="Arial"/>
          <w:bCs/>
          <w:snapToGrid w:val="0"/>
        </w:rPr>
        <w:t xml:space="preserve"> target of </w:t>
      </w:r>
      <w:r w:rsidR="00EA69F6" w:rsidRPr="00743335">
        <w:t xml:space="preserve">&lt; </w:t>
      </w:r>
      <w:r w:rsidR="00EA69F6" w:rsidRPr="00743335">
        <w:rPr>
          <w:rFonts w:cs="Arial"/>
          <w:bCs/>
          <w:snapToGrid w:val="0"/>
        </w:rPr>
        <w:t>1.8 mmol/L for FH patients with ASCVD.</w:t>
      </w:r>
    </w:p>
    <w:p w:rsidR="00223A18" w:rsidRPr="00743335" w:rsidRDefault="00223A18" w:rsidP="00223A18">
      <w:pPr>
        <w:pStyle w:val="ListParagraph"/>
        <w:widowControl w:val="0"/>
        <w:numPr>
          <w:ilvl w:val="0"/>
          <w:numId w:val="19"/>
        </w:numPr>
        <w:spacing w:before="0" w:after="120"/>
        <w:jc w:val="both"/>
        <w:rPr>
          <w:rFonts w:cs="Arial"/>
          <w:bCs/>
          <w:snapToGrid w:val="0"/>
        </w:rPr>
      </w:pPr>
      <w:r w:rsidRPr="00743335">
        <w:rPr>
          <w:rFonts w:cs="Arial"/>
          <w:bCs/>
          <w:snapToGrid w:val="0"/>
        </w:rPr>
        <w:t xml:space="preserve">The PBAC noted symptomatic </w:t>
      </w:r>
      <w:r w:rsidR="00EF4131" w:rsidRPr="00743335">
        <w:rPr>
          <w:rFonts w:cs="Arial"/>
          <w:bCs/>
          <w:snapToGrid w:val="0"/>
        </w:rPr>
        <w:t>ASCVD</w:t>
      </w:r>
      <w:r w:rsidRPr="00743335">
        <w:rPr>
          <w:rFonts w:cs="Arial"/>
          <w:bCs/>
          <w:snapToGrid w:val="0"/>
        </w:rPr>
        <w:t xml:space="preserve"> was not </w:t>
      </w:r>
      <w:r w:rsidR="0073717E">
        <w:rPr>
          <w:rFonts w:cs="Arial"/>
          <w:bCs/>
          <w:snapToGrid w:val="0"/>
        </w:rPr>
        <w:t xml:space="preserve">adequately </w:t>
      </w:r>
      <w:r w:rsidRPr="00743335">
        <w:rPr>
          <w:rFonts w:cs="Arial"/>
          <w:bCs/>
          <w:snapToGrid w:val="0"/>
        </w:rPr>
        <w:t xml:space="preserve">defined in the restriction and </w:t>
      </w:r>
      <w:r w:rsidR="008808AC" w:rsidRPr="00743335">
        <w:rPr>
          <w:rFonts w:cs="Arial"/>
          <w:bCs/>
          <w:snapToGrid w:val="0"/>
        </w:rPr>
        <w:t xml:space="preserve">considered </w:t>
      </w:r>
      <w:r w:rsidR="0073717E">
        <w:rPr>
          <w:rFonts w:cs="Arial"/>
          <w:bCs/>
          <w:snapToGrid w:val="0"/>
        </w:rPr>
        <w:t xml:space="preserve">that greater clarification and increased specificity </w:t>
      </w:r>
      <w:r w:rsidR="008808AC" w:rsidRPr="00743335">
        <w:rPr>
          <w:rFonts w:cs="Arial"/>
          <w:bCs/>
          <w:snapToGrid w:val="0"/>
        </w:rPr>
        <w:t>of the eligible population to be important</w:t>
      </w:r>
      <w:r w:rsidRPr="00743335">
        <w:rPr>
          <w:rFonts w:cs="Arial"/>
          <w:bCs/>
          <w:snapToGrid w:val="0"/>
        </w:rPr>
        <w:t xml:space="preserve"> </w:t>
      </w:r>
      <w:r w:rsidR="008808AC" w:rsidRPr="00743335">
        <w:rPr>
          <w:rFonts w:cs="Arial"/>
          <w:bCs/>
          <w:snapToGrid w:val="0"/>
        </w:rPr>
        <w:t xml:space="preserve">for </w:t>
      </w:r>
      <w:r w:rsidR="0073717E">
        <w:rPr>
          <w:rFonts w:cs="Arial"/>
          <w:bCs/>
          <w:snapToGrid w:val="0"/>
        </w:rPr>
        <w:t>targeting the most appropriate clinical and cost-effective population</w:t>
      </w:r>
      <w:r w:rsidR="008808AC" w:rsidRPr="00743335">
        <w:rPr>
          <w:rFonts w:cs="Arial"/>
          <w:bCs/>
          <w:snapToGrid w:val="0"/>
        </w:rPr>
        <w:t xml:space="preserve">. </w:t>
      </w:r>
    </w:p>
    <w:p w:rsidR="008425B0" w:rsidRPr="00743335" w:rsidRDefault="008425B0" w:rsidP="008425B0">
      <w:pPr>
        <w:pStyle w:val="ListParagraph"/>
        <w:widowControl w:val="0"/>
        <w:numPr>
          <w:ilvl w:val="0"/>
          <w:numId w:val="19"/>
        </w:numPr>
        <w:spacing w:before="0" w:after="120"/>
        <w:jc w:val="both"/>
        <w:rPr>
          <w:rFonts w:cs="Arial"/>
          <w:bCs/>
          <w:snapToGrid w:val="0"/>
        </w:rPr>
      </w:pPr>
      <w:r w:rsidRPr="00743335">
        <w:rPr>
          <w:rFonts w:cs="Arial"/>
          <w:bCs/>
          <w:snapToGrid w:val="0"/>
        </w:rPr>
        <w:t xml:space="preserve">The PBAC noted the sponsor hearing suggestion that FH patients are compliant with titrating statins to the maximum tolerated dose, however the </w:t>
      </w:r>
      <w:r w:rsidR="00EF4131" w:rsidRPr="00743335">
        <w:rPr>
          <w:rFonts w:cs="Arial"/>
          <w:bCs/>
          <w:snapToGrid w:val="0"/>
        </w:rPr>
        <w:t>C</w:t>
      </w:r>
      <w:r w:rsidRPr="00743335">
        <w:rPr>
          <w:rFonts w:cs="Arial"/>
          <w:bCs/>
          <w:snapToGrid w:val="0"/>
        </w:rPr>
        <w:t xml:space="preserve">ommittee considered </w:t>
      </w:r>
      <w:r w:rsidR="00587BEC" w:rsidRPr="00743335">
        <w:rPr>
          <w:rFonts w:cs="Arial"/>
          <w:bCs/>
          <w:snapToGrid w:val="0"/>
        </w:rPr>
        <w:t xml:space="preserve">further treatment criteria to define statin intolerance was required, such as </w:t>
      </w:r>
      <w:r w:rsidR="00EF4131" w:rsidRPr="00743335">
        <w:rPr>
          <w:rFonts w:cs="Arial"/>
          <w:bCs/>
          <w:snapToGrid w:val="0"/>
        </w:rPr>
        <w:t xml:space="preserve">a </w:t>
      </w:r>
      <w:r w:rsidR="009448D0" w:rsidRPr="00743335">
        <w:rPr>
          <w:rFonts w:cs="Arial"/>
          <w:bCs/>
          <w:snapToGrid w:val="0"/>
        </w:rPr>
        <w:t xml:space="preserve">requirement for </w:t>
      </w:r>
      <w:r w:rsidR="00587BEC" w:rsidRPr="00743335">
        <w:rPr>
          <w:rFonts w:cs="Arial"/>
          <w:bCs/>
          <w:snapToGrid w:val="0"/>
        </w:rPr>
        <w:t>rechallenging after a treatment break with a lower dose or alternative statin</w:t>
      </w:r>
      <w:r w:rsidR="0073717E">
        <w:rPr>
          <w:rFonts w:cs="Arial"/>
          <w:bCs/>
          <w:snapToGrid w:val="0"/>
        </w:rPr>
        <w:t>, as suggested by a number of reviews and guidelines</w:t>
      </w:r>
      <w:r w:rsidR="00587BEC" w:rsidRPr="00743335">
        <w:rPr>
          <w:rFonts w:cs="Arial"/>
          <w:bCs/>
          <w:snapToGrid w:val="0"/>
        </w:rPr>
        <w:t xml:space="preserve">.  </w:t>
      </w:r>
    </w:p>
    <w:p w:rsidR="00587BEC" w:rsidRPr="00743335" w:rsidRDefault="00587BEC" w:rsidP="00BB5477">
      <w:pPr>
        <w:pStyle w:val="ListParagraph"/>
        <w:widowControl w:val="0"/>
        <w:numPr>
          <w:ilvl w:val="0"/>
          <w:numId w:val="19"/>
        </w:numPr>
        <w:spacing w:before="0" w:after="120"/>
        <w:jc w:val="both"/>
        <w:rPr>
          <w:rFonts w:cs="Arial"/>
          <w:bCs/>
          <w:snapToGrid w:val="0"/>
        </w:rPr>
      </w:pPr>
      <w:r w:rsidRPr="00743335">
        <w:rPr>
          <w:rFonts w:cs="Arial"/>
          <w:bCs/>
          <w:snapToGrid w:val="0"/>
        </w:rPr>
        <w:t xml:space="preserve">The PBAC also noted the proposed PBS listing would allow monotherapy with evolocumab in patients who are intolerant/contraindicated to statins and that this use is currently outside the </w:t>
      </w:r>
      <w:r w:rsidR="0073428D" w:rsidRPr="00743335">
        <w:rPr>
          <w:rFonts w:cs="Arial"/>
          <w:bCs/>
          <w:snapToGrid w:val="0"/>
        </w:rPr>
        <w:t xml:space="preserve">approved </w:t>
      </w:r>
      <w:r w:rsidRPr="00743335">
        <w:rPr>
          <w:rFonts w:cs="Arial"/>
          <w:bCs/>
          <w:snapToGrid w:val="0"/>
        </w:rPr>
        <w:t xml:space="preserve">TGA indication. </w:t>
      </w:r>
      <w:r w:rsidR="00BB5477">
        <w:rPr>
          <w:rFonts w:cs="Arial"/>
          <w:bCs/>
          <w:snapToGrid w:val="0"/>
        </w:rPr>
        <w:t xml:space="preserve">The PBAC considered </w:t>
      </w:r>
      <w:r w:rsidR="00EC42A9">
        <w:rPr>
          <w:rFonts w:cs="Arial"/>
          <w:bCs/>
          <w:snapToGrid w:val="0"/>
        </w:rPr>
        <w:t xml:space="preserve">this to be </w:t>
      </w:r>
      <w:r w:rsidR="00D745C6">
        <w:rPr>
          <w:rFonts w:cs="Arial"/>
          <w:bCs/>
          <w:snapToGrid w:val="0"/>
        </w:rPr>
        <w:t>a significant</w:t>
      </w:r>
      <w:r w:rsidR="00EC42A9">
        <w:rPr>
          <w:rFonts w:cs="Arial"/>
          <w:bCs/>
          <w:snapToGrid w:val="0"/>
        </w:rPr>
        <w:t xml:space="preserve"> issue as </w:t>
      </w:r>
      <w:r w:rsidR="00BB5477">
        <w:rPr>
          <w:rFonts w:cs="Arial"/>
          <w:bCs/>
          <w:snapToGrid w:val="0"/>
        </w:rPr>
        <w:t>m</w:t>
      </w:r>
      <w:r w:rsidR="00BB5477" w:rsidRPr="00BB5477">
        <w:rPr>
          <w:rFonts w:cs="Arial"/>
          <w:bCs/>
          <w:snapToGrid w:val="0"/>
        </w:rPr>
        <w:t>any patients who are unable to tolerate statins are also unable to tolerate ezetimibe</w:t>
      </w:r>
      <w:r w:rsidR="00EC42A9">
        <w:rPr>
          <w:rFonts w:cs="Arial"/>
          <w:bCs/>
          <w:snapToGrid w:val="0"/>
        </w:rPr>
        <w:t>,</w:t>
      </w:r>
      <w:r w:rsidR="00BB5477" w:rsidRPr="00BB5477">
        <w:rPr>
          <w:rFonts w:cs="Arial"/>
          <w:bCs/>
          <w:snapToGrid w:val="0"/>
        </w:rPr>
        <w:t xml:space="preserve"> </w:t>
      </w:r>
      <w:r w:rsidR="00BB5477">
        <w:rPr>
          <w:rFonts w:cs="Arial"/>
          <w:bCs/>
          <w:snapToGrid w:val="0"/>
        </w:rPr>
        <w:t xml:space="preserve">and </w:t>
      </w:r>
      <w:r w:rsidR="00EC42A9">
        <w:rPr>
          <w:rFonts w:cs="Arial"/>
          <w:bCs/>
          <w:snapToGrid w:val="0"/>
        </w:rPr>
        <w:t>therefore</w:t>
      </w:r>
      <w:r w:rsidR="00BB5477">
        <w:rPr>
          <w:rFonts w:cs="Arial"/>
          <w:bCs/>
          <w:snapToGrid w:val="0"/>
        </w:rPr>
        <w:t xml:space="preserve"> monotherapy with a </w:t>
      </w:r>
      <w:r w:rsidR="00BB5477">
        <w:t xml:space="preserve">PCSK9 inhibitor </w:t>
      </w:r>
      <w:r w:rsidR="00EC42A9">
        <w:t>would meet a high clinical need for a potentially substantial population. The Committee further considered the management of non-statin lipid-modifying treatment with evolocumab</w:t>
      </w:r>
      <w:r w:rsidR="00EC3823">
        <w:t>,</w:t>
      </w:r>
      <w:r w:rsidR="00EC42A9">
        <w:t xml:space="preserve"> and the cost-effectiveness of this</w:t>
      </w:r>
      <w:r w:rsidR="00EC3823">
        <w:t>,</w:t>
      </w:r>
      <w:r w:rsidR="00EC42A9">
        <w:t xml:space="preserve"> required further consideration. </w:t>
      </w:r>
      <w:r w:rsidR="00BB5477">
        <w:t xml:space="preserve"> </w:t>
      </w:r>
    </w:p>
    <w:p w:rsidR="00A7093E" w:rsidRPr="00743335" w:rsidRDefault="0096520B" w:rsidP="003D14A1">
      <w:pPr>
        <w:pStyle w:val="ListParagraph"/>
        <w:numPr>
          <w:ilvl w:val="1"/>
          <w:numId w:val="1"/>
        </w:numPr>
        <w:spacing w:before="0" w:after="120"/>
        <w:ind w:left="709" w:hanging="709"/>
        <w:jc w:val="both"/>
        <w:rPr>
          <w:rFonts w:cs="Arial"/>
          <w:bCs/>
          <w:snapToGrid w:val="0"/>
        </w:rPr>
      </w:pPr>
      <w:r w:rsidRPr="003D14A1">
        <w:t>The</w:t>
      </w:r>
      <w:r w:rsidRPr="00743335">
        <w:rPr>
          <w:rFonts w:cs="Arial"/>
          <w:bCs/>
          <w:snapToGrid w:val="0"/>
        </w:rPr>
        <w:t xml:space="preserve"> PBAC considered the nominated comparators of ezetimibe and placebo </w:t>
      </w:r>
      <w:r w:rsidR="00223A18" w:rsidRPr="00743335">
        <w:rPr>
          <w:rFonts w:cs="Arial"/>
          <w:bCs/>
          <w:snapToGrid w:val="0"/>
        </w:rPr>
        <w:t xml:space="preserve">to be </w:t>
      </w:r>
      <w:r w:rsidRPr="00743335">
        <w:rPr>
          <w:rFonts w:cs="Arial"/>
          <w:bCs/>
          <w:snapToGrid w:val="0"/>
        </w:rPr>
        <w:t>appropriate. The secondary nomination of alirocumab as a near market comparator was also informative.</w:t>
      </w:r>
      <w:r w:rsidR="004107A8" w:rsidRPr="00743335">
        <w:rPr>
          <w:rFonts w:cs="Arial"/>
          <w:bCs/>
          <w:snapToGrid w:val="0"/>
        </w:rPr>
        <w:t xml:space="preserve"> </w:t>
      </w:r>
    </w:p>
    <w:p w:rsidR="0096520B" w:rsidRPr="00743335" w:rsidRDefault="008808AC" w:rsidP="003D14A1">
      <w:pPr>
        <w:pStyle w:val="ListParagraph"/>
        <w:numPr>
          <w:ilvl w:val="1"/>
          <w:numId w:val="1"/>
        </w:numPr>
        <w:spacing w:before="0" w:after="120"/>
        <w:ind w:left="709" w:hanging="709"/>
        <w:jc w:val="both"/>
        <w:rPr>
          <w:rFonts w:cs="Arial"/>
          <w:bCs/>
          <w:snapToGrid w:val="0"/>
        </w:rPr>
      </w:pPr>
      <w:r w:rsidRPr="00743335">
        <w:rPr>
          <w:snapToGrid w:val="0"/>
        </w:rPr>
        <w:t xml:space="preserve">The PBAC acknowledged the cardiovascular outcomes data from the FOURIER trial addressed previous concerns regarding the lack of </w:t>
      </w:r>
      <w:r w:rsidR="0073428D" w:rsidRPr="00743335">
        <w:rPr>
          <w:snapToGrid w:val="0"/>
        </w:rPr>
        <w:t>CV</w:t>
      </w:r>
      <w:r w:rsidRPr="00743335">
        <w:rPr>
          <w:snapToGrid w:val="0"/>
        </w:rPr>
        <w:t xml:space="preserve"> event data for evolocumab. </w:t>
      </w:r>
      <w:r w:rsidR="00223A18" w:rsidRPr="00743335">
        <w:rPr>
          <w:rFonts w:cs="Arial"/>
          <w:bCs/>
          <w:snapToGrid w:val="0"/>
        </w:rPr>
        <w:t xml:space="preserve">The PBAC considered that while the trial did </w:t>
      </w:r>
      <w:r w:rsidRPr="00743335">
        <w:rPr>
          <w:rFonts w:cs="Arial"/>
          <w:bCs/>
          <w:snapToGrid w:val="0"/>
        </w:rPr>
        <w:t xml:space="preserve">not </w:t>
      </w:r>
      <w:r w:rsidR="00223A18" w:rsidRPr="00743335">
        <w:rPr>
          <w:rFonts w:cs="Arial"/>
          <w:bCs/>
          <w:snapToGrid w:val="0"/>
        </w:rPr>
        <w:t>demonstrate a reduction in mortality with evolocumab compared to placebo, the trial was not powered to show a mortality benefit, it was not a primary o</w:t>
      </w:r>
      <w:r w:rsidRPr="00743335">
        <w:rPr>
          <w:rFonts w:cs="Arial"/>
          <w:bCs/>
          <w:snapToGrid w:val="0"/>
        </w:rPr>
        <w:t>r</w:t>
      </w:r>
      <w:r w:rsidR="00223A18" w:rsidRPr="00743335">
        <w:rPr>
          <w:rFonts w:cs="Arial"/>
          <w:bCs/>
          <w:snapToGrid w:val="0"/>
        </w:rPr>
        <w:t xml:space="preserve"> secondary endpoint in the trial, and the follow-up period was too short. Effect on all other cardiovascular outcomes was robust and consistent with the extensive body of knowledge of the benefits of LDL-c lowering.  </w:t>
      </w:r>
    </w:p>
    <w:p w:rsidR="008808AC" w:rsidRPr="00743335" w:rsidRDefault="008808AC" w:rsidP="003D14A1">
      <w:pPr>
        <w:pStyle w:val="ListParagraph"/>
        <w:numPr>
          <w:ilvl w:val="1"/>
          <w:numId w:val="1"/>
        </w:numPr>
        <w:spacing w:before="0" w:after="120"/>
        <w:ind w:left="709" w:hanging="709"/>
        <w:jc w:val="both"/>
      </w:pPr>
      <w:r w:rsidRPr="003D14A1">
        <w:t>The</w:t>
      </w:r>
      <w:r w:rsidRPr="00743335">
        <w:rPr>
          <w:rFonts w:cs="Arial"/>
          <w:bCs/>
          <w:snapToGrid w:val="0"/>
        </w:rPr>
        <w:t xml:space="preserve"> PBAC note</w:t>
      </w:r>
      <w:r w:rsidR="00D45DCB" w:rsidRPr="00743335">
        <w:rPr>
          <w:rFonts w:cs="Arial"/>
          <w:bCs/>
          <w:snapToGrid w:val="0"/>
        </w:rPr>
        <w:t>d</w:t>
      </w:r>
      <w:r w:rsidRPr="00743335">
        <w:rPr>
          <w:rFonts w:cs="Arial"/>
          <w:bCs/>
          <w:snapToGrid w:val="0"/>
        </w:rPr>
        <w:t xml:space="preserve"> </w:t>
      </w:r>
      <w:r w:rsidR="00D45DCB" w:rsidRPr="00743335">
        <w:rPr>
          <w:rFonts w:cs="Arial"/>
          <w:bCs/>
          <w:snapToGrid w:val="0"/>
        </w:rPr>
        <w:t>that although the indirect analyses with alirocumab suggest that treatment with evolocumab was associated with a statistically significantly larger reduction in LDL</w:t>
      </w:r>
      <w:r w:rsidR="0073428D" w:rsidRPr="00743335">
        <w:rPr>
          <w:rFonts w:cs="Arial"/>
          <w:bCs/>
          <w:snapToGrid w:val="0"/>
        </w:rPr>
        <w:t>-c</w:t>
      </w:r>
      <w:r w:rsidR="00D45DCB" w:rsidRPr="00743335">
        <w:rPr>
          <w:rFonts w:cs="Arial"/>
          <w:bCs/>
          <w:snapToGrid w:val="0"/>
        </w:rPr>
        <w:t xml:space="preserve"> levels compared to lower-dose alirocumab treatment regimens (75 mg fortnightly, 300 mg monthly), superiority to the recommend dose of 150 mg fortnightly was not </w:t>
      </w:r>
      <w:r w:rsidR="001968EA" w:rsidRPr="00743335">
        <w:rPr>
          <w:rFonts w:cs="Arial"/>
          <w:bCs/>
          <w:snapToGrid w:val="0"/>
        </w:rPr>
        <w:t>shown</w:t>
      </w:r>
      <w:r w:rsidR="00D45DCB" w:rsidRPr="00743335">
        <w:rPr>
          <w:rFonts w:cs="Arial"/>
          <w:bCs/>
          <w:snapToGrid w:val="0"/>
        </w:rPr>
        <w:t>. The PBAC noted the</w:t>
      </w:r>
      <w:r w:rsidR="0073428D" w:rsidRPr="00743335">
        <w:rPr>
          <w:rFonts w:cs="Arial"/>
          <w:bCs/>
          <w:snapToGrid w:val="0"/>
        </w:rPr>
        <w:t xml:space="preserve"> indirect comparisons were</w:t>
      </w:r>
      <w:r w:rsidR="00D45DCB" w:rsidRPr="00743335">
        <w:t xml:space="preserve"> limited by substantial heterogeneity </w:t>
      </w:r>
      <w:r w:rsidR="00D93FA3" w:rsidRPr="00743335">
        <w:t>in the alirocumab trials</w:t>
      </w:r>
      <w:r w:rsidR="00D45DCB" w:rsidRPr="00743335">
        <w:t xml:space="preserve"> and uncertain exchangeability between the evolocumab and alirocumab trials.</w:t>
      </w:r>
      <w:r w:rsidRPr="00743335">
        <w:rPr>
          <w:rFonts w:cs="Arial"/>
          <w:bCs/>
          <w:snapToGrid w:val="0"/>
        </w:rPr>
        <w:t xml:space="preserve"> </w:t>
      </w:r>
      <w:r w:rsidR="00D93FA3" w:rsidRPr="00743335">
        <w:rPr>
          <w:rFonts w:cs="Arial"/>
          <w:bCs/>
          <w:snapToGrid w:val="0"/>
        </w:rPr>
        <w:t xml:space="preserve">The PBAC noted there will be a CV outcomes trial for alirocumab (ODYSSEY OUTCOMES) reporting in 2018, which may inform a comparison with the FOURIER trial. </w:t>
      </w:r>
    </w:p>
    <w:p w:rsidR="002E615E" w:rsidRPr="00743335" w:rsidRDefault="001968EA" w:rsidP="003D14A1">
      <w:pPr>
        <w:pStyle w:val="ListParagraph"/>
        <w:numPr>
          <w:ilvl w:val="1"/>
          <w:numId w:val="1"/>
        </w:numPr>
        <w:spacing w:before="0" w:after="120"/>
        <w:ind w:left="709" w:hanging="709"/>
        <w:jc w:val="both"/>
      </w:pPr>
      <w:r w:rsidRPr="00743335">
        <w:t xml:space="preserve">The PBAC </w:t>
      </w:r>
      <w:r w:rsidR="002E615E" w:rsidRPr="00743335">
        <w:t>not</w:t>
      </w:r>
      <w:r w:rsidRPr="00743335">
        <w:t xml:space="preserve">ed while a lack of long-term safety was previously a potential concern, in the 4 year+ data available </w:t>
      </w:r>
      <w:r w:rsidR="002E615E" w:rsidRPr="00743335">
        <w:t>there has been n</w:t>
      </w:r>
      <w:r w:rsidRPr="00743335">
        <w:t xml:space="preserve">o evidence of </w:t>
      </w:r>
      <w:r w:rsidR="002E615E" w:rsidRPr="00743335">
        <w:t xml:space="preserve">a </w:t>
      </w:r>
      <w:r w:rsidRPr="00743335">
        <w:t xml:space="preserve">safety signal over </w:t>
      </w:r>
      <w:r w:rsidR="002E615E" w:rsidRPr="00743335">
        <w:t>n</w:t>
      </w:r>
      <w:r w:rsidRPr="00743335">
        <w:t>eurocognitive function</w:t>
      </w:r>
      <w:r w:rsidR="002E615E" w:rsidRPr="00743335">
        <w:t xml:space="preserve"> with very low LDL-c,</w:t>
      </w:r>
      <w:r w:rsidRPr="00743335">
        <w:t xml:space="preserve"> </w:t>
      </w:r>
      <w:r w:rsidR="002E615E" w:rsidRPr="00743335">
        <w:t>g</w:t>
      </w:r>
      <w:r w:rsidRPr="00743335">
        <w:t>onadal and adrenal function</w:t>
      </w:r>
      <w:r w:rsidR="002E615E" w:rsidRPr="00743335">
        <w:t>, or</w:t>
      </w:r>
      <w:r w:rsidRPr="00743335">
        <w:t xml:space="preserve"> </w:t>
      </w:r>
      <w:r w:rsidR="002E615E" w:rsidRPr="00743335">
        <w:t>t</w:t>
      </w:r>
      <w:r w:rsidRPr="00743335">
        <w:t xml:space="preserve">ransport of </w:t>
      </w:r>
      <w:r w:rsidR="0086430F" w:rsidRPr="00743335">
        <w:t>fat-soluble</w:t>
      </w:r>
      <w:r w:rsidRPr="00743335">
        <w:t xml:space="preserve"> vitamins</w:t>
      </w:r>
      <w:r w:rsidR="002E615E" w:rsidRPr="00743335">
        <w:t>.</w:t>
      </w:r>
      <w:r w:rsidRPr="00743335">
        <w:rPr>
          <w:color w:val="FF0000"/>
        </w:rPr>
        <w:t xml:space="preserve"> </w:t>
      </w:r>
      <w:r w:rsidR="002E615E" w:rsidRPr="00743335">
        <w:t>The PBAC noted there is i</w:t>
      </w:r>
      <w:r w:rsidRPr="00743335">
        <w:t>nadequate data to adequately assess comparative safety of evolocumab and alirocumab</w:t>
      </w:r>
      <w:r w:rsidR="002E615E" w:rsidRPr="00743335">
        <w:t xml:space="preserve">. </w:t>
      </w:r>
    </w:p>
    <w:p w:rsidR="00E55E52" w:rsidRPr="00743335" w:rsidRDefault="00D93FA3" w:rsidP="003D14A1">
      <w:pPr>
        <w:pStyle w:val="ListParagraph"/>
        <w:numPr>
          <w:ilvl w:val="1"/>
          <w:numId w:val="1"/>
        </w:numPr>
        <w:spacing w:before="0" w:after="120"/>
        <w:ind w:left="709" w:hanging="709"/>
        <w:jc w:val="both"/>
        <w:rPr>
          <w:rFonts w:cs="Arial"/>
          <w:bCs/>
          <w:snapToGrid w:val="0"/>
          <w:color w:val="FF0000"/>
        </w:rPr>
      </w:pPr>
      <w:r w:rsidRPr="003D14A1">
        <w:t>The</w:t>
      </w:r>
      <w:r w:rsidRPr="00743335">
        <w:rPr>
          <w:rFonts w:cs="Arial"/>
          <w:bCs/>
          <w:snapToGrid w:val="0"/>
        </w:rPr>
        <w:t xml:space="preserve"> PBAC </w:t>
      </w:r>
      <w:r w:rsidR="005C7801" w:rsidRPr="00743335">
        <w:rPr>
          <w:rFonts w:cs="Arial"/>
          <w:bCs/>
          <w:snapToGrid w:val="0"/>
        </w:rPr>
        <w:t xml:space="preserve">noted concerns raised in the evaluation regarding the modelling </w:t>
      </w:r>
      <w:r w:rsidR="001450D4" w:rsidRPr="00743335">
        <w:rPr>
          <w:rFonts w:cs="Arial"/>
          <w:bCs/>
          <w:snapToGrid w:val="0"/>
        </w:rPr>
        <w:t xml:space="preserve">of </w:t>
      </w:r>
      <w:r w:rsidR="005C7801" w:rsidRPr="00743335">
        <w:rPr>
          <w:rFonts w:cs="Arial"/>
          <w:bCs/>
          <w:snapToGrid w:val="0"/>
        </w:rPr>
        <w:t>a reduction in cardiac death without trial data supporting any difference between evol</w:t>
      </w:r>
      <w:r w:rsidR="005C0C92" w:rsidRPr="00743335">
        <w:rPr>
          <w:rFonts w:cs="Arial"/>
          <w:bCs/>
          <w:snapToGrid w:val="0"/>
        </w:rPr>
        <w:t>o</w:t>
      </w:r>
      <w:r w:rsidR="005C7801" w:rsidRPr="00743335">
        <w:rPr>
          <w:rFonts w:cs="Arial"/>
          <w:bCs/>
          <w:snapToGrid w:val="0"/>
        </w:rPr>
        <w:t xml:space="preserve">cumab and placebo. The PBAC agreed with the ESC and </w:t>
      </w:r>
      <w:r w:rsidR="005C0C92" w:rsidRPr="00743335">
        <w:rPr>
          <w:rFonts w:cs="Arial"/>
          <w:bCs/>
          <w:snapToGrid w:val="0"/>
        </w:rPr>
        <w:t xml:space="preserve">the sponsor hearing </w:t>
      </w:r>
      <w:r w:rsidR="005C7801" w:rsidRPr="00743335">
        <w:rPr>
          <w:rFonts w:cs="Arial"/>
          <w:bCs/>
          <w:snapToGrid w:val="0"/>
        </w:rPr>
        <w:t>that given the hard major adverse cardiac events (MACE) and extended MACE endpoints were unequivocally positive in the FORUIER trial data</w:t>
      </w:r>
      <w:r w:rsidR="005C7801" w:rsidRPr="00743335">
        <w:rPr>
          <w:rFonts w:cs="Arial"/>
          <w:bCs/>
          <w:i/>
          <w:snapToGrid w:val="0"/>
        </w:rPr>
        <w:t xml:space="preserve"> </w:t>
      </w:r>
      <w:r w:rsidR="005C0C92" w:rsidRPr="00743335">
        <w:rPr>
          <w:rFonts w:cs="Arial"/>
          <w:bCs/>
          <w:snapToGrid w:val="0"/>
        </w:rPr>
        <w:t xml:space="preserve">it is plausible that these differences would </w:t>
      </w:r>
      <w:r w:rsidR="005C0C92" w:rsidRPr="00743335">
        <w:rPr>
          <w:snapToGrid w:val="0"/>
        </w:rPr>
        <w:t>lead to better survival</w:t>
      </w:r>
      <w:r w:rsidR="006B4D78" w:rsidRPr="00743335">
        <w:rPr>
          <w:snapToGrid w:val="0"/>
        </w:rPr>
        <w:t xml:space="preserve"> with longer follow-up</w:t>
      </w:r>
      <w:r w:rsidR="005C0C92" w:rsidRPr="00743335">
        <w:rPr>
          <w:snapToGrid w:val="0"/>
        </w:rPr>
        <w:t xml:space="preserve">. </w:t>
      </w:r>
      <w:r w:rsidR="005C0C92" w:rsidRPr="00743335">
        <w:rPr>
          <w:rFonts w:cs="Arial"/>
          <w:bCs/>
          <w:snapToGrid w:val="0"/>
        </w:rPr>
        <w:t xml:space="preserve"> However, the PBAC considered a time lag between LDL-c </w:t>
      </w:r>
      <w:r w:rsidR="00861602" w:rsidRPr="00743335">
        <w:rPr>
          <w:rFonts w:cs="Arial"/>
          <w:bCs/>
          <w:snapToGrid w:val="0"/>
        </w:rPr>
        <w:t xml:space="preserve">reduction </w:t>
      </w:r>
      <w:r w:rsidR="005C0C92" w:rsidRPr="00743335">
        <w:t>and the impact on cardiovascular risk should have been incorporated into the economic model</w:t>
      </w:r>
      <w:r w:rsidR="001450D4" w:rsidRPr="00743335">
        <w:t>.</w:t>
      </w:r>
      <w:r w:rsidR="005C0C92" w:rsidRPr="00743335">
        <w:t xml:space="preserve"> </w:t>
      </w:r>
      <w:r w:rsidR="001450D4" w:rsidRPr="00743335">
        <w:t xml:space="preserve">The PBAC noted the pre-PBAC response (p1) adjusted the model for FH patients with ASCVD to include </w:t>
      </w:r>
      <w:r w:rsidR="007F7043">
        <w:rPr>
          <w:noProof/>
          <w:color w:val="000000"/>
          <w:highlight w:val="black"/>
        </w:rPr>
        <w:t>'''''''' ''''''' '''''''''''</w:t>
      </w:r>
      <w:r w:rsidR="0086430F" w:rsidRPr="00743335">
        <w:t>-year</w:t>
      </w:r>
      <w:r w:rsidR="001450D4" w:rsidRPr="00743335">
        <w:t xml:space="preserve"> time lags in CV mortality </w:t>
      </w:r>
      <w:r w:rsidR="00FD1CEF" w:rsidRPr="00743335">
        <w:t xml:space="preserve">benefit </w:t>
      </w:r>
      <w:r w:rsidR="00F25242" w:rsidRPr="00743335">
        <w:t xml:space="preserve">increasing </w:t>
      </w:r>
      <w:r w:rsidR="001450D4" w:rsidRPr="00743335">
        <w:t xml:space="preserve">the ICER from </w:t>
      </w:r>
      <w:r w:rsidR="00437743">
        <w:t>$15,000/QALY - $45,000/QALY</w:t>
      </w:r>
      <w:r w:rsidR="00EF4131" w:rsidRPr="00743335">
        <w:t xml:space="preserve"> gained</w:t>
      </w:r>
      <w:r w:rsidR="001450D4" w:rsidRPr="00743335">
        <w:t xml:space="preserve"> in the base case to </w:t>
      </w:r>
      <w:r w:rsidR="00437743">
        <w:t>$15,000/QALY - $45,000/QALY</w:t>
      </w:r>
      <w:r w:rsidR="00437743" w:rsidRPr="00743335">
        <w:t xml:space="preserve"> </w:t>
      </w:r>
      <w:r w:rsidR="00EF4131" w:rsidRPr="00743335">
        <w:t>gained</w:t>
      </w:r>
      <w:r w:rsidR="001450D4" w:rsidRPr="00743335">
        <w:t xml:space="preserve"> for a </w:t>
      </w:r>
      <w:r w:rsidR="007F7043">
        <w:rPr>
          <w:noProof/>
          <w:color w:val="000000"/>
          <w:highlight w:val="black"/>
        </w:rPr>
        <w:t>'''''''''</w:t>
      </w:r>
      <w:r w:rsidR="001450D4" w:rsidRPr="00743335">
        <w:t xml:space="preserve">-year lag. </w:t>
      </w:r>
    </w:p>
    <w:p w:rsidR="005C0C92" w:rsidRPr="00743335" w:rsidRDefault="00C42EF0" w:rsidP="003D14A1">
      <w:pPr>
        <w:pStyle w:val="ListParagraph"/>
        <w:numPr>
          <w:ilvl w:val="1"/>
          <w:numId w:val="1"/>
        </w:numPr>
        <w:spacing w:before="0" w:after="120"/>
        <w:ind w:left="709" w:hanging="709"/>
        <w:jc w:val="both"/>
        <w:rPr>
          <w:rFonts w:cs="Arial"/>
          <w:bCs/>
          <w:snapToGrid w:val="0"/>
          <w:color w:val="FF0000"/>
        </w:rPr>
      </w:pPr>
      <w:r w:rsidRPr="00743335">
        <w:t>The PBAC considered the m</w:t>
      </w:r>
      <w:r w:rsidR="00630B32" w:rsidRPr="00743335">
        <w:t>ortality benefit modelled remains optimistic</w:t>
      </w:r>
      <w:r w:rsidRPr="00743335">
        <w:t xml:space="preserve"> with the </w:t>
      </w:r>
      <w:r w:rsidR="007F7043">
        <w:rPr>
          <w:noProof/>
          <w:color w:val="000000"/>
          <w:highlight w:val="black"/>
        </w:rPr>
        <w:t>'''''''''' ''''''' '''''''''''</w:t>
      </w:r>
      <w:r w:rsidR="00E55E52" w:rsidRPr="00743335">
        <w:t>-</w:t>
      </w:r>
      <w:r w:rsidRPr="00743335">
        <w:t>year time lag</w:t>
      </w:r>
      <w:r w:rsidR="00E55E52" w:rsidRPr="00743335">
        <w:t xml:space="preserve">s, noting that only a small number of statin trials, which have an early treatment effect, showed mortality benefit at two years. </w:t>
      </w:r>
      <w:r w:rsidRPr="00743335">
        <w:t xml:space="preserve"> </w:t>
      </w:r>
      <w:r w:rsidR="000E3BE0" w:rsidRPr="00743335">
        <w:t>T</w:t>
      </w:r>
      <w:r w:rsidR="00630B32" w:rsidRPr="00743335">
        <w:t>h</w:t>
      </w:r>
      <w:r w:rsidR="000E3BE0" w:rsidRPr="00743335">
        <w:t>e PBAC further</w:t>
      </w:r>
      <w:r w:rsidRPr="00743335">
        <w:t xml:space="preserve"> noted the Amgen sponsored analysis by Fonarow (2017) modelled the </w:t>
      </w:r>
      <w:r w:rsidRPr="00743335">
        <w:rPr>
          <w:rFonts w:eastAsia="Calibri" w:cs="Arial"/>
        </w:rPr>
        <w:t>treatment effect of evolocumab vs placebo with no improvement in cardiovascular death in the first 5 years of treatment</w:t>
      </w:r>
      <w:r w:rsidRPr="00743335">
        <w:rPr>
          <w:rFonts w:eastAsia="Calibri" w:cs="Arial"/>
          <w:color w:val="FF0000"/>
        </w:rPr>
        <w:t xml:space="preserve">. </w:t>
      </w:r>
      <w:r w:rsidRPr="0086430F">
        <w:rPr>
          <w:rFonts w:eastAsia="Calibri" w:cs="Arial"/>
        </w:rPr>
        <w:t>The PBAC expected cost-effectiveness for evol</w:t>
      </w:r>
      <w:r w:rsidR="00301372" w:rsidRPr="0086430F">
        <w:rPr>
          <w:rFonts w:eastAsia="Calibri" w:cs="Arial"/>
        </w:rPr>
        <w:t>o</w:t>
      </w:r>
      <w:r w:rsidRPr="0086430F">
        <w:rPr>
          <w:rFonts w:eastAsia="Calibri" w:cs="Arial"/>
        </w:rPr>
        <w:t xml:space="preserve">cumab should be </w:t>
      </w:r>
      <w:r w:rsidR="000E3BE0" w:rsidRPr="00743335">
        <w:rPr>
          <w:rFonts w:eastAsia="Calibri" w:cs="Arial"/>
        </w:rPr>
        <w:t>achievable</w:t>
      </w:r>
      <w:r w:rsidRPr="00743335">
        <w:rPr>
          <w:rFonts w:eastAsia="Calibri" w:cs="Arial"/>
        </w:rPr>
        <w:t xml:space="preserve"> </w:t>
      </w:r>
      <w:r w:rsidR="00D54DAB" w:rsidRPr="00743335">
        <w:rPr>
          <w:rFonts w:eastAsia="Calibri" w:cs="Arial"/>
        </w:rPr>
        <w:t>for the high need and well-defined FH population</w:t>
      </w:r>
      <w:r w:rsidR="00145C52" w:rsidRPr="00743335">
        <w:rPr>
          <w:rFonts w:eastAsia="Calibri" w:cs="Arial"/>
        </w:rPr>
        <w:t>s</w:t>
      </w:r>
      <w:r w:rsidR="00D54DAB" w:rsidRPr="00743335">
        <w:rPr>
          <w:rFonts w:eastAsia="Calibri" w:cs="Arial"/>
        </w:rPr>
        <w:t xml:space="preserve"> </w:t>
      </w:r>
      <w:r w:rsidR="00630B32" w:rsidRPr="00743335">
        <w:rPr>
          <w:rFonts w:eastAsia="Calibri" w:cs="Arial"/>
        </w:rPr>
        <w:t xml:space="preserve">if </w:t>
      </w:r>
      <w:r w:rsidR="00D54DAB" w:rsidRPr="00743335">
        <w:rPr>
          <w:rFonts w:eastAsia="Calibri" w:cs="Arial"/>
        </w:rPr>
        <w:t xml:space="preserve">a </w:t>
      </w:r>
      <w:r w:rsidR="007F7043">
        <w:rPr>
          <w:rFonts w:eastAsia="Calibri" w:cs="Arial"/>
          <w:noProof/>
          <w:color w:val="000000"/>
          <w:highlight w:val="black"/>
        </w:rPr>
        <w:t>''''''''' '''' '''''''</w:t>
      </w:r>
      <w:r w:rsidR="00D54DAB" w:rsidRPr="00743335">
        <w:rPr>
          <w:rFonts w:eastAsia="Calibri" w:cs="Arial"/>
        </w:rPr>
        <w:t xml:space="preserve">-year time lag is </w:t>
      </w:r>
      <w:r w:rsidRPr="00743335">
        <w:rPr>
          <w:rFonts w:eastAsia="Calibri" w:cs="Arial"/>
        </w:rPr>
        <w:t>incorporat</w:t>
      </w:r>
      <w:r w:rsidR="00D54DAB" w:rsidRPr="00743335">
        <w:rPr>
          <w:rFonts w:eastAsia="Calibri" w:cs="Arial"/>
        </w:rPr>
        <w:t>ed,</w:t>
      </w:r>
      <w:r w:rsidRPr="00743335">
        <w:rPr>
          <w:rFonts w:eastAsia="Calibri" w:cs="Arial"/>
        </w:rPr>
        <w:t xml:space="preserve"> </w:t>
      </w:r>
      <w:r w:rsidR="00A31BB3">
        <w:rPr>
          <w:rFonts w:eastAsia="Calibri" w:cs="Arial"/>
        </w:rPr>
        <w:t>with a corresponding price adjustment to reflect this delayed mortality benefit</w:t>
      </w:r>
      <w:r w:rsidR="000E3BE0" w:rsidRPr="00743335">
        <w:rPr>
          <w:rFonts w:eastAsia="Calibri" w:cs="Arial"/>
        </w:rPr>
        <w:t xml:space="preserve">. </w:t>
      </w:r>
    </w:p>
    <w:p w:rsidR="00D93FA3" w:rsidRPr="00743335" w:rsidRDefault="00D77DFE" w:rsidP="003D14A1">
      <w:pPr>
        <w:pStyle w:val="ListParagraph"/>
        <w:numPr>
          <w:ilvl w:val="1"/>
          <w:numId w:val="1"/>
        </w:numPr>
        <w:spacing w:before="0" w:after="120"/>
        <w:ind w:left="709" w:hanging="709"/>
        <w:jc w:val="both"/>
      </w:pPr>
      <w:r w:rsidRPr="00743335">
        <w:t>The PBAC noted the</w:t>
      </w:r>
      <w:r w:rsidR="006B4D78" w:rsidRPr="00743335">
        <w:t xml:space="preserve"> difficulties in estimating the eligible FH population and uptake as outlined by the DUSC and considered revised </w:t>
      </w:r>
      <w:r w:rsidR="00DD7844" w:rsidRPr="00743335">
        <w:t xml:space="preserve">financial </w:t>
      </w:r>
      <w:r w:rsidR="006B4D78" w:rsidRPr="00743335">
        <w:t>estimates</w:t>
      </w:r>
      <w:r w:rsidR="00DD7844" w:rsidRPr="00743335">
        <w:t xml:space="preserve"> for the FH population only</w:t>
      </w:r>
      <w:r w:rsidR="008729AC">
        <w:t>, including a reduced price,</w:t>
      </w:r>
      <w:r w:rsidR="006B4D78" w:rsidRPr="00743335">
        <w:t xml:space="preserve"> </w:t>
      </w:r>
      <w:r w:rsidR="00DD7844" w:rsidRPr="00743335">
        <w:t>would need to</w:t>
      </w:r>
      <w:r w:rsidR="006B4D78" w:rsidRPr="00743335">
        <w:t xml:space="preserve"> address these concerns. </w:t>
      </w:r>
      <w:r w:rsidR="00232BFF" w:rsidRPr="00743335">
        <w:t>The PBAC considered the cost-offsets for ezetim</w:t>
      </w:r>
      <w:r w:rsidR="00A31BB3">
        <w:t>i</w:t>
      </w:r>
      <w:r w:rsidR="00232BFF" w:rsidRPr="00743335">
        <w:t>be should be set to zero given best practice would be to use evolocumab in combination with ezetim</w:t>
      </w:r>
      <w:r w:rsidR="00A31BB3">
        <w:t>i</w:t>
      </w:r>
      <w:r w:rsidR="00232BFF" w:rsidRPr="00743335">
        <w:t xml:space="preserve">be and statins where possible, as was explained in the sponsor hearing. </w:t>
      </w:r>
      <w:r w:rsidR="006B4D78" w:rsidRPr="00743335">
        <w:t xml:space="preserve">The PBAC also considered a new </w:t>
      </w:r>
      <w:r w:rsidR="00313F24" w:rsidRPr="00743335">
        <w:t>risk-share arrangement</w:t>
      </w:r>
      <w:r w:rsidR="006B4D78" w:rsidRPr="00743335">
        <w:t xml:space="preserve"> would need to incorporate a cap on financial estimates </w:t>
      </w:r>
      <w:r w:rsidR="008B1CEB">
        <w:t xml:space="preserve">for PCSK9 inhibitors </w:t>
      </w:r>
      <w:r w:rsidR="006B4D78" w:rsidRPr="00743335">
        <w:t xml:space="preserve">to account for potential use in the non-FH population. </w:t>
      </w:r>
    </w:p>
    <w:p w:rsidR="008808AC" w:rsidRPr="00743335" w:rsidRDefault="008808AC" w:rsidP="003D14A1">
      <w:pPr>
        <w:pStyle w:val="ListParagraph"/>
        <w:numPr>
          <w:ilvl w:val="1"/>
          <w:numId w:val="1"/>
        </w:numPr>
        <w:spacing w:before="0" w:after="120"/>
        <w:ind w:left="709" w:hanging="709"/>
        <w:jc w:val="both"/>
        <w:rPr>
          <w:rFonts w:cs="Arial"/>
          <w:bCs/>
          <w:snapToGrid w:val="0"/>
        </w:rPr>
      </w:pPr>
      <w:r w:rsidRPr="003D14A1">
        <w:t>The</w:t>
      </w:r>
      <w:r w:rsidRPr="00743335">
        <w:rPr>
          <w:rFonts w:cs="Arial"/>
          <w:bCs/>
          <w:snapToGrid w:val="0"/>
        </w:rPr>
        <w:t xml:space="preserve"> PBAC considered a </w:t>
      </w:r>
      <w:r w:rsidR="00D54DAB" w:rsidRPr="00743335">
        <w:rPr>
          <w:rFonts w:cs="Arial"/>
          <w:bCs/>
          <w:snapToGrid w:val="0"/>
        </w:rPr>
        <w:t>re</w:t>
      </w:r>
      <w:r w:rsidRPr="00743335">
        <w:rPr>
          <w:rFonts w:cs="Arial"/>
          <w:bCs/>
          <w:snapToGrid w:val="0"/>
        </w:rPr>
        <w:t xml:space="preserve">submission should </w:t>
      </w:r>
      <w:r w:rsidR="00DD7844" w:rsidRPr="00743335">
        <w:rPr>
          <w:rFonts w:cs="Arial"/>
          <w:bCs/>
          <w:snapToGrid w:val="0"/>
        </w:rPr>
        <w:t>include</w:t>
      </w:r>
      <w:r w:rsidRPr="00743335">
        <w:rPr>
          <w:rFonts w:cs="Arial"/>
          <w:bCs/>
          <w:snapToGrid w:val="0"/>
        </w:rPr>
        <w:t xml:space="preserve"> the following:</w:t>
      </w:r>
    </w:p>
    <w:p w:rsidR="008808AC" w:rsidRPr="00743335" w:rsidRDefault="008808AC" w:rsidP="008808AC">
      <w:pPr>
        <w:pStyle w:val="ListParagraph"/>
        <w:widowControl w:val="0"/>
        <w:numPr>
          <w:ilvl w:val="0"/>
          <w:numId w:val="20"/>
        </w:numPr>
        <w:spacing w:before="0" w:after="120"/>
        <w:jc w:val="both"/>
        <w:rPr>
          <w:rFonts w:cs="Arial"/>
          <w:bCs/>
          <w:snapToGrid w:val="0"/>
        </w:rPr>
      </w:pPr>
      <w:r w:rsidRPr="00743335">
        <w:rPr>
          <w:rFonts w:cs="Arial"/>
          <w:bCs/>
          <w:snapToGrid w:val="0"/>
        </w:rPr>
        <w:t xml:space="preserve">Restriction </w:t>
      </w:r>
      <w:r w:rsidR="00DD7844" w:rsidRPr="00743335">
        <w:rPr>
          <w:rFonts w:cs="Arial"/>
          <w:bCs/>
          <w:snapToGrid w:val="0"/>
        </w:rPr>
        <w:t>with</w:t>
      </w:r>
      <w:r w:rsidRPr="00743335">
        <w:rPr>
          <w:rFonts w:cs="Arial"/>
          <w:bCs/>
          <w:snapToGrid w:val="0"/>
        </w:rPr>
        <w:t xml:space="preserve"> </w:t>
      </w:r>
      <w:r w:rsidR="007E0108">
        <w:rPr>
          <w:rFonts w:cs="Arial"/>
          <w:bCs/>
          <w:snapToGrid w:val="0"/>
        </w:rPr>
        <w:t>more specific</w:t>
      </w:r>
      <w:r w:rsidR="007E0108" w:rsidRPr="00743335">
        <w:rPr>
          <w:rFonts w:cs="Arial"/>
          <w:bCs/>
          <w:snapToGrid w:val="0"/>
        </w:rPr>
        <w:t xml:space="preserve"> </w:t>
      </w:r>
      <w:r w:rsidRPr="00743335">
        <w:rPr>
          <w:rFonts w:cs="Arial"/>
          <w:bCs/>
          <w:snapToGrid w:val="0"/>
        </w:rPr>
        <w:t>definitions of ASCVD and statin intolerance, and clarity that patients are required to be on other lipid lowering therapy/ies to be eligible for evolocumab</w:t>
      </w:r>
    </w:p>
    <w:p w:rsidR="008808AC" w:rsidRPr="00743335" w:rsidRDefault="00D93FA3" w:rsidP="008808AC">
      <w:pPr>
        <w:pStyle w:val="ListParagraph"/>
        <w:widowControl w:val="0"/>
        <w:numPr>
          <w:ilvl w:val="0"/>
          <w:numId w:val="20"/>
        </w:numPr>
        <w:spacing w:before="0" w:after="120"/>
        <w:jc w:val="both"/>
        <w:rPr>
          <w:rFonts w:cs="Arial"/>
          <w:bCs/>
          <w:snapToGrid w:val="0"/>
        </w:rPr>
      </w:pPr>
      <w:r w:rsidRPr="00743335">
        <w:rPr>
          <w:rFonts w:cs="Arial"/>
          <w:bCs/>
          <w:snapToGrid w:val="0"/>
        </w:rPr>
        <w:t xml:space="preserve">Indirect comparison with alirocumab using the FOURIER trial and ODYSSEY </w:t>
      </w:r>
      <w:r w:rsidR="00DD7844" w:rsidRPr="00743335">
        <w:rPr>
          <w:rFonts w:cs="Arial"/>
          <w:bCs/>
          <w:snapToGrid w:val="0"/>
        </w:rPr>
        <w:t xml:space="preserve">OUTCOMES </w:t>
      </w:r>
      <w:r w:rsidRPr="00743335">
        <w:rPr>
          <w:rFonts w:cs="Arial"/>
          <w:bCs/>
          <w:snapToGrid w:val="0"/>
        </w:rPr>
        <w:t>trial</w:t>
      </w:r>
      <w:r w:rsidR="00DD7844" w:rsidRPr="00743335">
        <w:rPr>
          <w:rFonts w:cs="Arial"/>
          <w:bCs/>
          <w:snapToGrid w:val="0"/>
        </w:rPr>
        <w:t xml:space="preserve"> data</w:t>
      </w:r>
      <w:r w:rsidRPr="00743335">
        <w:rPr>
          <w:rFonts w:cs="Arial"/>
          <w:bCs/>
          <w:snapToGrid w:val="0"/>
        </w:rPr>
        <w:t>, if available</w:t>
      </w:r>
    </w:p>
    <w:p w:rsidR="00D93FA3" w:rsidRPr="00743335" w:rsidRDefault="00861602" w:rsidP="008808AC">
      <w:pPr>
        <w:pStyle w:val="ListParagraph"/>
        <w:widowControl w:val="0"/>
        <w:numPr>
          <w:ilvl w:val="0"/>
          <w:numId w:val="20"/>
        </w:numPr>
        <w:spacing w:before="0" w:after="120"/>
        <w:jc w:val="both"/>
        <w:rPr>
          <w:rFonts w:cs="Arial"/>
          <w:bCs/>
          <w:snapToGrid w:val="0"/>
        </w:rPr>
      </w:pPr>
      <w:r w:rsidRPr="00743335">
        <w:rPr>
          <w:rFonts w:cs="Arial"/>
          <w:bCs/>
          <w:snapToGrid w:val="0"/>
        </w:rPr>
        <w:t xml:space="preserve">Revised base cases for </w:t>
      </w:r>
      <w:r w:rsidR="001D43DE" w:rsidRPr="00743335">
        <w:rPr>
          <w:rFonts w:cs="Arial"/>
          <w:bCs/>
          <w:snapToGrid w:val="0"/>
        </w:rPr>
        <w:t xml:space="preserve">both </w:t>
      </w:r>
      <w:r w:rsidRPr="00743335">
        <w:rPr>
          <w:rFonts w:cs="Arial"/>
          <w:bCs/>
          <w:snapToGrid w:val="0"/>
        </w:rPr>
        <w:t>the FH</w:t>
      </w:r>
      <w:r w:rsidR="001D43DE" w:rsidRPr="00743335">
        <w:rPr>
          <w:rFonts w:cs="Arial"/>
          <w:bCs/>
          <w:snapToGrid w:val="0"/>
        </w:rPr>
        <w:t xml:space="preserve"> with ASCVD and FH wit</w:t>
      </w:r>
      <w:r w:rsidR="00145C52" w:rsidRPr="00743335">
        <w:rPr>
          <w:rFonts w:cs="Arial"/>
          <w:bCs/>
          <w:snapToGrid w:val="0"/>
        </w:rPr>
        <w:t>h</w:t>
      </w:r>
      <w:r w:rsidR="001D43DE" w:rsidRPr="00743335">
        <w:rPr>
          <w:rFonts w:cs="Arial"/>
          <w:bCs/>
          <w:snapToGrid w:val="0"/>
        </w:rPr>
        <w:t xml:space="preserve"> very high LDL-c</w:t>
      </w:r>
      <w:r w:rsidRPr="00743335">
        <w:rPr>
          <w:rFonts w:cs="Arial"/>
          <w:bCs/>
          <w:snapToGrid w:val="0"/>
        </w:rPr>
        <w:t xml:space="preserve"> populations incorporating a </w:t>
      </w:r>
      <w:r w:rsidR="00FD1CEF" w:rsidRPr="00743335">
        <w:rPr>
          <w:rFonts w:cs="Arial"/>
          <w:bCs/>
          <w:snapToGrid w:val="0"/>
        </w:rPr>
        <w:t xml:space="preserve">time lag for CV </w:t>
      </w:r>
      <w:r w:rsidRPr="00743335">
        <w:rPr>
          <w:rFonts w:cs="Arial"/>
          <w:bCs/>
          <w:snapToGrid w:val="0"/>
        </w:rPr>
        <w:t xml:space="preserve">mortality </w:t>
      </w:r>
      <w:r w:rsidR="00FD1CEF" w:rsidRPr="00743335">
        <w:rPr>
          <w:rFonts w:cs="Arial"/>
          <w:bCs/>
          <w:snapToGrid w:val="0"/>
        </w:rPr>
        <w:t xml:space="preserve">benefit </w:t>
      </w:r>
      <w:r w:rsidR="00771B5E" w:rsidRPr="00743335">
        <w:rPr>
          <w:rFonts w:cs="Arial"/>
          <w:bCs/>
          <w:snapToGrid w:val="0"/>
        </w:rPr>
        <w:t xml:space="preserve">of </w:t>
      </w:r>
      <w:r w:rsidR="00D54DAB" w:rsidRPr="00743335">
        <w:rPr>
          <w:rFonts w:cs="Arial"/>
          <w:bCs/>
          <w:snapToGrid w:val="0"/>
        </w:rPr>
        <w:t xml:space="preserve">between </w:t>
      </w:r>
      <w:r w:rsidR="007F7043">
        <w:rPr>
          <w:rFonts w:cs="Arial"/>
          <w:bCs/>
          <w:noProof/>
          <w:snapToGrid w:val="0"/>
          <w:color w:val="000000"/>
          <w:highlight w:val="black"/>
        </w:rPr>
        <w:t>'''''''''' '''''''' ''''''''</w:t>
      </w:r>
      <w:r w:rsidR="00630B32" w:rsidRPr="00743335">
        <w:rPr>
          <w:rFonts w:cs="Arial"/>
          <w:bCs/>
          <w:snapToGrid w:val="0"/>
        </w:rPr>
        <w:t xml:space="preserve"> </w:t>
      </w:r>
      <w:r w:rsidR="00771B5E" w:rsidRPr="00743335">
        <w:rPr>
          <w:rFonts w:cs="Arial"/>
          <w:bCs/>
          <w:snapToGrid w:val="0"/>
        </w:rPr>
        <w:t>years</w:t>
      </w:r>
      <w:r w:rsidR="000C1CF0" w:rsidRPr="00743335">
        <w:rPr>
          <w:rFonts w:cs="Arial"/>
          <w:bCs/>
          <w:snapToGrid w:val="0"/>
        </w:rPr>
        <w:t xml:space="preserve"> and a reduced price to achieve comparable ICERs to those presented in th</w:t>
      </w:r>
      <w:r w:rsidR="00DD7844" w:rsidRPr="00743335">
        <w:rPr>
          <w:rFonts w:cs="Arial"/>
          <w:bCs/>
          <w:snapToGrid w:val="0"/>
        </w:rPr>
        <w:t>is</w:t>
      </w:r>
      <w:r w:rsidR="000C1CF0" w:rsidRPr="00743335">
        <w:rPr>
          <w:rFonts w:cs="Arial"/>
          <w:bCs/>
          <w:snapToGrid w:val="0"/>
        </w:rPr>
        <w:t xml:space="preserve"> </w:t>
      </w:r>
      <w:r w:rsidR="00DD7844" w:rsidRPr="00743335">
        <w:rPr>
          <w:rFonts w:cs="Arial"/>
          <w:bCs/>
          <w:snapToGrid w:val="0"/>
        </w:rPr>
        <w:t xml:space="preserve">November 2017 </w:t>
      </w:r>
      <w:r w:rsidR="000C1CF0" w:rsidRPr="00743335">
        <w:rPr>
          <w:rFonts w:cs="Arial"/>
          <w:bCs/>
          <w:snapToGrid w:val="0"/>
        </w:rPr>
        <w:t xml:space="preserve">submission  </w:t>
      </w:r>
    </w:p>
    <w:p w:rsidR="00643C6A" w:rsidRPr="00743335" w:rsidRDefault="006B4D78" w:rsidP="007C7664">
      <w:pPr>
        <w:pStyle w:val="ListParagraph"/>
        <w:widowControl w:val="0"/>
        <w:numPr>
          <w:ilvl w:val="0"/>
          <w:numId w:val="20"/>
        </w:numPr>
        <w:spacing w:before="0" w:after="120"/>
        <w:jc w:val="both"/>
        <w:rPr>
          <w:rFonts w:cs="Arial"/>
          <w:bCs/>
          <w:snapToGrid w:val="0"/>
        </w:rPr>
      </w:pPr>
      <w:r w:rsidRPr="00743335">
        <w:rPr>
          <w:rFonts w:cs="Arial"/>
          <w:bCs/>
          <w:snapToGrid w:val="0"/>
        </w:rPr>
        <w:t xml:space="preserve">Revised financial implications for the FH population only, including a </w:t>
      </w:r>
      <w:r w:rsidR="00313F24" w:rsidRPr="00743335">
        <w:rPr>
          <w:rFonts w:cs="Arial"/>
          <w:bCs/>
          <w:snapToGrid w:val="0"/>
        </w:rPr>
        <w:t xml:space="preserve">risk-share </w:t>
      </w:r>
      <w:r w:rsidR="00DD7844" w:rsidRPr="00743335">
        <w:rPr>
          <w:rFonts w:cs="Arial"/>
          <w:bCs/>
          <w:snapToGrid w:val="0"/>
        </w:rPr>
        <w:t>arrangement</w:t>
      </w:r>
      <w:r w:rsidRPr="00743335">
        <w:rPr>
          <w:rFonts w:cs="Arial"/>
          <w:bCs/>
          <w:snapToGrid w:val="0"/>
        </w:rPr>
        <w:t xml:space="preserve"> </w:t>
      </w:r>
      <w:r w:rsidR="007C7664" w:rsidRPr="00743335">
        <w:rPr>
          <w:rFonts w:cs="Arial"/>
          <w:bCs/>
          <w:snapToGrid w:val="0"/>
        </w:rPr>
        <w:t xml:space="preserve">with a cap </w:t>
      </w:r>
      <w:r w:rsidRPr="00743335">
        <w:rPr>
          <w:rFonts w:cs="Arial"/>
          <w:bCs/>
          <w:snapToGrid w:val="0"/>
        </w:rPr>
        <w:t xml:space="preserve">to </w:t>
      </w:r>
      <w:r w:rsidR="007C7664" w:rsidRPr="00743335">
        <w:rPr>
          <w:rFonts w:cs="Arial"/>
          <w:bCs/>
          <w:snapToGrid w:val="0"/>
        </w:rPr>
        <w:t xml:space="preserve">account for </w:t>
      </w:r>
      <w:r w:rsidR="00DB44F6">
        <w:rPr>
          <w:rFonts w:cs="Arial"/>
          <w:bCs/>
          <w:snapToGrid w:val="0"/>
        </w:rPr>
        <w:t xml:space="preserve">uncertainty on the size and uptake of the eligible FH population and </w:t>
      </w:r>
      <w:r w:rsidR="007C7664" w:rsidRPr="00743335">
        <w:rPr>
          <w:rFonts w:cs="Arial"/>
          <w:bCs/>
          <w:snapToGrid w:val="0"/>
        </w:rPr>
        <w:t xml:space="preserve">potential use </w:t>
      </w:r>
      <w:r w:rsidR="00DB44F6">
        <w:rPr>
          <w:rFonts w:cs="Arial"/>
          <w:bCs/>
          <w:snapToGrid w:val="0"/>
        </w:rPr>
        <w:t xml:space="preserve">outside the approved FH population into </w:t>
      </w:r>
      <w:r w:rsidR="007C7664" w:rsidRPr="00743335">
        <w:rPr>
          <w:rFonts w:cs="Arial"/>
          <w:bCs/>
          <w:snapToGrid w:val="0"/>
        </w:rPr>
        <w:t xml:space="preserve">the non-FH population.  </w:t>
      </w:r>
    </w:p>
    <w:p w:rsidR="00643C6A" w:rsidRPr="00743335" w:rsidRDefault="00643C6A" w:rsidP="00643C6A">
      <w:pPr>
        <w:spacing w:before="240"/>
        <w:jc w:val="both"/>
        <w:rPr>
          <w:rFonts w:cs="Arial"/>
          <w:b/>
          <w:bCs/>
          <w:snapToGrid w:val="0"/>
        </w:rPr>
      </w:pPr>
      <w:r w:rsidRPr="00743335">
        <w:rPr>
          <w:rFonts w:cs="Arial"/>
          <w:b/>
          <w:bCs/>
          <w:snapToGrid w:val="0"/>
        </w:rPr>
        <w:t>Outcome:</w:t>
      </w:r>
    </w:p>
    <w:p w:rsidR="006B4D78" w:rsidRPr="00743335" w:rsidRDefault="00643C6A" w:rsidP="00643C6A">
      <w:pPr>
        <w:widowControl w:val="0"/>
        <w:spacing w:before="0" w:after="120"/>
        <w:jc w:val="both"/>
        <w:rPr>
          <w:rFonts w:cs="Arial"/>
          <w:bCs/>
          <w:snapToGrid w:val="0"/>
        </w:rPr>
      </w:pPr>
      <w:r w:rsidRPr="00743335">
        <w:rPr>
          <w:rFonts w:cs="Arial"/>
          <w:bCs/>
          <w:snapToGrid w:val="0"/>
        </w:rPr>
        <w:t>Deferred</w:t>
      </w:r>
      <w:r w:rsidR="006B4D78" w:rsidRPr="00743335">
        <w:rPr>
          <w:rFonts w:cs="Arial"/>
          <w:bCs/>
          <w:snapToGrid w:val="0"/>
        </w:rPr>
        <w:t xml:space="preserve"> </w:t>
      </w:r>
    </w:p>
    <w:p w:rsidR="00643C6A" w:rsidRPr="0086430F" w:rsidRDefault="00643C6A" w:rsidP="00643C6A">
      <w:pPr>
        <w:pStyle w:val="Heading2"/>
      </w:pPr>
      <w:r w:rsidRPr="00743335">
        <w:t xml:space="preserve">Non-Familial </w:t>
      </w:r>
      <w:r w:rsidR="00BE6C9F" w:rsidRPr="00743335">
        <w:t xml:space="preserve">hypercholesterolaemia </w:t>
      </w:r>
      <w:r w:rsidRPr="00743335">
        <w:t xml:space="preserve">(non-FH) </w:t>
      </w:r>
      <w:r w:rsidR="00DD7844" w:rsidRPr="00743335">
        <w:t>with</w:t>
      </w:r>
      <w:r w:rsidRPr="00743335">
        <w:t xml:space="preserve"> atherosclerotic cardiovascular disease (ASCVD) </w:t>
      </w:r>
    </w:p>
    <w:p w:rsidR="00503CD7" w:rsidRPr="00743335" w:rsidRDefault="00643C6A" w:rsidP="003D14A1">
      <w:pPr>
        <w:pStyle w:val="ListParagraph"/>
        <w:numPr>
          <w:ilvl w:val="1"/>
          <w:numId w:val="1"/>
        </w:numPr>
        <w:spacing w:before="0" w:after="120"/>
        <w:ind w:left="709" w:hanging="709"/>
        <w:jc w:val="both"/>
        <w:rPr>
          <w:rFonts w:cs="Arial"/>
          <w:bCs/>
          <w:snapToGrid w:val="0"/>
        </w:rPr>
      </w:pPr>
      <w:r w:rsidRPr="00743335">
        <w:t>The</w:t>
      </w:r>
      <w:r w:rsidRPr="00743335">
        <w:rPr>
          <w:rFonts w:cs="Arial"/>
          <w:bCs/>
          <w:snapToGrid w:val="0"/>
        </w:rPr>
        <w:t xml:space="preserve"> PBAC acknowledged there is a high unmet clinical need for patients with non-FH and ASCVD</w:t>
      </w:r>
      <w:r w:rsidR="00475AF1" w:rsidRPr="00743335">
        <w:rPr>
          <w:rFonts w:cs="Arial"/>
          <w:bCs/>
          <w:snapToGrid w:val="0"/>
        </w:rPr>
        <w:t xml:space="preserve"> who are</w:t>
      </w:r>
      <w:r w:rsidRPr="00743335">
        <w:rPr>
          <w:rFonts w:cs="Arial"/>
          <w:bCs/>
          <w:snapToGrid w:val="0"/>
        </w:rPr>
        <w:t xml:space="preserve"> </w:t>
      </w:r>
      <w:r w:rsidR="00EF209A" w:rsidRPr="00743335">
        <w:rPr>
          <w:rFonts w:cs="Arial"/>
          <w:bCs/>
          <w:snapToGrid w:val="0"/>
        </w:rPr>
        <w:t>not adequately controlled with available lipid-lowering therapies, but considered</w:t>
      </w:r>
      <w:r w:rsidRPr="00743335">
        <w:rPr>
          <w:rFonts w:cs="Arial"/>
          <w:bCs/>
          <w:snapToGrid w:val="0"/>
        </w:rPr>
        <w:t xml:space="preserve"> </w:t>
      </w:r>
      <w:r w:rsidR="00503CD7" w:rsidRPr="00743335">
        <w:rPr>
          <w:rFonts w:cs="Arial"/>
          <w:bCs/>
          <w:snapToGrid w:val="0"/>
        </w:rPr>
        <w:t xml:space="preserve">that </w:t>
      </w:r>
      <w:r w:rsidRPr="00743335">
        <w:rPr>
          <w:rFonts w:cs="Arial"/>
          <w:bCs/>
          <w:snapToGrid w:val="0"/>
        </w:rPr>
        <w:t>th</w:t>
      </w:r>
      <w:r w:rsidR="00EF209A" w:rsidRPr="00743335">
        <w:rPr>
          <w:rFonts w:cs="Arial"/>
          <w:bCs/>
          <w:snapToGrid w:val="0"/>
        </w:rPr>
        <w:t>is</w:t>
      </w:r>
      <w:r w:rsidRPr="00743335">
        <w:rPr>
          <w:rFonts w:cs="Arial"/>
          <w:bCs/>
          <w:snapToGrid w:val="0"/>
        </w:rPr>
        <w:t xml:space="preserve"> populatio</w:t>
      </w:r>
      <w:r w:rsidR="00503CD7" w:rsidRPr="00743335">
        <w:rPr>
          <w:rFonts w:cs="Arial"/>
          <w:bCs/>
          <w:snapToGrid w:val="0"/>
        </w:rPr>
        <w:t>n wa</w:t>
      </w:r>
      <w:r w:rsidRPr="00743335">
        <w:rPr>
          <w:rFonts w:cs="Arial"/>
          <w:bCs/>
          <w:snapToGrid w:val="0"/>
        </w:rPr>
        <w:t xml:space="preserve">s </w:t>
      </w:r>
      <w:r w:rsidR="00106A9A">
        <w:rPr>
          <w:rFonts w:cs="Arial"/>
          <w:bCs/>
          <w:snapToGrid w:val="0"/>
        </w:rPr>
        <w:t>inadequately</w:t>
      </w:r>
      <w:r w:rsidR="00106A9A" w:rsidRPr="00743335">
        <w:rPr>
          <w:rFonts w:cs="Arial"/>
          <w:bCs/>
          <w:snapToGrid w:val="0"/>
        </w:rPr>
        <w:t xml:space="preserve"> </w:t>
      </w:r>
      <w:r w:rsidRPr="00743335">
        <w:rPr>
          <w:rFonts w:cs="Arial"/>
          <w:bCs/>
          <w:snapToGrid w:val="0"/>
        </w:rPr>
        <w:t>defined.</w:t>
      </w:r>
      <w:r w:rsidR="00EF209A" w:rsidRPr="00743335">
        <w:rPr>
          <w:rFonts w:cs="Arial"/>
          <w:bCs/>
          <w:snapToGrid w:val="0"/>
        </w:rPr>
        <w:t xml:space="preserve"> </w:t>
      </w:r>
      <w:r w:rsidR="00503CD7" w:rsidRPr="00743335">
        <w:rPr>
          <w:rFonts w:cs="Arial"/>
          <w:bCs/>
          <w:snapToGrid w:val="0"/>
        </w:rPr>
        <w:t xml:space="preserve">The PBAC advised </w:t>
      </w:r>
      <w:r w:rsidR="00475AF1" w:rsidRPr="00743335">
        <w:rPr>
          <w:rFonts w:cs="Arial"/>
          <w:bCs/>
          <w:snapToGrid w:val="0"/>
        </w:rPr>
        <w:t>further modelling could be used to determine the qualifying LDL-c level for the non-FH population with ASCVD</w:t>
      </w:r>
      <w:r w:rsidR="00313F24" w:rsidRPr="00743335">
        <w:rPr>
          <w:rFonts w:cs="Arial"/>
          <w:bCs/>
          <w:snapToGrid w:val="0"/>
        </w:rPr>
        <w:t>,</w:t>
      </w:r>
      <w:r w:rsidR="00475AF1" w:rsidRPr="00743335">
        <w:rPr>
          <w:rFonts w:cs="Arial"/>
          <w:bCs/>
          <w:snapToGrid w:val="0"/>
        </w:rPr>
        <w:t xml:space="preserve"> and the proposed PBS</w:t>
      </w:r>
      <w:r w:rsidR="00503CD7" w:rsidRPr="00743335">
        <w:rPr>
          <w:rFonts w:cs="Arial"/>
          <w:bCs/>
          <w:snapToGrid w:val="0"/>
        </w:rPr>
        <w:t xml:space="preserve"> restriction </w:t>
      </w:r>
      <w:r w:rsidR="00313F24" w:rsidRPr="00743335">
        <w:rPr>
          <w:rFonts w:cs="Arial"/>
          <w:bCs/>
          <w:snapToGrid w:val="0"/>
        </w:rPr>
        <w:t xml:space="preserve">would </w:t>
      </w:r>
      <w:r w:rsidR="00475AF1" w:rsidRPr="00743335">
        <w:rPr>
          <w:rFonts w:cs="Arial"/>
          <w:bCs/>
          <w:snapToGrid w:val="0"/>
        </w:rPr>
        <w:t xml:space="preserve">require </w:t>
      </w:r>
      <w:r w:rsidR="00106A9A">
        <w:rPr>
          <w:rFonts w:cs="Arial"/>
          <w:bCs/>
          <w:snapToGrid w:val="0"/>
        </w:rPr>
        <w:t xml:space="preserve">more specific </w:t>
      </w:r>
      <w:r w:rsidR="00503CD7" w:rsidRPr="00743335">
        <w:rPr>
          <w:rFonts w:cs="Arial"/>
          <w:bCs/>
          <w:snapToGrid w:val="0"/>
        </w:rPr>
        <w:t xml:space="preserve">definitions of ASCVD and statin intolerance. </w:t>
      </w:r>
    </w:p>
    <w:p w:rsidR="00643C6A" w:rsidRPr="00743335" w:rsidRDefault="00643C6A" w:rsidP="003D14A1">
      <w:pPr>
        <w:pStyle w:val="ListParagraph"/>
        <w:numPr>
          <w:ilvl w:val="1"/>
          <w:numId w:val="1"/>
        </w:numPr>
        <w:spacing w:before="0" w:after="120"/>
        <w:ind w:left="709" w:hanging="709"/>
        <w:jc w:val="both"/>
        <w:rPr>
          <w:rFonts w:cs="Arial"/>
          <w:bCs/>
          <w:snapToGrid w:val="0"/>
          <w:color w:val="FF0000"/>
        </w:rPr>
      </w:pPr>
      <w:r w:rsidRPr="00743335">
        <w:rPr>
          <w:rFonts w:cs="Arial"/>
          <w:bCs/>
          <w:snapToGrid w:val="0"/>
        </w:rPr>
        <w:t>The PBAC noted the pre-PBAC response (p1) suggested a stakeholder meeting to discuss the role of PCSK9 inhibitors in the wider population, however, the PBAC was reluctant to enter into such discussions witho</w:t>
      </w:r>
      <w:r w:rsidR="00232BFF" w:rsidRPr="00743335">
        <w:rPr>
          <w:rFonts w:cs="Arial"/>
          <w:bCs/>
          <w:snapToGrid w:val="0"/>
        </w:rPr>
        <w:t xml:space="preserve">ut </w:t>
      </w:r>
      <w:r w:rsidR="008B1CEB">
        <w:t>greater clarity and agreement about the non-FH population who would most benefit from PCSK9 inhibitors and without further economic modelling of the cost-effectiveness and opportunity cost of a broader listing upon which to base such discussions.  The PBAC also noted that outcome data for alirocumab is not yet available and would also be needed to inform such discussions.</w:t>
      </w:r>
      <w:r w:rsidRPr="00743335">
        <w:rPr>
          <w:rFonts w:cs="Arial"/>
          <w:bCs/>
          <w:snapToGrid w:val="0"/>
        </w:rPr>
        <w:t xml:space="preserve"> </w:t>
      </w:r>
    </w:p>
    <w:p w:rsidR="00FD1CEF" w:rsidRPr="00743335" w:rsidRDefault="00FD1CEF" w:rsidP="003D14A1">
      <w:pPr>
        <w:pStyle w:val="ListParagraph"/>
        <w:numPr>
          <w:ilvl w:val="1"/>
          <w:numId w:val="1"/>
        </w:numPr>
        <w:spacing w:before="0" w:after="120"/>
        <w:ind w:left="709" w:hanging="709"/>
        <w:jc w:val="both"/>
        <w:rPr>
          <w:rFonts w:cs="Arial"/>
          <w:bCs/>
          <w:snapToGrid w:val="0"/>
          <w:color w:val="FF0000"/>
        </w:rPr>
      </w:pPr>
      <w:r w:rsidRPr="003D14A1">
        <w:t>The</w:t>
      </w:r>
      <w:r w:rsidRPr="00743335">
        <w:rPr>
          <w:rFonts w:cs="Arial"/>
          <w:bCs/>
          <w:snapToGrid w:val="0"/>
        </w:rPr>
        <w:t xml:space="preserve"> PBAC noted the FOURIER trial population was more aligned with the non-FH population with ASCVD and that these trial data could be used to better inform the economic model. As with the FH population, more conservative assumptions about the time to CV mortality benefit should be included in a future economic model. </w:t>
      </w:r>
    </w:p>
    <w:p w:rsidR="00475AF1" w:rsidRPr="005B65CA" w:rsidRDefault="00475AF1" w:rsidP="003D14A1">
      <w:pPr>
        <w:pStyle w:val="ListParagraph"/>
        <w:numPr>
          <w:ilvl w:val="1"/>
          <w:numId w:val="1"/>
        </w:numPr>
        <w:spacing w:before="0" w:after="120"/>
        <w:ind w:left="709" w:hanging="709"/>
        <w:jc w:val="both"/>
        <w:rPr>
          <w:rFonts w:cs="Arial"/>
          <w:bCs/>
          <w:snapToGrid w:val="0"/>
          <w:color w:val="FF0000"/>
        </w:rPr>
      </w:pPr>
      <w:r w:rsidRPr="00743335">
        <w:rPr>
          <w:rFonts w:cs="Arial"/>
          <w:bCs/>
          <w:snapToGrid w:val="0"/>
        </w:rPr>
        <w:t xml:space="preserve">The PBAC noted the very high financial </w:t>
      </w:r>
      <w:r w:rsidR="00313F24" w:rsidRPr="00743335">
        <w:rPr>
          <w:rFonts w:cs="Arial"/>
          <w:bCs/>
          <w:snapToGrid w:val="0"/>
        </w:rPr>
        <w:t>impact of extending the listing beyond the FH population and noted the</w:t>
      </w:r>
      <w:r w:rsidRPr="00743335">
        <w:rPr>
          <w:rFonts w:cs="Arial"/>
          <w:bCs/>
          <w:snapToGrid w:val="0"/>
        </w:rPr>
        <w:t xml:space="preserve"> DUSC raised </w:t>
      </w:r>
      <w:r w:rsidR="002C053D">
        <w:rPr>
          <w:rFonts w:cs="Arial"/>
          <w:bCs/>
          <w:snapToGrid w:val="0"/>
        </w:rPr>
        <w:t>considerable</w:t>
      </w:r>
      <w:r w:rsidR="002C053D" w:rsidRPr="00743335">
        <w:rPr>
          <w:rFonts w:cs="Arial"/>
          <w:bCs/>
          <w:snapToGrid w:val="0"/>
        </w:rPr>
        <w:t xml:space="preserve"> </w:t>
      </w:r>
      <w:r w:rsidR="00313F24" w:rsidRPr="00743335">
        <w:rPr>
          <w:rFonts w:cs="Arial"/>
          <w:bCs/>
          <w:snapToGrid w:val="0"/>
        </w:rPr>
        <w:t>uncertainty in the estimates and likelihood of growth in the market. The PBAC considered a risk-share arrangement to manage the financial risks, including hard caps with 100% rebates, would need to be considered.</w:t>
      </w:r>
    </w:p>
    <w:p w:rsidR="005B65CA" w:rsidRPr="005B65CA" w:rsidRDefault="005B65CA" w:rsidP="003D14A1">
      <w:pPr>
        <w:pStyle w:val="ListParagraph"/>
        <w:numPr>
          <w:ilvl w:val="1"/>
          <w:numId w:val="1"/>
        </w:numPr>
        <w:spacing w:before="0" w:after="120"/>
        <w:ind w:left="709" w:hanging="709"/>
        <w:jc w:val="both"/>
        <w:rPr>
          <w:rFonts w:cs="Arial"/>
          <w:bCs/>
          <w:i/>
          <w:snapToGrid w:val="0"/>
        </w:rPr>
      </w:pPr>
      <w:r w:rsidRPr="003D14A1">
        <w:t>The</w:t>
      </w:r>
      <w:r w:rsidRPr="00C270D8">
        <w:rPr>
          <w:rFonts w:cs="Arial"/>
          <w:bCs/>
          <w:snapToGrid w:val="0"/>
        </w:rPr>
        <w:t xml:space="preserve"> PBAC noted that this submission is elig</w:t>
      </w:r>
      <w:r>
        <w:rPr>
          <w:rFonts w:cs="Arial"/>
          <w:bCs/>
          <w:snapToGrid w:val="0"/>
        </w:rPr>
        <w:t>ible for an Independent Review.</w:t>
      </w:r>
    </w:p>
    <w:p w:rsidR="00BF2DA3" w:rsidRPr="00743335" w:rsidRDefault="00BF2DA3" w:rsidP="00BF2DA3">
      <w:pPr>
        <w:spacing w:before="240"/>
        <w:jc w:val="both"/>
        <w:rPr>
          <w:rFonts w:cs="Arial"/>
          <w:b/>
          <w:bCs/>
          <w:snapToGrid w:val="0"/>
        </w:rPr>
      </w:pPr>
      <w:r w:rsidRPr="00743335">
        <w:rPr>
          <w:rFonts w:cs="Arial"/>
          <w:b/>
          <w:bCs/>
          <w:snapToGrid w:val="0"/>
        </w:rPr>
        <w:t>Outcome:</w:t>
      </w:r>
    </w:p>
    <w:p w:rsidR="00BF2DA3" w:rsidRDefault="00B171D5" w:rsidP="00BF2DA3">
      <w:pPr>
        <w:widowControl w:val="0"/>
        <w:spacing w:before="0" w:after="120"/>
        <w:jc w:val="both"/>
        <w:rPr>
          <w:rFonts w:cs="Arial"/>
          <w:bCs/>
          <w:snapToGrid w:val="0"/>
        </w:rPr>
      </w:pPr>
      <w:r w:rsidRPr="00743335">
        <w:rPr>
          <w:rFonts w:cs="Arial"/>
          <w:bCs/>
          <w:snapToGrid w:val="0"/>
        </w:rPr>
        <w:t>Reject</w:t>
      </w:r>
      <w:r w:rsidR="00BF2DA3" w:rsidRPr="00743335">
        <w:rPr>
          <w:rFonts w:cs="Arial"/>
          <w:bCs/>
          <w:snapToGrid w:val="0"/>
        </w:rPr>
        <w:t xml:space="preserve">ed </w:t>
      </w:r>
    </w:p>
    <w:p w:rsidR="00437743" w:rsidRPr="00625BD2" w:rsidRDefault="00437743" w:rsidP="00437743">
      <w:pPr>
        <w:pStyle w:val="Heading1"/>
      </w:pPr>
      <w:r w:rsidRPr="00625BD2">
        <w:t>Context for Decision</w:t>
      </w:r>
    </w:p>
    <w:p w:rsidR="00437743" w:rsidRPr="00625BD2" w:rsidRDefault="00437743" w:rsidP="00437743">
      <w:pPr>
        <w:spacing w:after="120"/>
        <w:rPr>
          <w:rFonts w:ascii="Calibri" w:eastAsia="Calibri" w:hAnsi="Calibri" w:cs="Arial"/>
        </w:rPr>
      </w:pPr>
      <w:r w:rsidRPr="00625BD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37743" w:rsidRPr="00625BD2" w:rsidRDefault="00437743" w:rsidP="00437743">
      <w:pPr>
        <w:pStyle w:val="Heading1"/>
      </w:pPr>
      <w:r w:rsidRPr="00625BD2">
        <w:t>Sponsor’s Comment</w:t>
      </w:r>
    </w:p>
    <w:p w:rsidR="00E07D21" w:rsidRPr="0079429C" w:rsidRDefault="00E07D21" w:rsidP="00E07D21">
      <w:pPr>
        <w:rPr>
          <w:rFonts w:ascii="Calibri" w:eastAsia="Calibri" w:hAnsi="Calibri" w:cs="Arial"/>
        </w:rPr>
      </w:pPr>
      <w:r w:rsidRPr="0079429C">
        <w:rPr>
          <w:rFonts w:ascii="Calibri" w:eastAsia="Calibri" w:hAnsi="Calibri" w:cs="Arial"/>
        </w:rPr>
        <w:t>Amgen is pleased that the PBAC has acknowledged the positive cardiovascular outcomes achieved in the FOURIER trial. Patients with familial hypercholesterolaemia are at very high CV risk and require access to effective therapy to achieve meaningful reductions in LDL-C. Amgen intends to work with PBAC to adjust the economic model as an immediate priority with the aim to extend the current PBS listing to include these patients.</w:t>
      </w:r>
    </w:p>
    <w:p w:rsidR="00E07D21" w:rsidRPr="0079429C" w:rsidRDefault="00E07D21" w:rsidP="00E07D21">
      <w:pPr>
        <w:rPr>
          <w:rFonts w:ascii="Calibri" w:eastAsia="Calibri" w:hAnsi="Calibri" w:cs="Arial"/>
        </w:rPr>
      </w:pPr>
      <w:r w:rsidRPr="0079429C">
        <w:rPr>
          <w:rFonts w:ascii="Calibri" w:eastAsia="Calibri" w:hAnsi="Calibri" w:cs="Arial"/>
        </w:rPr>
        <w:t>Amgen will continue to work with PBAC towards achieving reimbursement for all patients in whom there is a clinical need.</w:t>
      </w:r>
    </w:p>
    <w:p w:rsidR="00437743" w:rsidRPr="00743335" w:rsidRDefault="00437743" w:rsidP="00BF2DA3">
      <w:pPr>
        <w:widowControl w:val="0"/>
        <w:spacing w:before="0" w:after="120"/>
        <w:jc w:val="both"/>
        <w:rPr>
          <w:rFonts w:cs="Arial"/>
          <w:bCs/>
          <w:snapToGrid w:val="0"/>
        </w:rPr>
      </w:pPr>
    </w:p>
    <w:sectPr w:rsidR="00437743" w:rsidRPr="00743335" w:rsidSect="00BE3E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27A935" w15:done="0"/>
  <w15:commentEx w15:paraId="13BB5CA1" w15:done="0"/>
  <w15:commentEx w15:paraId="0A398D3E" w15:done="0"/>
  <w15:commentEx w15:paraId="35D605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43" w:rsidRDefault="007F7043" w:rsidP="00BA3306">
      <w:pPr>
        <w:spacing w:before="0" w:after="0"/>
      </w:pPr>
      <w:r>
        <w:separator/>
      </w:r>
    </w:p>
  </w:endnote>
  <w:endnote w:type="continuationSeparator" w:id="0">
    <w:p w:rsidR="007F7043" w:rsidRDefault="007F704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43" w:rsidRDefault="007F7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59" w:rsidRPr="00F84EB5" w:rsidRDefault="00305659" w:rsidP="00132F83">
    <w:pPr>
      <w:tabs>
        <w:tab w:val="center" w:pos="4153"/>
        <w:tab w:val="right" w:pos="8306"/>
      </w:tabs>
      <w:spacing w:before="0" w:after="120"/>
      <w:ind w:left="360"/>
      <w:jc w:val="center"/>
    </w:pPr>
    <w:r w:rsidRPr="002C4DCD">
      <w:rPr>
        <w:rFonts w:ascii="Calibri" w:eastAsia="Times New Roman" w:hAnsi="Calibri" w:cs="Arial"/>
        <w:b/>
        <w:sz w:val="20"/>
        <w:szCs w:val="24"/>
      </w:rPr>
      <w:fldChar w:fldCharType="begin"/>
    </w:r>
    <w:r w:rsidRPr="002C4DCD">
      <w:rPr>
        <w:rFonts w:ascii="Calibri" w:eastAsia="Times New Roman" w:hAnsi="Calibri" w:cs="Arial"/>
        <w:b/>
        <w:sz w:val="20"/>
        <w:szCs w:val="24"/>
      </w:rPr>
      <w:instrText xml:space="preserve"> PAGE   \* MERGEFORMAT </w:instrText>
    </w:r>
    <w:r w:rsidRPr="002C4DCD">
      <w:rPr>
        <w:rFonts w:ascii="Calibri" w:eastAsia="Times New Roman" w:hAnsi="Calibri" w:cs="Arial"/>
        <w:b/>
        <w:sz w:val="20"/>
        <w:szCs w:val="24"/>
      </w:rPr>
      <w:fldChar w:fldCharType="separate"/>
    </w:r>
    <w:r w:rsidR="007F7043">
      <w:rPr>
        <w:rFonts w:ascii="Calibri" w:eastAsia="Times New Roman" w:hAnsi="Calibri" w:cs="Arial"/>
        <w:b/>
        <w:noProof/>
        <w:sz w:val="20"/>
        <w:szCs w:val="24"/>
      </w:rPr>
      <w:t>1</w:t>
    </w:r>
    <w:r w:rsidRPr="002C4DCD">
      <w:rPr>
        <w:rFonts w:ascii="Calibri" w:eastAsia="Times New Roman" w:hAnsi="Calibri" w:cs="Arial"/>
        <w:b/>
        <w:noProof/>
        <w:sz w:val="2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43" w:rsidRDefault="007F7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43" w:rsidRDefault="007F7043" w:rsidP="00BA3306">
      <w:pPr>
        <w:spacing w:before="0" w:after="0"/>
      </w:pPr>
      <w:r>
        <w:separator/>
      </w:r>
    </w:p>
  </w:footnote>
  <w:footnote w:type="continuationSeparator" w:id="0">
    <w:p w:rsidR="007F7043" w:rsidRDefault="007F7043"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43" w:rsidRDefault="007F7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59" w:rsidRPr="00790432" w:rsidRDefault="00305659" w:rsidP="00790432">
    <w:pPr>
      <w:pStyle w:val="Header"/>
      <w:jc w:val="center"/>
      <w:rPr>
        <w:rFonts w:cs="Arial"/>
        <w:i/>
        <w:color w:val="808080"/>
        <w:sz w:val="22"/>
      </w:rPr>
    </w:pPr>
    <w:r>
      <w:rPr>
        <w:rFonts w:cs="Arial"/>
        <w:i/>
        <w:color w:val="808080"/>
        <w:sz w:val="22"/>
      </w:rPr>
      <w:t xml:space="preserve">Public Summary Document </w:t>
    </w:r>
    <w:r w:rsidRPr="00F90A91">
      <w:rPr>
        <w:rFonts w:cs="Arial"/>
        <w:i/>
        <w:color w:val="808080"/>
        <w:sz w:val="22"/>
      </w:rPr>
      <w:t xml:space="preserve">– </w:t>
    </w:r>
    <w:r>
      <w:rPr>
        <w:rFonts w:cs="Arial"/>
        <w:i/>
        <w:color w:val="808080"/>
        <w:sz w:val="22"/>
      </w:rPr>
      <w:t xml:space="preserve">November 2017 </w:t>
    </w:r>
    <w:r w:rsidRPr="00F90A91">
      <w:rPr>
        <w:rFonts w:cs="Arial"/>
        <w:i/>
        <w:color w:val="808080"/>
        <w:sz w:val="22"/>
      </w:rPr>
      <w:t>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43" w:rsidRDefault="007F7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631D2C"/>
    <w:multiLevelType w:val="hybridMultilevel"/>
    <w:tmpl w:val="490CAA28"/>
    <w:lvl w:ilvl="0" w:tplc="395605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F47AE1"/>
    <w:multiLevelType w:val="hybridMultilevel"/>
    <w:tmpl w:val="C0E46824"/>
    <w:lvl w:ilvl="0" w:tplc="0C090001">
      <w:start w:val="1"/>
      <w:numFmt w:val="bullet"/>
      <w:lvlText w:val=""/>
      <w:lvlJc w:val="left"/>
      <w:pPr>
        <w:ind w:left="780" w:hanging="360"/>
      </w:pPr>
      <w:rPr>
        <w:rFonts w:ascii="Symbol" w:hAnsi="Symbol" w:hint="default"/>
      </w:rPr>
    </w:lvl>
    <w:lvl w:ilvl="1" w:tplc="3326AEBA">
      <w:start w:val="1"/>
      <w:numFmt w:val="bullet"/>
      <w:lvlText w:val="−"/>
      <w:lvlJc w:val="left"/>
      <w:pPr>
        <w:ind w:left="1500" w:hanging="360"/>
      </w:pPr>
      <w:rPr>
        <w:rFonts w:ascii="Times New Roman" w:hAnsi="Times New Roman" w:cs="Times New Roman"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1A933D1D"/>
    <w:multiLevelType w:val="hybridMultilevel"/>
    <w:tmpl w:val="847AC1B4"/>
    <w:lvl w:ilvl="0" w:tplc="C61E0114">
      <w:start w:val="1"/>
      <w:numFmt w:val="bullet"/>
      <w:lvlText w:val="–"/>
      <w:lvlJc w:val="left"/>
      <w:pPr>
        <w:tabs>
          <w:tab w:val="num" w:pos="720"/>
        </w:tabs>
        <w:ind w:left="720" w:hanging="360"/>
      </w:pPr>
      <w:rPr>
        <w:rFonts w:ascii="Times New Roman" w:hAnsi="Times New Roman" w:hint="default"/>
      </w:rPr>
    </w:lvl>
    <w:lvl w:ilvl="1" w:tplc="BE94EAF2">
      <w:start w:val="1"/>
      <w:numFmt w:val="bullet"/>
      <w:lvlText w:val="–"/>
      <w:lvlJc w:val="left"/>
      <w:pPr>
        <w:tabs>
          <w:tab w:val="num" w:pos="1440"/>
        </w:tabs>
        <w:ind w:left="1440" w:hanging="360"/>
      </w:pPr>
      <w:rPr>
        <w:rFonts w:ascii="Times New Roman" w:hAnsi="Times New Roman" w:hint="default"/>
      </w:rPr>
    </w:lvl>
    <w:lvl w:ilvl="2" w:tplc="E974B43C" w:tentative="1">
      <w:start w:val="1"/>
      <w:numFmt w:val="bullet"/>
      <w:lvlText w:val="–"/>
      <w:lvlJc w:val="left"/>
      <w:pPr>
        <w:tabs>
          <w:tab w:val="num" w:pos="2160"/>
        </w:tabs>
        <w:ind w:left="2160" w:hanging="360"/>
      </w:pPr>
      <w:rPr>
        <w:rFonts w:ascii="Times New Roman" w:hAnsi="Times New Roman" w:hint="default"/>
      </w:rPr>
    </w:lvl>
    <w:lvl w:ilvl="3" w:tplc="E04EC126" w:tentative="1">
      <w:start w:val="1"/>
      <w:numFmt w:val="bullet"/>
      <w:lvlText w:val="–"/>
      <w:lvlJc w:val="left"/>
      <w:pPr>
        <w:tabs>
          <w:tab w:val="num" w:pos="2880"/>
        </w:tabs>
        <w:ind w:left="2880" w:hanging="360"/>
      </w:pPr>
      <w:rPr>
        <w:rFonts w:ascii="Times New Roman" w:hAnsi="Times New Roman" w:hint="default"/>
      </w:rPr>
    </w:lvl>
    <w:lvl w:ilvl="4" w:tplc="57969220" w:tentative="1">
      <w:start w:val="1"/>
      <w:numFmt w:val="bullet"/>
      <w:lvlText w:val="–"/>
      <w:lvlJc w:val="left"/>
      <w:pPr>
        <w:tabs>
          <w:tab w:val="num" w:pos="3600"/>
        </w:tabs>
        <w:ind w:left="3600" w:hanging="360"/>
      </w:pPr>
      <w:rPr>
        <w:rFonts w:ascii="Times New Roman" w:hAnsi="Times New Roman" w:hint="default"/>
      </w:rPr>
    </w:lvl>
    <w:lvl w:ilvl="5" w:tplc="70D06C0A" w:tentative="1">
      <w:start w:val="1"/>
      <w:numFmt w:val="bullet"/>
      <w:lvlText w:val="–"/>
      <w:lvlJc w:val="left"/>
      <w:pPr>
        <w:tabs>
          <w:tab w:val="num" w:pos="4320"/>
        </w:tabs>
        <w:ind w:left="4320" w:hanging="360"/>
      </w:pPr>
      <w:rPr>
        <w:rFonts w:ascii="Times New Roman" w:hAnsi="Times New Roman" w:hint="default"/>
      </w:rPr>
    </w:lvl>
    <w:lvl w:ilvl="6" w:tplc="4BFA43AE" w:tentative="1">
      <w:start w:val="1"/>
      <w:numFmt w:val="bullet"/>
      <w:lvlText w:val="–"/>
      <w:lvlJc w:val="left"/>
      <w:pPr>
        <w:tabs>
          <w:tab w:val="num" w:pos="5040"/>
        </w:tabs>
        <w:ind w:left="5040" w:hanging="360"/>
      </w:pPr>
      <w:rPr>
        <w:rFonts w:ascii="Times New Roman" w:hAnsi="Times New Roman" w:hint="default"/>
      </w:rPr>
    </w:lvl>
    <w:lvl w:ilvl="7" w:tplc="D376D748" w:tentative="1">
      <w:start w:val="1"/>
      <w:numFmt w:val="bullet"/>
      <w:lvlText w:val="–"/>
      <w:lvlJc w:val="left"/>
      <w:pPr>
        <w:tabs>
          <w:tab w:val="num" w:pos="5760"/>
        </w:tabs>
        <w:ind w:left="5760" w:hanging="360"/>
      </w:pPr>
      <w:rPr>
        <w:rFonts w:ascii="Times New Roman" w:hAnsi="Times New Roman" w:hint="default"/>
      </w:rPr>
    </w:lvl>
    <w:lvl w:ilvl="8" w:tplc="944211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D85189"/>
    <w:multiLevelType w:val="hybridMultilevel"/>
    <w:tmpl w:val="8E7EF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E6825"/>
    <w:multiLevelType w:val="multilevel"/>
    <w:tmpl w:val="475E574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30B5CCE"/>
    <w:multiLevelType w:val="hybridMultilevel"/>
    <w:tmpl w:val="16563D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E30CB5"/>
    <w:multiLevelType w:val="hybridMultilevel"/>
    <w:tmpl w:val="9698AB24"/>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69239FF"/>
    <w:multiLevelType w:val="hybridMultilevel"/>
    <w:tmpl w:val="40E88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BBB4601"/>
    <w:multiLevelType w:val="hybridMultilevel"/>
    <w:tmpl w:val="31781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3FC6591"/>
    <w:multiLevelType w:val="hybridMultilevel"/>
    <w:tmpl w:val="08CAA4C8"/>
    <w:lvl w:ilvl="0" w:tplc="04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84D033C"/>
    <w:multiLevelType w:val="multilevel"/>
    <w:tmpl w:val="4EDA88D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5B13A7"/>
    <w:multiLevelType w:val="hybridMultilevel"/>
    <w:tmpl w:val="61E2A35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78A47FA9"/>
    <w:multiLevelType w:val="hybridMultilevel"/>
    <w:tmpl w:val="AB8C9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9"/>
  </w:num>
  <w:num w:numId="4">
    <w:abstractNumId w:val="8"/>
  </w:num>
  <w:num w:numId="5">
    <w:abstractNumId w:val="14"/>
  </w:num>
  <w:num w:numId="6">
    <w:abstractNumId w:val="18"/>
  </w:num>
  <w:num w:numId="7">
    <w:abstractNumId w:val="15"/>
  </w:num>
  <w:num w:numId="8">
    <w:abstractNumId w:val="9"/>
  </w:num>
  <w:num w:numId="9">
    <w:abstractNumId w:val="17"/>
  </w:num>
  <w:num w:numId="10">
    <w:abstractNumId w:val="21"/>
  </w:num>
  <w:num w:numId="11">
    <w:abstractNumId w:val="1"/>
  </w:num>
  <w:num w:numId="12">
    <w:abstractNumId w:val="20"/>
  </w:num>
  <w:num w:numId="13">
    <w:abstractNumId w:val="3"/>
  </w:num>
  <w:num w:numId="14">
    <w:abstractNumId w:val="11"/>
  </w:num>
  <w:num w:numId="15">
    <w:abstractNumId w:val="12"/>
  </w:num>
  <w:num w:numId="16">
    <w:abstractNumId w:val="2"/>
  </w:num>
  <w:num w:numId="17">
    <w:abstractNumId w:val="0"/>
  </w:num>
  <w:num w:numId="18">
    <w:abstractNumId w:val="6"/>
  </w:num>
  <w:num w:numId="19">
    <w:abstractNumId w:val="16"/>
  </w:num>
  <w:num w:numId="20">
    <w:abstractNumId w:val="5"/>
  </w:num>
  <w:num w:numId="21">
    <w:abstractNumId w:val="4"/>
  </w:num>
  <w:num w:numId="22">
    <w:abstractNumId w:val="13"/>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69"/>
    <w:rsid w:val="00001AB4"/>
    <w:rsid w:val="00003758"/>
    <w:rsid w:val="000046A8"/>
    <w:rsid w:val="00005B93"/>
    <w:rsid w:val="0001066F"/>
    <w:rsid w:val="00011401"/>
    <w:rsid w:val="0001150A"/>
    <w:rsid w:val="0001261F"/>
    <w:rsid w:val="000126A7"/>
    <w:rsid w:val="00013222"/>
    <w:rsid w:val="00013610"/>
    <w:rsid w:val="000138A2"/>
    <w:rsid w:val="0001395F"/>
    <w:rsid w:val="000156E5"/>
    <w:rsid w:val="000200F8"/>
    <w:rsid w:val="00020508"/>
    <w:rsid w:val="0002095B"/>
    <w:rsid w:val="00022F53"/>
    <w:rsid w:val="00023F75"/>
    <w:rsid w:val="000242C3"/>
    <w:rsid w:val="00024544"/>
    <w:rsid w:val="00024580"/>
    <w:rsid w:val="00024592"/>
    <w:rsid w:val="00026031"/>
    <w:rsid w:val="000302DA"/>
    <w:rsid w:val="00030718"/>
    <w:rsid w:val="0003191F"/>
    <w:rsid w:val="00031C71"/>
    <w:rsid w:val="00032736"/>
    <w:rsid w:val="00033249"/>
    <w:rsid w:val="00034404"/>
    <w:rsid w:val="00034E38"/>
    <w:rsid w:val="00035213"/>
    <w:rsid w:val="00035CF7"/>
    <w:rsid w:val="00035E14"/>
    <w:rsid w:val="000369C4"/>
    <w:rsid w:val="00043AC3"/>
    <w:rsid w:val="000447C4"/>
    <w:rsid w:val="000461CF"/>
    <w:rsid w:val="000465AA"/>
    <w:rsid w:val="00046AB2"/>
    <w:rsid w:val="00050D74"/>
    <w:rsid w:val="0005177B"/>
    <w:rsid w:val="000519DC"/>
    <w:rsid w:val="000522FE"/>
    <w:rsid w:val="00053B5C"/>
    <w:rsid w:val="00054DDF"/>
    <w:rsid w:val="00057774"/>
    <w:rsid w:val="00057848"/>
    <w:rsid w:val="00057D46"/>
    <w:rsid w:val="00057F71"/>
    <w:rsid w:val="00060583"/>
    <w:rsid w:val="000605F9"/>
    <w:rsid w:val="00061566"/>
    <w:rsid w:val="00061D52"/>
    <w:rsid w:val="00062067"/>
    <w:rsid w:val="00062BFF"/>
    <w:rsid w:val="00063713"/>
    <w:rsid w:val="000638B2"/>
    <w:rsid w:val="00063D0B"/>
    <w:rsid w:val="00063EA6"/>
    <w:rsid w:val="00063FB2"/>
    <w:rsid w:val="00064318"/>
    <w:rsid w:val="00065C62"/>
    <w:rsid w:val="00065CDE"/>
    <w:rsid w:val="00065F4A"/>
    <w:rsid w:val="00066145"/>
    <w:rsid w:val="00066806"/>
    <w:rsid w:val="0006693B"/>
    <w:rsid w:val="0006748F"/>
    <w:rsid w:val="00067C46"/>
    <w:rsid w:val="00067D43"/>
    <w:rsid w:val="0007065A"/>
    <w:rsid w:val="00070D70"/>
    <w:rsid w:val="00070E43"/>
    <w:rsid w:val="0007422C"/>
    <w:rsid w:val="00074B54"/>
    <w:rsid w:val="00074D76"/>
    <w:rsid w:val="00075D68"/>
    <w:rsid w:val="00077133"/>
    <w:rsid w:val="0007766B"/>
    <w:rsid w:val="00080FF3"/>
    <w:rsid w:val="00081592"/>
    <w:rsid w:val="000824C2"/>
    <w:rsid w:val="00082A40"/>
    <w:rsid w:val="000846F3"/>
    <w:rsid w:val="000847FE"/>
    <w:rsid w:val="00085A8F"/>
    <w:rsid w:val="00086133"/>
    <w:rsid w:val="00086B8A"/>
    <w:rsid w:val="00086CA6"/>
    <w:rsid w:val="00086CE9"/>
    <w:rsid w:val="00090A48"/>
    <w:rsid w:val="00091500"/>
    <w:rsid w:val="00092103"/>
    <w:rsid w:val="000939FE"/>
    <w:rsid w:val="00093C60"/>
    <w:rsid w:val="00095DE5"/>
    <w:rsid w:val="0009670E"/>
    <w:rsid w:val="00096A3F"/>
    <w:rsid w:val="00096D58"/>
    <w:rsid w:val="000A18D6"/>
    <w:rsid w:val="000A214A"/>
    <w:rsid w:val="000A237A"/>
    <w:rsid w:val="000A2694"/>
    <w:rsid w:val="000A2EF1"/>
    <w:rsid w:val="000A34EA"/>
    <w:rsid w:val="000A482E"/>
    <w:rsid w:val="000A5C5C"/>
    <w:rsid w:val="000A60B5"/>
    <w:rsid w:val="000A6B93"/>
    <w:rsid w:val="000A6FBD"/>
    <w:rsid w:val="000A7012"/>
    <w:rsid w:val="000A7311"/>
    <w:rsid w:val="000A7538"/>
    <w:rsid w:val="000A77B9"/>
    <w:rsid w:val="000A7E0F"/>
    <w:rsid w:val="000B039A"/>
    <w:rsid w:val="000B1BA5"/>
    <w:rsid w:val="000B1D63"/>
    <w:rsid w:val="000B24AF"/>
    <w:rsid w:val="000B2562"/>
    <w:rsid w:val="000B2589"/>
    <w:rsid w:val="000B2D87"/>
    <w:rsid w:val="000B401E"/>
    <w:rsid w:val="000B4569"/>
    <w:rsid w:val="000B4CF3"/>
    <w:rsid w:val="000B50D0"/>
    <w:rsid w:val="000B56CD"/>
    <w:rsid w:val="000B6B69"/>
    <w:rsid w:val="000B786D"/>
    <w:rsid w:val="000B7D5A"/>
    <w:rsid w:val="000B7FF0"/>
    <w:rsid w:val="000C006D"/>
    <w:rsid w:val="000C0142"/>
    <w:rsid w:val="000C09FE"/>
    <w:rsid w:val="000C122D"/>
    <w:rsid w:val="000C1CF0"/>
    <w:rsid w:val="000C1DB5"/>
    <w:rsid w:val="000C2574"/>
    <w:rsid w:val="000C3A94"/>
    <w:rsid w:val="000C50E7"/>
    <w:rsid w:val="000C5CBC"/>
    <w:rsid w:val="000C683B"/>
    <w:rsid w:val="000C6A40"/>
    <w:rsid w:val="000C6A75"/>
    <w:rsid w:val="000C6ADE"/>
    <w:rsid w:val="000C6C13"/>
    <w:rsid w:val="000C7802"/>
    <w:rsid w:val="000C7B92"/>
    <w:rsid w:val="000C7BC3"/>
    <w:rsid w:val="000C7DA8"/>
    <w:rsid w:val="000D0023"/>
    <w:rsid w:val="000D0FB7"/>
    <w:rsid w:val="000D12F7"/>
    <w:rsid w:val="000D1C56"/>
    <w:rsid w:val="000D204F"/>
    <w:rsid w:val="000D2A18"/>
    <w:rsid w:val="000D2E92"/>
    <w:rsid w:val="000D3150"/>
    <w:rsid w:val="000D589A"/>
    <w:rsid w:val="000D698E"/>
    <w:rsid w:val="000D7448"/>
    <w:rsid w:val="000D7B1C"/>
    <w:rsid w:val="000D7E5B"/>
    <w:rsid w:val="000E0711"/>
    <w:rsid w:val="000E09DE"/>
    <w:rsid w:val="000E0E12"/>
    <w:rsid w:val="000E2BFF"/>
    <w:rsid w:val="000E2EB3"/>
    <w:rsid w:val="000E3A2D"/>
    <w:rsid w:val="000E3BE0"/>
    <w:rsid w:val="000E472B"/>
    <w:rsid w:val="000E5392"/>
    <w:rsid w:val="000E614C"/>
    <w:rsid w:val="000E6206"/>
    <w:rsid w:val="000E675C"/>
    <w:rsid w:val="000E6CC6"/>
    <w:rsid w:val="000E7FF5"/>
    <w:rsid w:val="000F0FFC"/>
    <w:rsid w:val="000F1660"/>
    <w:rsid w:val="000F2534"/>
    <w:rsid w:val="000F2A90"/>
    <w:rsid w:val="000F3036"/>
    <w:rsid w:val="000F311A"/>
    <w:rsid w:val="000F3515"/>
    <w:rsid w:val="000F3652"/>
    <w:rsid w:val="000F4D36"/>
    <w:rsid w:val="000F5B1D"/>
    <w:rsid w:val="000F60FD"/>
    <w:rsid w:val="000F6D16"/>
    <w:rsid w:val="000F7095"/>
    <w:rsid w:val="000F7BFF"/>
    <w:rsid w:val="00101533"/>
    <w:rsid w:val="001021FA"/>
    <w:rsid w:val="00102787"/>
    <w:rsid w:val="00105607"/>
    <w:rsid w:val="00106474"/>
    <w:rsid w:val="00106A9A"/>
    <w:rsid w:val="00106F7A"/>
    <w:rsid w:val="0010706B"/>
    <w:rsid w:val="00107F80"/>
    <w:rsid w:val="00111349"/>
    <w:rsid w:val="001121B6"/>
    <w:rsid w:val="00112ECF"/>
    <w:rsid w:val="001130AC"/>
    <w:rsid w:val="00114048"/>
    <w:rsid w:val="00114A31"/>
    <w:rsid w:val="00114E27"/>
    <w:rsid w:val="0011555A"/>
    <w:rsid w:val="0011643C"/>
    <w:rsid w:val="00120040"/>
    <w:rsid w:val="00120C6C"/>
    <w:rsid w:val="00121190"/>
    <w:rsid w:val="0012132E"/>
    <w:rsid w:val="00121A5B"/>
    <w:rsid w:val="0012211E"/>
    <w:rsid w:val="00123E30"/>
    <w:rsid w:val="00124040"/>
    <w:rsid w:val="001244A9"/>
    <w:rsid w:val="00124BA7"/>
    <w:rsid w:val="00124C3F"/>
    <w:rsid w:val="00124C79"/>
    <w:rsid w:val="00124D41"/>
    <w:rsid w:val="001259F1"/>
    <w:rsid w:val="00126797"/>
    <w:rsid w:val="0012701F"/>
    <w:rsid w:val="00127097"/>
    <w:rsid w:val="00127689"/>
    <w:rsid w:val="001279AE"/>
    <w:rsid w:val="00127BA5"/>
    <w:rsid w:val="0013092C"/>
    <w:rsid w:val="00130F35"/>
    <w:rsid w:val="00131684"/>
    <w:rsid w:val="00131E56"/>
    <w:rsid w:val="001323BF"/>
    <w:rsid w:val="00132F83"/>
    <w:rsid w:val="00132FD7"/>
    <w:rsid w:val="00132FE8"/>
    <w:rsid w:val="001337F2"/>
    <w:rsid w:val="00134320"/>
    <w:rsid w:val="00134DAB"/>
    <w:rsid w:val="00135C2E"/>
    <w:rsid w:val="00136E76"/>
    <w:rsid w:val="0014050C"/>
    <w:rsid w:val="001420A0"/>
    <w:rsid w:val="00144074"/>
    <w:rsid w:val="00144545"/>
    <w:rsid w:val="001450D4"/>
    <w:rsid w:val="00145C52"/>
    <w:rsid w:val="001465B0"/>
    <w:rsid w:val="001468C6"/>
    <w:rsid w:val="00146C47"/>
    <w:rsid w:val="00150023"/>
    <w:rsid w:val="00151498"/>
    <w:rsid w:val="00151F81"/>
    <w:rsid w:val="00153DAC"/>
    <w:rsid w:val="00153E31"/>
    <w:rsid w:val="00154432"/>
    <w:rsid w:val="00154A10"/>
    <w:rsid w:val="00154DB5"/>
    <w:rsid w:val="00156819"/>
    <w:rsid w:val="00157A4B"/>
    <w:rsid w:val="00157FB6"/>
    <w:rsid w:val="00161A6E"/>
    <w:rsid w:val="0016227D"/>
    <w:rsid w:val="00162D84"/>
    <w:rsid w:val="00165805"/>
    <w:rsid w:val="00165A49"/>
    <w:rsid w:val="00166024"/>
    <w:rsid w:val="00166C31"/>
    <w:rsid w:val="00167DDD"/>
    <w:rsid w:val="00170884"/>
    <w:rsid w:val="001716D6"/>
    <w:rsid w:val="001722AD"/>
    <w:rsid w:val="00172AAE"/>
    <w:rsid w:val="00173577"/>
    <w:rsid w:val="00173A30"/>
    <w:rsid w:val="0017638E"/>
    <w:rsid w:val="00176AA5"/>
    <w:rsid w:val="0017720E"/>
    <w:rsid w:val="001777A9"/>
    <w:rsid w:val="00177893"/>
    <w:rsid w:val="00177D9B"/>
    <w:rsid w:val="00180091"/>
    <w:rsid w:val="00180640"/>
    <w:rsid w:val="00181F8F"/>
    <w:rsid w:val="00182709"/>
    <w:rsid w:val="001840E6"/>
    <w:rsid w:val="00184221"/>
    <w:rsid w:val="00184530"/>
    <w:rsid w:val="00184ADB"/>
    <w:rsid w:val="0018542A"/>
    <w:rsid w:val="001856F8"/>
    <w:rsid w:val="00186307"/>
    <w:rsid w:val="00186514"/>
    <w:rsid w:val="00186E69"/>
    <w:rsid w:val="00186EBC"/>
    <w:rsid w:val="00186F94"/>
    <w:rsid w:val="00187B9C"/>
    <w:rsid w:val="0019101C"/>
    <w:rsid w:val="00194AAE"/>
    <w:rsid w:val="001952F4"/>
    <w:rsid w:val="0019578D"/>
    <w:rsid w:val="00195DA4"/>
    <w:rsid w:val="00195ECE"/>
    <w:rsid w:val="001968EA"/>
    <w:rsid w:val="00197041"/>
    <w:rsid w:val="001A005B"/>
    <w:rsid w:val="001A0142"/>
    <w:rsid w:val="001A0223"/>
    <w:rsid w:val="001A02B2"/>
    <w:rsid w:val="001A12BE"/>
    <w:rsid w:val="001A1650"/>
    <w:rsid w:val="001A1E99"/>
    <w:rsid w:val="001A2455"/>
    <w:rsid w:val="001A28A5"/>
    <w:rsid w:val="001A4301"/>
    <w:rsid w:val="001A4D8B"/>
    <w:rsid w:val="001A572D"/>
    <w:rsid w:val="001A5FD6"/>
    <w:rsid w:val="001A6913"/>
    <w:rsid w:val="001A69CF"/>
    <w:rsid w:val="001B00CE"/>
    <w:rsid w:val="001B08D5"/>
    <w:rsid w:val="001B0915"/>
    <w:rsid w:val="001B2BFA"/>
    <w:rsid w:val="001B2C4F"/>
    <w:rsid w:val="001B4443"/>
    <w:rsid w:val="001B5352"/>
    <w:rsid w:val="001B5498"/>
    <w:rsid w:val="001B5C2C"/>
    <w:rsid w:val="001B6389"/>
    <w:rsid w:val="001B6692"/>
    <w:rsid w:val="001B7552"/>
    <w:rsid w:val="001C04CC"/>
    <w:rsid w:val="001C051E"/>
    <w:rsid w:val="001C1740"/>
    <w:rsid w:val="001C1EC7"/>
    <w:rsid w:val="001C2072"/>
    <w:rsid w:val="001C20A1"/>
    <w:rsid w:val="001C5CE0"/>
    <w:rsid w:val="001C5EB2"/>
    <w:rsid w:val="001C70D6"/>
    <w:rsid w:val="001C7817"/>
    <w:rsid w:val="001D0EB3"/>
    <w:rsid w:val="001D23AD"/>
    <w:rsid w:val="001D2C81"/>
    <w:rsid w:val="001D3598"/>
    <w:rsid w:val="001D35DA"/>
    <w:rsid w:val="001D4111"/>
    <w:rsid w:val="001D43DE"/>
    <w:rsid w:val="001D5DE3"/>
    <w:rsid w:val="001D607F"/>
    <w:rsid w:val="001D79B8"/>
    <w:rsid w:val="001E0C4E"/>
    <w:rsid w:val="001E15DF"/>
    <w:rsid w:val="001E2568"/>
    <w:rsid w:val="001E42DD"/>
    <w:rsid w:val="001E4361"/>
    <w:rsid w:val="001E5918"/>
    <w:rsid w:val="001E6FD5"/>
    <w:rsid w:val="001E7C36"/>
    <w:rsid w:val="001E7C3B"/>
    <w:rsid w:val="001E7ECF"/>
    <w:rsid w:val="001F03AA"/>
    <w:rsid w:val="001F073C"/>
    <w:rsid w:val="001F1D01"/>
    <w:rsid w:val="001F2912"/>
    <w:rsid w:val="001F2A74"/>
    <w:rsid w:val="001F2E93"/>
    <w:rsid w:val="001F30BC"/>
    <w:rsid w:val="001F48E0"/>
    <w:rsid w:val="001F5165"/>
    <w:rsid w:val="001F6BBD"/>
    <w:rsid w:val="002001C6"/>
    <w:rsid w:val="00200296"/>
    <w:rsid w:val="00200E08"/>
    <w:rsid w:val="002018D5"/>
    <w:rsid w:val="00201ADB"/>
    <w:rsid w:val="00203291"/>
    <w:rsid w:val="00203684"/>
    <w:rsid w:val="00203942"/>
    <w:rsid w:val="002047DB"/>
    <w:rsid w:val="002058E5"/>
    <w:rsid w:val="002069D7"/>
    <w:rsid w:val="00210FAA"/>
    <w:rsid w:val="00211396"/>
    <w:rsid w:val="00212ECF"/>
    <w:rsid w:val="002141BA"/>
    <w:rsid w:val="00215810"/>
    <w:rsid w:val="00215BDA"/>
    <w:rsid w:val="00215F48"/>
    <w:rsid w:val="00217189"/>
    <w:rsid w:val="00217A12"/>
    <w:rsid w:val="00220CC5"/>
    <w:rsid w:val="00221E9D"/>
    <w:rsid w:val="00222435"/>
    <w:rsid w:val="00222F1E"/>
    <w:rsid w:val="002234A6"/>
    <w:rsid w:val="00223789"/>
    <w:rsid w:val="00223A18"/>
    <w:rsid w:val="00224158"/>
    <w:rsid w:val="002256FE"/>
    <w:rsid w:val="002270D3"/>
    <w:rsid w:val="00231BAA"/>
    <w:rsid w:val="002324AF"/>
    <w:rsid w:val="00232823"/>
    <w:rsid w:val="00232AF2"/>
    <w:rsid w:val="00232BFF"/>
    <w:rsid w:val="002343DB"/>
    <w:rsid w:val="00234532"/>
    <w:rsid w:val="002348B2"/>
    <w:rsid w:val="0023673E"/>
    <w:rsid w:val="00236F50"/>
    <w:rsid w:val="00237EE7"/>
    <w:rsid w:val="002404AF"/>
    <w:rsid w:val="00241175"/>
    <w:rsid w:val="002414A1"/>
    <w:rsid w:val="002425EA"/>
    <w:rsid w:val="00242C51"/>
    <w:rsid w:val="00242EA0"/>
    <w:rsid w:val="00243685"/>
    <w:rsid w:val="002448FA"/>
    <w:rsid w:val="00245CDD"/>
    <w:rsid w:val="00247064"/>
    <w:rsid w:val="00247F99"/>
    <w:rsid w:val="00250936"/>
    <w:rsid w:val="00250A50"/>
    <w:rsid w:val="00250C6C"/>
    <w:rsid w:val="0025367D"/>
    <w:rsid w:val="0025395D"/>
    <w:rsid w:val="00254AC1"/>
    <w:rsid w:val="00255BD7"/>
    <w:rsid w:val="00255EB3"/>
    <w:rsid w:val="0025613F"/>
    <w:rsid w:val="0025624B"/>
    <w:rsid w:val="00257727"/>
    <w:rsid w:val="00257769"/>
    <w:rsid w:val="00257B6B"/>
    <w:rsid w:val="00260589"/>
    <w:rsid w:val="00261DC6"/>
    <w:rsid w:val="00261F3F"/>
    <w:rsid w:val="002634DB"/>
    <w:rsid w:val="00263EF8"/>
    <w:rsid w:val="00263FDC"/>
    <w:rsid w:val="00264177"/>
    <w:rsid w:val="002641D2"/>
    <w:rsid w:val="00264456"/>
    <w:rsid w:val="0026456C"/>
    <w:rsid w:val="00264623"/>
    <w:rsid w:val="00264EAD"/>
    <w:rsid w:val="00266A39"/>
    <w:rsid w:val="002673A0"/>
    <w:rsid w:val="002700D4"/>
    <w:rsid w:val="00272373"/>
    <w:rsid w:val="00272506"/>
    <w:rsid w:val="00272524"/>
    <w:rsid w:val="00272BF2"/>
    <w:rsid w:val="00272FE9"/>
    <w:rsid w:val="00273019"/>
    <w:rsid w:val="00273C92"/>
    <w:rsid w:val="00273FC5"/>
    <w:rsid w:val="0027406A"/>
    <w:rsid w:val="002765F8"/>
    <w:rsid w:val="002774D5"/>
    <w:rsid w:val="00277C45"/>
    <w:rsid w:val="0028026F"/>
    <w:rsid w:val="002806D9"/>
    <w:rsid w:val="00280B5B"/>
    <w:rsid w:val="002814E5"/>
    <w:rsid w:val="002819E1"/>
    <w:rsid w:val="0028257B"/>
    <w:rsid w:val="00282D1F"/>
    <w:rsid w:val="002836DF"/>
    <w:rsid w:val="00283E23"/>
    <w:rsid w:val="0028466B"/>
    <w:rsid w:val="00284A38"/>
    <w:rsid w:val="002856D4"/>
    <w:rsid w:val="00286D8B"/>
    <w:rsid w:val="00286F31"/>
    <w:rsid w:val="00287921"/>
    <w:rsid w:val="002912F5"/>
    <w:rsid w:val="0029172C"/>
    <w:rsid w:val="002917EE"/>
    <w:rsid w:val="002928F4"/>
    <w:rsid w:val="00293128"/>
    <w:rsid w:val="00294942"/>
    <w:rsid w:val="00294957"/>
    <w:rsid w:val="00295FAE"/>
    <w:rsid w:val="00296B01"/>
    <w:rsid w:val="00296F52"/>
    <w:rsid w:val="00296FB5"/>
    <w:rsid w:val="00297398"/>
    <w:rsid w:val="00297ADB"/>
    <w:rsid w:val="00297DAB"/>
    <w:rsid w:val="002A0AC1"/>
    <w:rsid w:val="002A0D26"/>
    <w:rsid w:val="002A11DD"/>
    <w:rsid w:val="002A1B10"/>
    <w:rsid w:val="002A2E50"/>
    <w:rsid w:val="002A34BD"/>
    <w:rsid w:val="002A4503"/>
    <w:rsid w:val="002A6959"/>
    <w:rsid w:val="002B110D"/>
    <w:rsid w:val="002B15CC"/>
    <w:rsid w:val="002B2FF9"/>
    <w:rsid w:val="002B3B91"/>
    <w:rsid w:val="002B3D68"/>
    <w:rsid w:val="002B3EE1"/>
    <w:rsid w:val="002B415B"/>
    <w:rsid w:val="002B4941"/>
    <w:rsid w:val="002B55E6"/>
    <w:rsid w:val="002B5D74"/>
    <w:rsid w:val="002B636E"/>
    <w:rsid w:val="002B6557"/>
    <w:rsid w:val="002B688B"/>
    <w:rsid w:val="002B6DB3"/>
    <w:rsid w:val="002B7A93"/>
    <w:rsid w:val="002B7ADB"/>
    <w:rsid w:val="002C039B"/>
    <w:rsid w:val="002C053D"/>
    <w:rsid w:val="002C0BEE"/>
    <w:rsid w:val="002C0C83"/>
    <w:rsid w:val="002C1D2F"/>
    <w:rsid w:val="002C2BCF"/>
    <w:rsid w:val="002C2ECB"/>
    <w:rsid w:val="002C3273"/>
    <w:rsid w:val="002C5AE5"/>
    <w:rsid w:val="002C6F50"/>
    <w:rsid w:val="002C73CA"/>
    <w:rsid w:val="002C789C"/>
    <w:rsid w:val="002D049C"/>
    <w:rsid w:val="002D2FCA"/>
    <w:rsid w:val="002D34C2"/>
    <w:rsid w:val="002D35EB"/>
    <w:rsid w:val="002D3A14"/>
    <w:rsid w:val="002D3C06"/>
    <w:rsid w:val="002D4A52"/>
    <w:rsid w:val="002D5256"/>
    <w:rsid w:val="002D60DA"/>
    <w:rsid w:val="002D6E18"/>
    <w:rsid w:val="002D7823"/>
    <w:rsid w:val="002D7A79"/>
    <w:rsid w:val="002E0F8D"/>
    <w:rsid w:val="002E1E4E"/>
    <w:rsid w:val="002E2BD0"/>
    <w:rsid w:val="002E4017"/>
    <w:rsid w:val="002E42FD"/>
    <w:rsid w:val="002E4B85"/>
    <w:rsid w:val="002E4C2D"/>
    <w:rsid w:val="002E4D0D"/>
    <w:rsid w:val="002E54F5"/>
    <w:rsid w:val="002E588C"/>
    <w:rsid w:val="002E5D43"/>
    <w:rsid w:val="002E5DEA"/>
    <w:rsid w:val="002E615E"/>
    <w:rsid w:val="002E724A"/>
    <w:rsid w:val="002F05B0"/>
    <w:rsid w:val="002F0B1E"/>
    <w:rsid w:val="002F0CC4"/>
    <w:rsid w:val="002F1938"/>
    <w:rsid w:val="002F1C62"/>
    <w:rsid w:val="002F259A"/>
    <w:rsid w:val="002F311E"/>
    <w:rsid w:val="002F36A7"/>
    <w:rsid w:val="002F3DC7"/>
    <w:rsid w:val="002F3FEB"/>
    <w:rsid w:val="002F4601"/>
    <w:rsid w:val="002F4DF1"/>
    <w:rsid w:val="002F592F"/>
    <w:rsid w:val="002F71B8"/>
    <w:rsid w:val="002F751A"/>
    <w:rsid w:val="002F7D1F"/>
    <w:rsid w:val="0030057F"/>
    <w:rsid w:val="00300DAB"/>
    <w:rsid w:val="00301372"/>
    <w:rsid w:val="003018E9"/>
    <w:rsid w:val="003018F7"/>
    <w:rsid w:val="00301EA1"/>
    <w:rsid w:val="00301F91"/>
    <w:rsid w:val="003027F0"/>
    <w:rsid w:val="00302FCC"/>
    <w:rsid w:val="00303911"/>
    <w:rsid w:val="00303D21"/>
    <w:rsid w:val="00303D4B"/>
    <w:rsid w:val="00305659"/>
    <w:rsid w:val="00305924"/>
    <w:rsid w:val="003062AE"/>
    <w:rsid w:val="003065F0"/>
    <w:rsid w:val="00307719"/>
    <w:rsid w:val="003078B6"/>
    <w:rsid w:val="00310646"/>
    <w:rsid w:val="00313967"/>
    <w:rsid w:val="00313F24"/>
    <w:rsid w:val="00313F76"/>
    <w:rsid w:val="0031458C"/>
    <w:rsid w:val="0031490A"/>
    <w:rsid w:val="00314B86"/>
    <w:rsid w:val="00315514"/>
    <w:rsid w:val="003156BD"/>
    <w:rsid w:val="0031578B"/>
    <w:rsid w:val="00320169"/>
    <w:rsid w:val="00321AB2"/>
    <w:rsid w:val="0032245C"/>
    <w:rsid w:val="0032249D"/>
    <w:rsid w:val="0032356D"/>
    <w:rsid w:val="00323645"/>
    <w:rsid w:val="00324A04"/>
    <w:rsid w:val="00325C99"/>
    <w:rsid w:val="00326C6A"/>
    <w:rsid w:val="00327630"/>
    <w:rsid w:val="0033018F"/>
    <w:rsid w:val="00330FE1"/>
    <w:rsid w:val="0033197A"/>
    <w:rsid w:val="00334ACF"/>
    <w:rsid w:val="003371E2"/>
    <w:rsid w:val="003373D4"/>
    <w:rsid w:val="00337638"/>
    <w:rsid w:val="0034184F"/>
    <w:rsid w:val="00341A14"/>
    <w:rsid w:val="00342BCE"/>
    <w:rsid w:val="00343066"/>
    <w:rsid w:val="003431FA"/>
    <w:rsid w:val="00343978"/>
    <w:rsid w:val="00343B30"/>
    <w:rsid w:val="0034403C"/>
    <w:rsid w:val="0034432B"/>
    <w:rsid w:val="003447D4"/>
    <w:rsid w:val="003451C7"/>
    <w:rsid w:val="003451D2"/>
    <w:rsid w:val="003471CC"/>
    <w:rsid w:val="00347752"/>
    <w:rsid w:val="00347D2F"/>
    <w:rsid w:val="00350D22"/>
    <w:rsid w:val="00351381"/>
    <w:rsid w:val="00351FBF"/>
    <w:rsid w:val="00352250"/>
    <w:rsid w:val="003529B2"/>
    <w:rsid w:val="003530A6"/>
    <w:rsid w:val="00353627"/>
    <w:rsid w:val="00353831"/>
    <w:rsid w:val="0035414D"/>
    <w:rsid w:val="003542E2"/>
    <w:rsid w:val="00354EE0"/>
    <w:rsid w:val="00355280"/>
    <w:rsid w:val="00355F72"/>
    <w:rsid w:val="00356575"/>
    <w:rsid w:val="0035684D"/>
    <w:rsid w:val="003569EA"/>
    <w:rsid w:val="00356EB1"/>
    <w:rsid w:val="00357657"/>
    <w:rsid w:val="003605E9"/>
    <w:rsid w:val="0036062F"/>
    <w:rsid w:val="003613CA"/>
    <w:rsid w:val="003619BC"/>
    <w:rsid w:val="00361BD2"/>
    <w:rsid w:val="00363505"/>
    <w:rsid w:val="00363677"/>
    <w:rsid w:val="00363988"/>
    <w:rsid w:val="003639A6"/>
    <w:rsid w:val="003647FA"/>
    <w:rsid w:val="0036657A"/>
    <w:rsid w:val="003669C0"/>
    <w:rsid w:val="00367074"/>
    <w:rsid w:val="00367312"/>
    <w:rsid w:val="00367787"/>
    <w:rsid w:val="003679AE"/>
    <w:rsid w:val="0037097D"/>
    <w:rsid w:val="003709CE"/>
    <w:rsid w:val="00371556"/>
    <w:rsid w:val="0037165F"/>
    <w:rsid w:val="0037255A"/>
    <w:rsid w:val="00372D14"/>
    <w:rsid w:val="00373C67"/>
    <w:rsid w:val="00374CD1"/>
    <w:rsid w:val="00375F43"/>
    <w:rsid w:val="00377DDC"/>
    <w:rsid w:val="00380656"/>
    <w:rsid w:val="00381B65"/>
    <w:rsid w:val="0038281C"/>
    <w:rsid w:val="00382A62"/>
    <w:rsid w:val="0038480B"/>
    <w:rsid w:val="00384A6E"/>
    <w:rsid w:val="003851FE"/>
    <w:rsid w:val="00385A64"/>
    <w:rsid w:val="00386D1A"/>
    <w:rsid w:val="003876BD"/>
    <w:rsid w:val="003878A4"/>
    <w:rsid w:val="00390223"/>
    <w:rsid w:val="00390A85"/>
    <w:rsid w:val="00390FB7"/>
    <w:rsid w:val="0039364D"/>
    <w:rsid w:val="00393E1D"/>
    <w:rsid w:val="003948AB"/>
    <w:rsid w:val="00394E90"/>
    <w:rsid w:val="003958CB"/>
    <w:rsid w:val="00396340"/>
    <w:rsid w:val="00396647"/>
    <w:rsid w:val="00396BD3"/>
    <w:rsid w:val="00396D66"/>
    <w:rsid w:val="00397170"/>
    <w:rsid w:val="00397996"/>
    <w:rsid w:val="003A0047"/>
    <w:rsid w:val="003A0114"/>
    <w:rsid w:val="003A0578"/>
    <w:rsid w:val="003A11C0"/>
    <w:rsid w:val="003A19DD"/>
    <w:rsid w:val="003A25B3"/>
    <w:rsid w:val="003A2DFE"/>
    <w:rsid w:val="003A2F40"/>
    <w:rsid w:val="003A3433"/>
    <w:rsid w:val="003A39DA"/>
    <w:rsid w:val="003A432D"/>
    <w:rsid w:val="003A4565"/>
    <w:rsid w:val="003A468C"/>
    <w:rsid w:val="003A537E"/>
    <w:rsid w:val="003A660F"/>
    <w:rsid w:val="003A6D1B"/>
    <w:rsid w:val="003B095E"/>
    <w:rsid w:val="003B0A5B"/>
    <w:rsid w:val="003B2415"/>
    <w:rsid w:val="003B246D"/>
    <w:rsid w:val="003B32B2"/>
    <w:rsid w:val="003B4D47"/>
    <w:rsid w:val="003B5C6F"/>
    <w:rsid w:val="003B7178"/>
    <w:rsid w:val="003B7EAD"/>
    <w:rsid w:val="003C01BE"/>
    <w:rsid w:val="003C04D4"/>
    <w:rsid w:val="003C0BF9"/>
    <w:rsid w:val="003C0DB7"/>
    <w:rsid w:val="003C0EAF"/>
    <w:rsid w:val="003C14EC"/>
    <w:rsid w:val="003C1A9F"/>
    <w:rsid w:val="003C2836"/>
    <w:rsid w:val="003C31CE"/>
    <w:rsid w:val="003C3298"/>
    <w:rsid w:val="003C34FB"/>
    <w:rsid w:val="003C4C80"/>
    <w:rsid w:val="003C5009"/>
    <w:rsid w:val="003C578F"/>
    <w:rsid w:val="003C5F28"/>
    <w:rsid w:val="003C6295"/>
    <w:rsid w:val="003C7BA1"/>
    <w:rsid w:val="003C7EEC"/>
    <w:rsid w:val="003D04E4"/>
    <w:rsid w:val="003D10B3"/>
    <w:rsid w:val="003D11A9"/>
    <w:rsid w:val="003D14A1"/>
    <w:rsid w:val="003D1FDB"/>
    <w:rsid w:val="003D2A37"/>
    <w:rsid w:val="003D3445"/>
    <w:rsid w:val="003D46B7"/>
    <w:rsid w:val="003D4CE2"/>
    <w:rsid w:val="003D575E"/>
    <w:rsid w:val="003D5989"/>
    <w:rsid w:val="003D69EF"/>
    <w:rsid w:val="003D7F8C"/>
    <w:rsid w:val="003E0EDB"/>
    <w:rsid w:val="003E1C61"/>
    <w:rsid w:val="003E1E30"/>
    <w:rsid w:val="003E2E6A"/>
    <w:rsid w:val="003E3E2F"/>
    <w:rsid w:val="003E4E74"/>
    <w:rsid w:val="003E506B"/>
    <w:rsid w:val="003E5B29"/>
    <w:rsid w:val="003E6475"/>
    <w:rsid w:val="003E7D37"/>
    <w:rsid w:val="003F0AC3"/>
    <w:rsid w:val="003F105A"/>
    <w:rsid w:val="003F1DDE"/>
    <w:rsid w:val="003F2260"/>
    <w:rsid w:val="003F283D"/>
    <w:rsid w:val="003F3138"/>
    <w:rsid w:val="003F39B7"/>
    <w:rsid w:val="003F4D6F"/>
    <w:rsid w:val="003F5338"/>
    <w:rsid w:val="003F55BB"/>
    <w:rsid w:val="003F57E9"/>
    <w:rsid w:val="003F6199"/>
    <w:rsid w:val="003F6C4A"/>
    <w:rsid w:val="0040265D"/>
    <w:rsid w:val="00402ABD"/>
    <w:rsid w:val="004033BF"/>
    <w:rsid w:val="004046FA"/>
    <w:rsid w:val="004051A9"/>
    <w:rsid w:val="0040567C"/>
    <w:rsid w:val="00406549"/>
    <w:rsid w:val="00407BDF"/>
    <w:rsid w:val="00410629"/>
    <w:rsid w:val="004107A8"/>
    <w:rsid w:val="004121E0"/>
    <w:rsid w:val="00412F68"/>
    <w:rsid w:val="004132E8"/>
    <w:rsid w:val="0041408A"/>
    <w:rsid w:val="00414462"/>
    <w:rsid w:val="0041694C"/>
    <w:rsid w:val="0041700E"/>
    <w:rsid w:val="004173D7"/>
    <w:rsid w:val="00417D1F"/>
    <w:rsid w:val="00420197"/>
    <w:rsid w:val="004206BC"/>
    <w:rsid w:val="00420A8F"/>
    <w:rsid w:val="00421450"/>
    <w:rsid w:val="0042266D"/>
    <w:rsid w:val="00423056"/>
    <w:rsid w:val="00426805"/>
    <w:rsid w:val="00427CF8"/>
    <w:rsid w:val="00427E55"/>
    <w:rsid w:val="00430130"/>
    <w:rsid w:val="0043171F"/>
    <w:rsid w:val="00431766"/>
    <w:rsid w:val="00431D38"/>
    <w:rsid w:val="004325F4"/>
    <w:rsid w:val="00434363"/>
    <w:rsid w:val="00435295"/>
    <w:rsid w:val="00435F82"/>
    <w:rsid w:val="004364DE"/>
    <w:rsid w:val="00437743"/>
    <w:rsid w:val="00437BB5"/>
    <w:rsid w:val="00440AC8"/>
    <w:rsid w:val="00441EE4"/>
    <w:rsid w:val="00442106"/>
    <w:rsid w:val="0044306D"/>
    <w:rsid w:val="00443288"/>
    <w:rsid w:val="00443623"/>
    <w:rsid w:val="004445E2"/>
    <w:rsid w:val="00445244"/>
    <w:rsid w:val="0044754F"/>
    <w:rsid w:val="00447619"/>
    <w:rsid w:val="0044781D"/>
    <w:rsid w:val="004500FA"/>
    <w:rsid w:val="00450134"/>
    <w:rsid w:val="00453BAE"/>
    <w:rsid w:val="00453D59"/>
    <w:rsid w:val="00454493"/>
    <w:rsid w:val="00454924"/>
    <w:rsid w:val="004549F7"/>
    <w:rsid w:val="00454F71"/>
    <w:rsid w:val="004579A3"/>
    <w:rsid w:val="00457A39"/>
    <w:rsid w:val="00461766"/>
    <w:rsid w:val="004619BB"/>
    <w:rsid w:val="00462AF2"/>
    <w:rsid w:val="0046331A"/>
    <w:rsid w:val="004634C9"/>
    <w:rsid w:val="00464B28"/>
    <w:rsid w:val="0046566D"/>
    <w:rsid w:val="00465D3F"/>
    <w:rsid w:val="00465D86"/>
    <w:rsid w:val="0046621E"/>
    <w:rsid w:val="004663C8"/>
    <w:rsid w:val="0046681F"/>
    <w:rsid w:val="0046709B"/>
    <w:rsid w:val="00470055"/>
    <w:rsid w:val="00470859"/>
    <w:rsid w:val="00470AEB"/>
    <w:rsid w:val="00471A8B"/>
    <w:rsid w:val="0047201A"/>
    <w:rsid w:val="00472210"/>
    <w:rsid w:val="00472B03"/>
    <w:rsid w:val="00472D4D"/>
    <w:rsid w:val="00473420"/>
    <w:rsid w:val="00475AF1"/>
    <w:rsid w:val="004762F0"/>
    <w:rsid w:val="00476461"/>
    <w:rsid w:val="00476D80"/>
    <w:rsid w:val="004777AF"/>
    <w:rsid w:val="00480F35"/>
    <w:rsid w:val="00482403"/>
    <w:rsid w:val="00482717"/>
    <w:rsid w:val="00482AF6"/>
    <w:rsid w:val="0048347E"/>
    <w:rsid w:val="0048412B"/>
    <w:rsid w:val="004848C5"/>
    <w:rsid w:val="00484E37"/>
    <w:rsid w:val="00484F7B"/>
    <w:rsid w:val="00485BB2"/>
    <w:rsid w:val="00485E05"/>
    <w:rsid w:val="004862B4"/>
    <w:rsid w:val="00486DEF"/>
    <w:rsid w:val="00486F0F"/>
    <w:rsid w:val="00487A72"/>
    <w:rsid w:val="004902FC"/>
    <w:rsid w:val="004919DD"/>
    <w:rsid w:val="0049350F"/>
    <w:rsid w:val="00494204"/>
    <w:rsid w:val="00494F7C"/>
    <w:rsid w:val="00495FB9"/>
    <w:rsid w:val="00496E46"/>
    <w:rsid w:val="00497E42"/>
    <w:rsid w:val="004A09F4"/>
    <w:rsid w:val="004A22B2"/>
    <w:rsid w:val="004A2DF5"/>
    <w:rsid w:val="004A33BF"/>
    <w:rsid w:val="004A3A83"/>
    <w:rsid w:val="004A4EF3"/>
    <w:rsid w:val="004A59FD"/>
    <w:rsid w:val="004A5A5B"/>
    <w:rsid w:val="004A7FBF"/>
    <w:rsid w:val="004B02FB"/>
    <w:rsid w:val="004B05D9"/>
    <w:rsid w:val="004B0DA0"/>
    <w:rsid w:val="004B0F76"/>
    <w:rsid w:val="004B11F5"/>
    <w:rsid w:val="004B191E"/>
    <w:rsid w:val="004B23DD"/>
    <w:rsid w:val="004B3067"/>
    <w:rsid w:val="004B340C"/>
    <w:rsid w:val="004B3C00"/>
    <w:rsid w:val="004B3C30"/>
    <w:rsid w:val="004B3DCA"/>
    <w:rsid w:val="004B3E23"/>
    <w:rsid w:val="004B4394"/>
    <w:rsid w:val="004B5EBB"/>
    <w:rsid w:val="004B767B"/>
    <w:rsid w:val="004C0C5D"/>
    <w:rsid w:val="004C20B1"/>
    <w:rsid w:val="004C24A3"/>
    <w:rsid w:val="004C2DD0"/>
    <w:rsid w:val="004C3D70"/>
    <w:rsid w:val="004C4EC6"/>
    <w:rsid w:val="004C6087"/>
    <w:rsid w:val="004D1006"/>
    <w:rsid w:val="004D45DF"/>
    <w:rsid w:val="004D5041"/>
    <w:rsid w:val="004D544B"/>
    <w:rsid w:val="004D5497"/>
    <w:rsid w:val="004D5EE7"/>
    <w:rsid w:val="004D65AC"/>
    <w:rsid w:val="004D7167"/>
    <w:rsid w:val="004D78D4"/>
    <w:rsid w:val="004E0C0B"/>
    <w:rsid w:val="004E1874"/>
    <w:rsid w:val="004E1B79"/>
    <w:rsid w:val="004E2125"/>
    <w:rsid w:val="004E216E"/>
    <w:rsid w:val="004E7099"/>
    <w:rsid w:val="004E7589"/>
    <w:rsid w:val="004E7C0F"/>
    <w:rsid w:val="004F0164"/>
    <w:rsid w:val="004F0743"/>
    <w:rsid w:val="004F079C"/>
    <w:rsid w:val="004F2D1E"/>
    <w:rsid w:val="004F3480"/>
    <w:rsid w:val="004F3688"/>
    <w:rsid w:val="004F36B4"/>
    <w:rsid w:val="004F3AAE"/>
    <w:rsid w:val="004F4415"/>
    <w:rsid w:val="004F4BDE"/>
    <w:rsid w:val="004F5694"/>
    <w:rsid w:val="004F5DC7"/>
    <w:rsid w:val="004F6163"/>
    <w:rsid w:val="004F6681"/>
    <w:rsid w:val="004F7CAC"/>
    <w:rsid w:val="004F7FD1"/>
    <w:rsid w:val="00500A8F"/>
    <w:rsid w:val="00500E46"/>
    <w:rsid w:val="00500EBF"/>
    <w:rsid w:val="0050172A"/>
    <w:rsid w:val="0050191A"/>
    <w:rsid w:val="005028AC"/>
    <w:rsid w:val="00503CD7"/>
    <w:rsid w:val="00504118"/>
    <w:rsid w:val="0050474E"/>
    <w:rsid w:val="0050504C"/>
    <w:rsid w:val="0050528C"/>
    <w:rsid w:val="00505AF9"/>
    <w:rsid w:val="0050672A"/>
    <w:rsid w:val="00507378"/>
    <w:rsid w:val="005076CB"/>
    <w:rsid w:val="00507713"/>
    <w:rsid w:val="00507C35"/>
    <w:rsid w:val="00510E4A"/>
    <w:rsid w:val="00511121"/>
    <w:rsid w:val="00511217"/>
    <w:rsid w:val="00511274"/>
    <w:rsid w:val="00511320"/>
    <w:rsid w:val="00512707"/>
    <w:rsid w:val="0051310A"/>
    <w:rsid w:val="005135A8"/>
    <w:rsid w:val="00513897"/>
    <w:rsid w:val="005143F9"/>
    <w:rsid w:val="005148CD"/>
    <w:rsid w:val="005153E9"/>
    <w:rsid w:val="00515AE6"/>
    <w:rsid w:val="00516133"/>
    <w:rsid w:val="005162C6"/>
    <w:rsid w:val="00516566"/>
    <w:rsid w:val="00516933"/>
    <w:rsid w:val="0051773D"/>
    <w:rsid w:val="00520F01"/>
    <w:rsid w:val="005216BE"/>
    <w:rsid w:val="005218C3"/>
    <w:rsid w:val="00522F7A"/>
    <w:rsid w:val="00523659"/>
    <w:rsid w:val="005255E4"/>
    <w:rsid w:val="005257AD"/>
    <w:rsid w:val="0052590B"/>
    <w:rsid w:val="0052591F"/>
    <w:rsid w:val="00526406"/>
    <w:rsid w:val="00527B05"/>
    <w:rsid w:val="00527DE2"/>
    <w:rsid w:val="005300DF"/>
    <w:rsid w:val="00530978"/>
    <w:rsid w:val="00530DDB"/>
    <w:rsid w:val="00530F1F"/>
    <w:rsid w:val="005311D7"/>
    <w:rsid w:val="00531B6C"/>
    <w:rsid w:val="00531C11"/>
    <w:rsid w:val="00531E9D"/>
    <w:rsid w:val="005323B6"/>
    <w:rsid w:val="005331FE"/>
    <w:rsid w:val="00533A02"/>
    <w:rsid w:val="00533EE9"/>
    <w:rsid w:val="0053491C"/>
    <w:rsid w:val="00535C74"/>
    <w:rsid w:val="00535FCD"/>
    <w:rsid w:val="005361AB"/>
    <w:rsid w:val="005377F1"/>
    <w:rsid w:val="00540E13"/>
    <w:rsid w:val="00541021"/>
    <w:rsid w:val="00541D43"/>
    <w:rsid w:val="00542068"/>
    <w:rsid w:val="00542793"/>
    <w:rsid w:val="005438EE"/>
    <w:rsid w:val="00543AF9"/>
    <w:rsid w:val="00543B16"/>
    <w:rsid w:val="00544015"/>
    <w:rsid w:val="00546223"/>
    <w:rsid w:val="00550BE3"/>
    <w:rsid w:val="00551335"/>
    <w:rsid w:val="005518B3"/>
    <w:rsid w:val="00553BCE"/>
    <w:rsid w:val="0055532F"/>
    <w:rsid w:val="00555454"/>
    <w:rsid w:val="005558A9"/>
    <w:rsid w:val="00555F37"/>
    <w:rsid w:val="005568DE"/>
    <w:rsid w:val="00556C90"/>
    <w:rsid w:val="00557836"/>
    <w:rsid w:val="00557E74"/>
    <w:rsid w:val="00560077"/>
    <w:rsid w:val="005604AD"/>
    <w:rsid w:val="005613C6"/>
    <w:rsid w:val="00561BA5"/>
    <w:rsid w:val="00561D24"/>
    <w:rsid w:val="00562075"/>
    <w:rsid w:val="00562EEB"/>
    <w:rsid w:val="005630B5"/>
    <w:rsid w:val="00563486"/>
    <w:rsid w:val="00564789"/>
    <w:rsid w:val="00564DFC"/>
    <w:rsid w:val="00565781"/>
    <w:rsid w:val="005657D0"/>
    <w:rsid w:val="00565C52"/>
    <w:rsid w:val="00566354"/>
    <w:rsid w:val="00566C01"/>
    <w:rsid w:val="00567C09"/>
    <w:rsid w:val="00570106"/>
    <w:rsid w:val="00570361"/>
    <w:rsid w:val="00571319"/>
    <w:rsid w:val="00573719"/>
    <w:rsid w:val="005737AA"/>
    <w:rsid w:val="00574AFB"/>
    <w:rsid w:val="00575A6A"/>
    <w:rsid w:val="00576ADE"/>
    <w:rsid w:val="00577CFD"/>
    <w:rsid w:val="00577DEF"/>
    <w:rsid w:val="005801F2"/>
    <w:rsid w:val="005807B5"/>
    <w:rsid w:val="005808D1"/>
    <w:rsid w:val="00580FEC"/>
    <w:rsid w:val="0058112E"/>
    <w:rsid w:val="00581B3D"/>
    <w:rsid w:val="00581D7E"/>
    <w:rsid w:val="00581FD6"/>
    <w:rsid w:val="00583863"/>
    <w:rsid w:val="00583969"/>
    <w:rsid w:val="00584A58"/>
    <w:rsid w:val="00584FEA"/>
    <w:rsid w:val="00585042"/>
    <w:rsid w:val="005853E4"/>
    <w:rsid w:val="0058600F"/>
    <w:rsid w:val="00587023"/>
    <w:rsid w:val="00587BEC"/>
    <w:rsid w:val="00590E15"/>
    <w:rsid w:val="0059105E"/>
    <w:rsid w:val="0059182E"/>
    <w:rsid w:val="00592053"/>
    <w:rsid w:val="005924A7"/>
    <w:rsid w:val="005928CC"/>
    <w:rsid w:val="00592907"/>
    <w:rsid w:val="005938D3"/>
    <w:rsid w:val="005946CE"/>
    <w:rsid w:val="005948F6"/>
    <w:rsid w:val="00595F25"/>
    <w:rsid w:val="00595FBA"/>
    <w:rsid w:val="005974F7"/>
    <w:rsid w:val="00597660"/>
    <w:rsid w:val="00597972"/>
    <w:rsid w:val="005A18D7"/>
    <w:rsid w:val="005A2F0B"/>
    <w:rsid w:val="005A3493"/>
    <w:rsid w:val="005A558C"/>
    <w:rsid w:val="005A6FF4"/>
    <w:rsid w:val="005A713F"/>
    <w:rsid w:val="005B174D"/>
    <w:rsid w:val="005B2316"/>
    <w:rsid w:val="005B2AB6"/>
    <w:rsid w:val="005B3085"/>
    <w:rsid w:val="005B41CC"/>
    <w:rsid w:val="005B46CA"/>
    <w:rsid w:val="005B482D"/>
    <w:rsid w:val="005B51DB"/>
    <w:rsid w:val="005B65CA"/>
    <w:rsid w:val="005B76AF"/>
    <w:rsid w:val="005C0C92"/>
    <w:rsid w:val="005C32C9"/>
    <w:rsid w:val="005C3BD2"/>
    <w:rsid w:val="005C496C"/>
    <w:rsid w:val="005C4F01"/>
    <w:rsid w:val="005C5D3F"/>
    <w:rsid w:val="005C5E82"/>
    <w:rsid w:val="005C61A2"/>
    <w:rsid w:val="005C6285"/>
    <w:rsid w:val="005C62B4"/>
    <w:rsid w:val="005C62B9"/>
    <w:rsid w:val="005C6AD8"/>
    <w:rsid w:val="005C7801"/>
    <w:rsid w:val="005D027E"/>
    <w:rsid w:val="005D0F27"/>
    <w:rsid w:val="005D1AD5"/>
    <w:rsid w:val="005D2BFC"/>
    <w:rsid w:val="005D38D6"/>
    <w:rsid w:val="005D3B68"/>
    <w:rsid w:val="005D4D71"/>
    <w:rsid w:val="005D581B"/>
    <w:rsid w:val="005D5BA1"/>
    <w:rsid w:val="005D622E"/>
    <w:rsid w:val="005D6D44"/>
    <w:rsid w:val="005D7C13"/>
    <w:rsid w:val="005E0FA3"/>
    <w:rsid w:val="005E1096"/>
    <w:rsid w:val="005E1157"/>
    <w:rsid w:val="005E39FD"/>
    <w:rsid w:val="005E3D94"/>
    <w:rsid w:val="005E49B2"/>
    <w:rsid w:val="005E5503"/>
    <w:rsid w:val="005E624E"/>
    <w:rsid w:val="005E68C8"/>
    <w:rsid w:val="005E68DB"/>
    <w:rsid w:val="005E78E4"/>
    <w:rsid w:val="005E7B94"/>
    <w:rsid w:val="005E7FE2"/>
    <w:rsid w:val="005F0AE8"/>
    <w:rsid w:val="005F26AC"/>
    <w:rsid w:val="005F29FC"/>
    <w:rsid w:val="005F2A6B"/>
    <w:rsid w:val="005F3635"/>
    <w:rsid w:val="005F40C1"/>
    <w:rsid w:val="005F4E9C"/>
    <w:rsid w:val="005F5709"/>
    <w:rsid w:val="005F577C"/>
    <w:rsid w:val="005F67A4"/>
    <w:rsid w:val="005F7B90"/>
    <w:rsid w:val="0060064B"/>
    <w:rsid w:val="006024D3"/>
    <w:rsid w:val="00602899"/>
    <w:rsid w:val="00602ED7"/>
    <w:rsid w:val="0060350D"/>
    <w:rsid w:val="00603850"/>
    <w:rsid w:val="00604104"/>
    <w:rsid w:val="00604C67"/>
    <w:rsid w:val="00604CF5"/>
    <w:rsid w:val="00605327"/>
    <w:rsid w:val="0060541B"/>
    <w:rsid w:val="0060632B"/>
    <w:rsid w:val="00606EF9"/>
    <w:rsid w:val="0060706A"/>
    <w:rsid w:val="006070C4"/>
    <w:rsid w:val="0060741A"/>
    <w:rsid w:val="00607758"/>
    <w:rsid w:val="00610AD4"/>
    <w:rsid w:val="00610D5E"/>
    <w:rsid w:val="006110E8"/>
    <w:rsid w:val="006119EC"/>
    <w:rsid w:val="00612085"/>
    <w:rsid w:val="0061220C"/>
    <w:rsid w:val="0061245D"/>
    <w:rsid w:val="0061341C"/>
    <w:rsid w:val="00613467"/>
    <w:rsid w:val="0061495D"/>
    <w:rsid w:val="00615391"/>
    <w:rsid w:val="00615B73"/>
    <w:rsid w:val="006168D5"/>
    <w:rsid w:val="00616E2A"/>
    <w:rsid w:val="00617196"/>
    <w:rsid w:val="00617865"/>
    <w:rsid w:val="00617A40"/>
    <w:rsid w:val="0062036E"/>
    <w:rsid w:val="00623217"/>
    <w:rsid w:val="00623C33"/>
    <w:rsid w:val="006240F5"/>
    <w:rsid w:val="006241D7"/>
    <w:rsid w:val="00624315"/>
    <w:rsid w:val="00624C1A"/>
    <w:rsid w:val="00624CCB"/>
    <w:rsid w:val="0062545B"/>
    <w:rsid w:val="0062552A"/>
    <w:rsid w:val="00625A3E"/>
    <w:rsid w:val="0062604D"/>
    <w:rsid w:val="006273F9"/>
    <w:rsid w:val="00630B32"/>
    <w:rsid w:val="00632440"/>
    <w:rsid w:val="006332BE"/>
    <w:rsid w:val="00633B86"/>
    <w:rsid w:val="00633E7F"/>
    <w:rsid w:val="006352EC"/>
    <w:rsid w:val="006370C7"/>
    <w:rsid w:val="0063720D"/>
    <w:rsid w:val="006408C3"/>
    <w:rsid w:val="006414BA"/>
    <w:rsid w:val="006415A5"/>
    <w:rsid w:val="006435B9"/>
    <w:rsid w:val="00643C64"/>
    <w:rsid w:val="00643C6A"/>
    <w:rsid w:val="00643EDE"/>
    <w:rsid w:val="006457EF"/>
    <w:rsid w:val="00645863"/>
    <w:rsid w:val="0064620D"/>
    <w:rsid w:val="00646A08"/>
    <w:rsid w:val="00647697"/>
    <w:rsid w:val="006477D1"/>
    <w:rsid w:val="00647975"/>
    <w:rsid w:val="006512AF"/>
    <w:rsid w:val="0065181A"/>
    <w:rsid w:val="00651CEC"/>
    <w:rsid w:val="006530AB"/>
    <w:rsid w:val="006544D0"/>
    <w:rsid w:val="006552F3"/>
    <w:rsid w:val="00656D5C"/>
    <w:rsid w:val="00656D76"/>
    <w:rsid w:val="006570E0"/>
    <w:rsid w:val="00657754"/>
    <w:rsid w:val="00657E90"/>
    <w:rsid w:val="00660C5E"/>
    <w:rsid w:val="00661286"/>
    <w:rsid w:val="00661B67"/>
    <w:rsid w:val="00661DF2"/>
    <w:rsid w:val="00662DFF"/>
    <w:rsid w:val="00664356"/>
    <w:rsid w:val="00665B24"/>
    <w:rsid w:val="00665CA3"/>
    <w:rsid w:val="0066683F"/>
    <w:rsid w:val="00666BC0"/>
    <w:rsid w:val="00670163"/>
    <w:rsid w:val="00670588"/>
    <w:rsid w:val="0067063B"/>
    <w:rsid w:val="006716D4"/>
    <w:rsid w:val="00671FFE"/>
    <w:rsid w:val="00672120"/>
    <w:rsid w:val="006732FF"/>
    <w:rsid w:val="00673374"/>
    <w:rsid w:val="00673E14"/>
    <w:rsid w:val="00673F9B"/>
    <w:rsid w:val="00674BA8"/>
    <w:rsid w:val="00674CD2"/>
    <w:rsid w:val="006756FD"/>
    <w:rsid w:val="00675F54"/>
    <w:rsid w:val="00676401"/>
    <w:rsid w:val="006764E8"/>
    <w:rsid w:val="006821BC"/>
    <w:rsid w:val="0068224F"/>
    <w:rsid w:val="00682ACD"/>
    <w:rsid w:val="006839B9"/>
    <w:rsid w:val="006841A9"/>
    <w:rsid w:val="00684F00"/>
    <w:rsid w:val="006873D1"/>
    <w:rsid w:val="006912EC"/>
    <w:rsid w:val="006914D3"/>
    <w:rsid w:val="00691913"/>
    <w:rsid w:val="00691BBF"/>
    <w:rsid w:val="00692FB3"/>
    <w:rsid w:val="00693DB9"/>
    <w:rsid w:val="00696888"/>
    <w:rsid w:val="00696E36"/>
    <w:rsid w:val="00697689"/>
    <w:rsid w:val="006A0624"/>
    <w:rsid w:val="006A138B"/>
    <w:rsid w:val="006A1A98"/>
    <w:rsid w:val="006A4641"/>
    <w:rsid w:val="006A5C1D"/>
    <w:rsid w:val="006A625D"/>
    <w:rsid w:val="006A7FD8"/>
    <w:rsid w:val="006B0998"/>
    <w:rsid w:val="006B140A"/>
    <w:rsid w:val="006B1AB4"/>
    <w:rsid w:val="006B2AD3"/>
    <w:rsid w:val="006B2C0A"/>
    <w:rsid w:val="006B2DD8"/>
    <w:rsid w:val="006B4C89"/>
    <w:rsid w:val="006B4D78"/>
    <w:rsid w:val="006C2463"/>
    <w:rsid w:val="006C324D"/>
    <w:rsid w:val="006C4425"/>
    <w:rsid w:val="006C4906"/>
    <w:rsid w:val="006C6E2A"/>
    <w:rsid w:val="006C7479"/>
    <w:rsid w:val="006D08F8"/>
    <w:rsid w:val="006D3225"/>
    <w:rsid w:val="006D3271"/>
    <w:rsid w:val="006D3639"/>
    <w:rsid w:val="006D4042"/>
    <w:rsid w:val="006D5344"/>
    <w:rsid w:val="006D64B5"/>
    <w:rsid w:val="006D7F29"/>
    <w:rsid w:val="006E0390"/>
    <w:rsid w:val="006E05A4"/>
    <w:rsid w:val="006E3E03"/>
    <w:rsid w:val="006E436A"/>
    <w:rsid w:val="006E4834"/>
    <w:rsid w:val="006E4AFC"/>
    <w:rsid w:val="006E600F"/>
    <w:rsid w:val="006E6D2C"/>
    <w:rsid w:val="006E7302"/>
    <w:rsid w:val="006E74A2"/>
    <w:rsid w:val="006E7653"/>
    <w:rsid w:val="006E774B"/>
    <w:rsid w:val="006E7AA8"/>
    <w:rsid w:val="006E7C32"/>
    <w:rsid w:val="006F0593"/>
    <w:rsid w:val="006F0DC9"/>
    <w:rsid w:val="006F161E"/>
    <w:rsid w:val="006F1B1C"/>
    <w:rsid w:val="006F21CC"/>
    <w:rsid w:val="006F2538"/>
    <w:rsid w:val="006F2AAC"/>
    <w:rsid w:val="006F2AEF"/>
    <w:rsid w:val="006F3181"/>
    <w:rsid w:val="006F3AF9"/>
    <w:rsid w:val="006F5B52"/>
    <w:rsid w:val="006F5F91"/>
    <w:rsid w:val="006F6295"/>
    <w:rsid w:val="00701011"/>
    <w:rsid w:val="007019E8"/>
    <w:rsid w:val="007023D3"/>
    <w:rsid w:val="00702580"/>
    <w:rsid w:val="00705FFA"/>
    <w:rsid w:val="00707082"/>
    <w:rsid w:val="00707F89"/>
    <w:rsid w:val="007101D9"/>
    <w:rsid w:val="00710F48"/>
    <w:rsid w:val="007120F7"/>
    <w:rsid w:val="00712C73"/>
    <w:rsid w:val="007136DC"/>
    <w:rsid w:val="0071433B"/>
    <w:rsid w:val="007148AB"/>
    <w:rsid w:val="00714E50"/>
    <w:rsid w:val="00714F6B"/>
    <w:rsid w:val="00715425"/>
    <w:rsid w:val="0071596B"/>
    <w:rsid w:val="007174BE"/>
    <w:rsid w:val="00720E08"/>
    <w:rsid w:val="00721B28"/>
    <w:rsid w:val="007226A7"/>
    <w:rsid w:val="00723AB1"/>
    <w:rsid w:val="00723E1E"/>
    <w:rsid w:val="00724AFD"/>
    <w:rsid w:val="0072526E"/>
    <w:rsid w:val="00725EE0"/>
    <w:rsid w:val="0072602B"/>
    <w:rsid w:val="00726861"/>
    <w:rsid w:val="00726E52"/>
    <w:rsid w:val="00727A51"/>
    <w:rsid w:val="00730A00"/>
    <w:rsid w:val="00731B6B"/>
    <w:rsid w:val="00731C51"/>
    <w:rsid w:val="00732C8B"/>
    <w:rsid w:val="0073428D"/>
    <w:rsid w:val="007344FB"/>
    <w:rsid w:val="007351FE"/>
    <w:rsid w:val="00736234"/>
    <w:rsid w:val="0073717E"/>
    <w:rsid w:val="00737A18"/>
    <w:rsid w:val="00737B71"/>
    <w:rsid w:val="007419C6"/>
    <w:rsid w:val="007428F9"/>
    <w:rsid w:val="00742B5A"/>
    <w:rsid w:val="0074332E"/>
    <w:rsid w:val="00743335"/>
    <w:rsid w:val="00745637"/>
    <w:rsid w:val="00745F0E"/>
    <w:rsid w:val="00746949"/>
    <w:rsid w:val="00747333"/>
    <w:rsid w:val="007477AD"/>
    <w:rsid w:val="00747E82"/>
    <w:rsid w:val="007509A6"/>
    <w:rsid w:val="00750B5A"/>
    <w:rsid w:val="00751984"/>
    <w:rsid w:val="00751987"/>
    <w:rsid w:val="00751B68"/>
    <w:rsid w:val="00751FB7"/>
    <w:rsid w:val="0075277E"/>
    <w:rsid w:val="007532C7"/>
    <w:rsid w:val="00754260"/>
    <w:rsid w:val="00757619"/>
    <w:rsid w:val="00757E73"/>
    <w:rsid w:val="00760200"/>
    <w:rsid w:val="00761C1D"/>
    <w:rsid w:val="00761EEB"/>
    <w:rsid w:val="00762E7E"/>
    <w:rsid w:val="007633B0"/>
    <w:rsid w:val="007636FB"/>
    <w:rsid w:val="00764892"/>
    <w:rsid w:val="0076511D"/>
    <w:rsid w:val="00767129"/>
    <w:rsid w:val="00767C8F"/>
    <w:rsid w:val="00767F54"/>
    <w:rsid w:val="007715D2"/>
    <w:rsid w:val="00771B5E"/>
    <w:rsid w:val="007720F1"/>
    <w:rsid w:val="00772501"/>
    <w:rsid w:val="00772782"/>
    <w:rsid w:val="00772AEF"/>
    <w:rsid w:val="00772C70"/>
    <w:rsid w:val="0077310E"/>
    <w:rsid w:val="00773390"/>
    <w:rsid w:val="00773880"/>
    <w:rsid w:val="00774304"/>
    <w:rsid w:val="00775350"/>
    <w:rsid w:val="00775567"/>
    <w:rsid w:val="0077572B"/>
    <w:rsid w:val="007777E5"/>
    <w:rsid w:val="00780828"/>
    <w:rsid w:val="00781FB7"/>
    <w:rsid w:val="00782601"/>
    <w:rsid w:val="007828AE"/>
    <w:rsid w:val="00784116"/>
    <w:rsid w:val="007847FA"/>
    <w:rsid w:val="007851AB"/>
    <w:rsid w:val="007856D3"/>
    <w:rsid w:val="007862A6"/>
    <w:rsid w:val="0078713C"/>
    <w:rsid w:val="0078753D"/>
    <w:rsid w:val="007876AD"/>
    <w:rsid w:val="00787E94"/>
    <w:rsid w:val="00787EDA"/>
    <w:rsid w:val="00790022"/>
    <w:rsid w:val="00790432"/>
    <w:rsid w:val="00790910"/>
    <w:rsid w:val="00791A87"/>
    <w:rsid w:val="00791DE1"/>
    <w:rsid w:val="0079352B"/>
    <w:rsid w:val="0079429C"/>
    <w:rsid w:val="00796206"/>
    <w:rsid w:val="00797227"/>
    <w:rsid w:val="0079738E"/>
    <w:rsid w:val="007979CE"/>
    <w:rsid w:val="00797BA9"/>
    <w:rsid w:val="007A132F"/>
    <w:rsid w:val="007A371A"/>
    <w:rsid w:val="007A3A24"/>
    <w:rsid w:val="007A3A8C"/>
    <w:rsid w:val="007A47DF"/>
    <w:rsid w:val="007A6D66"/>
    <w:rsid w:val="007A6E93"/>
    <w:rsid w:val="007B0B34"/>
    <w:rsid w:val="007B0E0C"/>
    <w:rsid w:val="007B256F"/>
    <w:rsid w:val="007B635D"/>
    <w:rsid w:val="007B76CD"/>
    <w:rsid w:val="007B7BD2"/>
    <w:rsid w:val="007C13C0"/>
    <w:rsid w:val="007C191F"/>
    <w:rsid w:val="007C1A9A"/>
    <w:rsid w:val="007C1E7F"/>
    <w:rsid w:val="007C26E5"/>
    <w:rsid w:val="007C2CC2"/>
    <w:rsid w:val="007C2CE4"/>
    <w:rsid w:val="007C5A2E"/>
    <w:rsid w:val="007C720A"/>
    <w:rsid w:val="007C7211"/>
    <w:rsid w:val="007C7664"/>
    <w:rsid w:val="007D0A2D"/>
    <w:rsid w:val="007D1092"/>
    <w:rsid w:val="007D1439"/>
    <w:rsid w:val="007D14F2"/>
    <w:rsid w:val="007D1A8C"/>
    <w:rsid w:val="007D1B97"/>
    <w:rsid w:val="007D2621"/>
    <w:rsid w:val="007D345A"/>
    <w:rsid w:val="007D4F63"/>
    <w:rsid w:val="007D6123"/>
    <w:rsid w:val="007D7EDC"/>
    <w:rsid w:val="007E0108"/>
    <w:rsid w:val="007E0738"/>
    <w:rsid w:val="007E33FD"/>
    <w:rsid w:val="007E3562"/>
    <w:rsid w:val="007E4A25"/>
    <w:rsid w:val="007E5CF6"/>
    <w:rsid w:val="007F05F5"/>
    <w:rsid w:val="007F06C3"/>
    <w:rsid w:val="007F08CA"/>
    <w:rsid w:val="007F096B"/>
    <w:rsid w:val="007F0AEE"/>
    <w:rsid w:val="007F10A8"/>
    <w:rsid w:val="007F1A8C"/>
    <w:rsid w:val="007F2593"/>
    <w:rsid w:val="007F25E7"/>
    <w:rsid w:val="007F2CA6"/>
    <w:rsid w:val="007F2D98"/>
    <w:rsid w:val="007F2F9F"/>
    <w:rsid w:val="007F344B"/>
    <w:rsid w:val="007F3543"/>
    <w:rsid w:val="007F3B6E"/>
    <w:rsid w:val="007F4521"/>
    <w:rsid w:val="007F4B9C"/>
    <w:rsid w:val="007F5CFF"/>
    <w:rsid w:val="007F6132"/>
    <w:rsid w:val="007F7043"/>
    <w:rsid w:val="00804E50"/>
    <w:rsid w:val="00805799"/>
    <w:rsid w:val="008058E8"/>
    <w:rsid w:val="00806434"/>
    <w:rsid w:val="00806D5D"/>
    <w:rsid w:val="008101C2"/>
    <w:rsid w:val="00811FCF"/>
    <w:rsid w:val="00812333"/>
    <w:rsid w:val="00813288"/>
    <w:rsid w:val="00813A0A"/>
    <w:rsid w:val="0081536E"/>
    <w:rsid w:val="00815537"/>
    <w:rsid w:val="00815BC4"/>
    <w:rsid w:val="00816A7D"/>
    <w:rsid w:val="008200BF"/>
    <w:rsid w:val="00820A3B"/>
    <w:rsid w:val="00821308"/>
    <w:rsid w:val="0082142F"/>
    <w:rsid w:val="00821A29"/>
    <w:rsid w:val="00821B9C"/>
    <w:rsid w:val="008223B0"/>
    <w:rsid w:val="00822937"/>
    <w:rsid w:val="00822B30"/>
    <w:rsid w:val="00823233"/>
    <w:rsid w:val="00823E73"/>
    <w:rsid w:val="00824062"/>
    <w:rsid w:val="00824426"/>
    <w:rsid w:val="00824D8E"/>
    <w:rsid w:val="00825124"/>
    <w:rsid w:val="00826744"/>
    <w:rsid w:val="00827422"/>
    <w:rsid w:val="00827849"/>
    <w:rsid w:val="0083057E"/>
    <w:rsid w:val="00830E52"/>
    <w:rsid w:val="0083186C"/>
    <w:rsid w:val="008324E3"/>
    <w:rsid w:val="00832938"/>
    <w:rsid w:val="00833070"/>
    <w:rsid w:val="00833940"/>
    <w:rsid w:val="00833D11"/>
    <w:rsid w:val="00834D97"/>
    <w:rsid w:val="00834DD9"/>
    <w:rsid w:val="00836E8D"/>
    <w:rsid w:val="00836EAF"/>
    <w:rsid w:val="008373F5"/>
    <w:rsid w:val="00841D76"/>
    <w:rsid w:val="008425B0"/>
    <w:rsid w:val="008435F3"/>
    <w:rsid w:val="0084389E"/>
    <w:rsid w:val="00843A37"/>
    <w:rsid w:val="008441EE"/>
    <w:rsid w:val="0084426A"/>
    <w:rsid w:val="00844E89"/>
    <w:rsid w:val="00845946"/>
    <w:rsid w:val="00846FD8"/>
    <w:rsid w:val="008476A0"/>
    <w:rsid w:val="0085093C"/>
    <w:rsid w:val="00851EBC"/>
    <w:rsid w:val="00852F38"/>
    <w:rsid w:val="008531BD"/>
    <w:rsid w:val="00854C36"/>
    <w:rsid w:val="0085536D"/>
    <w:rsid w:val="00855748"/>
    <w:rsid w:val="00856C34"/>
    <w:rsid w:val="00856CEE"/>
    <w:rsid w:val="0086020E"/>
    <w:rsid w:val="008603A5"/>
    <w:rsid w:val="0086056A"/>
    <w:rsid w:val="00861602"/>
    <w:rsid w:val="00861914"/>
    <w:rsid w:val="00861A7F"/>
    <w:rsid w:val="008631B2"/>
    <w:rsid w:val="00863378"/>
    <w:rsid w:val="0086407F"/>
    <w:rsid w:val="0086430F"/>
    <w:rsid w:val="00864846"/>
    <w:rsid w:val="00864BCC"/>
    <w:rsid w:val="0086568D"/>
    <w:rsid w:val="00865DC1"/>
    <w:rsid w:val="00866461"/>
    <w:rsid w:val="008665F0"/>
    <w:rsid w:val="00866F91"/>
    <w:rsid w:val="008673DF"/>
    <w:rsid w:val="008674CD"/>
    <w:rsid w:val="00870089"/>
    <w:rsid w:val="0087269B"/>
    <w:rsid w:val="008729AC"/>
    <w:rsid w:val="00872DCB"/>
    <w:rsid w:val="00874C9F"/>
    <w:rsid w:val="00874E42"/>
    <w:rsid w:val="008750F9"/>
    <w:rsid w:val="00875341"/>
    <w:rsid w:val="0087536F"/>
    <w:rsid w:val="00875A4C"/>
    <w:rsid w:val="00875DE3"/>
    <w:rsid w:val="00875F63"/>
    <w:rsid w:val="00875FD6"/>
    <w:rsid w:val="008761AA"/>
    <w:rsid w:val="0088022B"/>
    <w:rsid w:val="00880702"/>
    <w:rsid w:val="008808AC"/>
    <w:rsid w:val="00880A10"/>
    <w:rsid w:val="00880A40"/>
    <w:rsid w:val="00880DF7"/>
    <w:rsid w:val="00881659"/>
    <w:rsid w:val="0088175C"/>
    <w:rsid w:val="00881FEA"/>
    <w:rsid w:val="00882A37"/>
    <w:rsid w:val="008834C1"/>
    <w:rsid w:val="00884346"/>
    <w:rsid w:val="00885477"/>
    <w:rsid w:val="008869F4"/>
    <w:rsid w:val="008871A3"/>
    <w:rsid w:val="008873E0"/>
    <w:rsid w:val="008874B1"/>
    <w:rsid w:val="008874BB"/>
    <w:rsid w:val="00887AB5"/>
    <w:rsid w:val="00891A7A"/>
    <w:rsid w:val="00891E2B"/>
    <w:rsid w:val="008925AC"/>
    <w:rsid w:val="00892B92"/>
    <w:rsid w:val="00892E2C"/>
    <w:rsid w:val="00893EEF"/>
    <w:rsid w:val="00895ABE"/>
    <w:rsid w:val="00895EB9"/>
    <w:rsid w:val="008A026A"/>
    <w:rsid w:val="008A02EB"/>
    <w:rsid w:val="008A087E"/>
    <w:rsid w:val="008A0B91"/>
    <w:rsid w:val="008A1818"/>
    <w:rsid w:val="008A26FC"/>
    <w:rsid w:val="008A2D3F"/>
    <w:rsid w:val="008A394A"/>
    <w:rsid w:val="008A3C58"/>
    <w:rsid w:val="008A3D4F"/>
    <w:rsid w:val="008A3EDE"/>
    <w:rsid w:val="008A4880"/>
    <w:rsid w:val="008A4BA4"/>
    <w:rsid w:val="008A4CE7"/>
    <w:rsid w:val="008A52B1"/>
    <w:rsid w:val="008A5A93"/>
    <w:rsid w:val="008A73D7"/>
    <w:rsid w:val="008A7C26"/>
    <w:rsid w:val="008B17D8"/>
    <w:rsid w:val="008B1CEB"/>
    <w:rsid w:val="008B2B89"/>
    <w:rsid w:val="008B42D1"/>
    <w:rsid w:val="008B5052"/>
    <w:rsid w:val="008B5B32"/>
    <w:rsid w:val="008B6E7E"/>
    <w:rsid w:val="008B7323"/>
    <w:rsid w:val="008C14FF"/>
    <w:rsid w:val="008C15C6"/>
    <w:rsid w:val="008C181F"/>
    <w:rsid w:val="008C1DE2"/>
    <w:rsid w:val="008C28D1"/>
    <w:rsid w:val="008C2900"/>
    <w:rsid w:val="008C38E6"/>
    <w:rsid w:val="008C42DA"/>
    <w:rsid w:val="008C4D0E"/>
    <w:rsid w:val="008C70B7"/>
    <w:rsid w:val="008C7D41"/>
    <w:rsid w:val="008D0A1F"/>
    <w:rsid w:val="008D0C48"/>
    <w:rsid w:val="008D12BE"/>
    <w:rsid w:val="008D158A"/>
    <w:rsid w:val="008D1929"/>
    <w:rsid w:val="008D4009"/>
    <w:rsid w:val="008D44B7"/>
    <w:rsid w:val="008D46E9"/>
    <w:rsid w:val="008D510B"/>
    <w:rsid w:val="008D56F9"/>
    <w:rsid w:val="008D66BA"/>
    <w:rsid w:val="008D78FF"/>
    <w:rsid w:val="008E014A"/>
    <w:rsid w:val="008E0A1B"/>
    <w:rsid w:val="008E0E1E"/>
    <w:rsid w:val="008E12C0"/>
    <w:rsid w:val="008E1681"/>
    <w:rsid w:val="008E225B"/>
    <w:rsid w:val="008E2A59"/>
    <w:rsid w:val="008E2E78"/>
    <w:rsid w:val="008E344B"/>
    <w:rsid w:val="008E5FE4"/>
    <w:rsid w:val="008E7659"/>
    <w:rsid w:val="008F0EC0"/>
    <w:rsid w:val="008F16C3"/>
    <w:rsid w:val="008F1CF5"/>
    <w:rsid w:val="008F23E6"/>
    <w:rsid w:val="008F2778"/>
    <w:rsid w:val="008F3006"/>
    <w:rsid w:val="008F4347"/>
    <w:rsid w:val="008F43E8"/>
    <w:rsid w:val="008F7244"/>
    <w:rsid w:val="008F72E0"/>
    <w:rsid w:val="009005D3"/>
    <w:rsid w:val="00900CEA"/>
    <w:rsid w:val="0090167F"/>
    <w:rsid w:val="00901A07"/>
    <w:rsid w:val="00902081"/>
    <w:rsid w:val="009034CD"/>
    <w:rsid w:val="00903519"/>
    <w:rsid w:val="00903B45"/>
    <w:rsid w:val="0090491B"/>
    <w:rsid w:val="00905364"/>
    <w:rsid w:val="009059EC"/>
    <w:rsid w:val="00911CF3"/>
    <w:rsid w:val="00912DCA"/>
    <w:rsid w:val="00913E00"/>
    <w:rsid w:val="00914DA7"/>
    <w:rsid w:val="00915F63"/>
    <w:rsid w:val="009177E9"/>
    <w:rsid w:val="009177EA"/>
    <w:rsid w:val="009200B4"/>
    <w:rsid w:val="00920179"/>
    <w:rsid w:val="00921128"/>
    <w:rsid w:val="009225B7"/>
    <w:rsid w:val="00922E98"/>
    <w:rsid w:val="00922F1C"/>
    <w:rsid w:val="0092471E"/>
    <w:rsid w:val="00925131"/>
    <w:rsid w:val="0092606A"/>
    <w:rsid w:val="00926B40"/>
    <w:rsid w:val="0092745D"/>
    <w:rsid w:val="00930854"/>
    <w:rsid w:val="00931011"/>
    <w:rsid w:val="0093236A"/>
    <w:rsid w:val="009331CF"/>
    <w:rsid w:val="009334AC"/>
    <w:rsid w:val="009345A1"/>
    <w:rsid w:val="00934D0C"/>
    <w:rsid w:val="00935CF0"/>
    <w:rsid w:val="00936E8B"/>
    <w:rsid w:val="009372AA"/>
    <w:rsid w:val="00937CA4"/>
    <w:rsid w:val="0094084E"/>
    <w:rsid w:val="00940F03"/>
    <w:rsid w:val="00940FF3"/>
    <w:rsid w:val="00941407"/>
    <w:rsid w:val="00942010"/>
    <w:rsid w:val="009422FB"/>
    <w:rsid w:val="0094320A"/>
    <w:rsid w:val="0094351C"/>
    <w:rsid w:val="00943637"/>
    <w:rsid w:val="009438A3"/>
    <w:rsid w:val="00943948"/>
    <w:rsid w:val="0094401E"/>
    <w:rsid w:val="009448D0"/>
    <w:rsid w:val="00944F05"/>
    <w:rsid w:val="00947222"/>
    <w:rsid w:val="00947D6E"/>
    <w:rsid w:val="009504A7"/>
    <w:rsid w:val="00950639"/>
    <w:rsid w:val="00950EB9"/>
    <w:rsid w:val="009514A4"/>
    <w:rsid w:val="0095170D"/>
    <w:rsid w:val="009520A8"/>
    <w:rsid w:val="00952515"/>
    <w:rsid w:val="0095276D"/>
    <w:rsid w:val="0095307F"/>
    <w:rsid w:val="00953F16"/>
    <w:rsid w:val="00954068"/>
    <w:rsid w:val="009554D5"/>
    <w:rsid w:val="00955526"/>
    <w:rsid w:val="0095581B"/>
    <w:rsid w:val="00955AED"/>
    <w:rsid w:val="00956066"/>
    <w:rsid w:val="009578B2"/>
    <w:rsid w:val="00960071"/>
    <w:rsid w:val="00960D50"/>
    <w:rsid w:val="00961299"/>
    <w:rsid w:val="009619F0"/>
    <w:rsid w:val="00961D1D"/>
    <w:rsid w:val="00961D86"/>
    <w:rsid w:val="00963631"/>
    <w:rsid w:val="00963877"/>
    <w:rsid w:val="00963980"/>
    <w:rsid w:val="00965059"/>
    <w:rsid w:val="00965181"/>
    <w:rsid w:val="0096520B"/>
    <w:rsid w:val="009656C1"/>
    <w:rsid w:val="00966C09"/>
    <w:rsid w:val="0096739D"/>
    <w:rsid w:val="00970AD0"/>
    <w:rsid w:val="00973D37"/>
    <w:rsid w:val="009744EF"/>
    <w:rsid w:val="00974673"/>
    <w:rsid w:val="00975660"/>
    <w:rsid w:val="00975769"/>
    <w:rsid w:val="00975844"/>
    <w:rsid w:val="009759F9"/>
    <w:rsid w:val="00975B9E"/>
    <w:rsid w:val="009766CF"/>
    <w:rsid w:val="00976BFE"/>
    <w:rsid w:val="00976D35"/>
    <w:rsid w:val="00977198"/>
    <w:rsid w:val="0097794C"/>
    <w:rsid w:val="009813A5"/>
    <w:rsid w:val="00981AF3"/>
    <w:rsid w:val="00981BE4"/>
    <w:rsid w:val="00981EB9"/>
    <w:rsid w:val="00982543"/>
    <w:rsid w:val="009837F9"/>
    <w:rsid w:val="00984066"/>
    <w:rsid w:val="00984441"/>
    <w:rsid w:val="009844CF"/>
    <w:rsid w:val="00984DD8"/>
    <w:rsid w:val="00985449"/>
    <w:rsid w:val="009874E0"/>
    <w:rsid w:val="00987577"/>
    <w:rsid w:val="009876F9"/>
    <w:rsid w:val="00987EE5"/>
    <w:rsid w:val="00987FDC"/>
    <w:rsid w:val="0099085F"/>
    <w:rsid w:val="00992004"/>
    <w:rsid w:val="0099207B"/>
    <w:rsid w:val="00992294"/>
    <w:rsid w:val="009925DB"/>
    <w:rsid w:val="009930DD"/>
    <w:rsid w:val="00993CC9"/>
    <w:rsid w:val="00995988"/>
    <w:rsid w:val="00995D28"/>
    <w:rsid w:val="0099644A"/>
    <w:rsid w:val="009A0010"/>
    <w:rsid w:val="009A1D5A"/>
    <w:rsid w:val="009A3F3A"/>
    <w:rsid w:val="009A5BD6"/>
    <w:rsid w:val="009A6E32"/>
    <w:rsid w:val="009A6F74"/>
    <w:rsid w:val="009A7B00"/>
    <w:rsid w:val="009B1FD0"/>
    <w:rsid w:val="009B21BF"/>
    <w:rsid w:val="009B2435"/>
    <w:rsid w:val="009B29E4"/>
    <w:rsid w:val="009B3403"/>
    <w:rsid w:val="009B347C"/>
    <w:rsid w:val="009B376D"/>
    <w:rsid w:val="009B3E02"/>
    <w:rsid w:val="009B495F"/>
    <w:rsid w:val="009B4A3B"/>
    <w:rsid w:val="009B65C3"/>
    <w:rsid w:val="009B6F34"/>
    <w:rsid w:val="009C015C"/>
    <w:rsid w:val="009C097C"/>
    <w:rsid w:val="009C260C"/>
    <w:rsid w:val="009C3369"/>
    <w:rsid w:val="009C3C2C"/>
    <w:rsid w:val="009C4453"/>
    <w:rsid w:val="009C4987"/>
    <w:rsid w:val="009C4BD2"/>
    <w:rsid w:val="009C55AD"/>
    <w:rsid w:val="009C71DF"/>
    <w:rsid w:val="009C75E4"/>
    <w:rsid w:val="009D12F9"/>
    <w:rsid w:val="009D304B"/>
    <w:rsid w:val="009D31FA"/>
    <w:rsid w:val="009D3628"/>
    <w:rsid w:val="009D3AA5"/>
    <w:rsid w:val="009D3F28"/>
    <w:rsid w:val="009D437A"/>
    <w:rsid w:val="009D4C2A"/>
    <w:rsid w:val="009D6914"/>
    <w:rsid w:val="009E10E1"/>
    <w:rsid w:val="009E15BD"/>
    <w:rsid w:val="009E1926"/>
    <w:rsid w:val="009E1A12"/>
    <w:rsid w:val="009E1C22"/>
    <w:rsid w:val="009E205F"/>
    <w:rsid w:val="009E20B9"/>
    <w:rsid w:val="009E2481"/>
    <w:rsid w:val="009E30D2"/>
    <w:rsid w:val="009E3CA8"/>
    <w:rsid w:val="009E3CCB"/>
    <w:rsid w:val="009E5343"/>
    <w:rsid w:val="009E6FF1"/>
    <w:rsid w:val="009F17AB"/>
    <w:rsid w:val="009F203E"/>
    <w:rsid w:val="009F2951"/>
    <w:rsid w:val="009F3631"/>
    <w:rsid w:val="009F3790"/>
    <w:rsid w:val="009F5695"/>
    <w:rsid w:val="009F5B03"/>
    <w:rsid w:val="009F62AE"/>
    <w:rsid w:val="009F64F1"/>
    <w:rsid w:val="009F6845"/>
    <w:rsid w:val="009F6AF7"/>
    <w:rsid w:val="009F7CE6"/>
    <w:rsid w:val="009F7CEB"/>
    <w:rsid w:val="00A01986"/>
    <w:rsid w:val="00A02052"/>
    <w:rsid w:val="00A026D3"/>
    <w:rsid w:val="00A02812"/>
    <w:rsid w:val="00A0393C"/>
    <w:rsid w:val="00A03AAD"/>
    <w:rsid w:val="00A040FD"/>
    <w:rsid w:val="00A0413D"/>
    <w:rsid w:val="00A0426A"/>
    <w:rsid w:val="00A0457A"/>
    <w:rsid w:val="00A047E8"/>
    <w:rsid w:val="00A04C0D"/>
    <w:rsid w:val="00A052BA"/>
    <w:rsid w:val="00A05355"/>
    <w:rsid w:val="00A0559F"/>
    <w:rsid w:val="00A05E70"/>
    <w:rsid w:val="00A07A7F"/>
    <w:rsid w:val="00A12983"/>
    <w:rsid w:val="00A13299"/>
    <w:rsid w:val="00A13481"/>
    <w:rsid w:val="00A134DB"/>
    <w:rsid w:val="00A136DF"/>
    <w:rsid w:val="00A14647"/>
    <w:rsid w:val="00A14E3B"/>
    <w:rsid w:val="00A15FB5"/>
    <w:rsid w:val="00A16109"/>
    <w:rsid w:val="00A17525"/>
    <w:rsid w:val="00A20B1A"/>
    <w:rsid w:val="00A212C1"/>
    <w:rsid w:val="00A216E9"/>
    <w:rsid w:val="00A220A8"/>
    <w:rsid w:val="00A22A39"/>
    <w:rsid w:val="00A2325A"/>
    <w:rsid w:val="00A244B3"/>
    <w:rsid w:val="00A250F6"/>
    <w:rsid w:val="00A252C3"/>
    <w:rsid w:val="00A3134D"/>
    <w:rsid w:val="00A31BB3"/>
    <w:rsid w:val="00A329CA"/>
    <w:rsid w:val="00A337E8"/>
    <w:rsid w:val="00A33DC5"/>
    <w:rsid w:val="00A344FE"/>
    <w:rsid w:val="00A3667A"/>
    <w:rsid w:val="00A366E1"/>
    <w:rsid w:val="00A404E3"/>
    <w:rsid w:val="00A415B4"/>
    <w:rsid w:val="00A41E5D"/>
    <w:rsid w:val="00A4292F"/>
    <w:rsid w:val="00A43097"/>
    <w:rsid w:val="00A43FDB"/>
    <w:rsid w:val="00A44FC8"/>
    <w:rsid w:val="00A45596"/>
    <w:rsid w:val="00A4793A"/>
    <w:rsid w:val="00A47D9C"/>
    <w:rsid w:val="00A47ED1"/>
    <w:rsid w:val="00A51CF9"/>
    <w:rsid w:val="00A52F95"/>
    <w:rsid w:val="00A5346D"/>
    <w:rsid w:val="00A535FB"/>
    <w:rsid w:val="00A54565"/>
    <w:rsid w:val="00A54BDE"/>
    <w:rsid w:val="00A57D7E"/>
    <w:rsid w:val="00A60065"/>
    <w:rsid w:val="00A624B4"/>
    <w:rsid w:val="00A629EB"/>
    <w:rsid w:val="00A62A8A"/>
    <w:rsid w:val="00A635CB"/>
    <w:rsid w:val="00A6374D"/>
    <w:rsid w:val="00A63826"/>
    <w:rsid w:val="00A6446C"/>
    <w:rsid w:val="00A64F90"/>
    <w:rsid w:val="00A6533F"/>
    <w:rsid w:val="00A663B1"/>
    <w:rsid w:val="00A6656B"/>
    <w:rsid w:val="00A665FF"/>
    <w:rsid w:val="00A667C1"/>
    <w:rsid w:val="00A66E5A"/>
    <w:rsid w:val="00A67AAF"/>
    <w:rsid w:val="00A7093E"/>
    <w:rsid w:val="00A70BF4"/>
    <w:rsid w:val="00A71EF8"/>
    <w:rsid w:val="00A72BEB"/>
    <w:rsid w:val="00A733CF"/>
    <w:rsid w:val="00A73481"/>
    <w:rsid w:val="00A74635"/>
    <w:rsid w:val="00A74D08"/>
    <w:rsid w:val="00A75C14"/>
    <w:rsid w:val="00A77562"/>
    <w:rsid w:val="00A77640"/>
    <w:rsid w:val="00A77E68"/>
    <w:rsid w:val="00A812AD"/>
    <w:rsid w:val="00A8143B"/>
    <w:rsid w:val="00A816F8"/>
    <w:rsid w:val="00A81F82"/>
    <w:rsid w:val="00A82009"/>
    <w:rsid w:val="00A82FC6"/>
    <w:rsid w:val="00A841B0"/>
    <w:rsid w:val="00A84633"/>
    <w:rsid w:val="00A84B2B"/>
    <w:rsid w:val="00A8579D"/>
    <w:rsid w:val="00A85A2B"/>
    <w:rsid w:val="00A86055"/>
    <w:rsid w:val="00A8784C"/>
    <w:rsid w:val="00A903E6"/>
    <w:rsid w:val="00A90483"/>
    <w:rsid w:val="00A90E05"/>
    <w:rsid w:val="00A91B6F"/>
    <w:rsid w:val="00A932E1"/>
    <w:rsid w:val="00A93543"/>
    <w:rsid w:val="00A94830"/>
    <w:rsid w:val="00A94B11"/>
    <w:rsid w:val="00A94EFC"/>
    <w:rsid w:val="00A95F54"/>
    <w:rsid w:val="00A97199"/>
    <w:rsid w:val="00A97895"/>
    <w:rsid w:val="00AA02EE"/>
    <w:rsid w:val="00AA0460"/>
    <w:rsid w:val="00AA1681"/>
    <w:rsid w:val="00AA18A3"/>
    <w:rsid w:val="00AA2FA1"/>
    <w:rsid w:val="00AA316F"/>
    <w:rsid w:val="00AA4F66"/>
    <w:rsid w:val="00AA51C1"/>
    <w:rsid w:val="00AA56AA"/>
    <w:rsid w:val="00AA5FBC"/>
    <w:rsid w:val="00AA6156"/>
    <w:rsid w:val="00AA6946"/>
    <w:rsid w:val="00AA7343"/>
    <w:rsid w:val="00AA73AC"/>
    <w:rsid w:val="00AA7442"/>
    <w:rsid w:val="00AA7B77"/>
    <w:rsid w:val="00AB1283"/>
    <w:rsid w:val="00AB187A"/>
    <w:rsid w:val="00AB2A35"/>
    <w:rsid w:val="00AB318C"/>
    <w:rsid w:val="00AB3200"/>
    <w:rsid w:val="00AB3E9F"/>
    <w:rsid w:val="00AB514A"/>
    <w:rsid w:val="00AB6387"/>
    <w:rsid w:val="00AC0728"/>
    <w:rsid w:val="00AC1CB9"/>
    <w:rsid w:val="00AC224D"/>
    <w:rsid w:val="00AC2715"/>
    <w:rsid w:val="00AC2B7E"/>
    <w:rsid w:val="00AC30BD"/>
    <w:rsid w:val="00AC3B09"/>
    <w:rsid w:val="00AC3F88"/>
    <w:rsid w:val="00AC50E3"/>
    <w:rsid w:val="00AC543C"/>
    <w:rsid w:val="00AC5773"/>
    <w:rsid w:val="00AC6E9C"/>
    <w:rsid w:val="00AC6F79"/>
    <w:rsid w:val="00AD0264"/>
    <w:rsid w:val="00AD11F7"/>
    <w:rsid w:val="00AD1AA1"/>
    <w:rsid w:val="00AD38AD"/>
    <w:rsid w:val="00AD4A18"/>
    <w:rsid w:val="00AD4C55"/>
    <w:rsid w:val="00AD51C9"/>
    <w:rsid w:val="00AD7185"/>
    <w:rsid w:val="00AE0EE2"/>
    <w:rsid w:val="00AE1806"/>
    <w:rsid w:val="00AE1AD9"/>
    <w:rsid w:val="00AE2A68"/>
    <w:rsid w:val="00AE341A"/>
    <w:rsid w:val="00AE513E"/>
    <w:rsid w:val="00AE51D3"/>
    <w:rsid w:val="00AE53FB"/>
    <w:rsid w:val="00AE55A4"/>
    <w:rsid w:val="00AE7162"/>
    <w:rsid w:val="00AE7AA8"/>
    <w:rsid w:val="00AF05C2"/>
    <w:rsid w:val="00AF0DF9"/>
    <w:rsid w:val="00AF1CBF"/>
    <w:rsid w:val="00AF2665"/>
    <w:rsid w:val="00AF2A35"/>
    <w:rsid w:val="00AF324B"/>
    <w:rsid w:val="00AF38FB"/>
    <w:rsid w:val="00AF3F89"/>
    <w:rsid w:val="00AF4BE4"/>
    <w:rsid w:val="00AF4C0D"/>
    <w:rsid w:val="00AF4D12"/>
    <w:rsid w:val="00AF4FF8"/>
    <w:rsid w:val="00AF5160"/>
    <w:rsid w:val="00AF5B09"/>
    <w:rsid w:val="00AF626E"/>
    <w:rsid w:val="00B000FA"/>
    <w:rsid w:val="00B00481"/>
    <w:rsid w:val="00B00BC3"/>
    <w:rsid w:val="00B01584"/>
    <w:rsid w:val="00B01896"/>
    <w:rsid w:val="00B02A0D"/>
    <w:rsid w:val="00B03460"/>
    <w:rsid w:val="00B0358B"/>
    <w:rsid w:val="00B035D3"/>
    <w:rsid w:val="00B03C08"/>
    <w:rsid w:val="00B04546"/>
    <w:rsid w:val="00B0489F"/>
    <w:rsid w:val="00B04DD2"/>
    <w:rsid w:val="00B05734"/>
    <w:rsid w:val="00B05A6C"/>
    <w:rsid w:val="00B05EF8"/>
    <w:rsid w:val="00B06159"/>
    <w:rsid w:val="00B06B0F"/>
    <w:rsid w:val="00B07C06"/>
    <w:rsid w:val="00B106D4"/>
    <w:rsid w:val="00B11216"/>
    <w:rsid w:val="00B11EA0"/>
    <w:rsid w:val="00B11F93"/>
    <w:rsid w:val="00B12782"/>
    <w:rsid w:val="00B128B9"/>
    <w:rsid w:val="00B12DBE"/>
    <w:rsid w:val="00B1307B"/>
    <w:rsid w:val="00B14293"/>
    <w:rsid w:val="00B14462"/>
    <w:rsid w:val="00B162ED"/>
    <w:rsid w:val="00B1641D"/>
    <w:rsid w:val="00B169CA"/>
    <w:rsid w:val="00B16B3F"/>
    <w:rsid w:val="00B16E44"/>
    <w:rsid w:val="00B171D5"/>
    <w:rsid w:val="00B17681"/>
    <w:rsid w:val="00B17F3D"/>
    <w:rsid w:val="00B17FDB"/>
    <w:rsid w:val="00B203B6"/>
    <w:rsid w:val="00B21BB1"/>
    <w:rsid w:val="00B21E18"/>
    <w:rsid w:val="00B237E8"/>
    <w:rsid w:val="00B241B2"/>
    <w:rsid w:val="00B248D3"/>
    <w:rsid w:val="00B2596E"/>
    <w:rsid w:val="00B25D68"/>
    <w:rsid w:val="00B25D93"/>
    <w:rsid w:val="00B26672"/>
    <w:rsid w:val="00B2777B"/>
    <w:rsid w:val="00B279F7"/>
    <w:rsid w:val="00B27C02"/>
    <w:rsid w:val="00B27D80"/>
    <w:rsid w:val="00B304AD"/>
    <w:rsid w:val="00B31278"/>
    <w:rsid w:val="00B31624"/>
    <w:rsid w:val="00B31F3D"/>
    <w:rsid w:val="00B32386"/>
    <w:rsid w:val="00B32B2C"/>
    <w:rsid w:val="00B3343C"/>
    <w:rsid w:val="00B34CE6"/>
    <w:rsid w:val="00B365E7"/>
    <w:rsid w:val="00B368FE"/>
    <w:rsid w:val="00B37AE3"/>
    <w:rsid w:val="00B37F9D"/>
    <w:rsid w:val="00B41819"/>
    <w:rsid w:val="00B42AA9"/>
    <w:rsid w:val="00B43702"/>
    <w:rsid w:val="00B44D07"/>
    <w:rsid w:val="00B44DF8"/>
    <w:rsid w:val="00B44F0B"/>
    <w:rsid w:val="00B459A3"/>
    <w:rsid w:val="00B4760C"/>
    <w:rsid w:val="00B50437"/>
    <w:rsid w:val="00B5056A"/>
    <w:rsid w:val="00B506C6"/>
    <w:rsid w:val="00B5092C"/>
    <w:rsid w:val="00B51324"/>
    <w:rsid w:val="00B51742"/>
    <w:rsid w:val="00B51D53"/>
    <w:rsid w:val="00B52D1C"/>
    <w:rsid w:val="00B53984"/>
    <w:rsid w:val="00B539FB"/>
    <w:rsid w:val="00B54FF6"/>
    <w:rsid w:val="00B55408"/>
    <w:rsid w:val="00B55C80"/>
    <w:rsid w:val="00B56BF2"/>
    <w:rsid w:val="00B5770E"/>
    <w:rsid w:val="00B57735"/>
    <w:rsid w:val="00B57CDD"/>
    <w:rsid w:val="00B605EB"/>
    <w:rsid w:val="00B61AAC"/>
    <w:rsid w:val="00B6232B"/>
    <w:rsid w:val="00B62D7E"/>
    <w:rsid w:val="00B62FD5"/>
    <w:rsid w:val="00B6367E"/>
    <w:rsid w:val="00B63835"/>
    <w:rsid w:val="00B63B06"/>
    <w:rsid w:val="00B65965"/>
    <w:rsid w:val="00B65AD0"/>
    <w:rsid w:val="00B662F6"/>
    <w:rsid w:val="00B6694C"/>
    <w:rsid w:val="00B669C2"/>
    <w:rsid w:val="00B66C37"/>
    <w:rsid w:val="00B67119"/>
    <w:rsid w:val="00B67DF7"/>
    <w:rsid w:val="00B708E5"/>
    <w:rsid w:val="00B71675"/>
    <w:rsid w:val="00B71B62"/>
    <w:rsid w:val="00B71C75"/>
    <w:rsid w:val="00B72931"/>
    <w:rsid w:val="00B73749"/>
    <w:rsid w:val="00B73A3B"/>
    <w:rsid w:val="00B74B12"/>
    <w:rsid w:val="00B74B67"/>
    <w:rsid w:val="00B74D9C"/>
    <w:rsid w:val="00B74E16"/>
    <w:rsid w:val="00B75BC0"/>
    <w:rsid w:val="00B75FB5"/>
    <w:rsid w:val="00B76459"/>
    <w:rsid w:val="00B7796D"/>
    <w:rsid w:val="00B80B83"/>
    <w:rsid w:val="00B80C4C"/>
    <w:rsid w:val="00B8170E"/>
    <w:rsid w:val="00B81A5A"/>
    <w:rsid w:val="00B8288A"/>
    <w:rsid w:val="00B82F7E"/>
    <w:rsid w:val="00B84301"/>
    <w:rsid w:val="00B843E7"/>
    <w:rsid w:val="00B85249"/>
    <w:rsid w:val="00B85F27"/>
    <w:rsid w:val="00B863A0"/>
    <w:rsid w:val="00B9080F"/>
    <w:rsid w:val="00B9086B"/>
    <w:rsid w:val="00B915D3"/>
    <w:rsid w:val="00B96A61"/>
    <w:rsid w:val="00B973C0"/>
    <w:rsid w:val="00B975ED"/>
    <w:rsid w:val="00BA01AB"/>
    <w:rsid w:val="00BA3306"/>
    <w:rsid w:val="00BA4CC1"/>
    <w:rsid w:val="00BA5B01"/>
    <w:rsid w:val="00BA5DF5"/>
    <w:rsid w:val="00BA611E"/>
    <w:rsid w:val="00BA685F"/>
    <w:rsid w:val="00BA6A49"/>
    <w:rsid w:val="00BA7257"/>
    <w:rsid w:val="00BA73EE"/>
    <w:rsid w:val="00BA76FD"/>
    <w:rsid w:val="00BB038B"/>
    <w:rsid w:val="00BB0C11"/>
    <w:rsid w:val="00BB1682"/>
    <w:rsid w:val="00BB2AE1"/>
    <w:rsid w:val="00BB51A9"/>
    <w:rsid w:val="00BB5477"/>
    <w:rsid w:val="00BB5D3F"/>
    <w:rsid w:val="00BB725E"/>
    <w:rsid w:val="00BB7C6E"/>
    <w:rsid w:val="00BC01AE"/>
    <w:rsid w:val="00BC0347"/>
    <w:rsid w:val="00BC2BB0"/>
    <w:rsid w:val="00BC2BD5"/>
    <w:rsid w:val="00BC2FD3"/>
    <w:rsid w:val="00BC35B1"/>
    <w:rsid w:val="00BC4636"/>
    <w:rsid w:val="00BC4671"/>
    <w:rsid w:val="00BC4700"/>
    <w:rsid w:val="00BC603A"/>
    <w:rsid w:val="00BC7FCB"/>
    <w:rsid w:val="00BD03EC"/>
    <w:rsid w:val="00BD0EE8"/>
    <w:rsid w:val="00BD1519"/>
    <w:rsid w:val="00BD1BB6"/>
    <w:rsid w:val="00BD2AE6"/>
    <w:rsid w:val="00BD3428"/>
    <w:rsid w:val="00BD4A74"/>
    <w:rsid w:val="00BD51F5"/>
    <w:rsid w:val="00BD5D85"/>
    <w:rsid w:val="00BE1F12"/>
    <w:rsid w:val="00BE3CAA"/>
    <w:rsid w:val="00BE3D55"/>
    <w:rsid w:val="00BE3E5F"/>
    <w:rsid w:val="00BE3EB6"/>
    <w:rsid w:val="00BE4216"/>
    <w:rsid w:val="00BE5020"/>
    <w:rsid w:val="00BE583A"/>
    <w:rsid w:val="00BE641A"/>
    <w:rsid w:val="00BE6B85"/>
    <w:rsid w:val="00BE6C9F"/>
    <w:rsid w:val="00BE7E56"/>
    <w:rsid w:val="00BF2DA3"/>
    <w:rsid w:val="00BF2DC3"/>
    <w:rsid w:val="00BF41F8"/>
    <w:rsid w:val="00C000E5"/>
    <w:rsid w:val="00C00310"/>
    <w:rsid w:val="00C0057E"/>
    <w:rsid w:val="00C00B18"/>
    <w:rsid w:val="00C01597"/>
    <w:rsid w:val="00C02607"/>
    <w:rsid w:val="00C02997"/>
    <w:rsid w:val="00C02CBE"/>
    <w:rsid w:val="00C03E7E"/>
    <w:rsid w:val="00C045C7"/>
    <w:rsid w:val="00C04676"/>
    <w:rsid w:val="00C06418"/>
    <w:rsid w:val="00C070E6"/>
    <w:rsid w:val="00C07182"/>
    <w:rsid w:val="00C07417"/>
    <w:rsid w:val="00C07BBA"/>
    <w:rsid w:val="00C104C2"/>
    <w:rsid w:val="00C11033"/>
    <w:rsid w:val="00C113F5"/>
    <w:rsid w:val="00C11CCC"/>
    <w:rsid w:val="00C11EEB"/>
    <w:rsid w:val="00C12150"/>
    <w:rsid w:val="00C137AF"/>
    <w:rsid w:val="00C13BEE"/>
    <w:rsid w:val="00C15D48"/>
    <w:rsid w:val="00C16B78"/>
    <w:rsid w:val="00C16D8F"/>
    <w:rsid w:val="00C178DE"/>
    <w:rsid w:val="00C17DB0"/>
    <w:rsid w:val="00C20C99"/>
    <w:rsid w:val="00C20FC1"/>
    <w:rsid w:val="00C219BE"/>
    <w:rsid w:val="00C232A2"/>
    <w:rsid w:val="00C236C5"/>
    <w:rsid w:val="00C23FEA"/>
    <w:rsid w:val="00C2549E"/>
    <w:rsid w:val="00C25689"/>
    <w:rsid w:val="00C27126"/>
    <w:rsid w:val="00C27280"/>
    <w:rsid w:val="00C2794D"/>
    <w:rsid w:val="00C3039B"/>
    <w:rsid w:val="00C317F3"/>
    <w:rsid w:val="00C322FE"/>
    <w:rsid w:val="00C32B45"/>
    <w:rsid w:val="00C32F5D"/>
    <w:rsid w:val="00C34E5E"/>
    <w:rsid w:val="00C3640F"/>
    <w:rsid w:val="00C408EE"/>
    <w:rsid w:val="00C42EF0"/>
    <w:rsid w:val="00C43990"/>
    <w:rsid w:val="00C44083"/>
    <w:rsid w:val="00C44C37"/>
    <w:rsid w:val="00C4558C"/>
    <w:rsid w:val="00C45943"/>
    <w:rsid w:val="00C4666C"/>
    <w:rsid w:val="00C46AE5"/>
    <w:rsid w:val="00C47654"/>
    <w:rsid w:val="00C47693"/>
    <w:rsid w:val="00C52ACF"/>
    <w:rsid w:val="00C532EC"/>
    <w:rsid w:val="00C53C18"/>
    <w:rsid w:val="00C542D8"/>
    <w:rsid w:val="00C548AF"/>
    <w:rsid w:val="00C549AA"/>
    <w:rsid w:val="00C54E21"/>
    <w:rsid w:val="00C54EDE"/>
    <w:rsid w:val="00C55443"/>
    <w:rsid w:val="00C5624B"/>
    <w:rsid w:val="00C57E4D"/>
    <w:rsid w:val="00C6061F"/>
    <w:rsid w:val="00C6106B"/>
    <w:rsid w:val="00C626E2"/>
    <w:rsid w:val="00C627CD"/>
    <w:rsid w:val="00C628C8"/>
    <w:rsid w:val="00C62F7A"/>
    <w:rsid w:val="00C63263"/>
    <w:rsid w:val="00C63B8C"/>
    <w:rsid w:val="00C63F06"/>
    <w:rsid w:val="00C6489D"/>
    <w:rsid w:val="00C65470"/>
    <w:rsid w:val="00C66FE7"/>
    <w:rsid w:val="00C70217"/>
    <w:rsid w:val="00C704BF"/>
    <w:rsid w:val="00C71150"/>
    <w:rsid w:val="00C72593"/>
    <w:rsid w:val="00C73834"/>
    <w:rsid w:val="00C73DE9"/>
    <w:rsid w:val="00C74962"/>
    <w:rsid w:val="00C749AA"/>
    <w:rsid w:val="00C7519E"/>
    <w:rsid w:val="00C7553C"/>
    <w:rsid w:val="00C757B9"/>
    <w:rsid w:val="00C75EAE"/>
    <w:rsid w:val="00C77237"/>
    <w:rsid w:val="00C8084C"/>
    <w:rsid w:val="00C81635"/>
    <w:rsid w:val="00C816F8"/>
    <w:rsid w:val="00C81A12"/>
    <w:rsid w:val="00C826FA"/>
    <w:rsid w:val="00C827D9"/>
    <w:rsid w:val="00C846BE"/>
    <w:rsid w:val="00C872AD"/>
    <w:rsid w:val="00C87D4F"/>
    <w:rsid w:val="00C90607"/>
    <w:rsid w:val="00C90CF2"/>
    <w:rsid w:val="00C910BC"/>
    <w:rsid w:val="00C92C82"/>
    <w:rsid w:val="00C9301F"/>
    <w:rsid w:val="00C94B36"/>
    <w:rsid w:val="00C95BB2"/>
    <w:rsid w:val="00C95FF9"/>
    <w:rsid w:val="00C963DE"/>
    <w:rsid w:val="00C9669A"/>
    <w:rsid w:val="00C97DBF"/>
    <w:rsid w:val="00CA0C26"/>
    <w:rsid w:val="00CA0FA4"/>
    <w:rsid w:val="00CA10F2"/>
    <w:rsid w:val="00CA218E"/>
    <w:rsid w:val="00CA2568"/>
    <w:rsid w:val="00CA3743"/>
    <w:rsid w:val="00CA38A2"/>
    <w:rsid w:val="00CA41C2"/>
    <w:rsid w:val="00CA4533"/>
    <w:rsid w:val="00CA50A7"/>
    <w:rsid w:val="00CA61C0"/>
    <w:rsid w:val="00CA6A89"/>
    <w:rsid w:val="00CA702D"/>
    <w:rsid w:val="00CA7FF0"/>
    <w:rsid w:val="00CB07A8"/>
    <w:rsid w:val="00CB14A1"/>
    <w:rsid w:val="00CB161D"/>
    <w:rsid w:val="00CB1D5B"/>
    <w:rsid w:val="00CB320A"/>
    <w:rsid w:val="00CB3501"/>
    <w:rsid w:val="00CB3664"/>
    <w:rsid w:val="00CB3E1E"/>
    <w:rsid w:val="00CB3FD4"/>
    <w:rsid w:val="00CB5389"/>
    <w:rsid w:val="00CB7409"/>
    <w:rsid w:val="00CB7D2D"/>
    <w:rsid w:val="00CB7D58"/>
    <w:rsid w:val="00CC10E1"/>
    <w:rsid w:val="00CC1F00"/>
    <w:rsid w:val="00CC34B4"/>
    <w:rsid w:val="00CC3E3A"/>
    <w:rsid w:val="00CC49BB"/>
    <w:rsid w:val="00CC51B6"/>
    <w:rsid w:val="00CC5585"/>
    <w:rsid w:val="00CC5A37"/>
    <w:rsid w:val="00CC66D5"/>
    <w:rsid w:val="00CD0000"/>
    <w:rsid w:val="00CD12E3"/>
    <w:rsid w:val="00CD1E0E"/>
    <w:rsid w:val="00CD23FD"/>
    <w:rsid w:val="00CD25A4"/>
    <w:rsid w:val="00CD2C8B"/>
    <w:rsid w:val="00CD2DCC"/>
    <w:rsid w:val="00CD2F66"/>
    <w:rsid w:val="00CD2FEA"/>
    <w:rsid w:val="00CD3E5F"/>
    <w:rsid w:val="00CD4116"/>
    <w:rsid w:val="00CD6327"/>
    <w:rsid w:val="00CE0762"/>
    <w:rsid w:val="00CE27FC"/>
    <w:rsid w:val="00CE2B78"/>
    <w:rsid w:val="00CE3B53"/>
    <w:rsid w:val="00CE3F6E"/>
    <w:rsid w:val="00CE42F3"/>
    <w:rsid w:val="00CE4556"/>
    <w:rsid w:val="00CE46C0"/>
    <w:rsid w:val="00CE5001"/>
    <w:rsid w:val="00CE68BC"/>
    <w:rsid w:val="00CE6EE4"/>
    <w:rsid w:val="00CE74A3"/>
    <w:rsid w:val="00CE7FBC"/>
    <w:rsid w:val="00CF04BD"/>
    <w:rsid w:val="00CF08FE"/>
    <w:rsid w:val="00CF0A69"/>
    <w:rsid w:val="00CF0E12"/>
    <w:rsid w:val="00CF1540"/>
    <w:rsid w:val="00CF1695"/>
    <w:rsid w:val="00CF16C4"/>
    <w:rsid w:val="00CF1EDD"/>
    <w:rsid w:val="00CF2C0D"/>
    <w:rsid w:val="00CF31ED"/>
    <w:rsid w:val="00CF3BF7"/>
    <w:rsid w:val="00CF55AD"/>
    <w:rsid w:val="00CF569C"/>
    <w:rsid w:val="00CF62AB"/>
    <w:rsid w:val="00CF6924"/>
    <w:rsid w:val="00CF754E"/>
    <w:rsid w:val="00D00715"/>
    <w:rsid w:val="00D01341"/>
    <w:rsid w:val="00D01713"/>
    <w:rsid w:val="00D01A4D"/>
    <w:rsid w:val="00D034DD"/>
    <w:rsid w:val="00D03634"/>
    <w:rsid w:val="00D03A22"/>
    <w:rsid w:val="00D03D0C"/>
    <w:rsid w:val="00D04952"/>
    <w:rsid w:val="00D06A16"/>
    <w:rsid w:val="00D102B1"/>
    <w:rsid w:val="00D1078F"/>
    <w:rsid w:val="00D10A2C"/>
    <w:rsid w:val="00D10E60"/>
    <w:rsid w:val="00D11DB6"/>
    <w:rsid w:val="00D12254"/>
    <w:rsid w:val="00D12A60"/>
    <w:rsid w:val="00D12CD2"/>
    <w:rsid w:val="00D12F00"/>
    <w:rsid w:val="00D136AE"/>
    <w:rsid w:val="00D14136"/>
    <w:rsid w:val="00D1471F"/>
    <w:rsid w:val="00D14BC3"/>
    <w:rsid w:val="00D14D23"/>
    <w:rsid w:val="00D15B1B"/>
    <w:rsid w:val="00D15D8B"/>
    <w:rsid w:val="00D17984"/>
    <w:rsid w:val="00D17C5B"/>
    <w:rsid w:val="00D23887"/>
    <w:rsid w:val="00D24DAD"/>
    <w:rsid w:val="00D25916"/>
    <w:rsid w:val="00D3199B"/>
    <w:rsid w:val="00D31F9F"/>
    <w:rsid w:val="00D324DC"/>
    <w:rsid w:val="00D329E6"/>
    <w:rsid w:val="00D32BA0"/>
    <w:rsid w:val="00D338C3"/>
    <w:rsid w:val="00D34F97"/>
    <w:rsid w:val="00D35805"/>
    <w:rsid w:val="00D365E4"/>
    <w:rsid w:val="00D36D95"/>
    <w:rsid w:val="00D37972"/>
    <w:rsid w:val="00D40060"/>
    <w:rsid w:val="00D40100"/>
    <w:rsid w:val="00D40577"/>
    <w:rsid w:val="00D40896"/>
    <w:rsid w:val="00D40FC0"/>
    <w:rsid w:val="00D41072"/>
    <w:rsid w:val="00D4145C"/>
    <w:rsid w:val="00D41534"/>
    <w:rsid w:val="00D41E93"/>
    <w:rsid w:val="00D41FAC"/>
    <w:rsid w:val="00D431EB"/>
    <w:rsid w:val="00D43BC1"/>
    <w:rsid w:val="00D44374"/>
    <w:rsid w:val="00D44FCA"/>
    <w:rsid w:val="00D451FC"/>
    <w:rsid w:val="00D452C2"/>
    <w:rsid w:val="00D456D7"/>
    <w:rsid w:val="00D45A8D"/>
    <w:rsid w:val="00D45DCB"/>
    <w:rsid w:val="00D50970"/>
    <w:rsid w:val="00D50D56"/>
    <w:rsid w:val="00D522A7"/>
    <w:rsid w:val="00D536E0"/>
    <w:rsid w:val="00D54DAB"/>
    <w:rsid w:val="00D5549D"/>
    <w:rsid w:val="00D558AE"/>
    <w:rsid w:val="00D60E58"/>
    <w:rsid w:val="00D62757"/>
    <w:rsid w:val="00D62935"/>
    <w:rsid w:val="00D62C96"/>
    <w:rsid w:val="00D63024"/>
    <w:rsid w:val="00D63C48"/>
    <w:rsid w:val="00D64289"/>
    <w:rsid w:val="00D649EF"/>
    <w:rsid w:val="00D65518"/>
    <w:rsid w:val="00D66211"/>
    <w:rsid w:val="00D6667B"/>
    <w:rsid w:val="00D66B54"/>
    <w:rsid w:val="00D70204"/>
    <w:rsid w:val="00D708A4"/>
    <w:rsid w:val="00D71400"/>
    <w:rsid w:val="00D71744"/>
    <w:rsid w:val="00D717D4"/>
    <w:rsid w:val="00D72C23"/>
    <w:rsid w:val="00D72E3F"/>
    <w:rsid w:val="00D7330A"/>
    <w:rsid w:val="00D736B5"/>
    <w:rsid w:val="00D745C6"/>
    <w:rsid w:val="00D75593"/>
    <w:rsid w:val="00D76054"/>
    <w:rsid w:val="00D7637F"/>
    <w:rsid w:val="00D77466"/>
    <w:rsid w:val="00D77DFE"/>
    <w:rsid w:val="00D814A5"/>
    <w:rsid w:val="00D831E7"/>
    <w:rsid w:val="00D83233"/>
    <w:rsid w:val="00D834DD"/>
    <w:rsid w:val="00D8435D"/>
    <w:rsid w:val="00D84C6B"/>
    <w:rsid w:val="00D84DE8"/>
    <w:rsid w:val="00D855B1"/>
    <w:rsid w:val="00D856BA"/>
    <w:rsid w:val="00D861A4"/>
    <w:rsid w:val="00D879F0"/>
    <w:rsid w:val="00D90639"/>
    <w:rsid w:val="00D906F5"/>
    <w:rsid w:val="00D91FD9"/>
    <w:rsid w:val="00D9255F"/>
    <w:rsid w:val="00D93A20"/>
    <w:rsid w:val="00D93E07"/>
    <w:rsid w:val="00D93FA3"/>
    <w:rsid w:val="00D95394"/>
    <w:rsid w:val="00D970E7"/>
    <w:rsid w:val="00D97841"/>
    <w:rsid w:val="00DA032B"/>
    <w:rsid w:val="00DA0456"/>
    <w:rsid w:val="00DA0A52"/>
    <w:rsid w:val="00DA1882"/>
    <w:rsid w:val="00DA3F5A"/>
    <w:rsid w:val="00DA557E"/>
    <w:rsid w:val="00DA55BB"/>
    <w:rsid w:val="00DA56E5"/>
    <w:rsid w:val="00DA59AC"/>
    <w:rsid w:val="00DA6F44"/>
    <w:rsid w:val="00DA7111"/>
    <w:rsid w:val="00DA73EE"/>
    <w:rsid w:val="00DA7593"/>
    <w:rsid w:val="00DB0EBE"/>
    <w:rsid w:val="00DB15EE"/>
    <w:rsid w:val="00DB16A7"/>
    <w:rsid w:val="00DB2D1D"/>
    <w:rsid w:val="00DB2DFA"/>
    <w:rsid w:val="00DB3A9F"/>
    <w:rsid w:val="00DB3FC9"/>
    <w:rsid w:val="00DB44F6"/>
    <w:rsid w:val="00DB7431"/>
    <w:rsid w:val="00DB76F2"/>
    <w:rsid w:val="00DC1743"/>
    <w:rsid w:val="00DC1746"/>
    <w:rsid w:val="00DC1F73"/>
    <w:rsid w:val="00DC34D0"/>
    <w:rsid w:val="00DC4953"/>
    <w:rsid w:val="00DC4A9D"/>
    <w:rsid w:val="00DC4CC9"/>
    <w:rsid w:val="00DC7514"/>
    <w:rsid w:val="00DC7746"/>
    <w:rsid w:val="00DC7A4D"/>
    <w:rsid w:val="00DD1F83"/>
    <w:rsid w:val="00DD3049"/>
    <w:rsid w:val="00DD361A"/>
    <w:rsid w:val="00DD3C72"/>
    <w:rsid w:val="00DD4EC9"/>
    <w:rsid w:val="00DD7844"/>
    <w:rsid w:val="00DE09B6"/>
    <w:rsid w:val="00DE172C"/>
    <w:rsid w:val="00DE189F"/>
    <w:rsid w:val="00DE2AF5"/>
    <w:rsid w:val="00DE30E2"/>
    <w:rsid w:val="00DE3275"/>
    <w:rsid w:val="00DE3A9A"/>
    <w:rsid w:val="00DE3F7F"/>
    <w:rsid w:val="00DE531A"/>
    <w:rsid w:val="00DE533E"/>
    <w:rsid w:val="00DE5E61"/>
    <w:rsid w:val="00DE6421"/>
    <w:rsid w:val="00DE704E"/>
    <w:rsid w:val="00DE7700"/>
    <w:rsid w:val="00DF04E4"/>
    <w:rsid w:val="00DF16C0"/>
    <w:rsid w:val="00DF3830"/>
    <w:rsid w:val="00DF4144"/>
    <w:rsid w:val="00DF4A3F"/>
    <w:rsid w:val="00DF4AE8"/>
    <w:rsid w:val="00DF4CA4"/>
    <w:rsid w:val="00DF548B"/>
    <w:rsid w:val="00DF5697"/>
    <w:rsid w:val="00DF5D6E"/>
    <w:rsid w:val="00DF5DDA"/>
    <w:rsid w:val="00DF5E6B"/>
    <w:rsid w:val="00DF6E59"/>
    <w:rsid w:val="00E003F7"/>
    <w:rsid w:val="00E00AF8"/>
    <w:rsid w:val="00E00D26"/>
    <w:rsid w:val="00E020CB"/>
    <w:rsid w:val="00E04A28"/>
    <w:rsid w:val="00E0500E"/>
    <w:rsid w:val="00E05301"/>
    <w:rsid w:val="00E055D4"/>
    <w:rsid w:val="00E05B68"/>
    <w:rsid w:val="00E05F4C"/>
    <w:rsid w:val="00E05FBC"/>
    <w:rsid w:val="00E064FC"/>
    <w:rsid w:val="00E06B9F"/>
    <w:rsid w:val="00E075C1"/>
    <w:rsid w:val="00E07783"/>
    <w:rsid w:val="00E078F4"/>
    <w:rsid w:val="00E07D21"/>
    <w:rsid w:val="00E10374"/>
    <w:rsid w:val="00E10774"/>
    <w:rsid w:val="00E107F4"/>
    <w:rsid w:val="00E10A09"/>
    <w:rsid w:val="00E10B7D"/>
    <w:rsid w:val="00E11ADD"/>
    <w:rsid w:val="00E11B1E"/>
    <w:rsid w:val="00E11DC2"/>
    <w:rsid w:val="00E128A6"/>
    <w:rsid w:val="00E133C2"/>
    <w:rsid w:val="00E13821"/>
    <w:rsid w:val="00E15516"/>
    <w:rsid w:val="00E16564"/>
    <w:rsid w:val="00E16FF3"/>
    <w:rsid w:val="00E17013"/>
    <w:rsid w:val="00E17DD0"/>
    <w:rsid w:val="00E227EA"/>
    <w:rsid w:val="00E22BC6"/>
    <w:rsid w:val="00E23660"/>
    <w:rsid w:val="00E24139"/>
    <w:rsid w:val="00E24D5E"/>
    <w:rsid w:val="00E26BBF"/>
    <w:rsid w:val="00E26D11"/>
    <w:rsid w:val="00E27421"/>
    <w:rsid w:val="00E2759B"/>
    <w:rsid w:val="00E2761D"/>
    <w:rsid w:val="00E305EA"/>
    <w:rsid w:val="00E30B15"/>
    <w:rsid w:val="00E30D12"/>
    <w:rsid w:val="00E31A1E"/>
    <w:rsid w:val="00E33637"/>
    <w:rsid w:val="00E34484"/>
    <w:rsid w:val="00E3481D"/>
    <w:rsid w:val="00E35295"/>
    <w:rsid w:val="00E356CB"/>
    <w:rsid w:val="00E35C99"/>
    <w:rsid w:val="00E37424"/>
    <w:rsid w:val="00E37584"/>
    <w:rsid w:val="00E37F65"/>
    <w:rsid w:val="00E4041E"/>
    <w:rsid w:val="00E41068"/>
    <w:rsid w:val="00E42CFC"/>
    <w:rsid w:val="00E4383E"/>
    <w:rsid w:val="00E44578"/>
    <w:rsid w:val="00E45180"/>
    <w:rsid w:val="00E45305"/>
    <w:rsid w:val="00E458B4"/>
    <w:rsid w:val="00E45D6A"/>
    <w:rsid w:val="00E4634C"/>
    <w:rsid w:val="00E46AC9"/>
    <w:rsid w:val="00E50041"/>
    <w:rsid w:val="00E520FB"/>
    <w:rsid w:val="00E527EF"/>
    <w:rsid w:val="00E52B7E"/>
    <w:rsid w:val="00E53DB6"/>
    <w:rsid w:val="00E54115"/>
    <w:rsid w:val="00E546CC"/>
    <w:rsid w:val="00E54FB3"/>
    <w:rsid w:val="00E551D8"/>
    <w:rsid w:val="00E55242"/>
    <w:rsid w:val="00E558AE"/>
    <w:rsid w:val="00E55904"/>
    <w:rsid w:val="00E55DC1"/>
    <w:rsid w:val="00E55E52"/>
    <w:rsid w:val="00E55E72"/>
    <w:rsid w:val="00E5699C"/>
    <w:rsid w:val="00E57B65"/>
    <w:rsid w:val="00E57B6E"/>
    <w:rsid w:val="00E603A5"/>
    <w:rsid w:val="00E60AF8"/>
    <w:rsid w:val="00E6265F"/>
    <w:rsid w:val="00E62D4B"/>
    <w:rsid w:val="00E66560"/>
    <w:rsid w:val="00E66614"/>
    <w:rsid w:val="00E66895"/>
    <w:rsid w:val="00E66B08"/>
    <w:rsid w:val="00E67FC6"/>
    <w:rsid w:val="00E710C5"/>
    <w:rsid w:val="00E71135"/>
    <w:rsid w:val="00E72FE1"/>
    <w:rsid w:val="00E73389"/>
    <w:rsid w:val="00E7413F"/>
    <w:rsid w:val="00E7446B"/>
    <w:rsid w:val="00E74C53"/>
    <w:rsid w:val="00E75B2D"/>
    <w:rsid w:val="00E76284"/>
    <w:rsid w:val="00E76C90"/>
    <w:rsid w:val="00E76EB4"/>
    <w:rsid w:val="00E773DF"/>
    <w:rsid w:val="00E80037"/>
    <w:rsid w:val="00E800FE"/>
    <w:rsid w:val="00E8269B"/>
    <w:rsid w:val="00E836AE"/>
    <w:rsid w:val="00E83B77"/>
    <w:rsid w:val="00E85B4C"/>
    <w:rsid w:val="00E867F3"/>
    <w:rsid w:val="00E87788"/>
    <w:rsid w:val="00E92EF3"/>
    <w:rsid w:val="00E930FA"/>
    <w:rsid w:val="00E93282"/>
    <w:rsid w:val="00E938C8"/>
    <w:rsid w:val="00E94558"/>
    <w:rsid w:val="00E951E5"/>
    <w:rsid w:val="00E952BF"/>
    <w:rsid w:val="00E97215"/>
    <w:rsid w:val="00E974EF"/>
    <w:rsid w:val="00E979A4"/>
    <w:rsid w:val="00EA0797"/>
    <w:rsid w:val="00EA08C5"/>
    <w:rsid w:val="00EA1310"/>
    <w:rsid w:val="00EA15D0"/>
    <w:rsid w:val="00EA1B29"/>
    <w:rsid w:val="00EA3034"/>
    <w:rsid w:val="00EA3928"/>
    <w:rsid w:val="00EA4EE6"/>
    <w:rsid w:val="00EA66E6"/>
    <w:rsid w:val="00EA6876"/>
    <w:rsid w:val="00EA6900"/>
    <w:rsid w:val="00EA69F6"/>
    <w:rsid w:val="00EA6F60"/>
    <w:rsid w:val="00EA7116"/>
    <w:rsid w:val="00EA78D7"/>
    <w:rsid w:val="00EA7B23"/>
    <w:rsid w:val="00EA7ED9"/>
    <w:rsid w:val="00EA7F82"/>
    <w:rsid w:val="00EB0AAB"/>
    <w:rsid w:val="00EB2000"/>
    <w:rsid w:val="00EB2A89"/>
    <w:rsid w:val="00EB311A"/>
    <w:rsid w:val="00EB324B"/>
    <w:rsid w:val="00EB3428"/>
    <w:rsid w:val="00EB37C6"/>
    <w:rsid w:val="00EB3F3E"/>
    <w:rsid w:val="00EB4198"/>
    <w:rsid w:val="00EB426B"/>
    <w:rsid w:val="00EB516D"/>
    <w:rsid w:val="00EB5E6D"/>
    <w:rsid w:val="00EB6514"/>
    <w:rsid w:val="00EB68AC"/>
    <w:rsid w:val="00EB7B9A"/>
    <w:rsid w:val="00EB7DCE"/>
    <w:rsid w:val="00EC0CEC"/>
    <w:rsid w:val="00EC1017"/>
    <w:rsid w:val="00EC1E8D"/>
    <w:rsid w:val="00EC226B"/>
    <w:rsid w:val="00EC3823"/>
    <w:rsid w:val="00EC42A9"/>
    <w:rsid w:val="00EC4745"/>
    <w:rsid w:val="00EC47F2"/>
    <w:rsid w:val="00EC50FB"/>
    <w:rsid w:val="00EC6113"/>
    <w:rsid w:val="00EC6265"/>
    <w:rsid w:val="00EC6415"/>
    <w:rsid w:val="00EC7313"/>
    <w:rsid w:val="00EC7991"/>
    <w:rsid w:val="00EC7A77"/>
    <w:rsid w:val="00ED0475"/>
    <w:rsid w:val="00ED05D0"/>
    <w:rsid w:val="00ED173B"/>
    <w:rsid w:val="00ED2D92"/>
    <w:rsid w:val="00ED33A6"/>
    <w:rsid w:val="00ED410D"/>
    <w:rsid w:val="00ED5118"/>
    <w:rsid w:val="00ED621F"/>
    <w:rsid w:val="00ED6691"/>
    <w:rsid w:val="00ED7D6E"/>
    <w:rsid w:val="00ED7ED5"/>
    <w:rsid w:val="00EE0602"/>
    <w:rsid w:val="00EE24E3"/>
    <w:rsid w:val="00EE2C63"/>
    <w:rsid w:val="00EE320F"/>
    <w:rsid w:val="00EE342E"/>
    <w:rsid w:val="00EE5D00"/>
    <w:rsid w:val="00EE6B10"/>
    <w:rsid w:val="00EF116C"/>
    <w:rsid w:val="00EF1171"/>
    <w:rsid w:val="00EF202D"/>
    <w:rsid w:val="00EF209A"/>
    <w:rsid w:val="00EF20B4"/>
    <w:rsid w:val="00EF3278"/>
    <w:rsid w:val="00EF4131"/>
    <w:rsid w:val="00EF4144"/>
    <w:rsid w:val="00EF4480"/>
    <w:rsid w:val="00EF4841"/>
    <w:rsid w:val="00EF6502"/>
    <w:rsid w:val="00EF6D1F"/>
    <w:rsid w:val="00EF72FB"/>
    <w:rsid w:val="00EF7623"/>
    <w:rsid w:val="00EF7BEB"/>
    <w:rsid w:val="00F00F6E"/>
    <w:rsid w:val="00F0233D"/>
    <w:rsid w:val="00F03470"/>
    <w:rsid w:val="00F049EC"/>
    <w:rsid w:val="00F054B3"/>
    <w:rsid w:val="00F07752"/>
    <w:rsid w:val="00F079BF"/>
    <w:rsid w:val="00F10D74"/>
    <w:rsid w:val="00F11098"/>
    <w:rsid w:val="00F11B4F"/>
    <w:rsid w:val="00F12271"/>
    <w:rsid w:val="00F12B4C"/>
    <w:rsid w:val="00F15091"/>
    <w:rsid w:val="00F16BFE"/>
    <w:rsid w:val="00F17351"/>
    <w:rsid w:val="00F212A8"/>
    <w:rsid w:val="00F215F9"/>
    <w:rsid w:val="00F24145"/>
    <w:rsid w:val="00F25242"/>
    <w:rsid w:val="00F25659"/>
    <w:rsid w:val="00F25736"/>
    <w:rsid w:val="00F26553"/>
    <w:rsid w:val="00F268A5"/>
    <w:rsid w:val="00F26B4B"/>
    <w:rsid w:val="00F2706C"/>
    <w:rsid w:val="00F2781A"/>
    <w:rsid w:val="00F27B86"/>
    <w:rsid w:val="00F3094A"/>
    <w:rsid w:val="00F317EE"/>
    <w:rsid w:val="00F31800"/>
    <w:rsid w:val="00F3233C"/>
    <w:rsid w:val="00F32B17"/>
    <w:rsid w:val="00F32D23"/>
    <w:rsid w:val="00F32DB4"/>
    <w:rsid w:val="00F342E2"/>
    <w:rsid w:val="00F358B7"/>
    <w:rsid w:val="00F35B63"/>
    <w:rsid w:val="00F367EA"/>
    <w:rsid w:val="00F36A36"/>
    <w:rsid w:val="00F373C4"/>
    <w:rsid w:val="00F373F9"/>
    <w:rsid w:val="00F404A4"/>
    <w:rsid w:val="00F41460"/>
    <w:rsid w:val="00F4184A"/>
    <w:rsid w:val="00F419C5"/>
    <w:rsid w:val="00F42C2F"/>
    <w:rsid w:val="00F43DAC"/>
    <w:rsid w:val="00F44765"/>
    <w:rsid w:val="00F44A23"/>
    <w:rsid w:val="00F44EFB"/>
    <w:rsid w:val="00F45834"/>
    <w:rsid w:val="00F460C7"/>
    <w:rsid w:val="00F475B8"/>
    <w:rsid w:val="00F47952"/>
    <w:rsid w:val="00F52C07"/>
    <w:rsid w:val="00F52C56"/>
    <w:rsid w:val="00F52D74"/>
    <w:rsid w:val="00F530C7"/>
    <w:rsid w:val="00F549BE"/>
    <w:rsid w:val="00F55B69"/>
    <w:rsid w:val="00F56314"/>
    <w:rsid w:val="00F5672B"/>
    <w:rsid w:val="00F57DD0"/>
    <w:rsid w:val="00F57EE1"/>
    <w:rsid w:val="00F60094"/>
    <w:rsid w:val="00F6065D"/>
    <w:rsid w:val="00F606A1"/>
    <w:rsid w:val="00F610EC"/>
    <w:rsid w:val="00F627FD"/>
    <w:rsid w:val="00F62CEB"/>
    <w:rsid w:val="00F62DDF"/>
    <w:rsid w:val="00F65A24"/>
    <w:rsid w:val="00F66455"/>
    <w:rsid w:val="00F67F9F"/>
    <w:rsid w:val="00F67FF1"/>
    <w:rsid w:val="00F7044E"/>
    <w:rsid w:val="00F72A2F"/>
    <w:rsid w:val="00F72B42"/>
    <w:rsid w:val="00F733F3"/>
    <w:rsid w:val="00F73A39"/>
    <w:rsid w:val="00F73FDE"/>
    <w:rsid w:val="00F74551"/>
    <w:rsid w:val="00F74B93"/>
    <w:rsid w:val="00F750C3"/>
    <w:rsid w:val="00F75D3A"/>
    <w:rsid w:val="00F75E7C"/>
    <w:rsid w:val="00F7645C"/>
    <w:rsid w:val="00F767C3"/>
    <w:rsid w:val="00F77CCB"/>
    <w:rsid w:val="00F80139"/>
    <w:rsid w:val="00F8180F"/>
    <w:rsid w:val="00F81B83"/>
    <w:rsid w:val="00F82222"/>
    <w:rsid w:val="00F82388"/>
    <w:rsid w:val="00F82B16"/>
    <w:rsid w:val="00F83557"/>
    <w:rsid w:val="00F83B94"/>
    <w:rsid w:val="00F84395"/>
    <w:rsid w:val="00F84AB2"/>
    <w:rsid w:val="00F84EB5"/>
    <w:rsid w:val="00F85647"/>
    <w:rsid w:val="00F856C7"/>
    <w:rsid w:val="00F85B6E"/>
    <w:rsid w:val="00F86623"/>
    <w:rsid w:val="00F86840"/>
    <w:rsid w:val="00F86E20"/>
    <w:rsid w:val="00F873FD"/>
    <w:rsid w:val="00F87904"/>
    <w:rsid w:val="00F87C31"/>
    <w:rsid w:val="00F91575"/>
    <w:rsid w:val="00F915B0"/>
    <w:rsid w:val="00F9212E"/>
    <w:rsid w:val="00F9226C"/>
    <w:rsid w:val="00F927D2"/>
    <w:rsid w:val="00F92E0F"/>
    <w:rsid w:val="00F93166"/>
    <w:rsid w:val="00F93BE7"/>
    <w:rsid w:val="00F93D2F"/>
    <w:rsid w:val="00F9623B"/>
    <w:rsid w:val="00F9783F"/>
    <w:rsid w:val="00FA0329"/>
    <w:rsid w:val="00FA0860"/>
    <w:rsid w:val="00FA10D5"/>
    <w:rsid w:val="00FA1C4C"/>
    <w:rsid w:val="00FA1F8C"/>
    <w:rsid w:val="00FA20E8"/>
    <w:rsid w:val="00FA3107"/>
    <w:rsid w:val="00FA38C3"/>
    <w:rsid w:val="00FA42C2"/>
    <w:rsid w:val="00FA542C"/>
    <w:rsid w:val="00FA558B"/>
    <w:rsid w:val="00FA5A09"/>
    <w:rsid w:val="00FA6913"/>
    <w:rsid w:val="00FA7C22"/>
    <w:rsid w:val="00FA7C82"/>
    <w:rsid w:val="00FA7E55"/>
    <w:rsid w:val="00FB0871"/>
    <w:rsid w:val="00FB1372"/>
    <w:rsid w:val="00FB34CD"/>
    <w:rsid w:val="00FB366A"/>
    <w:rsid w:val="00FB41BA"/>
    <w:rsid w:val="00FB57DB"/>
    <w:rsid w:val="00FB5C6C"/>
    <w:rsid w:val="00FB5FFE"/>
    <w:rsid w:val="00FB6238"/>
    <w:rsid w:val="00FB6255"/>
    <w:rsid w:val="00FB6BCD"/>
    <w:rsid w:val="00FC0057"/>
    <w:rsid w:val="00FC06E3"/>
    <w:rsid w:val="00FC08CA"/>
    <w:rsid w:val="00FC22AB"/>
    <w:rsid w:val="00FC497F"/>
    <w:rsid w:val="00FC4E63"/>
    <w:rsid w:val="00FC5426"/>
    <w:rsid w:val="00FC580D"/>
    <w:rsid w:val="00FC594B"/>
    <w:rsid w:val="00FC7A10"/>
    <w:rsid w:val="00FD0049"/>
    <w:rsid w:val="00FD070F"/>
    <w:rsid w:val="00FD0DA5"/>
    <w:rsid w:val="00FD14CC"/>
    <w:rsid w:val="00FD1C35"/>
    <w:rsid w:val="00FD1CEF"/>
    <w:rsid w:val="00FD2FE1"/>
    <w:rsid w:val="00FD3D08"/>
    <w:rsid w:val="00FD4541"/>
    <w:rsid w:val="00FD64EF"/>
    <w:rsid w:val="00FD65A5"/>
    <w:rsid w:val="00FD7076"/>
    <w:rsid w:val="00FD7841"/>
    <w:rsid w:val="00FE025A"/>
    <w:rsid w:val="00FE05CD"/>
    <w:rsid w:val="00FE0ADC"/>
    <w:rsid w:val="00FE0D67"/>
    <w:rsid w:val="00FE169D"/>
    <w:rsid w:val="00FE1DC7"/>
    <w:rsid w:val="00FE1F8E"/>
    <w:rsid w:val="00FE2431"/>
    <w:rsid w:val="00FE27E2"/>
    <w:rsid w:val="00FE28B3"/>
    <w:rsid w:val="00FE2B25"/>
    <w:rsid w:val="00FE3010"/>
    <w:rsid w:val="00FE4C58"/>
    <w:rsid w:val="00FE4DAA"/>
    <w:rsid w:val="00FE53E7"/>
    <w:rsid w:val="00FE5CFA"/>
    <w:rsid w:val="00FE6746"/>
    <w:rsid w:val="00FE67A5"/>
    <w:rsid w:val="00FE6898"/>
    <w:rsid w:val="00FE7F1A"/>
    <w:rsid w:val="00FF02C5"/>
    <w:rsid w:val="00FF069A"/>
    <w:rsid w:val="00FF079C"/>
    <w:rsid w:val="00FF0D45"/>
    <w:rsid w:val="00FF2137"/>
    <w:rsid w:val="00FF2550"/>
    <w:rsid w:val="00FF3D31"/>
    <w:rsid w:val="00FF485E"/>
    <w:rsid w:val="00FF4B95"/>
    <w:rsid w:val="00FF5374"/>
    <w:rsid w:val="00FF556C"/>
    <w:rsid w:val="00FF610D"/>
    <w:rsid w:val="00FF7550"/>
    <w:rsid w:val="00FF76E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COMBodyChar">
    <w:name w:val="COMBody Char"/>
    <w:basedOn w:val="DefaultParagraphFont"/>
    <w:link w:val="COMBody"/>
    <w:locked/>
    <w:rsid w:val="001A1650"/>
    <w:rPr>
      <w:rFonts w:ascii="Calibri" w:eastAsia="Times New Roman" w:hAnsi="Calibri" w:cs="Arial"/>
      <w:sz w:val="24"/>
      <w:szCs w:val="20"/>
    </w:rPr>
  </w:style>
  <w:style w:type="paragraph" w:customStyle="1" w:styleId="COMBody">
    <w:name w:val="COMBody"/>
    <w:basedOn w:val="Normal"/>
    <w:link w:val="COMBodyChar"/>
    <w:qFormat/>
    <w:rsid w:val="001A1650"/>
    <w:pPr>
      <w:widowControl w:val="0"/>
      <w:snapToGrid w:val="0"/>
      <w:spacing w:before="0" w:after="0"/>
      <w:jc w:val="both"/>
    </w:pPr>
    <w:rPr>
      <w:rFonts w:ascii="Calibri" w:eastAsia="Times New Roman" w:hAnsi="Calibri" w:cs="Arial"/>
      <w:szCs w:val="20"/>
    </w:rPr>
  </w:style>
  <w:style w:type="character" w:customStyle="1" w:styleId="TableTextChar">
    <w:name w:val="Table Text Char"/>
    <w:link w:val="TableText"/>
    <w:locked/>
    <w:rsid w:val="00FA20E8"/>
    <w:rPr>
      <w:rFonts w:ascii="Arial Narrow" w:hAnsi="Arial Narrow"/>
      <w:sz w:val="20"/>
    </w:rPr>
  </w:style>
  <w:style w:type="character" w:customStyle="1" w:styleId="li-content">
    <w:name w:val="li-content"/>
    <w:basedOn w:val="DefaultParagraphFont"/>
    <w:rsid w:val="007C2CC2"/>
    <w:rPr>
      <w:color w:val="000000"/>
    </w:rPr>
  </w:style>
  <w:style w:type="paragraph" w:customStyle="1" w:styleId="errmsgdetails">
    <w:name w:val="errmsgdetails"/>
    <w:basedOn w:val="Normal"/>
    <w:rsid w:val="00696E36"/>
    <w:pPr>
      <w:spacing w:before="100" w:beforeAutospacing="1" w:after="100" w:afterAutospacing="1"/>
    </w:pPr>
    <w:rPr>
      <w:rFonts w:ascii="Times New Roman" w:eastAsia="Times New Roman" w:hAnsi="Times New Roman" w:cs="Times New Roman"/>
      <w:szCs w:val="24"/>
      <w:lang w:eastAsia="en-AU"/>
    </w:rPr>
  </w:style>
  <w:style w:type="character" w:customStyle="1" w:styleId="IBCaptionChar">
    <w:name w:val="IB Caption Char"/>
    <w:aliases w:val="Medical Caption Char,Caption Char1 Char Char Char,Caption Char Char Char Char Char1,Caption Char1 Char Char1,Caption Char Char Char Char Char Char,Caption Char Char Char1,Caption Char Char Char Char1 Char,Caption Char Char1"/>
    <w:basedOn w:val="DefaultParagraphFont"/>
    <w:rsid w:val="000519DC"/>
    <w:rPr>
      <w:rFonts w:ascii="Arial" w:eastAsia="Batang" w:hAnsi="Arial" w:cs="Arial"/>
      <w:b/>
      <w:bCs/>
      <w:lang w:val="en-AU"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COMBodyChar">
    <w:name w:val="COMBody Char"/>
    <w:basedOn w:val="DefaultParagraphFont"/>
    <w:link w:val="COMBody"/>
    <w:locked/>
    <w:rsid w:val="001A1650"/>
    <w:rPr>
      <w:rFonts w:ascii="Calibri" w:eastAsia="Times New Roman" w:hAnsi="Calibri" w:cs="Arial"/>
      <w:sz w:val="24"/>
      <w:szCs w:val="20"/>
    </w:rPr>
  </w:style>
  <w:style w:type="paragraph" w:customStyle="1" w:styleId="COMBody">
    <w:name w:val="COMBody"/>
    <w:basedOn w:val="Normal"/>
    <w:link w:val="COMBodyChar"/>
    <w:qFormat/>
    <w:rsid w:val="001A1650"/>
    <w:pPr>
      <w:widowControl w:val="0"/>
      <w:snapToGrid w:val="0"/>
      <w:spacing w:before="0" w:after="0"/>
      <w:jc w:val="both"/>
    </w:pPr>
    <w:rPr>
      <w:rFonts w:ascii="Calibri" w:eastAsia="Times New Roman" w:hAnsi="Calibri" w:cs="Arial"/>
      <w:szCs w:val="20"/>
    </w:rPr>
  </w:style>
  <w:style w:type="character" w:customStyle="1" w:styleId="TableTextChar">
    <w:name w:val="Table Text Char"/>
    <w:link w:val="TableText"/>
    <w:locked/>
    <w:rsid w:val="00FA20E8"/>
    <w:rPr>
      <w:rFonts w:ascii="Arial Narrow" w:hAnsi="Arial Narrow"/>
      <w:sz w:val="20"/>
    </w:rPr>
  </w:style>
  <w:style w:type="character" w:customStyle="1" w:styleId="li-content">
    <w:name w:val="li-content"/>
    <w:basedOn w:val="DefaultParagraphFont"/>
    <w:rsid w:val="007C2CC2"/>
    <w:rPr>
      <w:color w:val="000000"/>
    </w:rPr>
  </w:style>
  <w:style w:type="paragraph" w:customStyle="1" w:styleId="errmsgdetails">
    <w:name w:val="errmsgdetails"/>
    <w:basedOn w:val="Normal"/>
    <w:rsid w:val="00696E36"/>
    <w:pPr>
      <w:spacing w:before="100" w:beforeAutospacing="1" w:after="100" w:afterAutospacing="1"/>
    </w:pPr>
    <w:rPr>
      <w:rFonts w:ascii="Times New Roman" w:eastAsia="Times New Roman" w:hAnsi="Times New Roman" w:cs="Times New Roman"/>
      <w:szCs w:val="24"/>
      <w:lang w:eastAsia="en-AU"/>
    </w:rPr>
  </w:style>
  <w:style w:type="character" w:customStyle="1" w:styleId="IBCaptionChar">
    <w:name w:val="IB Caption Char"/>
    <w:aliases w:val="Medical Caption Char,Caption Char1 Char Char Char,Caption Char Char Char Char Char1,Caption Char1 Char Char1,Caption Char Char Char Char Char Char,Caption Char Char Char1,Caption Char Char Char Char1 Char,Caption Char Char1"/>
    <w:basedOn w:val="DefaultParagraphFont"/>
    <w:rsid w:val="000519DC"/>
    <w:rPr>
      <w:rFonts w:ascii="Arial" w:eastAsia="Batang" w:hAnsi="Arial" w:cs="Arial"/>
      <w:b/>
      <w:bCs/>
      <w:lang w:val="en-AU"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8158944">
      <w:bodyDiv w:val="1"/>
      <w:marLeft w:val="0"/>
      <w:marRight w:val="0"/>
      <w:marTop w:val="0"/>
      <w:marBottom w:val="0"/>
      <w:divBdr>
        <w:top w:val="none" w:sz="0" w:space="0" w:color="auto"/>
        <w:left w:val="none" w:sz="0" w:space="0" w:color="auto"/>
        <w:bottom w:val="none" w:sz="0" w:space="0" w:color="auto"/>
        <w:right w:val="none" w:sz="0" w:space="0" w:color="auto"/>
      </w:divBdr>
      <w:divsChild>
        <w:div w:id="265506658">
          <w:marLeft w:val="1166"/>
          <w:marRight w:val="0"/>
          <w:marTop w:val="96"/>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58767880">
      <w:bodyDiv w:val="1"/>
      <w:marLeft w:val="0"/>
      <w:marRight w:val="0"/>
      <w:marTop w:val="0"/>
      <w:marBottom w:val="0"/>
      <w:divBdr>
        <w:top w:val="none" w:sz="0" w:space="0" w:color="auto"/>
        <w:left w:val="none" w:sz="0" w:space="0" w:color="auto"/>
        <w:bottom w:val="none" w:sz="0" w:space="0" w:color="auto"/>
        <w:right w:val="none" w:sz="0" w:space="0" w:color="auto"/>
      </w:divBdr>
    </w:div>
    <w:div w:id="552734963">
      <w:bodyDiv w:val="1"/>
      <w:marLeft w:val="0"/>
      <w:marRight w:val="0"/>
      <w:marTop w:val="0"/>
      <w:marBottom w:val="0"/>
      <w:divBdr>
        <w:top w:val="none" w:sz="0" w:space="0" w:color="auto"/>
        <w:left w:val="none" w:sz="0" w:space="0" w:color="auto"/>
        <w:bottom w:val="none" w:sz="0" w:space="0" w:color="auto"/>
        <w:right w:val="none" w:sz="0" w:space="0" w:color="auto"/>
      </w:divBdr>
    </w:div>
    <w:div w:id="683433053">
      <w:bodyDiv w:val="1"/>
      <w:marLeft w:val="0"/>
      <w:marRight w:val="0"/>
      <w:marTop w:val="0"/>
      <w:marBottom w:val="0"/>
      <w:divBdr>
        <w:top w:val="none" w:sz="0" w:space="0" w:color="auto"/>
        <w:left w:val="none" w:sz="0" w:space="0" w:color="auto"/>
        <w:bottom w:val="none" w:sz="0" w:space="0" w:color="auto"/>
        <w:right w:val="none" w:sz="0" w:space="0" w:color="auto"/>
      </w:divBdr>
      <w:divsChild>
        <w:div w:id="890505564">
          <w:marLeft w:val="1166"/>
          <w:marRight w:val="0"/>
          <w:marTop w:val="86"/>
          <w:marBottom w:val="0"/>
          <w:divBdr>
            <w:top w:val="none" w:sz="0" w:space="0" w:color="auto"/>
            <w:left w:val="none" w:sz="0" w:space="0" w:color="auto"/>
            <w:bottom w:val="none" w:sz="0" w:space="0" w:color="auto"/>
            <w:right w:val="none" w:sz="0" w:space="0" w:color="auto"/>
          </w:divBdr>
        </w:div>
      </w:divsChild>
    </w:div>
    <w:div w:id="798378956">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7032737">
      <w:bodyDiv w:val="1"/>
      <w:marLeft w:val="0"/>
      <w:marRight w:val="0"/>
      <w:marTop w:val="0"/>
      <w:marBottom w:val="0"/>
      <w:divBdr>
        <w:top w:val="none" w:sz="0" w:space="0" w:color="auto"/>
        <w:left w:val="none" w:sz="0" w:space="0" w:color="auto"/>
        <w:bottom w:val="none" w:sz="0" w:space="0" w:color="auto"/>
        <w:right w:val="none" w:sz="0" w:space="0" w:color="auto"/>
      </w:divBdr>
    </w:div>
    <w:div w:id="1404449638">
      <w:bodyDiv w:val="1"/>
      <w:marLeft w:val="0"/>
      <w:marRight w:val="0"/>
      <w:marTop w:val="0"/>
      <w:marBottom w:val="0"/>
      <w:divBdr>
        <w:top w:val="none" w:sz="0" w:space="0" w:color="auto"/>
        <w:left w:val="none" w:sz="0" w:space="0" w:color="auto"/>
        <w:bottom w:val="none" w:sz="0" w:space="0" w:color="auto"/>
        <w:right w:val="none" w:sz="0" w:space="0" w:color="auto"/>
      </w:divBdr>
      <w:divsChild>
        <w:div w:id="107353235">
          <w:marLeft w:val="547"/>
          <w:marRight w:val="0"/>
          <w:marTop w:val="106"/>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39134029">
      <w:bodyDiv w:val="1"/>
      <w:marLeft w:val="0"/>
      <w:marRight w:val="0"/>
      <w:marTop w:val="0"/>
      <w:marBottom w:val="0"/>
      <w:divBdr>
        <w:top w:val="none" w:sz="0" w:space="0" w:color="auto"/>
        <w:left w:val="none" w:sz="0" w:space="0" w:color="auto"/>
        <w:bottom w:val="none" w:sz="0" w:space="0" w:color="auto"/>
        <w:right w:val="none" w:sz="0" w:space="0" w:color="auto"/>
      </w:divBdr>
    </w:div>
    <w:div w:id="1466000737">
      <w:bodyDiv w:val="1"/>
      <w:marLeft w:val="0"/>
      <w:marRight w:val="0"/>
      <w:marTop w:val="0"/>
      <w:marBottom w:val="0"/>
      <w:divBdr>
        <w:top w:val="none" w:sz="0" w:space="0" w:color="auto"/>
        <w:left w:val="none" w:sz="0" w:space="0" w:color="auto"/>
        <w:bottom w:val="none" w:sz="0" w:space="0" w:color="auto"/>
        <w:right w:val="none" w:sz="0" w:space="0" w:color="auto"/>
      </w:divBdr>
      <w:divsChild>
        <w:div w:id="1643920905">
          <w:marLeft w:val="547"/>
          <w:marRight w:val="0"/>
          <w:marTop w:val="106"/>
          <w:marBottom w:val="0"/>
          <w:divBdr>
            <w:top w:val="none" w:sz="0" w:space="0" w:color="auto"/>
            <w:left w:val="none" w:sz="0" w:space="0" w:color="auto"/>
            <w:bottom w:val="none" w:sz="0" w:space="0" w:color="auto"/>
            <w:right w:val="none" w:sz="0" w:space="0" w:color="auto"/>
          </w:divBdr>
        </w:div>
        <w:div w:id="1416829540">
          <w:marLeft w:val="1166"/>
          <w:marRight w:val="0"/>
          <w:marTop w:val="86"/>
          <w:marBottom w:val="0"/>
          <w:divBdr>
            <w:top w:val="none" w:sz="0" w:space="0" w:color="auto"/>
            <w:left w:val="none" w:sz="0" w:space="0" w:color="auto"/>
            <w:bottom w:val="none" w:sz="0" w:space="0" w:color="auto"/>
            <w:right w:val="none" w:sz="0" w:space="0" w:color="auto"/>
          </w:divBdr>
        </w:div>
        <w:div w:id="350382101">
          <w:marLeft w:val="1166"/>
          <w:marRight w:val="0"/>
          <w:marTop w:val="86"/>
          <w:marBottom w:val="0"/>
          <w:divBdr>
            <w:top w:val="none" w:sz="0" w:space="0" w:color="auto"/>
            <w:left w:val="none" w:sz="0" w:space="0" w:color="auto"/>
            <w:bottom w:val="none" w:sz="0" w:space="0" w:color="auto"/>
            <w:right w:val="none" w:sz="0" w:space="0" w:color="auto"/>
          </w:divBdr>
        </w:div>
        <w:div w:id="1207792023">
          <w:marLeft w:val="1166"/>
          <w:marRight w:val="0"/>
          <w:marTop w:val="86"/>
          <w:marBottom w:val="0"/>
          <w:divBdr>
            <w:top w:val="none" w:sz="0" w:space="0" w:color="auto"/>
            <w:left w:val="none" w:sz="0" w:space="0" w:color="auto"/>
            <w:bottom w:val="none" w:sz="0" w:space="0" w:color="auto"/>
            <w:right w:val="none" w:sz="0" w:space="0" w:color="auto"/>
          </w:divBdr>
        </w:div>
      </w:divsChild>
    </w:div>
    <w:div w:id="1507012372">
      <w:bodyDiv w:val="1"/>
      <w:marLeft w:val="0"/>
      <w:marRight w:val="0"/>
      <w:marTop w:val="0"/>
      <w:marBottom w:val="0"/>
      <w:divBdr>
        <w:top w:val="none" w:sz="0" w:space="0" w:color="auto"/>
        <w:left w:val="none" w:sz="0" w:space="0" w:color="auto"/>
        <w:bottom w:val="none" w:sz="0" w:space="0" w:color="auto"/>
        <w:right w:val="none" w:sz="0" w:space="0" w:color="auto"/>
      </w:divBdr>
      <w:divsChild>
        <w:div w:id="1990085429">
          <w:marLeft w:val="547"/>
          <w:marRight w:val="0"/>
          <w:marTop w:val="86"/>
          <w:marBottom w:val="0"/>
          <w:divBdr>
            <w:top w:val="none" w:sz="0" w:space="0" w:color="auto"/>
            <w:left w:val="none" w:sz="0" w:space="0" w:color="auto"/>
            <w:bottom w:val="none" w:sz="0" w:space="0" w:color="auto"/>
            <w:right w:val="none" w:sz="0" w:space="0" w:color="auto"/>
          </w:divBdr>
        </w:div>
      </w:divsChild>
    </w:div>
    <w:div w:id="1523784462">
      <w:bodyDiv w:val="1"/>
      <w:marLeft w:val="0"/>
      <w:marRight w:val="0"/>
      <w:marTop w:val="0"/>
      <w:marBottom w:val="0"/>
      <w:divBdr>
        <w:top w:val="none" w:sz="0" w:space="0" w:color="auto"/>
        <w:left w:val="none" w:sz="0" w:space="0" w:color="auto"/>
        <w:bottom w:val="none" w:sz="0" w:space="0" w:color="auto"/>
        <w:right w:val="none" w:sz="0" w:space="0" w:color="auto"/>
      </w:divBdr>
      <w:divsChild>
        <w:div w:id="1247229695">
          <w:marLeft w:val="547"/>
          <w:marRight w:val="0"/>
          <w:marTop w:val="86"/>
          <w:marBottom w:val="0"/>
          <w:divBdr>
            <w:top w:val="none" w:sz="0" w:space="0" w:color="auto"/>
            <w:left w:val="none" w:sz="0" w:space="0" w:color="auto"/>
            <w:bottom w:val="none" w:sz="0" w:space="0" w:color="auto"/>
            <w:right w:val="none" w:sz="0" w:space="0" w:color="auto"/>
          </w:divBdr>
        </w:div>
      </w:divsChild>
    </w:div>
    <w:div w:id="1660231279">
      <w:bodyDiv w:val="1"/>
      <w:marLeft w:val="0"/>
      <w:marRight w:val="0"/>
      <w:marTop w:val="0"/>
      <w:marBottom w:val="0"/>
      <w:divBdr>
        <w:top w:val="none" w:sz="0" w:space="0" w:color="auto"/>
        <w:left w:val="none" w:sz="0" w:space="0" w:color="auto"/>
        <w:bottom w:val="none" w:sz="0" w:space="0" w:color="auto"/>
        <w:right w:val="none" w:sz="0" w:space="0" w:color="auto"/>
      </w:divBdr>
      <w:divsChild>
        <w:div w:id="36858813">
          <w:marLeft w:val="547"/>
          <w:marRight w:val="0"/>
          <w:marTop w:val="115"/>
          <w:marBottom w:val="0"/>
          <w:divBdr>
            <w:top w:val="none" w:sz="0" w:space="0" w:color="auto"/>
            <w:left w:val="none" w:sz="0" w:space="0" w:color="auto"/>
            <w:bottom w:val="none" w:sz="0" w:space="0" w:color="auto"/>
            <w:right w:val="none" w:sz="0" w:space="0" w:color="auto"/>
          </w:divBdr>
        </w:div>
      </w:divsChild>
    </w:div>
    <w:div w:id="1932855812">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4B7A-5547-4B42-9889-8C9F5B62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12415</Words>
  <Characters>70768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2018-03-01T02:35:00Z</dcterms:created>
  <dcterms:modified xsi:type="dcterms:W3CDTF">2018-03-01T02:36:00Z</dcterms:modified>
</cp:coreProperties>
</file>