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E850A7" w:rsidRDefault="00F61963" w:rsidP="00AA3D71">
      <w:pPr>
        <w:ind w:left="992" w:hanging="992"/>
        <w:outlineLvl w:val="0"/>
        <w:rPr>
          <w:b/>
          <w:sz w:val="36"/>
          <w:szCs w:val="36"/>
        </w:rPr>
      </w:pPr>
      <w:bookmarkStart w:id="0" w:name="_GoBack"/>
      <w:bookmarkEnd w:id="0"/>
      <w:r w:rsidRPr="00E850A7">
        <w:rPr>
          <w:b/>
          <w:sz w:val="36"/>
          <w:szCs w:val="36"/>
        </w:rPr>
        <w:t>7.03</w:t>
      </w:r>
      <w:r w:rsidR="00C317F3" w:rsidRPr="00E850A7">
        <w:rPr>
          <w:b/>
          <w:sz w:val="36"/>
          <w:szCs w:val="36"/>
        </w:rPr>
        <w:tab/>
      </w:r>
      <w:r w:rsidR="00F369BB" w:rsidRPr="00E850A7">
        <w:rPr>
          <w:b/>
          <w:sz w:val="36"/>
          <w:szCs w:val="36"/>
        </w:rPr>
        <w:t>EMPAGLIFLOZIN</w:t>
      </w:r>
      <w:r w:rsidR="00524579" w:rsidRPr="00E850A7">
        <w:rPr>
          <w:b/>
          <w:sz w:val="36"/>
          <w:szCs w:val="36"/>
        </w:rPr>
        <w:t xml:space="preserve"> with </w:t>
      </w:r>
      <w:r w:rsidR="00F369BB" w:rsidRPr="00E850A7">
        <w:rPr>
          <w:b/>
          <w:sz w:val="36"/>
          <w:szCs w:val="36"/>
        </w:rPr>
        <w:t>LINAGLIPTIN FDC</w:t>
      </w:r>
      <w:r w:rsidR="00C317F3" w:rsidRPr="00E850A7">
        <w:rPr>
          <w:b/>
          <w:sz w:val="36"/>
          <w:szCs w:val="36"/>
        </w:rPr>
        <w:t>,</w:t>
      </w:r>
      <w:r w:rsidR="009D4C2A" w:rsidRPr="00E850A7">
        <w:rPr>
          <w:b/>
          <w:sz w:val="36"/>
          <w:szCs w:val="36"/>
        </w:rPr>
        <w:br/>
      </w:r>
      <w:r w:rsidR="00F369BB" w:rsidRPr="00E850A7">
        <w:rPr>
          <w:b/>
          <w:sz w:val="36"/>
          <w:szCs w:val="36"/>
        </w:rPr>
        <w:t>25 mg/5 mg and 10 mg/5 mg Tablets</w:t>
      </w:r>
      <w:r w:rsidR="00C317F3" w:rsidRPr="00E850A7">
        <w:rPr>
          <w:b/>
          <w:sz w:val="36"/>
          <w:szCs w:val="36"/>
        </w:rPr>
        <w:t xml:space="preserve">, </w:t>
      </w:r>
      <w:r w:rsidR="009D4C2A" w:rsidRPr="00E850A7">
        <w:rPr>
          <w:b/>
          <w:sz w:val="36"/>
          <w:szCs w:val="36"/>
        </w:rPr>
        <w:br/>
      </w:r>
      <w:r w:rsidR="00F369BB" w:rsidRPr="00E850A7">
        <w:rPr>
          <w:b/>
          <w:sz w:val="36"/>
          <w:szCs w:val="36"/>
        </w:rPr>
        <w:t>Glyxambi</w:t>
      </w:r>
      <w:r w:rsidR="00C317F3" w:rsidRPr="00E850A7">
        <w:rPr>
          <w:b/>
          <w:sz w:val="36"/>
          <w:szCs w:val="36"/>
        </w:rPr>
        <w:t xml:space="preserve">®, </w:t>
      </w:r>
      <w:r w:rsidR="00F369BB" w:rsidRPr="00E850A7">
        <w:rPr>
          <w:b/>
          <w:sz w:val="36"/>
          <w:szCs w:val="36"/>
        </w:rPr>
        <w:t xml:space="preserve">Boehringer Ingelheim </w:t>
      </w:r>
      <w:r w:rsidR="00250BAE" w:rsidRPr="00250BAE">
        <w:rPr>
          <w:b/>
          <w:sz w:val="36"/>
          <w:szCs w:val="36"/>
        </w:rPr>
        <w:t>Pty Ltd</w:t>
      </w:r>
    </w:p>
    <w:p w:rsidR="00C317F3" w:rsidRPr="00E850A7" w:rsidRDefault="00C317F3" w:rsidP="00F06FC0">
      <w:pPr>
        <w:pStyle w:val="Heading1"/>
        <w:ind w:left="709" w:hanging="709"/>
      </w:pPr>
      <w:bookmarkStart w:id="1" w:name="_Toc413139271"/>
      <w:bookmarkStart w:id="2" w:name="_Toc491873473"/>
      <w:r w:rsidRPr="00E850A7">
        <w:t xml:space="preserve">Purpose of </w:t>
      </w:r>
      <w:r w:rsidR="00661286" w:rsidRPr="00E850A7">
        <w:t>a</w:t>
      </w:r>
      <w:r w:rsidRPr="00E850A7">
        <w:t>pplication</w:t>
      </w:r>
      <w:bookmarkEnd w:id="1"/>
      <w:bookmarkEnd w:id="2"/>
    </w:p>
    <w:p w:rsidR="00BB4EDD" w:rsidRPr="00E850A7" w:rsidRDefault="00683CDF" w:rsidP="00350108">
      <w:pPr>
        <w:pStyle w:val="ListParagraph"/>
        <w:numPr>
          <w:ilvl w:val="1"/>
          <w:numId w:val="3"/>
        </w:numPr>
        <w:spacing w:before="0" w:after="120"/>
        <w:jc w:val="both"/>
      </w:pPr>
      <w:r w:rsidRPr="00E850A7">
        <w:t xml:space="preserve">The resubmission requested an Authority Required listing for empagliflozin with linagliptin fixed dose combination (FDC) in combination with metformin, for </w:t>
      </w:r>
      <w:r w:rsidR="003D7ADE" w:rsidRPr="00E850A7">
        <w:t xml:space="preserve">the </w:t>
      </w:r>
      <w:r w:rsidRPr="00E850A7">
        <w:t xml:space="preserve">treatment of Type 2 diabetes in patients </w:t>
      </w:r>
      <w:r w:rsidR="003D7ADE" w:rsidRPr="00E850A7">
        <w:t xml:space="preserve">uncontrolled on metformin and a </w:t>
      </w:r>
      <w:r w:rsidR="00234221" w:rsidRPr="00E850A7">
        <w:t>dipeptidyl peptidase 4 (</w:t>
      </w:r>
      <w:r w:rsidR="003D7ADE" w:rsidRPr="00E850A7">
        <w:t>DPP4</w:t>
      </w:r>
      <w:r w:rsidR="00234221" w:rsidRPr="00E850A7">
        <w:t>)</w:t>
      </w:r>
      <w:r w:rsidR="003D7ADE" w:rsidRPr="00E850A7">
        <w:t xml:space="preserve"> or </w:t>
      </w:r>
      <w:r w:rsidR="00234221" w:rsidRPr="00E850A7">
        <w:t>sodium–glucose co-transporter-2 (</w:t>
      </w:r>
      <w:r w:rsidR="003D7ADE" w:rsidRPr="00E850A7">
        <w:t>SGLT2</w:t>
      </w:r>
      <w:r w:rsidR="00234221" w:rsidRPr="00E850A7">
        <w:t>)</w:t>
      </w:r>
      <w:r w:rsidR="003D7ADE" w:rsidRPr="00E850A7">
        <w:t xml:space="preserve"> inhibitor</w:t>
      </w:r>
      <w:r w:rsidR="00234221" w:rsidRPr="00E850A7">
        <w:t xml:space="preserve">. The requested listing was for patients </w:t>
      </w:r>
      <w:r w:rsidR="003D7ADE" w:rsidRPr="00E850A7">
        <w:t>uncontrolled on a triple therapy including a sulfonylurea</w:t>
      </w:r>
      <w:r w:rsidR="00234221" w:rsidRPr="00E850A7">
        <w:t>,</w:t>
      </w:r>
      <w:r w:rsidR="003D7ADE" w:rsidRPr="00E850A7">
        <w:t xml:space="preserve"> or who have had a clinically important sulfonylurea</w:t>
      </w:r>
      <w:r w:rsidR="00234221" w:rsidRPr="00E850A7">
        <w:t>-</w:t>
      </w:r>
      <w:r w:rsidR="003D7ADE" w:rsidRPr="00E850A7">
        <w:t xml:space="preserve">related adverse event necessitating </w:t>
      </w:r>
      <w:r w:rsidR="00234221" w:rsidRPr="00E850A7">
        <w:t xml:space="preserve">sulfonylurea treatment </w:t>
      </w:r>
      <w:r w:rsidR="003D7ADE" w:rsidRPr="00E850A7">
        <w:t>withdrawa</w:t>
      </w:r>
      <w:r w:rsidR="00234221" w:rsidRPr="00E850A7">
        <w:t>l</w:t>
      </w:r>
      <w:r w:rsidR="001508ED" w:rsidRPr="00E850A7">
        <w:t xml:space="preserve">, or </w:t>
      </w:r>
      <w:r w:rsidR="00234221" w:rsidRPr="00E850A7">
        <w:t xml:space="preserve">who have a </w:t>
      </w:r>
      <w:r w:rsidR="001508ED" w:rsidRPr="00E850A7">
        <w:t>contraindication to sulfonylureas.</w:t>
      </w:r>
      <w:r w:rsidR="00F06FC0" w:rsidRPr="00E850A7">
        <w:t xml:space="preserve"> </w:t>
      </w:r>
      <w:r w:rsidR="001508ED" w:rsidRPr="00E850A7">
        <w:t xml:space="preserve">The PBAC considered </w:t>
      </w:r>
      <w:r w:rsidR="00F06FC0" w:rsidRPr="00E850A7">
        <w:t xml:space="preserve">a similar </w:t>
      </w:r>
      <w:r w:rsidR="009C5DB6" w:rsidRPr="00E850A7">
        <w:t xml:space="preserve">requested </w:t>
      </w:r>
      <w:r w:rsidR="00F06FC0" w:rsidRPr="00E850A7">
        <w:t>listing</w:t>
      </w:r>
      <w:r w:rsidR="001508ED" w:rsidRPr="00E850A7">
        <w:t xml:space="preserve"> at the March 2017 meeting</w:t>
      </w:r>
      <w:r w:rsidR="00234221" w:rsidRPr="00E850A7">
        <w:t>.</w:t>
      </w:r>
    </w:p>
    <w:p w:rsidR="003D7ADE" w:rsidRPr="00E850A7" w:rsidRDefault="003D7ADE" w:rsidP="00350108">
      <w:pPr>
        <w:pStyle w:val="ListParagraph"/>
        <w:numPr>
          <w:ilvl w:val="1"/>
          <w:numId w:val="3"/>
        </w:numPr>
        <w:spacing w:before="0" w:after="120"/>
        <w:jc w:val="both"/>
      </w:pPr>
      <w:r w:rsidRPr="00E850A7">
        <w:t xml:space="preserve">The resubmission also requested an </w:t>
      </w:r>
      <w:r w:rsidR="001508ED" w:rsidRPr="00E850A7">
        <w:t xml:space="preserve">additional </w:t>
      </w:r>
      <w:r w:rsidRPr="00E850A7">
        <w:t xml:space="preserve">Authority Required listing </w:t>
      </w:r>
      <w:r w:rsidR="005F7B4A" w:rsidRPr="00E850A7">
        <w:t xml:space="preserve">for the FDC as dual therapy alone, </w:t>
      </w:r>
      <w:r w:rsidRPr="00E850A7">
        <w:t>for the treatment of Type 2 diabetes in patients with mild to moderate renal impairment</w:t>
      </w:r>
      <w:r w:rsidR="00F06FC0" w:rsidRPr="00E850A7">
        <w:t>,</w:t>
      </w:r>
      <w:r w:rsidRPr="00E850A7">
        <w:t xml:space="preserve"> </w:t>
      </w:r>
      <w:r w:rsidR="001508ED" w:rsidRPr="00E850A7">
        <w:t>uncontrolled on metformin or sulfonylurea monotherapy, or who have had a clinically important sulfonylurea</w:t>
      </w:r>
      <w:r w:rsidR="005F7B4A" w:rsidRPr="00E850A7">
        <w:t>-</w:t>
      </w:r>
      <w:r w:rsidR="001508ED" w:rsidRPr="00E850A7">
        <w:t>related adverse event, or</w:t>
      </w:r>
      <w:r w:rsidR="00013DAA" w:rsidRPr="00E850A7">
        <w:t xml:space="preserve"> who have a</w:t>
      </w:r>
      <w:r w:rsidR="001508ED" w:rsidRPr="00E850A7">
        <w:t xml:space="preserve"> contraindication to sulfonylureas</w:t>
      </w:r>
      <w:r w:rsidR="00263022" w:rsidRPr="00E850A7">
        <w:t>.</w:t>
      </w:r>
    </w:p>
    <w:p w:rsidR="00F06FC0" w:rsidRPr="00E850A7" w:rsidRDefault="00F06FC0" w:rsidP="00350108">
      <w:pPr>
        <w:pStyle w:val="ListParagraph"/>
        <w:numPr>
          <w:ilvl w:val="1"/>
          <w:numId w:val="3"/>
        </w:numPr>
        <w:spacing w:before="0" w:after="120"/>
        <w:jc w:val="both"/>
      </w:pPr>
      <w:r w:rsidRPr="00E850A7">
        <w:t>The key components of the clinical issue addressed in the resubmission are summarised in Table 1.</w:t>
      </w:r>
    </w:p>
    <w:p w:rsidR="00263022" w:rsidRPr="00E850A7" w:rsidRDefault="000D008C" w:rsidP="00F06FC0">
      <w:pPr>
        <w:pStyle w:val="TableHeading0"/>
      </w:pPr>
      <w:r w:rsidRPr="00E850A7">
        <w:lastRenderedPageBreak/>
        <w:t xml:space="preserve">Table 1: Key components of the clinical issue addressed in the </w:t>
      </w:r>
      <w:r w:rsidR="00F06FC0" w:rsidRPr="00E850A7">
        <w:t>re</w:t>
      </w:r>
      <w:r w:rsidRPr="00E850A7">
        <w:t>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696"/>
        <w:gridCol w:w="7484"/>
      </w:tblGrid>
      <w:tr w:rsidR="000D008C" w:rsidRPr="00E850A7" w:rsidTr="00F06FC0">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0D008C" w:rsidRPr="00E850A7" w:rsidRDefault="000D008C" w:rsidP="00F06FC0">
            <w:pPr>
              <w:pStyle w:val="TableText"/>
              <w:rPr>
                <w:b w:val="0"/>
                <w:lang w:val="en-AU"/>
              </w:rPr>
            </w:pPr>
            <w:r w:rsidRPr="00E850A7">
              <w:rPr>
                <w:lang w:val="en-AU"/>
              </w:rPr>
              <w:t>Component</w:t>
            </w:r>
          </w:p>
        </w:tc>
        <w:tc>
          <w:tcPr>
            <w:tcW w:w="7484" w:type="dxa"/>
            <w:shd w:val="clear" w:color="auto" w:fill="auto"/>
          </w:tcPr>
          <w:p w:rsidR="000D008C" w:rsidRPr="00E850A7" w:rsidRDefault="000D008C" w:rsidP="00F06FC0">
            <w:pPr>
              <w:pStyle w:val="TableText"/>
              <w:rPr>
                <w:b w:val="0"/>
                <w:lang w:val="en-AU"/>
              </w:rPr>
            </w:pPr>
            <w:r w:rsidRPr="00E850A7">
              <w:rPr>
                <w:lang w:val="en-AU"/>
              </w:rPr>
              <w:t>Description</w:t>
            </w:r>
          </w:p>
        </w:tc>
      </w:tr>
      <w:tr w:rsidR="000D008C" w:rsidRPr="00E850A7" w:rsidTr="00F06FC0">
        <w:trPr>
          <w:cantSplit/>
        </w:trPr>
        <w:tc>
          <w:tcPr>
            <w:tcW w:w="1696" w:type="dxa"/>
            <w:shd w:val="clear" w:color="auto" w:fill="auto"/>
          </w:tcPr>
          <w:p w:rsidR="000D008C" w:rsidRPr="00E850A7" w:rsidRDefault="000D008C" w:rsidP="00F06FC0">
            <w:pPr>
              <w:pStyle w:val="TableText"/>
              <w:rPr>
                <w:lang w:val="en-AU"/>
              </w:rPr>
            </w:pPr>
            <w:r w:rsidRPr="00E850A7">
              <w:rPr>
                <w:lang w:val="en-AU"/>
              </w:rPr>
              <w:t>Populations</w:t>
            </w:r>
          </w:p>
        </w:tc>
        <w:tc>
          <w:tcPr>
            <w:tcW w:w="7484" w:type="dxa"/>
            <w:shd w:val="clear" w:color="auto" w:fill="auto"/>
          </w:tcPr>
          <w:p w:rsidR="000D008C" w:rsidRPr="00E850A7" w:rsidRDefault="000D008C" w:rsidP="00F06FC0">
            <w:pPr>
              <w:pStyle w:val="TableText"/>
              <w:spacing w:before="0" w:after="0"/>
              <w:rPr>
                <w:lang w:val="en-AU"/>
              </w:rPr>
            </w:pPr>
            <w:r w:rsidRPr="00E850A7">
              <w:rPr>
                <w:lang w:val="en-AU"/>
              </w:rPr>
              <w:t xml:space="preserve">1. Patients with Type 2 diabetes; </w:t>
            </w:r>
          </w:p>
          <w:p w:rsidR="000D008C" w:rsidRPr="00E850A7" w:rsidRDefault="000D008C" w:rsidP="00F06FC0">
            <w:pPr>
              <w:pStyle w:val="TableText"/>
              <w:rPr>
                <w:lang w:val="en-AU"/>
              </w:rPr>
            </w:pPr>
            <w:r w:rsidRPr="00E850A7">
              <w:rPr>
                <w:lang w:val="en-AU"/>
              </w:rPr>
              <w:t>2. Patients with Type 2 diabetes with mild to moderate renal impairment.</w:t>
            </w:r>
          </w:p>
        </w:tc>
      </w:tr>
      <w:tr w:rsidR="000D008C" w:rsidRPr="00E850A7" w:rsidTr="00F06FC0">
        <w:trPr>
          <w:cantSplit/>
        </w:trPr>
        <w:tc>
          <w:tcPr>
            <w:tcW w:w="1696" w:type="dxa"/>
            <w:shd w:val="clear" w:color="auto" w:fill="auto"/>
          </w:tcPr>
          <w:p w:rsidR="000D008C" w:rsidRPr="00E850A7" w:rsidRDefault="000D008C" w:rsidP="00F06FC0">
            <w:pPr>
              <w:pStyle w:val="TableText"/>
              <w:rPr>
                <w:lang w:val="en-AU"/>
              </w:rPr>
            </w:pPr>
            <w:r w:rsidRPr="00E850A7">
              <w:rPr>
                <w:lang w:val="en-AU"/>
              </w:rPr>
              <w:t>Interventions</w:t>
            </w:r>
          </w:p>
        </w:tc>
        <w:tc>
          <w:tcPr>
            <w:tcW w:w="7484" w:type="dxa"/>
            <w:shd w:val="clear" w:color="auto" w:fill="auto"/>
          </w:tcPr>
          <w:p w:rsidR="000D008C" w:rsidRPr="00E850A7" w:rsidRDefault="000D008C" w:rsidP="00F06FC0">
            <w:pPr>
              <w:pStyle w:val="TableText"/>
              <w:rPr>
                <w:lang w:val="en-AU"/>
              </w:rPr>
            </w:pPr>
            <w:r w:rsidRPr="00E850A7">
              <w:rPr>
                <w:lang w:val="en-AU"/>
              </w:rPr>
              <w:t>1. Empagliflozin 25 mg or 10 mg with linagliptin 5 mg FDC, in combination with metformin;</w:t>
            </w:r>
          </w:p>
          <w:p w:rsidR="000D008C" w:rsidRPr="00E850A7" w:rsidRDefault="000D008C" w:rsidP="00F06FC0">
            <w:pPr>
              <w:pStyle w:val="TableText"/>
              <w:rPr>
                <w:lang w:val="en-AU"/>
              </w:rPr>
            </w:pPr>
            <w:r w:rsidRPr="00E850A7">
              <w:rPr>
                <w:lang w:val="en-AU"/>
              </w:rPr>
              <w:t>2. Empagliflozin 25 mg or 10 mg with linagliptin 5 mg FDC, as</w:t>
            </w:r>
            <w:r w:rsidR="00775431" w:rsidRPr="00E850A7">
              <w:rPr>
                <w:lang w:val="en-AU"/>
              </w:rPr>
              <w:t xml:space="preserve"> </w:t>
            </w:r>
            <w:r w:rsidRPr="00E850A7">
              <w:rPr>
                <w:lang w:val="en-AU"/>
              </w:rPr>
              <w:t>dual therapy alone.</w:t>
            </w:r>
          </w:p>
        </w:tc>
      </w:tr>
      <w:tr w:rsidR="000D008C" w:rsidRPr="00E850A7" w:rsidTr="00F06FC0">
        <w:trPr>
          <w:cantSplit/>
        </w:trPr>
        <w:tc>
          <w:tcPr>
            <w:tcW w:w="1696" w:type="dxa"/>
            <w:shd w:val="clear" w:color="auto" w:fill="auto"/>
          </w:tcPr>
          <w:p w:rsidR="000D008C" w:rsidRPr="00E850A7" w:rsidRDefault="000D008C" w:rsidP="00F06FC0">
            <w:pPr>
              <w:pStyle w:val="TableText"/>
              <w:rPr>
                <w:lang w:val="en-AU"/>
              </w:rPr>
            </w:pPr>
            <w:r w:rsidRPr="00E850A7">
              <w:rPr>
                <w:lang w:val="en-AU"/>
              </w:rPr>
              <w:t>Comparators</w:t>
            </w:r>
          </w:p>
        </w:tc>
        <w:tc>
          <w:tcPr>
            <w:tcW w:w="7484" w:type="dxa"/>
            <w:shd w:val="clear" w:color="auto" w:fill="auto"/>
          </w:tcPr>
          <w:p w:rsidR="000D008C" w:rsidRPr="00E850A7" w:rsidRDefault="000D008C" w:rsidP="00F06FC0">
            <w:pPr>
              <w:pStyle w:val="TableText"/>
              <w:tabs>
                <w:tab w:val="left" w:pos="210"/>
              </w:tabs>
              <w:ind w:left="210" w:hanging="210"/>
              <w:rPr>
                <w:lang w:val="en-AU"/>
              </w:rPr>
            </w:pPr>
            <w:r w:rsidRPr="00E850A7">
              <w:rPr>
                <w:lang w:val="en-AU"/>
              </w:rPr>
              <w:t xml:space="preserve">1. </w:t>
            </w:r>
            <w:r w:rsidR="00775431" w:rsidRPr="00E850A7">
              <w:rPr>
                <w:lang w:val="en-AU"/>
              </w:rPr>
              <w:tab/>
            </w:r>
            <w:r w:rsidRPr="00E850A7">
              <w:rPr>
                <w:lang w:val="en-AU"/>
              </w:rPr>
              <w:t xml:space="preserve">Individual component products; </w:t>
            </w:r>
            <w:r w:rsidR="00775431" w:rsidRPr="00E850A7">
              <w:rPr>
                <w:lang w:val="en-AU"/>
              </w:rPr>
              <w:t>i</w:t>
            </w:r>
            <w:r w:rsidRPr="00E850A7">
              <w:rPr>
                <w:lang w:val="en-AU"/>
              </w:rPr>
              <w:t xml:space="preserve">nsulin glargine by subcutaneous injection; </w:t>
            </w:r>
            <w:r w:rsidR="00775431" w:rsidRPr="00E850A7">
              <w:rPr>
                <w:lang w:val="en-AU"/>
              </w:rPr>
              <w:t>e</w:t>
            </w:r>
            <w:r w:rsidRPr="00E850A7">
              <w:rPr>
                <w:lang w:val="en-AU"/>
              </w:rPr>
              <w:t>xenatide 2 mg once weekly by subcutaneous injection</w:t>
            </w:r>
            <w:r w:rsidR="00775431" w:rsidRPr="00E850A7">
              <w:rPr>
                <w:lang w:val="en-AU"/>
              </w:rPr>
              <w:t>; d</w:t>
            </w:r>
            <w:r w:rsidRPr="00E850A7">
              <w:rPr>
                <w:lang w:val="en-AU"/>
              </w:rPr>
              <w:t>apagliflozin with saxagliptin; all in combination with metformin.</w:t>
            </w:r>
          </w:p>
          <w:p w:rsidR="000D008C" w:rsidRPr="00E850A7" w:rsidRDefault="000D008C" w:rsidP="00F06FC0">
            <w:pPr>
              <w:pStyle w:val="TableText"/>
              <w:tabs>
                <w:tab w:val="left" w:pos="210"/>
              </w:tabs>
              <w:ind w:left="210" w:hanging="210"/>
              <w:rPr>
                <w:lang w:val="en-AU"/>
              </w:rPr>
            </w:pPr>
            <w:r w:rsidRPr="00E850A7">
              <w:rPr>
                <w:lang w:val="en-AU"/>
              </w:rPr>
              <w:t>2.</w:t>
            </w:r>
            <w:r w:rsidR="00775431" w:rsidRPr="00E850A7">
              <w:rPr>
                <w:lang w:val="en-AU"/>
              </w:rPr>
              <w:tab/>
            </w:r>
            <w:r w:rsidRPr="00E850A7">
              <w:rPr>
                <w:lang w:val="en-AU"/>
              </w:rPr>
              <w:t>Insulin glargine by subcutaneous injection.</w:t>
            </w:r>
          </w:p>
        </w:tc>
      </w:tr>
      <w:tr w:rsidR="000D008C" w:rsidRPr="00E850A7" w:rsidTr="00F06FC0">
        <w:trPr>
          <w:cantSplit/>
        </w:trPr>
        <w:tc>
          <w:tcPr>
            <w:tcW w:w="1696" w:type="dxa"/>
            <w:shd w:val="clear" w:color="auto" w:fill="auto"/>
          </w:tcPr>
          <w:p w:rsidR="000D008C" w:rsidRPr="00E850A7" w:rsidRDefault="000D008C" w:rsidP="00F06FC0">
            <w:pPr>
              <w:pStyle w:val="TableText"/>
              <w:rPr>
                <w:lang w:val="en-AU"/>
              </w:rPr>
            </w:pPr>
            <w:r w:rsidRPr="00E850A7">
              <w:rPr>
                <w:lang w:val="en-AU"/>
              </w:rPr>
              <w:t>Outcomes</w:t>
            </w:r>
          </w:p>
        </w:tc>
        <w:tc>
          <w:tcPr>
            <w:tcW w:w="7484" w:type="dxa"/>
            <w:shd w:val="clear" w:color="auto" w:fill="auto"/>
          </w:tcPr>
          <w:p w:rsidR="000D008C" w:rsidRPr="00E850A7" w:rsidRDefault="000D008C" w:rsidP="00F06FC0">
            <w:pPr>
              <w:pStyle w:val="TableText"/>
              <w:rPr>
                <w:lang w:val="en-AU"/>
              </w:rPr>
            </w:pPr>
            <w:r w:rsidRPr="00E850A7">
              <w:rPr>
                <w:lang w:val="en-AU"/>
              </w:rPr>
              <w:t>Mean change from baseline in HbA1c, fasting plasma glucose, total body weight</w:t>
            </w:r>
            <w:r w:rsidR="00775431" w:rsidRPr="00E850A7">
              <w:rPr>
                <w:lang w:val="en-AU"/>
              </w:rPr>
              <w:t>; proportion of patients achieving HbA1c &lt; 7.0%.</w:t>
            </w:r>
          </w:p>
        </w:tc>
      </w:tr>
      <w:tr w:rsidR="000D008C" w:rsidRPr="00E850A7" w:rsidTr="00F06FC0">
        <w:trPr>
          <w:cantSplit/>
        </w:trPr>
        <w:tc>
          <w:tcPr>
            <w:tcW w:w="1696" w:type="dxa"/>
            <w:shd w:val="clear" w:color="auto" w:fill="auto"/>
          </w:tcPr>
          <w:p w:rsidR="000D008C" w:rsidRPr="00E850A7" w:rsidRDefault="000D008C" w:rsidP="00F06FC0">
            <w:pPr>
              <w:pStyle w:val="TableText"/>
              <w:rPr>
                <w:lang w:val="en-AU"/>
              </w:rPr>
            </w:pPr>
            <w:r w:rsidRPr="00E850A7">
              <w:rPr>
                <w:lang w:val="en-AU"/>
              </w:rPr>
              <w:t>Clinical claim</w:t>
            </w:r>
          </w:p>
        </w:tc>
        <w:tc>
          <w:tcPr>
            <w:tcW w:w="7484" w:type="dxa"/>
            <w:shd w:val="clear" w:color="auto" w:fill="auto"/>
          </w:tcPr>
          <w:p w:rsidR="000D008C" w:rsidRPr="00E850A7" w:rsidRDefault="00775431" w:rsidP="00F06FC0">
            <w:pPr>
              <w:pStyle w:val="TableText"/>
              <w:tabs>
                <w:tab w:val="left" w:pos="210"/>
              </w:tabs>
              <w:ind w:left="210" w:hanging="210"/>
              <w:rPr>
                <w:lang w:val="en-AU"/>
              </w:rPr>
            </w:pPr>
            <w:r w:rsidRPr="00E850A7">
              <w:rPr>
                <w:lang w:val="en-AU"/>
              </w:rPr>
              <w:t xml:space="preserve">1. </w:t>
            </w:r>
            <w:r w:rsidR="000D008C" w:rsidRPr="00E850A7">
              <w:rPr>
                <w:lang w:val="en-AU"/>
              </w:rPr>
              <w:t xml:space="preserve">The </w:t>
            </w:r>
            <w:r w:rsidRPr="00E850A7">
              <w:rPr>
                <w:lang w:val="en-AU"/>
              </w:rPr>
              <w:t>re</w:t>
            </w:r>
            <w:r w:rsidR="000D008C" w:rsidRPr="00E850A7">
              <w:rPr>
                <w:lang w:val="en-AU"/>
              </w:rPr>
              <w:t xml:space="preserve">submission </w:t>
            </w:r>
            <w:r w:rsidRPr="00E850A7">
              <w:rPr>
                <w:lang w:val="en-AU"/>
              </w:rPr>
              <w:t>claimed superiority to the individual component products (accepted at the March 2017 meeting</w:t>
            </w:r>
            <w:r w:rsidR="002E2100" w:rsidRPr="00E850A7">
              <w:rPr>
                <w:lang w:val="en-AU"/>
              </w:rPr>
              <w:t xml:space="preserve">; </w:t>
            </w:r>
            <w:r w:rsidR="00C070D0" w:rsidRPr="00E850A7">
              <w:rPr>
                <w:lang w:val="en-AU"/>
              </w:rPr>
              <w:t xml:space="preserve">Empagliflozin with linagliptin FDC </w:t>
            </w:r>
            <w:r w:rsidRPr="00E850A7">
              <w:rPr>
                <w:lang w:val="en-AU"/>
              </w:rPr>
              <w:t>PSD</w:t>
            </w:r>
            <w:r w:rsidR="00C070D0" w:rsidRPr="00E850A7">
              <w:rPr>
                <w:lang w:val="en-AU"/>
              </w:rPr>
              <w:t>,</w:t>
            </w:r>
            <w:r w:rsidRPr="00E850A7">
              <w:rPr>
                <w:lang w:val="en-AU"/>
              </w:rPr>
              <w:t xml:space="preserve"> </w:t>
            </w:r>
            <w:r w:rsidR="00EE5FC2" w:rsidRPr="00E850A7">
              <w:rPr>
                <w:lang w:val="en-AU"/>
              </w:rPr>
              <w:t xml:space="preserve">March 2017 </w:t>
            </w:r>
            <w:r w:rsidR="00C070D0" w:rsidRPr="00E850A7">
              <w:rPr>
                <w:lang w:val="en-AU"/>
              </w:rPr>
              <w:t xml:space="preserve">para </w:t>
            </w:r>
            <w:r w:rsidRPr="00E850A7">
              <w:rPr>
                <w:lang w:val="en-AU"/>
              </w:rPr>
              <w:t xml:space="preserve">7.6); noninferiority to insulin glargine (rejected at the March 2017 meeting, </w:t>
            </w:r>
            <w:r w:rsidR="00C070D0" w:rsidRPr="00E850A7">
              <w:rPr>
                <w:lang w:val="en-AU"/>
              </w:rPr>
              <w:t xml:space="preserve">Empagliflozin with linagliptin FDC PSD, </w:t>
            </w:r>
            <w:r w:rsidR="00EE5FC2" w:rsidRPr="00E850A7">
              <w:rPr>
                <w:lang w:val="en-AU"/>
              </w:rPr>
              <w:t xml:space="preserve">March 2017 </w:t>
            </w:r>
            <w:r w:rsidRPr="00E850A7">
              <w:rPr>
                <w:lang w:val="en-AU"/>
              </w:rPr>
              <w:t xml:space="preserve">7.7); noninferiority to exenatide 2 mg once weekly (rejected at the March 2017 meeting, </w:t>
            </w:r>
            <w:r w:rsidR="00C070D0" w:rsidRPr="00E850A7">
              <w:rPr>
                <w:lang w:val="en-AU"/>
              </w:rPr>
              <w:t xml:space="preserve">Empagliflozin with linagliptin FDC PSD, </w:t>
            </w:r>
            <w:r w:rsidR="00EE5FC2" w:rsidRPr="00E850A7">
              <w:rPr>
                <w:lang w:val="en-AU"/>
              </w:rPr>
              <w:t xml:space="preserve">March 2017 </w:t>
            </w:r>
            <w:r w:rsidR="00C070D0" w:rsidRPr="00E850A7">
              <w:rPr>
                <w:lang w:val="en-AU"/>
              </w:rPr>
              <w:t xml:space="preserve">para </w:t>
            </w:r>
            <w:r w:rsidRPr="00E850A7">
              <w:rPr>
                <w:lang w:val="en-AU"/>
              </w:rPr>
              <w:t>7.7); noninferiority to dapagliflozin with saxagliptin.</w:t>
            </w:r>
          </w:p>
          <w:p w:rsidR="00775431" w:rsidRPr="00E850A7" w:rsidRDefault="00775431" w:rsidP="00F06FC0">
            <w:pPr>
              <w:pStyle w:val="TableText"/>
              <w:tabs>
                <w:tab w:val="left" w:pos="210"/>
              </w:tabs>
              <w:ind w:left="210" w:hanging="210"/>
              <w:rPr>
                <w:lang w:val="en-AU"/>
              </w:rPr>
            </w:pPr>
            <w:r w:rsidRPr="00E850A7">
              <w:rPr>
                <w:lang w:val="en-AU"/>
              </w:rPr>
              <w:t xml:space="preserve">2. The resubmission claimed noninferiority to insulin glargine, but presented a comparison versus the individual component products as no relevant insulin glargine trials could be identified. </w:t>
            </w:r>
          </w:p>
        </w:tc>
      </w:tr>
      <w:tr w:rsidR="00775431" w:rsidRPr="00E850A7" w:rsidTr="00F06FC0">
        <w:trPr>
          <w:cantSplit/>
        </w:trPr>
        <w:tc>
          <w:tcPr>
            <w:tcW w:w="1696" w:type="dxa"/>
            <w:shd w:val="clear" w:color="auto" w:fill="auto"/>
          </w:tcPr>
          <w:p w:rsidR="00775431" w:rsidRPr="00E850A7" w:rsidRDefault="00775431" w:rsidP="00F06FC0">
            <w:pPr>
              <w:pStyle w:val="TableText"/>
              <w:rPr>
                <w:lang w:val="en-AU"/>
              </w:rPr>
            </w:pPr>
            <w:r w:rsidRPr="00E850A7">
              <w:rPr>
                <w:lang w:val="en-AU"/>
              </w:rPr>
              <w:t>Economic analysis</w:t>
            </w:r>
          </w:p>
        </w:tc>
        <w:tc>
          <w:tcPr>
            <w:tcW w:w="7484" w:type="dxa"/>
            <w:shd w:val="clear" w:color="auto" w:fill="auto"/>
          </w:tcPr>
          <w:p w:rsidR="00775431" w:rsidRPr="00E850A7" w:rsidRDefault="00F06FC0" w:rsidP="00A320CE">
            <w:pPr>
              <w:pStyle w:val="TableText"/>
              <w:numPr>
                <w:ilvl w:val="0"/>
                <w:numId w:val="27"/>
              </w:numPr>
              <w:tabs>
                <w:tab w:val="left" w:pos="210"/>
              </w:tabs>
              <w:ind w:left="289" w:hanging="289"/>
              <w:rPr>
                <w:lang w:val="en-AU"/>
              </w:rPr>
            </w:pPr>
            <w:r w:rsidRPr="00E850A7">
              <w:rPr>
                <w:lang w:val="en-AU"/>
              </w:rPr>
              <w:t>Cost minimis</w:t>
            </w:r>
            <w:r w:rsidR="00775431" w:rsidRPr="00E850A7">
              <w:rPr>
                <w:lang w:val="en-AU"/>
              </w:rPr>
              <w:t xml:space="preserve">ation </w:t>
            </w:r>
            <w:r w:rsidR="00BB4EDD" w:rsidRPr="00E850A7">
              <w:rPr>
                <w:lang w:val="en-AU"/>
              </w:rPr>
              <w:t xml:space="preserve">analysis </w:t>
            </w:r>
            <w:r w:rsidR="00775431" w:rsidRPr="00E850A7">
              <w:rPr>
                <w:lang w:val="en-AU"/>
              </w:rPr>
              <w:t xml:space="preserve">versus the </w:t>
            </w:r>
            <w:r w:rsidR="00BB4EDD" w:rsidRPr="00E850A7">
              <w:rPr>
                <w:lang w:val="en-AU"/>
              </w:rPr>
              <w:t xml:space="preserve">additive </w:t>
            </w:r>
            <w:r w:rsidR="00775431" w:rsidRPr="00E850A7">
              <w:rPr>
                <w:lang w:val="en-AU"/>
              </w:rPr>
              <w:t>component products</w:t>
            </w:r>
            <w:r w:rsidRPr="00E850A7">
              <w:rPr>
                <w:lang w:val="en-AU"/>
              </w:rPr>
              <w:t>;</w:t>
            </w:r>
          </w:p>
          <w:p w:rsidR="00BB4EDD" w:rsidRPr="00E850A7" w:rsidRDefault="00BB4EDD" w:rsidP="00A320CE">
            <w:pPr>
              <w:pStyle w:val="TableText"/>
              <w:tabs>
                <w:tab w:val="left" w:pos="210"/>
              </w:tabs>
              <w:ind w:left="420" w:hanging="210"/>
              <w:rPr>
                <w:lang w:val="en-AU"/>
              </w:rPr>
            </w:pPr>
            <w:r w:rsidRPr="00E850A7">
              <w:rPr>
                <w:lang w:val="en-AU"/>
              </w:rPr>
              <w:t>Cost minimi</w:t>
            </w:r>
            <w:r w:rsidR="00F06FC0" w:rsidRPr="00E850A7">
              <w:rPr>
                <w:lang w:val="en-AU"/>
              </w:rPr>
              <w:t>s</w:t>
            </w:r>
            <w:r w:rsidRPr="00E850A7">
              <w:rPr>
                <w:lang w:val="en-AU"/>
              </w:rPr>
              <w:t>ation analysis versus insulin glargine; and</w:t>
            </w:r>
          </w:p>
          <w:p w:rsidR="00BB4EDD" w:rsidRPr="00E850A7" w:rsidRDefault="00BB4EDD" w:rsidP="00A320CE">
            <w:pPr>
              <w:pStyle w:val="TableText"/>
              <w:tabs>
                <w:tab w:val="left" w:pos="210"/>
              </w:tabs>
              <w:ind w:left="420" w:hanging="210"/>
              <w:rPr>
                <w:lang w:val="en-AU"/>
              </w:rPr>
            </w:pPr>
            <w:r w:rsidRPr="00E850A7">
              <w:rPr>
                <w:lang w:val="en-AU"/>
              </w:rPr>
              <w:t>Cost minimi</w:t>
            </w:r>
            <w:r w:rsidR="00F06FC0" w:rsidRPr="00E850A7">
              <w:rPr>
                <w:lang w:val="en-AU"/>
              </w:rPr>
              <w:t>s</w:t>
            </w:r>
            <w:r w:rsidRPr="00E850A7">
              <w:rPr>
                <w:lang w:val="en-AU"/>
              </w:rPr>
              <w:t>ation analysis versus exenatide.</w:t>
            </w:r>
          </w:p>
          <w:p w:rsidR="00BC63AD" w:rsidRPr="00E850A7" w:rsidRDefault="00BC63AD" w:rsidP="00A320CE">
            <w:pPr>
              <w:pStyle w:val="TableText"/>
              <w:numPr>
                <w:ilvl w:val="0"/>
                <w:numId w:val="27"/>
              </w:numPr>
              <w:tabs>
                <w:tab w:val="left" w:pos="210"/>
              </w:tabs>
              <w:ind w:left="289" w:hanging="289"/>
              <w:rPr>
                <w:lang w:val="en-AU"/>
              </w:rPr>
            </w:pPr>
            <w:r w:rsidRPr="00E850A7">
              <w:rPr>
                <w:lang w:val="en-AU"/>
              </w:rPr>
              <w:t xml:space="preserve">No economic analysis </w:t>
            </w:r>
            <w:r w:rsidR="00DD2660" w:rsidRPr="00E850A7">
              <w:rPr>
                <w:lang w:val="en-AU"/>
              </w:rPr>
              <w:t xml:space="preserve">was </w:t>
            </w:r>
            <w:r w:rsidRPr="00E850A7">
              <w:rPr>
                <w:lang w:val="en-AU"/>
              </w:rPr>
              <w:t>presented for the additional requested restriction in patients with renal impairment.</w:t>
            </w:r>
          </w:p>
          <w:p w:rsidR="000B2DD0" w:rsidRPr="00E850A7" w:rsidRDefault="000B2DD0" w:rsidP="000B2DD0">
            <w:pPr>
              <w:pStyle w:val="TableText"/>
              <w:tabs>
                <w:tab w:val="left" w:pos="210"/>
              </w:tabs>
              <w:rPr>
                <w:lang w:val="en-AU"/>
              </w:rPr>
            </w:pPr>
            <w:r w:rsidRPr="00E850A7">
              <w:rPr>
                <w:lang w:val="en-AU"/>
              </w:rPr>
              <w:t xml:space="preserve">A </w:t>
            </w:r>
            <w:r w:rsidR="005D428A">
              <w:rPr>
                <w:noProof/>
                <w:color w:val="000000"/>
                <w:highlight w:val="black"/>
                <w:lang w:val="en-AU"/>
              </w:rPr>
              <w:t>'''''''</w:t>
            </w:r>
            <w:r w:rsidRPr="00E850A7">
              <w:rPr>
                <w:lang w:val="en-AU"/>
              </w:rPr>
              <w:t xml:space="preserve">% price reduction in the ex-manufacturer </w:t>
            </w:r>
            <w:r w:rsidR="00633282" w:rsidRPr="00E850A7">
              <w:rPr>
                <w:lang w:val="en-AU"/>
              </w:rPr>
              <w:t xml:space="preserve">price </w:t>
            </w:r>
            <w:r w:rsidRPr="00E850A7">
              <w:rPr>
                <w:lang w:val="en-AU"/>
              </w:rPr>
              <w:t>was offered, compared to the ex-manufacturer price that would result from the sum of the component prices.</w:t>
            </w:r>
            <w:r w:rsidR="00633282" w:rsidRPr="00E850A7">
              <w:rPr>
                <w:lang w:val="en-AU"/>
              </w:rPr>
              <w:t xml:space="preserve">  This was increased to a </w:t>
            </w:r>
            <w:r w:rsidR="005D428A">
              <w:rPr>
                <w:noProof/>
                <w:color w:val="000000"/>
                <w:highlight w:val="black"/>
                <w:lang w:val="en-AU"/>
              </w:rPr>
              <w:t>''''''</w:t>
            </w:r>
            <w:r w:rsidR="00633282" w:rsidRPr="00E850A7">
              <w:rPr>
                <w:lang w:val="en-AU"/>
              </w:rPr>
              <w:t>% price reduction in the pre-PBAC response.</w:t>
            </w:r>
          </w:p>
        </w:tc>
      </w:tr>
    </w:tbl>
    <w:p w:rsidR="000D008C" w:rsidRPr="00E850A7" w:rsidRDefault="000D008C" w:rsidP="00F06FC0">
      <w:pPr>
        <w:pStyle w:val="TableFooter"/>
      </w:pPr>
      <w:r w:rsidRPr="00E850A7">
        <w:t>Source: Constructed during the evaluation</w:t>
      </w:r>
      <w:r w:rsidR="00DE39BF" w:rsidRPr="00E850A7">
        <w:t>.</w:t>
      </w:r>
    </w:p>
    <w:p w:rsidR="00C317F3" w:rsidRPr="00E850A7" w:rsidRDefault="00C317F3" w:rsidP="00F06FC0">
      <w:pPr>
        <w:pStyle w:val="Heading1"/>
        <w:ind w:left="709" w:hanging="709"/>
      </w:pPr>
      <w:bookmarkStart w:id="3" w:name="_Toc413139272"/>
      <w:bookmarkStart w:id="4" w:name="_Toc491873474"/>
      <w:r w:rsidRPr="00E850A7">
        <w:t>Requested listing</w:t>
      </w:r>
      <w:bookmarkEnd w:id="3"/>
      <w:bookmarkEnd w:id="4"/>
      <w:r w:rsidR="005C6285" w:rsidRPr="00E850A7">
        <w:t xml:space="preserve"> </w:t>
      </w:r>
    </w:p>
    <w:p w:rsidR="002001C6" w:rsidRPr="00E850A7" w:rsidRDefault="002001C6" w:rsidP="00F06FC0">
      <w:pPr>
        <w:pStyle w:val="ListParagraph"/>
        <w:numPr>
          <w:ilvl w:val="0"/>
          <w:numId w:val="3"/>
        </w:numPr>
        <w:spacing w:before="200" w:after="120"/>
        <w:rPr>
          <w:rFonts w:ascii="Arial" w:eastAsia="Times New Roman" w:hAnsi="Arial" w:cs="Arial"/>
          <w:b/>
          <w:snapToGrid w:val="0"/>
          <w:vanish/>
          <w:sz w:val="22"/>
        </w:rPr>
      </w:pPr>
    </w:p>
    <w:p w:rsidR="009C5DB6" w:rsidRPr="00E850A7" w:rsidRDefault="00B52714" w:rsidP="00B52714">
      <w:pPr>
        <w:pStyle w:val="ListParagraph"/>
        <w:numPr>
          <w:ilvl w:val="1"/>
          <w:numId w:val="3"/>
        </w:numPr>
        <w:spacing w:before="0" w:after="120"/>
        <w:jc w:val="both"/>
        <w:rPr>
          <w:color w:val="4472C4" w:themeColor="accent5"/>
          <w:szCs w:val="24"/>
        </w:rPr>
      </w:pPr>
      <w:r w:rsidRPr="00E850A7">
        <w:rPr>
          <w:szCs w:val="24"/>
        </w:rPr>
        <w:t>In the March 2017 consideration, the PBAC noted that the requested listing for type 2 diabetes in patients intolerant or with contraindications to a sulfonylurea was both administratively unworkable and unlikely to be adhered to in practice, and that similar requirements for second-line listings of SGLT2 and DPP4 inhibitors had previously been interpreted less strictly in practice than intended and had proven impractical (</w:t>
      </w:r>
      <w:r w:rsidR="00C50232" w:rsidRPr="00E850A7">
        <w:rPr>
          <w:szCs w:val="24"/>
        </w:rPr>
        <w:t>e</w:t>
      </w:r>
      <w:r w:rsidRPr="00E850A7">
        <w:rPr>
          <w:szCs w:val="24"/>
        </w:rPr>
        <w:t>mpagliflozin with linagliptin FDC PSD, March 2017 para 7.3). The Pre</w:t>
      </w:r>
      <w:r w:rsidRPr="00E850A7">
        <w:rPr>
          <w:szCs w:val="24"/>
        </w:rPr>
        <w:noBreakHyphen/>
        <w:t xml:space="preserve">Sub-Committee (PSCR) </w:t>
      </w:r>
      <w:r w:rsidRPr="00E850A7">
        <w:rPr>
          <w:i/>
          <w:szCs w:val="24"/>
        </w:rPr>
        <w:t>and pre-PBAC</w:t>
      </w:r>
      <w:r w:rsidRPr="00E850A7">
        <w:rPr>
          <w:szCs w:val="24"/>
        </w:rPr>
        <w:t xml:space="preserve"> responses indicated that the sponsor would accept the wording and restriction that the PBAC considered most appropriate. </w:t>
      </w:r>
    </w:p>
    <w:p w:rsidR="00B52714" w:rsidRPr="00E850A7" w:rsidRDefault="00B52714" w:rsidP="00B52714">
      <w:pPr>
        <w:pStyle w:val="ListParagraph"/>
        <w:numPr>
          <w:ilvl w:val="1"/>
          <w:numId w:val="3"/>
        </w:numPr>
        <w:spacing w:before="0" w:after="120"/>
        <w:jc w:val="both"/>
        <w:rPr>
          <w:color w:val="4472C4" w:themeColor="accent5"/>
          <w:szCs w:val="24"/>
        </w:rPr>
      </w:pPr>
      <w:r w:rsidRPr="00E850A7">
        <w:rPr>
          <w:szCs w:val="24"/>
        </w:rPr>
        <w:t xml:space="preserve">The PBAC maintained </w:t>
      </w:r>
      <w:r w:rsidR="00633282" w:rsidRPr="00E850A7">
        <w:rPr>
          <w:szCs w:val="24"/>
        </w:rPr>
        <w:t xml:space="preserve">its </w:t>
      </w:r>
      <w:r w:rsidRPr="00E850A7">
        <w:rPr>
          <w:szCs w:val="24"/>
        </w:rPr>
        <w:t>previous view that a restriction requiring sulfonylurea intolerance was not practical, and considered that it would be more appropriate for use of triple therapy with empagliflozin + linagliptin + metformin to be restricted to patients with diabetes uncontrolled on combination therapy that included an SGLT2 or DPP4 inhibitor, s</w:t>
      </w:r>
      <w:r w:rsidR="006B3961" w:rsidRPr="00E850A7">
        <w:rPr>
          <w:szCs w:val="24"/>
        </w:rPr>
        <w:t xml:space="preserve">imilar to that </w:t>
      </w:r>
      <w:r w:rsidRPr="00E850A7">
        <w:rPr>
          <w:szCs w:val="24"/>
        </w:rPr>
        <w:t>outline</w:t>
      </w:r>
      <w:r w:rsidR="009C5DB6" w:rsidRPr="00E850A7">
        <w:rPr>
          <w:szCs w:val="24"/>
        </w:rPr>
        <w:t>d</w:t>
      </w:r>
      <w:r w:rsidRPr="00E850A7">
        <w:rPr>
          <w:szCs w:val="24"/>
        </w:rPr>
        <w:t xml:space="preserve"> below.</w:t>
      </w:r>
    </w:p>
    <w:p w:rsidR="00B52714" w:rsidRPr="00E850A7" w:rsidRDefault="00B52714" w:rsidP="00B52714">
      <w:pPr>
        <w:pStyle w:val="ListParagraph"/>
        <w:numPr>
          <w:ilvl w:val="1"/>
          <w:numId w:val="3"/>
        </w:numPr>
        <w:spacing w:before="0" w:after="120"/>
        <w:jc w:val="both"/>
        <w:rPr>
          <w:color w:val="4472C4" w:themeColor="accent5"/>
          <w:szCs w:val="24"/>
        </w:rPr>
      </w:pPr>
      <w:r w:rsidRPr="00E850A7">
        <w:rPr>
          <w:szCs w:val="24"/>
        </w:rPr>
        <w:t>The resubmission described the additional requested listing as “early treatment in patients with moderate renal impairment (eGFR 45 to 60 mL/min/1.73 m</w:t>
      </w:r>
      <w:r w:rsidRPr="00E850A7">
        <w:rPr>
          <w:szCs w:val="24"/>
          <w:vertAlign w:val="superscript"/>
        </w:rPr>
        <w:t>2</w:t>
      </w:r>
      <w:r w:rsidRPr="00E850A7">
        <w:rPr>
          <w:szCs w:val="24"/>
        </w:rPr>
        <w:t xml:space="preserve">)” (p.23 of </w:t>
      </w:r>
      <w:r w:rsidRPr="00E850A7">
        <w:rPr>
          <w:szCs w:val="24"/>
        </w:rPr>
        <w:lastRenderedPageBreak/>
        <w:t xml:space="preserve">the resubmission), and described the target population as treatment naïve. The requested restriction requires failure of prior treatment with metformin or a sulfonylurea (despite optimal dosing), or intolerance or contraindication to metformin or a sulfonylurea requiring withdrawal of therapy. The PBAC </w:t>
      </w:r>
      <w:r w:rsidR="006B3961" w:rsidRPr="00E850A7">
        <w:rPr>
          <w:szCs w:val="24"/>
        </w:rPr>
        <w:t>noted</w:t>
      </w:r>
      <w:r w:rsidRPr="00E850A7">
        <w:rPr>
          <w:szCs w:val="24"/>
        </w:rPr>
        <w:t xml:space="preserve"> that </w:t>
      </w:r>
      <w:r w:rsidR="006B3961" w:rsidRPr="00E850A7">
        <w:rPr>
          <w:szCs w:val="24"/>
        </w:rPr>
        <w:t xml:space="preserve">the restriction for this patient group would </w:t>
      </w:r>
      <w:r w:rsidR="009C5DB6" w:rsidRPr="00E850A7">
        <w:rPr>
          <w:szCs w:val="24"/>
        </w:rPr>
        <w:t>be difficult to implement in practice</w:t>
      </w:r>
      <w:r w:rsidR="006B3961" w:rsidRPr="00E850A7">
        <w:rPr>
          <w:szCs w:val="24"/>
        </w:rPr>
        <w:t>.</w:t>
      </w:r>
    </w:p>
    <w:p w:rsidR="00A67758" w:rsidRPr="00E850A7" w:rsidRDefault="00A67758" w:rsidP="00A67758">
      <w:pPr>
        <w:pStyle w:val="ListParagraph"/>
        <w:spacing w:before="0" w:after="120"/>
        <w:ind w:left="0"/>
        <w:jc w:val="both"/>
        <w:rPr>
          <w:color w:val="4472C4" w:themeColor="accent5"/>
          <w:szCs w:val="24"/>
        </w:rPr>
      </w:pPr>
    </w:p>
    <w:tbl>
      <w:tblPr>
        <w:tblW w:w="9214" w:type="dxa"/>
        <w:tblInd w:w="108" w:type="dxa"/>
        <w:tblLayout w:type="fixed"/>
        <w:tblLook w:val="0000" w:firstRow="0" w:lastRow="0" w:firstColumn="0" w:lastColumn="0" w:noHBand="0" w:noVBand="0"/>
      </w:tblPr>
      <w:tblGrid>
        <w:gridCol w:w="2835"/>
        <w:gridCol w:w="142"/>
        <w:gridCol w:w="851"/>
        <w:gridCol w:w="567"/>
        <w:gridCol w:w="1134"/>
        <w:gridCol w:w="2268"/>
        <w:gridCol w:w="1417"/>
      </w:tblGrid>
      <w:tr w:rsidR="001F461B" w:rsidRPr="00E850A7" w:rsidTr="004B34ED">
        <w:trPr>
          <w:cantSplit/>
          <w:trHeight w:val="471"/>
        </w:trPr>
        <w:tc>
          <w:tcPr>
            <w:tcW w:w="2977" w:type="dxa"/>
            <w:gridSpan w:val="2"/>
            <w:tcBorders>
              <w:bottom w:val="single" w:sz="4" w:space="0" w:color="auto"/>
            </w:tcBorders>
          </w:tcPr>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Name, Restriction,</w:t>
            </w:r>
          </w:p>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Manner of administration and form</w:t>
            </w:r>
          </w:p>
        </w:tc>
        <w:tc>
          <w:tcPr>
            <w:tcW w:w="851" w:type="dxa"/>
            <w:tcBorders>
              <w:bottom w:val="single" w:sz="4" w:space="0" w:color="auto"/>
            </w:tcBorders>
          </w:tcPr>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Max.</w:t>
            </w:r>
          </w:p>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Qty (packs)</w:t>
            </w:r>
          </w:p>
        </w:tc>
        <w:tc>
          <w:tcPr>
            <w:tcW w:w="567" w:type="dxa"/>
            <w:tcBorders>
              <w:bottom w:val="single" w:sz="4" w:space="0" w:color="auto"/>
            </w:tcBorders>
          </w:tcPr>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№.of</w:t>
            </w:r>
          </w:p>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Rpts</w:t>
            </w:r>
          </w:p>
        </w:tc>
        <w:tc>
          <w:tcPr>
            <w:tcW w:w="1134" w:type="dxa"/>
            <w:tcBorders>
              <w:bottom w:val="single" w:sz="4" w:space="0" w:color="auto"/>
            </w:tcBorders>
          </w:tcPr>
          <w:p w:rsidR="001F461B" w:rsidRPr="00E850A7" w:rsidRDefault="001F461B" w:rsidP="00216E2A">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Dispensed Price for Max. Qty</w:t>
            </w:r>
          </w:p>
        </w:tc>
        <w:tc>
          <w:tcPr>
            <w:tcW w:w="3685" w:type="dxa"/>
            <w:gridSpan w:val="2"/>
            <w:tcBorders>
              <w:bottom w:val="single" w:sz="4" w:space="0" w:color="auto"/>
            </w:tcBorders>
          </w:tcPr>
          <w:p w:rsidR="001F461B" w:rsidRPr="00E850A7" w:rsidRDefault="001F461B" w:rsidP="00216E2A">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Proprietary Name and Manufacturer</w:t>
            </w:r>
          </w:p>
        </w:tc>
      </w:tr>
      <w:tr w:rsidR="001F461B" w:rsidRPr="00E850A7" w:rsidTr="004B34ED">
        <w:trPr>
          <w:cantSplit/>
          <w:trHeight w:val="577"/>
        </w:trPr>
        <w:tc>
          <w:tcPr>
            <w:tcW w:w="2977" w:type="dxa"/>
            <w:gridSpan w:val="2"/>
          </w:tcPr>
          <w:p w:rsidR="001F461B" w:rsidRPr="00E850A7" w:rsidRDefault="001F461B" w:rsidP="00216E2A">
            <w:pPr>
              <w:keepNext/>
              <w:spacing w:before="0" w:after="0"/>
              <w:ind w:left="-108"/>
              <w:jc w:val="both"/>
              <w:rPr>
                <w:rFonts w:ascii="Arial Narrow" w:eastAsia="Times New Roman" w:hAnsi="Arial Narrow" w:cs="Arial"/>
                <w:sz w:val="20"/>
                <w:szCs w:val="20"/>
                <w:lang w:eastAsia="en-AU"/>
              </w:rPr>
            </w:pPr>
            <w:r w:rsidRPr="00E850A7">
              <w:rPr>
                <w:rFonts w:ascii="Arial Narrow" w:eastAsia="Times New Roman" w:hAnsi="Arial Narrow" w:cs="Arial"/>
                <w:smallCaps/>
                <w:sz w:val="20"/>
                <w:szCs w:val="20"/>
                <w:lang w:eastAsia="en-AU"/>
              </w:rPr>
              <w:t>Empagliflozin + linagliptin</w:t>
            </w:r>
          </w:p>
          <w:p w:rsidR="001F461B" w:rsidRPr="00E850A7" w:rsidRDefault="001F461B" w:rsidP="00216E2A">
            <w:pPr>
              <w:keepNext/>
              <w:spacing w:before="0" w:after="0"/>
              <w:ind w:left="-108"/>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empagliflozin 10 mg + linagliptin 5 mg tablet, 30</w:t>
            </w:r>
          </w:p>
          <w:p w:rsidR="001F461B" w:rsidRPr="00E850A7" w:rsidRDefault="001F461B" w:rsidP="00216E2A">
            <w:pPr>
              <w:keepNext/>
              <w:spacing w:before="0" w:after="0"/>
              <w:ind w:left="-108"/>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empagliflozin 25 mg + linagliptin 5 mg tablet, 30</w:t>
            </w:r>
          </w:p>
        </w:tc>
        <w:tc>
          <w:tcPr>
            <w:tcW w:w="851" w:type="dxa"/>
          </w:tcPr>
          <w:p w:rsidR="001F461B" w:rsidRPr="00E850A7" w:rsidRDefault="001F461B" w:rsidP="00216E2A">
            <w:pPr>
              <w:keepNext/>
              <w:spacing w:before="0" w:after="0"/>
              <w:ind w:left="-108"/>
              <w:jc w:val="both"/>
              <w:rPr>
                <w:rFonts w:ascii="Arial Narrow" w:eastAsia="Times New Roman" w:hAnsi="Arial Narrow" w:cs="Arial"/>
                <w:sz w:val="20"/>
                <w:szCs w:val="20"/>
                <w:lang w:eastAsia="en-AU"/>
              </w:rPr>
            </w:pPr>
          </w:p>
          <w:p w:rsidR="001F461B" w:rsidRPr="00E850A7" w:rsidRDefault="001F461B" w:rsidP="00216E2A">
            <w:pPr>
              <w:keepNext/>
              <w:spacing w:before="0" w:after="0"/>
              <w:jc w:val="both"/>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1</w:t>
            </w:r>
          </w:p>
        </w:tc>
        <w:tc>
          <w:tcPr>
            <w:tcW w:w="567" w:type="dxa"/>
          </w:tcPr>
          <w:p w:rsidR="001F461B" w:rsidRPr="00E850A7" w:rsidRDefault="001F461B" w:rsidP="00216E2A">
            <w:pPr>
              <w:keepNext/>
              <w:spacing w:before="0" w:after="0"/>
              <w:ind w:left="-108"/>
              <w:jc w:val="both"/>
              <w:rPr>
                <w:rFonts w:ascii="Arial Narrow" w:eastAsia="Times New Roman" w:hAnsi="Arial Narrow" w:cs="Arial"/>
                <w:sz w:val="20"/>
                <w:szCs w:val="20"/>
                <w:lang w:eastAsia="en-AU"/>
              </w:rPr>
            </w:pPr>
          </w:p>
          <w:p w:rsidR="001F461B" w:rsidRPr="00E850A7" w:rsidRDefault="001F461B" w:rsidP="00216E2A">
            <w:pPr>
              <w:keepNext/>
              <w:spacing w:before="0" w:after="0"/>
              <w:ind w:left="-108"/>
              <w:jc w:val="both"/>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5</w:t>
            </w:r>
          </w:p>
        </w:tc>
        <w:tc>
          <w:tcPr>
            <w:tcW w:w="1134" w:type="dxa"/>
            <w:vAlign w:val="center"/>
          </w:tcPr>
          <w:p w:rsidR="001F461B" w:rsidRPr="00E850A7" w:rsidRDefault="001F461B" w:rsidP="00234645">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w:t>
            </w:r>
            <w:r w:rsidR="005D428A">
              <w:rPr>
                <w:rFonts w:ascii="Arial Narrow" w:eastAsia="Times New Roman" w:hAnsi="Arial Narrow" w:cs="Times New Roman"/>
                <w:noProof/>
                <w:color w:val="000000"/>
                <w:sz w:val="20"/>
                <w:szCs w:val="24"/>
                <w:highlight w:val="black"/>
                <w:lang w:eastAsia="en-AU"/>
              </w:rPr>
              <w:t>''''''''''''</w:t>
            </w:r>
          </w:p>
        </w:tc>
        <w:tc>
          <w:tcPr>
            <w:tcW w:w="2268" w:type="dxa"/>
          </w:tcPr>
          <w:p w:rsidR="001F461B" w:rsidRPr="00E850A7" w:rsidRDefault="001F461B" w:rsidP="00216E2A">
            <w:pPr>
              <w:keepNext/>
              <w:spacing w:before="0" w:after="0"/>
              <w:jc w:val="both"/>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Glyxambi® 10 mg/5 mg</w:t>
            </w:r>
          </w:p>
          <w:p w:rsidR="001F461B" w:rsidRPr="00E850A7" w:rsidRDefault="001F461B" w:rsidP="00216E2A">
            <w:pPr>
              <w:keepNext/>
              <w:spacing w:before="0" w:after="0"/>
              <w:jc w:val="both"/>
              <w:rPr>
                <w:rFonts w:ascii="Arial Narrow" w:eastAsia="Times New Roman" w:hAnsi="Arial Narrow" w:cs="Arial"/>
                <w:sz w:val="20"/>
                <w:szCs w:val="20"/>
                <w:lang w:eastAsia="en-AU"/>
              </w:rPr>
            </w:pPr>
          </w:p>
          <w:p w:rsidR="001F461B" w:rsidRPr="00E850A7" w:rsidRDefault="001F461B" w:rsidP="00216E2A">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Arial"/>
                <w:sz w:val="20"/>
                <w:szCs w:val="20"/>
                <w:lang w:eastAsia="en-AU"/>
              </w:rPr>
              <w:t>Glyxambi® 25 mg/5 mg</w:t>
            </w:r>
          </w:p>
        </w:tc>
        <w:tc>
          <w:tcPr>
            <w:tcW w:w="1417" w:type="dxa"/>
          </w:tcPr>
          <w:p w:rsidR="001F461B" w:rsidRPr="00E850A7" w:rsidRDefault="001F461B" w:rsidP="00216E2A">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BY</w:t>
            </w:r>
          </w:p>
        </w:tc>
      </w:tr>
      <w:tr w:rsidR="001F461B" w:rsidRPr="00E850A7" w:rsidTr="004B34ED">
        <w:trPr>
          <w:cantSplit/>
          <w:trHeight w:val="360"/>
        </w:trPr>
        <w:tc>
          <w:tcPr>
            <w:tcW w:w="9214" w:type="dxa"/>
            <w:gridSpan w:val="7"/>
            <w:tcBorders>
              <w:bottom w:val="single" w:sz="4" w:space="0" w:color="auto"/>
            </w:tcBorders>
          </w:tcPr>
          <w:p w:rsidR="00513C62" w:rsidRPr="00E850A7" w:rsidRDefault="00513C62" w:rsidP="004B34ED">
            <w:pPr>
              <w:pStyle w:val="ListParagraph"/>
              <w:spacing w:before="0" w:after="120"/>
              <w:ind w:left="0"/>
              <w:jc w:val="both"/>
              <w:rPr>
                <w:rFonts w:ascii="Arial Narrow" w:eastAsia="Times New Roman" w:hAnsi="Arial Narrow" w:cs="Arial"/>
                <w:sz w:val="20"/>
                <w:szCs w:val="20"/>
                <w:lang w:eastAsia="en-AU"/>
              </w:rPr>
            </w:pP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GENERAL – General Schedule (Code GE)</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Prescriber type:</w:t>
            </w:r>
          </w:p>
          <w:p w:rsidR="001F461B" w:rsidRPr="00E850A7" w:rsidRDefault="001F461B" w:rsidP="00216E2A">
            <w:pPr>
              <w:spacing w:before="0" w:after="0"/>
              <w:jc w:val="both"/>
              <w:rPr>
                <w:rFonts w:ascii="Arial Narrow" w:eastAsia="Times New Roman" w:hAnsi="Arial Narrow"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 xml:space="preserve">Dental  </w:t>
            </w:r>
            <w:r w:rsidRPr="00E850A7">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 xml:space="preserve">Medical Practitioners  </w:t>
            </w:r>
            <w:r w:rsidRPr="00E850A7">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bookmarkStart w:id="5" w:name="Check3"/>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bookmarkEnd w:id="5"/>
            <w:r w:rsidRPr="00E850A7">
              <w:rPr>
                <w:rFonts w:ascii="Arial Narrow" w:eastAsia="Times New Roman" w:hAnsi="Arial Narrow" w:cs="Arial"/>
                <w:sz w:val="20"/>
                <w:szCs w:val="20"/>
                <w:lang w:eastAsia="en-AU"/>
              </w:rPr>
              <w:t xml:space="preserve">Nurse practitioners  </w:t>
            </w:r>
            <w:r w:rsidRPr="00E850A7">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Optometrists</w:t>
            </w:r>
          </w:p>
          <w:p w:rsidR="001F461B" w:rsidRPr="00E850A7" w:rsidRDefault="001F461B" w:rsidP="00216E2A">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Midwives</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sz w:val="20"/>
                <w:szCs w:val="20"/>
                <w:lang w:eastAsia="en-AU"/>
              </w:rPr>
            </w:pPr>
            <w:r w:rsidRPr="00E850A7">
              <w:rPr>
                <w:rFonts w:ascii="Arial Narrow" w:eastAsia="Times New Roman" w:hAnsi="Arial Narrow"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Diabetes mellitus type 2</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rPr>
                <w:rFonts w:ascii="Arial Narrow" w:eastAsia="Times New Roman" w:hAnsi="Arial Narrow" w:cs="Arial"/>
                <w:sz w:val="20"/>
                <w:szCs w:val="20"/>
                <w:highlight w:val="yellow"/>
                <w:lang w:eastAsia="en-AU"/>
              </w:rPr>
            </w:pPr>
            <w:r w:rsidRPr="00E850A7">
              <w:rPr>
                <w:rFonts w:ascii="Arial Narrow" w:eastAsia="Times New Roman" w:hAnsi="Arial Narrow" w:cs="Arial"/>
                <w:sz w:val="20"/>
                <w:szCs w:val="20"/>
                <w:lang w:eastAsia="en-AU"/>
              </w:rPr>
              <w:fldChar w:fldCharType="begin">
                <w:ffData>
                  <w:name w:val="Check5"/>
                  <w:enabled/>
                  <w:calcOnExit w:val="0"/>
                  <w:checkBox>
                    <w:sizeAuto/>
                    <w:default w:val="1"/>
                  </w:checkBox>
                </w:ffData>
              </w:fldChar>
            </w:r>
            <w:bookmarkStart w:id="6" w:name="Check5"/>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bookmarkEnd w:id="6"/>
            <w:r w:rsidRPr="00E850A7">
              <w:rPr>
                <w:rFonts w:ascii="Arial Narrow" w:eastAsia="Times New Roman" w:hAnsi="Arial Narrow" w:cs="Arial"/>
                <w:sz w:val="20"/>
                <w:szCs w:val="20"/>
                <w:lang w:eastAsia="en-AU"/>
              </w:rPr>
              <w:t>Streamlined</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Clinical criteria:</w:t>
            </w:r>
          </w:p>
          <w:p w:rsidR="001F461B" w:rsidRPr="00E850A7" w:rsidRDefault="001F461B" w:rsidP="00216E2A">
            <w:pPr>
              <w:spacing w:before="0" w:after="0"/>
              <w:jc w:val="both"/>
              <w:rPr>
                <w:rFonts w:ascii="Arial Narrow" w:eastAsia="Times New Roman" w:hAnsi="Arial Narrow" w:cs="Arial"/>
                <w:sz w:val="20"/>
                <w:szCs w:val="20"/>
                <w:lang w:eastAsia="en-AU"/>
              </w:rPr>
            </w:pPr>
          </w:p>
          <w:p w:rsidR="001F461B" w:rsidRPr="00E850A7" w:rsidRDefault="001F461B" w:rsidP="00216E2A">
            <w:pPr>
              <w:spacing w:before="0" w:after="0"/>
              <w:jc w:val="both"/>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treatment must be in combination with metformin.</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AND</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Patient must have previously been stabilised on dual oral therapy which include</w:t>
            </w:r>
            <w:r w:rsidR="00CA368A" w:rsidRPr="00E850A7">
              <w:rPr>
                <w:rFonts w:ascii="Arial Narrow" w:eastAsia="SimSun" w:hAnsi="Arial Narrow" w:cs="Arial Narrow"/>
                <w:sz w:val="20"/>
                <w:szCs w:val="20"/>
              </w:rPr>
              <w:t>d</w:t>
            </w:r>
            <w:r w:rsidRPr="00E850A7">
              <w:rPr>
                <w:rFonts w:ascii="Arial Narrow" w:eastAsia="SimSun" w:hAnsi="Arial Narrow" w:cs="Arial Narrow"/>
                <w:sz w:val="20"/>
                <w:szCs w:val="20"/>
              </w:rPr>
              <w:t xml:space="preserve"> a dipeptidyl peptidase 4 inhibitor (gliptin), </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OR</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Patient must have previously been stabilised on dual oral therapy which include</w:t>
            </w:r>
            <w:r w:rsidR="00CA368A" w:rsidRPr="00E850A7">
              <w:rPr>
                <w:rFonts w:ascii="Arial Narrow" w:eastAsia="SimSun" w:hAnsi="Arial Narrow" w:cs="Arial Narrow"/>
                <w:sz w:val="20"/>
                <w:szCs w:val="20"/>
              </w:rPr>
              <w:t>d</w:t>
            </w:r>
            <w:r w:rsidRPr="00E850A7">
              <w:rPr>
                <w:rFonts w:ascii="Arial Narrow" w:eastAsia="SimSun" w:hAnsi="Arial Narrow" w:cs="Arial Narrow"/>
                <w:sz w:val="20"/>
                <w:szCs w:val="20"/>
              </w:rPr>
              <w:t xml:space="preserve"> a sodium-glucose co-transporter 2 (SGLT2) inhibitor, </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AND</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 xml:space="preserve">Patient must have, or have had, a HbA1c measurement greater than 7% prior to the initiation of triple oral therapy with a gliptin, and an SGLT2 inhibitor; </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OR</w:t>
            </w:r>
          </w:p>
          <w:p w:rsidR="001F461B" w:rsidRPr="00E850A7" w:rsidRDefault="000028D8"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Patient</w:t>
            </w:r>
            <w:r w:rsidR="001F461B" w:rsidRPr="00E850A7">
              <w:rPr>
                <w:rFonts w:ascii="Arial Narrow" w:eastAsia="SimSun" w:hAnsi="Arial Narrow" w:cs="Arial Narrow"/>
                <w:sz w:val="20"/>
                <w:szCs w:val="20"/>
              </w:rPr>
              <w:t xml:space="preserve"> must have, or have had, where HbA1c measurement is clinically inappropriate, blood glucose levels greater than 10 mmol per L in more than 20% of tests over a 2 week period prior to initiation of triple oral therapy with a gliptin, and an SGLT2 inhibitor.</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Prescriber Instructions</w:t>
            </w:r>
          </w:p>
          <w:p w:rsidR="001F461B" w:rsidRPr="00E850A7" w:rsidRDefault="001F461B" w:rsidP="00216E2A">
            <w:pPr>
              <w:spacing w:before="0" w:after="0"/>
              <w:jc w:val="both"/>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date and level of the qualifying HbA1c measurement must be, or must have been, documented in the patient’s medical records at the time triple oral therapy with a gliptin and an SGLT2 inhibitor is initiated.</w:t>
            </w:r>
          </w:p>
          <w:p w:rsidR="001F461B" w:rsidRPr="00E850A7" w:rsidRDefault="001F461B" w:rsidP="00216E2A">
            <w:pPr>
              <w:spacing w:before="40" w:after="60"/>
              <w:jc w:val="both"/>
              <w:rPr>
                <w:rFonts w:ascii="Arial Narrow" w:eastAsia="SimSun" w:hAnsi="Arial Narrow" w:cs="Arial Narrow"/>
                <w:sz w:val="20"/>
                <w:szCs w:val="20"/>
              </w:rPr>
            </w:pP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HbA1c must be no more than 4 months old at the time triple oral therapy with a gliptin and an SGLT2 inhibitor was initiated.</w:t>
            </w:r>
          </w:p>
          <w:p w:rsidR="001F461B" w:rsidRPr="00E850A7" w:rsidRDefault="001F461B" w:rsidP="00216E2A">
            <w:pPr>
              <w:spacing w:before="40" w:after="60"/>
              <w:jc w:val="both"/>
              <w:rPr>
                <w:rFonts w:ascii="Arial Narrow" w:eastAsia="SimSun" w:hAnsi="Arial Narrow" w:cs="Arial Narrow"/>
                <w:sz w:val="20"/>
                <w:szCs w:val="20"/>
              </w:rPr>
            </w:pP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Blood glucose monitoring may be used as an alternative assessment to HbA1c levels in the following circumstances:</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 clinical condition with reduced red blood cell survival, including haemolytic anaemias and haemoglobinopathies; and/or</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Had red cell transfusion within the previous 3 months.</w:t>
            </w:r>
          </w:p>
          <w:p w:rsidR="001F461B" w:rsidRPr="00E850A7" w:rsidRDefault="001F461B" w:rsidP="00216E2A">
            <w:pPr>
              <w:spacing w:before="40" w:after="60"/>
              <w:jc w:val="both"/>
              <w:rPr>
                <w:rFonts w:ascii="Arial Narrow" w:eastAsia="SimSun" w:hAnsi="Arial Narrow" w:cs="Arial Narrow"/>
                <w:sz w:val="20"/>
                <w:szCs w:val="20"/>
              </w:rPr>
            </w:pP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results of the blood glucose monitoring, which must be no more than 4 months old at the time of initiation of triple oral therapy with a gliptin and an SGLT2 inhibitor, must be documented in the patient’s medical records.</w:t>
            </w:r>
          </w:p>
          <w:p w:rsidR="001F461B" w:rsidRPr="00E850A7" w:rsidRDefault="001F461B" w:rsidP="00216E2A">
            <w:pPr>
              <w:spacing w:before="40" w:after="60"/>
              <w:jc w:val="both"/>
              <w:rPr>
                <w:rFonts w:ascii="Arial Narrow" w:eastAsia="SimSun" w:hAnsi="Arial Narrow" w:cs="Arial Narrow"/>
                <w:sz w:val="20"/>
                <w:szCs w:val="20"/>
              </w:rPr>
            </w:pP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 patient whose diabetes was previously demonstrated unable to be controlled with metformin and an SGLT2 inhibitor or gliptin does not need to requalify on this criterion before being eligible for PBS subsidised treatment with this fixed dose combination.</w:t>
            </w:r>
          </w:p>
        </w:tc>
      </w:tr>
      <w:tr w:rsidR="001F461B" w:rsidRPr="00E850A7" w:rsidTr="004B3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F461B" w:rsidRPr="00E850A7" w:rsidRDefault="001F461B" w:rsidP="00216E2A">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Administrative Advice</w:t>
            </w:r>
          </w:p>
          <w:p w:rsidR="001F461B" w:rsidRPr="00E850A7" w:rsidRDefault="001F461B" w:rsidP="00216E2A">
            <w:pPr>
              <w:spacing w:before="0" w:after="0"/>
              <w:jc w:val="both"/>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Note: Continuing Therapy Only:</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1F461B" w:rsidRPr="00E850A7" w:rsidRDefault="001F461B" w:rsidP="00216E2A">
            <w:pPr>
              <w:spacing w:before="40" w:after="60"/>
              <w:jc w:val="both"/>
              <w:rPr>
                <w:rFonts w:ascii="Arial Narrow" w:eastAsia="SimSun" w:hAnsi="Arial Narrow" w:cs="Arial Narrow"/>
                <w:sz w:val="20"/>
                <w:szCs w:val="20"/>
              </w:rPr>
            </w:pP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 xml:space="preserve">Note: </w:t>
            </w:r>
          </w:p>
          <w:p w:rsidR="001F461B" w:rsidRPr="00E850A7" w:rsidRDefault="001F461B" w:rsidP="00216E2A">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This fixed dose combination is not PBS-subsidised for use as initial therapy or in combination with a thiazolidinedione (glitazone), a glucagon-like peptide-1, an insulin, another dipeptidyl peptidase 4 inhibitor (gliptin), or another SGLT2 inhibitor.</w:t>
            </w:r>
          </w:p>
        </w:tc>
      </w:tr>
    </w:tbl>
    <w:p w:rsidR="002E6518" w:rsidRPr="00E850A7" w:rsidRDefault="002E6518" w:rsidP="004B34ED">
      <w:pPr>
        <w:pStyle w:val="ListParagraph"/>
        <w:spacing w:before="0" w:after="120"/>
        <w:ind w:left="0"/>
        <w:jc w:val="both"/>
        <w:rPr>
          <w:color w:val="4472C4" w:themeColor="accent5"/>
          <w:szCs w:val="24"/>
        </w:rPr>
      </w:pPr>
    </w:p>
    <w:p w:rsidR="002E6518" w:rsidRPr="00E850A7" w:rsidRDefault="002E6518" w:rsidP="00B52714">
      <w:pPr>
        <w:pStyle w:val="ListParagraph"/>
        <w:keepNext/>
        <w:spacing w:before="0" w:after="120"/>
        <w:ind w:left="0"/>
        <w:jc w:val="both"/>
        <w:rPr>
          <w:szCs w:val="24"/>
        </w:rPr>
      </w:pPr>
      <w:r w:rsidRPr="00E850A7">
        <w:rPr>
          <w:szCs w:val="24"/>
        </w:rPr>
        <w:t>Requested restriction: renal impairment</w:t>
      </w:r>
    </w:p>
    <w:tbl>
      <w:tblPr>
        <w:tblW w:w="9020" w:type="dxa"/>
        <w:tblInd w:w="80" w:type="dxa"/>
        <w:tblLayout w:type="fixed"/>
        <w:tblCellMar>
          <w:left w:w="28" w:type="dxa"/>
          <w:right w:w="28" w:type="dxa"/>
        </w:tblCellMar>
        <w:tblLook w:val="0000" w:firstRow="0" w:lastRow="0" w:firstColumn="0" w:lastColumn="0" w:noHBand="0" w:noVBand="0"/>
      </w:tblPr>
      <w:tblGrid>
        <w:gridCol w:w="7"/>
        <w:gridCol w:w="1784"/>
        <w:gridCol w:w="1405"/>
        <w:gridCol w:w="577"/>
        <w:gridCol w:w="575"/>
        <w:gridCol w:w="1412"/>
        <w:gridCol w:w="2268"/>
        <w:gridCol w:w="992"/>
      </w:tblGrid>
      <w:tr w:rsidR="002E6518" w:rsidRPr="00E850A7" w:rsidTr="00004E0D">
        <w:trPr>
          <w:cantSplit/>
          <w:trHeight w:val="463"/>
        </w:trPr>
        <w:tc>
          <w:tcPr>
            <w:tcW w:w="3196" w:type="dxa"/>
            <w:gridSpan w:val="3"/>
            <w:tcBorders>
              <w:bottom w:val="single" w:sz="4" w:space="0" w:color="auto"/>
            </w:tcBorders>
            <w:vAlign w:val="center"/>
          </w:tcPr>
          <w:p w:rsidR="002E6518" w:rsidRPr="00E850A7" w:rsidRDefault="002E6518" w:rsidP="00B52714">
            <w:pPr>
              <w:pStyle w:val="TableText"/>
              <w:rPr>
                <w:b/>
              </w:rPr>
            </w:pPr>
            <w:r w:rsidRPr="00E850A7">
              <w:rPr>
                <w:b/>
              </w:rPr>
              <w:t>Name, Restriction,</w:t>
            </w:r>
          </w:p>
          <w:p w:rsidR="002E6518" w:rsidRPr="00E850A7" w:rsidRDefault="002E6518" w:rsidP="00B52714">
            <w:pPr>
              <w:pStyle w:val="TableText"/>
              <w:rPr>
                <w:b/>
              </w:rPr>
            </w:pPr>
            <w:r w:rsidRPr="00E850A7">
              <w:rPr>
                <w:b/>
              </w:rPr>
              <w:t>Manner of administration and form</w:t>
            </w:r>
          </w:p>
        </w:tc>
        <w:tc>
          <w:tcPr>
            <w:tcW w:w="577" w:type="dxa"/>
            <w:tcBorders>
              <w:bottom w:val="single" w:sz="4" w:space="0" w:color="auto"/>
            </w:tcBorders>
            <w:vAlign w:val="center"/>
          </w:tcPr>
          <w:p w:rsidR="002E6518" w:rsidRPr="00E850A7" w:rsidRDefault="002E6518" w:rsidP="00B52714">
            <w:pPr>
              <w:pStyle w:val="TableText"/>
              <w:jc w:val="center"/>
              <w:rPr>
                <w:b/>
              </w:rPr>
            </w:pPr>
            <w:r w:rsidRPr="00E850A7">
              <w:rPr>
                <w:b/>
              </w:rPr>
              <w:t>Max.</w:t>
            </w:r>
          </w:p>
          <w:p w:rsidR="002E6518" w:rsidRPr="00E850A7" w:rsidRDefault="002E6518" w:rsidP="00B52714">
            <w:pPr>
              <w:pStyle w:val="TableText"/>
              <w:jc w:val="center"/>
              <w:rPr>
                <w:b/>
              </w:rPr>
            </w:pPr>
            <w:r w:rsidRPr="00E850A7">
              <w:rPr>
                <w:b/>
              </w:rPr>
              <w:t>Qty</w:t>
            </w:r>
          </w:p>
        </w:tc>
        <w:tc>
          <w:tcPr>
            <w:tcW w:w="575" w:type="dxa"/>
            <w:tcBorders>
              <w:bottom w:val="single" w:sz="4" w:space="0" w:color="auto"/>
            </w:tcBorders>
            <w:vAlign w:val="center"/>
          </w:tcPr>
          <w:p w:rsidR="002E6518" w:rsidRPr="00E850A7" w:rsidRDefault="002E6518" w:rsidP="00B52714">
            <w:pPr>
              <w:pStyle w:val="TableText"/>
              <w:jc w:val="center"/>
              <w:rPr>
                <w:b/>
              </w:rPr>
            </w:pPr>
            <w:r w:rsidRPr="00E850A7">
              <w:rPr>
                <w:b/>
              </w:rPr>
              <w:t>№.of</w:t>
            </w:r>
          </w:p>
          <w:p w:rsidR="002E6518" w:rsidRPr="00E850A7" w:rsidRDefault="002E6518" w:rsidP="00B52714">
            <w:pPr>
              <w:pStyle w:val="TableText"/>
              <w:jc w:val="center"/>
              <w:rPr>
                <w:b/>
              </w:rPr>
            </w:pPr>
            <w:r w:rsidRPr="00E850A7">
              <w:rPr>
                <w:b/>
              </w:rPr>
              <w:t>Rpts</w:t>
            </w:r>
          </w:p>
        </w:tc>
        <w:tc>
          <w:tcPr>
            <w:tcW w:w="1412" w:type="dxa"/>
            <w:tcBorders>
              <w:bottom w:val="single" w:sz="4" w:space="0" w:color="auto"/>
            </w:tcBorders>
            <w:vAlign w:val="center"/>
          </w:tcPr>
          <w:p w:rsidR="002E6518" w:rsidRPr="00E850A7" w:rsidRDefault="002E6518" w:rsidP="00B52714">
            <w:pPr>
              <w:pStyle w:val="TableText"/>
              <w:jc w:val="center"/>
              <w:rPr>
                <w:b/>
              </w:rPr>
            </w:pPr>
            <w:r w:rsidRPr="00E850A7">
              <w:rPr>
                <w:b/>
              </w:rPr>
              <w:t>Dispensed Price for Max. Qty</w:t>
            </w:r>
          </w:p>
        </w:tc>
        <w:tc>
          <w:tcPr>
            <w:tcW w:w="3260" w:type="dxa"/>
            <w:gridSpan w:val="2"/>
            <w:tcBorders>
              <w:bottom w:val="single" w:sz="4" w:space="0" w:color="auto"/>
            </w:tcBorders>
            <w:vAlign w:val="center"/>
          </w:tcPr>
          <w:p w:rsidR="002E6518" w:rsidRPr="00E850A7" w:rsidRDefault="002E6518" w:rsidP="00B52714">
            <w:pPr>
              <w:pStyle w:val="TableText"/>
              <w:jc w:val="center"/>
              <w:rPr>
                <w:b/>
              </w:rPr>
            </w:pPr>
            <w:r w:rsidRPr="00E850A7">
              <w:rPr>
                <w:b/>
              </w:rPr>
              <w:t>Proprietary Name and Manufacturer</w:t>
            </w:r>
          </w:p>
        </w:tc>
      </w:tr>
      <w:tr w:rsidR="002E6518" w:rsidRPr="00E850A7" w:rsidTr="00004E0D">
        <w:trPr>
          <w:cantSplit/>
          <w:trHeight w:val="567"/>
        </w:trPr>
        <w:tc>
          <w:tcPr>
            <w:tcW w:w="3196" w:type="dxa"/>
            <w:gridSpan w:val="3"/>
            <w:vAlign w:val="center"/>
          </w:tcPr>
          <w:p w:rsidR="002E6518" w:rsidRPr="00E850A7" w:rsidRDefault="002E6518" w:rsidP="00216E2A">
            <w:pPr>
              <w:keepNext/>
              <w:keepLines/>
              <w:spacing w:before="40" w:after="40"/>
              <w:rPr>
                <w:rFonts w:ascii="Arial Narrow" w:hAnsi="Arial Narrow"/>
                <w:sz w:val="20"/>
              </w:rPr>
            </w:pPr>
            <w:r w:rsidRPr="00E850A7">
              <w:rPr>
                <w:rFonts w:ascii="Arial Narrow" w:hAnsi="Arial Narrow"/>
                <w:smallCaps/>
                <w:sz w:val="20"/>
              </w:rPr>
              <w:t>Empagliflozin 10 mg / linagliptin 5 mg</w:t>
            </w:r>
          </w:p>
          <w:p w:rsidR="002E6518" w:rsidRPr="00E850A7" w:rsidRDefault="002E6518" w:rsidP="00216E2A">
            <w:pPr>
              <w:pStyle w:val="TableText"/>
            </w:pPr>
            <w:r w:rsidRPr="00E850A7">
              <w:rPr>
                <w:smallCaps/>
              </w:rPr>
              <w:t>Empagliflozin 25 mg / linagliptin 5 mg</w:t>
            </w:r>
          </w:p>
        </w:tc>
        <w:tc>
          <w:tcPr>
            <w:tcW w:w="577" w:type="dxa"/>
            <w:vAlign w:val="center"/>
          </w:tcPr>
          <w:p w:rsidR="002E6518" w:rsidRPr="00E850A7" w:rsidRDefault="002E6518" w:rsidP="00216E2A">
            <w:pPr>
              <w:keepNext/>
              <w:keepLines/>
              <w:spacing w:before="40" w:after="40"/>
              <w:jc w:val="center"/>
              <w:rPr>
                <w:rFonts w:ascii="Arial Narrow" w:hAnsi="Arial Narrow"/>
                <w:sz w:val="20"/>
              </w:rPr>
            </w:pPr>
            <w:r w:rsidRPr="00E850A7">
              <w:rPr>
                <w:rFonts w:ascii="Arial Narrow" w:hAnsi="Arial Narrow"/>
                <w:sz w:val="20"/>
              </w:rPr>
              <w:t>30</w:t>
            </w:r>
          </w:p>
          <w:p w:rsidR="002E6518" w:rsidRPr="00E850A7" w:rsidRDefault="002E6518" w:rsidP="00216E2A">
            <w:pPr>
              <w:pStyle w:val="TableText"/>
              <w:jc w:val="center"/>
            </w:pPr>
            <w:r w:rsidRPr="00E850A7">
              <w:t>30</w:t>
            </w:r>
          </w:p>
        </w:tc>
        <w:tc>
          <w:tcPr>
            <w:tcW w:w="575" w:type="dxa"/>
            <w:vAlign w:val="center"/>
          </w:tcPr>
          <w:p w:rsidR="002E6518" w:rsidRPr="00E850A7" w:rsidRDefault="002E6518" w:rsidP="00216E2A">
            <w:pPr>
              <w:keepNext/>
              <w:keepLines/>
              <w:spacing w:before="40" w:after="40"/>
              <w:jc w:val="center"/>
              <w:rPr>
                <w:rFonts w:ascii="Arial Narrow" w:hAnsi="Arial Narrow"/>
                <w:sz w:val="20"/>
              </w:rPr>
            </w:pPr>
            <w:r w:rsidRPr="00E850A7">
              <w:rPr>
                <w:rFonts w:ascii="Arial Narrow" w:hAnsi="Arial Narrow"/>
                <w:sz w:val="20"/>
              </w:rPr>
              <w:t>5</w:t>
            </w:r>
          </w:p>
          <w:p w:rsidR="002E6518" w:rsidRPr="00E850A7" w:rsidRDefault="002E6518" w:rsidP="00216E2A">
            <w:pPr>
              <w:pStyle w:val="TableText"/>
              <w:jc w:val="center"/>
            </w:pPr>
            <w:r w:rsidRPr="00E850A7">
              <w:t>5</w:t>
            </w:r>
          </w:p>
        </w:tc>
        <w:tc>
          <w:tcPr>
            <w:tcW w:w="1412" w:type="dxa"/>
            <w:vAlign w:val="center"/>
          </w:tcPr>
          <w:p w:rsidR="002E6518" w:rsidRPr="00E850A7" w:rsidRDefault="002E6518" w:rsidP="00216E2A">
            <w:pPr>
              <w:keepNext/>
              <w:keepLines/>
              <w:spacing w:before="40" w:after="40"/>
              <w:jc w:val="center"/>
              <w:rPr>
                <w:rFonts w:ascii="Arial Narrow" w:hAnsi="Arial Narrow"/>
                <w:sz w:val="20"/>
              </w:rPr>
            </w:pPr>
            <w:r w:rsidRPr="00E850A7">
              <w:rPr>
                <w:rFonts w:ascii="Arial Narrow" w:hAnsi="Arial Narrow"/>
                <w:sz w:val="20"/>
              </w:rPr>
              <w:t>$</w:t>
            </w:r>
            <w:r w:rsidR="005D428A">
              <w:rPr>
                <w:rFonts w:ascii="Arial Narrow" w:hAnsi="Arial Narrow"/>
                <w:noProof/>
                <w:color w:val="000000"/>
                <w:sz w:val="20"/>
                <w:highlight w:val="black"/>
              </w:rPr>
              <w:t>''''''''''''''</w:t>
            </w:r>
          </w:p>
          <w:p w:rsidR="002E6518" w:rsidRPr="00E850A7" w:rsidRDefault="002E6518" w:rsidP="00216E2A">
            <w:pPr>
              <w:pStyle w:val="TableText"/>
              <w:jc w:val="center"/>
            </w:pPr>
            <w:r w:rsidRPr="00E850A7">
              <w:t>$</w:t>
            </w:r>
            <w:r w:rsidR="005D428A">
              <w:rPr>
                <w:noProof/>
                <w:color w:val="000000"/>
                <w:highlight w:val="black"/>
              </w:rPr>
              <w:t>'''''''''''''</w:t>
            </w:r>
          </w:p>
        </w:tc>
        <w:tc>
          <w:tcPr>
            <w:tcW w:w="2268" w:type="dxa"/>
            <w:vAlign w:val="center"/>
          </w:tcPr>
          <w:p w:rsidR="002E6518" w:rsidRPr="00E850A7" w:rsidRDefault="002E6518" w:rsidP="00216E2A">
            <w:pPr>
              <w:pStyle w:val="Tabletext0"/>
              <w:keepNext/>
              <w:keepLines/>
              <w:spacing w:before="40" w:after="40"/>
              <w:jc w:val="center"/>
            </w:pPr>
            <w:r w:rsidRPr="00E850A7">
              <w:t>Glyxambi</w:t>
            </w:r>
            <w:r w:rsidRPr="00E850A7">
              <w:rPr>
                <w:vertAlign w:val="superscript"/>
              </w:rPr>
              <w:t xml:space="preserve">® </w:t>
            </w:r>
            <w:r w:rsidRPr="00E850A7">
              <w:t>10 mg / 5 mg</w:t>
            </w:r>
          </w:p>
          <w:p w:rsidR="002E6518" w:rsidRPr="00E850A7" w:rsidRDefault="002E6518" w:rsidP="00216E2A">
            <w:pPr>
              <w:pStyle w:val="TableText"/>
              <w:jc w:val="center"/>
            </w:pPr>
            <w:r w:rsidRPr="00E850A7">
              <w:t>Glyxambi</w:t>
            </w:r>
            <w:r w:rsidRPr="00E850A7">
              <w:rPr>
                <w:vertAlign w:val="superscript"/>
              </w:rPr>
              <w:t xml:space="preserve">® </w:t>
            </w:r>
            <w:r w:rsidRPr="00E850A7">
              <w:t>25 mg / 5 mg</w:t>
            </w:r>
          </w:p>
        </w:tc>
        <w:tc>
          <w:tcPr>
            <w:tcW w:w="992" w:type="dxa"/>
            <w:vAlign w:val="center"/>
          </w:tcPr>
          <w:p w:rsidR="002E6518" w:rsidRPr="00E850A7" w:rsidRDefault="002E6518" w:rsidP="00216E2A">
            <w:pPr>
              <w:pStyle w:val="TableText"/>
              <w:jc w:val="center"/>
            </w:pPr>
            <w:r w:rsidRPr="00E850A7">
              <w:t>Boehringer Ingelheim</w:t>
            </w:r>
          </w:p>
        </w:tc>
      </w:tr>
      <w:tr w:rsidR="002E6518" w:rsidRPr="00E850A7" w:rsidTr="00004E0D">
        <w:tblPrEx>
          <w:tblCellMar>
            <w:left w:w="108" w:type="dxa"/>
            <w:right w:w="108" w:type="dxa"/>
          </w:tblCellMar>
        </w:tblPrEx>
        <w:trPr>
          <w:gridBefore w:val="1"/>
          <w:wBefore w:w="7" w:type="dxa"/>
          <w:cantSplit/>
          <w:trHeight w:val="360"/>
        </w:trPr>
        <w:tc>
          <w:tcPr>
            <w:tcW w:w="1784" w:type="dxa"/>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pPr>
            <w:r w:rsidRPr="00E850A7">
              <w:t>Category / Program:</w:t>
            </w:r>
          </w:p>
        </w:tc>
        <w:tc>
          <w:tcPr>
            <w:tcW w:w="7229" w:type="dxa"/>
            <w:gridSpan w:val="6"/>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pPr>
            <w:r w:rsidRPr="00E850A7">
              <w:t>General Schedule</w:t>
            </w:r>
          </w:p>
        </w:tc>
      </w:tr>
      <w:tr w:rsidR="002E6518" w:rsidRPr="00E850A7" w:rsidTr="00004E0D">
        <w:tblPrEx>
          <w:tblCellMar>
            <w:left w:w="108" w:type="dxa"/>
            <w:right w:w="108" w:type="dxa"/>
          </w:tblCellMar>
        </w:tblPrEx>
        <w:trPr>
          <w:gridBefore w:val="1"/>
          <w:wBefore w:w="7" w:type="dxa"/>
          <w:cantSplit/>
          <w:trHeight w:val="244"/>
        </w:trPr>
        <w:tc>
          <w:tcPr>
            <w:tcW w:w="1784" w:type="dxa"/>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pPr>
            <w:r w:rsidRPr="00E850A7">
              <w:t>Restriction:</w:t>
            </w:r>
          </w:p>
        </w:tc>
        <w:tc>
          <w:tcPr>
            <w:tcW w:w="7229" w:type="dxa"/>
            <w:gridSpan w:val="6"/>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pPr>
            <w:r w:rsidRPr="00E850A7">
              <w:t xml:space="preserve">Authority Required </w:t>
            </w:r>
          </w:p>
        </w:tc>
      </w:tr>
      <w:tr w:rsidR="002E6518" w:rsidRPr="00E850A7" w:rsidTr="00004E0D">
        <w:tblPrEx>
          <w:tblCellMar>
            <w:left w:w="108" w:type="dxa"/>
            <w:right w:w="108" w:type="dxa"/>
          </w:tblCellMar>
        </w:tblPrEx>
        <w:trPr>
          <w:gridBefore w:val="1"/>
          <w:wBefore w:w="7" w:type="dxa"/>
          <w:cantSplit/>
          <w:trHeight w:val="360"/>
        </w:trPr>
        <w:tc>
          <w:tcPr>
            <w:tcW w:w="1784" w:type="dxa"/>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rPr>
                <w:rFonts w:ascii="Times" w:eastAsia="Times New Roman" w:hAnsi="Times" w:cs="Times New Roman"/>
                <w:szCs w:val="20"/>
              </w:rPr>
            </w:pPr>
            <w:r w:rsidRPr="00E850A7">
              <w:t>PBS Indication:</w:t>
            </w:r>
          </w:p>
        </w:tc>
        <w:tc>
          <w:tcPr>
            <w:tcW w:w="7229" w:type="dxa"/>
            <w:gridSpan w:val="6"/>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pPr>
            <w:r w:rsidRPr="00E850A7">
              <w:t>Type 2 diabetes mellitus</w:t>
            </w:r>
          </w:p>
        </w:tc>
      </w:tr>
      <w:tr w:rsidR="002E6518" w:rsidRPr="00E850A7" w:rsidTr="00004E0D">
        <w:tblPrEx>
          <w:tblCellMar>
            <w:left w:w="108" w:type="dxa"/>
            <w:right w:w="108" w:type="dxa"/>
          </w:tblCellMar>
        </w:tblPrEx>
        <w:trPr>
          <w:gridBefore w:val="1"/>
          <w:wBefore w:w="7" w:type="dxa"/>
          <w:cantSplit/>
          <w:trHeight w:val="360"/>
        </w:trPr>
        <w:tc>
          <w:tcPr>
            <w:tcW w:w="1784" w:type="dxa"/>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rPr>
                <w:rFonts w:ascii="Times" w:eastAsia="Times New Roman" w:hAnsi="Times" w:cs="Times New Roman"/>
                <w:szCs w:val="20"/>
              </w:rPr>
            </w:pPr>
            <w:r w:rsidRPr="00E850A7">
              <w:t>Clinical criteria:</w:t>
            </w:r>
          </w:p>
        </w:tc>
        <w:tc>
          <w:tcPr>
            <w:tcW w:w="7229" w:type="dxa"/>
            <w:gridSpan w:val="6"/>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tabs>
                <w:tab w:val="left" w:pos="210"/>
              </w:tabs>
              <w:ind w:left="210" w:hanging="210"/>
            </w:pPr>
            <w:r w:rsidRPr="00E850A7">
              <w:tab/>
              <w:t>Dual therapy in treatment naïve patients with mild to moderate renal impairment (eGFR ≥ 45 &lt;60 mL/min/1.73 m</w:t>
            </w:r>
            <w:r w:rsidRPr="00E850A7">
              <w:rPr>
                <w:vertAlign w:val="superscript"/>
              </w:rPr>
              <w:t>2)</w:t>
            </w:r>
            <w:r w:rsidRPr="00E850A7">
              <w:t>, uncontrolled on metformin or sulfonylurea monotherapy, or who have had a clinically important sulfonylurea related adverse event during treatment with a metformin or a sulfonylurea, or contraindication to sulfonylureas, as dual therapy alone. Must be the sole treatment.</w:t>
            </w:r>
          </w:p>
        </w:tc>
      </w:tr>
      <w:tr w:rsidR="002E6518" w:rsidRPr="00E850A7" w:rsidTr="00004E0D">
        <w:tblPrEx>
          <w:tblCellMar>
            <w:left w:w="108" w:type="dxa"/>
            <w:right w:w="108" w:type="dxa"/>
          </w:tblCellMar>
        </w:tblPrEx>
        <w:trPr>
          <w:gridBefore w:val="1"/>
          <w:wBefore w:w="7" w:type="dxa"/>
          <w:cantSplit/>
          <w:trHeight w:val="360"/>
        </w:trPr>
        <w:tc>
          <w:tcPr>
            <w:tcW w:w="1784" w:type="dxa"/>
            <w:tcBorders>
              <w:top w:val="single" w:sz="4" w:space="0" w:color="auto"/>
              <w:left w:val="single" w:sz="4" w:space="0" w:color="auto"/>
              <w:bottom w:val="single" w:sz="4" w:space="0" w:color="auto"/>
              <w:right w:val="single" w:sz="4" w:space="0" w:color="auto"/>
            </w:tcBorders>
          </w:tcPr>
          <w:p w:rsidR="002E6518" w:rsidRPr="00E850A7" w:rsidRDefault="002E6518" w:rsidP="00216E2A">
            <w:pPr>
              <w:pStyle w:val="TableText"/>
              <w:rPr>
                <w:rFonts w:ascii="Times" w:eastAsia="Times New Roman" w:hAnsi="Times" w:cs="Times New Roman"/>
                <w:szCs w:val="20"/>
              </w:rPr>
            </w:pPr>
            <w:r w:rsidRPr="00E850A7">
              <w:t>Prescriber Instructions</w:t>
            </w:r>
          </w:p>
        </w:tc>
        <w:tc>
          <w:tcPr>
            <w:tcW w:w="7229" w:type="dxa"/>
            <w:gridSpan w:val="6"/>
            <w:tcBorders>
              <w:top w:val="single" w:sz="4" w:space="0" w:color="auto"/>
              <w:left w:val="single" w:sz="4" w:space="0" w:color="auto"/>
              <w:bottom w:val="single" w:sz="4" w:space="0" w:color="auto"/>
              <w:right w:val="single" w:sz="4" w:space="0" w:color="auto"/>
            </w:tcBorders>
          </w:tcPr>
          <w:p w:rsidR="002E6518" w:rsidRPr="00E850A7" w:rsidRDefault="002E6518" w:rsidP="00216E2A">
            <w:pPr>
              <w:spacing w:before="40" w:after="40"/>
              <w:rPr>
                <w:rFonts w:ascii="Arial Narrow" w:hAnsi="Arial Narrow"/>
                <w:sz w:val="20"/>
              </w:rPr>
            </w:pPr>
            <w:r w:rsidRPr="00E850A7">
              <w:rPr>
                <w:rFonts w:ascii="Arial Narrow" w:hAnsi="Arial Narrow"/>
                <w:sz w:val="20"/>
              </w:rPr>
              <w:t>A clinically important sulfonylurea related adverse event is defined as follows:</w:t>
            </w:r>
          </w:p>
          <w:p w:rsidR="002E6518" w:rsidRPr="00E850A7" w:rsidRDefault="002E6518" w:rsidP="00216E2A">
            <w:pPr>
              <w:pStyle w:val="ListParagraph"/>
              <w:numPr>
                <w:ilvl w:val="0"/>
                <w:numId w:val="19"/>
              </w:numPr>
              <w:tabs>
                <w:tab w:val="left" w:pos="458"/>
              </w:tabs>
              <w:spacing w:before="40" w:after="40"/>
              <w:ind w:left="636"/>
              <w:rPr>
                <w:rFonts w:ascii="Arial Narrow" w:hAnsi="Arial Narrow"/>
                <w:sz w:val="20"/>
              </w:rPr>
            </w:pPr>
            <w:r w:rsidRPr="00E850A7">
              <w:rPr>
                <w:rFonts w:ascii="Arial Narrow" w:hAnsi="Arial Narrow"/>
                <w:sz w:val="20"/>
              </w:rPr>
              <w:t>Hypoglycaemia associated with sulfonylurea treatment;</w:t>
            </w:r>
          </w:p>
          <w:p w:rsidR="002E6518" w:rsidRPr="00E850A7" w:rsidRDefault="002E6518" w:rsidP="00216E2A">
            <w:pPr>
              <w:pStyle w:val="ListParagraph"/>
              <w:numPr>
                <w:ilvl w:val="0"/>
                <w:numId w:val="19"/>
              </w:numPr>
              <w:tabs>
                <w:tab w:val="left" w:pos="458"/>
              </w:tabs>
              <w:spacing w:before="40" w:after="40"/>
              <w:ind w:left="636"/>
              <w:rPr>
                <w:rFonts w:ascii="Arial Narrow" w:hAnsi="Arial Narrow"/>
                <w:sz w:val="20"/>
              </w:rPr>
            </w:pPr>
            <w:r w:rsidRPr="00E850A7">
              <w:rPr>
                <w:rFonts w:ascii="Arial Narrow" w:hAnsi="Arial Narrow"/>
                <w:sz w:val="20"/>
              </w:rPr>
              <w:t>Hypersensitivity to sulphur containing medicines including skin rash or nausea.</w:t>
            </w:r>
          </w:p>
          <w:p w:rsidR="002E6518" w:rsidRPr="00E850A7" w:rsidRDefault="002E6518" w:rsidP="00216E2A">
            <w:pPr>
              <w:spacing w:before="40" w:after="40"/>
              <w:rPr>
                <w:rFonts w:ascii="Arial Narrow" w:hAnsi="Arial Narrow"/>
                <w:sz w:val="20"/>
              </w:rPr>
            </w:pPr>
            <w:r w:rsidRPr="00E850A7">
              <w:rPr>
                <w:rFonts w:ascii="Arial Narrow" w:hAnsi="Arial Narrow"/>
                <w:sz w:val="20"/>
              </w:rPr>
              <w:t>A clinically important sulfonylurea related adverse event does not include weight gain.</w:t>
            </w:r>
          </w:p>
          <w:p w:rsidR="002E6518" w:rsidRPr="00E850A7" w:rsidRDefault="002E6518" w:rsidP="00216E2A">
            <w:pPr>
              <w:pStyle w:val="TableText"/>
            </w:pPr>
            <w:r w:rsidRPr="00E850A7">
              <w:t>Any metformin or sulfonylurea related adverse events must be documented in the patient’s records.</w:t>
            </w:r>
          </w:p>
        </w:tc>
      </w:tr>
    </w:tbl>
    <w:p w:rsidR="002E6518" w:rsidRPr="00E850A7" w:rsidRDefault="002E6518" w:rsidP="004B34ED">
      <w:pPr>
        <w:pStyle w:val="ListParagraph"/>
        <w:spacing w:before="0" w:after="120"/>
        <w:ind w:left="0"/>
        <w:jc w:val="both"/>
        <w:rPr>
          <w:color w:val="4472C4" w:themeColor="accent5"/>
          <w:szCs w:val="24"/>
        </w:rPr>
      </w:pPr>
    </w:p>
    <w:p w:rsidR="008A2475" w:rsidRPr="00E850A7" w:rsidRDefault="008A2475" w:rsidP="008A2475">
      <w:pPr>
        <w:pStyle w:val="ListParagraph"/>
        <w:spacing w:before="0" w:after="120"/>
        <w:jc w:val="both"/>
        <w:rPr>
          <w:szCs w:val="24"/>
        </w:rPr>
      </w:pPr>
      <w:r w:rsidRPr="00E850A7">
        <w:rPr>
          <w:i/>
        </w:rPr>
        <w:t>For more detail on PBAC’s view, see section 7 PBAC outcome</w:t>
      </w:r>
    </w:p>
    <w:p w:rsidR="00C317F3" w:rsidRPr="00E850A7" w:rsidRDefault="00C317F3" w:rsidP="00F06FC0">
      <w:pPr>
        <w:pStyle w:val="Heading1"/>
        <w:ind w:left="709" w:hanging="709"/>
      </w:pPr>
      <w:bookmarkStart w:id="7" w:name="_Toc413139273"/>
      <w:bookmarkStart w:id="8" w:name="_Toc491873475"/>
      <w:r w:rsidRPr="00E850A7">
        <w:t>Background</w:t>
      </w:r>
      <w:bookmarkEnd w:id="7"/>
      <w:bookmarkEnd w:id="8"/>
    </w:p>
    <w:p w:rsidR="0017638E" w:rsidRPr="00E850A7" w:rsidRDefault="0017638E" w:rsidP="00F06FC0">
      <w:pPr>
        <w:pStyle w:val="Heading2"/>
        <w:rPr>
          <w:i w:val="0"/>
        </w:rPr>
      </w:pPr>
      <w:bookmarkStart w:id="9" w:name="_Toc488134021"/>
      <w:bookmarkStart w:id="10" w:name="_Toc488139278"/>
      <w:bookmarkStart w:id="11" w:name="_Toc488139890"/>
      <w:bookmarkStart w:id="12" w:name="_Toc491873476"/>
      <w:r w:rsidRPr="00E850A7">
        <w:rPr>
          <w:i w:val="0"/>
        </w:rPr>
        <w:t>Registration status</w:t>
      </w:r>
      <w:bookmarkEnd w:id="9"/>
      <w:bookmarkEnd w:id="10"/>
      <w:bookmarkEnd w:id="11"/>
      <w:bookmarkEnd w:id="12"/>
    </w:p>
    <w:p w:rsidR="0017638E" w:rsidRPr="00E850A7" w:rsidRDefault="0017638E" w:rsidP="00F06FC0">
      <w:pPr>
        <w:pStyle w:val="ListParagraph"/>
        <w:numPr>
          <w:ilvl w:val="0"/>
          <w:numId w:val="3"/>
        </w:numPr>
        <w:spacing w:before="200" w:after="120"/>
        <w:rPr>
          <w:rFonts w:ascii="Arial" w:eastAsia="Times New Roman" w:hAnsi="Arial" w:cs="Arial"/>
          <w:b/>
          <w:snapToGrid w:val="0"/>
          <w:vanish/>
          <w:sz w:val="22"/>
        </w:rPr>
      </w:pPr>
    </w:p>
    <w:p w:rsidR="004F4EEE" w:rsidRPr="00E850A7" w:rsidRDefault="004F4EEE" w:rsidP="00350108">
      <w:pPr>
        <w:pStyle w:val="ListParagraph"/>
        <w:numPr>
          <w:ilvl w:val="1"/>
          <w:numId w:val="3"/>
        </w:numPr>
        <w:spacing w:before="0" w:after="120"/>
        <w:jc w:val="both"/>
        <w:rPr>
          <w:color w:val="4472C4" w:themeColor="accent5"/>
          <w:szCs w:val="24"/>
        </w:rPr>
      </w:pPr>
      <w:r w:rsidRPr="00E850A7">
        <w:rPr>
          <w:szCs w:val="24"/>
        </w:rPr>
        <w:t xml:space="preserve">TGA status: </w:t>
      </w:r>
      <w:r w:rsidR="00222FE3" w:rsidRPr="00E850A7">
        <w:rPr>
          <w:szCs w:val="24"/>
        </w:rPr>
        <w:t>e</w:t>
      </w:r>
      <w:r w:rsidRPr="00E850A7">
        <w:rPr>
          <w:szCs w:val="24"/>
        </w:rPr>
        <w:t xml:space="preserve">mpagliflozin </w:t>
      </w:r>
      <w:r w:rsidR="00805FD3" w:rsidRPr="00E850A7">
        <w:rPr>
          <w:szCs w:val="24"/>
        </w:rPr>
        <w:t xml:space="preserve">25 mg or 10 mg </w:t>
      </w:r>
      <w:r w:rsidRPr="00E850A7">
        <w:rPr>
          <w:szCs w:val="24"/>
        </w:rPr>
        <w:t>with linagliptin</w:t>
      </w:r>
      <w:r w:rsidR="00805FD3" w:rsidRPr="00E850A7">
        <w:rPr>
          <w:szCs w:val="24"/>
        </w:rPr>
        <w:t xml:space="preserve"> 5 mg</w:t>
      </w:r>
      <w:r w:rsidRPr="00E850A7">
        <w:rPr>
          <w:szCs w:val="24"/>
        </w:rPr>
        <w:t xml:space="preserve"> FDC</w:t>
      </w:r>
      <w:r w:rsidR="00805FD3" w:rsidRPr="00E850A7">
        <w:rPr>
          <w:szCs w:val="24"/>
        </w:rPr>
        <w:t>s</w:t>
      </w:r>
      <w:r w:rsidRPr="00E850A7">
        <w:rPr>
          <w:szCs w:val="24"/>
        </w:rPr>
        <w:t xml:space="preserve"> (Glyxambi®) </w:t>
      </w:r>
      <w:r w:rsidR="00805FD3" w:rsidRPr="00E850A7">
        <w:rPr>
          <w:szCs w:val="24"/>
        </w:rPr>
        <w:t xml:space="preserve">were </w:t>
      </w:r>
      <w:r w:rsidR="00F61963" w:rsidRPr="00E850A7">
        <w:rPr>
          <w:szCs w:val="24"/>
        </w:rPr>
        <w:t xml:space="preserve">registered </w:t>
      </w:r>
      <w:r w:rsidRPr="00E850A7">
        <w:rPr>
          <w:szCs w:val="24"/>
        </w:rPr>
        <w:t>on the Australian Register of Therapeutic Goods (ARTG) on 19</w:t>
      </w:r>
      <w:r w:rsidR="00CF6B11" w:rsidRPr="00E850A7">
        <w:rPr>
          <w:szCs w:val="24"/>
        </w:rPr>
        <w:t> </w:t>
      </w:r>
      <w:r w:rsidRPr="00E850A7">
        <w:rPr>
          <w:szCs w:val="24"/>
        </w:rPr>
        <w:t>December 2016, as “an adjunct to diet and exercise to improve glycaemic control in adults with type 2 diabetes mellitus when treatment with both empagliflozin and linagliptin is appropriate”.</w:t>
      </w:r>
    </w:p>
    <w:p w:rsidR="00805FD3" w:rsidRPr="00E850A7" w:rsidRDefault="00805FD3" w:rsidP="00350108">
      <w:pPr>
        <w:pStyle w:val="ListParagraph"/>
        <w:numPr>
          <w:ilvl w:val="1"/>
          <w:numId w:val="3"/>
        </w:numPr>
        <w:spacing w:before="0" w:after="120"/>
        <w:jc w:val="both"/>
        <w:rPr>
          <w:szCs w:val="24"/>
        </w:rPr>
      </w:pPr>
      <w:r w:rsidRPr="00E850A7">
        <w:rPr>
          <w:szCs w:val="24"/>
        </w:rPr>
        <w:t xml:space="preserve">Empagliflozin 25 mg and 10 mg is registered for use in combination therapy with a DPP4 inhibitor. </w:t>
      </w:r>
      <w:r w:rsidR="00510C0E" w:rsidRPr="00E850A7">
        <w:rPr>
          <w:szCs w:val="24"/>
        </w:rPr>
        <w:t>E</w:t>
      </w:r>
      <w:r w:rsidRPr="00E850A7">
        <w:rPr>
          <w:szCs w:val="24"/>
        </w:rPr>
        <w:t xml:space="preserve">mpagliflozin </w:t>
      </w:r>
      <w:r w:rsidR="00510C0E" w:rsidRPr="00E850A7">
        <w:rPr>
          <w:szCs w:val="24"/>
        </w:rPr>
        <w:t xml:space="preserve">is registered for use </w:t>
      </w:r>
      <w:r w:rsidRPr="00E850A7">
        <w:rPr>
          <w:szCs w:val="24"/>
        </w:rPr>
        <w:t>in the treatment of type 2 diabetes mellitus</w:t>
      </w:r>
      <w:r w:rsidR="00F07523" w:rsidRPr="00E850A7">
        <w:rPr>
          <w:szCs w:val="24"/>
        </w:rPr>
        <w:t xml:space="preserve"> as monotherapy, dual therapy with other diabetes medicines (including insulin) </w:t>
      </w:r>
      <w:r w:rsidRPr="00E850A7">
        <w:rPr>
          <w:szCs w:val="24"/>
        </w:rPr>
        <w:t xml:space="preserve">and in patients with type 2 diabetes mellitus and established cardiovascular disease to reduce the risk of cardiovascular death. </w:t>
      </w:r>
    </w:p>
    <w:p w:rsidR="004F4EEE" w:rsidRPr="00E850A7" w:rsidRDefault="004F4EEE" w:rsidP="00350108">
      <w:pPr>
        <w:pStyle w:val="ListParagraph"/>
        <w:numPr>
          <w:ilvl w:val="1"/>
          <w:numId w:val="3"/>
        </w:numPr>
        <w:spacing w:before="0" w:after="120"/>
        <w:jc w:val="both"/>
        <w:rPr>
          <w:szCs w:val="24"/>
        </w:rPr>
      </w:pPr>
      <w:r w:rsidRPr="00E850A7">
        <w:rPr>
          <w:szCs w:val="24"/>
        </w:rPr>
        <w:t xml:space="preserve">The </w:t>
      </w:r>
      <w:r w:rsidR="00F61963" w:rsidRPr="00E850A7">
        <w:rPr>
          <w:szCs w:val="24"/>
        </w:rPr>
        <w:t xml:space="preserve">registration </w:t>
      </w:r>
      <w:r w:rsidRPr="00E850A7">
        <w:rPr>
          <w:szCs w:val="24"/>
        </w:rPr>
        <w:t>of linagliptin</w:t>
      </w:r>
      <w:r w:rsidR="00086806" w:rsidRPr="00E850A7">
        <w:rPr>
          <w:szCs w:val="24"/>
        </w:rPr>
        <w:t xml:space="preserve"> 5 mg</w:t>
      </w:r>
      <w:r w:rsidRPr="00E850A7">
        <w:rPr>
          <w:szCs w:val="24"/>
        </w:rPr>
        <w:t xml:space="preserve"> was extended </w:t>
      </w:r>
      <w:r w:rsidR="0039472B" w:rsidRPr="00E850A7">
        <w:rPr>
          <w:szCs w:val="24"/>
        </w:rPr>
        <w:t xml:space="preserve">on </w:t>
      </w:r>
      <w:r w:rsidRPr="00E850A7">
        <w:rPr>
          <w:szCs w:val="24"/>
        </w:rPr>
        <w:t>6 July 2017 to include use as an add</w:t>
      </w:r>
      <w:r w:rsidR="00F06FC0" w:rsidRPr="00E850A7">
        <w:rPr>
          <w:szCs w:val="24"/>
        </w:rPr>
        <w:t>-</w:t>
      </w:r>
      <w:r w:rsidRPr="00E850A7">
        <w:rPr>
          <w:szCs w:val="24"/>
        </w:rPr>
        <w:t>on to metformin and a SGLT2 inhibitor.</w:t>
      </w:r>
    </w:p>
    <w:p w:rsidR="00FD73E7" w:rsidRPr="00E850A7" w:rsidRDefault="00FD73E7" w:rsidP="00FD73E7">
      <w:pPr>
        <w:pStyle w:val="Heading2"/>
        <w:keepNext w:val="0"/>
        <w:keepLines w:val="0"/>
        <w:rPr>
          <w:i w:val="0"/>
        </w:rPr>
      </w:pPr>
      <w:bookmarkStart w:id="13" w:name="_Toc488134022"/>
      <w:bookmarkStart w:id="14" w:name="_Toc488139279"/>
      <w:bookmarkStart w:id="15" w:name="_Toc488139891"/>
      <w:bookmarkStart w:id="16" w:name="_Toc491873477"/>
      <w:r w:rsidRPr="00E850A7">
        <w:rPr>
          <w:i w:val="0"/>
        </w:rPr>
        <w:t>Previous PBAC consideration</w:t>
      </w:r>
      <w:bookmarkEnd w:id="13"/>
      <w:bookmarkEnd w:id="14"/>
      <w:bookmarkEnd w:id="15"/>
      <w:bookmarkEnd w:id="16"/>
    </w:p>
    <w:p w:rsidR="00A56650" w:rsidRPr="00E850A7" w:rsidRDefault="00A56650" w:rsidP="00350108">
      <w:pPr>
        <w:pStyle w:val="ListParagraph"/>
        <w:numPr>
          <w:ilvl w:val="1"/>
          <w:numId w:val="3"/>
        </w:numPr>
        <w:spacing w:before="0" w:after="120"/>
        <w:jc w:val="both"/>
        <w:rPr>
          <w:szCs w:val="24"/>
        </w:rPr>
      </w:pPr>
      <w:r w:rsidRPr="00E850A7">
        <w:rPr>
          <w:szCs w:val="24"/>
        </w:rPr>
        <w:t>The PBAC previously considered a submission for this FDC at its March 2017 meeting.</w:t>
      </w:r>
    </w:p>
    <w:p w:rsidR="009C5DB6" w:rsidRPr="00E850A7" w:rsidRDefault="009C5DB6">
      <w:pPr>
        <w:spacing w:before="0" w:line="259" w:lineRule="auto"/>
        <w:rPr>
          <w:rFonts w:ascii="Arial Narrow" w:hAnsi="Arial Narrow"/>
          <w:b/>
          <w:sz w:val="20"/>
        </w:rPr>
      </w:pPr>
      <w:r w:rsidRPr="00E850A7">
        <w:br w:type="page"/>
      </w:r>
    </w:p>
    <w:p w:rsidR="00992AF5" w:rsidRPr="00E850A7" w:rsidRDefault="00992AF5" w:rsidP="00350108">
      <w:pPr>
        <w:pStyle w:val="ESnumberedparablue"/>
        <w:numPr>
          <w:ilvl w:val="1"/>
          <w:numId w:val="3"/>
        </w:numPr>
        <w:spacing w:before="0" w:after="120"/>
        <w:rPr>
          <w:rFonts w:asciiTheme="minorHAnsi" w:hAnsiTheme="minorHAnsi"/>
          <w:color w:val="auto"/>
          <w:sz w:val="24"/>
          <w:szCs w:val="24"/>
        </w:rPr>
      </w:pPr>
      <w:r w:rsidRPr="00E850A7">
        <w:rPr>
          <w:rFonts w:asciiTheme="minorHAnsi" w:hAnsiTheme="minorHAnsi"/>
          <w:color w:val="auto"/>
          <w:sz w:val="24"/>
          <w:szCs w:val="24"/>
        </w:rPr>
        <w:t xml:space="preserve">At the July 2017 meeting the PBAC </w:t>
      </w:r>
      <w:r w:rsidR="003B120D" w:rsidRPr="00E850A7">
        <w:rPr>
          <w:rFonts w:asciiTheme="minorHAnsi" w:hAnsiTheme="minorHAnsi"/>
          <w:color w:val="auto"/>
          <w:sz w:val="24"/>
          <w:szCs w:val="24"/>
        </w:rPr>
        <w:t>considered submissions for</w:t>
      </w:r>
      <w:r w:rsidRPr="00E850A7">
        <w:rPr>
          <w:rFonts w:asciiTheme="minorHAnsi" w:hAnsiTheme="minorHAnsi"/>
          <w:color w:val="auto"/>
          <w:sz w:val="24"/>
          <w:szCs w:val="24"/>
        </w:rPr>
        <w:t xml:space="preserve"> dapagliflozin with </w:t>
      </w:r>
      <w:r w:rsidR="003B120D" w:rsidRPr="00E850A7">
        <w:rPr>
          <w:rFonts w:asciiTheme="minorHAnsi" w:hAnsiTheme="minorHAnsi"/>
          <w:color w:val="auto"/>
          <w:sz w:val="24"/>
          <w:szCs w:val="24"/>
        </w:rPr>
        <w:t xml:space="preserve">triple therapy with </w:t>
      </w:r>
      <w:r w:rsidRPr="00E850A7">
        <w:rPr>
          <w:rFonts w:asciiTheme="minorHAnsi" w:hAnsiTheme="minorHAnsi"/>
          <w:color w:val="auto"/>
          <w:sz w:val="24"/>
          <w:szCs w:val="24"/>
        </w:rPr>
        <w:t>metformin</w:t>
      </w:r>
      <w:r w:rsidR="002C28F5" w:rsidRPr="00E850A7">
        <w:rPr>
          <w:rFonts w:asciiTheme="minorHAnsi" w:hAnsiTheme="minorHAnsi"/>
          <w:color w:val="auto"/>
          <w:sz w:val="24"/>
          <w:szCs w:val="24"/>
        </w:rPr>
        <w:t xml:space="preserve">. </w:t>
      </w:r>
      <w:r w:rsidR="003B120D" w:rsidRPr="00E850A7">
        <w:rPr>
          <w:rFonts w:asciiTheme="minorHAnsi" w:hAnsiTheme="minorHAnsi"/>
          <w:color w:val="auto"/>
          <w:sz w:val="24"/>
          <w:szCs w:val="24"/>
        </w:rPr>
        <w:t xml:space="preserve">The PBAC deferred </w:t>
      </w:r>
      <w:r w:rsidR="009C5DB6" w:rsidRPr="00E850A7">
        <w:rPr>
          <w:rFonts w:asciiTheme="minorHAnsi" w:hAnsiTheme="minorHAnsi"/>
          <w:color w:val="auto"/>
          <w:sz w:val="24"/>
          <w:szCs w:val="24"/>
        </w:rPr>
        <w:t>these</w:t>
      </w:r>
      <w:r w:rsidR="003B120D" w:rsidRPr="00E850A7">
        <w:rPr>
          <w:rFonts w:asciiTheme="minorHAnsi" w:hAnsiTheme="minorHAnsi"/>
          <w:color w:val="auto"/>
          <w:sz w:val="24"/>
          <w:szCs w:val="24"/>
        </w:rPr>
        <w:t xml:space="preserve"> submissions </w:t>
      </w:r>
      <w:r w:rsidR="005F4AB9" w:rsidRPr="00E850A7">
        <w:rPr>
          <w:rFonts w:asciiTheme="minorHAnsi" w:hAnsiTheme="minorHAnsi"/>
          <w:color w:val="auto"/>
          <w:sz w:val="24"/>
          <w:szCs w:val="24"/>
        </w:rPr>
        <w:t>to allow further work to establish a price that could be considered cost-effective.</w:t>
      </w:r>
      <w:r w:rsidR="00B97C62" w:rsidRPr="00E850A7">
        <w:rPr>
          <w:rFonts w:asciiTheme="minorHAnsi" w:hAnsiTheme="minorHAnsi"/>
          <w:color w:val="auto"/>
          <w:sz w:val="24"/>
          <w:szCs w:val="24"/>
        </w:rPr>
        <w:t xml:space="preserve"> The PBAC noted that there was no evidence </w:t>
      </w:r>
      <w:r w:rsidR="00B40DB1" w:rsidRPr="00E850A7">
        <w:rPr>
          <w:rFonts w:asciiTheme="minorHAnsi" w:hAnsiTheme="minorHAnsi"/>
          <w:color w:val="auto"/>
          <w:sz w:val="24"/>
          <w:szCs w:val="24"/>
        </w:rPr>
        <w:t xml:space="preserve">to suggest </w:t>
      </w:r>
      <w:r w:rsidR="00B97C62" w:rsidRPr="00E850A7">
        <w:rPr>
          <w:rFonts w:asciiTheme="minorHAnsi" w:hAnsiTheme="minorHAnsi"/>
          <w:color w:val="auto"/>
          <w:sz w:val="24"/>
          <w:szCs w:val="24"/>
        </w:rPr>
        <w:t xml:space="preserve">that the benefit of metformin + dapagliflozin + a DPP4 inhibitor would be of the same magnitude as the incremental benefit of </w:t>
      </w:r>
      <w:r w:rsidR="00B40DB1" w:rsidRPr="00E850A7">
        <w:rPr>
          <w:rFonts w:asciiTheme="minorHAnsi" w:hAnsiTheme="minorHAnsi"/>
          <w:color w:val="auto"/>
          <w:sz w:val="24"/>
          <w:szCs w:val="24"/>
        </w:rPr>
        <w:t>adding either dapagliflozin or a DPP4 inhibitor to metformin</w:t>
      </w:r>
      <w:r w:rsidR="00B97C62" w:rsidRPr="00E850A7">
        <w:rPr>
          <w:rFonts w:asciiTheme="minorHAnsi" w:hAnsiTheme="minorHAnsi"/>
          <w:color w:val="auto"/>
          <w:sz w:val="24"/>
          <w:szCs w:val="24"/>
        </w:rPr>
        <w:t>, and that this t</w:t>
      </w:r>
      <w:r w:rsidR="009C5DB6" w:rsidRPr="00E850A7">
        <w:rPr>
          <w:rFonts w:asciiTheme="minorHAnsi" w:hAnsiTheme="minorHAnsi"/>
          <w:color w:val="auto"/>
          <w:sz w:val="24"/>
          <w:szCs w:val="24"/>
        </w:rPr>
        <w:t>riple therapy would not be cost-</w:t>
      </w:r>
      <w:r w:rsidR="00B97C62" w:rsidRPr="00E850A7">
        <w:rPr>
          <w:rFonts w:asciiTheme="minorHAnsi" w:hAnsiTheme="minorHAnsi"/>
          <w:color w:val="auto"/>
          <w:sz w:val="24"/>
          <w:szCs w:val="24"/>
        </w:rPr>
        <w:t>effective at the same price as the sum of the components</w:t>
      </w:r>
      <w:r w:rsidR="00B40DB1" w:rsidRPr="00E850A7">
        <w:rPr>
          <w:rFonts w:asciiTheme="minorHAnsi" w:hAnsiTheme="minorHAnsi"/>
          <w:color w:val="auto"/>
          <w:sz w:val="24"/>
          <w:szCs w:val="24"/>
        </w:rPr>
        <w:t xml:space="preserve"> (July 2017 PBAC outcomes)</w:t>
      </w:r>
      <w:r w:rsidR="00B97C62" w:rsidRPr="00E850A7">
        <w:rPr>
          <w:rFonts w:asciiTheme="minorHAnsi" w:hAnsiTheme="minorHAnsi"/>
          <w:color w:val="auto"/>
          <w:sz w:val="24"/>
          <w:szCs w:val="24"/>
        </w:rPr>
        <w:t>.</w:t>
      </w:r>
    </w:p>
    <w:p w:rsidR="00F07523" w:rsidRPr="00E850A7" w:rsidRDefault="00F07523" w:rsidP="00350108">
      <w:pPr>
        <w:pStyle w:val="ESnumberedparablue"/>
        <w:numPr>
          <w:ilvl w:val="1"/>
          <w:numId w:val="3"/>
        </w:numPr>
        <w:spacing w:before="0" w:after="120"/>
        <w:rPr>
          <w:rFonts w:asciiTheme="minorHAnsi" w:hAnsiTheme="minorHAnsi"/>
          <w:color w:val="auto"/>
          <w:sz w:val="24"/>
          <w:szCs w:val="24"/>
        </w:rPr>
      </w:pPr>
      <w:r w:rsidRPr="00E850A7">
        <w:rPr>
          <w:rFonts w:asciiTheme="minorHAnsi" w:hAnsiTheme="minorHAnsi"/>
          <w:color w:val="auto"/>
          <w:sz w:val="24"/>
          <w:szCs w:val="24"/>
        </w:rPr>
        <w:t xml:space="preserve">A minor submission requesting </w:t>
      </w:r>
      <w:r w:rsidR="00B40DB1" w:rsidRPr="00E850A7">
        <w:rPr>
          <w:rFonts w:asciiTheme="minorHAnsi" w:hAnsiTheme="minorHAnsi"/>
          <w:color w:val="auto"/>
          <w:sz w:val="24"/>
          <w:szCs w:val="24"/>
        </w:rPr>
        <w:t>Authority Required (STREAMLINED)</w:t>
      </w:r>
      <w:r w:rsidRPr="00E850A7">
        <w:rPr>
          <w:rFonts w:asciiTheme="minorHAnsi" w:hAnsiTheme="minorHAnsi"/>
          <w:color w:val="auto"/>
          <w:sz w:val="24"/>
          <w:szCs w:val="24"/>
        </w:rPr>
        <w:t xml:space="preserve"> listing of </w:t>
      </w:r>
      <w:r w:rsidR="008D49CA" w:rsidRPr="00E850A7">
        <w:rPr>
          <w:rFonts w:asciiTheme="minorHAnsi" w:hAnsiTheme="minorHAnsi"/>
          <w:color w:val="auto"/>
          <w:sz w:val="24"/>
          <w:szCs w:val="24"/>
        </w:rPr>
        <w:t>empagliflozin</w:t>
      </w:r>
      <w:r w:rsidR="00B40DB1" w:rsidRPr="00E850A7">
        <w:rPr>
          <w:rFonts w:asciiTheme="minorHAnsi" w:hAnsiTheme="minorHAnsi"/>
          <w:color w:val="auto"/>
          <w:sz w:val="24"/>
          <w:szCs w:val="24"/>
        </w:rPr>
        <w:t>,</w:t>
      </w:r>
      <w:r w:rsidR="008D49CA" w:rsidRPr="00E850A7">
        <w:rPr>
          <w:rFonts w:asciiTheme="minorHAnsi" w:hAnsiTheme="minorHAnsi"/>
          <w:color w:val="auto"/>
          <w:sz w:val="24"/>
          <w:szCs w:val="24"/>
        </w:rPr>
        <w:t xml:space="preserve"> linagliptin </w:t>
      </w:r>
      <w:r w:rsidR="00B40DB1" w:rsidRPr="00E850A7">
        <w:rPr>
          <w:rFonts w:asciiTheme="minorHAnsi" w:hAnsiTheme="minorHAnsi"/>
          <w:color w:val="auto"/>
          <w:sz w:val="24"/>
          <w:szCs w:val="24"/>
        </w:rPr>
        <w:t>and their fixed dose combinations with metformin for use in the triple oral therapy regimen of empagliflozin and linagliptin with metformin for the treatment of type 2 diabetes</w:t>
      </w:r>
      <w:r w:rsidR="009C5DB6" w:rsidRPr="00E850A7">
        <w:rPr>
          <w:rFonts w:asciiTheme="minorHAnsi" w:hAnsiTheme="minorHAnsi"/>
          <w:color w:val="auto"/>
          <w:sz w:val="24"/>
          <w:szCs w:val="24"/>
        </w:rPr>
        <w:t>, and a minor submission for dapagliflozin and saxagliptin for the same indication</w:t>
      </w:r>
      <w:r w:rsidR="009C5DB6" w:rsidRPr="00E850A7">
        <w:rPr>
          <w:rFonts w:asciiTheme="minorHAnsi" w:hAnsiTheme="minorHAnsi"/>
          <w:i/>
          <w:color w:val="auto"/>
          <w:sz w:val="24"/>
          <w:szCs w:val="24"/>
        </w:rPr>
        <w:t xml:space="preserve"> </w:t>
      </w:r>
      <w:r w:rsidR="009C5DB6" w:rsidRPr="00E850A7">
        <w:rPr>
          <w:rFonts w:asciiTheme="minorHAnsi" w:hAnsiTheme="minorHAnsi"/>
          <w:color w:val="auto"/>
          <w:sz w:val="24"/>
          <w:szCs w:val="24"/>
        </w:rPr>
        <w:t>were</w:t>
      </w:r>
      <w:r w:rsidR="006B3961" w:rsidRPr="00E850A7">
        <w:rPr>
          <w:rFonts w:asciiTheme="minorHAnsi" w:hAnsiTheme="minorHAnsi"/>
          <w:color w:val="auto"/>
          <w:sz w:val="24"/>
          <w:szCs w:val="24"/>
        </w:rPr>
        <w:t xml:space="preserve"> also</w:t>
      </w:r>
      <w:r w:rsidR="008D49CA" w:rsidRPr="00E850A7">
        <w:rPr>
          <w:rFonts w:asciiTheme="minorHAnsi" w:hAnsiTheme="minorHAnsi"/>
          <w:color w:val="auto"/>
          <w:sz w:val="24"/>
          <w:szCs w:val="24"/>
        </w:rPr>
        <w:t xml:space="preserve"> considered by the </w:t>
      </w:r>
      <w:r w:rsidR="00B40DB1" w:rsidRPr="00E850A7">
        <w:rPr>
          <w:rFonts w:asciiTheme="minorHAnsi" w:hAnsiTheme="minorHAnsi"/>
          <w:color w:val="auto"/>
          <w:sz w:val="24"/>
          <w:szCs w:val="24"/>
        </w:rPr>
        <w:t>PBAC</w:t>
      </w:r>
      <w:r w:rsidR="008D49CA" w:rsidRPr="00E850A7">
        <w:rPr>
          <w:rFonts w:asciiTheme="minorHAnsi" w:hAnsiTheme="minorHAnsi"/>
          <w:color w:val="auto"/>
          <w:sz w:val="24"/>
          <w:szCs w:val="24"/>
        </w:rPr>
        <w:t xml:space="preserve"> at the November 2017 meeting.</w:t>
      </w:r>
      <w:r w:rsidRPr="00E850A7">
        <w:rPr>
          <w:rFonts w:asciiTheme="minorHAnsi" w:hAnsiTheme="minorHAnsi"/>
          <w:color w:val="auto"/>
          <w:sz w:val="24"/>
          <w:szCs w:val="24"/>
        </w:rPr>
        <w:t xml:space="preserve"> </w:t>
      </w:r>
    </w:p>
    <w:p w:rsidR="00C317F3" w:rsidRPr="00E850A7" w:rsidRDefault="00C317F3" w:rsidP="00F06FC0">
      <w:pPr>
        <w:pStyle w:val="Heading1"/>
        <w:ind w:left="709" w:hanging="709"/>
      </w:pPr>
      <w:bookmarkStart w:id="17" w:name="_Toc491873478"/>
      <w:r w:rsidRPr="00E850A7">
        <w:t>Population and disease</w:t>
      </w:r>
      <w:bookmarkEnd w:id="17"/>
    </w:p>
    <w:p w:rsidR="002001C6" w:rsidRPr="00E850A7" w:rsidRDefault="002001C6" w:rsidP="00F06FC0">
      <w:pPr>
        <w:pStyle w:val="ListParagraph"/>
        <w:numPr>
          <w:ilvl w:val="0"/>
          <w:numId w:val="3"/>
        </w:numPr>
        <w:spacing w:before="200" w:after="120"/>
        <w:rPr>
          <w:rFonts w:ascii="Arial" w:eastAsia="Times New Roman" w:hAnsi="Arial" w:cs="Arial"/>
          <w:b/>
          <w:snapToGrid w:val="0"/>
          <w:vanish/>
          <w:sz w:val="22"/>
        </w:rPr>
      </w:pPr>
    </w:p>
    <w:p w:rsidR="004F4EEE" w:rsidRPr="00E850A7" w:rsidRDefault="004F4EEE" w:rsidP="00350108">
      <w:pPr>
        <w:pStyle w:val="ESnumberedparablue"/>
        <w:numPr>
          <w:ilvl w:val="1"/>
          <w:numId w:val="3"/>
        </w:numPr>
        <w:spacing w:before="0" w:after="120"/>
        <w:rPr>
          <w:rFonts w:asciiTheme="minorHAnsi" w:hAnsiTheme="minorHAnsi"/>
          <w:color w:val="auto"/>
          <w:sz w:val="24"/>
        </w:rPr>
      </w:pPr>
      <w:r w:rsidRPr="00E850A7">
        <w:rPr>
          <w:rFonts w:asciiTheme="minorHAnsi" w:hAnsiTheme="minorHAnsi"/>
          <w:color w:val="auto"/>
          <w:sz w:val="24"/>
        </w:rPr>
        <w:t xml:space="preserve">Type 2 diabetes is a </w:t>
      </w:r>
      <w:r w:rsidR="00E850A7" w:rsidRPr="00E850A7">
        <w:rPr>
          <w:rFonts w:asciiTheme="minorHAnsi" w:hAnsiTheme="minorHAnsi"/>
          <w:color w:val="auto"/>
          <w:sz w:val="24"/>
        </w:rPr>
        <w:t>long-term</w:t>
      </w:r>
      <w:r w:rsidRPr="00E850A7">
        <w:rPr>
          <w:rFonts w:asciiTheme="minorHAnsi" w:hAnsiTheme="minorHAnsi"/>
          <w:color w:val="auto"/>
          <w:sz w:val="24"/>
        </w:rPr>
        <w:t xml:space="preserve"> progressive metabolic disorder caused by resistance to the glucose modulating effects of insulin in body tissues and/or gradual loss of capacity to produce sufficient insulin. Type 2 diabetes is associated with strong familial and modifiable lifestyle risk factors. </w:t>
      </w:r>
      <w:r w:rsidR="00E850A7" w:rsidRPr="00E850A7">
        <w:rPr>
          <w:rFonts w:asciiTheme="minorHAnsi" w:hAnsiTheme="minorHAnsi"/>
          <w:color w:val="auto"/>
          <w:sz w:val="24"/>
        </w:rPr>
        <w:t>Long-term</w:t>
      </w:r>
      <w:r w:rsidRPr="00E850A7">
        <w:rPr>
          <w:rFonts w:asciiTheme="minorHAnsi" w:hAnsiTheme="minorHAnsi"/>
          <w:color w:val="auto"/>
          <w:sz w:val="24"/>
        </w:rPr>
        <w:t xml:space="preserve"> complications include heart disease, stroke, diabetic retinopathy which may lead to blindness, diabetic nephropathy which may lead to end stage renal failure and peripheral vascular disease which may lead to amputation. Type 2 diabetes substantially increases the risk of cardiovascular disease, cardiovascular mortality and chronic kidney disease leading to end stage renal failure.</w:t>
      </w:r>
    </w:p>
    <w:p w:rsidR="00C317F3" w:rsidRPr="00E850A7" w:rsidRDefault="004F4EEE" w:rsidP="00350108">
      <w:pPr>
        <w:pStyle w:val="ESnumberedparablue"/>
        <w:numPr>
          <w:ilvl w:val="1"/>
          <w:numId w:val="3"/>
        </w:numPr>
        <w:spacing w:before="0" w:after="120"/>
        <w:rPr>
          <w:rFonts w:asciiTheme="minorHAnsi" w:hAnsiTheme="minorHAnsi"/>
          <w:color w:val="auto"/>
          <w:sz w:val="24"/>
        </w:rPr>
      </w:pPr>
      <w:r w:rsidRPr="00E850A7">
        <w:rPr>
          <w:rFonts w:asciiTheme="minorHAnsi" w:hAnsiTheme="minorHAnsi"/>
          <w:color w:val="auto"/>
          <w:sz w:val="24"/>
        </w:rPr>
        <w:t xml:space="preserve">The submission proposed that empagliflozin with linagliptin FDC would offer an alternative to </w:t>
      </w:r>
      <w:r w:rsidR="008B2DC6" w:rsidRPr="00E850A7">
        <w:rPr>
          <w:rFonts w:asciiTheme="minorHAnsi" w:hAnsiTheme="minorHAnsi"/>
          <w:color w:val="auto"/>
          <w:sz w:val="24"/>
        </w:rPr>
        <w:t xml:space="preserve">insulin glargine or </w:t>
      </w:r>
      <w:r w:rsidRPr="00E850A7">
        <w:rPr>
          <w:rFonts w:asciiTheme="minorHAnsi" w:hAnsiTheme="minorHAnsi"/>
          <w:color w:val="auto"/>
          <w:sz w:val="24"/>
        </w:rPr>
        <w:t>exenatide within the current clinical management algorithm</w:t>
      </w:r>
      <w:r w:rsidR="004222CD" w:rsidRPr="00E850A7">
        <w:rPr>
          <w:rFonts w:asciiTheme="minorHAnsi" w:hAnsiTheme="minorHAnsi"/>
          <w:color w:val="auto"/>
          <w:sz w:val="24"/>
        </w:rPr>
        <w:t>, and in addition, offer a</w:t>
      </w:r>
      <w:r w:rsidR="00B54794" w:rsidRPr="00E850A7">
        <w:rPr>
          <w:rFonts w:asciiTheme="minorHAnsi" w:hAnsiTheme="minorHAnsi"/>
          <w:color w:val="auto"/>
          <w:sz w:val="24"/>
        </w:rPr>
        <w:t xml:space="preserve">n </w:t>
      </w:r>
      <w:r w:rsidR="004222CD" w:rsidRPr="00E850A7">
        <w:rPr>
          <w:rFonts w:asciiTheme="minorHAnsi" w:hAnsiTheme="minorHAnsi"/>
          <w:color w:val="auto"/>
          <w:sz w:val="24"/>
        </w:rPr>
        <w:t xml:space="preserve">alternative to metformin based therapies for patients type 2 diabetes with </w:t>
      </w:r>
      <w:r w:rsidR="002610D6" w:rsidRPr="00E850A7">
        <w:rPr>
          <w:rFonts w:asciiTheme="minorHAnsi" w:hAnsiTheme="minorHAnsi"/>
          <w:color w:val="auto"/>
          <w:sz w:val="24"/>
        </w:rPr>
        <w:t xml:space="preserve">mild to moderate </w:t>
      </w:r>
      <w:r w:rsidR="004222CD" w:rsidRPr="00E850A7">
        <w:rPr>
          <w:rFonts w:asciiTheme="minorHAnsi" w:hAnsiTheme="minorHAnsi"/>
          <w:color w:val="auto"/>
          <w:sz w:val="24"/>
        </w:rPr>
        <w:t>renal impairment</w:t>
      </w:r>
      <w:r w:rsidRPr="00E850A7">
        <w:rPr>
          <w:rFonts w:asciiTheme="minorHAnsi" w:hAnsiTheme="minorHAnsi"/>
          <w:color w:val="auto"/>
          <w:sz w:val="24"/>
        </w:rPr>
        <w:t>.</w:t>
      </w:r>
    </w:p>
    <w:p w:rsidR="00C317F3" w:rsidRPr="00E850A7" w:rsidRDefault="00C317F3" w:rsidP="00F06FC0">
      <w:pPr>
        <w:pStyle w:val="Heading1"/>
        <w:ind w:left="709" w:hanging="709"/>
      </w:pPr>
      <w:bookmarkStart w:id="18" w:name="_Toc413139275"/>
      <w:bookmarkStart w:id="19" w:name="_Toc491873479"/>
      <w:r w:rsidRPr="00E850A7">
        <w:t>Comparator</w:t>
      </w:r>
      <w:bookmarkEnd w:id="18"/>
      <w:bookmarkEnd w:id="19"/>
    </w:p>
    <w:p w:rsidR="002001C6" w:rsidRPr="00E850A7" w:rsidRDefault="002001C6" w:rsidP="00F06FC0">
      <w:pPr>
        <w:pStyle w:val="ListParagraph"/>
        <w:numPr>
          <w:ilvl w:val="0"/>
          <w:numId w:val="3"/>
        </w:numPr>
        <w:spacing w:before="200" w:after="120"/>
        <w:rPr>
          <w:rFonts w:ascii="Arial" w:eastAsia="Times New Roman" w:hAnsi="Arial" w:cs="Arial"/>
          <w:b/>
          <w:snapToGrid w:val="0"/>
          <w:vanish/>
          <w:sz w:val="22"/>
        </w:rPr>
      </w:pPr>
    </w:p>
    <w:p w:rsidR="006B3961" w:rsidRPr="00E850A7" w:rsidRDefault="006B3961" w:rsidP="006B3961">
      <w:pPr>
        <w:pStyle w:val="ListParagraph"/>
        <w:spacing w:before="0" w:after="120"/>
        <w:jc w:val="both"/>
        <w:rPr>
          <w:u w:val="single"/>
        </w:rPr>
      </w:pPr>
      <w:r w:rsidRPr="00E850A7">
        <w:rPr>
          <w:u w:val="single"/>
        </w:rPr>
        <w:t>Triple therapy</w:t>
      </w:r>
    </w:p>
    <w:p w:rsidR="0095170D" w:rsidRPr="00E850A7" w:rsidRDefault="002610D6" w:rsidP="00350108">
      <w:pPr>
        <w:pStyle w:val="ListParagraph"/>
        <w:numPr>
          <w:ilvl w:val="1"/>
          <w:numId w:val="3"/>
        </w:numPr>
        <w:spacing w:before="0" w:after="120"/>
        <w:jc w:val="both"/>
      </w:pPr>
      <w:r w:rsidRPr="00E850A7">
        <w:t xml:space="preserve">The resubmission maintained that the component products empagliflozin and linagliptin, and the injectable diabetes medicines insulin glargine and exenatide are the appropriate main comparators, based on the proposed place in therapy, and argued that the proposed </w:t>
      </w:r>
      <w:r w:rsidR="00A2265F" w:rsidRPr="00E850A7">
        <w:t xml:space="preserve">restriction and </w:t>
      </w:r>
      <w:r w:rsidRPr="00E850A7">
        <w:t>place in therapy (intolerance</w:t>
      </w:r>
      <w:r w:rsidR="00B54794" w:rsidRPr="00E850A7">
        <w:t>/contraindication</w:t>
      </w:r>
      <w:r w:rsidRPr="00E850A7">
        <w:t xml:space="preserve"> to sulfonylureas) excludes other possible comparators.</w:t>
      </w:r>
      <w:r w:rsidR="006B3961" w:rsidRPr="00E850A7">
        <w:t xml:space="preserve"> </w:t>
      </w:r>
    </w:p>
    <w:p w:rsidR="002610D6" w:rsidRPr="00E850A7" w:rsidRDefault="002610D6" w:rsidP="00350108">
      <w:pPr>
        <w:pStyle w:val="ListParagraph"/>
        <w:numPr>
          <w:ilvl w:val="1"/>
          <w:numId w:val="3"/>
        </w:numPr>
        <w:spacing w:before="0" w:after="120"/>
        <w:jc w:val="both"/>
      </w:pPr>
      <w:r w:rsidRPr="00E850A7">
        <w:t xml:space="preserve">At the March 2017 meeting </w:t>
      </w:r>
      <w:r w:rsidR="00DC2038" w:rsidRPr="00E850A7">
        <w:t>the PBAC considered that a comparison against the in</w:t>
      </w:r>
      <w:r w:rsidR="006B3961" w:rsidRPr="00E850A7">
        <w:t>dividual components of the FDC wa</w:t>
      </w:r>
      <w:r w:rsidR="00DC2038" w:rsidRPr="00E850A7">
        <w:t>s appropriate but that the cost-effectiveness of empagliflozin with linagliptin in triple therapy with metformin has not been established</w:t>
      </w:r>
      <w:r w:rsidR="009C5DB6" w:rsidRPr="00E850A7">
        <w:t xml:space="preserve"> (e</w:t>
      </w:r>
      <w:r w:rsidR="00B40DB1" w:rsidRPr="00E850A7">
        <w:t>mpagliflozin with linagliptin PSD, March 2017 para 7.6)</w:t>
      </w:r>
      <w:r w:rsidR="00DC2038" w:rsidRPr="00E850A7">
        <w:t>.  The PBAC also considered that insulin glargine and exenatide may be appropriate comparators to demonstrate cost-effectiveness in triple oral therapy with metformin. The PBAC noted that the requirement for intolerance to sulfonylureas was unworkable and that if removed</w:t>
      </w:r>
      <w:r w:rsidR="00474F37" w:rsidRPr="00E850A7">
        <w:t>,</w:t>
      </w:r>
      <w:r w:rsidR="00DC2038" w:rsidRPr="00E850A7">
        <w:t xml:space="preserve"> triple therapies including metformin, a sulfonylurea and a DPP4 or SGLT2 inhibitor may also be appropriate comparators (</w:t>
      </w:r>
      <w:r w:rsidR="009C5DB6" w:rsidRPr="00E850A7">
        <w:t>e</w:t>
      </w:r>
      <w:r w:rsidR="00EE5FC2" w:rsidRPr="00E850A7">
        <w:t xml:space="preserve">mpagliflozin with linagliptin PSD, </w:t>
      </w:r>
      <w:r w:rsidR="000639FB" w:rsidRPr="00E850A7">
        <w:t xml:space="preserve">March 2017 </w:t>
      </w:r>
      <w:r w:rsidR="00C070D0" w:rsidRPr="00E850A7">
        <w:t xml:space="preserve">para </w:t>
      </w:r>
      <w:r w:rsidR="00DC2038" w:rsidRPr="00E850A7">
        <w:t>5.1-5.5).</w:t>
      </w:r>
    </w:p>
    <w:p w:rsidR="00474F37" w:rsidRPr="00E850A7" w:rsidRDefault="002E6518" w:rsidP="00350108">
      <w:pPr>
        <w:pStyle w:val="ListParagraph"/>
        <w:numPr>
          <w:ilvl w:val="1"/>
          <w:numId w:val="3"/>
        </w:numPr>
        <w:spacing w:before="0" w:after="120"/>
        <w:jc w:val="both"/>
        <w:rPr>
          <w:i/>
        </w:rPr>
      </w:pPr>
      <w:r w:rsidRPr="00E850A7">
        <w:t>The ESC noted that the Secretariat proposed wording removed the requirement for intolerance or contraindication to sulfonylureas, and the PSCR indicated that the sponsor would accept proposed amendments to the restriction</w:t>
      </w:r>
      <w:r w:rsidR="0094349E" w:rsidRPr="00E850A7">
        <w:t xml:space="preserve">. </w:t>
      </w:r>
      <w:r w:rsidR="006B3961" w:rsidRPr="00E850A7">
        <w:t xml:space="preserve">The PBAC maintained its previous view that the restriction should not include a requirement for sulfonylurea intolerance, and therefore </w:t>
      </w:r>
      <w:r w:rsidRPr="00E850A7">
        <w:t xml:space="preserve">triple therapy with a sulfonylurea </w:t>
      </w:r>
      <w:r w:rsidR="0094349E" w:rsidRPr="00E850A7">
        <w:t xml:space="preserve">would </w:t>
      </w:r>
      <w:r w:rsidR="006B3961" w:rsidRPr="00E850A7">
        <w:t xml:space="preserve">also </w:t>
      </w:r>
      <w:r w:rsidR="0094349E" w:rsidRPr="00E850A7">
        <w:t>be</w:t>
      </w:r>
      <w:r w:rsidRPr="00E850A7">
        <w:t xml:space="preserve"> a reasonable comparator. However, the </w:t>
      </w:r>
      <w:r w:rsidR="006B3961" w:rsidRPr="00E850A7">
        <w:t>PBAC</w:t>
      </w:r>
      <w:r w:rsidRPr="00E850A7">
        <w:t xml:space="preserve"> also noted that the </w:t>
      </w:r>
      <w:r w:rsidR="006B3961" w:rsidRPr="00E850A7">
        <w:t>sponsor</w:t>
      </w:r>
      <w:r w:rsidRPr="00E850A7">
        <w:t xml:space="preserve"> indicated that a robust comparison would be difficult due to the lack of </w:t>
      </w:r>
      <w:r w:rsidR="0094349E" w:rsidRPr="00E850A7">
        <w:t xml:space="preserve">clinical trial evidence with </w:t>
      </w:r>
      <w:r w:rsidRPr="00E850A7">
        <w:t>a common comparator.</w:t>
      </w:r>
    </w:p>
    <w:p w:rsidR="00B54794" w:rsidRPr="00E850A7" w:rsidRDefault="00B54794" w:rsidP="00350108">
      <w:pPr>
        <w:pStyle w:val="ListParagraph"/>
        <w:numPr>
          <w:ilvl w:val="1"/>
          <w:numId w:val="3"/>
        </w:numPr>
        <w:spacing w:before="0" w:after="120"/>
        <w:jc w:val="both"/>
      </w:pPr>
      <w:r w:rsidRPr="00E850A7">
        <w:t>The resubmission also included dapagliflozin with saxagliptin FDC as a potential comparator, given this SGLT2 plus DPP4 inhibitor fixed dose combination was considered by the PBAC at the July 2017 meeting. This was appropriate.</w:t>
      </w:r>
    </w:p>
    <w:p w:rsidR="006B3961" w:rsidRPr="00E850A7" w:rsidRDefault="006B3961" w:rsidP="006B3961">
      <w:pPr>
        <w:pStyle w:val="ListParagraph"/>
        <w:spacing w:before="0" w:after="120"/>
        <w:jc w:val="both"/>
        <w:rPr>
          <w:u w:val="single"/>
        </w:rPr>
      </w:pPr>
      <w:r w:rsidRPr="00E850A7">
        <w:rPr>
          <w:u w:val="single"/>
        </w:rPr>
        <w:t>Renal impairment</w:t>
      </w:r>
    </w:p>
    <w:p w:rsidR="00B40DB1" w:rsidRPr="00E850A7" w:rsidRDefault="00BB233E" w:rsidP="00350108">
      <w:pPr>
        <w:pStyle w:val="ListParagraph"/>
        <w:numPr>
          <w:ilvl w:val="1"/>
          <w:numId w:val="3"/>
        </w:numPr>
        <w:spacing w:before="0" w:after="120"/>
        <w:jc w:val="both"/>
      </w:pPr>
      <w:r w:rsidRPr="00E850A7">
        <w:t>In the additional requested restriction for dual therapy alone in patients with type 2 diabetes and mild to moderate renal impairment, the resubmission nominated insulin glargine as the main comparator, based on the proposed place in therapy</w:t>
      </w:r>
      <w:r w:rsidR="00571F16" w:rsidRPr="00E850A7">
        <w:t xml:space="preserve"> and as defined in the proposed restriction</w:t>
      </w:r>
      <w:r w:rsidRPr="00E850A7">
        <w:t>. The nomination of insulin glargine was not adequately justified, and reduced maximum dose metformin or a sulfonylurea in combination with other oral diabete</w:t>
      </w:r>
      <w:r w:rsidR="00571F16" w:rsidRPr="00E850A7">
        <w:t>s</w:t>
      </w:r>
      <w:r w:rsidRPr="00E850A7">
        <w:t xml:space="preserve"> medicines may also be appropriate comparators.</w:t>
      </w:r>
    </w:p>
    <w:p w:rsidR="008A2475" w:rsidRPr="00E850A7" w:rsidRDefault="008A2475" w:rsidP="008A2475">
      <w:pPr>
        <w:pStyle w:val="ListParagraph"/>
        <w:spacing w:before="0" w:after="120"/>
        <w:jc w:val="both"/>
      </w:pPr>
      <w:r w:rsidRPr="00E850A7">
        <w:rPr>
          <w:i/>
        </w:rPr>
        <w:t>For more detail on PBAC’s view, see section 7 PBAC outcome</w:t>
      </w:r>
    </w:p>
    <w:p w:rsidR="00C317F3" w:rsidRPr="00E850A7" w:rsidRDefault="00C317F3" w:rsidP="00EC1249">
      <w:pPr>
        <w:pStyle w:val="Heading1"/>
        <w:ind w:left="709" w:hanging="709"/>
      </w:pPr>
      <w:bookmarkStart w:id="20" w:name="_Toc413139276"/>
      <w:bookmarkStart w:id="21" w:name="_Toc491873480"/>
      <w:r w:rsidRPr="00E850A7">
        <w:t>Consideration of the evidence</w:t>
      </w:r>
      <w:bookmarkEnd w:id="20"/>
      <w:bookmarkEnd w:id="21"/>
    </w:p>
    <w:p w:rsidR="008A2475" w:rsidRPr="00E850A7" w:rsidRDefault="00EC1249" w:rsidP="00EC1249">
      <w:pPr>
        <w:keepLines/>
        <w:widowControl w:val="0"/>
        <w:spacing w:before="0" w:after="120"/>
        <w:outlineLvl w:val="1"/>
        <w:rPr>
          <w:rFonts w:eastAsia="Times New Roman" w:cs="Times New Roman"/>
          <w:b/>
          <w:i/>
          <w:sz w:val="28"/>
          <w:szCs w:val="28"/>
        </w:rPr>
      </w:pPr>
      <w:bookmarkStart w:id="22" w:name="_Toc413139277"/>
      <w:bookmarkStart w:id="23" w:name="_Toc491873481"/>
      <w:r w:rsidRPr="00E850A7">
        <w:rPr>
          <w:rFonts w:eastAsia="Times New Roman" w:cs="Times New Roman"/>
          <w:b/>
          <w:i/>
          <w:sz w:val="28"/>
          <w:szCs w:val="28"/>
        </w:rPr>
        <w:t>Sponsor hearing</w:t>
      </w:r>
    </w:p>
    <w:bookmarkEnd w:id="22"/>
    <w:bookmarkEnd w:id="23"/>
    <w:p w:rsidR="002001C6" w:rsidRPr="00E850A7" w:rsidRDefault="002001C6" w:rsidP="00F06FC0">
      <w:pPr>
        <w:pStyle w:val="ListParagraph"/>
        <w:numPr>
          <w:ilvl w:val="0"/>
          <w:numId w:val="3"/>
        </w:numPr>
        <w:spacing w:before="200" w:after="120"/>
        <w:rPr>
          <w:rFonts w:ascii="Arial" w:eastAsia="Times New Roman" w:hAnsi="Arial" w:cs="Arial"/>
          <w:b/>
          <w:snapToGrid w:val="0"/>
          <w:vanish/>
          <w:sz w:val="22"/>
        </w:rPr>
      </w:pPr>
    </w:p>
    <w:p w:rsidR="00EC1249" w:rsidRPr="00E850A7" w:rsidRDefault="00EC1249" w:rsidP="00350108">
      <w:pPr>
        <w:pStyle w:val="ListParagraph"/>
        <w:numPr>
          <w:ilvl w:val="1"/>
          <w:numId w:val="3"/>
        </w:numPr>
        <w:spacing w:before="0" w:after="120"/>
        <w:jc w:val="both"/>
        <w:rPr>
          <w:szCs w:val="24"/>
        </w:rPr>
      </w:pPr>
      <w:r w:rsidRPr="00E850A7">
        <w:t>There was no hearing for this item.</w:t>
      </w:r>
    </w:p>
    <w:p w:rsidR="00EC1249" w:rsidRPr="00E850A7" w:rsidRDefault="00EC1249" w:rsidP="00EC1249">
      <w:pPr>
        <w:keepLines/>
        <w:widowControl w:val="0"/>
        <w:spacing w:before="0" w:after="120"/>
        <w:outlineLvl w:val="1"/>
        <w:rPr>
          <w:rFonts w:eastAsia="Times New Roman" w:cs="Times New Roman"/>
          <w:b/>
          <w:i/>
          <w:sz w:val="28"/>
          <w:szCs w:val="28"/>
        </w:rPr>
      </w:pPr>
      <w:r w:rsidRPr="00E850A7">
        <w:rPr>
          <w:rFonts w:eastAsia="Times New Roman" w:cs="Times New Roman"/>
          <w:b/>
          <w:i/>
          <w:sz w:val="28"/>
          <w:szCs w:val="28"/>
        </w:rPr>
        <w:t>Consumer comments</w:t>
      </w:r>
    </w:p>
    <w:p w:rsidR="00EC1249" w:rsidRPr="00E850A7" w:rsidRDefault="00EC1249" w:rsidP="00EC1249">
      <w:pPr>
        <w:pStyle w:val="ListParagraph"/>
        <w:numPr>
          <w:ilvl w:val="1"/>
          <w:numId w:val="3"/>
        </w:numPr>
        <w:spacing w:before="0" w:after="120"/>
        <w:jc w:val="both"/>
      </w:pPr>
      <w:r w:rsidRPr="00E850A7">
        <w:t xml:space="preserve">The PBAC noted that no consumer comments were received for this item. </w:t>
      </w:r>
    </w:p>
    <w:p w:rsidR="00EC1249" w:rsidRPr="00E850A7" w:rsidRDefault="00EC1249" w:rsidP="00EC1249">
      <w:pPr>
        <w:keepLines/>
        <w:widowControl w:val="0"/>
        <w:spacing w:before="0" w:after="120"/>
        <w:outlineLvl w:val="1"/>
        <w:rPr>
          <w:rFonts w:eastAsia="Times New Roman" w:cs="Times New Roman"/>
          <w:b/>
          <w:i/>
          <w:sz w:val="28"/>
          <w:szCs w:val="28"/>
        </w:rPr>
      </w:pPr>
      <w:r w:rsidRPr="00E850A7">
        <w:rPr>
          <w:rFonts w:eastAsia="Times New Roman" w:cs="Times New Roman"/>
          <w:b/>
          <w:i/>
          <w:sz w:val="28"/>
          <w:szCs w:val="28"/>
        </w:rPr>
        <w:t>Clinical trials</w:t>
      </w:r>
    </w:p>
    <w:p w:rsidR="00B54794" w:rsidRPr="00E850A7" w:rsidRDefault="00AB10DB" w:rsidP="00350108">
      <w:pPr>
        <w:pStyle w:val="ListParagraph"/>
        <w:numPr>
          <w:ilvl w:val="1"/>
          <w:numId w:val="3"/>
        </w:numPr>
        <w:spacing w:before="0" w:after="120"/>
        <w:jc w:val="both"/>
        <w:rPr>
          <w:szCs w:val="24"/>
        </w:rPr>
      </w:pPr>
      <w:r w:rsidRPr="00E850A7">
        <w:rPr>
          <w:szCs w:val="24"/>
        </w:rPr>
        <w:t>The resubmission present</w:t>
      </w:r>
      <w:r w:rsidR="00B54794" w:rsidRPr="00E850A7">
        <w:rPr>
          <w:szCs w:val="24"/>
        </w:rPr>
        <w:t>ed</w:t>
      </w:r>
      <w:r w:rsidRPr="00E850A7">
        <w:rPr>
          <w:szCs w:val="24"/>
        </w:rPr>
        <w:t xml:space="preserve"> the three comparison</w:t>
      </w:r>
      <w:r w:rsidR="00B54794" w:rsidRPr="00E850A7">
        <w:rPr>
          <w:szCs w:val="24"/>
        </w:rPr>
        <w:t>s</w:t>
      </w:r>
      <w:r w:rsidRPr="00E850A7">
        <w:rPr>
          <w:szCs w:val="24"/>
        </w:rPr>
        <w:t xml:space="preserve"> presented in the March 2017 submission</w:t>
      </w:r>
      <w:r w:rsidR="00B54794" w:rsidRPr="00E850A7">
        <w:rPr>
          <w:szCs w:val="24"/>
        </w:rPr>
        <w:t>:</w:t>
      </w:r>
    </w:p>
    <w:p w:rsidR="00B54794" w:rsidRPr="00E850A7" w:rsidRDefault="006915A6" w:rsidP="00350108">
      <w:pPr>
        <w:pStyle w:val="ListParagraph"/>
        <w:numPr>
          <w:ilvl w:val="0"/>
          <w:numId w:val="24"/>
        </w:numPr>
        <w:spacing w:before="0" w:after="120"/>
        <w:jc w:val="both"/>
        <w:rPr>
          <w:szCs w:val="24"/>
        </w:rPr>
      </w:pPr>
      <w:r w:rsidRPr="00E850A7">
        <w:rPr>
          <w:szCs w:val="24"/>
        </w:rPr>
        <w:t>e</w:t>
      </w:r>
      <w:r w:rsidR="00B54794" w:rsidRPr="00E850A7">
        <w:rPr>
          <w:szCs w:val="24"/>
        </w:rPr>
        <w:t>mpagliflozin with linagliptin FDC vs components empagliflozin or linagliptin;</w:t>
      </w:r>
    </w:p>
    <w:p w:rsidR="00B54794" w:rsidRPr="00E850A7" w:rsidRDefault="006915A6" w:rsidP="00350108">
      <w:pPr>
        <w:pStyle w:val="ListParagraph"/>
        <w:numPr>
          <w:ilvl w:val="0"/>
          <w:numId w:val="24"/>
        </w:numPr>
        <w:spacing w:before="0" w:after="120"/>
        <w:jc w:val="both"/>
        <w:rPr>
          <w:szCs w:val="24"/>
        </w:rPr>
      </w:pPr>
      <w:r w:rsidRPr="00E850A7">
        <w:rPr>
          <w:szCs w:val="24"/>
        </w:rPr>
        <w:t>e</w:t>
      </w:r>
      <w:r w:rsidR="00B54794" w:rsidRPr="00E850A7">
        <w:rPr>
          <w:szCs w:val="24"/>
        </w:rPr>
        <w:t>mpagliflozin with linagliptin FDC vs insulin glargine; and</w:t>
      </w:r>
    </w:p>
    <w:p w:rsidR="00B54794" w:rsidRPr="00E850A7" w:rsidRDefault="006915A6" w:rsidP="00350108">
      <w:pPr>
        <w:pStyle w:val="ListParagraph"/>
        <w:numPr>
          <w:ilvl w:val="0"/>
          <w:numId w:val="24"/>
        </w:numPr>
        <w:spacing w:before="0" w:after="120"/>
        <w:jc w:val="both"/>
        <w:rPr>
          <w:szCs w:val="24"/>
        </w:rPr>
      </w:pPr>
      <w:r w:rsidRPr="00E850A7">
        <w:rPr>
          <w:szCs w:val="24"/>
        </w:rPr>
        <w:t>e</w:t>
      </w:r>
      <w:r w:rsidR="00B54794" w:rsidRPr="00E850A7">
        <w:rPr>
          <w:szCs w:val="24"/>
        </w:rPr>
        <w:t>mpagliflozin with linagliptin FDC vs exenatide 2 mg weekly.</w:t>
      </w:r>
    </w:p>
    <w:p w:rsidR="00AB10DB" w:rsidRPr="00E850A7" w:rsidRDefault="00AB10DB" w:rsidP="00350108">
      <w:pPr>
        <w:pStyle w:val="ListParagraph"/>
        <w:spacing w:before="0" w:after="120"/>
        <w:jc w:val="both"/>
        <w:rPr>
          <w:szCs w:val="24"/>
        </w:rPr>
      </w:pPr>
      <w:r w:rsidRPr="00E850A7">
        <w:rPr>
          <w:szCs w:val="24"/>
        </w:rPr>
        <w:t xml:space="preserve">and </w:t>
      </w:r>
      <w:r w:rsidR="00795589" w:rsidRPr="00E850A7">
        <w:rPr>
          <w:szCs w:val="24"/>
        </w:rPr>
        <w:t xml:space="preserve">two </w:t>
      </w:r>
      <w:r w:rsidR="00506CAA" w:rsidRPr="00E850A7">
        <w:rPr>
          <w:szCs w:val="24"/>
        </w:rPr>
        <w:t xml:space="preserve">additional </w:t>
      </w:r>
      <w:r w:rsidRPr="00E850A7">
        <w:rPr>
          <w:szCs w:val="24"/>
        </w:rPr>
        <w:t>comparisons</w:t>
      </w:r>
      <w:r w:rsidR="00E850A7">
        <w:rPr>
          <w:szCs w:val="24"/>
        </w:rPr>
        <w:t>:</w:t>
      </w:r>
    </w:p>
    <w:p w:rsidR="00CF1F10" w:rsidRPr="00E850A7" w:rsidRDefault="006915A6" w:rsidP="00350108">
      <w:pPr>
        <w:pStyle w:val="ListParagraph"/>
        <w:numPr>
          <w:ilvl w:val="0"/>
          <w:numId w:val="24"/>
        </w:numPr>
        <w:spacing w:before="0" w:after="120"/>
        <w:jc w:val="both"/>
        <w:rPr>
          <w:szCs w:val="24"/>
        </w:rPr>
      </w:pPr>
      <w:r w:rsidRPr="00E850A7">
        <w:rPr>
          <w:szCs w:val="24"/>
        </w:rPr>
        <w:t>e</w:t>
      </w:r>
      <w:r w:rsidR="00CF1F10" w:rsidRPr="00E850A7">
        <w:rPr>
          <w:szCs w:val="24"/>
        </w:rPr>
        <w:t>mpagliflozin with linagliptin FDC vs dapagliflozin with saxagliptin</w:t>
      </w:r>
      <w:r w:rsidR="00B54794" w:rsidRPr="00E850A7">
        <w:rPr>
          <w:szCs w:val="24"/>
        </w:rPr>
        <w:t xml:space="preserve"> (previously presented in an attachment to the March 2017 submission)</w:t>
      </w:r>
      <w:r w:rsidR="00F0264E" w:rsidRPr="00E850A7">
        <w:rPr>
          <w:szCs w:val="24"/>
        </w:rPr>
        <w:t>;</w:t>
      </w:r>
    </w:p>
    <w:p w:rsidR="00CF1F10" w:rsidRPr="00E850A7" w:rsidRDefault="00795589" w:rsidP="00795589">
      <w:pPr>
        <w:pStyle w:val="ListParagraph"/>
        <w:numPr>
          <w:ilvl w:val="0"/>
          <w:numId w:val="24"/>
        </w:numPr>
        <w:spacing w:before="0" w:after="120"/>
        <w:jc w:val="both"/>
        <w:rPr>
          <w:szCs w:val="24"/>
        </w:rPr>
      </w:pPr>
      <w:r w:rsidRPr="00E850A7">
        <w:rPr>
          <w:szCs w:val="24"/>
        </w:rPr>
        <w:t>empagliflozin with linagliptin FDC dual therapy versus the individual components (empagliflozin and linagliptin) in treatment naïve patients, to support the additional requested restriction for patients with type 2 diabetes and mild to moderate renal impairment (</w:t>
      </w:r>
      <w:r w:rsidRPr="00E850A7">
        <w:t>as no relevant insulin glargine trials could be identified</w:t>
      </w:r>
      <w:r w:rsidRPr="00E850A7">
        <w:rPr>
          <w:szCs w:val="24"/>
        </w:rPr>
        <w:t>)</w:t>
      </w:r>
      <w:r w:rsidR="00CF1F10" w:rsidRPr="00E850A7">
        <w:rPr>
          <w:szCs w:val="24"/>
        </w:rPr>
        <w:t>:</w:t>
      </w:r>
    </w:p>
    <w:p w:rsidR="00DB423D" w:rsidRPr="00E850A7" w:rsidRDefault="00DB423D" w:rsidP="00350108">
      <w:pPr>
        <w:pStyle w:val="ListParagraph"/>
        <w:numPr>
          <w:ilvl w:val="1"/>
          <w:numId w:val="3"/>
        </w:numPr>
        <w:spacing w:before="0" w:after="120"/>
        <w:jc w:val="both"/>
        <w:rPr>
          <w:szCs w:val="24"/>
        </w:rPr>
      </w:pPr>
      <w:r w:rsidRPr="00E850A7">
        <w:rPr>
          <w:szCs w:val="24"/>
        </w:rPr>
        <w:t>The resubmission discussed the potential for a comparison with triple therapies including sulfonylureas, and provided a literature search that failed to identify any relevant trials with appropriate common reference arms.</w:t>
      </w:r>
      <w:r w:rsidR="00EC1249" w:rsidRPr="00E850A7">
        <w:rPr>
          <w:szCs w:val="24"/>
        </w:rPr>
        <w:t xml:space="preserve"> </w:t>
      </w:r>
    </w:p>
    <w:p w:rsidR="00C317F3" w:rsidRPr="00E850A7" w:rsidRDefault="00C317F3" w:rsidP="00E925FB">
      <w:pPr>
        <w:pStyle w:val="ListParagraph"/>
        <w:numPr>
          <w:ilvl w:val="1"/>
          <w:numId w:val="3"/>
        </w:numPr>
        <w:spacing w:before="0" w:after="120"/>
        <w:jc w:val="both"/>
      </w:pPr>
      <w:r w:rsidRPr="00E850A7">
        <w:rPr>
          <w:szCs w:val="24"/>
        </w:rPr>
        <w:t xml:space="preserve">Details of the trials presented in the </w:t>
      </w:r>
      <w:r w:rsidR="00704BC2" w:rsidRPr="00E850A7">
        <w:rPr>
          <w:szCs w:val="24"/>
        </w:rPr>
        <w:t>re</w:t>
      </w:r>
      <w:r w:rsidRPr="00E850A7">
        <w:rPr>
          <w:szCs w:val="24"/>
        </w:rPr>
        <w:t>submission are provided in the table below.</w:t>
      </w:r>
      <w:r w:rsidR="00E925FB" w:rsidRPr="00E850A7">
        <w:t xml:space="preserve"> </w:t>
      </w:r>
      <w:r w:rsidR="00F320BD" w:rsidRPr="00E850A7">
        <w:t xml:space="preserve">Table </w:t>
      </w:r>
      <w:r w:rsidR="00234645" w:rsidRPr="00E850A7">
        <w:t>2</w:t>
      </w:r>
      <w:r w:rsidRPr="00E850A7">
        <w:t xml:space="preserve">: Trials and associated reports presented in the </w:t>
      </w:r>
      <w:r w:rsidR="00704BC2" w:rsidRPr="00E850A7">
        <w:t>re</w:t>
      </w:r>
      <w:r w:rsidRPr="00E850A7">
        <w:t>submission</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30"/>
        <w:gridCol w:w="67"/>
        <w:gridCol w:w="5322"/>
        <w:gridCol w:w="1982"/>
      </w:tblGrid>
      <w:tr w:rsidR="00683CDF" w:rsidRPr="00E850A7" w:rsidTr="00683CDF">
        <w:trPr>
          <w:tblHeader/>
        </w:trPr>
        <w:tc>
          <w:tcPr>
            <w:tcW w:w="950" w:type="pct"/>
          </w:tcPr>
          <w:p w:rsidR="00683CDF" w:rsidRPr="00E850A7" w:rsidRDefault="00683CDF" w:rsidP="00F06FC0">
            <w:pPr>
              <w:spacing w:before="40" w:after="40"/>
              <w:rPr>
                <w:rFonts w:ascii="Arial Narrow" w:hAnsi="Arial Narrow"/>
                <w:b/>
                <w:sz w:val="20"/>
                <w:szCs w:val="20"/>
              </w:rPr>
            </w:pPr>
            <w:r w:rsidRPr="00E850A7">
              <w:rPr>
                <w:rFonts w:ascii="Arial Narrow" w:hAnsi="Arial Narrow"/>
                <w:b/>
                <w:sz w:val="20"/>
                <w:szCs w:val="20"/>
              </w:rPr>
              <w:t>Trial ID</w:t>
            </w:r>
          </w:p>
        </w:tc>
        <w:tc>
          <w:tcPr>
            <w:tcW w:w="2961" w:type="pct"/>
            <w:gridSpan w:val="2"/>
          </w:tcPr>
          <w:p w:rsidR="00683CDF" w:rsidRPr="00E850A7" w:rsidRDefault="00683CDF" w:rsidP="00F06FC0">
            <w:pPr>
              <w:spacing w:before="40" w:after="40"/>
              <w:jc w:val="center"/>
              <w:rPr>
                <w:rFonts w:ascii="Arial Narrow" w:hAnsi="Arial Narrow"/>
                <w:b/>
                <w:sz w:val="20"/>
                <w:szCs w:val="20"/>
              </w:rPr>
            </w:pPr>
            <w:r w:rsidRPr="00E850A7">
              <w:rPr>
                <w:rFonts w:ascii="Arial Narrow" w:hAnsi="Arial Narrow"/>
                <w:b/>
                <w:sz w:val="20"/>
                <w:szCs w:val="20"/>
              </w:rPr>
              <w:t>Protocol title/ Publication title</w:t>
            </w:r>
          </w:p>
        </w:tc>
        <w:tc>
          <w:tcPr>
            <w:tcW w:w="1089" w:type="pct"/>
          </w:tcPr>
          <w:p w:rsidR="00683CDF" w:rsidRPr="00E850A7" w:rsidRDefault="00683CDF" w:rsidP="00F06FC0">
            <w:pPr>
              <w:spacing w:before="40" w:after="40"/>
              <w:jc w:val="center"/>
              <w:rPr>
                <w:rFonts w:ascii="Arial Narrow" w:hAnsi="Arial Narrow"/>
                <w:b/>
                <w:sz w:val="20"/>
                <w:szCs w:val="20"/>
              </w:rPr>
            </w:pPr>
            <w:r w:rsidRPr="00E850A7">
              <w:rPr>
                <w:rFonts w:ascii="Arial Narrow" w:hAnsi="Arial Narrow"/>
                <w:b/>
                <w:sz w:val="20"/>
                <w:szCs w:val="20"/>
              </w:rPr>
              <w:t>Publication citation</w:t>
            </w:r>
          </w:p>
        </w:tc>
      </w:tr>
      <w:tr w:rsidR="00683CDF" w:rsidRPr="00E850A7" w:rsidTr="00683CDF">
        <w:tc>
          <w:tcPr>
            <w:tcW w:w="5000" w:type="pct"/>
            <w:gridSpan w:val="4"/>
          </w:tcPr>
          <w:p w:rsidR="00683CDF" w:rsidRPr="00E850A7" w:rsidRDefault="00683CDF" w:rsidP="006915A6">
            <w:pPr>
              <w:spacing w:before="40" w:after="40"/>
              <w:rPr>
                <w:rFonts w:ascii="Arial Narrow" w:hAnsi="Arial Narrow"/>
                <w:b/>
                <w:sz w:val="20"/>
                <w:szCs w:val="20"/>
              </w:rPr>
            </w:pPr>
            <w:r w:rsidRPr="00E850A7">
              <w:rPr>
                <w:rFonts w:ascii="Arial Narrow" w:hAnsi="Arial Narrow"/>
                <w:b/>
                <w:sz w:val="20"/>
                <w:szCs w:val="20"/>
              </w:rPr>
              <w:t>Empagliflozin with linagliptin FDC randomised trials</w:t>
            </w:r>
            <w:r w:rsidR="006915A6" w:rsidRPr="00E850A7">
              <w:rPr>
                <w:rFonts w:ascii="Arial Narrow" w:hAnsi="Arial Narrow"/>
                <w:b/>
                <w:sz w:val="20"/>
                <w:szCs w:val="20"/>
              </w:rPr>
              <w:t xml:space="preserve"> </w:t>
            </w:r>
          </w:p>
        </w:tc>
      </w:tr>
      <w:tr w:rsidR="00683CDF" w:rsidRPr="00E850A7" w:rsidTr="00683CDF">
        <w:tc>
          <w:tcPr>
            <w:tcW w:w="950" w:type="pct"/>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Trial 1275.9</w:t>
            </w:r>
          </w:p>
          <w:p w:rsidR="00683CDF" w:rsidRPr="00E850A7" w:rsidRDefault="00683CDF" w:rsidP="00F06FC0">
            <w:pPr>
              <w:spacing w:before="40" w:after="40"/>
              <w:rPr>
                <w:rFonts w:ascii="Arial Narrow" w:hAnsi="Arial Narrow"/>
                <w:b/>
                <w:sz w:val="20"/>
                <w:szCs w:val="20"/>
              </w:rPr>
            </w:pPr>
            <w:r w:rsidRPr="00E850A7">
              <w:rPr>
                <w:rFonts w:ascii="Arial Narrow" w:hAnsi="Arial Narrow"/>
                <w:sz w:val="20"/>
                <w:szCs w:val="20"/>
              </w:rPr>
              <w:t>(NCT01734785)</w:t>
            </w: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 xml:space="preserve">A phase III, randomised, double-blind, parallel group, 24 week study to evaluate efficacy and safety of once daily empagliflozin 10 mg and 25 mg compared to placebo, all administered as oral fixed dose combinations with linagliptin 5 mg, in patients with type 2 diabetes mellitus and insufficient glycaemic control after 16 weeks treatment with linagliptin 5 mg once daily on metformin background therapy. </w:t>
            </w:r>
          </w:p>
        </w:tc>
        <w:tc>
          <w:tcPr>
            <w:tcW w:w="1089" w:type="pct"/>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Date: 3 Sept 2015.</w:t>
            </w:r>
          </w:p>
        </w:tc>
      </w:tr>
      <w:tr w:rsidR="00683CDF" w:rsidRPr="00E850A7" w:rsidTr="00683CDF">
        <w:tc>
          <w:tcPr>
            <w:tcW w:w="950" w:type="pct"/>
            <w:tcBorders>
              <w:bottom w:val="single" w:sz="4" w:space="0" w:color="auto"/>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Trial 1275.10</w:t>
            </w:r>
          </w:p>
          <w:p w:rsidR="00683CDF" w:rsidRPr="00E850A7" w:rsidRDefault="00683CDF" w:rsidP="00F06FC0">
            <w:pPr>
              <w:spacing w:before="40" w:after="40"/>
              <w:rPr>
                <w:rFonts w:ascii="Arial Narrow" w:hAnsi="Arial Narrow"/>
                <w:b/>
                <w:sz w:val="20"/>
                <w:szCs w:val="20"/>
              </w:rPr>
            </w:pPr>
            <w:r w:rsidRPr="00E850A7">
              <w:rPr>
                <w:rFonts w:ascii="Arial Narrow" w:hAnsi="Arial Narrow"/>
                <w:sz w:val="20"/>
                <w:szCs w:val="20"/>
              </w:rPr>
              <w:t>(NCT01778049)</w:t>
            </w:r>
          </w:p>
        </w:tc>
        <w:tc>
          <w:tcPr>
            <w:tcW w:w="2961" w:type="pct"/>
            <w:gridSpan w:val="2"/>
          </w:tcPr>
          <w:p w:rsidR="00683CDF" w:rsidRPr="00E850A7" w:rsidRDefault="00683CDF" w:rsidP="00F06FC0">
            <w:pPr>
              <w:spacing w:before="40" w:after="40"/>
              <w:rPr>
                <w:rFonts w:ascii="Arial Narrow" w:hAnsi="Arial Narrow"/>
                <w:b/>
                <w:sz w:val="20"/>
                <w:szCs w:val="20"/>
              </w:rPr>
            </w:pPr>
            <w:r w:rsidRPr="00E850A7">
              <w:rPr>
                <w:rFonts w:ascii="Arial Narrow" w:hAnsi="Arial Narrow"/>
                <w:sz w:val="20"/>
                <w:szCs w:val="20"/>
              </w:rPr>
              <w:t xml:space="preserve">A phase III, randomised, double-blind, parallel group study to evaluate efficacy and safety of linagliptin 5 mg compared to placebo, administered as oral fixed dose combinations with empagliflozin 10 mg or 25 mg for 24 weeks, in patients with type 2 diabetes mellitus and insufficient glycaemic control after 16 weeks treatment with empagliflozin 10 mg or 25 mg once daily on metformin background therapy. </w:t>
            </w:r>
          </w:p>
        </w:tc>
        <w:tc>
          <w:tcPr>
            <w:tcW w:w="1089" w:type="pct"/>
            <w:tcBorders>
              <w:bottom w:val="single" w:sz="4" w:space="0" w:color="auto"/>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Date: 3 Sept 2015.</w:t>
            </w:r>
          </w:p>
        </w:tc>
      </w:tr>
      <w:tr w:rsidR="00683CDF" w:rsidRPr="00E850A7" w:rsidTr="00683CDF">
        <w:tc>
          <w:tcPr>
            <w:tcW w:w="950" w:type="pct"/>
            <w:tcBorders>
              <w:bottom w:val="nil"/>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Trial 1275.1</w:t>
            </w:r>
          </w:p>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(NCT014 2876)</w:t>
            </w: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A phase III randomized, double-blind, parallel group study to evaluate the efficacy and safety of once daily oral administration of BI 10773 25 mg/linagliptin 5 mg and BI 10773 10 mg/linagliptin 5 mg Fixed Dose Combination tablets compared with the individual components (BI 10773 25 mg, BI 10773 10 mg, and linagliptin 5 mg) for 52 weeks in treatment naïve and metformin treated patients with type 2 diabetes mellitus with insufficient glycaemic control.</w:t>
            </w:r>
          </w:p>
        </w:tc>
        <w:tc>
          <w:tcPr>
            <w:tcW w:w="1089" w:type="pct"/>
            <w:tcBorders>
              <w:bottom w:val="nil"/>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Date: 23 Dec 2013.</w:t>
            </w:r>
          </w:p>
        </w:tc>
      </w:tr>
      <w:tr w:rsidR="00683CDF" w:rsidRPr="00E850A7" w:rsidTr="00683CDF">
        <w:tc>
          <w:tcPr>
            <w:tcW w:w="950" w:type="pct"/>
            <w:tcBorders>
              <w:top w:val="nil"/>
              <w:bottom w:val="nil"/>
            </w:tcBorders>
          </w:tcPr>
          <w:p w:rsidR="00683CDF" w:rsidRPr="00E850A7" w:rsidRDefault="00683CDF" w:rsidP="00F06FC0">
            <w:pPr>
              <w:spacing w:before="40" w:after="40"/>
              <w:rPr>
                <w:rFonts w:ascii="Arial Narrow" w:hAnsi="Arial Narrow"/>
                <w:sz w:val="20"/>
                <w:szCs w:val="20"/>
              </w:rPr>
            </w:pPr>
          </w:p>
        </w:tc>
        <w:tc>
          <w:tcPr>
            <w:tcW w:w="2961" w:type="pct"/>
            <w:gridSpan w:val="2"/>
          </w:tcPr>
          <w:p w:rsidR="00683CDF" w:rsidRDefault="00683CDF" w:rsidP="00F06FC0">
            <w:pPr>
              <w:spacing w:before="40" w:after="40"/>
              <w:rPr>
                <w:rFonts w:ascii="Arial Narrow" w:hAnsi="Arial Narrow"/>
                <w:sz w:val="20"/>
                <w:szCs w:val="20"/>
              </w:rPr>
            </w:pPr>
            <w:r w:rsidRPr="00E850A7">
              <w:rPr>
                <w:rFonts w:ascii="Arial Narrow" w:hAnsi="Arial Narrow"/>
                <w:sz w:val="20"/>
                <w:szCs w:val="20"/>
              </w:rPr>
              <w:t xml:space="preserve">DeFronzo RA, Lewin A, Patel S et al. Combination of empagliflozin and linagliptin as second-line therapy in subjects with type 2 diabetes inadequately controlled on metformin. </w:t>
            </w:r>
          </w:p>
          <w:p w:rsidR="00196230" w:rsidRPr="00E850A7" w:rsidRDefault="00196230" w:rsidP="00F06FC0">
            <w:pPr>
              <w:spacing w:before="40" w:after="40"/>
              <w:rPr>
                <w:rFonts w:ascii="Arial Narrow" w:hAnsi="Arial Narrow"/>
                <w:sz w:val="20"/>
                <w:szCs w:val="20"/>
              </w:rPr>
            </w:pPr>
          </w:p>
        </w:tc>
        <w:tc>
          <w:tcPr>
            <w:tcW w:w="1089" w:type="pct"/>
            <w:tcBorders>
              <w:top w:val="nil"/>
              <w:bottom w:val="nil"/>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Diabetes Care 2015; 38(3):384-393.</w:t>
            </w:r>
          </w:p>
        </w:tc>
      </w:tr>
      <w:tr w:rsidR="00683CDF" w:rsidRPr="00E850A7" w:rsidTr="00683CDF">
        <w:tc>
          <w:tcPr>
            <w:tcW w:w="950" w:type="pct"/>
            <w:tcBorders>
              <w:top w:val="nil"/>
            </w:tcBorders>
          </w:tcPr>
          <w:p w:rsidR="00683CDF" w:rsidRPr="00E850A7" w:rsidRDefault="00683CDF" w:rsidP="00F06FC0">
            <w:pPr>
              <w:spacing w:before="40" w:after="40"/>
              <w:rPr>
                <w:rFonts w:ascii="Arial Narrow" w:hAnsi="Arial Narrow"/>
                <w:sz w:val="20"/>
                <w:szCs w:val="20"/>
              </w:rPr>
            </w:pPr>
          </w:p>
        </w:tc>
        <w:tc>
          <w:tcPr>
            <w:tcW w:w="2961" w:type="pct"/>
            <w:gridSpan w:val="2"/>
          </w:tcPr>
          <w:p w:rsidR="00683CDF" w:rsidRDefault="00683CDF" w:rsidP="00F06FC0">
            <w:pPr>
              <w:spacing w:before="40" w:after="40"/>
              <w:rPr>
                <w:rFonts w:ascii="Arial Narrow" w:hAnsi="Arial Narrow"/>
                <w:sz w:val="20"/>
                <w:szCs w:val="20"/>
              </w:rPr>
            </w:pPr>
            <w:r w:rsidRPr="00E850A7">
              <w:rPr>
                <w:rFonts w:ascii="Arial Narrow" w:hAnsi="Arial Narrow"/>
                <w:sz w:val="20"/>
                <w:szCs w:val="20"/>
              </w:rPr>
              <w:t xml:space="preserve">Lewin A, DeFronzo RA, Patel S et al. Initial combination of empagliflozin and linagliptin in subjects with type 2 diabetes. </w:t>
            </w:r>
          </w:p>
          <w:p w:rsidR="00196230" w:rsidRDefault="00196230" w:rsidP="00F06FC0">
            <w:pPr>
              <w:spacing w:before="40" w:after="40"/>
              <w:rPr>
                <w:rFonts w:ascii="Arial Narrow" w:hAnsi="Arial Narrow"/>
                <w:sz w:val="20"/>
                <w:szCs w:val="20"/>
              </w:rPr>
            </w:pPr>
          </w:p>
          <w:p w:rsidR="00196230" w:rsidRPr="00E850A7" w:rsidRDefault="00196230" w:rsidP="00F06FC0">
            <w:pPr>
              <w:spacing w:before="40" w:after="40"/>
              <w:rPr>
                <w:rFonts w:ascii="Arial Narrow" w:hAnsi="Arial Narrow"/>
                <w:sz w:val="20"/>
                <w:szCs w:val="20"/>
              </w:rPr>
            </w:pPr>
          </w:p>
        </w:tc>
        <w:tc>
          <w:tcPr>
            <w:tcW w:w="1089" w:type="pct"/>
            <w:tcBorders>
              <w:top w:val="nil"/>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Diabetes Care 2015; 38(3):394-402.</w:t>
            </w:r>
          </w:p>
        </w:tc>
      </w:tr>
      <w:tr w:rsidR="00683CDF" w:rsidRPr="00E850A7" w:rsidTr="00683CDF">
        <w:tc>
          <w:tcPr>
            <w:tcW w:w="5000" w:type="pct"/>
            <w:gridSpan w:val="4"/>
          </w:tcPr>
          <w:p w:rsidR="00683CDF" w:rsidRPr="00E850A7" w:rsidRDefault="00683CDF" w:rsidP="00F06FC0">
            <w:pPr>
              <w:spacing w:before="40" w:after="40"/>
              <w:rPr>
                <w:rFonts w:ascii="Arial Narrow" w:hAnsi="Arial Narrow"/>
                <w:b/>
                <w:sz w:val="20"/>
                <w:szCs w:val="20"/>
              </w:rPr>
            </w:pPr>
            <w:r w:rsidRPr="00E850A7">
              <w:rPr>
                <w:rFonts w:ascii="Arial Narrow" w:hAnsi="Arial Narrow"/>
                <w:b/>
                <w:sz w:val="20"/>
                <w:szCs w:val="20"/>
              </w:rPr>
              <w:t>Insulin glargine randomised trials</w:t>
            </w:r>
            <w:r w:rsidR="006915A6" w:rsidRPr="00E850A7">
              <w:rPr>
                <w:rFonts w:ascii="Arial Narrow" w:hAnsi="Arial Narrow"/>
                <w:b/>
                <w:sz w:val="20"/>
                <w:szCs w:val="20"/>
              </w:rPr>
              <w:t xml:space="preserve"> </w:t>
            </w:r>
          </w:p>
        </w:tc>
      </w:tr>
      <w:tr w:rsidR="00683CDF" w:rsidRPr="00E850A7" w:rsidTr="00683CDF">
        <w:tc>
          <w:tcPr>
            <w:tcW w:w="950" w:type="pct"/>
            <w:tcBorders>
              <w:bottom w:val="single" w:sz="4" w:space="0" w:color="auto"/>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EASIE</w:t>
            </w:r>
          </w:p>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(NCT00751114)</w:t>
            </w:r>
          </w:p>
        </w:tc>
        <w:tc>
          <w:tcPr>
            <w:tcW w:w="2961" w:type="pct"/>
            <w:gridSpan w:val="2"/>
          </w:tcPr>
          <w:p w:rsidR="00683CDF" w:rsidRDefault="00683CDF" w:rsidP="00F06FC0">
            <w:pPr>
              <w:spacing w:before="40" w:after="40"/>
              <w:rPr>
                <w:rFonts w:ascii="Arial Narrow" w:hAnsi="Arial Narrow"/>
                <w:sz w:val="20"/>
                <w:szCs w:val="20"/>
              </w:rPr>
            </w:pPr>
            <w:r w:rsidRPr="00E850A7">
              <w:rPr>
                <w:rFonts w:ascii="Arial Narrow" w:hAnsi="Arial Narrow"/>
                <w:sz w:val="20"/>
                <w:szCs w:val="20"/>
              </w:rPr>
              <w:t>Aschner P, Chan J, Owens DR, Picard S, Wang E, Dain M-P et al. Insulin glargine versus sitagliptin in insulin-naïve patients with type 2 diabetes mellitus uncontrolled on metformin (EASIE): A multicentre, randomised open-label trial.</w:t>
            </w:r>
          </w:p>
          <w:p w:rsidR="00196230" w:rsidRPr="00E850A7" w:rsidRDefault="00196230" w:rsidP="00F06FC0">
            <w:pPr>
              <w:spacing w:before="40" w:after="40"/>
              <w:rPr>
                <w:rFonts w:ascii="Arial Narrow" w:hAnsi="Arial Narrow"/>
                <w:sz w:val="20"/>
                <w:szCs w:val="20"/>
              </w:rPr>
            </w:pPr>
          </w:p>
        </w:tc>
        <w:tc>
          <w:tcPr>
            <w:tcW w:w="1089" w:type="pct"/>
            <w:tcBorders>
              <w:bottom w:val="single" w:sz="4" w:space="0" w:color="auto"/>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Lancet 2012; 379(9833):2262-2269.</w:t>
            </w:r>
          </w:p>
        </w:tc>
      </w:tr>
      <w:tr w:rsidR="00683CDF" w:rsidRPr="00E850A7" w:rsidTr="00683CDF">
        <w:tc>
          <w:tcPr>
            <w:tcW w:w="5000" w:type="pct"/>
            <w:gridSpan w:val="4"/>
          </w:tcPr>
          <w:p w:rsidR="00683CDF" w:rsidRPr="00E850A7" w:rsidRDefault="00683CDF" w:rsidP="00F06FC0">
            <w:pPr>
              <w:spacing w:before="40" w:after="40"/>
              <w:rPr>
                <w:rFonts w:ascii="Arial Narrow" w:hAnsi="Arial Narrow"/>
                <w:b/>
                <w:sz w:val="20"/>
                <w:szCs w:val="20"/>
              </w:rPr>
            </w:pPr>
            <w:r w:rsidRPr="00E850A7">
              <w:rPr>
                <w:rFonts w:ascii="Arial Narrow" w:hAnsi="Arial Narrow"/>
                <w:b/>
                <w:sz w:val="20"/>
                <w:szCs w:val="20"/>
              </w:rPr>
              <w:t>Exenatide randomised trials</w:t>
            </w:r>
          </w:p>
        </w:tc>
      </w:tr>
      <w:tr w:rsidR="00683CDF" w:rsidRPr="00E850A7" w:rsidTr="00216CB1">
        <w:trPr>
          <w:cantSplit/>
        </w:trPr>
        <w:tc>
          <w:tcPr>
            <w:tcW w:w="950" w:type="pct"/>
            <w:tcBorders>
              <w:bottom w:val="nil"/>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Duration 2</w:t>
            </w:r>
          </w:p>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(NCT00637273)</w:t>
            </w: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Bergenstal RM, Wysham C, Macconell L, Malloy J, Walsh B, Yan P et al. Efficacy and safety of exenatide once weekly versus sitagliptin or pioglitazone as an adjunct to metformin for treatment of type 2 diabetes (DURATION-2): A randomised trial.</w:t>
            </w:r>
          </w:p>
        </w:tc>
        <w:tc>
          <w:tcPr>
            <w:tcW w:w="1089" w:type="pct"/>
            <w:tcBorders>
              <w:bottom w:val="nil"/>
            </w:tcBorders>
          </w:tcPr>
          <w:p w:rsidR="00683CDF" w:rsidRPr="00E850A7" w:rsidRDefault="00683CDF" w:rsidP="00F06FC0">
            <w:pPr>
              <w:pStyle w:val="TableText"/>
              <w:keepLines/>
              <w:rPr>
                <w:szCs w:val="20"/>
              </w:rPr>
            </w:pPr>
            <w:r w:rsidRPr="00E850A7">
              <w:rPr>
                <w:szCs w:val="20"/>
              </w:rPr>
              <w:t>Lancet 2010; 376(9739):431-439.</w:t>
            </w:r>
          </w:p>
        </w:tc>
      </w:tr>
      <w:tr w:rsidR="00683CDF" w:rsidRPr="00E850A7" w:rsidTr="00683CDF">
        <w:tc>
          <w:tcPr>
            <w:tcW w:w="950" w:type="pct"/>
            <w:tcBorders>
              <w:top w:val="nil"/>
              <w:bottom w:val="single" w:sz="4" w:space="0" w:color="auto"/>
            </w:tcBorders>
          </w:tcPr>
          <w:p w:rsidR="00683CDF" w:rsidRPr="00E850A7" w:rsidRDefault="00683CDF" w:rsidP="00F06FC0">
            <w:pPr>
              <w:spacing w:before="40" w:after="40"/>
              <w:rPr>
                <w:rFonts w:ascii="Arial Narrow" w:hAnsi="Arial Narrow"/>
                <w:sz w:val="20"/>
                <w:szCs w:val="20"/>
              </w:rPr>
            </w:pP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Best JH, Rubin RR, Peyrot M, Li Y, Yan P, Malloy J et al. Weight-related quality of life, health utility, psychological well-being, and satisfaction with exenatide once weekly compared with sitagliptin or pioglitazone after 26 weeks of treatment.</w:t>
            </w:r>
          </w:p>
        </w:tc>
        <w:tc>
          <w:tcPr>
            <w:tcW w:w="1089" w:type="pct"/>
          </w:tcPr>
          <w:p w:rsidR="00683CDF" w:rsidRPr="00E850A7" w:rsidRDefault="00683CDF" w:rsidP="00F06FC0">
            <w:pPr>
              <w:pStyle w:val="TableText"/>
              <w:keepLines/>
              <w:rPr>
                <w:szCs w:val="20"/>
              </w:rPr>
            </w:pPr>
            <w:r w:rsidRPr="00E850A7">
              <w:rPr>
                <w:szCs w:val="20"/>
              </w:rPr>
              <w:t>Diabetes Care 2011; 34(2):314-319.</w:t>
            </w:r>
          </w:p>
        </w:tc>
      </w:tr>
      <w:tr w:rsidR="00683CDF" w:rsidRPr="00E850A7" w:rsidTr="00683CDF">
        <w:tc>
          <w:tcPr>
            <w:tcW w:w="950" w:type="pct"/>
            <w:tcBorders>
              <w:bottom w:val="nil"/>
            </w:tcBorders>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Duration Neo 2</w:t>
            </w:r>
          </w:p>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(NCT01652729)</w:t>
            </w: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Comparison study of the glycemic effects, safety, and tolerability of exenatide once weekly suspension to sitagliptin and placebo in subjects with type 2 diabetes mellitus (DURATION-NEO-2).</w:t>
            </w:r>
          </w:p>
        </w:tc>
        <w:tc>
          <w:tcPr>
            <w:tcW w:w="1089" w:type="pct"/>
          </w:tcPr>
          <w:p w:rsidR="00683CDF" w:rsidRPr="00E850A7" w:rsidRDefault="00683CDF" w:rsidP="00F06FC0">
            <w:pPr>
              <w:pStyle w:val="TableText"/>
              <w:keepLines/>
              <w:rPr>
                <w:szCs w:val="20"/>
              </w:rPr>
            </w:pPr>
            <w:r w:rsidRPr="00E850A7">
              <w:rPr>
                <w:szCs w:val="20"/>
              </w:rPr>
              <w:t>Available from: https://clinicaltrials.gov/ct2/show/study/NCT01652729?sect=X70156</w:t>
            </w:r>
          </w:p>
        </w:tc>
      </w:tr>
      <w:tr w:rsidR="00683CDF" w:rsidRPr="00E850A7" w:rsidTr="00683CDF">
        <w:tc>
          <w:tcPr>
            <w:tcW w:w="950" w:type="pct"/>
            <w:tcBorders>
              <w:top w:val="nil"/>
            </w:tcBorders>
          </w:tcPr>
          <w:p w:rsidR="00683CDF" w:rsidRPr="00E850A7" w:rsidRDefault="00683CDF" w:rsidP="00F06FC0">
            <w:pPr>
              <w:spacing w:before="40" w:after="40"/>
              <w:rPr>
                <w:rFonts w:ascii="Arial Narrow" w:hAnsi="Arial Narrow"/>
                <w:sz w:val="20"/>
                <w:szCs w:val="20"/>
              </w:rPr>
            </w:pP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 xml:space="preserve">Gadde KM, Vetter ML, Iqbal N, Hardy E, Ohman P. Efficacy and safety of autoinjected exenatide once-weekly suspension versus sitagliptin or placebo with metformin in patients with type 2 diabetes: The DURATION-NEO-2 randomized clinical study. </w:t>
            </w:r>
          </w:p>
        </w:tc>
        <w:tc>
          <w:tcPr>
            <w:tcW w:w="1089" w:type="pct"/>
          </w:tcPr>
          <w:p w:rsidR="00683CDF" w:rsidRPr="00E850A7" w:rsidRDefault="00683CDF" w:rsidP="00F06FC0">
            <w:pPr>
              <w:pStyle w:val="TableText"/>
              <w:keepLines/>
              <w:rPr>
                <w:szCs w:val="20"/>
              </w:rPr>
            </w:pPr>
            <w:r w:rsidRPr="00E850A7">
              <w:rPr>
                <w:szCs w:val="20"/>
              </w:rPr>
              <w:t>Diabetes Obes Metab 2017; 19(7):979-988.</w:t>
            </w:r>
          </w:p>
        </w:tc>
      </w:tr>
      <w:tr w:rsidR="00683CDF" w:rsidRPr="00E850A7" w:rsidTr="00683CDF">
        <w:tc>
          <w:tcPr>
            <w:tcW w:w="950" w:type="pct"/>
            <w:tcBorders>
              <w:top w:val="nil"/>
            </w:tcBorders>
          </w:tcPr>
          <w:p w:rsidR="00683CDF" w:rsidRPr="00E850A7" w:rsidRDefault="00683CDF" w:rsidP="00F06FC0">
            <w:pPr>
              <w:spacing w:before="40" w:after="40"/>
              <w:rPr>
                <w:rFonts w:ascii="Arial Narrow" w:hAnsi="Arial Narrow"/>
                <w:sz w:val="20"/>
                <w:szCs w:val="20"/>
                <w:vertAlign w:val="superscript"/>
              </w:rPr>
            </w:pPr>
            <w:r w:rsidRPr="00E850A7">
              <w:rPr>
                <w:rFonts w:ascii="Arial Narrow" w:hAnsi="Arial Narrow"/>
                <w:sz w:val="20"/>
                <w:szCs w:val="20"/>
              </w:rPr>
              <w:t xml:space="preserve">Duration 8 </w:t>
            </w:r>
            <w:r w:rsidRPr="00E850A7">
              <w:rPr>
                <w:rFonts w:ascii="Arial Narrow" w:hAnsi="Arial Narrow"/>
                <w:sz w:val="20"/>
                <w:szCs w:val="20"/>
                <w:vertAlign w:val="superscript"/>
              </w:rPr>
              <w:t>*</w:t>
            </w:r>
          </w:p>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(NCT02229396)</w:t>
            </w: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 xml:space="preserve">Frías JP, Guja C, Hardy E, Ahmed A, Dong F, Öhman P, Jabbour SA. Exenatide once weekly plus dapagliflozin once daily versus exenatide or dapagliflozin alone in patients with type 2 diabetes inadequately controlled with metformin monotherapy (DURATION-8): a 28 week, multicentre, double-blind, phase 3, randomised controlled trial. </w:t>
            </w:r>
          </w:p>
        </w:tc>
        <w:tc>
          <w:tcPr>
            <w:tcW w:w="1089" w:type="pct"/>
          </w:tcPr>
          <w:p w:rsidR="00683CDF" w:rsidRPr="00E850A7" w:rsidRDefault="00683CDF" w:rsidP="00F06FC0">
            <w:pPr>
              <w:pStyle w:val="TableText"/>
              <w:keepLines/>
              <w:rPr>
                <w:szCs w:val="20"/>
              </w:rPr>
            </w:pPr>
            <w:r w:rsidRPr="00E850A7">
              <w:rPr>
                <w:szCs w:val="20"/>
              </w:rPr>
              <w:t>The Lancet Diabetes &amp; Endocrinology 2016;4(12):1004-16</w:t>
            </w:r>
          </w:p>
        </w:tc>
      </w:tr>
      <w:tr w:rsidR="00683CDF" w:rsidRPr="00E850A7" w:rsidTr="00683CDF">
        <w:tc>
          <w:tcPr>
            <w:tcW w:w="5000" w:type="pct"/>
            <w:gridSpan w:val="4"/>
          </w:tcPr>
          <w:p w:rsidR="00683CDF" w:rsidRPr="00E850A7" w:rsidRDefault="00683CDF" w:rsidP="00F06FC0">
            <w:pPr>
              <w:spacing w:before="40" w:after="40"/>
              <w:rPr>
                <w:rFonts w:ascii="Arial Narrow" w:hAnsi="Arial Narrow"/>
                <w:b/>
                <w:sz w:val="20"/>
                <w:szCs w:val="20"/>
              </w:rPr>
            </w:pPr>
            <w:r w:rsidRPr="00E850A7">
              <w:rPr>
                <w:rFonts w:ascii="Arial Narrow" w:hAnsi="Arial Narrow"/>
                <w:b/>
                <w:sz w:val="20"/>
                <w:szCs w:val="20"/>
              </w:rPr>
              <w:t>Supplementary bioequivalence trial</w:t>
            </w:r>
          </w:p>
        </w:tc>
      </w:tr>
      <w:tr w:rsidR="00683CDF" w:rsidRPr="00E850A7" w:rsidTr="00683CDF">
        <w:tc>
          <w:tcPr>
            <w:tcW w:w="950" w:type="pct"/>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Trial 1275.3</w:t>
            </w:r>
          </w:p>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(NCT01189201)</w:t>
            </w:r>
          </w:p>
        </w:tc>
        <w:tc>
          <w:tcPr>
            <w:tcW w:w="2961" w:type="pct"/>
            <w:gridSpan w:val="2"/>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Relative bioavailability investigations of a 25 mg BI 10773 / 5 mg linagliptin fixed dose combination (FDC) tablet (formulation A1) including the comparison with its mono-components, the comparison with a second FDC tablet (formulation A3), and the investigation of food (an open-label, randomised, single dose, crossover, Phase I trial in healthy male and female volunteers).</w:t>
            </w:r>
          </w:p>
        </w:tc>
        <w:tc>
          <w:tcPr>
            <w:tcW w:w="1089" w:type="pct"/>
          </w:tcPr>
          <w:p w:rsidR="00683CDF" w:rsidRPr="00E850A7" w:rsidRDefault="00683CDF" w:rsidP="00F06FC0">
            <w:pPr>
              <w:spacing w:before="40" w:after="40"/>
              <w:rPr>
                <w:rFonts w:ascii="Arial Narrow" w:hAnsi="Arial Narrow"/>
                <w:sz w:val="20"/>
                <w:szCs w:val="20"/>
              </w:rPr>
            </w:pPr>
            <w:r w:rsidRPr="00E850A7">
              <w:rPr>
                <w:rFonts w:ascii="Arial Narrow" w:hAnsi="Arial Narrow"/>
                <w:sz w:val="20"/>
                <w:szCs w:val="20"/>
              </w:rPr>
              <w:t>Date: 20 May 2011.</w:t>
            </w:r>
          </w:p>
        </w:tc>
      </w:tr>
      <w:tr w:rsidR="00683CDF" w:rsidRPr="00E850A7" w:rsidTr="00683CDF">
        <w:tc>
          <w:tcPr>
            <w:tcW w:w="5000" w:type="pct"/>
            <w:gridSpan w:val="4"/>
          </w:tcPr>
          <w:p w:rsidR="00683CDF" w:rsidRPr="00E850A7" w:rsidRDefault="00683CDF" w:rsidP="00F06FC0">
            <w:pPr>
              <w:spacing w:before="40" w:after="40"/>
              <w:rPr>
                <w:rFonts w:ascii="Arial Narrow" w:hAnsi="Arial Narrow"/>
                <w:b/>
                <w:sz w:val="20"/>
              </w:rPr>
            </w:pPr>
            <w:r w:rsidRPr="00E850A7">
              <w:rPr>
                <w:rFonts w:ascii="Arial Narrow" w:hAnsi="Arial Narrow"/>
                <w:b/>
                <w:sz w:val="20"/>
              </w:rPr>
              <w:t>Dapagliflozin with saxagliptin FDC randomised trials</w:t>
            </w:r>
          </w:p>
        </w:tc>
      </w:tr>
      <w:tr w:rsidR="00683CDF" w:rsidRPr="00E850A7" w:rsidTr="000566AA">
        <w:tc>
          <w:tcPr>
            <w:tcW w:w="987" w:type="pct"/>
            <w:gridSpan w:val="2"/>
            <w:tcBorders>
              <w:bottom w:val="nil"/>
            </w:tcBorders>
          </w:tcPr>
          <w:p w:rsidR="00683CDF" w:rsidRPr="00E850A7" w:rsidRDefault="00683CDF" w:rsidP="00F06FC0">
            <w:pPr>
              <w:pStyle w:val="TableText"/>
              <w:keepLines/>
            </w:pPr>
            <w:r w:rsidRPr="00E850A7">
              <w:t>Mathieu 2015</w:t>
            </w:r>
            <w:r w:rsidRPr="00E850A7">
              <w:rPr>
                <w:vertAlign w:val="superscript"/>
              </w:rPr>
              <w:t xml:space="preserve"> †</w:t>
            </w:r>
          </w:p>
          <w:p w:rsidR="00683CDF" w:rsidRPr="00E850A7" w:rsidRDefault="00683CDF" w:rsidP="00F06FC0">
            <w:pPr>
              <w:spacing w:before="40" w:after="40"/>
              <w:rPr>
                <w:rFonts w:ascii="Arial Narrow" w:hAnsi="Arial Narrow"/>
                <w:sz w:val="20"/>
              </w:rPr>
            </w:pPr>
            <w:r w:rsidRPr="00E850A7">
              <w:rPr>
                <w:rFonts w:ascii="Arial Narrow" w:hAnsi="Arial Narrow"/>
                <w:sz w:val="20"/>
              </w:rPr>
              <w:t>(NCT01646320)</w:t>
            </w:r>
          </w:p>
        </w:tc>
        <w:tc>
          <w:tcPr>
            <w:tcW w:w="2924" w:type="pct"/>
            <w:vAlign w:val="center"/>
          </w:tcPr>
          <w:p w:rsidR="00683CDF" w:rsidRPr="00E850A7" w:rsidRDefault="00683CDF" w:rsidP="00F06FC0">
            <w:pPr>
              <w:pStyle w:val="TableText"/>
              <w:keepLines/>
            </w:pPr>
            <w:r w:rsidRPr="00E850A7">
              <w:t xml:space="preserve">Mathieu C, Ranetti AE, Li D, Ekholm E, Cook W, Hirshberg B et al. Randomized, double-blind, phase 3 trial of triple therapy with dapagliflozin add-on to saxagliptin plus metformin in type 2 diabetes. </w:t>
            </w:r>
          </w:p>
        </w:tc>
        <w:tc>
          <w:tcPr>
            <w:tcW w:w="1089"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Diabetes care 2015;38(11):2009-2017</w:t>
            </w:r>
          </w:p>
        </w:tc>
      </w:tr>
      <w:tr w:rsidR="00683CDF" w:rsidRPr="00E850A7" w:rsidTr="000566AA">
        <w:tc>
          <w:tcPr>
            <w:tcW w:w="987" w:type="pct"/>
            <w:gridSpan w:val="2"/>
            <w:tcBorders>
              <w:top w:val="nil"/>
              <w:bottom w:val="single" w:sz="4" w:space="0" w:color="auto"/>
            </w:tcBorders>
          </w:tcPr>
          <w:p w:rsidR="00683CDF" w:rsidRPr="00E850A7" w:rsidRDefault="00683CDF" w:rsidP="00F06FC0">
            <w:pPr>
              <w:spacing w:before="40" w:after="40"/>
              <w:rPr>
                <w:rFonts w:ascii="Arial Narrow" w:hAnsi="Arial Narrow"/>
                <w:sz w:val="20"/>
              </w:rPr>
            </w:pPr>
          </w:p>
        </w:tc>
        <w:tc>
          <w:tcPr>
            <w:tcW w:w="2924" w:type="pct"/>
            <w:vAlign w:val="center"/>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Mathieu C, Herrera Mamolejo M, Gonzalez Gonzalez JG, Hansen L, Chen H, Johnsson E et al. Efficacy and safety of triple therapy with dapagliflozin add-on to saxagliptin plus metformin over 52 weeks in patients with type 2 diabetes. </w:t>
            </w:r>
          </w:p>
        </w:tc>
        <w:tc>
          <w:tcPr>
            <w:tcW w:w="1089"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Diabetes Obesity and Metabolism 2016; </w:t>
            </w:r>
            <w:r w:rsidRPr="00E850A7">
              <w:rPr>
                <w:rFonts w:ascii="Arial Narrow" w:hAnsi="Arial Narrow" w:cs="Segoe UI"/>
                <w:iCs/>
                <w:sz w:val="20"/>
                <w:lang w:eastAsia="en-AU"/>
              </w:rPr>
              <w:t>18</w:t>
            </w:r>
            <w:r w:rsidRPr="00E850A7">
              <w:rPr>
                <w:rFonts w:ascii="Arial Narrow" w:hAnsi="Arial Narrow" w:cs="Segoe UI"/>
                <w:sz w:val="20"/>
                <w:lang w:eastAsia="en-AU"/>
              </w:rPr>
              <w:t>(11):1134-1137.</w:t>
            </w:r>
            <w:r w:rsidRPr="00E850A7">
              <w:rPr>
                <w:rFonts w:ascii="Arial Narrow" w:hAnsi="Arial Narrow"/>
                <w:sz w:val="20"/>
              </w:rPr>
              <w:t xml:space="preserve"> </w:t>
            </w:r>
          </w:p>
        </w:tc>
      </w:tr>
      <w:tr w:rsidR="00683CDF" w:rsidRPr="00E850A7" w:rsidTr="00683CDF">
        <w:tc>
          <w:tcPr>
            <w:tcW w:w="987" w:type="pct"/>
            <w:gridSpan w:val="2"/>
            <w:tcBorders>
              <w:bottom w:val="nil"/>
            </w:tcBorders>
          </w:tcPr>
          <w:p w:rsidR="00683CDF" w:rsidRPr="00E850A7" w:rsidRDefault="00683CDF" w:rsidP="00F06FC0">
            <w:pPr>
              <w:pStyle w:val="TableText"/>
              <w:keepLines/>
            </w:pPr>
            <w:r w:rsidRPr="00E850A7">
              <w:t>Matthaei 2015</w:t>
            </w:r>
            <w:r w:rsidRPr="00E850A7">
              <w:rPr>
                <w:vertAlign w:val="superscript"/>
              </w:rPr>
              <w:t xml:space="preserve"> †</w:t>
            </w:r>
            <w:r w:rsidRPr="00E850A7">
              <w:t xml:space="preserve"> </w:t>
            </w:r>
          </w:p>
          <w:p w:rsidR="00683CDF" w:rsidRPr="00E850A7" w:rsidRDefault="00683CDF" w:rsidP="00F06FC0">
            <w:pPr>
              <w:spacing w:before="40" w:after="40"/>
              <w:rPr>
                <w:rFonts w:ascii="Arial Narrow" w:hAnsi="Arial Narrow"/>
                <w:sz w:val="20"/>
              </w:rPr>
            </w:pPr>
            <w:r w:rsidRPr="00E850A7">
              <w:rPr>
                <w:rFonts w:ascii="Arial Narrow" w:hAnsi="Arial Narrow"/>
                <w:sz w:val="20"/>
              </w:rPr>
              <w:t>(NCT01619059)</w:t>
            </w:r>
          </w:p>
        </w:tc>
        <w:tc>
          <w:tcPr>
            <w:tcW w:w="2924" w:type="pct"/>
          </w:tcPr>
          <w:p w:rsidR="00683CDF" w:rsidRPr="00E850A7" w:rsidRDefault="00683CDF" w:rsidP="00F06FC0">
            <w:pPr>
              <w:pStyle w:val="TableText"/>
              <w:keepLines/>
            </w:pPr>
            <w:r w:rsidRPr="00E850A7">
              <w:t xml:space="preserve">Matthaei S, Catrinoiu D, Celinski A, Ekholm E, Cook W, Hirshberg B et al. Randomized, double-blind trial of triple therapy with saxagliptin add-on to dapagliflozin plus metformin in patients with type 2 diabetes. </w:t>
            </w:r>
          </w:p>
        </w:tc>
        <w:tc>
          <w:tcPr>
            <w:tcW w:w="1089"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Diabetes care 2015;38(11):2018-2024.</w:t>
            </w:r>
          </w:p>
        </w:tc>
      </w:tr>
      <w:tr w:rsidR="00683CDF" w:rsidRPr="00E850A7" w:rsidTr="00683CDF">
        <w:tc>
          <w:tcPr>
            <w:tcW w:w="987" w:type="pct"/>
            <w:gridSpan w:val="2"/>
            <w:tcBorders>
              <w:top w:val="nil"/>
            </w:tcBorders>
          </w:tcPr>
          <w:p w:rsidR="00683CDF" w:rsidRPr="00E850A7" w:rsidRDefault="00683CDF" w:rsidP="00F06FC0">
            <w:pPr>
              <w:spacing w:before="40" w:after="40"/>
              <w:rPr>
                <w:rFonts w:ascii="Arial Narrow" w:hAnsi="Arial Narrow"/>
                <w:sz w:val="20"/>
              </w:rPr>
            </w:pPr>
          </w:p>
        </w:tc>
        <w:tc>
          <w:tcPr>
            <w:tcW w:w="2924"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Matthaei S, Aggarwal N, Garcia-Hernandez P, Iqbal N, Chen H, Johnsson E et al. One-year efficacy and safety of saxagliptin add-on in patients receiving dapagliflozin and metformin. </w:t>
            </w:r>
          </w:p>
        </w:tc>
        <w:tc>
          <w:tcPr>
            <w:tcW w:w="1089"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Diabetes Obesity and Metabolism 2016; 18(11):1128-1133.</w:t>
            </w:r>
          </w:p>
        </w:tc>
      </w:tr>
      <w:tr w:rsidR="00683CDF" w:rsidRPr="00E850A7" w:rsidTr="00683CDF">
        <w:tc>
          <w:tcPr>
            <w:tcW w:w="987" w:type="pct"/>
            <w:gridSpan w:val="2"/>
            <w:tcBorders>
              <w:top w:val="nil"/>
            </w:tcBorders>
          </w:tcPr>
          <w:p w:rsidR="00683CDF" w:rsidRPr="00E850A7" w:rsidRDefault="00683CDF" w:rsidP="00F06FC0">
            <w:pPr>
              <w:spacing w:before="40" w:after="40"/>
              <w:rPr>
                <w:rFonts w:ascii="Arial Narrow" w:hAnsi="Arial Narrow"/>
                <w:sz w:val="20"/>
                <w:vertAlign w:val="superscript"/>
              </w:rPr>
            </w:pPr>
            <w:r w:rsidRPr="00E850A7">
              <w:rPr>
                <w:rFonts w:ascii="Arial Narrow" w:hAnsi="Arial Narrow"/>
                <w:sz w:val="20"/>
              </w:rPr>
              <w:t xml:space="preserve">Rosenstock 2015 </w:t>
            </w:r>
            <w:r w:rsidRPr="00E850A7">
              <w:rPr>
                <w:rFonts w:ascii="Arial Narrow" w:hAnsi="Arial Narrow"/>
                <w:sz w:val="20"/>
                <w:vertAlign w:val="superscript"/>
              </w:rPr>
              <w:t>*</w:t>
            </w:r>
          </w:p>
          <w:p w:rsidR="00683CDF" w:rsidRPr="00E850A7" w:rsidRDefault="00683CDF" w:rsidP="00F06FC0">
            <w:pPr>
              <w:spacing w:before="40" w:after="40"/>
              <w:rPr>
                <w:rFonts w:ascii="Arial Narrow" w:hAnsi="Arial Narrow"/>
                <w:sz w:val="20"/>
              </w:rPr>
            </w:pPr>
            <w:r w:rsidRPr="00E850A7">
              <w:rPr>
                <w:rFonts w:ascii="Arial Narrow" w:hAnsi="Arial Narrow"/>
                <w:sz w:val="20"/>
              </w:rPr>
              <w:t>(NCT01606007)</w:t>
            </w:r>
          </w:p>
        </w:tc>
        <w:tc>
          <w:tcPr>
            <w:tcW w:w="2924"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Rosenstock J, Hansen L, Zee P, Li Y, Cook W, Hirshberg B et al. Dual add-on therapy in type 2 diabetes poorly controlled with metformin monotherapy: A Randomized double-blind trial of saxagliptin plus dapagliflozin addition versus single addition of saxagliptin or dapagliflozin to metformin.</w:t>
            </w:r>
          </w:p>
        </w:tc>
        <w:tc>
          <w:tcPr>
            <w:tcW w:w="1089" w:type="pct"/>
          </w:tcPr>
          <w:p w:rsidR="00683CDF" w:rsidRPr="00E850A7" w:rsidRDefault="00683CDF" w:rsidP="00F06FC0">
            <w:pPr>
              <w:spacing w:before="40" w:after="40"/>
              <w:rPr>
                <w:rFonts w:ascii="Arial Narrow" w:hAnsi="Arial Narrow"/>
                <w:sz w:val="20"/>
              </w:rPr>
            </w:pPr>
            <w:r w:rsidRPr="00E850A7">
              <w:rPr>
                <w:rFonts w:ascii="Arial Narrow" w:hAnsi="Arial Narrow"/>
                <w:sz w:val="20"/>
              </w:rPr>
              <w:t>Diabetes care 2015;</w:t>
            </w:r>
            <w:r w:rsidR="0028662A" w:rsidRPr="00E850A7">
              <w:rPr>
                <w:rFonts w:ascii="Arial Narrow" w:hAnsi="Arial Narrow"/>
                <w:sz w:val="20"/>
              </w:rPr>
              <w:t xml:space="preserve"> </w:t>
            </w:r>
            <w:r w:rsidRPr="00E850A7">
              <w:rPr>
                <w:rFonts w:ascii="Arial Narrow" w:hAnsi="Arial Narrow"/>
                <w:sz w:val="20"/>
              </w:rPr>
              <w:t xml:space="preserve">38(3):376-383. </w:t>
            </w:r>
          </w:p>
        </w:tc>
      </w:tr>
    </w:tbl>
    <w:p w:rsidR="00683CDF" w:rsidRPr="00E850A7" w:rsidRDefault="00683CDF" w:rsidP="00F06FC0">
      <w:pPr>
        <w:pStyle w:val="TableFooter"/>
      </w:pPr>
      <w:r w:rsidRPr="00E850A7">
        <w:t>Source: Tables B.4, pp.81-83; B.5, p.84; B.105, p.313; B.106, p.314; B.140, pp.396-397; B.189, pp.548-550</w:t>
      </w:r>
      <w:r w:rsidR="00CF1F10" w:rsidRPr="00E850A7">
        <w:t xml:space="preserve"> </w:t>
      </w:r>
      <w:r w:rsidRPr="00E850A7">
        <w:t>and Attachment 5 of the resubmission.</w:t>
      </w:r>
    </w:p>
    <w:p w:rsidR="00683CDF" w:rsidRPr="00E850A7" w:rsidRDefault="00683CDF" w:rsidP="00F06FC0">
      <w:pPr>
        <w:pStyle w:val="TableFooter"/>
      </w:pPr>
      <w:r w:rsidRPr="00E850A7">
        <w:t>* Trials not identified in or excluded from the March 2017 submission.</w:t>
      </w:r>
    </w:p>
    <w:p w:rsidR="00683CDF" w:rsidRPr="00E850A7" w:rsidRDefault="00683CDF" w:rsidP="00F06FC0">
      <w:pPr>
        <w:pStyle w:val="TableFooter"/>
      </w:pPr>
      <w:r w:rsidRPr="00E850A7">
        <w:t>† Included in the March 2017 submission (Appendix 9) as supplementary evidence.</w:t>
      </w:r>
    </w:p>
    <w:p w:rsidR="00C317F3" w:rsidRPr="00E850A7" w:rsidRDefault="00C317F3" w:rsidP="00FE25C2">
      <w:pPr>
        <w:pStyle w:val="ListParagraph"/>
        <w:numPr>
          <w:ilvl w:val="1"/>
          <w:numId w:val="3"/>
        </w:numPr>
        <w:spacing w:before="0" w:after="120"/>
        <w:jc w:val="both"/>
        <w:rPr>
          <w:color w:val="4472C4" w:themeColor="accent5"/>
        </w:rPr>
      </w:pPr>
      <w:r w:rsidRPr="00E850A7">
        <w:t>The key features of</w:t>
      </w:r>
      <w:r w:rsidR="00F320BD" w:rsidRPr="00E850A7">
        <w:t xml:space="preserve"> the direct randomised trials </w:t>
      </w:r>
      <w:r w:rsidRPr="00E850A7">
        <w:t xml:space="preserve">are summarised in the table below.  </w:t>
      </w:r>
    </w:p>
    <w:p w:rsidR="00683CDF" w:rsidRPr="00E850A7" w:rsidRDefault="00F320BD" w:rsidP="00F06FC0">
      <w:pPr>
        <w:pStyle w:val="TableHeading0"/>
      </w:pPr>
      <w:r w:rsidRPr="00E850A7">
        <w:t xml:space="preserve">Table </w:t>
      </w:r>
      <w:r w:rsidR="00234645" w:rsidRPr="00E850A7">
        <w:t>3</w:t>
      </w:r>
      <w:r w:rsidR="00C317F3" w:rsidRPr="00E850A7">
        <w:t>: Key features of the included</w:t>
      </w:r>
      <w:bookmarkStart w:id="24" w:name="_Toc413139278"/>
      <w:r w:rsidR="00683CDF" w:rsidRPr="00E850A7">
        <w:t xml:space="preserve"> evidence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8"/>
        <w:gridCol w:w="655"/>
        <w:gridCol w:w="476"/>
        <w:gridCol w:w="2979"/>
        <w:gridCol w:w="1567"/>
        <w:gridCol w:w="947"/>
        <w:gridCol w:w="1237"/>
        <w:gridCol w:w="629"/>
      </w:tblGrid>
      <w:tr w:rsidR="00683CDF" w:rsidRPr="00E850A7" w:rsidTr="00683CDF">
        <w:trPr>
          <w:cantSplit/>
          <w:tblHeader/>
        </w:trPr>
        <w:tc>
          <w:tcPr>
            <w:tcW w:w="400" w:type="pct"/>
            <w:shd w:val="clear" w:color="auto" w:fill="auto"/>
            <w:vAlign w:val="center"/>
          </w:tcPr>
          <w:p w:rsidR="00683CDF" w:rsidRPr="00E850A7" w:rsidRDefault="00683CDF" w:rsidP="00F06FC0">
            <w:pPr>
              <w:pStyle w:val="COMtbl-HEADLeftAligned"/>
              <w:keepNext/>
              <w:keepLines/>
              <w:widowControl/>
              <w:spacing w:before="40" w:after="40"/>
            </w:pPr>
            <w:r w:rsidRPr="00E850A7">
              <w:t>NA</w:t>
            </w:r>
          </w:p>
        </w:tc>
        <w:tc>
          <w:tcPr>
            <w:tcW w:w="355" w:type="pct"/>
            <w:shd w:val="clear" w:color="auto" w:fill="auto"/>
            <w:vAlign w:val="center"/>
          </w:tcPr>
          <w:p w:rsidR="00683CDF" w:rsidRPr="00E850A7" w:rsidRDefault="00683CDF" w:rsidP="00F06FC0">
            <w:pPr>
              <w:pStyle w:val="COMtbl-HEADCentred"/>
              <w:keepNext/>
              <w:keepLines/>
              <w:widowControl/>
              <w:spacing w:before="40" w:after="40"/>
              <w:rPr>
                <w:vertAlign w:val="superscript"/>
              </w:rPr>
            </w:pPr>
            <w:r w:rsidRPr="00E850A7">
              <w:t>Design</w:t>
            </w:r>
          </w:p>
        </w:tc>
        <w:tc>
          <w:tcPr>
            <w:tcW w:w="258" w:type="pct"/>
            <w:shd w:val="clear" w:color="auto" w:fill="auto"/>
            <w:vAlign w:val="center"/>
          </w:tcPr>
          <w:p w:rsidR="00683CDF" w:rsidRPr="00E850A7" w:rsidRDefault="00683CDF" w:rsidP="00F06FC0">
            <w:pPr>
              <w:pStyle w:val="COMtbl-HEADCentred"/>
              <w:keepNext/>
              <w:keepLines/>
              <w:widowControl/>
              <w:spacing w:before="40" w:after="40"/>
            </w:pPr>
            <w:r w:rsidRPr="00E850A7">
              <w:t>N</w:t>
            </w:r>
          </w:p>
        </w:tc>
        <w:tc>
          <w:tcPr>
            <w:tcW w:w="1614" w:type="pct"/>
            <w:shd w:val="clear" w:color="auto" w:fill="auto"/>
            <w:vAlign w:val="center"/>
          </w:tcPr>
          <w:p w:rsidR="00683CDF" w:rsidRPr="00E850A7" w:rsidRDefault="00683CDF" w:rsidP="00F06FC0">
            <w:pPr>
              <w:pStyle w:val="COMtbl-HEADCentred"/>
              <w:keepNext/>
              <w:keepLines/>
              <w:widowControl/>
              <w:spacing w:before="40" w:after="40"/>
            </w:pPr>
            <w:r w:rsidRPr="00E850A7">
              <w:t>Compared interventions</w:t>
            </w:r>
          </w:p>
        </w:tc>
        <w:tc>
          <w:tcPr>
            <w:tcW w:w="849" w:type="pct"/>
            <w:shd w:val="clear" w:color="auto" w:fill="auto"/>
            <w:vAlign w:val="center"/>
          </w:tcPr>
          <w:p w:rsidR="00683CDF" w:rsidRPr="00E850A7" w:rsidRDefault="00683CDF" w:rsidP="00F06FC0">
            <w:pPr>
              <w:pStyle w:val="COMtbl-HEADCentred"/>
              <w:keepNext/>
              <w:keepLines/>
              <w:widowControl/>
              <w:spacing w:before="40" w:after="40"/>
            </w:pPr>
            <w:r w:rsidRPr="00E850A7">
              <w:t>Flow</w:t>
            </w:r>
          </w:p>
        </w:tc>
        <w:tc>
          <w:tcPr>
            <w:tcW w:w="513" w:type="pct"/>
            <w:shd w:val="clear" w:color="auto" w:fill="auto"/>
            <w:vAlign w:val="center"/>
          </w:tcPr>
          <w:p w:rsidR="00683CDF" w:rsidRPr="00E850A7" w:rsidRDefault="00683CDF" w:rsidP="00F06FC0">
            <w:pPr>
              <w:pStyle w:val="COMtbl-HEADCentred"/>
              <w:keepNext/>
              <w:keepLines/>
              <w:widowControl/>
              <w:spacing w:before="40" w:after="40"/>
            </w:pPr>
            <w:r w:rsidRPr="00E850A7">
              <w:t>Primary outcomes</w:t>
            </w:r>
          </w:p>
        </w:tc>
        <w:tc>
          <w:tcPr>
            <w:tcW w:w="670" w:type="pct"/>
            <w:shd w:val="clear" w:color="auto" w:fill="auto"/>
            <w:vAlign w:val="center"/>
          </w:tcPr>
          <w:p w:rsidR="00683CDF" w:rsidRPr="00E850A7" w:rsidRDefault="00683CDF" w:rsidP="00F06FC0">
            <w:pPr>
              <w:pStyle w:val="COMtbl-HEADCentred"/>
              <w:keepNext/>
              <w:keepLines/>
              <w:widowControl/>
              <w:spacing w:before="40" w:after="40"/>
            </w:pPr>
            <w:r w:rsidRPr="00E850A7">
              <w:t>Patient population</w:t>
            </w:r>
          </w:p>
        </w:tc>
        <w:tc>
          <w:tcPr>
            <w:tcW w:w="341" w:type="pct"/>
          </w:tcPr>
          <w:p w:rsidR="00683CDF" w:rsidRPr="00E850A7" w:rsidRDefault="00683CDF" w:rsidP="00F06FC0">
            <w:pPr>
              <w:pStyle w:val="COMtbl-HEADCentred"/>
              <w:keepNext/>
              <w:keepLines/>
              <w:widowControl/>
              <w:spacing w:before="40" w:after="40"/>
            </w:pPr>
            <w:r w:rsidRPr="00E850A7">
              <w:t>Risk of bias</w:t>
            </w:r>
          </w:p>
        </w:tc>
      </w:tr>
      <w:tr w:rsidR="00683CDF" w:rsidRPr="00E850A7" w:rsidTr="00683CDF">
        <w:tc>
          <w:tcPr>
            <w:tcW w:w="5000" w:type="pct"/>
            <w:gridSpan w:val="8"/>
            <w:shd w:val="clear" w:color="auto" w:fill="auto"/>
            <w:vAlign w:val="center"/>
          </w:tcPr>
          <w:p w:rsidR="00683CDF" w:rsidRPr="00E850A7" w:rsidRDefault="00683CDF" w:rsidP="00F06FC0">
            <w:pPr>
              <w:spacing w:before="40" w:after="40"/>
              <w:rPr>
                <w:rFonts w:ascii="Arial Narrow" w:hAnsi="Arial Narrow"/>
                <w:b/>
                <w:sz w:val="20"/>
              </w:rPr>
            </w:pPr>
            <w:r w:rsidRPr="00E850A7">
              <w:rPr>
                <w:rFonts w:ascii="Arial Narrow" w:hAnsi="Arial Narrow"/>
                <w:b/>
                <w:sz w:val="20"/>
              </w:rPr>
              <w:t>Empagliflozin with linagliptin FDC trials</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iCs/>
                <w:sz w:val="20"/>
              </w:rPr>
            </w:pPr>
            <w:r w:rsidRPr="00E850A7">
              <w:rPr>
                <w:rFonts w:ascii="Arial Narrow" w:hAnsi="Arial Narrow"/>
                <w:sz w:val="20"/>
              </w:rPr>
              <w:t>1275.9</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PC, MC</w:t>
            </w:r>
          </w:p>
          <w:p w:rsidR="00683CDF" w:rsidRPr="00E850A7" w:rsidRDefault="00683CDF" w:rsidP="00F06FC0">
            <w:pPr>
              <w:spacing w:before="40" w:after="40"/>
              <w:rPr>
                <w:rFonts w:ascii="Arial Narrow" w:hAnsi="Arial Narrow"/>
                <w:sz w:val="20"/>
              </w:rPr>
            </w:pPr>
            <w:r w:rsidRPr="00E850A7">
              <w:rPr>
                <w:rFonts w:ascii="Arial Narrow" w:hAnsi="Arial Narrow"/>
                <w:sz w:val="20"/>
              </w:rPr>
              <w:t>FAS OC*</w:t>
            </w:r>
          </w:p>
          <w:p w:rsidR="00683CDF" w:rsidRPr="00E850A7" w:rsidRDefault="00683CDF" w:rsidP="00F06FC0">
            <w:pPr>
              <w:spacing w:before="40" w:after="40"/>
              <w:rPr>
                <w:rFonts w:ascii="Arial Narrow" w:hAnsi="Arial Narrow"/>
                <w:sz w:val="20"/>
              </w:rPr>
            </w:pPr>
            <w:r w:rsidRPr="00E850A7">
              <w:rPr>
                <w:rFonts w:ascii="Arial Narrow" w:hAnsi="Arial Narrow"/>
                <w:sz w:val="20"/>
              </w:rPr>
              <w:t>MMRM</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111</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112</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110</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MET + EMPA 25 mg + LINA 5 mg FDC MET + EMPA 10 mg + LINA 5 mg FDC</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LINA 5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16 week OL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MET + LINA 5 mg,</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+ 1 week OL</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Pbo added, </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 </w:t>
            </w:r>
            <w:r w:rsidRPr="00E850A7">
              <w:rPr>
                <w:rFonts w:ascii="Arial Narrow" w:hAnsi="Arial Narrow"/>
                <w:sz w:val="20"/>
                <w:u w:val="single"/>
              </w:rPr>
              <w:t>24 week RCT</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+1 week follow up</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≥7.0% ≤10.5% (post 7 week OL run in)</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1275.10</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PC, MC</w:t>
            </w:r>
          </w:p>
          <w:p w:rsidR="00683CDF" w:rsidRPr="00E850A7" w:rsidRDefault="00683CDF" w:rsidP="00F06FC0">
            <w:pPr>
              <w:spacing w:before="40" w:after="40"/>
              <w:rPr>
                <w:rFonts w:ascii="Arial Narrow" w:hAnsi="Arial Narrow"/>
                <w:sz w:val="20"/>
              </w:rPr>
            </w:pPr>
            <w:r w:rsidRPr="00E850A7">
              <w:rPr>
                <w:rFonts w:ascii="Arial Narrow" w:hAnsi="Arial Narrow"/>
                <w:sz w:val="20"/>
              </w:rPr>
              <w:t>FAS OC*</w:t>
            </w:r>
          </w:p>
          <w:p w:rsidR="00683CDF" w:rsidRPr="00E850A7" w:rsidRDefault="00683CDF" w:rsidP="00F06FC0">
            <w:pPr>
              <w:spacing w:before="40" w:after="40"/>
              <w:rPr>
                <w:rFonts w:ascii="Arial Narrow" w:hAnsi="Arial Narrow"/>
                <w:sz w:val="20"/>
              </w:rPr>
            </w:pPr>
            <w:r w:rsidRPr="00E850A7">
              <w:rPr>
                <w:rFonts w:ascii="Arial Narrow" w:hAnsi="Arial Narrow"/>
                <w:sz w:val="20"/>
              </w:rPr>
              <w:t>MMRM</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114</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126</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112</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130</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EMPA 25 mg + LINA 5 mg FDC </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EMPA 10 mg + LINA 5 mg FDC MET + EMPA 25 mg + Pbo</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EMPA 10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16 week OL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MET + EMPA 10 mg</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MET + EMPA 25 mg</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+ 1 week OL</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Pbo added </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 </w:t>
            </w:r>
            <w:r w:rsidRPr="00E850A7">
              <w:rPr>
                <w:rFonts w:ascii="Arial Narrow" w:hAnsi="Arial Narrow"/>
                <w:sz w:val="20"/>
                <w:u w:val="single"/>
              </w:rPr>
              <w:t>24 week RCT</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+1 week follow up</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≥7.0% ≤10.5% (post 7 week OL run in)</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1275.1</w:t>
            </w:r>
          </w:p>
          <w:p w:rsidR="00B63F94" w:rsidRPr="00E850A7" w:rsidRDefault="00B63F94" w:rsidP="00F06FC0">
            <w:pPr>
              <w:spacing w:before="40" w:after="40"/>
              <w:rPr>
                <w:rFonts w:ascii="Arial Narrow" w:hAnsi="Arial Narrow"/>
                <w:sz w:val="20"/>
              </w:rPr>
            </w:pPr>
            <w:r w:rsidRPr="00E850A7">
              <w:rPr>
                <w:rFonts w:ascii="Arial Narrow" w:hAnsi="Arial Narrow"/>
                <w:sz w:val="20"/>
              </w:rPr>
              <w:t>(metformin exposed)</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PC, MC</w:t>
            </w:r>
          </w:p>
          <w:p w:rsidR="00683CDF" w:rsidRPr="00E850A7" w:rsidRDefault="00683CDF" w:rsidP="00F06FC0">
            <w:pPr>
              <w:spacing w:before="40" w:after="40"/>
              <w:rPr>
                <w:rFonts w:ascii="Arial Narrow" w:hAnsi="Arial Narrow"/>
                <w:sz w:val="20"/>
              </w:rPr>
            </w:pPr>
            <w:r w:rsidRPr="00E850A7">
              <w:rPr>
                <w:rFonts w:ascii="Arial Narrow" w:hAnsi="Arial Narrow"/>
                <w:sz w:val="20"/>
              </w:rPr>
              <w:t>FAS LOCF</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137</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136</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141</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140</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132</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MET + EMPA 25 mg + LINA 5 mg FDC</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EMPA 10 mg + LINA 5 mg FDC </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EMPA 25 mg + Pbo</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EMPA 10 mg + Pbo</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LINA 5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2 week SB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 </w:t>
            </w:r>
            <w:r w:rsidRPr="00E850A7">
              <w:rPr>
                <w:rFonts w:ascii="Arial Narrow" w:hAnsi="Arial Narrow"/>
                <w:sz w:val="20"/>
                <w:u w:val="single"/>
              </w:rPr>
              <w:t>24/52 week RCT</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+ 4 week follow up</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≥7.0% ≤10.5% (metformin exposed)</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u w:val="single"/>
              </w:rPr>
            </w:pPr>
            <w:r w:rsidRPr="00E850A7">
              <w:rPr>
                <w:rFonts w:ascii="Arial Narrow" w:hAnsi="Arial Narrow"/>
                <w:sz w:val="20"/>
                <w:u w:val="single"/>
              </w:rPr>
              <w:t>1275.1</w:t>
            </w:r>
          </w:p>
          <w:p w:rsidR="00683CDF" w:rsidRPr="00E850A7" w:rsidRDefault="00683CDF" w:rsidP="00F06FC0">
            <w:pPr>
              <w:spacing w:before="40" w:after="40"/>
              <w:rPr>
                <w:rFonts w:ascii="Arial Narrow" w:hAnsi="Arial Narrow"/>
                <w:sz w:val="20"/>
                <w:vertAlign w:val="superscript"/>
              </w:rPr>
            </w:pPr>
            <w:r w:rsidRPr="00E850A7">
              <w:rPr>
                <w:rFonts w:ascii="Arial Narrow" w:hAnsi="Arial Narrow"/>
                <w:sz w:val="20"/>
              </w:rPr>
              <w:t>(</w:t>
            </w:r>
            <w:r w:rsidRPr="00E850A7">
              <w:rPr>
                <w:rFonts w:ascii="Arial Narrow" w:hAnsi="Arial Narrow"/>
                <w:sz w:val="20"/>
                <w:u w:val="single"/>
              </w:rPr>
              <w:t>naïve</w:t>
            </w:r>
            <w:r w:rsidRPr="00E850A7">
              <w:rPr>
                <w:rFonts w:ascii="Arial Narrow" w:hAnsi="Arial Narrow"/>
                <w:sz w:val="20"/>
              </w:rPr>
              <w:t>)</w:t>
            </w:r>
            <w:r w:rsidRPr="00E850A7">
              <w:rPr>
                <w:rFonts w:ascii="Arial Narrow" w:hAnsi="Arial Narrow"/>
                <w:sz w:val="20"/>
                <w:vertAlign w:val="superscript"/>
              </w:rPr>
              <w:t>‡</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PC, MC</w:t>
            </w:r>
          </w:p>
          <w:p w:rsidR="00683CDF" w:rsidRPr="00E850A7" w:rsidRDefault="00683CDF" w:rsidP="00F06FC0">
            <w:pPr>
              <w:spacing w:before="40" w:after="40"/>
              <w:rPr>
                <w:rFonts w:ascii="Arial Narrow" w:hAnsi="Arial Narrow"/>
                <w:sz w:val="20"/>
              </w:rPr>
            </w:pPr>
            <w:r w:rsidRPr="00E850A7">
              <w:rPr>
                <w:rFonts w:ascii="Arial Narrow" w:hAnsi="Arial Narrow"/>
                <w:sz w:val="20"/>
              </w:rPr>
              <w:t>FAS LOCF</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137</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136</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135</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134</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135</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EMPA 25 mg + LINA 5 mg FDC</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EMPA 10 mg + LINA 5 mg FDC </w:t>
            </w:r>
          </w:p>
          <w:p w:rsidR="00683CDF" w:rsidRPr="00E850A7" w:rsidRDefault="00683CDF" w:rsidP="00F06FC0">
            <w:pPr>
              <w:spacing w:before="40" w:after="40"/>
              <w:rPr>
                <w:rFonts w:ascii="Arial Narrow" w:hAnsi="Arial Narrow"/>
                <w:sz w:val="20"/>
              </w:rPr>
            </w:pPr>
            <w:r w:rsidRPr="00E850A7">
              <w:rPr>
                <w:rFonts w:ascii="Arial Narrow" w:hAnsi="Arial Narrow"/>
                <w:sz w:val="20"/>
              </w:rPr>
              <w:t>EMPA 25 mg + Pbo</w:t>
            </w:r>
          </w:p>
          <w:p w:rsidR="00683CDF" w:rsidRPr="00E850A7" w:rsidRDefault="00683CDF" w:rsidP="00F06FC0">
            <w:pPr>
              <w:spacing w:before="40" w:after="40"/>
              <w:rPr>
                <w:rFonts w:ascii="Arial Narrow" w:hAnsi="Arial Narrow"/>
                <w:sz w:val="20"/>
              </w:rPr>
            </w:pPr>
            <w:r w:rsidRPr="00E850A7">
              <w:rPr>
                <w:rFonts w:ascii="Arial Narrow" w:hAnsi="Arial Narrow"/>
                <w:sz w:val="20"/>
              </w:rPr>
              <w:t>EMPA 10 mg + Pbo</w:t>
            </w:r>
          </w:p>
          <w:p w:rsidR="00683CDF" w:rsidRPr="00E850A7" w:rsidRDefault="00683CDF" w:rsidP="00F06FC0">
            <w:pPr>
              <w:spacing w:before="40" w:after="40"/>
              <w:rPr>
                <w:rFonts w:ascii="Arial Narrow" w:hAnsi="Arial Narrow"/>
                <w:sz w:val="20"/>
              </w:rPr>
            </w:pPr>
            <w:r w:rsidRPr="00E850A7">
              <w:rPr>
                <w:rFonts w:ascii="Arial Narrow" w:hAnsi="Arial Narrow"/>
                <w:sz w:val="20"/>
              </w:rPr>
              <w:t>LINA 5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2 week SB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 </w:t>
            </w:r>
            <w:r w:rsidRPr="00E850A7">
              <w:rPr>
                <w:rFonts w:ascii="Arial Narrow" w:hAnsi="Arial Narrow"/>
                <w:sz w:val="20"/>
                <w:u w:val="single"/>
              </w:rPr>
              <w:t>24/52 week RCT</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+ 4 week follow up</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≥7.0% ≤10.5% (treatment naive)</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5000" w:type="pct"/>
            <w:gridSpan w:val="8"/>
            <w:shd w:val="clear" w:color="auto" w:fill="auto"/>
            <w:vAlign w:val="center"/>
          </w:tcPr>
          <w:p w:rsidR="00683CDF" w:rsidRPr="00E850A7" w:rsidRDefault="00683CDF" w:rsidP="00F06FC0">
            <w:pPr>
              <w:spacing w:before="40" w:after="40"/>
              <w:rPr>
                <w:rFonts w:ascii="Arial Narrow" w:hAnsi="Arial Narrow"/>
                <w:b/>
                <w:sz w:val="20"/>
              </w:rPr>
            </w:pPr>
            <w:r w:rsidRPr="00E850A7">
              <w:rPr>
                <w:rFonts w:ascii="Arial Narrow" w:hAnsi="Arial Narrow"/>
                <w:b/>
                <w:sz w:val="20"/>
              </w:rPr>
              <w:t>Insulin glargine trials</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EASIE</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OL</w:t>
            </w:r>
          </w:p>
          <w:p w:rsidR="00683CDF" w:rsidRPr="00E850A7" w:rsidRDefault="00683CDF" w:rsidP="00F06FC0">
            <w:pPr>
              <w:spacing w:before="40" w:after="40"/>
              <w:rPr>
                <w:rFonts w:ascii="Arial Narrow" w:hAnsi="Arial Narrow"/>
                <w:sz w:val="20"/>
              </w:rPr>
            </w:pPr>
            <w:r w:rsidRPr="00E850A7">
              <w:rPr>
                <w:rFonts w:ascii="Arial Narrow" w:hAnsi="Arial Narrow"/>
                <w:sz w:val="20"/>
              </w:rPr>
              <w:t>FAS LOCF</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250</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265</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MET + insulin glargine</w:t>
            </w:r>
            <w:r w:rsidRPr="00E850A7">
              <w:rPr>
                <w:rFonts w:ascii="Arial Narrow" w:hAnsi="Arial Narrow"/>
                <w:sz w:val="20"/>
                <w:vertAlign w:val="superscript"/>
              </w:rPr>
              <w:t xml:space="preserve">† </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SITA 100 mg </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u w:val="single"/>
              </w:rPr>
              <w:t>24 week OL</w:t>
            </w:r>
            <w:r w:rsidR="00F0264E" w:rsidRPr="00E850A7">
              <w:rPr>
                <w:rFonts w:ascii="Arial Narrow" w:hAnsi="Arial Narrow"/>
                <w:sz w:val="20"/>
                <w:u w:val="single"/>
              </w:rPr>
              <w:t xml:space="preserve"> RCT</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+1-7 days follow up</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35-70yrs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≥7% &lt;11% </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High</w:t>
            </w:r>
          </w:p>
        </w:tc>
      </w:tr>
      <w:tr w:rsidR="00683CDF" w:rsidRPr="00E850A7" w:rsidTr="00683CDF">
        <w:tc>
          <w:tcPr>
            <w:tcW w:w="5000" w:type="pct"/>
            <w:gridSpan w:val="8"/>
            <w:shd w:val="clear" w:color="auto" w:fill="auto"/>
            <w:vAlign w:val="center"/>
          </w:tcPr>
          <w:p w:rsidR="00683CDF" w:rsidRPr="00E850A7" w:rsidRDefault="00683CDF" w:rsidP="00F06FC0">
            <w:pPr>
              <w:spacing w:before="40" w:after="40"/>
              <w:rPr>
                <w:rFonts w:ascii="Arial Narrow" w:hAnsi="Arial Narrow"/>
                <w:b/>
                <w:sz w:val="20"/>
              </w:rPr>
            </w:pPr>
            <w:r w:rsidRPr="00E850A7">
              <w:rPr>
                <w:rFonts w:ascii="Arial Narrow" w:hAnsi="Arial Narrow"/>
                <w:b/>
                <w:sz w:val="20"/>
              </w:rPr>
              <w:t>Exenatide trials</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Duration 2</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AC, MC</w:t>
            </w:r>
          </w:p>
          <w:p w:rsidR="00683CDF" w:rsidRPr="00E850A7" w:rsidRDefault="00683CDF" w:rsidP="00F06FC0">
            <w:pPr>
              <w:spacing w:before="40" w:after="40"/>
              <w:rPr>
                <w:rFonts w:ascii="Arial Narrow" w:hAnsi="Arial Narrow"/>
                <w:sz w:val="20"/>
              </w:rPr>
            </w:pPr>
            <w:r w:rsidRPr="00E850A7">
              <w:rPr>
                <w:rFonts w:ascii="Arial Narrow" w:hAnsi="Arial Narrow"/>
                <w:sz w:val="20"/>
              </w:rPr>
              <w:t>PP LOCF</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170</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172</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172</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EXE 2 mg (wkly) + Pbo (oral) </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SITA 100 mg + Pbo (injected) </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PIO 45 mg + Pbo (injected) </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u w:val="single"/>
              </w:rPr>
              <w:t>26 week RCT</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≥7.1% &lt;11% </w:t>
            </w:r>
          </w:p>
        </w:tc>
        <w:tc>
          <w:tcPr>
            <w:tcW w:w="341" w:type="pct"/>
            <w:shd w:val="clear" w:color="auto" w:fill="auto"/>
            <w:vAlign w:val="center"/>
          </w:tcPr>
          <w:p w:rsidR="00683CDF" w:rsidRPr="00E850A7" w:rsidRDefault="00683CDF" w:rsidP="00F06FC0">
            <w:pPr>
              <w:spacing w:before="40" w:after="40"/>
              <w:ind w:left="-14"/>
              <w:jc w:val="center"/>
              <w:rPr>
                <w:rFonts w:ascii="Arial Narrow" w:hAnsi="Arial Narrow"/>
                <w:sz w:val="20"/>
              </w:rPr>
            </w:pPr>
            <w:r w:rsidRPr="00E850A7">
              <w:rPr>
                <w:rFonts w:ascii="Arial Narrow" w:hAnsi="Arial Narrow"/>
                <w:sz w:val="20"/>
              </w:rPr>
              <w:t>Unclear</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Duration Neo 2</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OL, PC, MC</w:t>
            </w:r>
          </w:p>
          <w:p w:rsidR="00683CDF" w:rsidRPr="00E850A7" w:rsidRDefault="00683CDF" w:rsidP="00F06FC0">
            <w:pPr>
              <w:spacing w:before="40" w:after="40"/>
              <w:rPr>
                <w:rFonts w:ascii="Arial Narrow" w:hAnsi="Arial Narrow"/>
                <w:sz w:val="20"/>
              </w:rPr>
            </w:pPr>
            <w:r w:rsidRPr="00E850A7">
              <w:rPr>
                <w:rFonts w:ascii="Arial Narrow" w:hAnsi="Arial Narrow"/>
                <w:sz w:val="20"/>
              </w:rPr>
              <w:t>MMRM</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182</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122</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61</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MET + EXE 2 mg (wkly)</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SITA 100 mg </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u w:val="single"/>
              </w:rPr>
              <w:t>28 week OL</w:t>
            </w:r>
            <w:r w:rsidR="00F0264E" w:rsidRPr="00E850A7">
              <w:rPr>
                <w:rFonts w:ascii="Arial Narrow" w:hAnsi="Arial Narrow"/>
                <w:sz w:val="20"/>
                <w:u w:val="single"/>
              </w:rPr>
              <w:t xml:space="preserve"> RCT</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≥7.1% &lt;11% </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High</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vertAlign w:val="superscript"/>
              </w:rPr>
            </w:pPr>
            <w:r w:rsidRPr="00E850A7">
              <w:rPr>
                <w:rFonts w:ascii="Arial Narrow" w:hAnsi="Arial Narrow"/>
                <w:sz w:val="20"/>
                <w:u w:val="single"/>
              </w:rPr>
              <w:t>Duration 8</w:t>
            </w:r>
            <w:r w:rsidRPr="00E850A7">
              <w:rPr>
                <w:rFonts w:ascii="Arial Narrow" w:hAnsi="Arial Narrow"/>
                <w:sz w:val="20"/>
                <w:vertAlign w:val="superscript"/>
              </w:rPr>
              <w:t>‡</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AC, MC</w:t>
            </w:r>
            <w:r w:rsidRPr="00E850A7">
              <w:rPr>
                <w:rFonts w:ascii="Arial Narrow" w:hAnsi="Arial Narrow"/>
                <w:sz w:val="20"/>
              </w:rPr>
              <w:br/>
              <w:t>ITT</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231</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230</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121</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MET + EXE 2 mg (wkly) + DAPA 10 mg</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EXE 2 mg (wkly) + Pbo</w:t>
            </w:r>
          </w:p>
          <w:p w:rsidR="008C5C18" w:rsidRDefault="00683CDF" w:rsidP="00F06FC0">
            <w:pPr>
              <w:spacing w:before="40" w:after="40"/>
              <w:rPr>
                <w:rFonts w:ascii="Arial Narrow" w:hAnsi="Arial Narrow"/>
                <w:sz w:val="20"/>
              </w:rPr>
            </w:pPr>
            <w:r w:rsidRPr="00E850A7">
              <w:rPr>
                <w:rFonts w:ascii="Arial Narrow" w:hAnsi="Arial Narrow"/>
                <w:sz w:val="20"/>
              </w:rPr>
              <w:t>MET + DAPA 10 mg + Pbo</w:t>
            </w:r>
          </w:p>
          <w:p w:rsidR="008C5C18" w:rsidRPr="00E850A7" w:rsidRDefault="008C5C18" w:rsidP="00F06FC0">
            <w:pPr>
              <w:spacing w:before="40" w:after="40"/>
              <w:rPr>
                <w:rFonts w:ascii="Arial Narrow" w:hAnsi="Arial Narrow"/>
                <w:sz w:val="20"/>
              </w:rPr>
            </w:pP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u w:val="single"/>
              </w:rPr>
              <w:t>28 week RCT</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&gt;8.0% ≤12% </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5000" w:type="pct"/>
            <w:gridSpan w:val="8"/>
            <w:shd w:val="clear" w:color="auto" w:fill="auto"/>
            <w:vAlign w:val="center"/>
          </w:tcPr>
          <w:p w:rsidR="00683CDF" w:rsidRPr="00E850A7" w:rsidRDefault="00683CDF" w:rsidP="00F06FC0">
            <w:pPr>
              <w:spacing w:before="40" w:after="40"/>
              <w:rPr>
                <w:rFonts w:ascii="Arial Narrow" w:hAnsi="Arial Narrow"/>
                <w:b/>
                <w:sz w:val="20"/>
              </w:rPr>
            </w:pPr>
            <w:r w:rsidRPr="00E850A7">
              <w:rPr>
                <w:rFonts w:ascii="Arial Narrow" w:hAnsi="Arial Narrow"/>
                <w:b/>
                <w:sz w:val="20"/>
              </w:rPr>
              <w:t>Dapagliflozin with saxagliptin FDC trials</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Mathieu 2015</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PC, PC</w:t>
            </w:r>
          </w:p>
          <w:p w:rsidR="00683CDF" w:rsidRPr="00E850A7" w:rsidRDefault="00683CDF" w:rsidP="00F06FC0">
            <w:pPr>
              <w:spacing w:before="40" w:after="40"/>
              <w:rPr>
                <w:rFonts w:ascii="Arial Narrow" w:hAnsi="Arial Narrow"/>
                <w:sz w:val="20"/>
              </w:rPr>
            </w:pPr>
            <w:r w:rsidRPr="00E850A7">
              <w:rPr>
                <w:rFonts w:ascii="Arial Narrow" w:hAnsi="Arial Narrow"/>
                <w:sz w:val="20"/>
              </w:rPr>
              <w:t>24 wks</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160</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160</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DAPA 10 mg + SAXA 5 mg FDC </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SAXA 5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16 week OL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MET + SAXA 5 mg,</w:t>
            </w:r>
          </w:p>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rPr>
              <w:t xml:space="preserve">+ </w:t>
            </w:r>
            <w:r w:rsidRPr="00E850A7">
              <w:rPr>
                <w:rFonts w:ascii="Arial Narrow" w:hAnsi="Arial Narrow"/>
                <w:sz w:val="20"/>
                <w:u w:val="single"/>
              </w:rPr>
              <w:t>24 week RCT</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≥7.0% ≤10.5% (post 16 week OL run in)</w:t>
            </w:r>
          </w:p>
        </w:tc>
        <w:tc>
          <w:tcPr>
            <w:tcW w:w="341" w:type="pct"/>
            <w:shd w:val="clear" w:color="auto" w:fill="auto"/>
            <w:vAlign w:val="center"/>
          </w:tcPr>
          <w:p w:rsidR="00683CDF" w:rsidRPr="00E850A7" w:rsidRDefault="00683CDF" w:rsidP="00F06FC0">
            <w:pPr>
              <w:spacing w:before="40" w:after="40"/>
              <w:ind w:left="-14"/>
              <w:jc w:val="center"/>
              <w:rPr>
                <w:rFonts w:ascii="Arial Narrow" w:hAnsi="Arial Narrow"/>
                <w:sz w:val="20"/>
              </w:rPr>
            </w:pPr>
            <w:r w:rsidRPr="00E850A7">
              <w:rPr>
                <w:rFonts w:ascii="Arial Narrow" w:hAnsi="Arial Narrow"/>
                <w:sz w:val="20"/>
              </w:rPr>
              <w:t>Low</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Matthaei 2015</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PC, MC</w:t>
            </w:r>
          </w:p>
          <w:p w:rsidR="00683CDF" w:rsidRPr="00E850A7" w:rsidRDefault="00683CDF" w:rsidP="00F06FC0">
            <w:pPr>
              <w:spacing w:before="40" w:after="40"/>
              <w:rPr>
                <w:rFonts w:ascii="Arial Narrow" w:hAnsi="Arial Narrow"/>
                <w:sz w:val="20"/>
              </w:rPr>
            </w:pPr>
            <w:r w:rsidRPr="00E850A7">
              <w:rPr>
                <w:rFonts w:ascii="Arial Narrow" w:hAnsi="Arial Narrow"/>
                <w:sz w:val="20"/>
              </w:rPr>
              <w:t>24 wks</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153</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162</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MET + DAPA 10 mg + SAXA 5 mg FDC </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DAPA 10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8 week OL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MET + DAPA 10 mg</w:t>
            </w:r>
          </w:p>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rPr>
              <w:t xml:space="preserve">+ </w:t>
            </w:r>
            <w:r w:rsidRPr="00E850A7">
              <w:rPr>
                <w:rFonts w:ascii="Arial Narrow" w:hAnsi="Arial Narrow"/>
                <w:sz w:val="20"/>
                <w:u w:val="single"/>
              </w:rPr>
              <w:t>24 week RCT</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≥7.0% ≤12.0% (post 8 week OL run in)</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vertAlign w:val="superscript"/>
              </w:rPr>
            </w:pPr>
            <w:r w:rsidRPr="00E850A7">
              <w:rPr>
                <w:rFonts w:ascii="Arial Narrow" w:hAnsi="Arial Narrow"/>
                <w:sz w:val="20"/>
                <w:u w:val="single"/>
              </w:rPr>
              <w:t>Rosen-stock 2015</w:t>
            </w:r>
            <w:r w:rsidRPr="00E850A7">
              <w:rPr>
                <w:rFonts w:ascii="Arial Narrow" w:hAnsi="Arial Narrow"/>
                <w:sz w:val="20"/>
                <w:vertAlign w:val="superscript"/>
              </w:rPr>
              <w:t>‡</w:t>
            </w:r>
          </w:p>
        </w:tc>
        <w:tc>
          <w:tcPr>
            <w:tcW w:w="355"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R, DB, AC, MC</w:t>
            </w:r>
            <w:r w:rsidRPr="00E850A7">
              <w:rPr>
                <w:rFonts w:ascii="Arial Narrow" w:hAnsi="Arial Narrow"/>
                <w:sz w:val="20"/>
              </w:rPr>
              <w:br/>
              <w:t xml:space="preserve">24 wks </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179</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179</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176</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MET + DAPA 10 mg + SAXA 5 mg</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DAPA 10 mg + Pbo</w:t>
            </w:r>
          </w:p>
          <w:p w:rsidR="00683CDF" w:rsidRPr="00E850A7" w:rsidRDefault="00683CDF" w:rsidP="00F06FC0">
            <w:pPr>
              <w:spacing w:before="40" w:after="40"/>
              <w:rPr>
                <w:rFonts w:ascii="Arial Narrow" w:hAnsi="Arial Narrow"/>
                <w:sz w:val="20"/>
              </w:rPr>
            </w:pPr>
            <w:r w:rsidRPr="00E850A7">
              <w:rPr>
                <w:rFonts w:ascii="Arial Narrow" w:hAnsi="Arial Narrow"/>
                <w:sz w:val="20"/>
              </w:rPr>
              <w:t>MET + SAXA 5 mg + Pbo</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4 week run in</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MET 1.5-2.0 g daily,</w:t>
            </w:r>
          </w:p>
          <w:p w:rsidR="00683CDF" w:rsidRPr="00E850A7" w:rsidRDefault="00683CDF" w:rsidP="00F06FC0">
            <w:pPr>
              <w:tabs>
                <w:tab w:val="right" w:pos="3105"/>
              </w:tabs>
              <w:spacing w:before="40" w:after="40"/>
              <w:jc w:val="center"/>
              <w:rPr>
                <w:rFonts w:ascii="Arial Narrow" w:hAnsi="Arial Narrow"/>
                <w:sz w:val="20"/>
              </w:rPr>
            </w:pPr>
            <w:r w:rsidRPr="00E850A7">
              <w:rPr>
                <w:rFonts w:ascii="Arial Narrow" w:hAnsi="Arial Narrow"/>
                <w:sz w:val="20"/>
              </w:rPr>
              <w:t xml:space="preserve">+ </w:t>
            </w:r>
            <w:r w:rsidRPr="00E850A7">
              <w:rPr>
                <w:rFonts w:ascii="Arial Narrow" w:hAnsi="Arial Narrow"/>
                <w:sz w:val="20"/>
                <w:u w:val="single"/>
              </w:rPr>
              <w:t>24 week RCT</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Mean change in HbA1c</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HbA1c </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&gt;8.0% ≤12% </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Low</w:t>
            </w:r>
          </w:p>
        </w:tc>
      </w:tr>
      <w:tr w:rsidR="00683CDF" w:rsidRPr="00E850A7" w:rsidTr="00683CDF">
        <w:tc>
          <w:tcPr>
            <w:tcW w:w="5000" w:type="pct"/>
            <w:gridSpan w:val="8"/>
            <w:shd w:val="clear" w:color="auto" w:fill="auto"/>
            <w:vAlign w:val="center"/>
          </w:tcPr>
          <w:p w:rsidR="00683CDF" w:rsidRPr="00E850A7" w:rsidRDefault="00683CDF" w:rsidP="00F06FC0">
            <w:pPr>
              <w:spacing w:before="40" w:after="40"/>
              <w:rPr>
                <w:rFonts w:ascii="Arial Narrow" w:hAnsi="Arial Narrow"/>
                <w:b/>
                <w:sz w:val="20"/>
              </w:rPr>
            </w:pPr>
            <w:r w:rsidRPr="00E850A7">
              <w:rPr>
                <w:rFonts w:ascii="Arial Narrow" w:hAnsi="Arial Narrow"/>
                <w:b/>
                <w:sz w:val="20"/>
              </w:rPr>
              <w:t>Bioequivalence</w:t>
            </w:r>
          </w:p>
        </w:tc>
      </w:tr>
      <w:tr w:rsidR="00683CDF" w:rsidRPr="00E850A7" w:rsidTr="00683CDF">
        <w:tc>
          <w:tcPr>
            <w:tcW w:w="400"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1275.3</w:t>
            </w:r>
          </w:p>
        </w:tc>
        <w:tc>
          <w:tcPr>
            <w:tcW w:w="355" w:type="pct"/>
            <w:shd w:val="clear" w:color="auto" w:fill="auto"/>
          </w:tcPr>
          <w:p w:rsidR="00683CDF" w:rsidRPr="00E850A7" w:rsidRDefault="00683CDF" w:rsidP="00F06FC0">
            <w:pPr>
              <w:spacing w:before="40" w:after="40"/>
              <w:ind w:left="-30"/>
              <w:rPr>
                <w:rFonts w:ascii="Arial Narrow" w:hAnsi="Arial Narrow"/>
                <w:sz w:val="20"/>
              </w:rPr>
            </w:pPr>
            <w:r w:rsidRPr="00E850A7">
              <w:rPr>
                <w:rFonts w:ascii="Arial Narrow" w:hAnsi="Arial Narrow"/>
                <w:sz w:val="20"/>
              </w:rPr>
              <w:t>R, OL, Phase 1</w:t>
            </w:r>
          </w:p>
        </w:tc>
        <w:tc>
          <w:tcPr>
            <w:tcW w:w="258" w:type="pct"/>
            <w:shd w:val="clear" w:color="auto" w:fill="auto"/>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42</w:t>
            </w:r>
          </w:p>
        </w:tc>
        <w:tc>
          <w:tcPr>
            <w:tcW w:w="1614" w:type="pct"/>
            <w:shd w:val="clear" w:color="auto" w:fill="auto"/>
          </w:tcPr>
          <w:p w:rsidR="00683CDF" w:rsidRPr="00E850A7" w:rsidRDefault="00683CDF" w:rsidP="00F06FC0">
            <w:pPr>
              <w:spacing w:before="40" w:after="40"/>
              <w:rPr>
                <w:rFonts w:ascii="Arial Narrow" w:hAnsi="Arial Narrow"/>
                <w:sz w:val="20"/>
              </w:rPr>
            </w:pPr>
            <w:r w:rsidRPr="00E850A7">
              <w:rPr>
                <w:rFonts w:ascii="Arial Narrow" w:hAnsi="Arial Narrow"/>
                <w:sz w:val="20"/>
              </w:rPr>
              <w:t>EMPA 25 mg + LINA 5 mg FDC (normal)</w:t>
            </w:r>
          </w:p>
          <w:p w:rsidR="00683CDF" w:rsidRPr="00E850A7" w:rsidRDefault="00683CDF" w:rsidP="00F06FC0">
            <w:pPr>
              <w:spacing w:before="40" w:after="40"/>
              <w:rPr>
                <w:rFonts w:ascii="Arial Narrow" w:hAnsi="Arial Narrow"/>
                <w:sz w:val="20"/>
              </w:rPr>
            </w:pPr>
            <w:r w:rsidRPr="00E850A7">
              <w:rPr>
                <w:rFonts w:ascii="Arial Narrow" w:hAnsi="Arial Narrow"/>
                <w:sz w:val="20"/>
              </w:rPr>
              <w:t>EMPA 25 mg + LINA 5 mg concomitant</w:t>
            </w:r>
          </w:p>
          <w:p w:rsidR="00683CDF" w:rsidRPr="00E850A7" w:rsidRDefault="00683CDF" w:rsidP="00F06FC0">
            <w:pPr>
              <w:spacing w:before="40" w:after="40"/>
              <w:rPr>
                <w:rFonts w:ascii="Arial Narrow" w:hAnsi="Arial Narrow"/>
                <w:sz w:val="20"/>
              </w:rPr>
            </w:pPr>
            <w:r w:rsidRPr="00E850A7">
              <w:rPr>
                <w:rFonts w:ascii="Arial Narrow" w:hAnsi="Arial Narrow"/>
                <w:sz w:val="20"/>
              </w:rPr>
              <w:t xml:space="preserve">EMPA 25 mg + LINA 5 mg FDC </w:t>
            </w:r>
          </w:p>
          <w:p w:rsidR="00683CDF" w:rsidRPr="00E850A7" w:rsidRDefault="00683CDF" w:rsidP="00F06FC0">
            <w:pPr>
              <w:spacing w:before="40" w:after="40"/>
              <w:rPr>
                <w:rFonts w:ascii="Arial Narrow" w:hAnsi="Arial Narrow"/>
                <w:sz w:val="20"/>
              </w:rPr>
            </w:pPr>
            <w:r w:rsidRPr="00E850A7">
              <w:rPr>
                <w:rFonts w:ascii="Arial Narrow" w:hAnsi="Arial Narrow"/>
                <w:sz w:val="20"/>
              </w:rPr>
              <w:t>(high fat)</w:t>
            </w:r>
          </w:p>
          <w:p w:rsidR="00683CDF" w:rsidRPr="00E850A7" w:rsidRDefault="00683CDF" w:rsidP="00F06FC0">
            <w:pPr>
              <w:spacing w:before="40" w:after="40"/>
              <w:rPr>
                <w:rFonts w:ascii="Arial Narrow" w:hAnsi="Arial Narrow"/>
                <w:sz w:val="20"/>
              </w:rPr>
            </w:pPr>
            <w:r w:rsidRPr="00E850A7">
              <w:rPr>
                <w:rFonts w:ascii="Arial Narrow" w:hAnsi="Arial Narrow"/>
                <w:sz w:val="20"/>
              </w:rPr>
              <w:t>EMPA 25 mg + LINA 5 mg FDC (slow)</w:t>
            </w:r>
          </w:p>
        </w:tc>
        <w:tc>
          <w:tcPr>
            <w:tcW w:w="849" w:type="pct"/>
            <w:shd w:val="clear" w:color="auto" w:fill="auto"/>
            <w:vAlign w:val="center"/>
          </w:tcPr>
          <w:p w:rsidR="00683CDF" w:rsidRPr="00E850A7" w:rsidRDefault="00683CDF" w:rsidP="00F06FC0">
            <w:pPr>
              <w:tabs>
                <w:tab w:val="right" w:pos="3105"/>
              </w:tabs>
              <w:spacing w:before="40" w:after="40"/>
              <w:jc w:val="center"/>
              <w:rPr>
                <w:rFonts w:ascii="Arial Narrow" w:hAnsi="Arial Narrow"/>
                <w:sz w:val="20"/>
                <w:u w:val="single"/>
              </w:rPr>
            </w:pPr>
            <w:r w:rsidRPr="00E850A7">
              <w:rPr>
                <w:rFonts w:ascii="Arial Narrow" w:hAnsi="Arial Narrow"/>
                <w:sz w:val="20"/>
                <w:u w:val="single"/>
              </w:rPr>
              <w:t>Single dose</w:t>
            </w:r>
          </w:p>
        </w:tc>
        <w:tc>
          <w:tcPr>
            <w:tcW w:w="513"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AUC</w:t>
            </w:r>
            <w:r w:rsidRPr="00E850A7">
              <w:rPr>
                <w:rFonts w:ascii="Arial Narrow" w:hAnsi="Arial Narrow"/>
                <w:sz w:val="20"/>
                <w:vertAlign w:val="subscript"/>
              </w:rPr>
              <w:t>0-tz</w:t>
            </w:r>
            <w:r w:rsidRPr="00E850A7">
              <w:rPr>
                <w:rFonts w:ascii="Arial Narrow" w:hAnsi="Arial Narrow"/>
                <w:sz w:val="20"/>
              </w:rPr>
              <w:t xml:space="preserve"> </w:t>
            </w:r>
          </w:p>
          <w:p w:rsidR="00683CDF" w:rsidRPr="00E850A7" w:rsidRDefault="00683CDF" w:rsidP="00F06FC0">
            <w:pPr>
              <w:spacing w:before="40" w:after="40"/>
              <w:jc w:val="center"/>
              <w:rPr>
                <w:rFonts w:ascii="Arial Narrow" w:hAnsi="Arial Narrow" w:cstheme="minorHAnsi"/>
                <w:sz w:val="20"/>
                <w:vertAlign w:val="subscript"/>
              </w:rPr>
            </w:pPr>
            <w:r w:rsidRPr="00E850A7">
              <w:rPr>
                <w:rFonts w:ascii="Arial Narrow" w:hAnsi="Arial Narrow" w:cstheme="minorHAnsi"/>
                <w:sz w:val="20"/>
              </w:rPr>
              <w:t>AUC</w:t>
            </w:r>
            <w:r w:rsidRPr="00E850A7">
              <w:rPr>
                <w:rFonts w:ascii="Arial Narrow" w:hAnsi="Arial Narrow" w:cstheme="minorHAnsi"/>
                <w:sz w:val="20"/>
                <w:vertAlign w:val="subscript"/>
              </w:rPr>
              <w:t xml:space="preserve">0-72 </w:t>
            </w:r>
          </w:p>
          <w:p w:rsidR="00683CDF" w:rsidRPr="00E850A7" w:rsidRDefault="00683CDF" w:rsidP="00F06FC0">
            <w:pPr>
              <w:spacing w:before="40" w:after="40"/>
              <w:jc w:val="center"/>
              <w:rPr>
                <w:rFonts w:ascii="Arial Narrow" w:hAnsi="Arial Narrow"/>
                <w:sz w:val="20"/>
              </w:rPr>
            </w:pPr>
            <w:r w:rsidRPr="00E850A7">
              <w:rPr>
                <w:rFonts w:ascii="Arial Narrow" w:hAnsi="Arial Narrow" w:cstheme="minorHAnsi"/>
                <w:sz w:val="20"/>
              </w:rPr>
              <w:t>C</w:t>
            </w:r>
            <w:r w:rsidRPr="00E850A7">
              <w:rPr>
                <w:rFonts w:ascii="Arial Narrow" w:hAnsi="Arial Narrow" w:cstheme="minorHAnsi"/>
                <w:sz w:val="20"/>
                <w:vertAlign w:val="subscript"/>
              </w:rPr>
              <w:t>max</w:t>
            </w:r>
          </w:p>
        </w:tc>
        <w:tc>
          <w:tcPr>
            <w:tcW w:w="670"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Adult 18-55yrs</w:t>
            </w:r>
          </w:p>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 xml:space="preserve">BMI </w:t>
            </w:r>
          </w:p>
          <w:p w:rsidR="00683CDF" w:rsidRPr="00E850A7" w:rsidRDefault="00683CDF" w:rsidP="00F06FC0">
            <w:pPr>
              <w:spacing w:before="40" w:after="40"/>
              <w:jc w:val="center"/>
              <w:rPr>
                <w:rFonts w:ascii="Arial Narrow" w:hAnsi="Arial Narrow"/>
                <w:sz w:val="20"/>
              </w:rPr>
            </w:pPr>
            <w:r w:rsidRPr="00E850A7">
              <w:rPr>
                <w:rFonts w:ascii="Arial Narrow" w:hAnsi="Arial Narrow" w:cstheme="minorHAnsi"/>
                <w:sz w:val="20"/>
              </w:rPr>
              <w:t>18.5–29.9kg/m</w:t>
            </w:r>
            <w:r w:rsidRPr="00E850A7">
              <w:rPr>
                <w:rFonts w:ascii="Arial Narrow" w:hAnsi="Arial Narrow" w:cstheme="minorHAnsi"/>
                <w:sz w:val="20"/>
                <w:vertAlign w:val="superscript"/>
              </w:rPr>
              <w:t>2</w:t>
            </w:r>
            <w:r w:rsidRPr="00E850A7">
              <w:rPr>
                <w:rFonts w:cstheme="minorHAnsi"/>
                <w:vertAlign w:val="superscript"/>
              </w:rPr>
              <w:t xml:space="preserve"> </w:t>
            </w:r>
          </w:p>
        </w:tc>
        <w:tc>
          <w:tcPr>
            <w:tcW w:w="341" w:type="pct"/>
            <w:shd w:val="clear" w:color="auto" w:fill="auto"/>
            <w:vAlign w:val="center"/>
          </w:tcPr>
          <w:p w:rsidR="00683CDF" w:rsidRPr="00E850A7" w:rsidRDefault="00683CDF" w:rsidP="00F06FC0">
            <w:pPr>
              <w:spacing w:before="40" w:after="40"/>
              <w:jc w:val="center"/>
              <w:rPr>
                <w:rFonts w:ascii="Arial Narrow" w:hAnsi="Arial Narrow"/>
                <w:sz w:val="20"/>
              </w:rPr>
            </w:pPr>
            <w:r w:rsidRPr="00E850A7">
              <w:rPr>
                <w:rFonts w:ascii="Arial Narrow" w:hAnsi="Arial Narrow"/>
                <w:sz w:val="20"/>
              </w:rPr>
              <w:t>NA</w:t>
            </w:r>
          </w:p>
        </w:tc>
      </w:tr>
    </w:tbl>
    <w:p w:rsidR="00683CDF" w:rsidRPr="00E850A7" w:rsidRDefault="00683CDF" w:rsidP="00F06FC0">
      <w:pPr>
        <w:spacing w:before="0" w:after="0"/>
        <w:jc w:val="both"/>
        <w:rPr>
          <w:rFonts w:ascii="Arial Narrow" w:hAnsi="Arial Narrow"/>
          <w:sz w:val="18"/>
          <w:szCs w:val="18"/>
        </w:rPr>
      </w:pPr>
      <w:r w:rsidRPr="00E850A7">
        <w:rPr>
          <w:rFonts w:ascii="Arial Narrow" w:hAnsi="Arial Narrow"/>
          <w:sz w:val="18"/>
          <w:szCs w:val="18"/>
        </w:rPr>
        <w:t>Source: Table B.6, pp.89-90; Table B.109, pp.321-323; Table B.143, pp.406-409; Table B.150, p.427; Table B.191, pp.553-555; Empalina Bioequivalence, Attachment 3 to the resubmission.</w:t>
      </w:r>
    </w:p>
    <w:p w:rsidR="00683CDF" w:rsidRPr="00E850A7" w:rsidRDefault="00683CDF" w:rsidP="00F06FC0">
      <w:pPr>
        <w:spacing w:before="0" w:after="0"/>
        <w:jc w:val="both"/>
        <w:rPr>
          <w:rFonts w:ascii="Arial Narrow" w:hAnsi="Arial Narrow"/>
          <w:sz w:val="18"/>
          <w:szCs w:val="18"/>
        </w:rPr>
      </w:pPr>
      <w:r w:rsidRPr="00E850A7">
        <w:rPr>
          <w:rFonts w:ascii="Arial Narrow" w:hAnsi="Arial Narrow"/>
          <w:sz w:val="18"/>
          <w:szCs w:val="18"/>
        </w:rPr>
        <w:t>Abbreviations AC, active control; BMI, body mass index; DB, double blind; EMPA, empagliflozin; EXE, exenatide; FAS, full analysis set; FDC, fixed dose combination; HbA1c, glycosylated haemoglobin; ITT, intention-to-treat; LINA, linagliptin; LOCF, last observation carried forward; MC, multi-centre; MET, metformin; MMRM, mixed model repeated measures; NA, not applicable; OC, observed cases; OL, open label; Pbo, placebo; PC, placebo controlled; PIO, pioglitazone; PP, per protocol; R, randomised; RCT, randomised controlled trial; SITA, sitagliptin; wkly, weekly; wks, weeks</w:t>
      </w:r>
    </w:p>
    <w:p w:rsidR="00683CDF" w:rsidRPr="00E850A7" w:rsidRDefault="00683CDF" w:rsidP="00F06FC0">
      <w:pPr>
        <w:spacing w:before="0" w:after="0"/>
        <w:jc w:val="both"/>
        <w:rPr>
          <w:rFonts w:ascii="Arial Narrow" w:hAnsi="Arial Narrow"/>
          <w:sz w:val="18"/>
          <w:szCs w:val="18"/>
        </w:rPr>
      </w:pPr>
      <w:r w:rsidRPr="00E850A7">
        <w:rPr>
          <w:rFonts w:ascii="Arial Narrow" w:hAnsi="Arial Narrow"/>
          <w:sz w:val="18"/>
          <w:szCs w:val="18"/>
        </w:rPr>
        <w:t>* Last observation carried forward (LOCF) as sensitivity analysis</w:t>
      </w:r>
    </w:p>
    <w:p w:rsidR="00683CDF" w:rsidRPr="00E850A7" w:rsidRDefault="00683CDF" w:rsidP="00F06FC0">
      <w:pPr>
        <w:spacing w:before="0" w:after="0"/>
        <w:jc w:val="both"/>
        <w:rPr>
          <w:rFonts w:ascii="Arial Narrow" w:hAnsi="Arial Narrow"/>
          <w:sz w:val="18"/>
          <w:szCs w:val="18"/>
        </w:rPr>
      </w:pPr>
      <w:r w:rsidRPr="00E850A7">
        <w:rPr>
          <w:rFonts w:ascii="Arial Narrow" w:hAnsi="Arial Narrow"/>
          <w:sz w:val="18"/>
          <w:szCs w:val="18"/>
          <w:vertAlign w:val="superscript"/>
        </w:rPr>
        <w:t xml:space="preserve">† </w:t>
      </w:r>
      <w:r w:rsidRPr="00E850A7">
        <w:rPr>
          <w:rFonts w:ascii="Arial Narrow" w:hAnsi="Arial Narrow"/>
          <w:sz w:val="18"/>
          <w:szCs w:val="18"/>
        </w:rPr>
        <w:t>Insulin glargine titrated from an initial subcutaneous dose of 0·2 IU/kg bodyweight to attain fasting plasma glucose of 4·0–5·5 mmol/L</w:t>
      </w:r>
    </w:p>
    <w:p w:rsidR="00683CDF" w:rsidRPr="00E850A7" w:rsidRDefault="00683CDF" w:rsidP="00F06FC0">
      <w:pPr>
        <w:spacing w:before="0" w:after="120"/>
        <w:jc w:val="both"/>
        <w:rPr>
          <w:rFonts w:ascii="Arial Narrow" w:hAnsi="Arial Narrow"/>
          <w:sz w:val="18"/>
          <w:szCs w:val="18"/>
        </w:rPr>
      </w:pPr>
      <w:r w:rsidRPr="00E850A7">
        <w:rPr>
          <w:rFonts w:ascii="Arial Narrow" w:hAnsi="Arial Narrow"/>
          <w:sz w:val="18"/>
          <w:szCs w:val="18"/>
          <w:vertAlign w:val="superscript"/>
        </w:rPr>
        <w:t>‡</w:t>
      </w:r>
      <w:r w:rsidRPr="00E850A7">
        <w:rPr>
          <w:rFonts w:ascii="Arial Narrow" w:hAnsi="Arial Narrow"/>
          <w:sz w:val="18"/>
          <w:szCs w:val="18"/>
        </w:rPr>
        <w:t xml:space="preserve"> Trial or population not presented in the March 2017 submission, intention-to-treat data set used.</w:t>
      </w:r>
    </w:p>
    <w:p w:rsidR="00D261C7" w:rsidRPr="00E850A7" w:rsidRDefault="00D261C7" w:rsidP="00FE25C2">
      <w:pPr>
        <w:pStyle w:val="ListParagraph"/>
        <w:numPr>
          <w:ilvl w:val="1"/>
          <w:numId w:val="3"/>
        </w:numPr>
        <w:spacing w:before="0" w:after="120"/>
        <w:jc w:val="both"/>
      </w:pPr>
      <w:r w:rsidRPr="00E850A7">
        <w:t>The Duration 8 trial included patients with poorer glycaemic control (&gt;8.0% ≤12% HbA1c) compared to other trials (≥7% &lt;11% HbA1c), and higher mean baseline HbA1c (9.3% HbA1c compared to 8.4-8.6% HbA1c in the Duration 2 and Duration Neo 2 exenatide trials and 7.9-8.0% in the 1275.9, 1275.10 and 1275.1 empagliflozin with linagliptin FDC trials), and was not comparable with other included trials.</w:t>
      </w:r>
      <w:r w:rsidR="00F57C51" w:rsidRPr="00E850A7">
        <w:t xml:space="preserve"> The PSCR (p2) provided a sub-group analysis, which showed that in patients </w:t>
      </w:r>
      <w:r w:rsidR="0043494E" w:rsidRPr="00E850A7">
        <w:t>in the</w:t>
      </w:r>
      <w:r w:rsidR="00F57C51" w:rsidRPr="00E850A7">
        <w:t xml:space="preserve"> HbA1c &gt;8.5%</w:t>
      </w:r>
      <w:r w:rsidR="0043494E" w:rsidRPr="00E850A7">
        <w:t xml:space="preserve"> group, with similar baseline HbA1c (9.06-9.29% for subgroup of 1275.1, and 9.3% for duration8 trial), had similar improvement in HbA1c to each other and to the whole population.</w:t>
      </w:r>
    </w:p>
    <w:p w:rsidR="00474F37" w:rsidRPr="00E850A7" w:rsidRDefault="00474F37" w:rsidP="00FE25C2">
      <w:pPr>
        <w:pStyle w:val="ListParagraph"/>
        <w:numPr>
          <w:ilvl w:val="1"/>
          <w:numId w:val="3"/>
        </w:numPr>
        <w:spacing w:before="0" w:after="120"/>
        <w:jc w:val="both"/>
      </w:pPr>
      <w:r w:rsidRPr="00E850A7">
        <w:t xml:space="preserve">The Rosenstock (2015) and 1275.1 trials were identified in the resubmission as including a broader range of patients compared to the requested restriction. </w:t>
      </w:r>
      <w:r w:rsidR="0058463A" w:rsidRPr="00E850A7">
        <w:t>The populations in trial 1275.1 and Rosenstock (2015) initially included only patients with type 2 diabetes uncontrolled on metformin monotherapy (the broader population). Run in period treatment regimens and randomised treatment regimens in these trials provided a reasonable basis for inclusion in the resubmission. While the resubmission describes comparisons including trials 1275.1 and Rosenstock (2015) as informative, it is unclear why these trials were not included in the indirect comparisons with trials 1275.9, 1275.10, Mathieu (2015) and Matthaei (2015).</w:t>
      </w:r>
    </w:p>
    <w:p w:rsidR="008F71E9" w:rsidRPr="00E850A7" w:rsidRDefault="008F71E9" w:rsidP="00FE25C2">
      <w:pPr>
        <w:pStyle w:val="ListParagraph"/>
        <w:numPr>
          <w:ilvl w:val="1"/>
          <w:numId w:val="3"/>
        </w:numPr>
        <w:spacing w:before="0" w:after="120"/>
        <w:jc w:val="both"/>
      </w:pPr>
      <w:r w:rsidRPr="00E850A7">
        <w:t>The 1275.1 (treatment naïve) trial excluded patients with eGFR &lt;60</w:t>
      </w:r>
      <w:r w:rsidR="001010D9" w:rsidRPr="00E850A7">
        <w:t> </w:t>
      </w:r>
      <w:r w:rsidRPr="00E850A7">
        <w:t>mL/min/1.73 m</w:t>
      </w:r>
      <w:r w:rsidRPr="00E850A7">
        <w:rPr>
          <w:vertAlign w:val="superscript"/>
        </w:rPr>
        <w:t>2</w:t>
      </w:r>
      <w:r w:rsidRPr="00E850A7">
        <w:t xml:space="preserve"> and included treatment naïve patients. The trial was not applicable to the eligible population in the additional requested restriction, which included patients uncontrolled on previous therapy with an eGFR ≥45 &lt;60 mL/min/1.73 m</w:t>
      </w:r>
      <w:r w:rsidRPr="00E850A7">
        <w:rPr>
          <w:vertAlign w:val="superscript"/>
        </w:rPr>
        <w:t>2</w:t>
      </w:r>
      <w:r w:rsidRPr="00E850A7">
        <w:t>. An applicability study presented in the resubmission may have demonstrated some attenuation of effect for empagliflozin as glomerular filtration rates decline</w:t>
      </w:r>
      <w:r w:rsidR="00474F37" w:rsidRPr="00E850A7">
        <w:t>d</w:t>
      </w:r>
      <w:r w:rsidRPr="00E850A7">
        <w:t xml:space="preserve">, consistent with precautions included in the empagliflozin Product Information and the empagliflozin </w:t>
      </w:r>
      <w:r w:rsidR="00474F37" w:rsidRPr="00E850A7">
        <w:t>mechanism</w:t>
      </w:r>
      <w:r w:rsidRPr="00E850A7">
        <w:t xml:space="preserve"> of action.</w:t>
      </w:r>
    </w:p>
    <w:p w:rsidR="00474F37" w:rsidRPr="00E850A7" w:rsidRDefault="00474F37" w:rsidP="00FE25C2">
      <w:pPr>
        <w:pStyle w:val="ListParagraph"/>
        <w:numPr>
          <w:ilvl w:val="1"/>
          <w:numId w:val="3"/>
        </w:numPr>
        <w:spacing w:before="0" w:after="120"/>
        <w:jc w:val="both"/>
      </w:pPr>
      <w:r w:rsidRPr="00E850A7">
        <w:t>As noted in the March 2017 submission, the EASIE trial limited inclusion to patients aged between 35-70 years with lower baseline metformin dose regimens (≥1,000 mg/day) compared to other included trials (≥1,500 mg/day).</w:t>
      </w:r>
    </w:p>
    <w:p w:rsidR="00C317F3" w:rsidRPr="00E850A7" w:rsidRDefault="00C317F3" w:rsidP="00F06FC0">
      <w:pPr>
        <w:pStyle w:val="Heading2"/>
        <w:rPr>
          <w:i w:val="0"/>
        </w:rPr>
      </w:pPr>
      <w:bookmarkStart w:id="25" w:name="_Toc491873482"/>
      <w:r w:rsidRPr="00E850A7">
        <w:rPr>
          <w:i w:val="0"/>
        </w:rPr>
        <w:t>Comparative effectiveness</w:t>
      </w:r>
      <w:bookmarkEnd w:id="24"/>
      <w:bookmarkEnd w:id="25"/>
      <w:r w:rsidRPr="00E850A7">
        <w:rPr>
          <w:i w:val="0"/>
        </w:rPr>
        <w:t xml:space="preserve"> </w:t>
      </w:r>
    </w:p>
    <w:p w:rsidR="00AF0DF9" w:rsidRPr="00E850A7" w:rsidRDefault="0058463A" w:rsidP="00D47F86">
      <w:pPr>
        <w:spacing w:before="0" w:after="120"/>
        <w:jc w:val="both"/>
        <w:rPr>
          <w:color w:val="4472C4" w:themeColor="accent5"/>
        </w:rPr>
      </w:pPr>
      <w:r w:rsidRPr="00E850A7">
        <w:rPr>
          <w:u w:val="single"/>
        </w:rPr>
        <w:t>Empagliflozin with linagliptin FDC vs components empagliflozin or linagliptin, in combination with metformin</w:t>
      </w:r>
    </w:p>
    <w:p w:rsidR="00C6078D" w:rsidRPr="00E850A7" w:rsidRDefault="00C6078D" w:rsidP="00FE25C2">
      <w:pPr>
        <w:pStyle w:val="ListParagraph"/>
        <w:numPr>
          <w:ilvl w:val="1"/>
          <w:numId w:val="3"/>
        </w:numPr>
        <w:spacing w:before="0" w:after="120"/>
        <w:jc w:val="both"/>
        <w:rPr>
          <w:color w:val="4472C4" w:themeColor="accent5"/>
        </w:rPr>
      </w:pPr>
      <w:r w:rsidRPr="00E850A7">
        <w:t>The resubmission presented additional pooled results across both doses of empagliflozin in the FDC.</w:t>
      </w:r>
    </w:p>
    <w:p w:rsidR="0058463A" w:rsidRPr="00E850A7" w:rsidRDefault="0058463A" w:rsidP="00F06FC0">
      <w:pPr>
        <w:pStyle w:val="TableHeader"/>
        <w:spacing w:after="60"/>
      </w:pPr>
      <w:r w:rsidRPr="00E850A7">
        <w:t xml:space="preserve">Table </w:t>
      </w:r>
      <w:r w:rsidR="001010D9" w:rsidRPr="00E850A7">
        <w:t>4</w:t>
      </w:r>
      <w:r w:rsidRPr="00E850A7">
        <w:t>: Mean change in HbA1c from baseline; direct comparisons of empagliflozin with linagliptin FDC vs linagliptin or empagliflozin (with metformin; FAS, MMRM, OC): Trials 1275.9 and 1275.10</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3"/>
        <w:gridCol w:w="3692"/>
        <w:gridCol w:w="425"/>
        <w:gridCol w:w="1275"/>
        <w:gridCol w:w="463"/>
        <w:gridCol w:w="1128"/>
        <w:gridCol w:w="1441"/>
      </w:tblGrid>
      <w:tr w:rsidR="0058463A" w:rsidRPr="00E850A7" w:rsidTr="009F1F5F">
        <w:trPr>
          <w:tblHeader/>
        </w:trPr>
        <w:tc>
          <w:tcPr>
            <w:tcW w:w="400" w:type="pct"/>
            <w:tcBorders>
              <w:right w:val="nil"/>
            </w:tcBorders>
            <w:vAlign w:val="center"/>
          </w:tcPr>
          <w:p w:rsidR="0058463A" w:rsidRPr="00E850A7" w:rsidRDefault="0058463A" w:rsidP="00F06FC0">
            <w:pPr>
              <w:spacing w:before="40" w:after="40"/>
              <w:ind w:right="-108"/>
              <w:rPr>
                <w:rFonts w:ascii="Arial Narrow" w:hAnsi="Arial Narrow" w:cs="Times New Roman"/>
                <w:b/>
                <w:sz w:val="20"/>
              </w:rPr>
            </w:pPr>
            <w:r w:rsidRPr="00E850A7">
              <w:rPr>
                <w:rFonts w:ascii="Arial Narrow" w:hAnsi="Arial Narrow" w:cs="Times New Roman"/>
                <w:b/>
                <w:sz w:val="20"/>
              </w:rPr>
              <w:t>Trial ID</w:t>
            </w:r>
          </w:p>
        </w:tc>
        <w:tc>
          <w:tcPr>
            <w:tcW w:w="2016" w:type="pct"/>
            <w:tcBorders>
              <w:left w:val="nil"/>
            </w:tcBorders>
            <w:vAlign w:val="center"/>
          </w:tcPr>
          <w:p w:rsidR="0058463A" w:rsidRPr="00E850A7" w:rsidRDefault="0058463A" w:rsidP="00F06FC0">
            <w:pPr>
              <w:spacing w:before="40" w:after="40"/>
              <w:rPr>
                <w:rFonts w:ascii="Arial Narrow" w:hAnsi="Arial Narrow" w:cs="Arial"/>
                <w:b/>
                <w:sz w:val="20"/>
              </w:rPr>
            </w:pPr>
            <w:r w:rsidRPr="00E850A7">
              <w:rPr>
                <w:rFonts w:ascii="Arial Narrow" w:hAnsi="Arial Narrow"/>
                <w:b/>
                <w:sz w:val="20"/>
              </w:rPr>
              <w:t>Comparison (in combination with metformin)</w:t>
            </w:r>
          </w:p>
        </w:tc>
        <w:tc>
          <w:tcPr>
            <w:tcW w:w="1797" w:type="pct"/>
            <w:gridSpan w:val="4"/>
            <w:vAlign w:val="center"/>
          </w:tcPr>
          <w:p w:rsidR="0058463A" w:rsidRPr="00E850A7" w:rsidRDefault="0058463A" w:rsidP="00F06FC0">
            <w:pPr>
              <w:spacing w:before="40" w:after="40"/>
              <w:jc w:val="center"/>
              <w:rPr>
                <w:rFonts w:ascii="Arial Narrow" w:hAnsi="Arial Narrow"/>
                <w:b/>
                <w:sz w:val="20"/>
              </w:rPr>
            </w:pPr>
            <w:r w:rsidRPr="00E850A7">
              <w:rPr>
                <w:rFonts w:ascii="Arial Narrow" w:hAnsi="Arial Narrow"/>
                <w:b/>
                <w:sz w:val="20"/>
              </w:rPr>
              <w:t>Mean change in HbA1c, % (SD)</w:t>
            </w:r>
          </w:p>
        </w:tc>
        <w:tc>
          <w:tcPr>
            <w:tcW w:w="787" w:type="pct"/>
            <w:vMerge w:val="restart"/>
            <w:vAlign w:val="center"/>
          </w:tcPr>
          <w:p w:rsidR="0058463A" w:rsidRPr="00E850A7" w:rsidRDefault="0058463A" w:rsidP="00F06FC0">
            <w:pPr>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58463A" w:rsidRPr="00E850A7" w:rsidRDefault="0058463A" w:rsidP="00F06FC0">
            <w:pPr>
              <w:spacing w:before="40" w:after="40"/>
              <w:jc w:val="center"/>
              <w:rPr>
                <w:rFonts w:ascii="Arial Narrow" w:hAnsi="Arial Narrow" w:cs="Times New Roman"/>
                <w:b/>
                <w:sz w:val="20"/>
              </w:rPr>
            </w:pPr>
            <w:r w:rsidRPr="00E850A7">
              <w:rPr>
                <w:rFonts w:ascii="Arial Narrow" w:hAnsi="Arial Narrow" w:cs="Times New Roman"/>
                <w:b/>
                <w:sz w:val="20"/>
              </w:rPr>
              <w:t xml:space="preserve">mean change </w:t>
            </w:r>
          </w:p>
          <w:p w:rsidR="0058463A" w:rsidRPr="00E850A7" w:rsidRDefault="0058463A" w:rsidP="00F06FC0">
            <w:pPr>
              <w:spacing w:before="40" w:after="40"/>
              <w:jc w:val="center"/>
              <w:rPr>
                <w:rFonts w:ascii="Arial Narrow" w:hAnsi="Arial Narrow" w:cs="Times New Roman"/>
                <w:b/>
                <w:sz w:val="20"/>
              </w:rPr>
            </w:pPr>
            <w:r w:rsidRPr="00E850A7">
              <w:rPr>
                <w:rFonts w:ascii="Arial Narrow" w:hAnsi="Arial Narrow" w:cs="Times New Roman"/>
                <w:b/>
                <w:sz w:val="20"/>
              </w:rPr>
              <w:t>(95% CI)</w:t>
            </w:r>
          </w:p>
        </w:tc>
      </w:tr>
      <w:tr w:rsidR="0058463A" w:rsidRPr="00E850A7" w:rsidTr="009F1F5F">
        <w:trPr>
          <w:tblHeader/>
        </w:trPr>
        <w:tc>
          <w:tcPr>
            <w:tcW w:w="2416" w:type="pct"/>
            <w:gridSpan w:val="2"/>
            <w:vAlign w:val="center"/>
          </w:tcPr>
          <w:p w:rsidR="0058463A" w:rsidRPr="00E850A7" w:rsidRDefault="0058463A" w:rsidP="00F06FC0">
            <w:pPr>
              <w:spacing w:before="40" w:after="40"/>
              <w:rPr>
                <w:rFonts w:ascii="Arial Narrow" w:hAnsi="Arial Narrow" w:cs="Times New Roman"/>
                <w:b/>
                <w:sz w:val="20"/>
              </w:rPr>
            </w:pPr>
            <w:r w:rsidRPr="00E850A7">
              <w:rPr>
                <w:rFonts w:ascii="Arial Narrow" w:hAnsi="Arial Narrow" w:cs="Times New Roman"/>
                <w:b/>
                <w:sz w:val="20"/>
              </w:rPr>
              <w:t>1275.9 (24 weeks)</w:t>
            </w:r>
          </w:p>
        </w:tc>
        <w:tc>
          <w:tcPr>
            <w:tcW w:w="232" w:type="pct"/>
            <w:tcBorders>
              <w:bottom w:val="single" w:sz="4" w:space="0" w:color="auto"/>
            </w:tcBorders>
            <w:vAlign w:val="center"/>
          </w:tcPr>
          <w:p w:rsidR="0058463A" w:rsidRPr="00E850A7" w:rsidRDefault="0058463A" w:rsidP="00F06FC0">
            <w:pPr>
              <w:spacing w:before="40" w:after="40"/>
              <w:ind w:right="-28"/>
              <w:jc w:val="center"/>
              <w:rPr>
                <w:rFonts w:ascii="Arial Narrow" w:hAnsi="Arial Narrow" w:cs="Times New Roman"/>
                <w:b/>
                <w:sz w:val="20"/>
              </w:rPr>
            </w:pPr>
            <w:r w:rsidRPr="00E850A7">
              <w:rPr>
                <w:rFonts w:ascii="Arial Narrow" w:hAnsi="Arial Narrow" w:cs="Times New Roman"/>
                <w:b/>
                <w:sz w:val="20"/>
              </w:rPr>
              <w:t>n</w:t>
            </w:r>
          </w:p>
        </w:tc>
        <w:tc>
          <w:tcPr>
            <w:tcW w:w="696" w:type="pct"/>
            <w:tcBorders>
              <w:bottom w:val="single" w:sz="4" w:space="0" w:color="auto"/>
            </w:tcBorders>
            <w:vAlign w:val="center"/>
          </w:tcPr>
          <w:p w:rsidR="0058463A" w:rsidRPr="00E850A7" w:rsidRDefault="0058463A" w:rsidP="00F06FC0">
            <w:pPr>
              <w:spacing w:before="40" w:after="40"/>
              <w:ind w:right="67"/>
              <w:jc w:val="center"/>
              <w:rPr>
                <w:rFonts w:ascii="Arial Narrow" w:hAnsi="Arial Narrow" w:cs="Times New Roman"/>
                <w:b/>
                <w:sz w:val="20"/>
              </w:rPr>
            </w:pPr>
            <w:r w:rsidRPr="00E850A7">
              <w:rPr>
                <w:rFonts w:ascii="Arial Narrow" w:hAnsi="Arial Narrow" w:cs="Times New Roman"/>
                <w:b/>
                <w:sz w:val="20"/>
              </w:rPr>
              <w:t>MET + EMPA + LINA FDC</w:t>
            </w:r>
          </w:p>
        </w:tc>
        <w:tc>
          <w:tcPr>
            <w:tcW w:w="253" w:type="pct"/>
            <w:tcBorders>
              <w:bottom w:val="single" w:sz="4" w:space="0" w:color="auto"/>
            </w:tcBorders>
            <w:vAlign w:val="center"/>
          </w:tcPr>
          <w:p w:rsidR="0058463A" w:rsidRPr="00E850A7" w:rsidRDefault="0058463A" w:rsidP="00F06FC0">
            <w:pPr>
              <w:spacing w:before="40" w:after="40"/>
              <w:ind w:right="-28"/>
              <w:jc w:val="center"/>
              <w:rPr>
                <w:rFonts w:ascii="Arial Narrow" w:hAnsi="Arial Narrow" w:cs="Times New Roman"/>
                <w:b/>
                <w:sz w:val="20"/>
              </w:rPr>
            </w:pPr>
            <w:r w:rsidRPr="00E850A7">
              <w:rPr>
                <w:rFonts w:ascii="Arial Narrow" w:hAnsi="Arial Narrow" w:cs="Times New Roman"/>
                <w:b/>
                <w:sz w:val="20"/>
              </w:rPr>
              <w:t>n</w:t>
            </w:r>
          </w:p>
        </w:tc>
        <w:tc>
          <w:tcPr>
            <w:tcW w:w="616" w:type="pct"/>
            <w:tcBorders>
              <w:bottom w:val="single" w:sz="4" w:space="0" w:color="auto"/>
            </w:tcBorders>
            <w:vAlign w:val="center"/>
          </w:tcPr>
          <w:p w:rsidR="0058463A" w:rsidRPr="00E850A7" w:rsidRDefault="0058463A" w:rsidP="00F06FC0">
            <w:pPr>
              <w:spacing w:before="40" w:after="40"/>
              <w:ind w:right="13"/>
              <w:jc w:val="center"/>
              <w:rPr>
                <w:rFonts w:ascii="Arial Narrow" w:hAnsi="Arial Narrow" w:cs="Times New Roman"/>
                <w:b/>
                <w:sz w:val="20"/>
              </w:rPr>
            </w:pPr>
            <w:r w:rsidRPr="00E850A7">
              <w:rPr>
                <w:rFonts w:ascii="Arial Narrow" w:hAnsi="Arial Narrow" w:cs="Times New Roman"/>
                <w:b/>
                <w:sz w:val="20"/>
              </w:rPr>
              <w:t xml:space="preserve">MET + LINA </w:t>
            </w:r>
            <w:r w:rsidRPr="00E850A7">
              <w:rPr>
                <w:rFonts w:ascii="Arial Narrow" w:hAnsi="Arial Narrow" w:cs="Times New Roman"/>
                <w:b/>
                <w:sz w:val="20"/>
              </w:rPr>
              <w:br/>
              <w:t>+ Pbo</w:t>
            </w:r>
          </w:p>
        </w:tc>
        <w:tc>
          <w:tcPr>
            <w:tcW w:w="787" w:type="pct"/>
            <w:vMerge/>
            <w:tcBorders>
              <w:bottom w:val="single" w:sz="4" w:space="0" w:color="auto"/>
            </w:tcBorders>
            <w:vAlign w:val="center"/>
          </w:tcPr>
          <w:p w:rsidR="0058463A" w:rsidRPr="00E850A7" w:rsidRDefault="0058463A" w:rsidP="00F06FC0">
            <w:pPr>
              <w:spacing w:before="40" w:after="40"/>
              <w:jc w:val="center"/>
              <w:rPr>
                <w:rFonts w:ascii="Arial Narrow" w:hAnsi="Arial Narrow" w:cs="Times New Roman"/>
                <w:b/>
                <w:sz w:val="20"/>
              </w:rPr>
            </w:pPr>
          </w:p>
        </w:tc>
      </w:tr>
      <w:tr w:rsidR="0058463A" w:rsidRPr="00E850A7" w:rsidTr="001E696D">
        <w:tc>
          <w:tcPr>
            <w:tcW w:w="2416" w:type="pct"/>
            <w:gridSpan w:val="2"/>
            <w:shd w:val="clear" w:color="auto" w:fill="auto"/>
            <w:vAlign w:val="center"/>
          </w:tcPr>
          <w:p w:rsidR="0058463A" w:rsidRPr="00E925FB" w:rsidRDefault="0058463A" w:rsidP="00F06FC0">
            <w:pPr>
              <w:spacing w:before="40" w:after="40"/>
              <w:rPr>
                <w:rFonts w:ascii="Arial Narrow" w:hAnsi="Arial Narrow" w:cs="Times New Roman"/>
                <w:i/>
                <w:sz w:val="20"/>
              </w:rPr>
            </w:pPr>
            <w:r w:rsidRPr="00E925FB">
              <w:rPr>
                <w:rFonts w:ascii="Arial Narrow" w:hAnsi="Arial Narrow" w:cs="Times New Roman"/>
                <w:i/>
                <w:sz w:val="20"/>
              </w:rPr>
              <w:t>MET + EMPA 25 mg + LINA vs MET + LINA + Pbo</w:t>
            </w:r>
          </w:p>
        </w:tc>
        <w:tc>
          <w:tcPr>
            <w:tcW w:w="232" w:type="pct"/>
            <w:tcBorders>
              <w:bottom w:val="sing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110</w:t>
            </w:r>
          </w:p>
        </w:tc>
        <w:tc>
          <w:tcPr>
            <w:tcW w:w="696" w:type="pct"/>
            <w:tcBorders>
              <w:bottom w:val="sing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i/>
                <w:sz w:val="20"/>
              </w:rPr>
              <w:t>-0.56 (0.84)</w:t>
            </w:r>
          </w:p>
        </w:tc>
        <w:tc>
          <w:tcPr>
            <w:tcW w:w="253" w:type="pct"/>
            <w:tcBorders>
              <w:bottom w:val="sing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106</w:t>
            </w:r>
          </w:p>
        </w:tc>
        <w:tc>
          <w:tcPr>
            <w:tcW w:w="616" w:type="pct"/>
            <w:tcBorders>
              <w:bottom w:val="sing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i/>
                <w:sz w:val="20"/>
              </w:rPr>
              <w:t>0.14 (0.93)</w:t>
            </w:r>
          </w:p>
        </w:tc>
        <w:tc>
          <w:tcPr>
            <w:tcW w:w="787" w:type="pct"/>
            <w:tcBorders>
              <w:bottom w:val="sing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b/>
                <w:i/>
                <w:sz w:val="20"/>
              </w:rPr>
            </w:pPr>
            <w:r w:rsidRPr="00E925FB">
              <w:rPr>
                <w:rFonts w:ascii="Arial Narrow" w:hAnsi="Arial Narrow"/>
                <w:b/>
                <w:i/>
                <w:sz w:val="20"/>
              </w:rPr>
              <w:t>-0.70 (-0.94, -0.46)</w:t>
            </w:r>
          </w:p>
        </w:tc>
      </w:tr>
      <w:tr w:rsidR="0058463A" w:rsidRPr="00E850A7" w:rsidTr="001E696D">
        <w:tc>
          <w:tcPr>
            <w:tcW w:w="2416" w:type="pct"/>
            <w:gridSpan w:val="2"/>
            <w:tcBorders>
              <w:bottom w:val="double" w:sz="4" w:space="0" w:color="auto"/>
            </w:tcBorders>
            <w:shd w:val="clear" w:color="auto" w:fill="auto"/>
            <w:vAlign w:val="center"/>
          </w:tcPr>
          <w:p w:rsidR="0058463A" w:rsidRPr="00E925FB" w:rsidRDefault="0058463A" w:rsidP="00F06FC0">
            <w:pPr>
              <w:spacing w:before="40" w:after="40"/>
              <w:rPr>
                <w:rFonts w:ascii="Arial Narrow" w:hAnsi="Arial Narrow" w:cs="Times New Roman"/>
                <w:i/>
                <w:sz w:val="20"/>
              </w:rPr>
            </w:pPr>
            <w:r w:rsidRPr="00E925FB">
              <w:rPr>
                <w:rFonts w:ascii="Arial Narrow" w:hAnsi="Arial Narrow" w:cs="Times New Roman"/>
                <w:i/>
                <w:sz w:val="20"/>
              </w:rPr>
              <w:t xml:space="preserve">MET + EMPA 10 mg + LINA vs MET + LINA + Pbo </w:t>
            </w:r>
          </w:p>
        </w:tc>
        <w:tc>
          <w:tcPr>
            <w:tcW w:w="232" w:type="pct"/>
            <w:tcBorders>
              <w:bottom w:val="doub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109</w:t>
            </w:r>
          </w:p>
        </w:tc>
        <w:tc>
          <w:tcPr>
            <w:tcW w:w="696" w:type="pct"/>
            <w:tcBorders>
              <w:bottom w:val="doub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i/>
                <w:sz w:val="20"/>
              </w:rPr>
              <w:t>-0.65 (0.84)</w:t>
            </w:r>
          </w:p>
        </w:tc>
        <w:tc>
          <w:tcPr>
            <w:tcW w:w="253" w:type="pct"/>
            <w:tcBorders>
              <w:bottom w:val="doub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106</w:t>
            </w:r>
          </w:p>
        </w:tc>
        <w:tc>
          <w:tcPr>
            <w:tcW w:w="616" w:type="pct"/>
            <w:tcBorders>
              <w:bottom w:val="doub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i/>
                <w:sz w:val="20"/>
              </w:rPr>
              <w:t>0.14 (0.93)</w:t>
            </w:r>
          </w:p>
        </w:tc>
        <w:tc>
          <w:tcPr>
            <w:tcW w:w="787" w:type="pct"/>
            <w:tcBorders>
              <w:bottom w:val="double" w:sz="4" w:space="0" w:color="auto"/>
            </w:tcBorders>
            <w:shd w:val="clear" w:color="auto" w:fill="auto"/>
            <w:vAlign w:val="bottom"/>
          </w:tcPr>
          <w:p w:rsidR="0058463A" w:rsidRPr="00E925FB" w:rsidRDefault="0058463A" w:rsidP="00F06FC0">
            <w:pPr>
              <w:spacing w:before="40" w:after="40"/>
              <w:jc w:val="center"/>
              <w:rPr>
                <w:rFonts w:ascii="Arial Narrow" w:hAnsi="Arial Narrow" w:cs="Times New Roman"/>
                <w:b/>
                <w:i/>
                <w:sz w:val="20"/>
              </w:rPr>
            </w:pPr>
            <w:r w:rsidRPr="00E925FB">
              <w:rPr>
                <w:rFonts w:ascii="Arial Narrow" w:hAnsi="Arial Narrow"/>
                <w:b/>
                <w:i/>
                <w:sz w:val="20"/>
              </w:rPr>
              <w:t>-0.79 (-1.03, -0.55)</w:t>
            </w:r>
          </w:p>
        </w:tc>
      </w:tr>
      <w:tr w:rsidR="0058463A" w:rsidRPr="00E850A7" w:rsidTr="009F1F5F">
        <w:trPr>
          <w:trHeight w:val="416"/>
          <w:tblHeader/>
        </w:trPr>
        <w:tc>
          <w:tcPr>
            <w:tcW w:w="2416" w:type="pct"/>
            <w:gridSpan w:val="2"/>
            <w:shd w:val="clear" w:color="auto" w:fill="auto"/>
            <w:vAlign w:val="center"/>
          </w:tcPr>
          <w:p w:rsidR="0058463A" w:rsidRPr="00E850A7" w:rsidRDefault="0058463A" w:rsidP="00F06FC0">
            <w:pPr>
              <w:spacing w:before="40" w:after="40"/>
              <w:rPr>
                <w:rFonts w:ascii="Arial Narrow" w:hAnsi="Arial Narrow" w:cs="Times New Roman"/>
                <w:sz w:val="20"/>
              </w:rPr>
            </w:pPr>
            <w:r w:rsidRPr="00E850A7">
              <w:rPr>
                <w:rFonts w:ascii="Arial Narrow" w:hAnsi="Arial Narrow" w:cs="Times New Roman"/>
                <w:sz w:val="20"/>
              </w:rPr>
              <w:t xml:space="preserve">MET + EMPA </w:t>
            </w:r>
            <w:r w:rsidRPr="00E850A7">
              <w:rPr>
                <w:rFonts w:ascii="Arial Narrow" w:hAnsi="Arial Narrow" w:cs="Times New Roman"/>
                <w:sz w:val="20"/>
                <w:u w:val="single"/>
              </w:rPr>
              <w:t>25 or 10 mg</w:t>
            </w:r>
            <w:r w:rsidRPr="00E850A7">
              <w:rPr>
                <w:rFonts w:ascii="Arial Narrow" w:hAnsi="Arial Narrow" w:cs="Times New Roman"/>
                <w:sz w:val="20"/>
              </w:rPr>
              <w:t xml:space="preserve"> + LINA 5 mg vs MET + LINA </w:t>
            </w:r>
            <w:r w:rsidRPr="00E850A7">
              <w:rPr>
                <w:rFonts w:ascii="Arial Narrow" w:hAnsi="Arial Narrow" w:cs="Times New Roman"/>
                <w:sz w:val="20"/>
              </w:rPr>
              <w:br/>
              <w:t>+ Pbo (pooled)</w:t>
            </w:r>
          </w:p>
        </w:tc>
        <w:tc>
          <w:tcPr>
            <w:tcW w:w="232"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cs="Times New Roman"/>
                <w:b/>
                <w:sz w:val="20"/>
              </w:rPr>
            </w:pPr>
            <w:r w:rsidRPr="00E850A7">
              <w:rPr>
                <w:rFonts w:ascii="Arial Narrow" w:hAnsi="Arial Narrow" w:cs="Times New Roman"/>
                <w:sz w:val="20"/>
              </w:rPr>
              <w:t>219</w:t>
            </w:r>
          </w:p>
        </w:tc>
        <w:tc>
          <w:tcPr>
            <w:tcW w:w="696"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cs="Times New Roman"/>
                <w:sz w:val="20"/>
              </w:rPr>
            </w:pPr>
            <w:r w:rsidRPr="00E850A7">
              <w:rPr>
                <w:rFonts w:ascii="Arial Narrow" w:hAnsi="Arial Narrow" w:cs="Times New Roman"/>
                <w:sz w:val="20"/>
              </w:rPr>
              <w:t>-</w:t>
            </w:r>
          </w:p>
        </w:tc>
        <w:tc>
          <w:tcPr>
            <w:tcW w:w="253"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cs="Times New Roman"/>
                <w:b/>
                <w:sz w:val="20"/>
              </w:rPr>
            </w:pPr>
            <w:r w:rsidRPr="00E850A7">
              <w:rPr>
                <w:rFonts w:ascii="Arial Narrow" w:hAnsi="Arial Narrow" w:cs="Times New Roman"/>
                <w:sz w:val="20"/>
              </w:rPr>
              <w:t>212</w:t>
            </w:r>
          </w:p>
        </w:tc>
        <w:tc>
          <w:tcPr>
            <w:tcW w:w="616"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cs="Times New Roman"/>
                <w:sz w:val="20"/>
              </w:rPr>
            </w:pPr>
            <w:r w:rsidRPr="00E850A7">
              <w:rPr>
                <w:rFonts w:ascii="Arial Narrow" w:hAnsi="Arial Narrow" w:cs="Times New Roman"/>
                <w:sz w:val="20"/>
              </w:rPr>
              <w:t>-</w:t>
            </w:r>
          </w:p>
        </w:tc>
        <w:tc>
          <w:tcPr>
            <w:tcW w:w="787" w:type="pct"/>
            <w:tcBorders>
              <w:top w:val="double" w:sz="4" w:space="0" w:color="auto"/>
            </w:tcBorders>
            <w:shd w:val="clear" w:color="auto" w:fill="auto"/>
            <w:vAlign w:val="center"/>
          </w:tcPr>
          <w:p w:rsidR="0058463A" w:rsidRPr="005D428A" w:rsidRDefault="005D428A" w:rsidP="00F06FC0">
            <w:pPr>
              <w:spacing w:before="40" w:after="40"/>
              <w:jc w:val="center"/>
              <w:rPr>
                <w:rFonts w:ascii="Arial Narrow" w:hAnsi="Arial Narrow" w:cs="Times New Roman"/>
                <w:b/>
                <w:sz w:val="20"/>
                <w:highlight w:val="black"/>
              </w:rPr>
            </w:pPr>
            <w:r>
              <w:rPr>
                <w:rFonts w:ascii="Arial Narrow" w:hAnsi="Arial Narrow"/>
                <w:b/>
                <w:noProof/>
                <w:color w:val="000000"/>
                <w:sz w:val="20"/>
                <w:highlight w:val="black"/>
              </w:rPr>
              <w:t>'''''''''' '''''''''''' '''''''''''</w:t>
            </w:r>
          </w:p>
        </w:tc>
      </w:tr>
    </w:tbl>
    <w:p w:rsidR="0058463A" w:rsidRPr="00E850A7" w:rsidRDefault="0058463A" w:rsidP="00F06FC0">
      <w:pPr>
        <w:spacing w:before="0" w:after="0"/>
        <w:rPr>
          <w:rFonts w:ascii="Arial Narrow" w:hAnsi="Arial Narrow" w:cs="Times New Roman"/>
          <w:b/>
          <w:sz w:val="2"/>
          <w:szCs w:val="2"/>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5"/>
        <w:gridCol w:w="425"/>
        <w:gridCol w:w="1275"/>
        <w:gridCol w:w="463"/>
        <w:gridCol w:w="1128"/>
        <w:gridCol w:w="1441"/>
      </w:tblGrid>
      <w:tr w:rsidR="0058463A" w:rsidRPr="00E850A7" w:rsidTr="009F1F5F">
        <w:trPr>
          <w:cantSplit/>
          <w:tblHeader/>
        </w:trPr>
        <w:tc>
          <w:tcPr>
            <w:tcW w:w="2416" w:type="pct"/>
            <w:tcBorders>
              <w:top w:val="single" w:sz="4" w:space="0" w:color="auto"/>
            </w:tcBorders>
            <w:vAlign w:val="center"/>
          </w:tcPr>
          <w:p w:rsidR="0058463A" w:rsidRPr="00E850A7" w:rsidRDefault="0058463A" w:rsidP="00F06FC0">
            <w:pPr>
              <w:spacing w:before="40" w:after="40"/>
              <w:rPr>
                <w:rFonts w:ascii="Arial Narrow" w:hAnsi="Arial Narrow" w:cs="Times New Roman"/>
                <w:b/>
                <w:sz w:val="20"/>
              </w:rPr>
            </w:pPr>
            <w:r w:rsidRPr="00E850A7">
              <w:rPr>
                <w:rFonts w:ascii="Arial Narrow" w:hAnsi="Arial Narrow" w:cs="Times New Roman"/>
                <w:b/>
                <w:sz w:val="20"/>
              </w:rPr>
              <w:t>1275.10 (24 weeks)</w:t>
            </w:r>
          </w:p>
        </w:tc>
        <w:tc>
          <w:tcPr>
            <w:tcW w:w="232" w:type="pct"/>
            <w:tcBorders>
              <w:top w:val="single" w:sz="4" w:space="0" w:color="auto"/>
              <w:bottom w:val="single" w:sz="4" w:space="0" w:color="auto"/>
            </w:tcBorders>
            <w:vAlign w:val="center"/>
          </w:tcPr>
          <w:p w:rsidR="0058463A" w:rsidRPr="00E850A7" w:rsidRDefault="0058463A" w:rsidP="00F06FC0">
            <w:pPr>
              <w:spacing w:before="40" w:after="40"/>
              <w:ind w:right="-28"/>
              <w:jc w:val="center"/>
              <w:rPr>
                <w:rFonts w:ascii="Arial Narrow" w:hAnsi="Arial Narrow"/>
                <w:b/>
                <w:sz w:val="20"/>
              </w:rPr>
            </w:pPr>
            <w:r w:rsidRPr="00E850A7">
              <w:rPr>
                <w:rFonts w:ascii="Arial Narrow" w:hAnsi="Arial Narrow" w:cs="Times New Roman"/>
                <w:b/>
                <w:sz w:val="20"/>
              </w:rPr>
              <w:t>n</w:t>
            </w:r>
          </w:p>
        </w:tc>
        <w:tc>
          <w:tcPr>
            <w:tcW w:w="696" w:type="pct"/>
            <w:tcBorders>
              <w:top w:val="single" w:sz="4" w:space="0" w:color="auto"/>
              <w:bottom w:val="single" w:sz="4" w:space="0" w:color="auto"/>
            </w:tcBorders>
            <w:vAlign w:val="center"/>
          </w:tcPr>
          <w:p w:rsidR="0058463A" w:rsidRPr="00E850A7" w:rsidRDefault="0058463A" w:rsidP="00F06FC0">
            <w:pPr>
              <w:spacing w:before="40" w:after="40"/>
              <w:ind w:right="67"/>
              <w:jc w:val="center"/>
              <w:rPr>
                <w:rFonts w:ascii="Arial Narrow" w:hAnsi="Arial Narrow" w:cs="Times New Roman"/>
                <w:b/>
                <w:sz w:val="20"/>
              </w:rPr>
            </w:pPr>
            <w:r w:rsidRPr="00E850A7">
              <w:rPr>
                <w:rFonts w:ascii="Arial Narrow" w:hAnsi="Arial Narrow" w:cs="Times New Roman"/>
                <w:b/>
                <w:sz w:val="20"/>
              </w:rPr>
              <w:t>MET + EMPA + LINA FDC</w:t>
            </w:r>
          </w:p>
        </w:tc>
        <w:tc>
          <w:tcPr>
            <w:tcW w:w="253" w:type="pct"/>
            <w:tcBorders>
              <w:top w:val="single" w:sz="4" w:space="0" w:color="auto"/>
              <w:bottom w:val="single" w:sz="4" w:space="0" w:color="auto"/>
            </w:tcBorders>
            <w:vAlign w:val="center"/>
          </w:tcPr>
          <w:p w:rsidR="0058463A" w:rsidRPr="00E850A7" w:rsidRDefault="0058463A" w:rsidP="00F06FC0">
            <w:pPr>
              <w:spacing w:before="40" w:after="40"/>
              <w:ind w:right="-28"/>
              <w:jc w:val="center"/>
              <w:rPr>
                <w:rFonts w:ascii="Arial Narrow" w:hAnsi="Arial Narrow"/>
                <w:b/>
                <w:sz w:val="20"/>
              </w:rPr>
            </w:pPr>
            <w:r w:rsidRPr="00E850A7">
              <w:rPr>
                <w:rFonts w:ascii="Arial Narrow" w:hAnsi="Arial Narrow" w:cs="Times New Roman"/>
                <w:b/>
                <w:sz w:val="20"/>
              </w:rPr>
              <w:t>n</w:t>
            </w:r>
          </w:p>
        </w:tc>
        <w:tc>
          <w:tcPr>
            <w:tcW w:w="616" w:type="pct"/>
            <w:tcBorders>
              <w:top w:val="single" w:sz="4" w:space="0" w:color="auto"/>
              <w:bottom w:val="single" w:sz="4" w:space="0" w:color="auto"/>
            </w:tcBorders>
            <w:vAlign w:val="center"/>
          </w:tcPr>
          <w:p w:rsidR="0058463A" w:rsidRPr="00E850A7" w:rsidRDefault="0058463A" w:rsidP="00F06FC0">
            <w:pPr>
              <w:spacing w:before="40" w:after="40"/>
              <w:ind w:right="13"/>
              <w:jc w:val="center"/>
              <w:rPr>
                <w:rFonts w:ascii="Arial Narrow" w:hAnsi="Arial Narrow"/>
                <w:b/>
                <w:sz w:val="20"/>
              </w:rPr>
            </w:pPr>
            <w:r w:rsidRPr="00E850A7">
              <w:rPr>
                <w:rFonts w:ascii="Arial Narrow" w:hAnsi="Arial Narrow" w:cs="Times New Roman"/>
                <w:b/>
                <w:sz w:val="20"/>
              </w:rPr>
              <w:t>MET + EMPA + Pbo</w:t>
            </w:r>
          </w:p>
        </w:tc>
        <w:tc>
          <w:tcPr>
            <w:tcW w:w="787" w:type="pct"/>
            <w:tcBorders>
              <w:top w:val="single" w:sz="4" w:space="0" w:color="auto"/>
              <w:bottom w:val="single" w:sz="4" w:space="0" w:color="auto"/>
            </w:tcBorders>
            <w:vAlign w:val="center"/>
          </w:tcPr>
          <w:p w:rsidR="0058463A" w:rsidRPr="00E850A7" w:rsidRDefault="0058463A" w:rsidP="00F06FC0">
            <w:pPr>
              <w:spacing w:before="40" w:after="40"/>
              <w:jc w:val="center"/>
              <w:rPr>
                <w:rFonts w:ascii="Arial Narrow" w:hAnsi="Arial Narrow" w:cs="Times New Roman"/>
                <w:b/>
                <w:sz w:val="20"/>
              </w:rPr>
            </w:pPr>
          </w:p>
        </w:tc>
      </w:tr>
      <w:tr w:rsidR="0058463A" w:rsidRPr="00E850A7" w:rsidTr="001E696D">
        <w:tc>
          <w:tcPr>
            <w:tcW w:w="2416" w:type="pct"/>
            <w:shd w:val="clear" w:color="auto" w:fill="auto"/>
            <w:vAlign w:val="center"/>
          </w:tcPr>
          <w:p w:rsidR="0058463A" w:rsidRPr="00E925FB" w:rsidRDefault="0058463A" w:rsidP="00F06FC0">
            <w:pPr>
              <w:spacing w:before="40" w:after="40"/>
              <w:rPr>
                <w:rFonts w:ascii="Arial Narrow" w:hAnsi="Arial Narrow" w:cs="Times New Roman"/>
                <w:i/>
                <w:sz w:val="20"/>
              </w:rPr>
            </w:pPr>
            <w:r w:rsidRPr="00E925FB">
              <w:rPr>
                <w:rFonts w:ascii="Arial Narrow" w:hAnsi="Arial Narrow" w:cs="Times New Roman"/>
                <w:i/>
                <w:sz w:val="20"/>
              </w:rPr>
              <w:t>MET + EMPA 25 mg + LINA vs MET + EMPA 25 mg + Pbo</w:t>
            </w:r>
          </w:p>
        </w:tc>
        <w:tc>
          <w:tcPr>
            <w:tcW w:w="232" w:type="pct"/>
            <w:shd w:val="clear" w:color="auto" w:fill="auto"/>
            <w:vAlign w:val="center"/>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109</w:t>
            </w:r>
          </w:p>
        </w:tc>
        <w:tc>
          <w:tcPr>
            <w:tcW w:w="696" w:type="pct"/>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-0.58 (0.73)</w:t>
            </w:r>
          </w:p>
        </w:tc>
        <w:tc>
          <w:tcPr>
            <w:tcW w:w="253" w:type="pct"/>
            <w:shd w:val="clear" w:color="auto" w:fill="auto"/>
            <w:vAlign w:val="center"/>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108</w:t>
            </w:r>
          </w:p>
        </w:tc>
        <w:tc>
          <w:tcPr>
            <w:tcW w:w="616" w:type="pct"/>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-0.10 (0.73)</w:t>
            </w:r>
          </w:p>
        </w:tc>
        <w:tc>
          <w:tcPr>
            <w:tcW w:w="787" w:type="pct"/>
            <w:shd w:val="clear" w:color="auto" w:fill="auto"/>
            <w:vAlign w:val="bottom"/>
          </w:tcPr>
          <w:p w:rsidR="0058463A" w:rsidRPr="00E925FB" w:rsidRDefault="0058463A" w:rsidP="00F06FC0">
            <w:pPr>
              <w:spacing w:before="40" w:after="40"/>
              <w:jc w:val="center"/>
              <w:rPr>
                <w:rFonts w:ascii="Arial Narrow" w:hAnsi="Arial Narrow" w:cs="Times New Roman"/>
                <w:b/>
                <w:i/>
                <w:sz w:val="20"/>
              </w:rPr>
            </w:pPr>
            <w:r w:rsidRPr="00E925FB">
              <w:rPr>
                <w:rFonts w:ascii="Arial Narrow" w:hAnsi="Arial Narrow" w:cs="Times New Roman"/>
                <w:b/>
                <w:i/>
                <w:sz w:val="20"/>
              </w:rPr>
              <w:t>-0.48 (-0.67, -0.29)</w:t>
            </w:r>
          </w:p>
        </w:tc>
      </w:tr>
      <w:tr w:rsidR="0058463A" w:rsidRPr="00E850A7" w:rsidTr="001E696D">
        <w:tc>
          <w:tcPr>
            <w:tcW w:w="2416" w:type="pct"/>
            <w:shd w:val="clear" w:color="auto" w:fill="auto"/>
            <w:vAlign w:val="center"/>
          </w:tcPr>
          <w:p w:rsidR="0058463A" w:rsidRPr="00E925FB" w:rsidRDefault="0058463A" w:rsidP="00F06FC0">
            <w:pPr>
              <w:spacing w:before="40" w:after="40"/>
              <w:rPr>
                <w:rFonts w:ascii="Arial Narrow" w:hAnsi="Arial Narrow" w:cs="Times New Roman"/>
                <w:i/>
                <w:sz w:val="20"/>
              </w:rPr>
            </w:pPr>
            <w:r w:rsidRPr="00E925FB">
              <w:rPr>
                <w:rFonts w:ascii="Arial Narrow" w:hAnsi="Arial Narrow" w:cs="Times New Roman"/>
                <w:i/>
                <w:sz w:val="20"/>
              </w:rPr>
              <w:t xml:space="preserve">MET + EMPA 10 mg + LINA vs MET + EMPA 10 mg + Pbo </w:t>
            </w:r>
          </w:p>
        </w:tc>
        <w:tc>
          <w:tcPr>
            <w:tcW w:w="232" w:type="pct"/>
            <w:shd w:val="clear" w:color="auto" w:fill="auto"/>
            <w:vAlign w:val="center"/>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122</w:t>
            </w:r>
          </w:p>
        </w:tc>
        <w:tc>
          <w:tcPr>
            <w:tcW w:w="696" w:type="pct"/>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i/>
                <w:sz w:val="20"/>
              </w:rPr>
              <w:t>-0.53 (0.77)</w:t>
            </w:r>
          </w:p>
        </w:tc>
        <w:tc>
          <w:tcPr>
            <w:tcW w:w="253" w:type="pct"/>
            <w:shd w:val="clear" w:color="auto" w:fill="auto"/>
            <w:vAlign w:val="center"/>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cs="Times New Roman"/>
                <w:i/>
                <w:sz w:val="20"/>
              </w:rPr>
              <w:t>125</w:t>
            </w:r>
          </w:p>
        </w:tc>
        <w:tc>
          <w:tcPr>
            <w:tcW w:w="616" w:type="pct"/>
            <w:shd w:val="clear" w:color="auto" w:fill="auto"/>
            <w:vAlign w:val="bottom"/>
          </w:tcPr>
          <w:p w:rsidR="0058463A" w:rsidRPr="00E925FB" w:rsidRDefault="0058463A" w:rsidP="00F06FC0">
            <w:pPr>
              <w:spacing w:before="40" w:after="40"/>
              <w:jc w:val="center"/>
              <w:rPr>
                <w:rFonts w:ascii="Arial Narrow" w:hAnsi="Arial Narrow" w:cs="Times New Roman"/>
                <w:i/>
                <w:sz w:val="20"/>
              </w:rPr>
            </w:pPr>
            <w:r w:rsidRPr="00E925FB">
              <w:rPr>
                <w:rFonts w:ascii="Arial Narrow" w:hAnsi="Arial Narrow"/>
                <w:i/>
                <w:sz w:val="20"/>
              </w:rPr>
              <w:t>0.21 (0.78)</w:t>
            </w:r>
          </w:p>
        </w:tc>
        <w:tc>
          <w:tcPr>
            <w:tcW w:w="787" w:type="pct"/>
            <w:shd w:val="clear" w:color="auto" w:fill="auto"/>
            <w:vAlign w:val="bottom"/>
          </w:tcPr>
          <w:p w:rsidR="0058463A" w:rsidRPr="00E925FB" w:rsidRDefault="0058463A" w:rsidP="00F06FC0">
            <w:pPr>
              <w:spacing w:before="40" w:after="40"/>
              <w:jc w:val="center"/>
              <w:rPr>
                <w:rFonts w:ascii="Arial Narrow" w:hAnsi="Arial Narrow" w:cs="Times New Roman"/>
                <w:b/>
                <w:i/>
                <w:sz w:val="20"/>
              </w:rPr>
            </w:pPr>
            <w:r w:rsidRPr="00E925FB">
              <w:rPr>
                <w:rFonts w:ascii="Arial Narrow" w:hAnsi="Arial Narrow"/>
                <w:b/>
                <w:i/>
                <w:sz w:val="20"/>
              </w:rPr>
              <w:t>-0.32 (-0.51, -0.13)</w:t>
            </w:r>
          </w:p>
        </w:tc>
      </w:tr>
      <w:tr w:rsidR="0058463A" w:rsidRPr="00E850A7" w:rsidTr="009F1F5F">
        <w:trPr>
          <w:trHeight w:val="97"/>
          <w:tblHeader/>
        </w:trPr>
        <w:tc>
          <w:tcPr>
            <w:tcW w:w="2416" w:type="pct"/>
            <w:tcBorders>
              <w:top w:val="double" w:sz="4" w:space="0" w:color="auto"/>
            </w:tcBorders>
            <w:shd w:val="clear" w:color="auto" w:fill="auto"/>
            <w:vAlign w:val="center"/>
          </w:tcPr>
          <w:p w:rsidR="0058463A" w:rsidRPr="00E850A7" w:rsidRDefault="0058463A" w:rsidP="00F06FC0">
            <w:pPr>
              <w:spacing w:before="40" w:after="40"/>
              <w:rPr>
                <w:rFonts w:ascii="Arial Narrow" w:hAnsi="Arial Narrow" w:cs="Times New Roman"/>
                <w:b/>
                <w:sz w:val="20"/>
              </w:rPr>
            </w:pPr>
            <w:r w:rsidRPr="00E850A7">
              <w:rPr>
                <w:rFonts w:ascii="Arial Narrow" w:hAnsi="Arial Narrow" w:cs="Times New Roman"/>
                <w:sz w:val="20"/>
              </w:rPr>
              <w:t xml:space="preserve">MET + </w:t>
            </w:r>
            <w:r w:rsidRPr="00E850A7">
              <w:rPr>
                <w:rFonts w:ascii="Arial Narrow" w:hAnsi="Arial Narrow" w:cs="Times New Roman"/>
                <w:sz w:val="20"/>
                <w:u w:val="single"/>
              </w:rPr>
              <w:t>EMPA 25 or 10 mg</w:t>
            </w:r>
            <w:r w:rsidRPr="00E850A7">
              <w:rPr>
                <w:rFonts w:ascii="Arial Narrow" w:hAnsi="Arial Narrow" w:cs="Times New Roman"/>
                <w:sz w:val="20"/>
              </w:rPr>
              <w:t xml:space="preserve"> + LINA vs MET + </w:t>
            </w:r>
            <w:r w:rsidRPr="00E850A7">
              <w:rPr>
                <w:rFonts w:ascii="Arial Narrow" w:hAnsi="Arial Narrow" w:cs="Times New Roman"/>
                <w:sz w:val="20"/>
                <w:u w:val="single"/>
              </w:rPr>
              <w:t>EMPA 25 or 10 mg</w:t>
            </w:r>
            <w:r w:rsidRPr="00E850A7">
              <w:rPr>
                <w:rFonts w:ascii="Arial Narrow" w:hAnsi="Arial Narrow" w:cs="Times New Roman"/>
                <w:sz w:val="20"/>
              </w:rPr>
              <w:t xml:space="preserve"> + Pbo (pooled)</w:t>
            </w:r>
          </w:p>
        </w:tc>
        <w:tc>
          <w:tcPr>
            <w:tcW w:w="232"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b/>
                <w:sz w:val="20"/>
              </w:rPr>
            </w:pPr>
            <w:r w:rsidRPr="00E850A7">
              <w:rPr>
                <w:rFonts w:ascii="Arial Narrow" w:hAnsi="Arial Narrow" w:cs="Times New Roman"/>
                <w:sz w:val="20"/>
              </w:rPr>
              <w:t>219</w:t>
            </w:r>
          </w:p>
        </w:tc>
        <w:tc>
          <w:tcPr>
            <w:tcW w:w="696"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cs="Times New Roman"/>
                <w:sz w:val="20"/>
              </w:rPr>
            </w:pPr>
            <w:r w:rsidRPr="00E850A7">
              <w:rPr>
                <w:rFonts w:ascii="Arial Narrow" w:hAnsi="Arial Narrow" w:cs="Times New Roman"/>
                <w:sz w:val="20"/>
              </w:rPr>
              <w:t>-</w:t>
            </w:r>
          </w:p>
        </w:tc>
        <w:tc>
          <w:tcPr>
            <w:tcW w:w="253"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b/>
                <w:sz w:val="20"/>
              </w:rPr>
            </w:pPr>
            <w:r w:rsidRPr="00E850A7">
              <w:rPr>
                <w:rFonts w:ascii="Arial Narrow" w:hAnsi="Arial Narrow" w:cs="Times New Roman"/>
                <w:sz w:val="20"/>
              </w:rPr>
              <w:t>212</w:t>
            </w:r>
          </w:p>
        </w:tc>
        <w:tc>
          <w:tcPr>
            <w:tcW w:w="616" w:type="pct"/>
            <w:tcBorders>
              <w:top w:val="double" w:sz="4" w:space="0" w:color="auto"/>
            </w:tcBorders>
            <w:shd w:val="clear" w:color="auto" w:fill="auto"/>
            <w:vAlign w:val="center"/>
          </w:tcPr>
          <w:p w:rsidR="0058463A" w:rsidRPr="00E850A7" w:rsidRDefault="0058463A" w:rsidP="00F06FC0">
            <w:pPr>
              <w:spacing w:before="40" w:after="40"/>
              <w:jc w:val="center"/>
              <w:rPr>
                <w:rFonts w:ascii="Arial Narrow" w:hAnsi="Arial Narrow"/>
                <w:sz w:val="20"/>
              </w:rPr>
            </w:pPr>
            <w:r w:rsidRPr="00E850A7">
              <w:rPr>
                <w:rFonts w:ascii="Arial Narrow" w:hAnsi="Arial Narrow"/>
                <w:sz w:val="20"/>
              </w:rPr>
              <w:t>-</w:t>
            </w:r>
          </w:p>
        </w:tc>
        <w:tc>
          <w:tcPr>
            <w:tcW w:w="787" w:type="pct"/>
            <w:tcBorders>
              <w:top w:val="double" w:sz="4" w:space="0" w:color="auto"/>
            </w:tcBorders>
            <w:shd w:val="clear" w:color="auto" w:fill="auto"/>
            <w:vAlign w:val="center"/>
          </w:tcPr>
          <w:p w:rsidR="0058463A" w:rsidRPr="005D428A" w:rsidRDefault="005D428A" w:rsidP="00F06FC0">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 ''''''''''' ''''''''''''</w:t>
            </w:r>
          </w:p>
        </w:tc>
      </w:tr>
    </w:tbl>
    <w:p w:rsidR="0058463A" w:rsidRPr="00E850A7" w:rsidRDefault="0058463A" w:rsidP="00F06FC0">
      <w:pPr>
        <w:pStyle w:val="TableFooter"/>
        <w:rPr>
          <w:szCs w:val="16"/>
        </w:rPr>
      </w:pPr>
      <w:r w:rsidRPr="00E850A7">
        <w:rPr>
          <w:szCs w:val="16"/>
        </w:rPr>
        <w:t>Source: Tables B.23, p.135 and B.24, p.136 of the resubmission. (Statistically significant results in bold; results presented in the March 2017 submission</w:t>
      </w:r>
      <w:r w:rsidR="00AA3D71">
        <w:rPr>
          <w:szCs w:val="16"/>
        </w:rPr>
        <w:t xml:space="preserve"> are in italics</w:t>
      </w:r>
      <w:r w:rsidRPr="00E850A7">
        <w:rPr>
          <w:szCs w:val="16"/>
        </w:rPr>
        <w:t>).</w:t>
      </w:r>
    </w:p>
    <w:p w:rsidR="0058463A" w:rsidRPr="00E850A7" w:rsidRDefault="0058463A" w:rsidP="00F06FC0">
      <w:pPr>
        <w:pStyle w:val="TableFooter"/>
        <w:rPr>
          <w:szCs w:val="16"/>
        </w:rPr>
      </w:pPr>
      <w:r w:rsidRPr="00E850A7">
        <w:rPr>
          <w:szCs w:val="16"/>
        </w:rPr>
        <w:t xml:space="preserve">Abbreviations: CI, confidence interval; EMPA, empagliflozin; FAS, full analysis set; FDC, fixed dose combination; HbA1c, Glycosylated haemoglobin; LINA, linagliptin; MET, metformin; MMRM, </w:t>
      </w:r>
      <w:r w:rsidRPr="00E850A7">
        <w:rPr>
          <w:szCs w:val="18"/>
        </w:rPr>
        <w:t xml:space="preserve">mixed model repeated measures; </w:t>
      </w:r>
      <w:r w:rsidRPr="00E850A7">
        <w:rPr>
          <w:szCs w:val="16"/>
        </w:rPr>
        <w:t>OC, observed cases; Pbo, placebo; SD, standard deviation; wks, weeks.</w:t>
      </w:r>
    </w:p>
    <w:p w:rsidR="0058463A" w:rsidRPr="00E850A7" w:rsidRDefault="00AE001D" w:rsidP="00FE25C2">
      <w:pPr>
        <w:pStyle w:val="ListParagraph"/>
        <w:numPr>
          <w:ilvl w:val="1"/>
          <w:numId w:val="3"/>
        </w:numPr>
        <w:spacing w:before="0" w:after="120"/>
        <w:jc w:val="both"/>
        <w:rPr>
          <w:color w:val="4472C4" w:themeColor="accent5"/>
          <w:szCs w:val="24"/>
        </w:rPr>
      </w:pPr>
      <w:r w:rsidRPr="00E850A7">
        <w:rPr>
          <w:szCs w:val="24"/>
        </w:rPr>
        <w:t>The pooled results demonstrated statistically significantly larger reductions in HbA1c from baseline compared to linagliptin or empagliflozin in combination with metformin over 24 weeks.</w:t>
      </w:r>
    </w:p>
    <w:p w:rsidR="00CE6FF1" w:rsidRDefault="00C6078D" w:rsidP="00FE25C2">
      <w:pPr>
        <w:pStyle w:val="ListParagraph"/>
        <w:numPr>
          <w:ilvl w:val="1"/>
          <w:numId w:val="3"/>
        </w:numPr>
        <w:spacing w:before="0" w:after="120"/>
        <w:jc w:val="both"/>
        <w:rPr>
          <w:szCs w:val="24"/>
        </w:rPr>
      </w:pPr>
      <w:r w:rsidRPr="00E850A7">
        <w:rPr>
          <w:szCs w:val="24"/>
        </w:rPr>
        <w:t>The results of the head-to-head comparisons in Trial 1275.1, summarised in Table 6, were not included in the March 2017 submission on the basis of including a broader population</w:t>
      </w:r>
      <w:r w:rsidR="00506CAA" w:rsidRPr="00E850A7">
        <w:rPr>
          <w:szCs w:val="24"/>
        </w:rPr>
        <w:t xml:space="preserve"> (</w:t>
      </w:r>
      <w:r w:rsidR="006915A6" w:rsidRPr="00E850A7">
        <w:rPr>
          <w:szCs w:val="24"/>
        </w:rPr>
        <w:t xml:space="preserve">those </w:t>
      </w:r>
      <w:r w:rsidR="00506CAA" w:rsidRPr="00E850A7">
        <w:rPr>
          <w:szCs w:val="24"/>
        </w:rPr>
        <w:t>uncontrolled on metformin monotherapy)</w:t>
      </w:r>
      <w:r w:rsidRPr="00E850A7">
        <w:rPr>
          <w:szCs w:val="24"/>
        </w:rPr>
        <w:t>.</w:t>
      </w:r>
      <w:r w:rsidR="00506CAA" w:rsidRPr="00E850A7">
        <w:t xml:space="preserve"> However, </w:t>
      </w:r>
      <w:r w:rsidR="006915A6" w:rsidRPr="00E850A7">
        <w:t xml:space="preserve">the </w:t>
      </w:r>
      <w:r w:rsidR="00506CAA" w:rsidRPr="00E850A7">
        <w:rPr>
          <w:szCs w:val="24"/>
        </w:rPr>
        <w:t>run-in period and randomised treatment regimens provided a reasonable basis for inclusion in the resubmission.</w:t>
      </w:r>
    </w:p>
    <w:p w:rsidR="00CE6FF1" w:rsidRDefault="00CE6FF1">
      <w:pPr>
        <w:spacing w:before="0" w:line="259" w:lineRule="auto"/>
        <w:rPr>
          <w:szCs w:val="24"/>
        </w:rPr>
      </w:pPr>
      <w:r>
        <w:rPr>
          <w:szCs w:val="24"/>
        </w:rPr>
        <w:br w:type="page"/>
      </w:r>
    </w:p>
    <w:p w:rsidR="008A3722" w:rsidRPr="00E850A7" w:rsidRDefault="008A3722" w:rsidP="00FE25C2">
      <w:pPr>
        <w:pStyle w:val="ListParagraph"/>
        <w:numPr>
          <w:ilvl w:val="1"/>
          <w:numId w:val="3"/>
        </w:numPr>
        <w:spacing w:before="0" w:after="120"/>
        <w:jc w:val="both"/>
        <w:rPr>
          <w:szCs w:val="24"/>
        </w:rPr>
      </w:pPr>
    </w:p>
    <w:p w:rsidR="00AE001D" w:rsidRPr="00E850A7" w:rsidRDefault="00AE001D" w:rsidP="00F06FC0">
      <w:pPr>
        <w:pStyle w:val="TableHeader"/>
        <w:spacing w:after="60"/>
      </w:pPr>
      <w:r w:rsidRPr="00E850A7">
        <w:t xml:space="preserve">Table </w:t>
      </w:r>
      <w:r w:rsidR="001010D9" w:rsidRPr="00E850A7">
        <w:t>5</w:t>
      </w:r>
      <w:r w:rsidRPr="00E850A7">
        <w:t>: Mean change in HbA1c from baseline; direct comparisons of empagliflozin with linagliptin FDC vs linagliptin or empagliflozin (with metformin; FAS, MMRM, OC)</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427"/>
        <w:gridCol w:w="1275"/>
        <w:gridCol w:w="463"/>
        <w:gridCol w:w="1126"/>
        <w:gridCol w:w="1443"/>
      </w:tblGrid>
      <w:tr w:rsidR="00AE001D" w:rsidRPr="00E850A7" w:rsidTr="00CE077E">
        <w:trPr>
          <w:cantSplit/>
          <w:tblHeader/>
        </w:trPr>
        <w:tc>
          <w:tcPr>
            <w:tcW w:w="2415" w:type="pct"/>
            <w:vAlign w:val="center"/>
          </w:tcPr>
          <w:p w:rsidR="00AE001D" w:rsidRPr="00E850A7" w:rsidRDefault="00AE001D" w:rsidP="00F06FC0">
            <w:pPr>
              <w:spacing w:before="40" w:after="40"/>
              <w:ind w:right="-108"/>
              <w:rPr>
                <w:rFonts w:ascii="Arial Narrow" w:hAnsi="Arial Narrow" w:cs="Times New Roman"/>
                <w:b/>
                <w:sz w:val="20"/>
              </w:rPr>
            </w:pPr>
            <w:r w:rsidRPr="00E850A7">
              <w:rPr>
                <w:rFonts w:ascii="Arial Narrow" w:hAnsi="Arial Narrow" w:cs="Times New Roman"/>
                <w:b/>
                <w:sz w:val="20"/>
              </w:rPr>
              <w:t xml:space="preserve">Trial ID / </w:t>
            </w:r>
            <w:r w:rsidRPr="00E850A7">
              <w:rPr>
                <w:rFonts w:ascii="Arial Narrow" w:hAnsi="Arial Narrow"/>
                <w:b/>
                <w:sz w:val="20"/>
              </w:rPr>
              <w:t xml:space="preserve">Comparison </w:t>
            </w:r>
          </w:p>
        </w:tc>
        <w:tc>
          <w:tcPr>
            <w:tcW w:w="1797" w:type="pct"/>
            <w:gridSpan w:val="4"/>
            <w:vAlign w:val="center"/>
          </w:tcPr>
          <w:p w:rsidR="00AE001D" w:rsidRPr="00E850A7" w:rsidRDefault="00AE001D" w:rsidP="00F06FC0">
            <w:pPr>
              <w:spacing w:before="40" w:after="40"/>
              <w:jc w:val="center"/>
              <w:rPr>
                <w:rFonts w:ascii="Arial Narrow" w:hAnsi="Arial Narrow"/>
                <w:b/>
                <w:sz w:val="20"/>
              </w:rPr>
            </w:pPr>
            <w:r w:rsidRPr="00E850A7">
              <w:rPr>
                <w:rFonts w:ascii="Arial Narrow" w:hAnsi="Arial Narrow"/>
                <w:b/>
                <w:sz w:val="20"/>
              </w:rPr>
              <w:t>Mean change in HbA1c, % (SD)</w:t>
            </w:r>
          </w:p>
        </w:tc>
        <w:tc>
          <w:tcPr>
            <w:tcW w:w="788" w:type="pct"/>
            <w:vMerge w:val="restart"/>
            <w:vAlign w:val="center"/>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 xml:space="preserve">mean change </w:t>
            </w:r>
          </w:p>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(95% CI)</w:t>
            </w:r>
          </w:p>
        </w:tc>
      </w:tr>
      <w:tr w:rsidR="00AE001D" w:rsidRPr="00E850A7" w:rsidTr="00CE077E">
        <w:trPr>
          <w:cantSplit/>
          <w:tblHeader/>
        </w:trPr>
        <w:tc>
          <w:tcPr>
            <w:tcW w:w="2415" w:type="pct"/>
            <w:vAlign w:val="center"/>
          </w:tcPr>
          <w:p w:rsidR="00AE001D" w:rsidRPr="00E850A7" w:rsidRDefault="00AE001D" w:rsidP="00F06FC0">
            <w:pPr>
              <w:spacing w:before="40" w:after="40"/>
              <w:rPr>
                <w:rFonts w:ascii="Arial Narrow" w:hAnsi="Arial Narrow" w:cs="Times New Roman"/>
                <w:b/>
                <w:sz w:val="20"/>
              </w:rPr>
            </w:pPr>
            <w:r w:rsidRPr="00E850A7">
              <w:rPr>
                <w:rFonts w:ascii="Arial Narrow" w:hAnsi="Arial Narrow" w:cs="Times New Roman"/>
                <w:b/>
                <w:sz w:val="20"/>
              </w:rPr>
              <w:t>1275.1 (24 weeks; metformin exposed)</w:t>
            </w:r>
          </w:p>
        </w:tc>
        <w:tc>
          <w:tcPr>
            <w:tcW w:w="233" w:type="pct"/>
            <w:tcBorders>
              <w:bottom w:val="single" w:sz="4" w:space="0" w:color="auto"/>
            </w:tcBorders>
            <w:vAlign w:val="center"/>
          </w:tcPr>
          <w:p w:rsidR="00AE001D" w:rsidRPr="00E850A7" w:rsidRDefault="00AE001D" w:rsidP="00F06FC0">
            <w:pPr>
              <w:spacing w:before="40" w:after="40"/>
              <w:ind w:right="-28"/>
              <w:jc w:val="center"/>
              <w:rPr>
                <w:rFonts w:ascii="Arial Narrow" w:hAnsi="Arial Narrow" w:cs="Times New Roman"/>
                <w:b/>
                <w:sz w:val="20"/>
              </w:rPr>
            </w:pPr>
            <w:r w:rsidRPr="00E850A7">
              <w:rPr>
                <w:rFonts w:ascii="Arial Narrow" w:hAnsi="Arial Narrow" w:cs="Times New Roman"/>
                <w:b/>
                <w:sz w:val="20"/>
              </w:rPr>
              <w:t>n</w:t>
            </w:r>
          </w:p>
        </w:tc>
        <w:tc>
          <w:tcPr>
            <w:tcW w:w="696" w:type="pct"/>
            <w:tcBorders>
              <w:bottom w:val="single" w:sz="4" w:space="0" w:color="auto"/>
            </w:tcBorders>
            <w:vAlign w:val="center"/>
          </w:tcPr>
          <w:p w:rsidR="00AE001D" w:rsidRPr="00E850A7" w:rsidRDefault="00AE001D" w:rsidP="00F06FC0">
            <w:pPr>
              <w:spacing w:before="40" w:after="40"/>
              <w:ind w:right="67"/>
              <w:jc w:val="center"/>
              <w:rPr>
                <w:rFonts w:ascii="Arial Narrow" w:hAnsi="Arial Narrow" w:cs="Times New Roman"/>
                <w:b/>
                <w:sz w:val="20"/>
              </w:rPr>
            </w:pPr>
            <w:r w:rsidRPr="00E850A7">
              <w:rPr>
                <w:rFonts w:ascii="Arial Narrow" w:hAnsi="Arial Narrow" w:cs="Times New Roman"/>
                <w:b/>
                <w:sz w:val="20"/>
              </w:rPr>
              <w:t>MET + EMPA + LINA FDC</w:t>
            </w:r>
          </w:p>
        </w:tc>
        <w:tc>
          <w:tcPr>
            <w:tcW w:w="253" w:type="pct"/>
            <w:tcBorders>
              <w:bottom w:val="single" w:sz="4" w:space="0" w:color="auto"/>
            </w:tcBorders>
            <w:vAlign w:val="center"/>
          </w:tcPr>
          <w:p w:rsidR="00AE001D" w:rsidRPr="00E850A7" w:rsidRDefault="00AE001D" w:rsidP="00F06FC0">
            <w:pPr>
              <w:spacing w:before="40" w:after="40"/>
              <w:ind w:right="-28"/>
              <w:jc w:val="center"/>
              <w:rPr>
                <w:rFonts w:ascii="Arial Narrow" w:hAnsi="Arial Narrow" w:cs="Times New Roman"/>
                <w:b/>
                <w:sz w:val="20"/>
              </w:rPr>
            </w:pPr>
            <w:r w:rsidRPr="00E850A7">
              <w:rPr>
                <w:rFonts w:ascii="Arial Narrow" w:hAnsi="Arial Narrow" w:cs="Times New Roman"/>
                <w:b/>
                <w:sz w:val="20"/>
              </w:rPr>
              <w:t>n</w:t>
            </w:r>
          </w:p>
        </w:tc>
        <w:tc>
          <w:tcPr>
            <w:tcW w:w="615" w:type="pct"/>
            <w:tcBorders>
              <w:bottom w:val="single" w:sz="4" w:space="0" w:color="auto"/>
            </w:tcBorders>
            <w:vAlign w:val="center"/>
          </w:tcPr>
          <w:p w:rsidR="00AE001D" w:rsidRPr="00E850A7" w:rsidRDefault="00AE001D" w:rsidP="00F06FC0">
            <w:pPr>
              <w:spacing w:before="40" w:after="40"/>
              <w:ind w:right="13"/>
              <w:jc w:val="center"/>
              <w:rPr>
                <w:rFonts w:ascii="Arial Narrow" w:hAnsi="Arial Narrow" w:cs="Times New Roman"/>
                <w:b/>
                <w:sz w:val="20"/>
              </w:rPr>
            </w:pPr>
            <w:r w:rsidRPr="00E850A7">
              <w:rPr>
                <w:rFonts w:ascii="Arial Narrow" w:hAnsi="Arial Narrow" w:cs="Times New Roman"/>
                <w:b/>
                <w:sz w:val="20"/>
              </w:rPr>
              <w:t>MET + LINA + Pbo</w:t>
            </w:r>
          </w:p>
        </w:tc>
        <w:tc>
          <w:tcPr>
            <w:tcW w:w="788" w:type="pct"/>
            <w:vMerge/>
            <w:tcBorders>
              <w:bottom w:val="single" w:sz="4" w:space="0" w:color="auto"/>
            </w:tcBorders>
            <w:vAlign w:val="center"/>
          </w:tcPr>
          <w:p w:rsidR="00AE001D" w:rsidRPr="00E850A7" w:rsidRDefault="00AE001D" w:rsidP="00F06FC0">
            <w:pPr>
              <w:spacing w:before="40" w:after="40"/>
              <w:jc w:val="center"/>
              <w:rPr>
                <w:rFonts w:ascii="Arial Narrow" w:hAnsi="Arial Narrow" w:cs="Times New Roman"/>
                <w:b/>
                <w:sz w:val="20"/>
              </w:rPr>
            </w:pPr>
          </w:p>
        </w:tc>
      </w:tr>
      <w:tr w:rsidR="00AE001D" w:rsidRPr="00E850A7" w:rsidTr="009F1F5F">
        <w:tc>
          <w:tcPr>
            <w:tcW w:w="2415" w:type="pct"/>
            <w:vAlign w:val="center"/>
          </w:tcPr>
          <w:p w:rsidR="00AE001D" w:rsidRPr="00E850A7" w:rsidRDefault="00AE001D" w:rsidP="00F06FC0">
            <w:pPr>
              <w:spacing w:before="40" w:after="40"/>
              <w:rPr>
                <w:rFonts w:ascii="Arial Narrow" w:hAnsi="Arial Narrow" w:cs="Times New Roman"/>
                <w:sz w:val="20"/>
              </w:rPr>
            </w:pPr>
            <w:r w:rsidRPr="00E850A7">
              <w:rPr>
                <w:rFonts w:ascii="Arial Narrow" w:hAnsi="Arial Narrow" w:cs="Times New Roman"/>
                <w:sz w:val="20"/>
              </w:rPr>
              <w:t>MET + EMPA 25 mg + LINA vs MET + LINA + Pbo</w:t>
            </w:r>
          </w:p>
        </w:tc>
        <w:tc>
          <w:tcPr>
            <w:tcW w:w="233" w:type="pct"/>
            <w:tcBorders>
              <w:bottom w:val="sing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133</w:t>
            </w:r>
          </w:p>
        </w:tc>
        <w:tc>
          <w:tcPr>
            <w:tcW w:w="696" w:type="pct"/>
            <w:tcBorders>
              <w:bottom w:val="sing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sz w:val="20"/>
              </w:rPr>
              <w:t>-1.20 (0.69)</w:t>
            </w:r>
          </w:p>
        </w:tc>
        <w:tc>
          <w:tcPr>
            <w:tcW w:w="253" w:type="pct"/>
            <w:tcBorders>
              <w:bottom w:val="sing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128</w:t>
            </w:r>
          </w:p>
        </w:tc>
        <w:tc>
          <w:tcPr>
            <w:tcW w:w="615" w:type="pct"/>
            <w:tcBorders>
              <w:bottom w:val="sing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sz w:val="20"/>
              </w:rPr>
              <w:t>-0.71 (0.79)</w:t>
            </w:r>
          </w:p>
        </w:tc>
        <w:tc>
          <w:tcPr>
            <w:tcW w:w="788" w:type="pct"/>
            <w:tcBorders>
              <w:bottom w:val="single" w:sz="4" w:space="0" w:color="auto"/>
            </w:tcBorders>
            <w:vAlign w:val="bottom"/>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b/>
                <w:sz w:val="20"/>
              </w:rPr>
              <w:t>-0.49 (-0.67, -0.31)</w:t>
            </w:r>
          </w:p>
        </w:tc>
      </w:tr>
      <w:tr w:rsidR="00AE001D" w:rsidRPr="00E850A7" w:rsidTr="009F1F5F">
        <w:tc>
          <w:tcPr>
            <w:tcW w:w="2415" w:type="pct"/>
            <w:tcBorders>
              <w:bottom w:val="double" w:sz="4" w:space="0" w:color="auto"/>
            </w:tcBorders>
            <w:vAlign w:val="center"/>
          </w:tcPr>
          <w:p w:rsidR="00AE001D" w:rsidRPr="00E850A7" w:rsidRDefault="00AE001D" w:rsidP="00F06FC0">
            <w:pPr>
              <w:spacing w:before="40" w:after="40"/>
              <w:rPr>
                <w:rFonts w:ascii="Arial Narrow" w:hAnsi="Arial Narrow" w:cs="Times New Roman"/>
                <w:sz w:val="20"/>
              </w:rPr>
            </w:pPr>
            <w:r w:rsidRPr="00E850A7">
              <w:rPr>
                <w:rFonts w:ascii="Arial Narrow" w:hAnsi="Arial Narrow" w:cs="Times New Roman"/>
                <w:sz w:val="20"/>
              </w:rPr>
              <w:t xml:space="preserve">MET + EMPA 10 mg + LINA vs MET + LINA + Pbo </w:t>
            </w:r>
          </w:p>
        </w:tc>
        <w:tc>
          <w:tcPr>
            <w:tcW w:w="233" w:type="pct"/>
            <w:tcBorders>
              <w:bottom w:val="doub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135</w:t>
            </w:r>
          </w:p>
        </w:tc>
        <w:tc>
          <w:tcPr>
            <w:tcW w:w="696" w:type="pct"/>
            <w:tcBorders>
              <w:bottom w:val="doub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sz w:val="20"/>
              </w:rPr>
              <w:t>-1.09 (0.70)</w:t>
            </w:r>
          </w:p>
        </w:tc>
        <w:tc>
          <w:tcPr>
            <w:tcW w:w="253" w:type="pct"/>
            <w:tcBorders>
              <w:bottom w:val="doub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128</w:t>
            </w:r>
          </w:p>
        </w:tc>
        <w:tc>
          <w:tcPr>
            <w:tcW w:w="615" w:type="pct"/>
            <w:tcBorders>
              <w:bottom w:val="double" w:sz="4" w:space="0" w:color="auto"/>
            </w:tcBorders>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sz w:val="20"/>
              </w:rPr>
              <w:t>-0.71 (0.79)</w:t>
            </w:r>
          </w:p>
        </w:tc>
        <w:tc>
          <w:tcPr>
            <w:tcW w:w="788" w:type="pct"/>
            <w:tcBorders>
              <w:bottom w:val="double" w:sz="4" w:space="0" w:color="auto"/>
            </w:tcBorders>
            <w:vAlign w:val="bottom"/>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b/>
                <w:sz w:val="20"/>
              </w:rPr>
              <w:t>-0.37 (-0.55, -0.20)</w:t>
            </w:r>
          </w:p>
        </w:tc>
      </w:tr>
      <w:tr w:rsidR="00AE001D" w:rsidRPr="00E850A7" w:rsidTr="009F1F5F">
        <w:trPr>
          <w:trHeight w:val="416"/>
          <w:tblHeader/>
        </w:trPr>
        <w:tc>
          <w:tcPr>
            <w:tcW w:w="2415" w:type="pct"/>
            <w:shd w:val="clear" w:color="auto" w:fill="auto"/>
            <w:vAlign w:val="center"/>
          </w:tcPr>
          <w:p w:rsidR="00AE001D" w:rsidRPr="00E850A7" w:rsidRDefault="00AE001D" w:rsidP="00F06FC0">
            <w:pPr>
              <w:spacing w:before="40" w:after="40"/>
              <w:rPr>
                <w:rFonts w:ascii="Arial Narrow" w:hAnsi="Arial Narrow" w:cs="Times New Roman"/>
                <w:sz w:val="20"/>
              </w:rPr>
            </w:pPr>
            <w:r w:rsidRPr="00E850A7">
              <w:rPr>
                <w:rFonts w:ascii="Arial Narrow" w:hAnsi="Arial Narrow" w:cs="Times New Roman"/>
                <w:sz w:val="20"/>
              </w:rPr>
              <w:t xml:space="preserve">MET + </w:t>
            </w:r>
            <w:r w:rsidRPr="00E850A7">
              <w:rPr>
                <w:rFonts w:ascii="Arial Narrow" w:hAnsi="Arial Narrow" w:cs="Times New Roman"/>
                <w:sz w:val="20"/>
                <w:u w:val="single"/>
              </w:rPr>
              <w:t>EMPA 25 or 10 mg</w:t>
            </w:r>
            <w:r w:rsidRPr="00E850A7">
              <w:rPr>
                <w:rFonts w:ascii="Arial Narrow" w:hAnsi="Arial Narrow" w:cs="Times New Roman"/>
                <w:sz w:val="20"/>
              </w:rPr>
              <w:t xml:space="preserve"> + vs MET + LINA + Pbo (pooled)</w:t>
            </w:r>
          </w:p>
        </w:tc>
        <w:tc>
          <w:tcPr>
            <w:tcW w:w="233"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sz w:val="20"/>
              </w:rPr>
              <w:t>268</w:t>
            </w:r>
          </w:p>
        </w:tc>
        <w:tc>
          <w:tcPr>
            <w:tcW w:w="696"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w:t>
            </w:r>
          </w:p>
        </w:tc>
        <w:tc>
          <w:tcPr>
            <w:tcW w:w="253"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sz w:val="20"/>
              </w:rPr>
              <w:t>256</w:t>
            </w:r>
          </w:p>
        </w:tc>
        <w:tc>
          <w:tcPr>
            <w:tcW w:w="615"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w:t>
            </w:r>
          </w:p>
        </w:tc>
        <w:tc>
          <w:tcPr>
            <w:tcW w:w="788" w:type="pct"/>
            <w:tcBorders>
              <w:top w:val="double" w:sz="4" w:space="0" w:color="auto"/>
            </w:tcBorders>
            <w:shd w:val="clear" w:color="auto" w:fill="auto"/>
            <w:vAlign w:val="center"/>
          </w:tcPr>
          <w:p w:rsidR="00AE001D" w:rsidRPr="005D428A" w:rsidRDefault="005D428A" w:rsidP="00F06FC0">
            <w:pPr>
              <w:spacing w:before="40" w:after="40"/>
              <w:jc w:val="center"/>
              <w:rPr>
                <w:rFonts w:ascii="Arial Narrow" w:hAnsi="Arial Narrow" w:cs="Times New Roman"/>
                <w:b/>
                <w:sz w:val="20"/>
                <w:highlight w:val="black"/>
              </w:rPr>
            </w:pPr>
            <w:r>
              <w:rPr>
                <w:rFonts w:ascii="Arial Narrow" w:hAnsi="Arial Narrow"/>
                <w:b/>
                <w:noProof/>
                <w:color w:val="000000"/>
                <w:sz w:val="20"/>
                <w:highlight w:val="black"/>
              </w:rPr>
              <w:t>'''''''''' '''''''''''' ''''''''''</w:t>
            </w:r>
          </w:p>
        </w:tc>
      </w:tr>
    </w:tbl>
    <w:p w:rsidR="00AE001D" w:rsidRPr="00E850A7" w:rsidRDefault="00AE001D" w:rsidP="00F06FC0">
      <w:pPr>
        <w:spacing w:before="0" w:after="0"/>
        <w:rPr>
          <w:rFonts w:ascii="Arial Narrow" w:hAnsi="Arial Narrow" w:cs="Times New Roman"/>
          <w:b/>
          <w:sz w:val="2"/>
          <w:szCs w:val="2"/>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427"/>
        <w:gridCol w:w="1275"/>
        <w:gridCol w:w="463"/>
        <w:gridCol w:w="1126"/>
        <w:gridCol w:w="1443"/>
      </w:tblGrid>
      <w:tr w:rsidR="00AE001D" w:rsidRPr="00E850A7" w:rsidTr="009F1F5F">
        <w:trPr>
          <w:cantSplit/>
          <w:tblHeader/>
        </w:trPr>
        <w:tc>
          <w:tcPr>
            <w:tcW w:w="2415" w:type="pct"/>
            <w:tcBorders>
              <w:top w:val="single" w:sz="4" w:space="0" w:color="auto"/>
            </w:tcBorders>
            <w:vAlign w:val="center"/>
          </w:tcPr>
          <w:p w:rsidR="00AE001D" w:rsidRPr="00E850A7" w:rsidRDefault="00AE001D" w:rsidP="00F06FC0">
            <w:pPr>
              <w:spacing w:before="40" w:after="40"/>
              <w:rPr>
                <w:rFonts w:ascii="Arial Narrow" w:hAnsi="Arial Narrow" w:cs="Times New Roman"/>
                <w:b/>
                <w:sz w:val="20"/>
              </w:rPr>
            </w:pPr>
            <w:r w:rsidRPr="00E850A7">
              <w:rPr>
                <w:rFonts w:ascii="Arial Narrow" w:hAnsi="Arial Narrow" w:cs="Times New Roman"/>
                <w:b/>
                <w:sz w:val="20"/>
              </w:rPr>
              <w:t>1275.1 (24 weeks; metformin exposed)</w:t>
            </w:r>
          </w:p>
        </w:tc>
        <w:tc>
          <w:tcPr>
            <w:tcW w:w="233" w:type="pct"/>
            <w:tcBorders>
              <w:top w:val="single" w:sz="4" w:space="0" w:color="auto"/>
              <w:bottom w:val="single" w:sz="4" w:space="0" w:color="auto"/>
            </w:tcBorders>
            <w:vAlign w:val="center"/>
          </w:tcPr>
          <w:p w:rsidR="00AE001D" w:rsidRPr="00E850A7" w:rsidRDefault="00AE001D" w:rsidP="00F06FC0">
            <w:pPr>
              <w:spacing w:before="40" w:after="40"/>
              <w:ind w:right="-28"/>
              <w:jc w:val="center"/>
              <w:rPr>
                <w:rFonts w:ascii="Arial Narrow" w:hAnsi="Arial Narrow"/>
                <w:b/>
                <w:sz w:val="20"/>
              </w:rPr>
            </w:pPr>
            <w:r w:rsidRPr="00E850A7">
              <w:rPr>
                <w:rFonts w:ascii="Arial Narrow" w:hAnsi="Arial Narrow" w:cs="Times New Roman"/>
                <w:b/>
                <w:sz w:val="20"/>
              </w:rPr>
              <w:t>n</w:t>
            </w:r>
          </w:p>
        </w:tc>
        <w:tc>
          <w:tcPr>
            <w:tcW w:w="696" w:type="pct"/>
            <w:tcBorders>
              <w:top w:val="single" w:sz="4" w:space="0" w:color="auto"/>
              <w:bottom w:val="single" w:sz="4" w:space="0" w:color="auto"/>
            </w:tcBorders>
            <w:vAlign w:val="center"/>
          </w:tcPr>
          <w:p w:rsidR="00AE001D" w:rsidRPr="00E850A7" w:rsidRDefault="00AE001D" w:rsidP="00F06FC0">
            <w:pPr>
              <w:spacing w:before="40" w:after="40"/>
              <w:ind w:right="67"/>
              <w:jc w:val="center"/>
              <w:rPr>
                <w:rFonts w:ascii="Arial Narrow" w:hAnsi="Arial Narrow" w:cs="Times New Roman"/>
                <w:b/>
                <w:sz w:val="20"/>
              </w:rPr>
            </w:pPr>
            <w:r w:rsidRPr="00E850A7">
              <w:rPr>
                <w:rFonts w:ascii="Arial Narrow" w:hAnsi="Arial Narrow" w:cs="Times New Roman"/>
                <w:b/>
                <w:sz w:val="20"/>
              </w:rPr>
              <w:t>MET + EMPA + LINA FDC</w:t>
            </w:r>
          </w:p>
        </w:tc>
        <w:tc>
          <w:tcPr>
            <w:tcW w:w="253" w:type="pct"/>
            <w:tcBorders>
              <w:top w:val="single" w:sz="4" w:space="0" w:color="auto"/>
              <w:bottom w:val="single" w:sz="4" w:space="0" w:color="auto"/>
            </w:tcBorders>
            <w:vAlign w:val="center"/>
          </w:tcPr>
          <w:p w:rsidR="00AE001D" w:rsidRPr="00E850A7" w:rsidRDefault="00AE001D" w:rsidP="00F06FC0">
            <w:pPr>
              <w:spacing w:before="40" w:after="40"/>
              <w:ind w:right="-28"/>
              <w:jc w:val="center"/>
              <w:rPr>
                <w:rFonts w:ascii="Arial Narrow" w:hAnsi="Arial Narrow"/>
                <w:b/>
                <w:sz w:val="20"/>
              </w:rPr>
            </w:pPr>
            <w:r w:rsidRPr="00E850A7">
              <w:rPr>
                <w:rFonts w:ascii="Arial Narrow" w:hAnsi="Arial Narrow" w:cs="Times New Roman"/>
                <w:b/>
                <w:sz w:val="20"/>
              </w:rPr>
              <w:t>n</w:t>
            </w:r>
          </w:p>
        </w:tc>
        <w:tc>
          <w:tcPr>
            <w:tcW w:w="615" w:type="pct"/>
            <w:tcBorders>
              <w:top w:val="single" w:sz="4" w:space="0" w:color="auto"/>
              <w:bottom w:val="single" w:sz="4" w:space="0" w:color="auto"/>
            </w:tcBorders>
            <w:vAlign w:val="center"/>
          </w:tcPr>
          <w:p w:rsidR="00AE001D" w:rsidRPr="00E850A7" w:rsidRDefault="00AE001D" w:rsidP="00F06FC0">
            <w:pPr>
              <w:spacing w:before="40" w:after="40"/>
              <w:ind w:right="13"/>
              <w:jc w:val="center"/>
              <w:rPr>
                <w:rFonts w:ascii="Arial Narrow" w:hAnsi="Arial Narrow"/>
                <w:b/>
                <w:sz w:val="20"/>
              </w:rPr>
            </w:pPr>
            <w:r w:rsidRPr="00E850A7">
              <w:rPr>
                <w:rFonts w:ascii="Arial Narrow" w:hAnsi="Arial Narrow" w:cs="Times New Roman"/>
                <w:b/>
                <w:sz w:val="20"/>
              </w:rPr>
              <w:t>MET + EMPA + Pbo</w:t>
            </w:r>
          </w:p>
        </w:tc>
        <w:tc>
          <w:tcPr>
            <w:tcW w:w="788" w:type="pct"/>
            <w:tcBorders>
              <w:top w:val="single" w:sz="4" w:space="0" w:color="auto"/>
              <w:bottom w:val="single" w:sz="4" w:space="0" w:color="auto"/>
            </w:tcBorders>
            <w:vAlign w:val="center"/>
          </w:tcPr>
          <w:p w:rsidR="00AE001D" w:rsidRPr="00E850A7" w:rsidRDefault="00AE001D" w:rsidP="00F06FC0">
            <w:pPr>
              <w:spacing w:before="40" w:after="40"/>
              <w:jc w:val="center"/>
              <w:rPr>
                <w:rFonts w:ascii="Arial Narrow" w:hAnsi="Arial Narrow" w:cs="Times New Roman"/>
                <w:b/>
                <w:sz w:val="20"/>
              </w:rPr>
            </w:pPr>
          </w:p>
        </w:tc>
      </w:tr>
      <w:tr w:rsidR="00AE001D" w:rsidRPr="00E850A7" w:rsidTr="009F1F5F">
        <w:tc>
          <w:tcPr>
            <w:tcW w:w="2415" w:type="pct"/>
            <w:vAlign w:val="center"/>
          </w:tcPr>
          <w:p w:rsidR="00AE001D" w:rsidRPr="00E850A7" w:rsidRDefault="00AE001D" w:rsidP="00F06FC0">
            <w:pPr>
              <w:spacing w:before="40" w:after="40"/>
              <w:rPr>
                <w:rFonts w:ascii="Arial Narrow" w:hAnsi="Arial Narrow" w:cs="Times New Roman"/>
                <w:sz w:val="20"/>
              </w:rPr>
            </w:pPr>
            <w:r w:rsidRPr="00E850A7">
              <w:rPr>
                <w:rFonts w:ascii="Arial Narrow" w:hAnsi="Arial Narrow" w:cs="Times New Roman"/>
                <w:sz w:val="20"/>
              </w:rPr>
              <w:t>MET + EMPA 25 mg + LINA vs MET + EMPA 25 mg + Pbo</w:t>
            </w:r>
          </w:p>
        </w:tc>
        <w:tc>
          <w:tcPr>
            <w:tcW w:w="233" w:type="pct"/>
            <w:vAlign w:val="center"/>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133</w:t>
            </w:r>
          </w:p>
        </w:tc>
        <w:tc>
          <w:tcPr>
            <w:tcW w:w="696" w:type="pct"/>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-1.20 (0.69)</w:t>
            </w:r>
          </w:p>
        </w:tc>
        <w:tc>
          <w:tcPr>
            <w:tcW w:w="253" w:type="pct"/>
            <w:vAlign w:val="center"/>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139</w:t>
            </w:r>
          </w:p>
        </w:tc>
        <w:tc>
          <w:tcPr>
            <w:tcW w:w="615" w:type="pct"/>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-0.64 (0.71)</w:t>
            </w:r>
          </w:p>
        </w:tc>
        <w:tc>
          <w:tcPr>
            <w:tcW w:w="788" w:type="pct"/>
            <w:vAlign w:val="bottom"/>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-0.56 (-0.74, -0.39)</w:t>
            </w:r>
          </w:p>
        </w:tc>
      </w:tr>
      <w:tr w:rsidR="00AE001D" w:rsidRPr="00E850A7" w:rsidTr="009F1F5F">
        <w:tc>
          <w:tcPr>
            <w:tcW w:w="2415" w:type="pct"/>
            <w:vAlign w:val="center"/>
          </w:tcPr>
          <w:p w:rsidR="00AE001D" w:rsidRPr="00E850A7" w:rsidRDefault="00AE001D" w:rsidP="00F06FC0">
            <w:pPr>
              <w:spacing w:before="40" w:after="40"/>
              <w:rPr>
                <w:rFonts w:ascii="Arial Narrow" w:hAnsi="Arial Narrow" w:cs="Times New Roman"/>
                <w:sz w:val="20"/>
              </w:rPr>
            </w:pPr>
            <w:r w:rsidRPr="00E850A7">
              <w:rPr>
                <w:rFonts w:ascii="Arial Narrow" w:hAnsi="Arial Narrow" w:cs="Times New Roman"/>
                <w:sz w:val="20"/>
              </w:rPr>
              <w:t xml:space="preserve">MET + EMPA 10 mg + LINA vs MET + EMPA 10 mg + Pbo </w:t>
            </w:r>
          </w:p>
        </w:tc>
        <w:tc>
          <w:tcPr>
            <w:tcW w:w="233" w:type="pct"/>
            <w:vAlign w:val="center"/>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135</w:t>
            </w:r>
          </w:p>
        </w:tc>
        <w:tc>
          <w:tcPr>
            <w:tcW w:w="696" w:type="pct"/>
            <w:vAlign w:val="bottom"/>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sz w:val="20"/>
              </w:rPr>
              <w:t>-1.09 (0.70)</w:t>
            </w:r>
          </w:p>
        </w:tc>
        <w:tc>
          <w:tcPr>
            <w:tcW w:w="253" w:type="pct"/>
            <w:vAlign w:val="center"/>
          </w:tcPr>
          <w:p w:rsidR="00AE001D" w:rsidRPr="00E850A7" w:rsidRDefault="00AE001D" w:rsidP="00F06FC0">
            <w:pPr>
              <w:spacing w:before="40" w:after="40"/>
              <w:jc w:val="center"/>
              <w:rPr>
                <w:rFonts w:ascii="Arial Narrow" w:hAnsi="Arial Narrow" w:cs="Times New Roman"/>
                <w:sz w:val="20"/>
              </w:rPr>
            </w:pPr>
            <w:r w:rsidRPr="00E850A7">
              <w:rPr>
                <w:rFonts w:ascii="Arial Narrow" w:hAnsi="Arial Narrow" w:cs="Times New Roman"/>
                <w:sz w:val="20"/>
              </w:rPr>
              <w:t>137</w:t>
            </w:r>
          </w:p>
        </w:tc>
        <w:tc>
          <w:tcPr>
            <w:tcW w:w="615" w:type="pct"/>
            <w:vAlign w:val="bottom"/>
          </w:tcPr>
          <w:p w:rsidR="00AE001D" w:rsidRPr="00E850A7" w:rsidRDefault="007C3375" w:rsidP="00F06FC0">
            <w:pPr>
              <w:spacing w:before="40" w:after="40"/>
              <w:jc w:val="center"/>
              <w:rPr>
                <w:rFonts w:ascii="Arial Narrow" w:hAnsi="Arial Narrow" w:cs="Times New Roman"/>
                <w:sz w:val="20"/>
              </w:rPr>
            </w:pPr>
            <w:r w:rsidRPr="00E850A7">
              <w:rPr>
                <w:rFonts w:ascii="Arial Narrow" w:hAnsi="Arial Narrow"/>
                <w:sz w:val="20"/>
              </w:rPr>
              <w:t>-</w:t>
            </w:r>
            <w:r w:rsidR="00AE001D" w:rsidRPr="00E850A7">
              <w:rPr>
                <w:rFonts w:ascii="Arial Narrow" w:hAnsi="Arial Narrow"/>
                <w:sz w:val="20"/>
              </w:rPr>
              <w:t>0.68 (0.70)</w:t>
            </w:r>
          </w:p>
        </w:tc>
        <w:tc>
          <w:tcPr>
            <w:tcW w:w="788" w:type="pct"/>
            <w:vAlign w:val="bottom"/>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b/>
                <w:sz w:val="20"/>
              </w:rPr>
              <w:t>-0.41 (-0.58, -0.23)</w:t>
            </w:r>
          </w:p>
        </w:tc>
      </w:tr>
      <w:tr w:rsidR="00AE001D" w:rsidRPr="00E850A7" w:rsidTr="009F1F5F">
        <w:trPr>
          <w:trHeight w:val="97"/>
          <w:tblHeader/>
        </w:trPr>
        <w:tc>
          <w:tcPr>
            <w:tcW w:w="2415" w:type="pct"/>
            <w:tcBorders>
              <w:top w:val="double" w:sz="4" w:space="0" w:color="auto"/>
            </w:tcBorders>
            <w:shd w:val="clear" w:color="auto" w:fill="auto"/>
            <w:vAlign w:val="center"/>
          </w:tcPr>
          <w:p w:rsidR="00AE001D" w:rsidRPr="00E850A7" w:rsidRDefault="00AE001D" w:rsidP="00F06FC0">
            <w:pPr>
              <w:spacing w:before="40" w:after="40"/>
              <w:rPr>
                <w:rFonts w:ascii="Arial Narrow" w:hAnsi="Arial Narrow" w:cs="Times New Roman"/>
                <w:b/>
                <w:sz w:val="20"/>
              </w:rPr>
            </w:pPr>
            <w:r w:rsidRPr="00E850A7">
              <w:rPr>
                <w:rFonts w:ascii="Arial Narrow" w:hAnsi="Arial Narrow" w:cs="Times New Roman"/>
                <w:sz w:val="20"/>
              </w:rPr>
              <w:t xml:space="preserve">MET + </w:t>
            </w:r>
            <w:r w:rsidRPr="00E850A7">
              <w:rPr>
                <w:rFonts w:ascii="Arial Narrow" w:hAnsi="Arial Narrow" w:cs="Times New Roman"/>
                <w:sz w:val="20"/>
                <w:u w:val="single"/>
              </w:rPr>
              <w:t>EMPA 25 or 10 mg</w:t>
            </w:r>
            <w:r w:rsidRPr="00E850A7">
              <w:rPr>
                <w:rFonts w:ascii="Arial Narrow" w:hAnsi="Arial Narrow" w:cs="Times New Roman"/>
                <w:sz w:val="20"/>
              </w:rPr>
              <w:t xml:space="preserve"> + LINA vs MET + </w:t>
            </w:r>
            <w:r w:rsidRPr="00E850A7">
              <w:rPr>
                <w:rFonts w:ascii="Arial Narrow" w:hAnsi="Arial Narrow" w:cs="Times New Roman"/>
                <w:sz w:val="20"/>
                <w:u w:val="single"/>
              </w:rPr>
              <w:t>EMPA 25 or 10 mg</w:t>
            </w:r>
            <w:r w:rsidRPr="00E850A7">
              <w:rPr>
                <w:rFonts w:ascii="Arial Narrow" w:hAnsi="Arial Narrow" w:cs="Times New Roman"/>
                <w:sz w:val="20"/>
              </w:rPr>
              <w:t xml:space="preserve"> + Pbo (pooled)</w:t>
            </w:r>
          </w:p>
        </w:tc>
        <w:tc>
          <w:tcPr>
            <w:tcW w:w="233"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b/>
                <w:sz w:val="20"/>
              </w:rPr>
            </w:pPr>
            <w:r w:rsidRPr="00E850A7">
              <w:rPr>
                <w:rFonts w:ascii="Arial Narrow" w:hAnsi="Arial Narrow" w:cs="Times New Roman"/>
                <w:sz w:val="20"/>
              </w:rPr>
              <w:t>219</w:t>
            </w:r>
          </w:p>
        </w:tc>
        <w:tc>
          <w:tcPr>
            <w:tcW w:w="696"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cs="Times New Roman"/>
                <w:b/>
                <w:sz w:val="20"/>
              </w:rPr>
            </w:pPr>
            <w:r w:rsidRPr="00E850A7">
              <w:rPr>
                <w:rFonts w:ascii="Arial Narrow" w:hAnsi="Arial Narrow" w:cs="Times New Roman"/>
                <w:b/>
                <w:sz w:val="20"/>
              </w:rPr>
              <w:t>-</w:t>
            </w:r>
          </w:p>
        </w:tc>
        <w:tc>
          <w:tcPr>
            <w:tcW w:w="253"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b/>
                <w:sz w:val="20"/>
              </w:rPr>
            </w:pPr>
            <w:r w:rsidRPr="00E850A7">
              <w:rPr>
                <w:rFonts w:ascii="Arial Narrow" w:hAnsi="Arial Narrow" w:cs="Times New Roman"/>
                <w:sz w:val="20"/>
              </w:rPr>
              <w:t>212</w:t>
            </w:r>
          </w:p>
        </w:tc>
        <w:tc>
          <w:tcPr>
            <w:tcW w:w="615" w:type="pct"/>
            <w:tcBorders>
              <w:top w:val="double" w:sz="4" w:space="0" w:color="auto"/>
            </w:tcBorders>
            <w:shd w:val="clear" w:color="auto" w:fill="auto"/>
            <w:vAlign w:val="center"/>
          </w:tcPr>
          <w:p w:rsidR="00AE001D" w:rsidRPr="00E850A7" w:rsidRDefault="00AE001D" w:rsidP="00F06FC0">
            <w:pPr>
              <w:spacing w:before="40" w:after="40"/>
              <w:jc w:val="center"/>
              <w:rPr>
                <w:rFonts w:ascii="Arial Narrow" w:hAnsi="Arial Narrow"/>
                <w:b/>
                <w:sz w:val="20"/>
              </w:rPr>
            </w:pPr>
            <w:r w:rsidRPr="00E850A7">
              <w:rPr>
                <w:rFonts w:ascii="Arial Narrow" w:hAnsi="Arial Narrow"/>
                <w:b/>
                <w:sz w:val="20"/>
              </w:rPr>
              <w:t>-</w:t>
            </w:r>
          </w:p>
        </w:tc>
        <w:tc>
          <w:tcPr>
            <w:tcW w:w="788" w:type="pct"/>
            <w:tcBorders>
              <w:top w:val="double" w:sz="4" w:space="0" w:color="auto"/>
            </w:tcBorders>
            <w:shd w:val="clear" w:color="auto" w:fill="auto"/>
            <w:vAlign w:val="center"/>
          </w:tcPr>
          <w:p w:rsidR="00AE001D" w:rsidRPr="005D428A" w:rsidRDefault="005D428A" w:rsidP="00F06FC0">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 ''''''''''' '''''''''''</w:t>
            </w:r>
          </w:p>
        </w:tc>
      </w:tr>
    </w:tbl>
    <w:p w:rsidR="00AE001D" w:rsidRPr="00E850A7" w:rsidRDefault="00AE001D" w:rsidP="00F06FC0">
      <w:pPr>
        <w:pStyle w:val="TableFooter"/>
        <w:rPr>
          <w:szCs w:val="16"/>
        </w:rPr>
      </w:pPr>
      <w:r w:rsidRPr="00E850A7">
        <w:rPr>
          <w:szCs w:val="16"/>
        </w:rPr>
        <w:t>Source: Tables B.51, p.182 and B.52, p.184 of the resubmission. (Statistically significant results in bold).</w:t>
      </w:r>
    </w:p>
    <w:p w:rsidR="00AE001D" w:rsidRPr="00E850A7" w:rsidRDefault="00AE001D" w:rsidP="00F06FC0">
      <w:pPr>
        <w:pStyle w:val="TableFooter"/>
        <w:rPr>
          <w:szCs w:val="16"/>
        </w:rPr>
      </w:pPr>
      <w:r w:rsidRPr="00E850A7">
        <w:rPr>
          <w:szCs w:val="16"/>
        </w:rPr>
        <w:t xml:space="preserve">Abbreviations: CI, confidence interval; EMPA, empagliflozin; FAS, full analysis set; FDC, fixed dose combination; HbA1c, Glycosylated haemoglobin; LINA, linagliptin; MET, metformin; MMRM, </w:t>
      </w:r>
      <w:r w:rsidRPr="00E850A7">
        <w:rPr>
          <w:szCs w:val="18"/>
        </w:rPr>
        <w:t xml:space="preserve">mixed model repeated measures; </w:t>
      </w:r>
      <w:r w:rsidRPr="00E850A7">
        <w:rPr>
          <w:szCs w:val="16"/>
        </w:rPr>
        <w:t>OC, observed cases; Pbo, placebo; SD, standard deviation; wks, weeks.</w:t>
      </w:r>
    </w:p>
    <w:p w:rsidR="00AE001D" w:rsidRPr="00E850A7" w:rsidRDefault="00AE001D" w:rsidP="00FE25C2">
      <w:pPr>
        <w:pStyle w:val="ListParagraph"/>
        <w:numPr>
          <w:ilvl w:val="1"/>
          <w:numId w:val="3"/>
        </w:numPr>
        <w:spacing w:before="0" w:after="120"/>
        <w:jc w:val="both"/>
        <w:rPr>
          <w:szCs w:val="24"/>
        </w:rPr>
      </w:pPr>
      <w:r w:rsidRPr="00E850A7">
        <w:rPr>
          <w:szCs w:val="24"/>
        </w:rPr>
        <w:t>The results demonstrated statistically significantly larger reductions in HbA1c from baseline compared to linagliptin or empagliflozi</w:t>
      </w:r>
      <w:r w:rsidR="000812E0" w:rsidRPr="00E850A7">
        <w:rPr>
          <w:szCs w:val="24"/>
        </w:rPr>
        <w:t>n in combination with metformin</w:t>
      </w:r>
      <w:r w:rsidRPr="00E850A7">
        <w:rPr>
          <w:szCs w:val="24"/>
        </w:rPr>
        <w:t xml:space="preserve">. In contrast to the treatment naïve population </w:t>
      </w:r>
      <w:r w:rsidR="005D489A" w:rsidRPr="00E850A7">
        <w:rPr>
          <w:szCs w:val="24"/>
        </w:rPr>
        <w:t>(Table 11)</w:t>
      </w:r>
      <w:r w:rsidRPr="00E850A7">
        <w:rPr>
          <w:szCs w:val="24"/>
        </w:rPr>
        <w:t xml:space="preserve">, and the </w:t>
      </w:r>
      <w:r w:rsidR="002E0B5A" w:rsidRPr="00E850A7">
        <w:rPr>
          <w:szCs w:val="24"/>
        </w:rPr>
        <w:t>results</w:t>
      </w:r>
      <w:r w:rsidRPr="00E850A7">
        <w:rPr>
          <w:szCs w:val="24"/>
        </w:rPr>
        <w:t xml:space="preserve"> presented</w:t>
      </w:r>
      <w:r w:rsidR="002E0B5A" w:rsidRPr="00E850A7">
        <w:rPr>
          <w:szCs w:val="24"/>
        </w:rPr>
        <w:t xml:space="preserve"> in Table 5</w:t>
      </w:r>
      <w:r w:rsidRPr="00E850A7">
        <w:rPr>
          <w:szCs w:val="24"/>
        </w:rPr>
        <w:t>, the addition of linagliptin 5 mg to empagliflozin 25 mg or 10 mg achieved clinically important treatment effects (</w:t>
      </w:r>
      <w:r w:rsidR="0028662A" w:rsidRPr="00E850A7">
        <w:rPr>
          <w:szCs w:val="24"/>
        </w:rPr>
        <w:t>i.e.</w:t>
      </w:r>
      <w:r w:rsidRPr="00E850A7">
        <w:rPr>
          <w:szCs w:val="24"/>
        </w:rPr>
        <w:t xml:space="preserve"> a minimal clinically important difference of &gt; 0.40% MCID).</w:t>
      </w:r>
      <w:r w:rsidR="007D7D3C" w:rsidRPr="00E850A7">
        <w:rPr>
          <w:szCs w:val="24"/>
        </w:rPr>
        <w:t xml:space="preserve"> The ESC noted </w:t>
      </w:r>
      <w:r w:rsidR="00385AC9" w:rsidRPr="00E850A7">
        <w:rPr>
          <w:szCs w:val="24"/>
        </w:rPr>
        <w:t>that these data indicated that the benefit of adding empagliflozin and linagliptin to metformin (triple oral therapy) was less than the sum of benefit observed when adding empagliflozin or linagliptin to metformin in the dual therapy setting.</w:t>
      </w:r>
      <w:r w:rsidR="00D14763" w:rsidRPr="00E850A7">
        <w:rPr>
          <w:szCs w:val="24"/>
        </w:rPr>
        <w:t xml:space="preserve"> </w:t>
      </w:r>
    </w:p>
    <w:p w:rsidR="00AE001D" w:rsidRPr="00E850A7" w:rsidRDefault="000812E0" w:rsidP="00FE25C2">
      <w:pPr>
        <w:spacing w:before="0" w:after="120"/>
        <w:jc w:val="both"/>
      </w:pPr>
      <w:r w:rsidRPr="00E850A7">
        <w:rPr>
          <w:u w:val="single"/>
        </w:rPr>
        <w:t>Empagliflozin with linagliptin FDC vs insulin glargine, in combination with metformin</w:t>
      </w:r>
    </w:p>
    <w:p w:rsidR="008A3722" w:rsidRPr="00E850A7" w:rsidRDefault="00AB1936" w:rsidP="00FE25C2">
      <w:pPr>
        <w:pStyle w:val="ListParagraph"/>
        <w:numPr>
          <w:ilvl w:val="1"/>
          <w:numId w:val="3"/>
        </w:numPr>
        <w:spacing w:before="0" w:after="120"/>
        <w:jc w:val="both"/>
      </w:pPr>
      <w:r w:rsidRPr="00E850A7">
        <w:t xml:space="preserve">At the March 2017 meeting the PBAC </w:t>
      </w:r>
      <w:r w:rsidRPr="00E850A7">
        <w:rPr>
          <w:bCs/>
        </w:rPr>
        <w:t>did not accept that the clinical comparisons presented against insulin glargine demonstrated the noninferiority (</w:t>
      </w:r>
      <w:r w:rsidR="00D14763" w:rsidRPr="00E850A7">
        <w:t>e</w:t>
      </w:r>
      <w:r w:rsidRPr="00E850A7">
        <w:t xml:space="preserve">mpagliflozin with linagliptin FDC PSD, </w:t>
      </w:r>
      <w:r w:rsidR="000639FB" w:rsidRPr="00E850A7">
        <w:t xml:space="preserve">March 2017 </w:t>
      </w:r>
      <w:r w:rsidR="00C070D0" w:rsidRPr="00E850A7">
        <w:rPr>
          <w:bCs/>
        </w:rPr>
        <w:t xml:space="preserve">para </w:t>
      </w:r>
      <w:r w:rsidRPr="00E850A7">
        <w:rPr>
          <w:bCs/>
        </w:rPr>
        <w:t>7.7)</w:t>
      </w:r>
      <w:r w:rsidRPr="00E850A7">
        <w:t xml:space="preserve">. </w:t>
      </w:r>
      <w:r w:rsidR="00C6078D" w:rsidRPr="00E850A7">
        <w:t>The resubmission presented additional pooled results across both doses of empagliflozin in the FDC in the indirect comparison with insulin glargine</w:t>
      </w:r>
      <w:r w:rsidR="008467BD" w:rsidRPr="00E850A7">
        <w:rPr>
          <w:szCs w:val="24"/>
        </w:rPr>
        <w:t xml:space="preserve"> and the EASIE extension study was removed from the comparison</w:t>
      </w:r>
      <w:r w:rsidR="00C6078D" w:rsidRPr="00E850A7">
        <w:t>.</w:t>
      </w:r>
    </w:p>
    <w:p w:rsidR="008A3722" w:rsidRPr="00E850A7" w:rsidRDefault="008A3722">
      <w:pPr>
        <w:spacing w:before="0" w:line="259" w:lineRule="auto"/>
      </w:pPr>
      <w:r w:rsidRPr="00E850A7">
        <w:br w:type="page"/>
      </w:r>
    </w:p>
    <w:p w:rsidR="000812E0" w:rsidRPr="00E850A7" w:rsidRDefault="000812E0" w:rsidP="00F06FC0">
      <w:pPr>
        <w:pStyle w:val="TableHeader"/>
        <w:spacing w:after="60"/>
      </w:pPr>
      <w:r w:rsidRPr="00E850A7">
        <w:t xml:space="preserve">Table </w:t>
      </w:r>
      <w:r w:rsidR="001010D9" w:rsidRPr="00E850A7">
        <w:t>6</w:t>
      </w:r>
      <w:r w:rsidRPr="00E850A7">
        <w:t>: Mean change in HbA1c from baseline; indirect comparisons of empagliflozin with linagliptin FDC vs insulin glargine (with metformin; linagliptin/sitagliptin as common reference; FAS, LOCF)</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6"/>
        <w:gridCol w:w="422"/>
        <w:gridCol w:w="1665"/>
        <w:gridCol w:w="391"/>
        <w:gridCol w:w="1498"/>
        <w:gridCol w:w="406"/>
        <w:gridCol w:w="1360"/>
        <w:gridCol w:w="1513"/>
      </w:tblGrid>
      <w:tr w:rsidR="000812E0" w:rsidRPr="00E850A7" w:rsidTr="005D489A">
        <w:trPr>
          <w:cantSplit/>
          <w:tblHeader/>
        </w:trPr>
        <w:tc>
          <w:tcPr>
            <w:tcW w:w="1014" w:type="pct"/>
            <w:vMerge w:val="restart"/>
            <w:vAlign w:val="center"/>
          </w:tcPr>
          <w:p w:rsidR="000812E0" w:rsidRPr="00E850A7" w:rsidRDefault="000812E0" w:rsidP="00F06FC0">
            <w:pPr>
              <w:spacing w:before="40" w:after="40"/>
              <w:rPr>
                <w:rFonts w:ascii="Arial Narrow" w:hAnsi="Arial Narrow" w:cs="Times New Roman"/>
                <w:b/>
                <w:snapToGrid w:val="0"/>
                <w:sz w:val="20"/>
              </w:rPr>
            </w:pPr>
            <w:r w:rsidRPr="00E850A7">
              <w:rPr>
                <w:rFonts w:ascii="Arial Narrow" w:hAnsi="Arial Narrow" w:cs="Times New Roman"/>
                <w:b/>
                <w:sz w:val="20"/>
              </w:rPr>
              <w:t>Trial ID</w:t>
            </w:r>
          </w:p>
        </w:tc>
        <w:tc>
          <w:tcPr>
            <w:tcW w:w="3155" w:type="pct"/>
            <w:gridSpan w:val="6"/>
            <w:vAlign w:val="center"/>
          </w:tcPr>
          <w:p w:rsidR="000812E0" w:rsidRPr="00E850A7" w:rsidRDefault="000812E0" w:rsidP="00F06FC0">
            <w:pPr>
              <w:spacing w:before="40" w:after="40"/>
              <w:jc w:val="center"/>
              <w:rPr>
                <w:rFonts w:ascii="Arial Narrow" w:hAnsi="Arial Narrow" w:cs="Times New Roman"/>
                <w:b/>
                <w:snapToGrid w:val="0"/>
                <w:sz w:val="20"/>
              </w:rPr>
            </w:pPr>
            <w:r w:rsidRPr="00E850A7">
              <w:rPr>
                <w:rFonts w:ascii="Arial Narrow" w:hAnsi="Arial Narrow"/>
                <w:b/>
                <w:sz w:val="20"/>
              </w:rPr>
              <w:t>Mean change in HbA1c from baseline % (SD)</w:t>
            </w:r>
          </w:p>
        </w:tc>
        <w:tc>
          <w:tcPr>
            <w:tcW w:w="831" w:type="pct"/>
            <w:vMerge w:val="restart"/>
            <w:vAlign w:val="center"/>
          </w:tcPr>
          <w:p w:rsidR="000812E0" w:rsidRPr="00E850A7" w:rsidRDefault="000812E0" w:rsidP="00F06FC0">
            <w:pPr>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0812E0" w:rsidRPr="00E850A7" w:rsidRDefault="000812E0" w:rsidP="00F06FC0">
            <w:pPr>
              <w:spacing w:before="40" w:after="40"/>
              <w:jc w:val="center"/>
              <w:rPr>
                <w:rFonts w:ascii="Arial Narrow" w:hAnsi="Arial Narrow" w:cs="Times New Roman"/>
                <w:b/>
                <w:sz w:val="20"/>
              </w:rPr>
            </w:pPr>
            <w:r w:rsidRPr="00E850A7">
              <w:rPr>
                <w:rFonts w:ascii="Arial Narrow" w:hAnsi="Arial Narrow" w:cs="Times New Roman"/>
                <w:b/>
                <w:sz w:val="20"/>
              </w:rPr>
              <w:t>mean change</w:t>
            </w:r>
          </w:p>
          <w:p w:rsidR="000812E0" w:rsidRPr="00E850A7" w:rsidRDefault="000812E0" w:rsidP="00F06FC0">
            <w:pPr>
              <w:spacing w:before="40" w:after="40"/>
              <w:jc w:val="center"/>
              <w:rPr>
                <w:rFonts w:ascii="Arial Narrow" w:hAnsi="Arial Narrow" w:cs="Times New Roman"/>
                <w:snapToGrid w:val="0"/>
                <w:sz w:val="20"/>
              </w:rPr>
            </w:pPr>
            <w:r w:rsidRPr="00E850A7">
              <w:rPr>
                <w:rFonts w:ascii="Arial Narrow" w:hAnsi="Arial Narrow" w:cs="Times New Roman"/>
                <w:b/>
                <w:sz w:val="20"/>
              </w:rPr>
              <w:t>(95% CI)</w:t>
            </w:r>
          </w:p>
        </w:tc>
      </w:tr>
      <w:tr w:rsidR="000812E0" w:rsidRPr="00E850A7" w:rsidTr="005D489A">
        <w:trPr>
          <w:cantSplit/>
          <w:tblHeader/>
        </w:trPr>
        <w:tc>
          <w:tcPr>
            <w:tcW w:w="1014" w:type="pct"/>
            <w:vMerge/>
            <w:vAlign w:val="center"/>
          </w:tcPr>
          <w:p w:rsidR="000812E0" w:rsidRPr="00E850A7" w:rsidRDefault="000812E0" w:rsidP="00F06FC0">
            <w:pPr>
              <w:spacing w:before="40" w:after="40"/>
              <w:rPr>
                <w:rFonts w:ascii="Arial Narrow" w:hAnsi="Arial Narrow" w:cs="Times New Roman"/>
                <w:snapToGrid w:val="0"/>
                <w:sz w:val="20"/>
              </w:rPr>
            </w:pPr>
          </w:p>
        </w:tc>
        <w:tc>
          <w:tcPr>
            <w:tcW w:w="232" w:type="pct"/>
            <w:vAlign w:val="center"/>
          </w:tcPr>
          <w:p w:rsidR="000812E0" w:rsidRPr="00E850A7" w:rsidRDefault="00FF24BB" w:rsidP="00F06FC0">
            <w:pPr>
              <w:spacing w:before="40" w:after="40"/>
              <w:jc w:val="center"/>
              <w:rPr>
                <w:rFonts w:ascii="Arial Narrow" w:hAnsi="Arial Narrow" w:cs="Times New Roman"/>
                <w:snapToGrid w:val="0"/>
                <w:sz w:val="20"/>
              </w:rPr>
            </w:pPr>
            <w:r w:rsidRPr="00E850A7">
              <w:rPr>
                <w:rFonts w:ascii="Arial Narrow" w:hAnsi="Arial Narrow"/>
                <w:b/>
                <w:sz w:val="20"/>
              </w:rPr>
              <w:t>N</w:t>
            </w:r>
          </w:p>
        </w:tc>
        <w:tc>
          <w:tcPr>
            <w:tcW w:w="915" w:type="pct"/>
            <w:vAlign w:val="center"/>
          </w:tcPr>
          <w:p w:rsidR="000812E0" w:rsidRPr="00E850A7" w:rsidRDefault="000812E0" w:rsidP="00F06FC0">
            <w:pPr>
              <w:spacing w:before="40" w:after="40"/>
              <w:ind w:left="-66" w:right="-66"/>
              <w:jc w:val="center"/>
              <w:rPr>
                <w:rFonts w:ascii="Arial Narrow" w:hAnsi="Arial Narrow" w:cs="Times New Roman"/>
                <w:b/>
                <w:sz w:val="20"/>
              </w:rPr>
            </w:pPr>
            <w:r w:rsidRPr="00E850A7">
              <w:rPr>
                <w:rFonts w:ascii="Arial Narrow" w:hAnsi="Arial Narrow" w:cs="Times New Roman"/>
                <w:b/>
                <w:sz w:val="20"/>
              </w:rPr>
              <w:t>MET + EMPA 25 mg</w:t>
            </w:r>
          </w:p>
          <w:p w:rsidR="000812E0" w:rsidRPr="00E850A7" w:rsidRDefault="000812E0" w:rsidP="00F06FC0">
            <w:pPr>
              <w:spacing w:before="40" w:after="40"/>
              <w:jc w:val="center"/>
              <w:rPr>
                <w:rFonts w:ascii="Arial Narrow" w:hAnsi="Arial Narrow" w:cs="Times New Roman"/>
                <w:snapToGrid w:val="0"/>
                <w:sz w:val="20"/>
              </w:rPr>
            </w:pPr>
            <w:r w:rsidRPr="00E850A7">
              <w:rPr>
                <w:rFonts w:ascii="Arial Narrow" w:hAnsi="Arial Narrow" w:cs="Times New Roman"/>
                <w:b/>
                <w:sz w:val="20"/>
              </w:rPr>
              <w:t>+ LINA 5 mg</w:t>
            </w:r>
          </w:p>
        </w:tc>
        <w:tc>
          <w:tcPr>
            <w:tcW w:w="215" w:type="pct"/>
            <w:vAlign w:val="center"/>
          </w:tcPr>
          <w:p w:rsidR="000812E0" w:rsidRPr="00E850A7" w:rsidRDefault="000812E0" w:rsidP="00F06FC0">
            <w:pPr>
              <w:spacing w:before="40" w:after="40"/>
              <w:jc w:val="center"/>
              <w:rPr>
                <w:rFonts w:ascii="Arial Narrow" w:hAnsi="Arial Narrow" w:cs="Times New Roman"/>
                <w:snapToGrid w:val="0"/>
                <w:sz w:val="20"/>
              </w:rPr>
            </w:pPr>
            <w:r w:rsidRPr="00E850A7">
              <w:rPr>
                <w:rFonts w:ascii="Arial Narrow" w:hAnsi="Arial Narrow"/>
                <w:b/>
                <w:sz w:val="20"/>
              </w:rPr>
              <w:t>n</w:t>
            </w:r>
          </w:p>
        </w:tc>
        <w:tc>
          <w:tcPr>
            <w:tcW w:w="823" w:type="pct"/>
            <w:vAlign w:val="center"/>
          </w:tcPr>
          <w:p w:rsidR="000812E0" w:rsidRPr="00E850A7" w:rsidRDefault="000812E0" w:rsidP="00F06FC0">
            <w:pPr>
              <w:spacing w:before="40" w:after="40"/>
              <w:jc w:val="center"/>
              <w:rPr>
                <w:rFonts w:ascii="Arial Narrow" w:hAnsi="Arial Narrow" w:cs="Times New Roman"/>
                <w:snapToGrid w:val="0"/>
                <w:sz w:val="20"/>
              </w:rPr>
            </w:pPr>
            <w:r w:rsidRPr="00E850A7">
              <w:rPr>
                <w:rFonts w:ascii="Arial Narrow" w:hAnsi="Arial Narrow" w:cs="Times New Roman"/>
                <w:b/>
                <w:sz w:val="20"/>
              </w:rPr>
              <w:t>MET + LINA 5 mg or SITA 100 mg</w:t>
            </w:r>
          </w:p>
        </w:tc>
        <w:tc>
          <w:tcPr>
            <w:tcW w:w="223" w:type="pct"/>
            <w:vAlign w:val="center"/>
          </w:tcPr>
          <w:p w:rsidR="000812E0" w:rsidRPr="00E850A7" w:rsidRDefault="00857594" w:rsidP="00F06FC0">
            <w:pPr>
              <w:spacing w:before="40" w:after="40"/>
              <w:jc w:val="center"/>
              <w:rPr>
                <w:rFonts w:ascii="Arial Narrow" w:hAnsi="Arial Narrow" w:cs="Times New Roman"/>
                <w:snapToGrid w:val="0"/>
                <w:sz w:val="20"/>
              </w:rPr>
            </w:pPr>
            <w:r w:rsidRPr="00E850A7">
              <w:rPr>
                <w:rFonts w:ascii="Arial Narrow" w:hAnsi="Arial Narrow"/>
                <w:b/>
                <w:sz w:val="20"/>
              </w:rPr>
              <w:t>N</w:t>
            </w:r>
          </w:p>
        </w:tc>
        <w:tc>
          <w:tcPr>
            <w:tcW w:w="747" w:type="pct"/>
            <w:vAlign w:val="center"/>
          </w:tcPr>
          <w:p w:rsidR="000812E0" w:rsidRPr="00E850A7" w:rsidRDefault="000812E0" w:rsidP="00F06FC0">
            <w:pPr>
              <w:spacing w:before="40" w:after="40"/>
              <w:ind w:left="-66" w:right="-66"/>
              <w:jc w:val="center"/>
              <w:rPr>
                <w:rFonts w:ascii="Arial Narrow" w:hAnsi="Arial Narrow" w:cs="Times New Roman"/>
                <w:b/>
                <w:sz w:val="20"/>
              </w:rPr>
            </w:pPr>
            <w:r w:rsidRPr="00E850A7">
              <w:rPr>
                <w:rFonts w:ascii="Arial Narrow" w:hAnsi="Arial Narrow" w:cs="Times New Roman"/>
                <w:b/>
                <w:sz w:val="20"/>
              </w:rPr>
              <w:t>MET +</w:t>
            </w:r>
          </w:p>
          <w:p w:rsidR="000812E0" w:rsidRPr="00E850A7" w:rsidRDefault="000812E0" w:rsidP="00F06FC0">
            <w:pPr>
              <w:spacing w:before="40" w:after="40"/>
              <w:jc w:val="center"/>
              <w:rPr>
                <w:rFonts w:ascii="Arial Narrow" w:hAnsi="Arial Narrow" w:cs="Times New Roman"/>
                <w:snapToGrid w:val="0"/>
                <w:sz w:val="20"/>
              </w:rPr>
            </w:pPr>
            <w:r w:rsidRPr="00E850A7">
              <w:rPr>
                <w:rFonts w:ascii="Arial Narrow" w:hAnsi="Arial Narrow" w:cs="Times New Roman"/>
                <w:b/>
                <w:sz w:val="20"/>
              </w:rPr>
              <w:t>Insulin glargine</w:t>
            </w:r>
          </w:p>
        </w:tc>
        <w:tc>
          <w:tcPr>
            <w:tcW w:w="831" w:type="pct"/>
            <w:vMerge/>
            <w:vAlign w:val="center"/>
          </w:tcPr>
          <w:p w:rsidR="000812E0" w:rsidRPr="00E850A7" w:rsidRDefault="000812E0" w:rsidP="00F06FC0">
            <w:pPr>
              <w:spacing w:before="40" w:after="40"/>
              <w:rPr>
                <w:rFonts w:ascii="Arial Narrow" w:hAnsi="Arial Narrow" w:cs="Times New Roman"/>
                <w:snapToGrid w:val="0"/>
                <w:sz w:val="20"/>
              </w:rPr>
            </w:pPr>
          </w:p>
        </w:tc>
      </w:tr>
      <w:tr w:rsidR="000812E0" w:rsidRPr="00E850A7" w:rsidTr="001E696D">
        <w:tc>
          <w:tcPr>
            <w:tcW w:w="1014" w:type="pct"/>
            <w:shd w:val="clear" w:color="auto" w:fill="auto"/>
          </w:tcPr>
          <w:p w:rsidR="000812E0" w:rsidRPr="00E925FB" w:rsidRDefault="000812E0" w:rsidP="00F06FC0">
            <w:pPr>
              <w:spacing w:before="40" w:after="40"/>
              <w:rPr>
                <w:rFonts w:ascii="Arial Narrow" w:hAnsi="Arial Narrow" w:cs="Times New Roman"/>
                <w:i/>
                <w:snapToGrid w:val="0"/>
                <w:sz w:val="20"/>
              </w:rPr>
            </w:pPr>
            <w:r w:rsidRPr="00E925FB">
              <w:rPr>
                <w:rFonts w:ascii="Arial Narrow" w:hAnsi="Arial Narrow"/>
                <w:i/>
                <w:sz w:val="20"/>
              </w:rPr>
              <w:t>1275.1 (24 wks)</w:t>
            </w:r>
          </w:p>
        </w:tc>
        <w:tc>
          <w:tcPr>
            <w:tcW w:w="232"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134</w:t>
            </w:r>
          </w:p>
        </w:tc>
        <w:tc>
          <w:tcPr>
            <w:tcW w:w="9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-1.19 (0.69)</w:t>
            </w:r>
          </w:p>
        </w:tc>
        <w:tc>
          <w:tcPr>
            <w:tcW w:w="2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128</w:t>
            </w:r>
          </w:p>
        </w:tc>
        <w:tc>
          <w:tcPr>
            <w:tcW w:w="8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-0.70 (0.68)</w:t>
            </w:r>
          </w:p>
        </w:tc>
        <w:tc>
          <w:tcPr>
            <w:tcW w:w="2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747"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831"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b/>
                <w:i/>
                <w:sz w:val="20"/>
              </w:rPr>
              <w:t>-0.49 (-0.66, -0.32)</w:t>
            </w:r>
          </w:p>
        </w:tc>
      </w:tr>
      <w:tr w:rsidR="000812E0" w:rsidRPr="00E850A7" w:rsidTr="001E696D">
        <w:tc>
          <w:tcPr>
            <w:tcW w:w="1014" w:type="pct"/>
            <w:shd w:val="clear" w:color="auto" w:fill="auto"/>
          </w:tcPr>
          <w:p w:rsidR="000812E0" w:rsidRPr="00E925FB" w:rsidRDefault="000812E0" w:rsidP="00F06FC0">
            <w:pPr>
              <w:spacing w:before="40" w:after="40"/>
              <w:rPr>
                <w:rFonts w:ascii="Arial Narrow" w:hAnsi="Arial Narrow" w:cs="Times New Roman"/>
                <w:i/>
                <w:snapToGrid w:val="0"/>
                <w:sz w:val="20"/>
              </w:rPr>
            </w:pPr>
            <w:r w:rsidRPr="00E925FB">
              <w:rPr>
                <w:rFonts w:ascii="Arial Narrow" w:hAnsi="Arial Narrow"/>
                <w:i/>
                <w:sz w:val="20"/>
              </w:rPr>
              <w:t>EASIE (24 wks)</w:t>
            </w:r>
          </w:p>
        </w:tc>
        <w:tc>
          <w:tcPr>
            <w:tcW w:w="232"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9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2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248</w:t>
            </w:r>
          </w:p>
        </w:tc>
        <w:tc>
          <w:tcPr>
            <w:tcW w:w="8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-1.13 (0.94)</w:t>
            </w:r>
          </w:p>
        </w:tc>
        <w:tc>
          <w:tcPr>
            <w:tcW w:w="2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224</w:t>
            </w:r>
          </w:p>
        </w:tc>
        <w:tc>
          <w:tcPr>
            <w:tcW w:w="747"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-1.72 (0.90)</w:t>
            </w:r>
          </w:p>
        </w:tc>
        <w:tc>
          <w:tcPr>
            <w:tcW w:w="831"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b/>
                <w:i/>
                <w:sz w:val="20"/>
              </w:rPr>
              <w:t>-0.59 (-0.76, -0.42)</w:t>
            </w:r>
          </w:p>
        </w:tc>
      </w:tr>
      <w:tr w:rsidR="000812E0" w:rsidRPr="00E850A7" w:rsidTr="001E696D">
        <w:tc>
          <w:tcPr>
            <w:tcW w:w="4169" w:type="pct"/>
            <w:gridSpan w:val="7"/>
            <w:shd w:val="clear" w:color="auto" w:fill="auto"/>
            <w:vAlign w:val="center"/>
          </w:tcPr>
          <w:p w:rsidR="000812E0" w:rsidRPr="00E925FB" w:rsidRDefault="00A5271A" w:rsidP="00F06FC0">
            <w:pPr>
              <w:tabs>
                <w:tab w:val="right" w:pos="7532"/>
              </w:tabs>
              <w:spacing w:before="40" w:after="40"/>
              <w:rPr>
                <w:rFonts w:ascii="Arial Narrow" w:hAnsi="Arial Narrow" w:cs="Times New Roman"/>
                <w:i/>
                <w:snapToGrid w:val="0"/>
                <w:sz w:val="20"/>
              </w:rPr>
            </w:pPr>
            <w:r w:rsidRPr="00E925FB">
              <w:rPr>
                <w:rFonts w:ascii="Arial Narrow" w:hAnsi="Arial Narrow" w:cs="Times New Roman"/>
                <w:i/>
                <w:sz w:val="20"/>
              </w:rPr>
              <w:t>I</w:t>
            </w:r>
            <w:r w:rsidR="000812E0" w:rsidRPr="00E925FB">
              <w:rPr>
                <w:rFonts w:ascii="Arial Narrow" w:hAnsi="Arial Narrow" w:cs="Times New Roman"/>
                <w:i/>
                <w:sz w:val="20"/>
              </w:rPr>
              <w:t>ndirect comparison</w:t>
            </w:r>
            <w:r w:rsidR="000812E0" w:rsidRPr="00E925FB">
              <w:rPr>
                <w:rFonts w:ascii="Arial Narrow" w:hAnsi="Arial Narrow" w:cs="Times New Roman"/>
                <w:i/>
                <w:sz w:val="20"/>
              </w:rPr>
              <w:tab/>
              <w:t xml:space="preserve">Empagliflozin </w:t>
            </w:r>
            <w:r w:rsidR="000812E0" w:rsidRPr="00E925FB">
              <w:rPr>
                <w:rFonts w:ascii="Arial Narrow" w:hAnsi="Arial Narrow" w:cs="Times New Roman"/>
                <w:i/>
                <w:sz w:val="20"/>
                <w:u w:val="single"/>
              </w:rPr>
              <w:t>25</w:t>
            </w:r>
            <w:r w:rsidR="000812E0" w:rsidRPr="00E925FB">
              <w:rPr>
                <w:rFonts w:ascii="Arial Narrow" w:hAnsi="Arial Narrow" w:cs="Times New Roman"/>
                <w:i/>
                <w:sz w:val="20"/>
              </w:rPr>
              <w:t xml:space="preserve"> + linagliptin 5 mg vs insulin glargine</w:t>
            </w:r>
          </w:p>
        </w:tc>
        <w:tc>
          <w:tcPr>
            <w:tcW w:w="831" w:type="pct"/>
            <w:shd w:val="clear" w:color="auto" w:fill="auto"/>
            <w:vAlign w:val="center"/>
          </w:tcPr>
          <w:p w:rsidR="000812E0" w:rsidRPr="005D428A" w:rsidRDefault="005D428A" w:rsidP="00F06FC0">
            <w:pPr>
              <w:spacing w:before="40" w:after="40"/>
              <w:jc w:val="center"/>
              <w:rPr>
                <w:rFonts w:ascii="Arial Narrow" w:hAnsi="Arial Narrow" w:cs="Times New Roman"/>
                <w:i/>
                <w:snapToGrid w:val="0"/>
                <w:sz w:val="20"/>
                <w:highlight w:val="black"/>
              </w:rPr>
            </w:pPr>
            <w:r>
              <w:rPr>
                <w:rFonts w:ascii="Arial Narrow" w:hAnsi="Arial Narrow" w:cs="Times New Roman"/>
                <w:i/>
                <w:noProof/>
                <w:color w:val="000000"/>
                <w:sz w:val="20"/>
                <w:highlight w:val="black"/>
              </w:rPr>
              <w:t>'''''''''' '''''''''''''''' ''''''''''''''</w:t>
            </w:r>
          </w:p>
        </w:tc>
      </w:tr>
    </w:tbl>
    <w:p w:rsidR="000812E0" w:rsidRPr="00E850A7" w:rsidRDefault="000812E0" w:rsidP="00F06FC0">
      <w:pPr>
        <w:spacing w:before="0" w:after="0"/>
        <w:rPr>
          <w:rFonts w:ascii="Arial Narrow" w:hAnsi="Arial Narrow" w:cs="Times New Roman"/>
          <w:snapToGrid w:val="0"/>
          <w:sz w:val="2"/>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6"/>
        <w:gridCol w:w="422"/>
        <w:gridCol w:w="1665"/>
        <w:gridCol w:w="391"/>
        <w:gridCol w:w="1498"/>
        <w:gridCol w:w="406"/>
        <w:gridCol w:w="1360"/>
        <w:gridCol w:w="1513"/>
      </w:tblGrid>
      <w:tr w:rsidR="000812E0" w:rsidRPr="00E850A7" w:rsidTr="009F1F5F">
        <w:tc>
          <w:tcPr>
            <w:tcW w:w="1014" w:type="pct"/>
            <w:vAlign w:val="center"/>
          </w:tcPr>
          <w:p w:rsidR="000812E0" w:rsidRPr="00E850A7" w:rsidRDefault="000812E0" w:rsidP="00F06FC0">
            <w:pPr>
              <w:spacing w:before="40" w:after="40"/>
              <w:rPr>
                <w:rFonts w:ascii="Arial Narrow" w:hAnsi="Arial Narrow" w:cs="Times New Roman"/>
                <w:snapToGrid w:val="0"/>
                <w:sz w:val="20"/>
              </w:rPr>
            </w:pPr>
          </w:p>
          <w:p w:rsidR="000812E0" w:rsidRPr="00E850A7" w:rsidRDefault="000812E0" w:rsidP="00F06FC0">
            <w:pPr>
              <w:spacing w:before="40" w:after="40"/>
              <w:rPr>
                <w:rFonts w:ascii="Arial Narrow" w:hAnsi="Arial Narrow" w:cs="Times New Roman"/>
                <w:snapToGrid w:val="0"/>
                <w:sz w:val="20"/>
              </w:rPr>
            </w:pPr>
          </w:p>
        </w:tc>
        <w:tc>
          <w:tcPr>
            <w:tcW w:w="232" w:type="pct"/>
            <w:vAlign w:val="center"/>
          </w:tcPr>
          <w:p w:rsidR="000812E0" w:rsidRPr="00E850A7" w:rsidRDefault="00FF24BB" w:rsidP="00F06FC0">
            <w:pPr>
              <w:spacing w:before="40" w:after="40"/>
              <w:jc w:val="center"/>
              <w:rPr>
                <w:rFonts w:ascii="Arial Narrow" w:hAnsi="Arial Narrow" w:cs="Times New Roman"/>
                <w:b/>
                <w:snapToGrid w:val="0"/>
                <w:sz w:val="20"/>
              </w:rPr>
            </w:pPr>
            <w:r w:rsidRPr="00E850A7">
              <w:rPr>
                <w:rFonts w:ascii="Arial Narrow" w:hAnsi="Arial Narrow"/>
                <w:b/>
                <w:sz w:val="20"/>
              </w:rPr>
              <w:t>N</w:t>
            </w:r>
          </w:p>
        </w:tc>
        <w:tc>
          <w:tcPr>
            <w:tcW w:w="915" w:type="pct"/>
            <w:vAlign w:val="center"/>
          </w:tcPr>
          <w:p w:rsidR="000812E0" w:rsidRPr="00E850A7" w:rsidRDefault="000812E0" w:rsidP="00F06FC0">
            <w:pPr>
              <w:spacing w:before="40" w:after="40"/>
              <w:ind w:left="-66" w:right="-66"/>
              <w:jc w:val="center"/>
              <w:rPr>
                <w:rFonts w:ascii="Arial Narrow" w:hAnsi="Arial Narrow" w:cs="Times New Roman"/>
                <w:b/>
                <w:sz w:val="20"/>
              </w:rPr>
            </w:pPr>
            <w:r w:rsidRPr="00E850A7">
              <w:rPr>
                <w:rFonts w:ascii="Arial Narrow" w:hAnsi="Arial Narrow" w:cs="Times New Roman"/>
                <w:b/>
                <w:sz w:val="20"/>
              </w:rPr>
              <w:t>MET + EMPA 10 mg</w:t>
            </w:r>
          </w:p>
          <w:p w:rsidR="000812E0" w:rsidRPr="00E850A7" w:rsidRDefault="000812E0" w:rsidP="00F06FC0">
            <w:pPr>
              <w:spacing w:before="40" w:after="40"/>
              <w:jc w:val="center"/>
              <w:rPr>
                <w:rFonts w:ascii="Arial Narrow" w:hAnsi="Arial Narrow" w:cs="Times New Roman"/>
                <w:b/>
                <w:snapToGrid w:val="0"/>
                <w:sz w:val="20"/>
              </w:rPr>
            </w:pPr>
            <w:r w:rsidRPr="00E850A7">
              <w:rPr>
                <w:rFonts w:ascii="Arial Narrow" w:hAnsi="Arial Narrow" w:cs="Times New Roman"/>
                <w:b/>
                <w:sz w:val="20"/>
              </w:rPr>
              <w:t>+ LINA 5 mg</w:t>
            </w:r>
          </w:p>
        </w:tc>
        <w:tc>
          <w:tcPr>
            <w:tcW w:w="215" w:type="pct"/>
            <w:vAlign w:val="center"/>
          </w:tcPr>
          <w:p w:rsidR="000812E0" w:rsidRPr="00E850A7" w:rsidRDefault="000812E0" w:rsidP="00F06FC0">
            <w:pPr>
              <w:spacing w:before="40" w:after="40"/>
              <w:jc w:val="center"/>
              <w:rPr>
                <w:rFonts w:ascii="Arial Narrow" w:hAnsi="Arial Narrow" w:cs="Times New Roman"/>
                <w:b/>
                <w:snapToGrid w:val="0"/>
                <w:sz w:val="20"/>
              </w:rPr>
            </w:pPr>
            <w:r w:rsidRPr="00E850A7">
              <w:rPr>
                <w:rFonts w:ascii="Arial Narrow" w:hAnsi="Arial Narrow"/>
                <w:b/>
                <w:sz w:val="20"/>
              </w:rPr>
              <w:t>n</w:t>
            </w:r>
          </w:p>
        </w:tc>
        <w:tc>
          <w:tcPr>
            <w:tcW w:w="823" w:type="pct"/>
            <w:vAlign w:val="center"/>
          </w:tcPr>
          <w:p w:rsidR="000812E0" w:rsidRPr="00E850A7" w:rsidRDefault="000812E0" w:rsidP="00F06FC0">
            <w:pPr>
              <w:spacing w:before="40" w:after="40"/>
              <w:jc w:val="center"/>
              <w:rPr>
                <w:rFonts w:ascii="Arial Narrow" w:hAnsi="Arial Narrow" w:cs="Times New Roman"/>
                <w:b/>
                <w:snapToGrid w:val="0"/>
                <w:sz w:val="20"/>
              </w:rPr>
            </w:pPr>
            <w:r w:rsidRPr="00E850A7">
              <w:rPr>
                <w:rFonts w:ascii="Arial Narrow" w:hAnsi="Arial Narrow" w:cs="Times New Roman"/>
                <w:b/>
                <w:sz w:val="20"/>
              </w:rPr>
              <w:t>MET + LINA 5 mg or SITA 100 mg</w:t>
            </w:r>
          </w:p>
        </w:tc>
        <w:tc>
          <w:tcPr>
            <w:tcW w:w="223" w:type="pct"/>
            <w:vAlign w:val="center"/>
          </w:tcPr>
          <w:p w:rsidR="000812E0" w:rsidRPr="00E850A7" w:rsidRDefault="00857594" w:rsidP="00F06FC0">
            <w:pPr>
              <w:spacing w:before="40" w:after="40"/>
              <w:jc w:val="center"/>
              <w:rPr>
                <w:rFonts w:ascii="Arial Narrow" w:hAnsi="Arial Narrow" w:cs="Times New Roman"/>
                <w:b/>
                <w:snapToGrid w:val="0"/>
                <w:sz w:val="20"/>
              </w:rPr>
            </w:pPr>
            <w:r w:rsidRPr="00E850A7">
              <w:rPr>
                <w:rFonts w:ascii="Arial Narrow" w:hAnsi="Arial Narrow"/>
                <w:b/>
                <w:sz w:val="20"/>
              </w:rPr>
              <w:t>N</w:t>
            </w:r>
          </w:p>
        </w:tc>
        <w:tc>
          <w:tcPr>
            <w:tcW w:w="747" w:type="pct"/>
            <w:vAlign w:val="center"/>
          </w:tcPr>
          <w:p w:rsidR="000812E0" w:rsidRPr="00E850A7" w:rsidRDefault="000812E0" w:rsidP="00F06FC0">
            <w:pPr>
              <w:spacing w:before="40" w:after="40"/>
              <w:ind w:left="-66" w:right="-66"/>
              <w:jc w:val="center"/>
              <w:rPr>
                <w:rFonts w:ascii="Arial Narrow" w:hAnsi="Arial Narrow" w:cs="Times New Roman"/>
                <w:b/>
                <w:sz w:val="20"/>
              </w:rPr>
            </w:pPr>
            <w:r w:rsidRPr="00E850A7">
              <w:rPr>
                <w:rFonts w:ascii="Arial Narrow" w:hAnsi="Arial Narrow" w:cs="Times New Roman"/>
                <w:b/>
                <w:sz w:val="20"/>
              </w:rPr>
              <w:t>MET +</w:t>
            </w:r>
          </w:p>
          <w:p w:rsidR="000812E0" w:rsidRPr="00E850A7" w:rsidRDefault="000812E0" w:rsidP="00F06FC0">
            <w:pPr>
              <w:spacing w:before="40" w:after="40"/>
              <w:jc w:val="center"/>
              <w:rPr>
                <w:rFonts w:ascii="Arial Narrow" w:hAnsi="Arial Narrow" w:cs="Times New Roman"/>
                <w:b/>
                <w:snapToGrid w:val="0"/>
                <w:sz w:val="20"/>
              </w:rPr>
            </w:pPr>
            <w:r w:rsidRPr="00E850A7">
              <w:rPr>
                <w:rFonts w:ascii="Arial Narrow" w:hAnsi="Arial Narrow" w:cs="Times New Roman"/>
                <w:b/>
                <w:sz w:val="20"/>
              </w:rPr>
              <w:t>Insulin glargine</w:t>
            </w:r>
          </w:p>
        </w:tc>
        <w:tc>
          <w:tcPr>
            <w:tcW w:w="831" w:type="pct"/>
            <w:vAlign w:val="center"/>
          </w:tcPr>
          <w:p w:rsidR="000812E0" w:rsidRPr="00E850A7" w:rsidRDefault="000812E0" w:rsidP="00F06FC0">
            <w:pPr>
              <w:spacing w:before="40" w:after="40"/>
              <w:rPr>
                <w:rFonts w:ascii="Arial Narrow" w:hAnsi="Arial Narrow" w:cs="Times New Roman"/>
                <w:snapToGrid w:val="0"/>
                <w:sz w:val="20"/>
              </w:rPr>
            </w:pPr>
          </w:p>
        </w:tc>
      </w:tr>
      <w:tr w:rsidR="000812E0" w:rsidRPr="00E850A7" w:rsidTr="001E696D">
        <w:tc>
          <w:tcPr>
            <w:tcW w:w="1014" w:type="pct"/>
            <w:shd w:val="clear" w:color="auto" w:fill="auto"/>
          </w:tcPr>
          <w:p w:rsidR="000812E0" w:rsidRPr="00E925FB" w:rsidRDefault="000812E0" w:rsidP="00F06FC0">
            <w:pPr>
              <w:spacing w:before="40" w:after="40"/>
              <w:rPr>
                <w:rFonts w:ascii="Arial Narrow" w:hAnsi="Arial Narrow" w:cs="Times New Roman"/>
                <w:i/>
                <w:snapToGrid w:val="0"/>
                <w:sz w:val="20"/>
              </w:rPr>
            </w:pPr>
            <w:r w:rsidRPr="00E925FB">
              <w:rPr>
                <w:rFonts w:ascii="Arial Narrow" w:hAnsi="Arial Narrow"/>
                <w:i/>
                <w:sz w:val="20"/>
              </w:rPr>
              <w:t>1275.1 (24 wks)</w:t>
            </w:r>
          </w:p>
        </w:tc>
        <w:tc>
          <w:tcPr>
            <w:tcW w:w="232"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135</w:t>
            </w:r>
          </w:p>
        </w:tc>
        <w:tc>
          <w:tcPr>
            <w:tcW w:w="9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-1.08 (0.70)</w:t>
            </w:r>
          </w:p>
        </w:tc>
        <w:tc>
          <w:tcPr>
            <w:tcW w:w="2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128</w:t>
            </w:r>
          </w:p>
        </w:tc>
        <w:tc>
          <w:tcPr>
            <w:tcW w:w="8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-0.70 (0.68)</w:t>
            </w:r>
          </w:p>
        </w:tc>
        <w:tc>
          <w:tcPr>
            <w:tcW w:w="2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747"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831"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b/>
                <w:i/>
                <w:sz w:val="20"/>
              </w:rPr>
              <w:t>-0.38 (-0.55, -0.21)</w:t>
            </w:r>
          </w:p>
        </w:tc>
      </w:tr>
      <w:tr w:rsidR="000812E0" w:rsidRPr="00E850A7" w:rsidTr="001E696D">
        <w:tc>
          <w:tcPr>
            <w:tcW w:w="1014" w:type="pct"/>
            <w:shd w:val="clear" w:color="auto" w:fill="auto"/>
          </w:tcPr>
          <w:p w:rsidR="000812E0" w:rsidRPr="00E925FB" w:rsidRDefault="000812E0" w:rsidP="00F06FC0">
            <w:pPr>
              <w:spacing w:before="40" w:after="40"/>
              <w:rPr>
                <w:rFonts w:ascii="Arial Narrow" w:hAnsi="Arial Narrow" w:cs="Times New Roman"/>
                <w:i/>
                <w:snapToGrid w:val="0"/>
                <w:sz w:val="20"/>
              </w:rPr>
            </w:pPr>
            <w:r w:rsidRPr="00E925FB">
              <w:rPr>
                <w:rFonts w:ascii="Arial Narrow" w:hAnsi="Arial Narrow"/>
                <w:i/>
                <w:sz w:val="20"/>
              </w:rPr>
              <w:t>EASIE (24 wks)</w:t>
            </w:r>
          </w:p>
        </w:tc>
        <w:tc>
          <w:tcPr>
            <w:tcW w:w="232"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9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i/>
                <w:sz w:val="20"/>
              </w:rPr>
              <w:t>-</w:t>
            </w:r>
          </w:p>
        </w:tc>
        <w:tc>
          <w:tcPr>
            <w:tcW w:w="215"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248</w:t>
            </w:r>
          </w:p>
        </w:tc>
        <w:tc>
          <w:tcPr>
            <w:tcW w:w="8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-1.13 (0.94)</w:t>
            </w:r>
          </w:p>
        </w:tc>
        <w:tc>
          <w:tcPr>
            <w:tcW w:w="223"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224</w:t>
            </w:r>
          </w:p>
        </w:tc>
        <w:tc>
          <w:tcPr>
            <w:tcW w:w="747"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i/>
                <w:sz w:val="20"/>
              </w:rPr>
              <w:t>-1.72 (0.90)</w:t>
            </w:r>
          </w:p>
        </w:tc>
        <w:tc>
          <w:tcPr>
            <w:tcW w:w="831" w:type="pct"/>
            <w:shd w:val="clear" w:color="auto" w:fill="auto"/>
            <w:vAlign w:val="center"/>
          </w:tcPr>
          <w:p w:rsidR="000812E0" w:rsidRPr="00E925FB" w:rsidRDefault="000812E0" w:rsidP="00F06FC0">
            <w:pPr>
              <w:spacing w:before="40" w:after="40"/>
              <w:jc w:val="center"/>
              <w:rPr>
                <w:rFonts w:ascii="Arial Narrow" w:hAnsi="Arial Narrow" w:cs="Times New Roman"/>
                <w:i/>
                <w:snapToGrid w:val="0"/>
                <w:sz w:val="20"/>
              </w:rPr>
            </w:pPr>
            <w:r w:rsidRPr="00E925FB">
              <w:rPr>
                <w:rFonts w:ascii="Arial Narrow" w:hAnsi="Arial Narrow" w:cs="Times New Roman"/>
                <w:b/>
                <w:i/>
                <w:sz w:val="20"/>
              </w:rPr>
              <w:t>-0.59 (-0.76, -0.42)</w:t>
            </w:r>
          </w:p>
        </w:tc>
      </w:tr>
      <w:tr w:rsidR="000812E0" w:rsidRPr="00E850A7" w:rsidTr="001E696D">
        <w:tc>
          <w:tcPr>
            <w:tcW w:w="4169" w:type="pct"/>
            <w:gridSpan w:val="7"/>
            <w:shd w:val="clear" w:color="auto" w:fill="auto"/>
            <w:vAlign w:val="center"/>
          </w:tcPr>
          <w:p w:rsidR="000812E0" w:rsidRPr="00E925FB" w:rsidRDefault="000812E0" w:rsidP="00F06FC0">
            <w:pPr>
              <w:tabs>
                <w:tab w:val="right" w:pos="7513"/>
              </w:tabs>
              <w:spacing w:before="40" w:after="40"/>
              <w:rPr>
                <w:rFonts w:ascii="Arial Narrow" w:hAnsi="Arial Narrow" w:cs="Times New Roman"/>
                <w:i/>
                <w:snapToGrid w:val="0"/>
                <w:sz w:val="20"/>
              </w:rPr>
            </w:pPr>
            <w:r w:rsidRPr="00E925FB">
              <w:rPr>
                <w:rFonts w:ascii="Arial Narrow" w:hAnsi="Arial Narrow" w:cs="Times New Roman"/>
                <w:i/>
                <w:sz w:val="20"/>
              </w:rPr>
              <w:t>Indirect comparison (24 wks)</w:t>
            </w:r>
            <w:r w:rsidRPr="00E925FB">
              <w:rPr>
                <w:rFonts w:ascii="Arial Narrow" w:hAnsi="Arial Narrow" w:cs="Times New Roman"/>
                <w:b/>
                <w:i/>
                <w:sz w:val="20"/>
              </w:rPr>
              <w:tab/>
            </w:r>
            <w:r w:rsidRPr="00E925FB">
              <w:rPr>
                <w:rFonts w:ascii="Arial Narrow" w:hAnsi="Arial Narrow" w:cs="Times New Roman"/>
                <w:i/>
                <w:sz w:val="20"/>
              </w:rPr>
              <w:t>empagliflozin 10 mg + linagliptin 5 mg vs insulin glargine</w:t>
            </w:r>
          </w:p>
        </w:tc>
        <w:tc>
          <w:tcPr>
            <w:tcW w:w="831" w:type="pct"/>
            <w:shd w:val="clear" w:color="auto" w:fill="auto"/>
            <w:vAlign w:val="center"/>
          </w:tcPr>
          <w:p w:rsidR="000812E0" w:rsidRPr="005D428A" w:rsidRDefault="005D428A" w:rsidP="00F06FC0">
            <w:pPr>
              <w:spacing w:before="40" w:after="40"/>
              <w:jc w:val="center"/>
              <w:rPr>
                <w:rFonts w:ascii="Arial Narrow" w:hAnsi="Arial Narrow" w:cs="Times New Roman"/>
                <w:i/>
                <w:snapToGrid w:val="0"/>
                <w:sz w:val="20"/>
                <w:highlight w:val="black"/>
              </w:rPr>
            </w:pPr>
            <w:r>
              <w:rPr>
                <w:rFonts w:ascii="Arial Narrow" w:hAnsi="Arial Narrow" w:cs="Times New Roman"/>
                <w:i/>
                <w:noProof/>
                <w:color w:val="000000"/>
                <w:sz w:val="20"/>
                <w:highlight w:val="black"/>
              </w:rPr>
              <w:t>'''''''''''' '''''''''''''''' ''''''''''''</w:t>
            </w:r>
          </w:p>
        </w:tc>
      </w:tr>
      <w:tr w:rsidR="000812E0" w:rsidRPr="00E850A7" w:rsidTr="009F1F5F">
        <w:tc>
          <w:tcPr>
            <w:tcW w:w="4169" w:type="pct"/>
            <w:gridSpan w:val="7"/>
            <w:vAlign w:val="center"/>
          </w:tcPr>
          <w:p w:rsidR="000812E0" w:rsidRPr="00E850A7" w:rsidRDefault="000812E0" w:rsidP="00F06FC0">
            <w:pPr>
              <w:tabs>
                <w:tab w:val="right" w:pos="7513"/>
              </w:tabs>
              <w:spacing w:before="40" w:after="40"/>
              <w:rPr>
                <w:rFonts w:ascii="Arial Narrow" w:hAnsi="Arial Narrow" w:cs="Times New Roman"/>
                <w:snapToGrid w:val="0"/>
                <w:sz w:val="20"/>
              </w:rPr>
            </w:pPr>
            <w:r w:rsidRPr="00E850A7">
              <w:rPr>
                <w:rFonts w:ascii="Arial Narrow" w:hAnsi="Arial Narrow" w:cs="Times New Roman"/>
                <w:sz w:val="20"/>
              </w:rPr>
              <w:t>Pooled indirect comparison</w:t>
            </w:r>
            <w:r w:rsidRPr="00E850A7">
              <w:rPr>
                <w:rFonts w:ascii="Arial Narrow" w:hAnsi="Arial Narrow" w:cs="Times New Roman"/>
                <w:sz w:val="20"/>
              </w:rPr>
              <w:tab/>
              <w:t xml:space="preserve">Empagliflozin </w:t>
            </w:r>
            <w:r w:rsidRPr="00E850A7">
              <w:rPr>
                <w:rFonts w:ascii="Arial Narrow" w:hAnsi="Arial Narrow" w:cs="Times New Roman"/>
                <w:sz w:val="20"/>
                <w:u w:val="single"/>
              </w:rPr>
              <w:t>25 or 10 mg</w:t>
            </w:r>
            <w:r w:rsidRPr="00E850A7">
              <w:rPr>
                <w:rFonts w:ascii="Arial Narrow" w:hAnsi="Arial Narrow" w:cs="Times New Roman"/>
                <w:sz w:val="20"/>
              </w:rPr>
              <w:t xml:space="preserve"> + linagliptin 5 mg vs insulin glargine</w:t>
            </w:r>
          </w:p>
        </w:tc>
        <w:tc>
          <w:tcPr>
            <w:tcW w:w="831" w:type="pct"/>
            <w:vAlign w:val="center"/>
          </w:tcPr>
          <w:p w:rsidR="000812E0"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Times New Roman"/>
                <w:noProof/>
                <w:color w:val="000000"/>
                <w:sz w:val="20"/>
                <w:highlight w:val="black"/>
              </w:rPr>
              <w:t>''''''''''' '''''''''''''' '''''''''''</w:t>
            </w:r>
          </w:p>
        </w:tc>
      </w:tr>
    </w:tbl>
    <w:p w:rsidR="000812E0" w:rsidRPr="00E850A7" w:rsidRDefault="000812E0" w:rsidP="00F06FC0">
      <w:pPr>
        <w:pStyle w:val="TableFooter"/>
        <w:rPr>
          <w:szCs w:val="16"/>
        </w:rPr>
      </w:pPr>
      <w:r w:rsidRPr="00E850A7">
        <w:rPr>
          <w:szCs w:val="16"/>
        </w:rPr>
        <w:t>Source: Table B.</w:t>
      </w:r>
      <w:r w:rsidR="00A5271A" w:rsidRPr="00E850A7">
        <w:rPr>
          <w:szCs w:val="16"/>
        </w:rPr>
        <w:t>123</w:t>
      </w:r>
      <w:r w:rsidRPr="00E850A7">
        <w:rPr>
          <w:szCs w:val="16"/>
        </w:rPr>
        <w:t>, p.</w:t>
      </w:r>
      <w:r w:rsidR="00A5271A" w:rsidRPr="00E850A7">
        <w:rPr>
          <w:szCs w:val="16"/>
        </w:rPr>
        <w:t xml:space="preserve">355 </w:t>
      </w:r>
      <w:r w:rsidRPr="00E850A7">
        <w:rPr>
          <w:szCs w:val="16"/>
        </w:rPr>
        <w:t>of the submission. (Statistically significant results in bold</w:t>
      </w:r>
      <w:r w:rsidR="005D489A" w:rsidRPr="00E850A7">
        <w:rPr>
          <w:szCs w:val="16"/>
        </w:rPr>
        <w:t>; results presented in the March 2017 submission</w:t>
      </w:r>
      <w:r w:rsidR="00C6623E">
        <w:rPr>
          <w:szCs w:val="16"/>
        </w:rPr>
        <w:t xml:space="preserve"> are in italics</w:t>
      </w:r>
      <w:r w:rsidRPr="00E850A7">
        <w:rPr>
          <w:szCs w:val="16"/>
        </w:rPr>
        <w:t>).</w:t>
      </w:r>
    </w:p>
    <w:p w:rsidR="000812E0" w:rsidRPr="00E850A7" w:rsidRDefault="000812E0" w:rsidP="00F06FC0">
      <w:pPr>
        <w:pStyle w:val="TableFooter"/>
        <w:rPr>
          <w:szCs w:val="16"/>
        </w:rPr>
      </w:pPr>
      <w:r w:rsidRPr="00E850A7">
        <w:rPr>
          <w:szCs w:val="16"/>
        </w:rPr>
        <w:t>Abbreviations: CI, confidence interval; EMPA, empagliflozin; FAS, full analysis set; FDC, fixed dose combination; HbA1c, Glycosylated haemoglobin; LINA, linagliptin; LOCF, last observation carried forward; MET, metformin; SD, standard deviation; SITA, sitagliptin; wks, weeks.</w:t>
      </w:r>
    </w:p>
    <w:p w:rsidR="00E925FB" w:rsidRPr="00E850A7" w:rsidRDefault="007D3E52" w:rsidP="00E925FB">
      <w:pPr>
        <w:pStyle w:val="ListParagraph"/>
        <w:numPr>
          <w:ilvl w:val="1"/>
          <w:numId w:val="3"/>
        </w:numPr>
        <w:spacing w:before="0" w:after="120"/>
        <w:jc w:val="both"/>
      </w:pPr>
      <w:r w:rsidRPr="00E850A7">
        <w:t>T</w:t>
      </w:r>
      <w:r w:rsidR="000812E0" w:rsidRPr="00E850A7">
        <w:t xml:space="preserve">he pooled indirect comparison showed no statistically significant difference for empagliflozin with linagliptin FDC compared to insulin glargine, in combination with metformin, and demonstrated noninferiority compared to insulin glargine in combination with metformin. </w:t>
      </w:r>
      <w:r w:rsidR="00BD6AA3" w:rsidRPr="00E850A7">
        <w:t xml:space="preserve">However, </w:t>
      </w:r>
      <w:r w:rsidR="000812E0" w:rsidRPr="00E850A7">
        <w:t xml:space="preserve">empagliflozin 10 mg with linagliptin 5 mg FDC failed to demonstrate noninferiority to insulin glargine in change in HbA1c from baseline (upper 95% CI of the indirect comparison </w:t>
      </w:r>
      <w:r w:rsidR="005D428A">
        <w:rPr>
          <w:noProof/>
          <w:color w:val="000000"/>
          <w:highlight w:val="black"/>
        </w:rPr>
        <w:t>''''''''</w:t>
      </w:r>
      <w:r w:rsidR="000812E0" w:rsidRPr="00E850A7">
        <w:t>%, exceeded the MCID of 0.40%).</w:t>
      </w:r>
      <w:r w:rsidR="00345736">
        <w:t xml:space="preserve"> The PBAC noted that this </w:t>
      </w:r>
      <w:r w:rsidR="007D51A5">
        <w:t xml:space="preserve">is relevant </w:t>
      </w:r>
      <w:r w:rsidR="00345736">
        <w:t xml:space="preserve">given </w:t>
      </w:r>
      <w:r w:rsidR="007D51A5">
        <w:t xml:space="preserve">that the expected use of the 10mg FDC is not small; </w:t>
      </w:r>
      <w:r w:rsidR="00345736">
        <w:t xml:space="preserve">the use of the 10mg FDC in the dual setting is around 40%, </w:t>
      </w:r>
      <w:r w:rsidR="007D51A5">
        <w:t xml:space="preserve">and </w:t>
      </w:r>
      <w:r w:rsidR="00345736">
        <w:t>it would be reasonable that this strength be similarly used in the triple setting.</w:t>
      </w:r>
      <w:r w:rsidR="00E925FB">
        <w:t xml:space="preserve"> </w:t>
      </w:r>
    </w:p>
    <w:p w:rsidR="00AF47F6" w:rsidRPr="00E850A7" w:rsidRDefault="00AF47F6" w:rsidP="00FE25C2">
      <w:pPr>
        <w:spacing w:before="0" w:after="120"/>
        <w:jc w:val="both"/>
      </w:pPr>
      <w:r w:rsidRPr="00E850A7">
        <w:rPr>
          <w:u w:val="single"/>
        </w:rPr>
        <w:t>Empagliflozin with linagliptin FDC vs exenatide 2 mg weekly, in combination with metformin</w:t>
      </w:r>
    </w:p>
    <w:p w:rsidR="00C6078D" w:rsidRPr="00E850A7" w:rsidRDefault="00C6078D" w:rsidP="00FE25C2">
      <w:pPr>
        <w:pStyle w:val="ListParagraph"/>
        <w:numPr>
          <w:ilvl w:val="1"/>
          <w:numId w:val="3"/>
        </w:numPr>
        <w:spacing w:before="0" w:after="120"/>
        <w:jc w:val="both"/>
      </w:pPr>
      <w:r w:rsidRPr="00E850A7">
        <w:t xml:space="preserve">The </w:t>
      </w:r>
      <w:r w:rsidR="008467BD" w:rsidRPr="00E850A7">
        <w:rPr>
          <w:szCs w:val="24"/>
        </w:rPr>
        <w:t xml:space="preserve">Violante (2012) trial was removed from the comparison with exenatide 2 mg weekly, and the recently identified Duration 8 trial was included. </w:t>
      </w:r>
      <w:r w:rsidRPr="00E850A7">
        <w:t>This trial enable</w:t>
      </w:r>
      <w:r w:rsidR="0098784B" w:rsidRPr="00E850A7">
        <w:t>d</w:t>
      </w:r>
      <w:r w:rsidRPr="00E850A7">
        <w:t xml:space="preserve"> an indirect comparison of empagliflozin with linagliptin FDC with exenatide 2 mg weekly using an SGLT2</w:t>
      </w:r>
      <w:r w:rsidR="00697339" w:rsidRPr="00E850A7">
        <w:t xml:space="preserve"> inhibitor</w:t>
      </w:r>
      <w:r w:rsidRPr="00E850A7">
        <w:t xml:space="preserve"> as the common comparator.</w:t>
      </w:r>
    </w:p>
    <w:p w:rsidR="00217BD0" w:rsidRPr="00E850A7" w:rsidRDefault="00217BD0" w:rsidP="00217BD0">
      <w:pPr>
        <w:pStyle w:val="ListParagraph"/>
        <w:numPr>
          <w:ilvl w:val="1"/>
          <w:numId w:val="3"/>
        </w:numPr>
        <w:spacing w:before="0" w:after="120"/>
        <w:jc w:val="both"/>
      </w:pPr>
      <w:r w:rsidRPr="00E850A7">
        <w:t xml:space="preserve">In the indirect comparison, empagliflozin 25 mg with linagliptin 5 mg FDC demonstrated statistical superiority over exenatide 2 mg weekly (in combination with metformin). Empagliflozin 10 mg with linagliptin 5 mg FDC demonstrated noninferiority compared to exenatide 2 mg weekly (upper 95% CI of </w:t>
      </w:r>
      <w:r w:rsidR="005D428A">
        <w:rPr>
          <w:noProof/>
          <w:color w:val="000000"/>
          <w:highlight w:val="black"/>
        </w:rPr>
        <w:t>''''''''</w:t>
      </w:r>
      <w:r w:rsidRPr="00E850A7">
        <w:t>% less than the MCID of 0.40%). Similar results were reported in a post-hoc subgroup analysis comparing patients in the 1275.1 trial with HbA1c ≥8.0% or ≥8.5% (Table 153, p.433 of the resubmission).</w:t>
      </w:r>
    </w:p>
    <w:p w:rsidR="00AF47F6" w:rsidRPr="00E850A7" w:rsidRDefault="00AF47F6" w:rsidP="00CE077E">
      <w:pPr>
        <w:pStyle w:val="TableHeader"/>
        <w:keepNext/>
        <w:keepLines/>
        <w:widowControl/>
        <w:spacing w:after="60"/>
      </w:pPr>
      <w:r w:rsidRPr="00E850A7">
        <w:t xml:space="preserve">Table </w:t>
      </w:r>
      <w:r w:rsidR="001010D9" w:rsidRPr="00E850A7">
        <w:t>7</w:t>
      </w:r>
      <w:r w:rsidRPr="00E850A7">
        <w:t>: Mean change in HbA1c from baseline; indirect comparisons of empagliflozin with linagliptin FDC vs exenatide 2 mg weekly (with metformin; dapagliflozin/empagliflozin as common reference)</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31"/>
        <w:gridCol w:w="420"/>
        <w:gridCol w:w="1664"/>
        <w:gridCol w:w="388"/>
        <w:gridCol w:w="1629"/>
        <w:gridCol w:w="408"/>
        <w:gridCol w:w="1363"/>
        <w:gridCol w:w="1498"/>
      </w:tblGrid>
      <w:tr w:rsidR="00AF47F6" w:rsidRPr="00E850A7" w:rsidTr="00CE077E">
        <w:trPr>
          <w:cantSplit/>
          <w:tblHeader/>
        </w:trPr>
        <w:tc>
          <w:tcPr>
            <w:tcW w:w="951" w:type="pct"/>
            <w:vMerge w:val="restart"/>
            <w:vAlign w:val="center"/>
          </w:tcPr>
          <w:p w:rsidR="00AF47F6" w:rsidRPr="00E850A7" w:rsidRDefault="00AF47F6" w:rsidP="00CE077E">
            <w:pPr>
              <w:keepNext/>
              <w:keepLines/>
              <w:spacing w:before="40" w:after="40"/>
              <w:rPr>
                <w:rFonts w:ascii="Arial Narrow" w:hAnsi="Arial Narrow" w:cs="Times New Roman"/>
                <w:b/>
                <w:snapToGrid w:val="0"/>
                <w:sz w:val="20"/>
              </w:rPr>
            </w:pPr>
            <w:r w:rsidRPr="00E850A7">
              <w:rPr>
                <w:rFonts w:ascii="Arial Narrow" w:hAnsi="Arial Narrow" w:cs="Times New Roman"/>
                <w:b/>
                <w:sz w:val="20"/>
              </w:rPr>
              <w:t>Trial ID</w:t>
            </w:r>
          </w:p>
        </w:tc>
        <w:tc>
          <w:tcPr>
            <w:tcW w:w="3226" w:type="pct"/>
            <w:gridSpan w:val="6"/>
            <w:vAlign w:val="center"/>
          </w:tcPr>
          <w:p w:rsidR="00AF47F6" w:rsidRPr="00E850A7" w:rsidRDefault="00AF47F6" w:rsidP="00CE077E">
            <w:pPr>
              <w:keepNext/>
              <w:keepLines/>
              <w:spacing w:before="40" w:after="40"/>
              <w:jc w:val="center"/>
              <w:rPr>
                <w:rFonts w:ascii="Arial Narrow" w:hAnsi="Arial Narrow" w:cs="Times New Roman"/>
                <w:b/>
                <w:snapToGrid w:val="0"/>
                <w:sz w:val="20"/>
              </w:rPr>
            </w:pPr>
            <w:r w:rsidRPr="00E850A7">
              <w:rPr>
                <w:rFonts w:ascii="Arial Narrow" w:hAnsi="Arial Narrow"/>
                <w:b/>
                <w:sz w:val="20"/>
              </w:rPr>
              <w:t>Mean change in HbA1c from baseline % (SD)</w:t>
            </w:r>
          </w:p>
        </w:tc>
        <w:tc>
          <w:tcPr>
            <w:tcW w:w="823" w:type="pct"/>
            <w:vMerge w:val="restart"/>
            <w:vAlign w:val="center"/>
          </w:tcPr>
          <w:p w:rsidR="00AF47F6" w:rsidRPr="00E850A7" w:rsidRDefault="00AF47F6" w:rsidP="00CE077E">
            <w:pPr>
              <w:keepNext/>
              <w:keepLines/>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AF47F6" w:rsidRPr="00E850A7" w:rsidRDefault="00AF47F6" w:rsidP="00CE077E">
            <w:pPr>
              <w:keepNext/>
              <w:keepLines/>
              <w:spacing w:before="40" w:after="40"/>
              <w:jc w:val="center"/>
              <w:rPr>
                <w:rFonts w:ascii="Arial Narrow" w:hAnsi="Arial Narrow" w:cs="Times New Roman"/>
                <w:b/>
                <w:sz w:val="20"/>
              </w:rPr>
            </w:pPr>
            <w:r w:rsidRPr="00E850A7">
              <w:rPr>
                <w:rFonts w:ascii="Arial Narrow" w:hAnsi="Arial Narrow" w:cs="Times New Roman"/>
                <w:b/>
                <w:sz w:val="20"/>
              </w:rPr>
              <w:t>mean change</w:t>
            </w:r>
          </w:p>
          <w:p w:rsidR="00AF47F6" w:rsidRPr="00E850A7" w:rsidRDefault="00AF47F6" w:rsidP="00CE077E">
            <w:pPr>
              <w:keepNext/>
              <w:keepLines/>
              <w:spacing w:before="40" w:after="40"/>
              <w:jc w:val="center"/>
              <w:rPr>
                <w:rFonts w:ascii="Arial Narrow" w:hAnsi="Arial Narrow" w:cs="Times New Roman"/>
                <w:snapToGrid w:val="0"/>
                <w:sz w:val="20"/>
              </w:rPr>
            </w:pPr>
            <w:r w:rsidRPr="00E850A7">
              <w:rPr>
                <w:rFonts w:ascii="Arial Narrow" w:hAnsi="Arial Narrow" w:cs="Times New Roman"/>
                <w:b/>
                <w:sz w:val="20"/>
              </w:rPr>
              <w:t>(95% CI)</w:t>
            </w:r>
          </w:p>
        </w:tc>
      </w:tr>
      <w:tr w:rsidR="00AF47F6" w:rsidRPr="00E850A7" w:rsidTr="00CE077E">
        <w:trPr>
          <w:cantSplit/>
          <w:tblHeader/>
        </w:trPr>
        <w:tc>
          <w:tcPr>
            <w:tcW w:w="951" w:type="pct"/>
            <w:vMerge/>
            <w:vAlign w:val="center"/>
          </w:tcPr>
          <w:p w:rsidR="00AF47F6" w:rsidRPr="00E850A7" w:rsidRDefault="00AF47F6" w:rsidP="00CE077E">
            <w:pPr>
              <w:keepNext/>
              <w:keepLines/>
              <w:spacing w:before="40" w:after="40"/>
              <w:rPr>
                <w:rFonts w:ascii="Arial Narrow" w:hAnsi="Arial Narrow" w:cs="Times New Roman"/>
                <w:snapToGrid w:val="0"/>
                <w:sz w:val="20"/>
              </w:rPr>
            </w:pPr>
          </w:p>
        </w:tc>
        <w:tc>
          <w:tcPr>
            <w:tcW w:w="231" w:type="pct"/>
            <w:vAlign w:val="center"/>
          </w:tcPr>
          <w:p w:rsidR="00AF47F6" w:rsidRPr="00E850A7" w:rsidRDefault="00FF24BB" w:rsidP="00CE077E">
            <w:pPr>
              <w:keepNext/>
              <w:keepLines/>
              <w:spacing w:before="40" w:after="40"/>
              <w:jc w:val="center"/>
              <w:rPr>
                <w:rFonts w:ascii="Arial Narrow" w:hAnsi="Arial Narrow" w:cs="Times New Roman"/>
                <w:b/>
                <w:snapToGrid w:val="0"/>
                <w:sz w:val="20"/>
              </w:rPr>
            </w:pPr>
            <w:r w:rsidRPr="00E850A7">
              <w:rPr>
                <w:rFonts w:ascii="Arial Narrow" w:hAnsi="Arial Narrow"/>
                <w:b/>
                <w:sz w:val="20"/>
              </w:rPr>
              <w:t>N</w:t>
            </w:r>
          </w:p>
        </w:tc>
        <w:tc>
          <w:tcPr>
            <w:tcW w:w="914" w:type="pct"/>
            <w:vAlign w:val="center"/>
          </w:tcPr>
          <w:p w:rsidR="00AF47F6" w:rsidRPr="00E850A7" w:rsidRDefault="00AF47F6" w:rsidP="00CE077E">
            <w:pPr>
              <w:keepNext/>
              <w:keepLines/>
              <w:spacing w:before="40" w:after="40"/>
              <w:ind w:left="-66" w:right="-66"/>
              <w:jc w:val="center"/>
              <w:rPr>
                <w:rFonts w:ascii="Arial Narrow" w:hAnsi="Arial Narrow" w:cs="Times New Roman"/>
                <w:b/>
                <w:sz w:val="20"/>
              </w:rPr>
            </w:pPr>
            <w:r w:rsidRPr="00E850A7">
              <w:rPr>
                <w:rFonts w:ascii="Arial Narrow" w:hAnsi="Arial Narrow" w:cs="Times New Roman"/>
                <w:b/>
                <w:sz w:val="20"/>
              </w:rPr>
              <w:t xml:space="preserve">MET + EMPA 25 mg </w:t>
            </w:r>
          </w:p>
          <w:p w:rsidR="00AF47F6" w:rsidRPr="00E850A7" w:rsidRDefault="00AF47F6" w:rsidP="00CE077E">
            <w:pPr>
              <w:keepNext/>
              <w:keepLines/>
              <w:spacing w:before="40" w:after="40"/>
              <w:jc w:val="center"/>
              <w:rPr>
                <w:rFonts w:ascii="Arial Narrow" w:hAnsi="Arial Narrow" w:cs="Times New Roman"/>
                <w:b/>
                <w:snapToGrid w:val="0"/>
                <w:sz w:val="20"/>
              </w:rPr>
            </w:pPr>
            <w:r w:rsidRPr="00E850A7">
              <w:rPr>
                <w:rFonts w:ascii="Arial Narrow" w:hAnsi="Arial Narrow" w:cs="Times New Roman"/>
                <w:b/>
                <w:sz w:val="20"/>
              </w:rPr>
              <w:t>+ LINA 5 mg</w:t>
            </w:r>
          </w:p>
        </w:tc>
        <w:tc>
          <w:tcPr>
            <w:tcW w:w="213" w:type="pct"/>
            <w:vAlign w:val="center"/>
          </w:tcPr>
          <w:p w:rsidR="00AF47F6" w:rsidRPr="00E850A7" w:rsidRDefault="00AF47F6" w:rsidP="00CE077E">
            <w:pPr>
              <w:keepNext/>
              <w:keepLines/>
              <w:spacing w:before="40" w:after="40"/>
              <w:jc w:val="center"/>
              <w:rPr>
                <w:rFonts w:ascii="Arial Narrow" w:hAnsi="Arial Narrow" w:cs="Times New Roman"/>
                <w:b/>
                <w:snapToGrid w:val="0"/>
                <w:sz w:val="20"/>
              </w:rPr>
            </w:pPr>
            <w:r w:rsidRPr="00E850A7">
              <w:rPr>
                <w:rFonts w:ascii="Arial Narrow" w:hAnsi="Arial Narrow"/>
                <w:b/>
                <w:sz w:val="20"/>
              </w:rPr>
              <w:t>n</w:t>
            </w:r>
          </w:p>
        </w:tc>
        <w:tc>
          <w:tcPr>
            <w:tcW w:w="895" w:type="pct"/>
            <w:vAlign w:val="center"/>
          </w:tcPr>
          <w:p w:rsidR="00AF47F6" w:rsidRPr="00E850A7" w:rsidRDefault="00AF47F6" w:rsidP="00CE077E">
            <w:pPr>
              <w:keepNext/>
              <w:keepLines/>
              <w:spacing w:before="40" w:after="40"/>
              <w:jc w:val="center"/>
              <w:rPr>
                <w:rFonts w:ascii="Arial Narrow" w:hAnsi="Arial Narrow" w:cs="Times New Roman"/>
                <w:b/>
                <w:snapToGrid w:val="0"/>
                <w:sz w:val="20"/>
              </w:rPr>
            </w:pPr>
            <w:r w:rsidRPr="00E850A7">
              <w:rPr>
                <w:rFonts w:ascii="Arial Narrow" w:hAnsi="Arial Narrow" w:cs="Times New Roman"/>
                <w:b/>
                <w:sz w:val="20"/>
              </w:rPr>
              <w:t>MET + EMPA 25 mg or DAPA</w:t>
            </w:r>
            <w:r w:rsidR="005D489A" w:rsidRPr="00E850A7">
              <w:rPr>
                <w:rFonts w:ascii="Arial Narrow" w:hAnsi="Arial Narrow" w:cs="Times New Roman"/>
                <w:b/>
                <w:sz w:val="20"/>
              </w:rPr>
              <w:t xml:space="preserve"> 10 mg</w:t>
            </w:r>
            <w:r w:rsidR="0040678F" w:rsidRPr="00E850A7">
              <w:rPr>
                <w:rFonts w:ascii="Arial Narrow" w:hAnsi="Arial Narrow" w:cs="Times New Roman"/>
                <w:b/>
                <w:sz w:val="20"/>
              </w:rPr>
              <w:t>*</w:t>
            </w:r>
          </w:p>
        </w:tc>
        <w:tc>
          <w:tcPr>
            <w:tcW w:w="224" w:type="pct"/>
            <w:vAlign w:val="center"/>
          </w:tcPr>
          <w:p w:rsidR="00AF47F6" w:rsidRPr="00E850A7" w:rsidRDefault="00857594" w:rsidP="00CE077E">
            <w:pPr>
              <w:keepNext/>
              <w:keepLines/>
              <w:spacing w:before="40" w:after="40"/>
              <w:jc w:val="center"/>
              <w:rPr>
                <w:rFonts w:ascii="Arial Narrow" w:hAnsi="Arial Narrow" w:cs="Times New Roman"/>
                <w:b/>
                <w:snapToGrid w:val="0"/>
                <w:sz w:val="20"/>
              </w:rPr>
            </w:pPr>
            <w:r w:rsidRPr="00E850A7">
              <w:rPr>
                <w:rFonts w:ascii="Arial Narrow" w:hAnsi="Arial Narrow"/>
                <w:b/>
                <w:sz w:val="20"/>
              </w:rPr>
              <w:t>N</w:t>
            </w:r>
          </w:p>
        </w:tc>
        <w:tc>
          <w:tcPr>
            <w:tcW w:w="749" w:type="pct"/>
            <w:vAlign w:val="center"/>
          </w:tcPr>
          <w:p w:rsidR="00AF47F6" w:rsidRPr="00E850A7" w:rsidRDefault="00AF47F6" w:rsidP="00CE077E">
            <w:pPr>
              <w:keepNext/>
              <w:keepLines/>
              <w:spacing w:before="40" w:after="40"/>
              <w:jc w:val="center"/>
              <w:rPr>
                <w:rFonts w:ascii="Arial Narrow" w:hAnsi="Arial Narrow" w:cs="Times New Roman"/>
                <w:b/>
                <w:snapToGrid w:val="0"/>
                <w:sz w:val="20"/>
              </w:rPr>
            </w:pPr>
            <w:r w:rsidRPr="00E850A7">
              <w:rPr>
                <w:rFonts w:ascii="Arial Narrow" w:hAnsi="Arial Narrow" w:cs="Times New Roman"/>
                <w:b/>
                <w:sz w:val="20"/>
              </w:rPr>
              <w:t>MET + EXE 2 mg</w:t>
            </w:r>
          </w:p>
        </w:tc>
        <w:tc>
          <w:tcPr>
            <w:tcW w:w="823" w:type="pct"/>
            <w:vMerge/>
            <w:vAlign w:val="center"/>
          </w:tcPr>
          <w:p w:rsidR="00AF47F6" w:rsidRPr="00E850A7" w:rsidRDefault="00AF47F6" w:rsidP="00CE077E">
            <w:pPr>
              <w:keepNext/>
              <w:keepLines/>
              <w:spacing w:before="40" w:after="40"/>
              <w:rPr>
                <w:rFonts w:ascii="Arial Narrow" w:hAnsi="Arial Narrow" w:cs="Times New Roman"/>
                <w:snapToGrid w:val="0"/>
                <w:sz w:val="20"/>
              </w:rPr>
            </w:pPr>
          </w:p>
        </w:tc>
      </w:tr>
      <w:tr w:rsidR="00AF47F6" w:rsidRPr="00E850A7" w:rsidTr="009F1F5F">
        <w:tc>
          <w:tcPr>
            <w:tcW w:w="951"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z w:val="20"/>
              </w:rPr>
              <w:t>1275.1 (24 wks)</w:t>
            </w:r>
          </w:p>
        </w:tc>
        <w:tc>
          <w:tcPr>
            <w:tcW w:w="231"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133</w:t>
            </w:r>
          </w:p>
        </w:tc>
        <w:tc>
          <w:tcPr>
            <w:tcW w:w="914"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-1.20 (0.69)</w:t>
            </w:r>
          </w:p>
        </w:tc>
        <w:tc>
          <w:tcPr>
            <w:tcW w:w="213"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128</w:t>
            </w:r>
          </w:p>
        </w:tc>
        <w:tc>
          <w:tcPr>
            <w:tcW w:w="895"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-0.64 (0.71)</w:t>
            </w:r>
          </w:p>
        </w:tc>
        <w:tc>
          <w:tcPr>
            <w:tcW w:w="224"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749"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8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z w:val="20"/>
              </w:rPr>
              <w:t>-0.56 (-0.74, -0.39)</w:t>
            </w:r>
          </w:p>
        </w:tc>
      </w:tr>
      <w:tr w:rsidR="00AF47F6" w:rsidRPr="00E850A7" w:rsidTr="009F1F5F">
        <w:tc>
          <w:tcPr>
            <w:tcW w:w="951"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z w:val="20"/>
              </w:rPr>
              <w:t>Duration 8 (28 wks)</w:t>
            </w:r>
          </w:p>
        </w:tc>
        <w:tc>
          <w:tcPr>
            <w:tcW w:w="2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914"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21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198</w:t>
            </w:r>
          </w:p>
        </w:tc>
        <w:tc>
          <w:tcPr>
            <w:tcW w:w="89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-1.40 (1.44)</w:t>
            </w:r>
          </w:p>
        </w:tc>
        <w:tc>
          <w:tcPr>
            <w:tcW w:w="224"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192</w:t>
            </w:r>
          </w:p>
        </w:tc>
        <w:tc>
          <w:tcPr>
            <w:tcW w:w="749"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-1.60 (1.41)</w:t>
            </w:r>
          </w:p>
        </w:tc>
        <w:tc>
          <w:tcPr>
            <w:tcW w:w="8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-0.20 (-0.48, 0.08)</w:t>
            </w:r>
          </w:p>
        </w:tc>
      </w:tr>
      <w:tr w:rsidR="00AF47F6" w:rsidRPr="00E850A7" w:rsidTr="009F1F5F">
        <w:tc>
          <w:tcPr>
            <w:tcW w:w="4177" w:type="pct"/>
            <w:gridSpan w:val="7"/>
          </w:tcPr>
          <w:p w:rsidR="00AF47F6" w:rsidRPr="00E850A7" w:rsidRDefault="00AF47F6" w:rsidP="00F06FC0">
            <w:pPr>
              <w:tabs>
                <w:tab w:val="right" w:pos="7532"/>
              </w:tabs>
              <w:spacing w:before="40" w:after="40"/>
              <w:rPr>
                <w:rFonts w:ascii="Arial Narrow" w:hAnsi="Arial Narrow" w:cs="Times New Roman"/>
                <w:snapToGrid w:val="0"/>
                <w:sz w:val="20"/>
              </w:rPr>
            </w:pPr>
            <w:r w:rsidRPr="00E850A7">
              <w:rPr>
                <w:rFonts w:ascii="Arial Narrow" w:hAnsi="Arial Narrow" w:cs="Times New Roman"/>
                <w:sz w:val="20"/>
              </w:rPr>
              <w:t xml:space="preserve">Indirect comparisons (24 wks) </w:t>
            </w:r>
            <w:r w:rsidRPr="00E850A7">
              <w:rPr>
                <w:rFonts w:ascii="Arial Narrow" w:hAnsi="Arial Narrow" w:cs="Times New Roman"/>
                <w:sz w:val="20"/>
              </w:rPr>
              <w:tab/>
              <w:t>empagliflozin 25 mg + linagliptin 5 mg vs exenatide 2 mg</w:t>
            </w:r>
          </w:p>
        </w:tc>
        <w:tc>
          <w:tcPr>
            <w:tcW w:w="823" w:type="pct"/>
            <w:vAlign w:val="center"/>
          </w:tcPr>
          <w:p w:rsidR="00AF47F6"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Times New Roman"/>
                <w:b/>
                <w:noProof/>
                <w:color w:val="000000"/>
                <w:sz w:val="20"/>
                <w:highlight w:val="black"/>
              </w:rPr>
              <w:t>'''''''''' '''''''''''' ''''''''''''</w:t>
            </w:r>
          </w:p>
        </w:tc>
      </w:tr>
    </w:tbl>
    <w:p w:rsidR="00AF47F6" w:rsidRPr="00E850A7" w:rsidRDefault="00AF47F6" w:rsidP="00F06FC0">
      <w:pPr>
        <w:spacing w:before="0" w:after="0"/>
        <w:rPr>
          <w:rFonts w:ascii="Arial Narrow" w:hAnsi="Arial Narrow" w:cs="Times New Roman"/>
          <w:snapToGrid w:val="0"/>
          <w:sz w:val="2"/>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30"/>
        <w:gridCol w:w="420"/>
        <w:gridCol w:w="1665"/>
        <w:gridCol w:w="388"/>
        <w:gridCol w:w="1625"/>
        <w:gridCol w:w="406"/>
        <w:gridCol w:w="1365"/>
        <w:gridCol w:w="1502"/>
      </w:tblGrid>
      <w:tr w:rsidR="00AF47F6" w:rsidRPr="00E850A7" w:rsidTr="009F1F5F">
        <w:tc>
          <w:tcPr>
            <w:tcW w:w="950" w:type="pct"/>
            <w:vAlign w:val="center"/>
          </w:tcPr>
          <w:p w:rsidR="00AF47F6" w:rsidRPr="00E850A7" w:rsidRDefault="00AF47F6" w:rsidP="00F06FC0">
            <w:pPr>
              <w:spacing w:before="40" w:after="40"/>
              <w:rPr>
                <w:rFonts w:ascii="Arial Narrow" w:hAnsi="Arial Narrow" w:cs="Times New Roman"/>
                <w:snapToGrid w:val="0"/>
                <w:sz w:val="20"/>
              </w:rPr>
            </w:pPr>
          </w:p>
        </w:tc>
        <w:tc>
          <w:tcPr>
            <w:tcW w:w="231" w:type="pct"/>
            <w:vAlign w:val="center"/>
          </w:tcPr>
          <w:p w:rsidR="00AF47F6" w:rsidRPr="00E850A7" w:rsidRDefault="00FF24BB" w:rsidP="00F06FC0">
            <w:pPr>
              <w:spacing w:before="40" w:after="40"/>
              <w:jc w:val="center"/>
              <w:rPr>
                <w:rFonts w:ascii="Arial Narrow" w:hAnsi="Arial Narrow" w:cs="Times New Roman"/>
                <w:b/>
                <w:snapToGrid w:val="0"/>
                <w:sz w:val="20"/>
              </w:rPr>
            </w:pPr>
            <w:r w:rsidRPr="00E850A7">
              <w:rPr>
                <w:rFonts w:ascii="Arial Narrow" w:hAnsi="Arial Narrow"/>
                <w:b/>
                <w:sz w:val="20"/>
              </w:rPr>
              <w:t>N</w:t>
            </w:r>
          </w:p>
        </w:tc>
        <w:tc>
          <w:tcPr>
            <w:tcW w:w="915" w:type="pct"/>
            <w:vAlign w:val="center"/>
          </w:tcPr>
          <w:p w:rsidR="00AF47F6" w:rsidRPr="00E850A7" w:rsidRDefault="00AF47F6" w:rsidP="00F06FC0">
            <w:pPr>
              <w:spacing w:before="40" w:after="40"/>
              <w:ind w:left="-66" w:right="-66"/>
              <w:jc w:val="center"/>
              <w:rPr>
                <w:rFonts w:ascii="Arial Narrow" w:hAnsi="Arial Narrow" w:cs="Times New Roman"/>
                <w:b/>
                <w:sz w:val="20"/>
              </w:rPr>
            </w:pPr>
            <w:r w:rsidRPr="00E850A7">
              <w:rPr>
                <w:rFonts w:ascii="Arial Narrow" w:hAnsi="Arial Narrow" w:cs="Times New Roman"/>
                <w:b/>
                <w:sz w:val="20"/>
              </w:rPr>
              <w:t xml:space="preserve">MET + EMPA 10 mg </w:t>
            </w:r>
          </w:p>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cs="Times New Roman"/>
                <w:b/>
                <w:sz w:val="20"/>
              </w:rPr>
              <w:t>+ LINA 5 mg</w:t>
            </w:r>
          </w:p>
        </w:tc>
        <w:tc>
          <w:tcPr>
            <w:tcW w:w="213" w:type="pct"/>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z w:val="20"/>
              </w:rPr>
              <w:t>n</w:t>
            </w:r>
          </w:p>
        </w:tc>
        <w:tc>
          <w:tcPr>
            <w:tcW w:w="893" w:type="pct"/>
            <w:vAlign w:val="center"/>
          </w:tcPr>
          <w:p w:rsidR="00AF47F6" w:rsidRPr="00E850A7" w:rsidRDefault="00AF47F6" w:rsidP="00F06FC0">
            <w:pPr>
              <w:spacing w:before="40" w:after="40"/>
              <w:ind w:left="-26" w:right="-15"/>
              <w:jc w:val="center"/>
              <w:rPr>
                <w:rFonts w:ascii="Arial Narrow" w:hAnsi="Arial Narrow" w:cs="Times New Roman"/>
                <w:b/>
                <w:snapToGrid w:val="0"/>
                <w:sz w:val="20"/>
              </w:rPr>
            </w:pPr>
            <w:r w:rsidRPr="00E850A7">
              <w:rPr>
                <w:rFonts w:ascii="Arial Narrow" w:hAnsi="Arial Narrow" w:cs="Times New Roman"/>
                <w:b/>
                <w:sz w:val="20"/>
              </w:rPr>
              <w:t xml:space="preserve">MET + EMPA 10 mg </w:t>
            </w:r>
            <w:r w:rsidRPr="00E850A7">
              <w:rPr>
                <w:rFonts w:ascii="Arial Narrow" w:hAnsi="Arial Narrow" w:cs="Times New Roman"/>
                <w:b/>
                <w:sz w:val="20"/>
              </w:rPr>
              <w:br/>
              <w:t>or DAPA</w:t>
            </w:r>
            <w:r w:rsidR="005D489A" w:rsidRPr="00E850A7">
              <w:rPr>
                <w:rFonts w:ascii="Arial Narrow" w:hAnsi="Arial Narrow" w:cs="Times New Roman"/>
                <w:b/>
                <w:sz w:val="20"/>
              </w:rPr>
              <w:t xml:space="preserve"> 10 mg</w:t>
            </w:r>
            <w:r w:rsidR="00E26C73" w:rsidRPr="00E850A7">
              <w:rPr>
                <w:rFonts w:ascii="Arial Narrow" w:hAnsi="Arial Narrow" w:cs="Times New Roman"/>
                <w:b/>
                <w:sz w:val="20"/>
              </w:rPr>
              <w:t>*</w:t>
            </w:r>
          </w:p>
        </w:tc>
        <w:tc>
          <w:tcPr>
            <w:tcW w:w="223" w:type="pct"/>
            <w:vAlign w:val="center"/>
          </w:tcPr>
          <w:p w:rsidR="00AF47F6" w:rsidRPr="00E850A7" w:rsidRDefault="00857594" w:rsidP="00F06FC0">
            <w:pPr>
              <w:spacing w:before="40" w:after="40"/>
              <w:jc w:val="center"/>
              <w:rPr>
                <w:rFonts w:ascii="Arial Narrow" w:hAnsi="Arial Narrow" w:cs="Times New Roman"/>
                <w:b/>
                <w:snapToGrid w:val="0"/>
                <w:sz w:val="20"/>
              </w:rPr>
            </w:pPr>
            <w:r w:rsidRPr="00E850A7">
              <w:rPr>
                <w:rFonts w:ascii="Arial Narrow" w:hAnsi="Arial Narrow"/>
                <w:b/>
                <w:sz w:val="20"/>
              </w:rPr>
              <w:t>N</w:t>
            </w:r>
          </w:p>
        </w:tc>
        <w:tc>
          <w:tcPr>
            <w:tcW w:w="749" w:type="pct"/>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cs="Times New Roman"/>
                <w:b/>
                <w:sz w:val="20"/>
              </w:rPr>
              <w:t>MET + EXE 2 mg</w:t>
            </w:r>
          </w:p>
        </w:tc>
        <w:tc>
          <w:tcPr>
            <w:tcW w:w="825" w:type="pct"/>
            <w:vAlign w:val="center"/>
          </w:tcPr>
          <w:p w:rsidR="00AF47F6" w:rsidRPr="00E850A7" w:rsidRDefault="00AF47F6" w:rsidP="00F06FC0">
            <w:pPr>
              <w:spacing w:before="40" w:after="40"/>
              <w:rPr>
                <w:rFonts w:ascii="Arial Narrow" w:hAnsi="Arial Narrow" w:cs="Times New Roman"/>
                <w:snapToGrid w:val="0"/>
                <w:sz w:val="20"/>
              </w:rPr>
            </w:pPr>
          </w:p>
        </w:tc>
      </w:tr>
      <w:tr w:rsidR="00AF47F6" w:rsidRPr="00E850A7" w:rsidTr="009F1F5F">
        <w:tc>
          <w:tcPr>
            <w:tcW w:w="950"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z w:val="20"/>
              </w:rPr>
              <w:t>1275.1 (24 wks)</w:t>
            </w:r>
          </w:p>
        </w:tc>
        <w:tc>
          <w:tcPr>
            <w:tcW w:w="2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135</w:t>
            </w:r>
          </w:p>
        </w:tc>
        <w:tc>
          <w:tcPr>
            <w:tcW w:w="9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-1.09 (0.70)</w:t>
            </w:r>
          </w:p>
        </w:tc>
        <w:tc>
          <w:tcPr>
            <w:tcW w:w="21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128</w:t>
            </w:r>
          </w:p>
        </w:tc>
        <w:tc>
          <w:tcPr>
            <w:tcW w:w="89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-0.68 (0.70)</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749"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82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z w:val="20"/>
              </w:rPr>
              <w:t>-0.41 (-0.58, -0.23)</w:t>
            </w:r>
          </w:p>
        </w:tc>
      </w:tr>
      <w:tr w:rsidR="00AF47F6" w:rsidRPr="00E850A7" w:rsidTr="009F1F5F">
        <w:tc>
          <w:tcPr>
            <w:tcW w:w="950"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z w:val="20"/>
              </w:rPr>
              <w:t>Duration 8 (28 wks)</w:t>
            </w:r>
          </w:p>
        </w:tc>
        <w:tc>
          <w:tcPr>
            <w:tcW w:w="2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9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z w:val="20"/>
              </w:rPr>
              <w:t>-</w:t>
            </w:r>
          </w:p>
        </w:tc>
        <w:tc>
          <w:tcPr>
            <w:tcW w:w="21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198</w:t>
            </w:r>
          </w:p>
        </w:tc>
        <w:tc>
          <w:tcPr>
            <w:tcW w:w="89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-1.40 (1.44)</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192</w:t>
            </w:r>
          </w:p>
        </w:tc>
        <w:tc>
          <w:tcPr>
            <w:tcW w:w="749"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-1.60 (1.41)</w:t>
            </w:r>
          </w:p>
        </w:tc>
        <w:tc>
          <w:tcPr>
            <w:tcW w:w="82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sz w:val="20"/>
              </w:rPr>
              <w:t>-0.20 (-0.48, 0.08)</w:t>
            </w:r>
          </w:p>
        </w:tc>
      </w:tr>
      <w:tr w:rsidR="00AF47F6" w:rsidRPr="00E850A7" w:rsidTr="009F1F5F">
        <w:tc>
          <w:tcPr>
            <w:tcW w:w="4175" w:type="pct"/>
            <w:gridSpan w:val="7"/>
          </w:tcPr>
          <w:p w:rsidR="00AF47F6" w:rsidRPr="00E850A7" w:rsidRDefault="00AF47F6" w:rsidP="00A124F1">
            <w:pPr>
              <w:tabs>
                <w:tab w:val="right" w:pos="7513"/>
              </w:tabs>
              <w:spacing w:before="40" w:after="40"/>
              <w:rPr>
                <w:rFonts w:ascii="Arial Narrow" w:hAnsi="Arial Narrow" w:cs="Times New Roman"/>
                <w:snapToGrid w:val="0"/>
                <w:sz w:val="20"/>
              </w:rPr>
            </w:pPr>
            <w:r w:rsidRPr="00E850A7">
              <w:rPr>
                <w:rFonts w:ascii="Arial Narrow" w:hAnsi="Arial Narrow" w:cs="Times New Roman"/>
                <w:sz w:val="20"/>
              </w:rPr>
              <w:t xml:space="preserve">Indirect comparisons (24 wks) </w:t>
            </w:r>
            <w:r w:rsidRPr="00E850A7">
              <w:rPr>
                <w:rFonts w:ascii="Arial Narrow" w:hAnsi="Arial Narrow" w:cs="Times New Roman"/>
                <w:sz w:val="20"/>
              </w:rPr>
              <w:tab/>
              <w:t xml:space="preserve">empagliflozin </w:t>
            </w:r>
            <w:r w:rsidR="00A124F1" w:rsidRPr="00E850A7">
              <w:rPr>
                <w:rFonts w:ascii="Arial Narrow" w:hAnsi="Arial Narrow" w:cs="Times New Roman"/>
                <w:sz w:val="20"/>
              </w:rPr>
              <w:t xml:space="preserve">10  </w:t>
            </w:r>
            <w:r w:rsidRPr="00E850A7">
              <w:rPr>
                <w:rFonts w:ascii="Arial Narrow" w:hAnsi="Arial Narrow" w:cs="Times New Roman"/>
                <w:sz w:val="20"/>
              </w:rPr>
              <w:t>mg + linagliptin 5 mg vs exenatide 2 mg</w:t>
            </w:r>
          </w:p>
        </w:tc>
        <w:tc>
          <w:tcPr>
            <w:tcW w:w="825" w:type="pct"/>
            <w:vAlign w:val="center"/>
          </w:tcPr>
          <w:p w:rsidR="00AF47F6"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Times New Roman"/>
                <w:noProof/>
                <w:color w:val="000000"/>
                <w:sz w:val="20"/>
                <w:highlight w:val="black"/>
              </w:rPr>
              <w:t>''''''''''' ''''''''''''''' ''''''''''''''</w:t>
            </w:r>
          </w:p>
        </w:tc>
      </w:tr>
    </w:tbl>
    <w:p w:rsidR="00AF47F6" w:rsidRPr="00E850A7" w:rsidRDefault="00AF47F6" w:rsidP="00F06FC0">
      <w:pPr>
        <w:pStyle w:val="TableFooter"/>
        <w:rPr>
          <w:szCs w:val="16"/>
        </w:rPr>
      </w:pPr>
      <w:r w:rsidRPr="00E850A7">
        <w:rPr>
          <w:szCs w:val="16"/>
        </w:rPr>
        <w:t>Source: Table B.160, pp.451-452 of the resubmission. (Statistically significant results in bold).</w:t>
      </w:r>
    </w:p>
    <w:p w:rsidR="00AF47F6" w:rsidRPr="00E850A7" w:rsidRDefault="00AF47F6" w:rsidP="00F06FC0">
      <w:pPr>
        <w:pStyle w:val="TableFooter"/>
        <w:rPr>
          <w:szCs w:val="16"/>
        </w:rPr>
      </w:pPr>
      <w:r w:rsidRPr="00E850A7">
        <w:rPr>
          <w:szCs w:val="16"/>
        </w:rPr>
        <w:t>Note: Standard deviation and weight mean difference calculated post hoc for the submission.</w:t>
      </w:r>
    </w:p>
    <w:p w:rsidR="00AF47F6" w:rsidRPr="00E850A7" w:rsidRDefault="00AF47F6" w:rsidP="00F06FC0">
      <w:pPr>
        <w:pStyle w:val="TableFooter"/>
        <w:rPr>
          <w:szCs w:val="16"/>
        </w:rPr>
      </w:pPr>
      <w:r w:rsidRPr="00E850A7">
        <w:rPr>
          <w:szCs w:val="16"/>
        </w:rPr>
        <w:t>Abbreviations: CI, confidence interval; DAPA, dapagliflozin; EMPA, empagliflozin; EXE, exenatide; FDC, fixed dose combination; HbA1c, Glycosylated haemoglobin; LINA, linagliptin; MET, metformin; SD, standard deviation; SITA, sitagliptin; wks, weeks.</w:t>
      </w:r>
    </w:p>
    <w:p w:rsidR="0040678F" w:rsidRPr="00E850A7" w:rsidRDefault="0040678F" w:rsidP="00F06FC0">
      <w:pPr>
        <w:pStyle w:val="TableFooter"/>
        <w:rPr>
          <w:szCs w:val="16"/>
        </w:rPr>
      </w:pPr>
      <w:r w:rsidRPr="00E850A7">
        <w:rPr>
          <w:szCs w:val="16"/>
        </w:rPr>
        <w:t xml:space="preserve">* Common reference empagliflozin 25 mg </w:t>
      </w:r>
      <w:r w:rsidR="005D489A" w:rsidRPr="00E850A7">
        <w:rPr>
          <w:szCs w:val="16"/>
        </w:rPr>
        <w:t xml:space="preserve">or 10 mg </w:t>
      </w:r>
      <w:r w:rsidRPr="00E850A7">
        <w:rPr>
          <w:szCs w:val="16"/>
        </w:rPr>
        <w:t>in Trial 1275.1 and dapagliflozin</w:t>
      </w:r>
      <w:r w:rsidR="005D489A" w:rsidRPr="00E850A7">
        <w:rPr>
          <w:szCs w:val="16"/>
        </w:rPr>
        <w:t xml:space="preserve"> 10 mg</w:t>
      </w:r>
      <w:r w:rsidRPr="00E850A7">
        <w:rPr>
          <w:szCs w:val="16"/>
        </w:rPr>
        <w:t xml:space="preserve"> in Duration 8.</w:t>
      </w:r>
    </w:p>
    <w:p w:rsidR="000C06A8" w:rsidRPr="00E850A7" w:rsidRDefault="00AF47F6" w:rsidP="00FE25C2">
      <w:pPr>
        <w:pStyle w:val="ListParagraph"/>
        <w:numPr>
          <w:ilvl w:val="1"/>
          <w:numId w:val="3"/>
        </w:numPr>
        <w:spacing w:before="0" w:after="120"/>
        <w:jc w:val="both"/>
      </w:pPr>
      <w:r w:rsidRPr="00E850A7">
        <w:t xml:space="preserve">Overall, the results of this indirect comparison of empagliflozin with linagliptin FDC versus exenatide 2 mg once weekly (in combination with metformin) generally favoured empagliflozin with linagliptin FDC. However, there were large differences in the magnitude of effect between common reference arms in the indirect comparison, and differences in baseline HbA1c between the 1275.1 (7.9% HbA1c) and Duration 8 trials (9.3% HbA1c), consistent with the inclusion criteria for each trial.  </w:t>
      </w:r>
      <w:r w:rsidR="00CC1094" w:rsidRPr="00E850A7">
        <w:t>The indirect analysis based on a defined subgroup (for patients with HbA1c &gt;8.5%) which showed closer baseline values and treatment effects</w:t>
      </w:r>
      <w:r w:rsidR="00B134D1" w:rsidRPr="00E850A7">
        <w:t xml:space="preserve"> between trials</w:t>
      </w:r>
      <w:r w:rsidR="00CC1094" w:rsidRPr="00E850A7">
        <w:t xml:space="preserve">, </w:t>
      </w:r>
      <w:r w:rsidR="00B134D1" w:rsidRPr="00E850A7">
        <w:t xml:space="preserve">was consistent with non-inferiority. </w:t>
      </w:r>
      <w:r w:rsidR="0094349E" w:rsidRPr="00E850A7">
        <w:t>However, s</w:t>
      </w:r>
      <w:r w:rsidR="00B134D1" w:rsidRPr="00E850A7">
        <w:t xml:space="preserve">ince this was for a subgroup of patients, this did not overcome the issue of differences between the trials. </w:t>
      </w:r>
    </w:p>
    <w:p w:rsidR="00AF47F6" w:rsidRPr="00E850A7" w:rsidRDefault="00AF47F6" w:rsidP="00FE25C2">
      <w:pPr>
        <w:pStyle w:val="ListParagraph"/>
        <w:numPr>
          <w:ilvl w:val="1"/>
          <w:numId w:val="3"/>
        </w:numPr>
        <w:spacing w:before="0" w:after="120"/>
        <w:jc w:val="both"/>
      </w:pPr>
      <w:r w:rsidRPr="00E850A7">
        <w:rPr>
          <w:u w:val="single"/>
        </w:rPr>
        <w:t>Empagliflozin with linagliptin FDC vs dapagliflozin with saxagliptin</w:t>
      </w:r>
      <w:r w:rsidR="003B1E69" w:rsidRPr="00E850A7">
        <w:rPr>
          <w:u w:val="single"/>
        </w:rPr>
        <w:t>, in combination with metformin</w:t>
      </w:r>
      <w:r w:rsidRPr="00E850A7">
        <w:t xml:space="preserve"> </w:t>
      </w:r>
    </w:p>
    <w:p w:rsidR="001E696D" w:rsidRDefault="00C6078D" w:rsidP="00FE25C2">
      <w:pPr>
        <w:pStyle w:val="ListParagraph"/>
        <w:numPr>
          <w:ilvl w:val="1"/>
          <w:numId w:val="3"/>
        </w:numPr>
        <w:spacing w:before="0" w:after="120"/>
        <w:jc w:val="both"/>
        <w:rPr>
          <w:szCs w:val="24"/>
        </w:rPr>
      </w:pPr>
      <w:r w:rsidRPr="00E850A7">
        <w:rPr>
          <w:szCs w:val="24"/>
        </w:rPr>
        <w:t xml:space="preserve">The resubmission presented a more detailed comparison with dapagliflozin with saxagliptin (previously presented in an attachment to the March 2017 submission), and </w:t>
      </w:r>
      <w:r w:rsidR="006142C8" w:rsidRPr="00E850A7">
        <w:rPr>
          <w:szCs w:val="24"/>
        </w:rPr>
        <w:t xml:space="preserve">including </w:t>
      </w:r>
      <w:r w:rsidRPr="00E850A7">
        <w:rPr>
          <w:szCs w:val="24"/>
        </w:rPr>
        <w:t>Rosenstock (2015),</w:t>
      </w:r>
      <w:r w:rsidR="006142C8" w:rsidRPr="00E850A7">
        <w:rPr>
          <w:szCs w:val="24"/>
        </w:rPr>
        <w:t xml:space="preserve"> which was</w:t>
      </w:r>
      <w:r w:rsidRPr="00E850A7">
        <w:rPr>
          <w:szCs w:val="24"/>
        </w:rPr>
        <w:t xml:space="preserve"> previously excluded from the March 2017 submission on the basis </w:t>
      </w:r>
      <w:r w:rsidR="006142C8" w:rsidRPr="00E850A7">
        <w:rPr>
          <w:szCs w:val="24"/>
        </w:rPr>
        <w:t xml:space="preserve">that it included </w:t>
      </w:r>
      <w:r w:rsidRPr="00E850A7">
        <w:rPr>
          <w:szCs w:val="24"/>
        </w:rPr>
        <w:t>a broader population</w:t>
      </w:r>
      <w:r w:rsidR="0087667A" w:rsidRPr="00E850A7">
        <w:rPr>
          <w:szCs w:val="24"/>
        </w:rPr>
        <w:t xml:space="preserve"> (</w:t>
      </w:r>
      <w:r w:rsidR="006142C8" w:rsidRPr="00E850A7">
        <w:rPr>
          <w:szCs w:val="24"/>
        </w:rPr>
        <w:t xml:space="preserve">those </w:t>
      </w:r>
      <w:r w:rsidR="0087667A" w:rsidRPr="00E850A7">
        <w:rPr>
          <w:szCs w:val="24"/>
        </w:rPr>
        <w:t xml:space="preserve">uncontrolled on metformin monotherapy). However, </w:t>
      </w:r>
      <w:r w:rsidR="006142C8" w:rsidRPr="00E850A7">
        <w:rPr>
          <w:szCs w:val="24"/>
        </w:rPr>
        <w:t xml:space="preserve">the </w:t>
      </w:r>
      <w:r w:rsidR="0087667A" w:rsidRPr="00E850A7">
        <w:rPr>
          <w:szCs w:val="24"/>
        </w:rPr>
        <w:t>run-in period and randomised treatment regimens provided a reasonable basis for inclusion in the resubmission.</w:t>
      </w:r>
    </w:p>
    <w:p w:rsidR="001E696D" w:rsidRDefault="001E696D">
      <w:pPr>
        <w:spacing w:before="0" w:line="259" w:lineRule="auto"/>
        <w:rPr>
          <w:szCs w:val="24"/>
        </w:rPr>
      </w:pPr>
      <w:r>
        <w:rPr>
          <w:szCs w:val="24"/>
        </w:rPr>
        <w:br w:type="page"/>
      </w:r>
    </w:p>
    <w:p w:rsidR="00C6078D" w:rsidRPr="00E850A7" w:rsidRDefault="00C6078D" w:rsidP="00FE25C2">
      <w:pPr>
        <w:pStyle w:val="ListParagraph"/>
        <w:numPr>
          <w:ilvl w:val="1"/>
          <w:numId w:val="3"/>
        </w:numPr>
        <w:spacing w:before="0" w:after="120"/>
        <w:jc w:val="both"/>
        <w:rPr>
          <w:szCs w:val="24"/>
        </w:rPr>
      </w:pPr>
    </w:p>
    <w:p w:rsidR="00AF47F6" w:rsidRPr="00E850A7" w:rsidRDefault="00AF47F6" w:rsidP="00F06FC0">
      <w:pPr>
        <w:keepNext/>
        <w:keepLines/>
        <w:widowControl w:val="0"/>
        <w:spacing w:before="0" w:after="0"/>
        <w:jc w:val="both"/>
        <w:rPr>
          <w:rFonts w:ascii="Arial Narrow" w:eastAsia="Times New Roman" w:hAnsi="Arial Narrow" w:cs="Arial"/>
          <w:b/>
          <w:snapToGrid w:val="0"/>
          <w:sz w:val="20"/>
          <w:szCs w:val="20"/>
        </w:rPr>
      </w:pPr>
      <w:r w:rsidRPr="00E850A7">
        <w:rPr>
          <w:rFonts w:ascii="Arial Narrow" w:eastAsia="Times New Roman" w:hAnsi="Arial Narrow" w:cs="Arial"/>
          <w:b/>
          <w:snapToGrid w:val="0"/>
          <w:sz w:val="20"/>
          <w:szCs w:val="16"/>
        </w:rPr>
        <w:t xml:space="preserve">Table </w:t>
      </w:r>
      <w:r w:rsidR="001010D9" w:rsidRPr="00E850A7">
        <w:rPr>
          <w:rFonts w:ascii="Arial Narrow" w:eastAsia="Times New Roman" w:hAnsi="Arial Narrow" w:cs="Arial"/>
          <w:b/>
          <w:snapToGrid w:val="0"/>
          <w:sz w:val="20"/>
          <w:szCs w:val="16"/>
        </w:rPr>
        <w:t>8</w:t>
      </w:r>
      <w:r w:rsidRPr="00E850A7">
        <w:rPr>
          <w:rFonts w:ascii="Arial Narrow" w:eastAsia="Times New Roman" w:hAnsi="Arial Narrow" w:cs="Arial"/>
          <w:b/>
          <w:snapToGrid w:val="0"/>
          <w:sz w:val="20"/>
          <w:szCs w:val="16"/>
        </w:rPr>
        <w:t>: Mean change in HbA1c from baseline</w:t>
      </w:r>
      <w:r w:rsidRPr="00E850A7">
        <w:rPr>
          <w:rFonts w:ascii="Arial Narrow" w:eastAsia="Times New Roman" w:hAnsi="Arial Narrow" w:cs="Arial"/>
          <w:b/>
          <w:snapToGrid w:val="0"/>
          <w:sz w:val="20"/>
          <w:szCs w:val="20"/>
        </w:rPr>
        <w:t xml:space="preserve">; </w:t>
      </w:r>
      <w:r w:rsidRPr="00E850A7">
        <w:rPr>
          <w:rFonts w:ascii="Arial Narrow" w:eastAsia="Times New Roman" w:hAnsi="Arial Narrow" w:cs="Arial"/>
          <w:b/>
          <w:snapToGrid w:val="0"/>
          <w:sz w:val="20"/>
          <w:szCs w:val="16"/>
        </w:rPr>
        <w:t xml:space="preserve">indirect comparisons of </w:t>
      </w:r>
      <w:r w:rsidRPr="00E850A7">
        <w:rPr>
          <w:rFonts w:ascii="Arial Narrow" w:eastAsia="Times New Roman" w:hAnsi="Arial Narrow" w:cs="Arial"/>
          <w:b/>
          <w:snapToGrid w:val="0"/>
          <w:sz w:val="20"/>
          <w:szCs w:val="20"/>
        </w:rPr>
        <w:t>empagliflozin with linagliptin FDC vs dapagliflozin 10 mg + saxagliptin 5 mg (with metformin; DPP4 as common reference; 1275.9 vs Mathieu 2015)</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6"/>
        <w:gridCol w:w="422"/>
        <w:gridCol w:w="1665"/>
        <w:gridCol w:w="391"/>
        <w:gridCol w:w="1498"/>
        <w:gridCol w:w="406"/>
        <w:gridCol w:w="1360"/>
        <w:gridCol w:w="1513"/>
      </w:tblGrid>
      <w:tr w:rsidR="00AF47F6" w:rsidRPr="00E850A7" w:rsidTr="009F1F5F">
        <w:tc>
          <w:tcPr>
            <w:tcW w:w="1014" w:type="pct"/>
            <w:vMerge w:val="restart"/>
            <w:vAlign w:val="center"/>
          </w:tcPr>
          <w:p w:rsidR="00AF47F6" w:rsidRPr="00E850A7" w:rsidRDefault="00AF47F6" w:rsidP="00F06FC0">
            <w:pPr>
              <w:spacing w:before="40" w:after="40"/>
              <w:rPr>
                <w:rFonts w:ascii="Arial Narrow" w:hAnsi="Arial Narrow" w:cs="Times New Roman"/>
                <w:b/>
                <w:snapToGrid w:val="0"/>
                <w:sz w:val="20"/>
              </w:rPr>
            </w:pPr>
            <w:r w:rsidRPr="00E850A7">
              <w:rPr>
                <w:rFonts w:ascii="Arial Narrow" w:hAnsi="Arial Narrow" w:cs="Times New Roman"/>
                <w:b/>
                <w:sz w:val="20"/>
              </w:rPr>
              <w:t>Trial ID</w:t>
            </w:r>
          </w:p>
        </w:tc>
        <w:tc>
          <w:tcPr>
            <w:tcW w:w="3155" w:type="pct"/>
            <w:gridSpan w:val="6"/>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Mean change in HbA1c from baseline % (SD)</w:t>
            </w:r>
          </w:p>
        </w:tc>
        <w:tc>
          <w:tcPr>
            <w:tcW w:w="831" w:type="pct"/>
            <w:vMerge w:val="restart"/>
            <w:vAlign w:val="center"/>
          </w:tcPr>
          <w:p w:rsidR="00AF47F6" w:rsidRPr="00E850A7" w:rsidRDefault="00AF47F6" w:rsidP="00F06FC0">
            <w:pPr>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AF47F6" w:rsidRPr="00E850A7" w:rsidRDefault="00AF47F6" w:rsidP="00F06FC0">
            <w:pPr>
              <w:spacing w:before="40" w:after="40"/>
              <w:jc w:val="center"/>
              <w:rPr>
                <w:rFonts w:ascii="Arial Narrow" w:hAnsi="Arial Narrow" w:cs="Times New Roman"/>
                <w:b/>
                <w:sz w:val="20"/>
              </w:rPr>
            </w:pPr>
            <w:r w:rsidRPr="00E850A7">
              <w:rPr>
                <w:rFonts w:ascii="Arial Narrow" w:hAnsi="Arial Narrow" w:cs="Times New Roman"/>
                <w:b/>
                <w:sz w:val="20"/>
              </w:rPr>
              <w:t>mean change</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b/>
                <w:sz w:val="20"/>
              </w:rPr>
              <w:t>(95% CI)</w:t>
            </w:r>
          </w:p>
        </w:tc>
      </w:tr>
      <w:tr w:rsidR="00AF47F6" w:rsidRPr="00E850A7" w:rsidTr="009F1F5F">
        <w:tc>
          <w:tcPr>
            <w:tcW w:w="1014" w:type="pct"/>
            <w:vMerge/>
            <w:vAlign w:val="center"/>
          </w:tcPr>
          <w:p w:rsidR="00AF47F6" w:rsidRPr="00E850A7" w:rsidRDefault="00AF47F6" w:rsidP="00F06FC0">
            <w:pPr>
              <w:spacing w:before="40" w:after="40"/>
              <w:rPr>
                <w:rFonts w:ascii="Arial Narrow" w:hAnsi="Arial Narrow" w:cs="Times New Roman"/>
                <w:snapToGrid w:val="0"/>
                <w:sz w:val="20"/>
              </w:rPr>
            </w:pPr>
          </w:p>
        </w:tc>
        <w:tc>
          <w:tcPr>
            <w:tcW w:w="232" w:type="pct"/>
            <w:vAlign w:val="center"/>
          </w:tcPr>
          <w:p w:rsidR="00AF47F6" w:rsidRPr="00E850A7" w:rsidRDefault="00FF24BB"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N</w:t>
            </w:r>
          </w:p>
        </w:tc>
        <w:tc>
          <w:tcPr>
            <w:tcW w:w="915" w:type="pct"/>
            <w:vAlign w:val="center"/>
          </w:tcPr>
          <w:p w:rsidR="00AF47F6" w:rsidRPr="00E850A7" w:rsidRDefault="00AF47F6" w:rsidP="00F06FC0">
            <w:pPr>
              <w:widowControl w:val="0"/>
              <w:spacing w:before="40" w:after="40"/>
              <w:ind w:left="-66" w:right="-66"/>
              <w:jc w:val="center"/>
              <w:rPr>
                <w:rFonts w:ascii="Arial Narrow" w:hAnsi="Arial Narrow"/>
                <w:b/>
                <w:snapToGrid w:val="0"/>
                <w:sz w:val="20"/>
              </w:rPr>
            </w:pPr>
            <w:r w:rsidRPr="00E850A7">
              <w:rPr>
                <w:rFonts w:ascii="Arial Narrow" w:hAnsi="Arial Narrow"/>
                <w:b/>
                <w:snapToGrid w:val="0"/>
                <w:sz w:val="20"/>
              </w:rPr>
              <w:t xml:space="preserve">MET + EMPA 25 mg </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napToGrid w:val="0"/>
                <w:sz w:val="20"/>
              </w:rPr>
              <w:t>+ LINA</w:t>
            </w:r>
          </w:p>
        </w:tc>
        <w:tc>
          <w:tcPr>
            <w:tcW w:w="2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n</w:t>
            </w:r>
          </w:p>
        </w:tc>
        <w:tc>
          <w:tcPr>
            <w:tcW w:w="823" w:type="pct"/>
            <w:vAlign w:val="center"/>
          </w:tcPr>
          <w:p w:rsidR="00AF47F6" w:rsidRPr="00E850A7" w:rsidRDefault="00AF47F6" w:rsidP="00F06FC0">
            <w:pPr>
              <w:widowControl w:val="0"/>
              <w:spacing w:before="40" w:after="40"/>
              <w:ind w:right="67"/>
              <w:contextualSpacing/>
              <w:jc w:val="center"/>
              <w:rPr>
                <w:rFonts w:ascii="Arial Narrow" w:hAnsi="Arial Narrow"/>
                <w:b/>
                <w:snapToGrid w:val="0"/>
                <w:sz w:val="20"/>
              </w:rPr>
            </w:pPr>
            <w:r w:rsidRPr="00E850A7">
              <w:rPr>
                <w:rFonts w:ascii="Arial Narrow" w:hAnsi="Arial Narrow"/>
                <w:b/>
                <w:snapToGrid w:val="0"/>
                <w:sz w:val="20"/>
              </w:rPr>
              <w:t xml:space="preserve">MET + </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napToGrid w:val="0"/>
                <w:sz w:val="20"/>
              </w:rPr>
              <w:t>LINA or SAXA</w:t>
            </w:r>
            <w:r w:rsidR="00ED32D1" w:rsidRPr="00E850A7">
              <w:rPr>
                <w:rFonts w:ascii="Arial Narrow" w:hAnsi="Arial Narrow"/>
                <w:b/>
                <w:snapToGrid w:val="0"/>
                <w:sz w:val="20"/>
              </w:rPr>
              <w:t>*</w:t>
            </w:r>
          </w:p>
        </w:tc>
        <w:tc>
          <w:tcPr>
            <w:tcW w:w="223" w:type="pct"/>
            <w:vAlign w:val="center"/>
          </w:tcPr>
          <w:p w:rsidR="00AF47F6" w:rsidRPr="00E850A7" w:rsidRDefault="00857594"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N</w:t>
            </w:r>
          </w:p>
        </w:tc>
        <w:tc>
          <w:tcPr>
            <w:tcW w:w="747"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napToGrid w:val="0"/>
                <w:sz w:val="20"/>
              </w:rPr>
              <w:t xml:space="preserve">MET + DAPA </w:t>
            </w:r>
            <w:r w:rsidRPr="00E850A7">
              <w:rPr>
                <w:rFonts w:ascii="Arial Narrow" w:hAnsi="Arial Narrow"/>
                <w:b/>
                <w:snapToGrid w:val="0"/>
                <w:sz w:val="20"/>
              </w:rPr>
              <w:br/>
              <w:t>+ SAXA</w:t>
            </w:r>
          </w:p>
        </w:tc>
        <w:tc>
          <w:tcPr>
            <w:tcW w:w="831" w:type="pct"/>
            <w:vMerge/>
            <w:vAlign w:val="center"/>
          </w:tcPr>
          <w:p w:rsidR="00AF47F6" w:rsidRPr="00E850A7" w:rsidRDefault="00AF47F6" w:rsidP="00F06FC0">
            <w:pPr>
              <w:spacing w:before="40" w:after="40"/>
              <w:rPr>
                <w:rFonts w:ascii="Arial Narrow" w:hAnsi="Arial Narrow" w:cs="Times New Roman"/>
                <w:snapToGrid w:val="0"/>
                <w:sz w:val="20"/>
              </w:rPr>
            </w:pPr>
          </w:p>
        </w:tc>
      </w:tr>
      <w:tr w:rsidR="00AF47F6" w:rsidRPr="00E850A7" w:rsidTr="009F1F5F">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1275.9 (24 wks)</w:t>
            </w:r>
          </w:p>
        </w:tc>
        <w:tc>
          <w:tcPr>
            <w:tcW w:w="232"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110</w:t>
            </w:r>
          </w:p>
        </w:tc>
        <w:tc>
          <w:tcPr>
            <w:tcW w:w="915"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-0.56 (0.84)</w:t>
            </w:r>
          </w:p>
        </w:tc>
        <w:tc>
          <w:tcPr>
            <w:tcW w:w="215"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106</w:t>
            </w:r>
          </w:p>
        </w:tc>
        <w:tc>
          <w:tcPr>
            <w:tcW w:w="823"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0.14 (0.94)</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747"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8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-0.70 (-0.94, -0.46)</w:t>
            </w:r>
          </w:p>
        </w:tc>
      </w:tr>
      <w:tr w:rsidR="00AF47F6" w:rsidRPr="00E850A7" w:rsidTr="009F1F5F">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Mathieu 2015 (24 wks)</w:t>
            </w:r>
          </w:p>
        </w:tc>
        <w:tc>
          <w:tcPr>
            <w:tcW w:w="232"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9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2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160</w:t>
            </w:r>
          </w:p>
        </w:tc>
        <w:tc>
          <w:tcPr>
            <w:tcW w:w="823"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-0.10 (0.88)</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160</w:t>
            </w:r>
          </w:p>
        </w:tc>
        <w:tc>
          <w:tcPr>
            <w:tcW w:w="747"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-0.82 (0.86)</w:t>
            </w:r>
          </w:p>
        </w:tc>
        <w:tc>
          <w:tcPr>
            <w:tcW w:w="8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-0.72 (-0.91, -0.53)</w:t>
            </w:r>
          </w:p>
        </w:tc>
      </w:tr>
      <w:tr w:rsidR="00AF47F6" w:rsidRPr="00E850A7" w:rsidTr="009F1F5F">
        <w:tc>
          <w:tcPr>
            <w:tcW w:w="4169" w:type="pct"/>
            <w:gridSpan w:val="7"/>
            <w:vAlign w:val="center"/>
          </w:tcPr>
          <w:p w:rsidR="00AF47F6" w:rsidRPr="00E850A7" w:rsidRDefault="00AF47F6" w:rsidP="00F06FC0">
            <w:pPr>
              <w:tabs>
                <w:tab w:val="right" w:pos="7532"/>
              </w:tabs>
              <w:spacing w:before="40" w:after="40"/>
              <w:rPr>
                <w:rFonts w:ascii="Arial Narrow" w:hAnsi="Arial Narrow" w:cs="Times New Roman"/>
                <w:snapToGrid w:val="0"/>
                <w:sz w:val="20"/>
              </w:rPr>
            </w:pPr>
            <w:r w:rsidRPr="00E850A7">
              <w:rPr>
                <w:rFonts w:ascii="Arial Narrow" w:hAnsi="Arial Narrow"/>
                <w:snapToGrid w:val="0"/>
                <w:sz w:val="20"/>
              </w:rPr>
              <w:t>Indirect comparison:</w:t>
            </w:r>
            <w:r w:rsidRPr="00E850A7">
              <w:rPr>
                <w:rFonts w:ascii="Arial Narrow" w:hAnsi="Arial Narrow"/>
                <w:snapToGrid w:val="0"/>
                <w:sz w:val="20"/>
              </w:rPr>
              <w:tab/>
              <w:t>empagliflozin 25 mg + linagliptin 5 mg vs dapagliflozin 10 mg + saxagliptin 5 mg</w:t>
            </w:r>
          </w:p>
        </w:tc>
        <w:tc>
          <w:tcPr>
            <w:tcW w:w="831" w:type="pct"/>
            <w:vAlign w:val="center"/>
          </w:tcPr>
          <w:p w:rsidR="00AF47F6"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Arial"/>
                <w:noProof/>
                <w:snapToGrid w:val="0"/>
                <w:color w:val="000000"/>
                <w:sz w:val="20"/>
                <w:highlight w:val="black"/>
              </w:rPr>
              <w:t>''''''''''' ''''''''''''''' ''''''''''''</w:t>
            </w:r>
          </w:p>
        </w:tc>
      </w:tr>
    </w:tbl>
    <w:p w:rsidR="00AF47F6" w:rsidRPr="00E850A7" w:rsidRDefault="00AF47F6" w:rsidP="00F06FC0">
      <w:pPr>
        <w:spacing w:before="0" w:after="0"/>
        <w:rPr>
          <w:rFonts w:ascii="Arial Narrow" w:hAnsi="Arial Narrow" w:cs="Times New Roman"/>
          <w:snapToGrid w:val="0"/>
          <w:sz w:val="2"/>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6"/>
        <w:gridCol w:w="422"/>
        <w:gridCol w:w="1665"/>
        <w:gridCol w:w="391"/>
        <w:gridCol w:w="1498"/>
        <w:gridCol w:w="406"/>
        <w:gridCol w:w="1360"/>
        <w:gridCol w:w="1513"/>
      </w:tblGrid>
      <w:tr w:rsidR="00AF47F6" w:rsidRPr="00E850A7" w:rsidTr="009F1F5F">
        <w:tc>
          <w:tcPr>
            <w:tcW w:w="1014" w:type="pct"/>
            <w:vAlign w:val="center"/>
          </w:tcPr>
          <w:p w:rsidR="00AF47F6" w:rsidRPr="00E850A7" w:rsidRDefault="00AF47F6" w:rsidP="00F06FC0">
            <w:pPr>
              <w:spacing w:before="40" w:after="40"/>
              <w:rPr>
                <w:rFonts w:ascii="Arial Narrow" w:hAnsi="Arial Narrow" w:cs="Times New Roman"/>
                <w:snapToGrid w:val="0"/>
                <w:sz w:val="20"/>
              </w:rPr>
            </w:pPr>
          </w:p>
          <w:p w:rsidR="00AF47F6" w:rsidRPr="00E850A7" w:rsidRDefault="00AF47F6" w:rsidP="00F06FC0">
            <w:pPr>
              <w:spacing w:before="40" w:after="40"/>
              <w:rPr>
                <w:rFonts w:ascii="Arial Narrow" w:hAnsi="Arial Narrow" w:cs="Times New Roman"/>
                <w:snapToGrid w:val="0"/>
                <w:sz w:val="20"/>
              </w:rPr>
            </w:pPr>
          </w:p>
        </w:tc>
        <w:tc>
          <w:tcPr>
            <w:tcW w:w="232" w:type="pct"/>
            <w:vAlign w:val="center"/>
          </w:tcPr>
          <w:p w:rsidR="00AF47F6" w:rsidRPr="00E850A7" w:rsidRDefault="00FF24BB"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N</w:t>
            </w:r>
          </w:p>
        </w:tc>
        <w:tc>
          <w:tcPr>
            <w:tcW w:w="915" w:type="pct"/>
            <w:vAlign w:val="center"/>
          </w:tcPr>
          <w:p w:rsidR="00AF47F6" w:rsidRPr="00E850A7" w:rsidRDefault="00AF47F6" w:rsidP="00F06FC0">
            <w:pPr>
              <w:widowControl w:val="0"/>
              <w:spacing w:before="40" w:after="40"/>
              <w:ind w:left="-66" w:right="-66"/>
              <w:jc w:val="center"/>
              <w:rPr>
                <w:rFonts w:ascii="Arial Narrow" w:hAnsi="Arial Narrow"/>
                <w:b/>
                <w:snapToGrid w:val="0"/>
                <w:sz w:val="20"/>
              </w:rPr>
            </w:pPr>
            <w:r w:rsidRPr="00E850A7">
              <w:rPr>
                <w:rFonts w:ascii="Arial Narrow" w:hAnsi="Arial Narrow"/>
                <w:b/>
                <w:snapToGrid w:val="0"/>
                <w:sz w:val="20"/>
              </w:rPr>
              <w:t xml:space="preserve">MET + EMPA 10 mg </w:t>
            </w:r>
          </w:p>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napToGrid w:val="0"/>
                <w:sz w:val="20"/>
              </w:rPr>
              <w:t>+ LINA</w:t>
            </w:r>
          </w:p>
        </w:tc>
        <w:tc>
          <w:tcPr>
            <w:tcW w:w="215" w:type="pct"/>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n</w:t>
            </w:r>
          </w:p>
        </w:tc>
        <w:tc>
          <w:tcPr>
            <w:tcW w:w="823" w:type="pct"/>
            <w:vAlign w:val="center"/>
          </w:tcPr>
          <w:p w:rsidR="00AF47F6" w:rsidRPr="00E850A7" w:rsidRDefault="00AF47F6" w:rsidP="00F06FC0">
            <w:pPr>
              <w:widowControl w:val="0"/>
              <w:spacing w:before="40" w:after="40"/>
              <w:ind w:right="67"/>
              <w:contextualSpacing/>
              <w:jc w:val="center"/>
              <w:rPr>
                <w:rFonts w:ascii="Arial Narrow" w:hAnsi="Arial Narrow"/>
                <w:b/>
                <w:snapToGrid w:val="0"/>
                <w:sz w:val="20"/>
              </w:rPr>
            </w:pPr>
            <w:r w:rsidRPr="00E850A7">
              <w:rPr>
                <w:rFonts w:ascii="Arial Narrow" w:hAnsi="Arial Narrow"/>
                <w:b/>
                <w:snapToGrid w:val="0"/>
                <w:sz w:val="20"/>
              </w:rPr>
              <w:t xml:space="preserve">MET + </w:t>
            </w:r>
          </w:p>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napToGrid w:val="0"/>
                <w:sz w:val="20"/>
              </w:rPr>
              <w:t>LINA or SAXA</w:t>
            </w:r>
            <w:r w:rsidR="00ED32D1" w:rsidRPr="00E850A7">
              <w:rPr>
                <w:rFonts w:ascii="Arial Narrow" w:hAnsi="Arial Narrow"/>
                <w:b/>
                <w:snapToGrid w:val="0"/>
                <w:sz w:val="20"/>
              </w:rPr>
              <w:t>*</w:t>
            </w:r>
          </w:p>
        </w:tc>
        <w:tc>
          <w:tcPr>
            <w:tcW w:w="223" w:type="pct"/>
            <w:vAlign w:val="center"/>
          </w:tcPr>
          <w:p w:rsidR="00AF47F6" w:rsidRPr="00E850A7" w:rsidRDefault="00857594"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N</w:t>
            </w:r>
          </w:p>
        </w:tc>
        <w:tc>
          <w:tcPr>
            <w:tcW w:w="747" w:type="pct"/>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napToGrid w:val="0"/>
                <w:sz w:val="20"/>
              </w:rPr>
              <w:t xml:space="preserve">MET + DAPA </w:t>
            </w:r>
            <w:r w:rsidRPr="00E850A7">
              <w:rPr>
                <w:rFonts w:ascii="Arial Narrow" w:hAnsi="Arial Narrow"/>
                <w:b/>
                <w:snapToGrid w:val="0"/>
                <w:sz w:val="20"/>
              </w:rPr>
              <w:br/>
              <w:t>+ SAXA</w:t>
            </w:r>
          </w:p>
        </w:tc>
        <w:tc>
          <w:tcPr>
            <w:tcW w:w="831" w:type="pct"/>
            <w:vAlign w:val="center"/>
          </w:tcPr>
          <w:p w:rsidR="00AF47F6" w:rsidRPr="00E850A7" w:rsidRDefault="00AF47F6" w:rsidP="00F06FC0">
            <w:pPr>
              <w:spacing w:before="40" w:after="40"/>
              <w:rPr>
                <w:rFonts w:ascii="Arial Narrow" w:hAnsi="Arial Narrow" w:cs="Times New Roman"/>
                <w:snapToGrid w:val="0"/>
                <w:sz w:val="20"/>
              </w:rPr>
            </w:pPr>
          </w:p>
        </w:tc>
      </w:tr>
      <w:tr w:rsidR="00AF47F6" w:rsidRPr="00E850A7" w:rsidTr="009F1F5F">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1275.9 (24 wks)</w:t>
            </w:r>
          </w:p>
        </w:tc>
        <w:tc>
          <w:tcPr>
            <w:tcW w:w="232"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109</w:t>
            </w:r>
          </w:p>
        </w:tc>
        <w:tc>
          <w:tcPr>
            <w:tcW w:w="9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-0.65 (0.84)</w:t>
            </w:r>
          </w:p>
        </w:tc>
        <w:tc>
          <w:tcPr>
            <w:tcW w:w="2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106</w:t>
            </w:r>
          </w:p>
        </w:tc>
        <w:tc>
          <w:tcPr>
            <w:tcW w:w="8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0.14 (0.94)</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747"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8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-0.79 (-1.03, -0.55)</w:t>
            </w:r>
          </w:p>
        </w:tc>
      </w:tr>
      <w:tr w:rsidR="00AF47F6" w:rsidRPr="00E850A7" w:rsidTr="009F1F5F">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Mathieu 2015 (24 wks)</w:t>
            </w:r>
          </w:p>
        </w:tc>
        <w:tc>
          <w:tcPr>
            <w:tcW w:w="232"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9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2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160</w:t>
            </w:r>
          </w:p>
        </w:tc>
        <w:tc>
          <w:tcPr>
            <w:tcW w:w="8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-0.10 (0.88)</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160</w:t>
            </w:r>
          </w:p>
        </w:tc>
        <w:tc>
          <w:tcPr>
            <w:tcW w:w="747"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-0.82 (0.86)</w:t>
            </w:r>
          </w:p>
        </w:tc>
        <w:tc>
          <w:tcPr>
            <w:tcW w:w="8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-0.72 (-0.91, -0.53)</w:t>
            </w:r>
          </w:p>
        </w:tc>
      </w:tr>
      <w:tr w:rsidR="00AF47F6" w:rsidRPr="00E850A7" w:rsidTr="009F1F5F">
        <w:tc>
          <w:tcPr>
            <w:tcW w:w="4169" w:type="pct"/>
            <w:gridSpan w:val="7"/>
            <w:vAlign w:val="center"/>
          </w:tcPr>
          <w:p w:rsidR="00AF47F6" w:rsidRPr="00E850A7" w:rsidRDefault="00AF47F6" w:rsidP="00F06FC0">
            <w:pPr>
              <w:tabs>
                <w:tab w:val="right" w:pos="7513"/>
              </w:tabs>
              <w:spacing w:before="40" w:after="40"/>
              <w:rPr>
                <w:rFonts w:ascii="Arial Narrow" w:hAnsi="Arial Narrow" w:cs="Times New Roman"/>
                <w:snapToGrid w:val="0"/>
                <w:sz w:val="20"/>
              </w:rPr>
            </w:pPr>
            <w:r w:rsidRPr="00E850A7">
              <w:rPr>
                <w:rFonts w:ascii="Arial Narrow" w:hAnsi="Arial Narrow"/>
                <w:snapToGrid w:val="0"/>
                <w:sz w:val="20"/>
              </w:rPr>
              <w:t>Indirect comparison:</w:t>
            </w:r>
            <w:r w:rsidRPr="00E850A7">
              <w:rPr>
                <w:rFonts w:ascii="Arial Narrow" w:hAnsi="Arial Narrow"/>
                <w:snapToGrid w:val="0"/>
                <w:sz w:val="20"/>
              </w:rPr>
              <w:tab/>
              <w:t>empagliflozin 10 mg + linagliptin 5 mg vs dapagliflozin 10 mg + saxagliptin 5 mg</w:t>
            </w:r>
          </w:p>
        </w:tc>
        <w:tc>
          <w:tcPr>
            <w:tcW w:w="831" w:type="pct"/>
            <w:vAlign w:val="center"/>
          </w:tcPr>
          <w:p w:rsidR="00AF47F6"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Arial"/>
                <w:noProof/>
                <w:snapToGrid w:val="0"/>
                <w:color w:val="000000"/>
                <w:sz w:val="20"/>
                <w:highlight w:val="black"/>
              </w:rPr>
              <w:t>''''''''''''' '''''''''''''' '''''''''''''</w:t>
            </w:r>
          </w:p>
        </w:tc>
      </w:tr>
      <w:tr w:rsidR="00AF47F6" w:rsidRPr="00E850A7" w:rsidTr="009F1F5F">
        <w:tc>
          <w:tcPr>
            <w:tcW w:w="4169" w:type="pct"/>
            <w:gridSpan w:val="7"/>
            <w:vAlign w:val="center"/>
          </w:tcPr>
          <w:p w:rsidR="00AF47F6" w:rsidRPr="00E850A7" w:rsidRDefault="00AF47F6" w:rsidP="00F06FC0">
            <w:pPr>
              <w:tabs>
                <w:tab w:val="right" w:pos="7513"/>
              </w:tabs>
              <w:spacing w:before="40" w:after="40"/>
              <w:rPr>
                <w:rFonts w:ascii="Arial Narrow" w:hAnsi="Arial Narrow" w:cs="Times New Roman"/>
                <w:snapToGrid w:val="0"/>
                <w:sz w:val="20"/>
              </w:rPr>
            </w:pPr>
            <w:r w:rsidRPr="00E850A7">
              <w:rPr>
                <w:rFonts w:ascii="Arial Narrow" w:hAnsi="Arial Narrow"/>
                <w:snapToGrid w:val="0"/>
                <w:sz w:val="20"/>
              </w:rPr>
              <w:t>Indirect comparison:</w:t>
            </w:r>
            <w:r w:rsidRPr="00E850A7">
              <w:rPr>
                <w:rFonts w:ascii="Arial Narrow" w:hAnsi="Arial Narrow"/>
                <w:snapToGrid w:val="0"/>
                <w:sz w:val="20"/>
              </w:rPr>
              <w:tab/>
              <w:t>pooled</w:t>
            </w:r>
          </w:p>
        </w:tc>
        <w:tc>
          <w:tcPr>
            <w:tcW w:w="831" w:type="pct"/>
            <w:vAlign w:val="center"/>
          </w:tcPr>
          <w:p w:rsidR="00AF47F6"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Arial"/>
                <w:noProof/>
                <w:snapToGrid w:val="0"/>
                <w:color w:val="000000"/>
                <w:sz w:val="20"/>
                <w:highlight w:val="black"/>
              </w:rPr>
              <w:t>'''''''''''''' '''''''''''''''' ''''''''''''</w:t>
            </w:r>
          </w:p>
        </w:tc>
      </w:tr>
    </w:tbl>
    <w:p w:rsidR="00AF47F6" w:rsidRPr="00E850A7" w:rsidRDefault="00AF47F6" w:rsidP="00F06FC0">
      <w:pPr>
        <w:widowControl w:val="0"/>
        <w:spacing w:before="0" w:after="120"/>
        <w:contextualSpacing/>
        <w:jc w:val="both"/>
        <w:rPr>
          <w:rFonts w:ascii="Arial Narrow" w:eastAsia="Times New Roman" w:hAnsi="Arial Narrow" w:cs="Arial"/>
          <w:snapToGrid w:val="0"/>
          <w:sz w:val="18"/>
          <w:szCs w:val="16"/>
        </w:rPr>
      </w:pPr>
      <w:r w:rsidRPr="00E850A7">
        <w:rPr>
          <w:rFonts w:ascii="Arial Narrow" w:eastAsia="Times New Roman" w:hAnsi="Arial Narrow" w:cs="Arial"/>
          <w:snapToGrid w:val="0"/>
          <w:sz w:val="18"/>
          <w:szCs w:val="16"/>
        </w:rPr>
        <w:t>Source: Table B.205, p.578 of the resubmission. (Statistically significant results in bold).</w:t>
      </w:r>
    </w:p>
    <w:p w:rsidR="00AF47F6" w:rsidRPr="00E850A7" w:rsidRDefault="00AF47F6" w:rsidP="00F06FC0">
      <w:pPr>
        <w:widowControl w:val="0"/>
        <w:spacing w:before="0" w:after="120"/>
        <w:contextualSpacing/>
        <w:jc w:val="both"/>
        <w:rPr>
          <w:rFonts w:ascii="Arial Narrow" w:eastAsia="Times New Roman" w:hAnsi="Arial Narrow" w:cs="Arial"/>
          <w:snapToGrid w:val="0"/>
          <w:sz w:val="18"/>
          <w:szCs w:val="16"/>
        </w:rPr>
      </w:pPr>
      <w:r w:rsidRPr="00E850A7">
        <w:rPr>
          <w:rFonts w:ascii="Arial Narrow" w:eastAsia="Times New Roman" w:hAnsi="Arial Narrow" w:cs="Arial"/>
          <w:snapToGrid w:val="0"/>
          <w:sz w:val="18"/>
          <w:szCs w:val="16"/>
        </w:rPr>
        <w:t>Note: Standard deviation and weight mean difference calculated post hoc for the March 2017 submission.</w:t>
      </w:r>
    </w:p>
    <w:p w:rsidR="00AF47F6" w:rsidRPr="00E850A7" w:rsidRDefault="00AF47F6" w:rsidP="00ED32D1">
      <w:pPr>
        <w:widowControl w:val="0"/>
        <w:spacing w:before="0" w:after="0"/>
        <w:jc w:val="both"/>
        <w:rPr>
          <w:rFonts w:ascii="Arial Narrow" w:eastAsia="Times New Roman" w:hAnsi="Arial Narrow" w:cs="Arial"/>
          <w:snapToGrid w:val="0"/>
          <w:sz w:val="18"/>
          <w:szCs w:val="16"/>
        </w:rPr>
      </w:pPr>
      <w:r w:rsidRPr="00E850A7">
        <w:rPr>
          <w:rFonts w:ascii="Arial Narrow" w:eastAsia="Times New Roman" w:hAnsi="Arial Narrow" w:cs="Arial"/>
          <w:snapToGrid w:val="0"/>
          <w:sz w:val="18"/>
          <w:szCs w:val="16"/>
        </w:rPr>
        <w:t>Abbreviations: CI, confidence interval; DAPA, dapagliflozin; EMPA, empagliflozin; FDC, fixed dose combination; HbA1c, Glycosylated haemoglobin; LINA, linagliptin; MET, metformin; SD, standard deviation; SAXA, saxagliptin; wks, weeks.</w:t>
      </w:r>
    </w:p>
    <w:p w:rsidR="00ED32D1" w:rsidRPr="00E850A7" w:rsidRDefault="00ED32D1" w:rsidP="005D489A">
      <w:pPr>
        <w:pStyle w:val="TableFooter"/>
      </w:pPr>
      <w:r w:rsidRPr="00E850A7">
        <w:rPr>
          <w:szCs w:val="16"/>
        </w:rPr>
        <w:t xml:space="preserve">* Common reference </w:t>
      </w:r>
      <w:r w:rsidR="00B00B70" w:rsidRPr="00E850A7">
        <w:rPr>
          <w:szCs w:val="16"/>
        </w:rPr>
        <w:t xml:space="preserve">linagliptin 5 mg </w:t>
      </w:r>
      <w:r w:rsidRPr="00E850A7">
        <w:rPr>
          <w:szCs w:val="16"/>
        </w:rPr>
        <w:t xml:space="preserve">in Trial 1275.9 and </w:t>
      </w:r>
      <w:r w:rsidR="00B00B70" w:rsidRPr="00E850A7">
        <w:rPr>
          <w:szCs w:val="16"/>
        </w:rPr>
        <w:t xml:space="preserve">saxagliptin 5 mg </w:t>
      </w:r>
      <w:r w:rsidRPr="00E850A7">
        <w:rPr>
          <w:szCs w:val="16"/>
        </w:rPr>
        <w:t>in Matthieu 2015.</w:t>
      </w:r>
    </w:p>
    <w:p w:rsidR="00AF47F6" w:rsidRPr="00E850A7" w:rsidRDefault="00AF47F6" w:rsidP="00F06FC0">
      <w:pPr>
        <w:widowControl w:val="0"/>
        <w:tabs>
          <w:tab w:val="left" w:pos="7667"/>
        </w:tabs>
        <w:spacing w:before="0" w:after="0"/>
        <w:ind w:left="80" w:right="-66"/>
        <w:rPr>
          <w:rFonts w:ascii="Arial Narrow" w:eastAsia="Times New Roman" w:hAnsi="Arial Narrow" w:cs="Times New Roman"/>
          <w:b/>
          <w:snapToGrid w:val="0"/>
          <w:sz w:val="2"/>
          <w:szCs w:val="2"/>
        </w:rPr>
      </w:pPr>
    </w:p>
    <w:p w:rsidR="00AF47F6" w:rsidRPr="00E850A7" w:rsidRDefault="00AF47F6" w:rsidP="00F06FC0">
      <w:pPr>
        <w:widowControl w:val="0"/>
        <w:tabs>
          <w:tab w:val="left" w:pos="7667"/>
        </w:tabs>
        <w:spacing w:before="0" w:after="0"/>
        <w:ind w:left="80" w:right="-66"/>
        <w:rPr>
          <w:rFonts w:ascii="Arial Narrow" w:eastAsia="Times New Roman" w:hAnsi="Arial Narrow" w:cs="Times New Roman"/>
          <w:b/>
          <w:snapToGrid w:val="0"/>
          <w:sz w:val="2"/>
          <w:szCs w:val="2"/>
        </w:rPr>
      </w:pPr>
    </w:p>
    <w:p w:rsidR="00AF47F6" w:rsidRPr="00E850A7" w:rsidRDefault="00AF47F6" w:rsidP="00F06FC0">
      <w:pPr>
        <w:keepNext/>
        <w:keepLines/>
        <w:widowControl w:val="0"/>
        <w:spacing w:before="0" w:after="0"/>
        <w:jc w:val="both"/>
        <w:rPr>
          <w:rFonts w:ascii="Arial Narrow" w:eastAsia="Times New Roman" w:hAnsi="Arial Narrow" w:cs="Arial"/>
          <w:b/>
          <w:snapToGrid w:val="0"/>
          <w:sz w:val="20"/>
          <w:szCs w:val="20"/>
        </w:rPr>
      </w:pPr>
      <w:r w:rsidRPr="00E850A7">
        <w:rPr>
          <w:rFonts w:ascii="Arial Narrow" w:eastAsia="Times New Roman" w:hAnsi="Arial Narrow" w:cs="Arial"/>
          <w:b/>
          <w:snapToGrid w:val="0"/>
          <w:sz w:val="20"/>
          <w:szCs w:val="16"/>
        </w:rPr>
        <w:t xml:space="preserve">Table </w:t>
      </w:r>
      <w:r w:rsidR="001010D9" w:rsidRPr="00E850A7">
        <w:rPr>
          <w:rFonts w:ascii="Arial Narrow" w:eastAsia="Times New Roman" w:hAnsi="Arial Narrow" w:cs="Arial"/>
          <w:b/>
          <w:snapToGrid w:val="0"/>
          <w:sz w:val="20"/>
          <w:szCs w:val="16"/>
        </w:rPr>
        <w:t>9</w:t>
      </w:r>
      <w:r w:rsidRPr="00E850A7">
        <w:rPr>
          <w:rFonts w:ascii="Arial Narrow" w:eastAsia="Times New Roman" w:hAnsi="Arial Narrow" w:cs="Arial"/>
          <w:b/>
          <w:snapToGrid w:val="0"/>
          <w:sz w:val="20"/>
          <w:szCs w:val="16"/>
        </w:rPr>
        <w:t>: Mean change in HbA1c from baseline</w:t>
      </w:r>
      <w:r w:rsidRPr="00E850A7">
        <w:rPr>
          <w:rFonts w:ascii="Arial Narrow" w:eastAsia="Times New Roman" w:hAnsi="Arial Narrow" w:cs="Arial"/>
          <w:b/>
          <w:snapToGrid w:val="0"/>
          <w:sz w:val="20"/>
          <w:szCs w:val="20"/>
        </w:rPr>
        <w:t xml:space="preserve">; </w:t>
      </w:r>
      <w:r w:rsidRPr="00E850A7">
        <w:rPr>
          <w:rFonts w:ascii="Arial Narrow" w:eastAsia="Times New Roman" w:hAnsi="Arial Narrow" w:cs="Arial"/>
          <w:b/>
          <w:snapToGrid w:val="0"/>
          <w:sz w:val="20"/>
          <w:szCs w:val="16"/>
        </w:rPr>
        <w:t xml:space="preserve">indirect comparisons of </w:t>
      </w:r>
      <w:r w:rsidRPr="00E850A7">
        <w:rPr>
          <w:rFonts w:ascii="Arial Narrow" w:eastAsia="Times New Roman" w:hAnsi="Arial Narrow" w:cs="Arial"/>
          <w:b/>
          <w:snapToGrid w:val="0"/>
          <w:sz w:val="20"/>
          <w:szCs w:val="20"/>
        </w:rPr>
        <w:t>empagliflozin with linagliptin FDC vs dapagliflozin 10 mg + saxagliptin 5 mg (with metformin; SGLT2 as common reference; 1275.10 vs Matthaei 2015)</w:t>
      </w:r>
    </w:p>
    <w:p w:rsidR="00AF47F6" w:rsidRPr="00E850A7" w:rsidRDefault="00AF47F6" w:rsidP="00F06FC0">
      <w:pPr>
        <w:widowControl w:val="0"/>
        <w:tabs>
          <w:tab w:val="left" w:pos="7667"/>
        </w:tabs>
        <w:spacing w:before="0" w:after="0"/>
        <w:ind w:right="-66"/>
        <w:rPr>
          <w:rFonts w:ascii="Arial Narrow" w:eastAsia="Times New Roman" w:hAnsi="Arial Narrow" w:cs="Times New Roman"/>
          <w:b/>
          <w:snapToGrid w:val="0"/>
          <w:sz w:val="2"/>
          <w:szCs w:val="2"/>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6"/>
        <w:gridCol w:w="422"/>
        <w:gridCol w:w="1665"/>
        <w:gridCol w:w="391"/>
        <w:gridCol w:w="1498"/>
        <w:gridCol w:w="406"/>
        <w:gridCol w:w="1360"/>
        <w:gridCol w:w="1513"/>
      </w:tblGrid>
      <w:tr w:rsidR="00AF47F6" w:rsidRPr="00E850A7" w:rsidTr="009F1F5F">
        <w:tc>
          <w:tcPr>
            <w:tcW w:w="1014" w:type="pct"/>
            <w:vMerge w:val="restart"/>
            <w:vAlign w:val="center"/>
          </w:tcPr>
          <w:p w:rsidR="00AF47F6" w:rsidRPr="00E850A7" w:rsidRDefault="00AF47F6" w:rsidP="00F06FC0">
            <w:pPr>
              <w:spacing w:before="40" w:after="40"/>
              <w:rPr>
                <w:rFonts w:ascii="Arial Narrow" w:hAnsi="Arial Narrow" w:cs="Times New Roman"/>
                <w:b/>
                <w:snapToGrid w:val="0"/>
                <w:sz w:val="20"/>
              </w:rPr>
            </w:pPr>
            <w:r w:rsidRPr="00E850A7">
              <w:rPr>
                <w:rFonts w:ascii="Arial Narrow" w:hAnsi="Arial Narrow" w:cs="Times New Roman"/>
                <w:b/>
                <w:sz w:val="20"/>
              </w:rPr>
              <w:t>Trial ID</w:t>
            </w:r>
          </w:p>
        </w:tc>
        <w:tc>
          <w:tcPr>
            <w:tcW w:w="3155" w:type="pct"/>
            <w:gridSpan w:val="6"/>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Mean change in HbA1c from baseline % (SD)</w:t>
            </w:r>
          </w:p>
        </w:tc>
        <w:tc>
          <w:tcPr>
            <w:tcW w:w="831" w:type="pct"/>
            <w:vMerge w:val="restart"/>
            <w:vAlign w:val="center"/>
          </w:tcPr>
          <w:p w:rsidR="00AF47F6" w:rsidRPr="00E850A7" w:rsidRDefault="00AF47F6" w:rsidP="00F06FC0">
            <w:pPr>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AF47F6" w:rsidRPr="00E850A7" w:rsidRDefault="00AF47F6" w:rsidP="00F06FC0">
            <w:pPr>
              <w:spacing w:before="40" w:after="40"/>
              <w:jc w:val="center"/>
              <w:rPr>
                <w:rFonts w:ascii="Arial Narrow" w:hAnsi="Arial Narrow" w:cs="Times New Roman"/>
                <w:b/>
                <w:sz w:val="20"/>
              </w:rPr>
            </w:pPr>
            <w:r w:rsidRPr="00E850A7">
              <w:rPr>
                <w:rFonts w:ascii="Arial Narrow" w:hAnsi="Arial Narrow" w:cs="Times New Roman"/>
                <w:b/>
                <w:sz w:val="20"/>
              </w:rPr>
              <w:t>mean change</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Times New Roman"/>
                <w:b/>
                <w:sz w:val="20"/>
              </w:rPr>
              <w:t>(95% CI)</w:t>
            </w:r>
          </w:p>
        </w:tc>
      </w:tr>
      <w:tr w:rsidR="00AF47F6" w:rsidRPr="00E850A7" w:rsidTr="009F1F5F">
        <w:tc>
          <w:tcPr>
            <w:tcW w:w="1014" w:type="pct"/>
            <w:vMerge/>
            <w:vAlign w:val="center"/>
          </w:tcPr>
          <w:p w:rsidR="00AF47F6" w:rsidRPr="00E850A7" w:rsidRDefault="00AF47F6" w:rsidP="00F06FC0">
            <w:pPr>
              <w:spacing w:before="40" w:after="40"/>
              <w:rPr>
                <w:rFonts w:ascii="Arial Narrow" w:hAnsi="Arial Narrow" w:cs="Times New Roman"/>
                <w:snapToGrid w:val="0"/>
                <w:sz w:val="20"/>
              </w:rPr>
            </w:pPr>
          </w:p>
        </w:tc>
        <w:tc>
          <w:tcPr>
            <w:tcW w:w="232" w:type="pct"/>
            <w:vAlign w:val="center"/>
          </w:tcPr>
          <w:p w:rsidR="00AF47F6" w:rsidRPr="00E850A7" w:rsidRDefault="00FF24BB"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N</w:t>
            </w:r>
          </w:p>
        </w:tc>
        <w:tc>
          <w:tcPr>
            <w:tcW w:w="915" w:type="pct"/>
            <w:vAlign w:val="center"/>
          </w:tcPr>
          <w:p w:rsidR="00AF47F6" w:rsidRPr="00E850A7" w:rsidRDefault="00AF47F6" w:rsidP="00F06FC0">
            <w:pPr>
              <w:widowControl w:val="0"/>
              <w:spacing w:before="40" w:after="40"/>
              <w:ind w:left="-66" w:right="-66"/>
              <w:jc w:val="center"/>
              <w:rPr>
                <w:rFonts w:ascii="Arial Narrow" w:hAnsi="Arial Narrow"/>
                <w:b/>
                <w:snapToGrid w:val="0"/>
                <w:sz w:val="20"/>
              </w:rPr>
            </w:pPr>
            <w:r w:rsidRPr="00E850A7">
              <w:rPr>
                <w:rFonts w:ascii="Arial Narrow" w:hAnsi="Arial Narrow"/>
                <w:b/>
                <w:snapToGrid w:val="0"/>
                <w:sz w:val="20"/>
              </w:rPr>
              <w:t xml:space="preserve">MET + EMPA 25 mg </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napToGrid w:val="0"/>
                <w:sz w:val="20"/>
              </w:rPr>
              <w:t>+ LINA</w:t>
            </w:r>
          </w:p>
        </w:tc>
        <w:tc>
          <w:tcPr>
            <w:tcW w:w="2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n</w:t>
            </w:r>
          </w:p>
        </w:tc>
        <w:tc>
          <w:tcPr>
            <w:tcW w:w="823" w:type="pct"/>
            <w:vAlign w:val="center"/>
          </w:tcPr>
          <w:p w:rsidR="00AF47F6" w:rsidRPr="00E850A7" w:rsidRDefault="00AF47F6" w:rsidP="00F06FC0">
            <w:pPr>
              <w:widowControl w:val="0"/>
              <w:spacing w:before="40" w:after="40"/>
              <w:ind w:right="67"/>
              <w:contextualSpacing/>
              <w:jc w:val="center"/>
              <w:rPr>
                <w:rFonts w:ascii="Arial Narrow" w:hAnsi="Arial Narrow"/>
                <w:b/>
                <w:snapToGrid w:val="0"/>
                <w:sz w:val="20"/>
              </w:rPr>
            </w:pPr>
            <w:r w:rsidRPr="00E850A7">
              <w:rPr>
                <w:rFonts w:ascii="Arial Narrow" w:hAnsi="Arial Narrow"/>
                <w:b/>
                <w:snapToGrid w:val="0"/>
                <w:sz w:val="20"/>
              </w:rPr>
              <w:t xml:space="preserve">MET + </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napToGrid w:val="0"/>
                <w:sz w:val="20"/>
              </w:rPr>
              <w:t>EMPA or DAPA</w:t>
            </w:r>
            <w:r w:rsidR="00ED32D1" w:rsidRPr="00E850A7">
              <w:rPr>
                <w:rFonts w:ascii="Arial Narrow" w:hAnsi="Arial Narrow"/>
                <w:b/>
                <w:snapToGrid w:val="0"/>
                <w:sz w:val="20"/>
              </w:rPr>
              <w:t>*</w:t>
            </w:r>
          </w:p>
        </w:tc>
        <w:tc>
          <w:tcPr>
            <w:tcW w:w="223" w:type="pct"/>
            <w:vAlign w:val="center"/>
          </w:tcPr>
          <w:p w:rsidR="00AF47F6" w:rsidRPr="00E850A7" w:rsidRDefault="00857594"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N</w:t>
            </w:r>
          </w:p>
        </w:tc>
        <w:tc>
          <w:tcPr>
            <w:tcW w:w="747" w:type="pct"/>
            <w:vAlign w:val="center"/>
          </w:tcPr>
          <w:p w:rsidR="00AF47F6" w:rsidRPr="00E850A7" w:rsidRDefault="00AF47F6" w:rsidP="00F06FC0">
            <w:pPr>
              <w:widowControl w:val="0"/>
              <w:spacing w:before="40" w:after="40"/>
              <w:ind w:left="-66" w:right="-66"/>
              <w:jc w:val="center"/>
              <w:rPr>
                <w:rFonts w:ascii="Arial Narrow" w:hAnsi="Arial Narrow"/>
                <w:b/>
                <w:snapToGrid w:val="0"/>
                <w:sz w:val="20"/>
              </w:rPr>
            </w:pPr>
            <w:r w:rsidRPr="00E850A7">
              <w:rPr>
                <w:rFonts w:ascii="Arial Narrow" w:hAnsi="Arial Narrow"/>
                <w:b/>
                <w:snapToGrid w:val="0"/>
                <w:sz w:val="20"/>
              </w:rPr>
              <w:t xml:space="preserve">MET + DAPA </w:t>
            </w:r>
          </w:p>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b/>
                <w:snapToGrid w:val="0"/>
                <w:sz w:val="20"/>
              </w:rPr>
              <w:t>+ SAXA</w:t>
            </w:r>
          </w:p>
        </w:tc>
        <w:tc>
          <w:tcPr>
            <w:tcW w:w="831" w:type="pct"/>
            <w:vMerge/>
            <w:vAlign w:val="center"/>
          </w:tcPr>
          <w:p w:rsidR="00AF47F6" w:rsidRPr="00E850A7" w:rsidRDefault="00AF47F6" w:rsidP="00F06FC0">
            <w:pPr>
              <w:spacing w:before="40" w:after="40"/>
              <w:rPr>
                <w:rFonts w:ascii="Arial Narrow" w:hAnsi="Arial Narrow" w:cs="Times New Roman"/>
                <w:snapToGrid w:val="0"/>
                <w:sz w:val="20"/>
              </w:rPr>
            </w:pPr>
          </w:p>
        </w:tc>
      </w:tr>
      <w:tr w:rsidR="00AF47F6" w:rsidRPr="00E850A7" w:rsidTr="009F1F5F">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1275.10 (24 wks)</w:t>
            </w:r>
          </w:p>
        </w:tc>
        <w:tc>
          <w:tcPr>
            <w:tcW w:w="232"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109</w:t>
            </w:r>
          </w:p>
        </w:tc>
        <w:tc>
          <w:tcPr>
            <w:tcW w:w="915"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-0.58 (0.73)</w:t>
            </w:r>
          </w:p>
        </w:tc>
        <w:tc>
          <w:tcPr>
            <w:tcW w:w="215"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108</w:t>
            </w:r>
          </w:p>
        </w:tc>
        <w:tc>
          <w:tcPr>
            <w:tcW w:w="823"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-0.10 (0.73)</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747"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8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-0.48 (-0.67, -0.29)</w:t>
            </w:r>
          </w:p>
        </w:tc>
      </w:tr>
      <w:tr w:rsidR="00AF47F6" w:rsidRPr="00E850A7" w:rsidTr="009F1F5F">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Matthaei 2015 (24 wks)</w:t>
            </w:r>
          </w:p>
        </w:tc>
        <w:tc>
          <w:tcPr>
            <w:tcW w:w="232"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9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215"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162</w:t>
            </w:r>
          </w:p>
        </w:tc>
        <w:tc>
          <w:tcPr>
            <w:tcW w:w="823"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-0.16 (0.78)</w:t>
            </w:r>
          </w:p>
        </w:tc>
        <w:tc>
          <w:tcPr>
            <w:tcW w:w="223"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snapToGrid w:val="0"/>
                <w:sz w:val="20"/>
              </w:rPr>
              <w:t>153</w:t>
            </w:r>
          </w:p>
        </w:tc>
        <w:tc>
          <w:tcPr>
            <w:tcW w:w="747" w:type="pct"/>
            <w:vAlign w:val="bottom"/>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snapToGrid w:val="0"/>
                <w:sz w:val="20"/>
              </w:rPr>
              <w:t>-0.51 (0.75)</w:t>
            </w:r>
          </w:p>
        </w:tc>
        <w:tc>
          <w:tcPr>
            <w:tcW w:w="831" w:type="pct"/>
            <w:vAlign w:val="center"/>
          </w:tcPr>
          <w:p w:rsidR="00AF47F6" w:rsidRPr="00E850A7" w:rsidRDefault="00AF47F6" w:rsidP="00F06FC0">
            <w:pPr>
              <w:spacing w:before="40" w:after="40"/>
              <w:jc w:val="center"/>
              <w:rPr>
                <w:rFonts w:ascii="Arial Narrow" w:hAnsi="Arial Narrow" w:cs="Times New Roman"/>
                <w:snapToGrid w:val="0"/>
                <w:sz w:val="20"/>
              </w:rPr>
            </w:pPr>
            <w:r w:rsidRPr="00E850A7">
              <w:rPr>
                <w:rFonts w:ascii="Arial Narrow" w:hAnsi="Arial Narrow" w:cs="Arial"/>
                <w:b/>
                <w:snapToGrid w:val="0"/>
                <w:sz w:val="20"/>
              </w:rPr>
              <w:t>-0.35 (-0.52, -0.18)</w:t>
            </w:r>
          </w:p>
        </w:tc>
      </w:tr>
      <w:tr w:rsidR="00AF47F6" w:rsidRPr="00E850A7" w:rsidTr="009F1F5F">
        <w:tc>
          <w:tcPr>
            <w:tcW w:w="4169" w:type="pct"/>
            <w:gridSpan w:val="7"/>
            <w:vAlign w:val="center"/>
          </w:tcPr>
          <w:p w:rsidR="00AF47F6" w:rsidRPr="00E850A7" w:rsidRDefault="00AF47F6" w:rsidP="00F06FC0">
            <w:pPr>
              <w:tabs>
                <w:tab w:val="right" w:pos="7532"/>
              </w:tabs>
              <w:spacing w:before="40" w:after="40"/>
              <w:rPr>
                <w:rFonts w:ascii="Arial Narrow" w:hAnsi="Arial Narrow" w:cs="Times New Roman"/>
                <w:snapToGrid w:val="0"/>
                <w:sz w:val="20"/>
              </w:rPr>
            </w:pPr>
            <w:r w:rsidRPr="00E850A7">
              <w:rPr>
                <w:rFonts w:ascii="Arial Narrow" w:hAnsi="Arial Narrow"/>
                <w:snapToGrid w:val="0"/>
                <w:sz w:val="20"/>
              </w:rPr>
              <w:t>Indirect comparison:</w:t>
            </w:r>
            <w:r w:rsidRPr="00E850A7">
              <w:rPr>
                <w:rFonts w:ascii="Arial Narrow" w:hAnsi="Arial Narrow"/>
                <w:snapToGrid w:val="0"/>
                <w:sz w:val="20"/>
              </w:rPr>
              <w:tab/>
              <w:t>empagliflozin 25 mg + linagliptin 5 mg vs dapagliflozin 10 mg + saxagliptin 5 mg</w:t>
            </w:r>
          </w:p>
        </w:tc>
        <w:tc>
          <w:tcPr>
            <w:tcW w:w="831" w:type="pct"/>
            <w:vAlign w:val="center"/>
          </w:tcPr>
          <w:p w:rsidR="00AF47F6" w:rsidRPr="005D428A" w:rsidRDefault="005D428A" w:rsidP="00F06FC0">
            <w:pPr>
              <w:spacing w:before="40" w:after="40"/>
              <w:jc w:val="center"/>
              <w:rPr>
                <w:rFonts w:ascii="Arial Narrow" w:hAnsi="Arial Narrow" w:cs="Times New Roman"/>
                <w:snapToGrid w:val="0"/>
                <w:sz w:val="20"/>
                <w:highlight w:val="black"/>
              </w:rPr>
            </w:pPr>
            <w:r>
              <w:rPr>
                <w:rFonts w:ascii="Arial Narrow" w:hAnsi="Arial Narrow" w:cs="Arial"/>
                <w:noProof/>
                <w:snapToGrid w:val="0"/>
                <w:color w:val="000000"/>
                <w:sz w:val="20"/>
                <w:highlight w:val="black"/>
              </w:rPr>
              <w:t>''''''''''''' '''''''''''''''' '''''''''''''</w:t>
            </w:r>
          </w:p>
        </w:tc>
      </w:tr>
    </w:tbl>
    <w:p w:rsidR="00AF47F6" w:rsidRPr="00E850A7" w:rsidRDefault="00AF47F6" w:rsidP="00F06FC0">
      <w:pPr>
        <w:spacing w:before="0" w:after="0"/>
        <w:rPr>
          <w:rFonts w:ascii="Arial Narrow" w:hAnsi="Arial Narrow" w:cs="Times New Roman"/>
          <w:snapToGrid w:val="0"/>
          <w:sz w:val="2"/>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6"/>
        <w:gridCol w:w="422"/>
        <w:gridCol w:w="1665"/>
        <w:gridCol w:w="391"/>
        <w:gridCol w:w="1498"/>
        <w:gridCol w:w="406"/>
        <w:gridCol w:w="1360"/>
        <w:gridCol w:w="1513"/>
      </w:tblGrid>
      <w:tr w:rsidR="00AF47F6" w:rsidRPr="00E850A7" w:rsidTr="009F1F5F">
        <w:tc>
          <w:tcPr>
            <w:tcW w:w="1014" w:type="pct"/>
            <w:vAlign w:val="center"/>
          </w:tcPr>
          <w:p w:rsidR="00AF47F6" w:rsidRPr="00E850A7" w:rsidRDefault="00AF47F6" w:rsidP="00F06FC0">
            <w:pPr>
              <w:spacing w:before="40" w:after="40"/>
              <w:rPr>
                <w:rFonts w:ascii="Arial Narrow" w:hAnsi="Arial Narrow" w:cs="Times New Roman"/>
                <w:snapToGrid w:val="0"/>
                <w:sz w:val="20"/>
              </w:rPr>
            </w:pPr>
          </w:p>
        </w:tc>
        <w:tc>
          <w:tcPr>
            <w:tcW w:w="232" w:type="pct"/>
            <w:vAlign w:val="center"/>
          </w:tcPr>
          <w:p w:rsidR="00AF47F6" w:rsidRPr="00E850A7" w:rsidRDefault="00FF24BB"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N</w:t>
            </w:r>
          </w:p>
        </w:tc>
        <w:tc>
          <w:tcPr>
            <w:tcW w:w="915" w:type="pct"/>
            <w:vAlign w:val="center"/>
          </w:tcPr>
          <w:p w:rsidR="00AF47F6" w:rsidRPr="00E850A7" w:rsidRDefault="00AF47F6" w:rsidP="00F06FC0">
            <w:pPr>
              <w:widowControl w:val="0"/>
              <w:spacing w:before="40" w:after="40"/>
              <w:ind w:left="-66" w:right="-66"/>
              <w:jc w:val="center"/>
              <w:rPr>
                <w:rFonts w:ascii="Arial Narrow" w:hAnsi="Arial Narrow"/>
                <w:b/>
                <w:snapToGrid w:val="0"/>
                <w:sz w:val="20"/>
              </w:rPr>
            </w:pPr>
            <w:r w:rsidRPr="00E850A7">
              <w:rPr>
                <w:rFonts w:ascii="Arial Narrow" w:hAnsi="Arial Narrow"/>
                <w:b/>
                <w:snapToGrid w:val="0"/>
                <w:sz w:val="20"/>
              </w:rPr>
              <w:t xml:space="preserve">MET + EMPA 10 mg </w:t>
            </w:r>
          </w:p>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napToGrid w:val="0"/>
                <w:sz w:val="20"/>
              </w:rPr>
              <w:t>+ LINA</w:t>
            </w:r>
          </w:p>
        </w:tc>
        <w:tc>
          <w:tcPr>
            <w:tcW w:w="215" w:type="pct"/>
            <w:vAlign w:val="center"/>
          </w:tcPr>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n</w:t>
            </w:r>
          </w:p>
        </w:tc>
        <w:tc>
          <w:tcPr>
            <w:tcW w:w="823" w:type="pct"/>
            <w:vAlign w:val="center"/>
          </w:tcPr>
          <w:p w:rsidR="00AF47F6" w:rsidRPr="00E850A7" w:rsidRDefault="00AF47F6" w:rsidP="00F06FC0">
            <w:pPr>
              <w:widowControl w:val="0"/>
              <w:spacing w:before="40" w:after="40"/>
              <w:ind w:right="67"/>
              <w:contextualSpacing/>
              <w:jc w:val="center"/>
              <w:rPr>
                <w:rFonts w:ascii="Arial Narrow" w:hAnsi="Arial Narrow"/>
                <w:b/>
                <w:snapToGrid w:val="0"/>
                <w:sz w:val="20"/>
              </w:rPr>
            </w:pPr>
            <w:r w:rsidRPr="00E850A7">
              <w:rPr>
                <w:rFonts w:ascii="Arial Narrow" w:hAnsi="Arial Narrow"/>
                <w:b/>
                <w:snapToGrid w:val="0"/>
                <w:sz w:val="20"/>
              </w:rPr>
              <w:t xml:space="preserve">MET + </w:t>
            </w:r>
          </w:p>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napToGrid w:val="0"/>
                <w:sz w:val="20"/>
              </w:rPr>
              <w:t>EMPA or DAPA</w:t>
            </w:r>
            <w:r w:rsidR="00ED32D1" w:rsidRPr="00E850A7">
              <w:rPr>
                <w:rFonts w:ascii="Arial Narrow" w:hAnsi="Arial Narrow"/>
                <w:b/>
                <w:snapToGrid w:val="0"/>
                <w:sz w:val="20"/>
              </w:rPr>
              <w:t>*</w:t>
            </w:r>
          </w:p>
        </w:tc>
        <w:tc>
          <w:tcPr>
            <w:tcW w:w="223" w:type="pct"/>
            <w:vAlign w:val="center"/>
          </w:tcPr>
          <w:p w:rsidR="00AF47F6" w:rsidRPr="00E850A7" w:rsidRDefault="00857594" w:rsidP="00F06FC0">
            <w:pPr>
              <w:spacing w:before="40" w:after="40"/>
              <w:jc w:val="center"/>
              <w:rPr>
                <w:rFonts w:ascii="Arial Narrow" w:hAnsi="Arial Narrow" w:cs="Times New Roman"/>
                <w:b/>
                <w:snapToGrid w:val="0"/>
                <w:sz w:val="20"/>
              </w:rPr>
            </w:pPr>
            <w:r w:rsidRPr="00E850A7">
              <w:rPr>
                <w:rFonts w:ascii="Arial Narrow" w:hAnsi="Arial Narrow" w:cs="Arial"/>
                <w:b/>
                <w:snapToGrid w:val="0"/>
                <w:sz w:val="20"/>
              </w:rPr>
              <w:t>N</w:t>
            </w:r>
          </w:p>
        </w:tc>
        <w:tc>
          <w:tcPr>
            <w:tcW w:w="747" w:type="pct"/>
            <w:vAlign w:val="center"/>
          </w:tcPr>
          <w:p w:rsidR="00AF47F6" w:rsidRPr="00E850A7" w:rsidRDefault="00AF47F6" w:rsidP="00F06FC0">
            <w:pPr>
              <w:widowControl w:val="0"/>
              <w:spacing w:before="40" w:after="40"/>
              <w:ind w:left="-66" w:right="-66"/>
              <w:jc w:val="center"/>
              <w:rPr>
                <w:rFonts w:ascii="Arial Narrow" w:hAnsi="Arial Narrow"/>
                <w:b/>
                <w:snapToGrid w:val="0"/>
                <w:sz w:val="20"/>
              </w:rPr>
            </w:pPr>
            <w:r w:rsidRPr="00E850A7">
              <w:rPr>
                <w:rFonts w:ascii="Arial Narrow" w:hAnsi="Arial Narrow"/>
                <w:b/>
                <w:snapToGrid w:val="0"/>
                <w:sz w:val="20"/>
              </w:rPr>
              <w:t xml:space="preserve">MET + DAPA </w:t>
            </w:r>
          </w:p>
          <w:p w:rsidR="00AF47F6" w:rsidRPr="00E850A7" w:rsidRDefault="00AF47F6" w:rsidP="00F06FC0">
            <w:pPr>
              <w:spacing w:before="40" w:after="40"/>
              <w:jc w:val="center"/>
              <w:rPr>
                <w:rFonts w:ascii="Arial Narrow" w:hAnsi="Arial Narrow" w:cs="Times New Roman"/>
                <w:b/>
                <w:snapToGrid w:val="0"/>
                <w:sz w:val="20"/>
              </w:rPr>
            </w:pPr>
            <w:r w:rsidRPr="00E850A7">
              <w:rPr>
                <w:rFonts w:ascii="Arial Narrow" w:hAnsi="Arial Narrow"/>
                <w:b/>
                <w:snapToGrid w:val="0"/>
                <w:sz w:val="20"/>
              </w:rPr>
              <w:t>+ SAXA</w:t>
            </w:r>
          </w:p>
        </w:tc>
        <w:tc>
          <w:tcPr>
            <w:tcW w:w="831" w:type="pct"/>
            <w:vAlign w:val="center"/>
          </w:tcPr>
          <w:p w:rsidR="00AF47F6" w:rsidRPr="00E850A7" w:rsidRDefault="00AF47F6" w:rsidP="00F06FC0">
            <w:pPr>
              <w:spacing w:before="40" w:after="40"/>
              <w:rPr>
                <w:rFonts w:ascii="Arial Narrow" w:hAnsi="Arial Narrow" w:cs="Times New Roman"/>
                <w:snapToGrid w:val="0"/>
                <w:sz w:val="20"/>
              </w:rPr>
            </w:pPr>
          </w:p>
        </w:tc>
      </w:tr>
      <w:tr w:rsidR="00AF47F6" w:rsidRPr="00E850A7" w:rsidTr="005D489A">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1275.10 (24 wks)</w:t>
            </w:r>
          </w:p>
        </w:tc>
        <w:tc>
          <w:tcPr>
            <w:tcW w:w="232" w:type="pct"/>
            <w:vAlign w:val="bottom"/>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napToGrid w:val="0"/>
                <w:sz w:val="20"/>
              </w:rPr>
              <w:t>122</w:t>
            </w:r>
          </w:p>
        </w:tc>
        <w:tc>
          <w:tcPr>
            <w:tcW w:w="915" w:type="pct"/>
            <w:vAlign w:val="bottom"/>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-0.53 (0.77)</w:t>
            </w:r>
          </w:p>
        </w:tc>
        <w:tc>
          <w:tcPr>
            <w:tcW w:w="215" w:type="pct"/>
            <w:vAlign w:val="bottom"/>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napToGrid w:val="0"/>
                <w:sz w:val="20"/>
              </w:rPr>
              <w:t>125</w:t>
            </w:r>
          </w:p>
        </w:tc>
        <w:tc>
          <w:tcPr>
            <w:tcW w:w="823" w:type="pct"/>
            <w:vAlign w:val="bottom"/>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0.21 (0.78)</w:t>
            </w:r>
          </w:p>
        </w:tc>
        <w:tc>
          <w:tcPr>
            <w:tcW w:w="223" w:type="pct"/>
            <w:vAlign w:val="center"/>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747" w:type="pct"/>
            <w:vAlign w:val="center"/>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831" w:type="pct"/>
            <w:vAlign w:val="center"/>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b/>
                <w:snapToGrid w:val="0"/>
                <w:sz w:val="20"/>
              </w:rPr>
              <w:t>-0.32 (-0.51, -0.13</w:t>
            </w:r>
            <w:r w:rsidR="005D489A" w:rsidRPr="00E850A7">
              <w:rPr>
                <w:rFonts w:ascii="Arial Narrow" w:hAnsi="Arial Narrow" w:cs="Arial"/>
                <w:b/>
                <w:snapToGrid w:val="0"/>
                <w:sz w:val="20"/>
              </w:rPr>
              <w:t>)</w:t>
            </w:r>
          </w:p>
        </w:tc>
      </w:tr>
      <w:tr w:rsidR="00AF47F6" w:rsidRPr="00E850A7" w:rsidTr="005D489A">
        <w:tc>
          <w:tcPr>
            <w:tcW w:w="1014" w:type="pct"/>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Matthaei 2015 (24 wks)</w:t>
            </w:r>
          </w:p>
        </w:tc>
        <w:tc>
          <w:tcPr>
            <w:tcW w:w="232" w:type="pct"/>
            <w:vAlign w:val="center"/>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cs="Arial"/>
                <w:snapToGrid w:val="0"/>
                <w:sz w:val="20"/>
              </w:rPr>
              <w:t>-</w:t>
            </w:r>
          </w:p>
        </w:tc>
        <w:tc>
          <w:tcPr>
            <w:tcW w:w="915" w:type="pct"/>
            <w:vAlign w:val="center"/>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w:t>
            </w:r>
          </w:p>
        </w:tc>
        <w:tc>
          <w:tcPr>
            <w:tcW w:w="215" w:type="pct"/>
            <w:vAlign w:val="center"/>
          </w:tcPr>
          <w:p w:rsidR="00AF47F6" w:rsidRPr="00E850A7" w:rsidRDefault="00AF47F6" w:rsidP="00F06FC0">
            <w:pPr>
              <w:spacing w:before="40" w:after="40"/>
              <w:rPr>
                <w:rFonts w:ascii="Arial Narrow" w:hAnsi="Arial Narrow" w:cs="Times New Roman"/>
                <w:snapToGrid w:val="0"/>
                <w:sz w:val="20"/>
              </w:rPr>
            </w:pPr>
            <w:r w:rsidRPr="00E850A7">
              <w:rPr>
                <w:rFonts w:ascii="Arial Narrow" w:hAnsi="Arial Narrow"/>
                <w:snapToGrid w:val="0"/>
                <w:sz w:val="20"/>
              </w:rPr>
              <w:t>162</w:t>
            </w:r>
          </w:p>
        </w:tc>
        <w:tc>
          <w:tcPr>
            <w:tcW w:w="823" w:type="pct"/>
            <w:vAlign w:val="bottom"/>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-0.16 (0.78)</w:t>
            </w:r>
          </w:p>
        </w:tc>
        <w:tc>
          <w:tcPr>
            <w:tcW w:w="223" w:type="pct"/>
            <w:vAlign w:val="center"/>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snapToGrid w:val="0"/>
                <w:sz w:val="20"/>
              </w:rPr>
              <w:t>153</w:t>
            </w:r>
          </w:p>
        </w:tc>
        <w:tc>
          <w:tcPr>
            <w:tcW w:w="747" w:type="pct"/>
            <w:vAlign w:val="bottom"/>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snapToGrid w:val="0"/>
                <w:sz w:val="20"/>
              </w:rPr>
              <w:t>-0.51 (0.75)</w:t>
            </w:r>
          </w:p>
        </w:tc>
        <w:tc>
          <w:tcPr>
            <w:tcW w:w="831" w:type="pct"/>
            <w:vAlign w:val="center"/>
          </w:tcPr>
          <w:p w:rsidR="00AF47F6" w:rsidRPr="00E850A7" w:rsidRDefault="00AF47F6" w:rsidP="005D489A">
            <w:pPr>
              <w:spacing w:before="40" w:after="40"/>
              <w:jc w:val="center"/>
              <w:rPr>
                <w:rFonts w:ascii="Arial Narrow" w:hAnsi="Arial Narrow" w:cs="Times New Roman"/>
                <w:snapToGrid w:val="0"/>
                <w:sz w:val="20"/>
              </w:rPr>
            </w:pPr>
            <w:r w:rsidRPr="00E850A7">
              <w:rPr>
                <w:rFonts w:ascii="Arial Narrow" w:hAnsi="Arial Narrow" w:cs="Arial"/>
                <w:b/>
                <w:snapToGrid w:val="0"/>
                <w:sz w:val="20"/>
              </w:rPr>
              <w:t>-0.35 (-0.52, -0.18)</w:t>
            </w:r>
          </w:p>
        </w:tc>
      </w:tr>
      <w:tr w:rsidR="00AF47F6" w:rsidRPr="00E850A7" w:rsidTr="005D489A">
        <w:tc>
          <w:tcPr>
            <w:tcW w:w="4169" w:type="pct"/>
            <w:gridSpan w:val="7"/>
            <w:vAlign w:val="center"/>
          </w:tcPr>
          <w:p w:rsidR="00AF47F6" w:rsidRPr="00E850A7" w:rsidRDefault="00AF47F6" w:rsidP="00F06FC0">
            <w:pPr>
              <w:tabs>
                <w:tab w:val="right" w:pos="7513"/>
              </w:tabs>
              <w:spacing w:before="40" w:after="40"/>
              <w:rPr>
                <w:rFonts w:ascii="Arial Narrow" w:hAnsi="Arial Narrow" w:cs="Times New Roman"/>
                <w:snapToGrid w:val="0"/>
                <w:sz w:val="20"/>
              </w:rPr>
            </w:pPr>
            <w:r w:rsidRPr="00E850A7">
              <w:rPr>
                <w:rFonts w:ascii="Arial Narrow" w:hAnsi="Arial Narrow"/>
                <w:snapToGrid w:val="0"/>
                <w:sz w:val="20"/>
              </w:rPr>
              <w:t>Indirect comparison:</w:t>
            </w:r>
            <w:r w:rsidRPr="00E850A7">
              <w:rPr>
                <w:rFonts w:ascii="Arial Narrow" w:hAnsi="Arial Narrow"/>
                <w:snapToGrid w:val="0"/>
                <w:sz w:val="20"/>
              </w:rPr>
              <w:tab/>
              <w:t>empagliflozin 10 mg + linagliptin 5 mg vs dapagliflozin 10 mg + saxagliptin 5 mg</w:t>
            </w:r>
          </w:p>
        </w:tc>
        <w:tc>
          <w:tcPr>
            <w:tcW w:w="831" w:type="pct"/>
            <w:vAlign w:val="center"/>
          </w:tcPr>
          <w:p w:rsidR="00AF47F6" w:rsidRPr="005D428A" w:rsidRDefault="005D428A" w:rsidP="005D489A">
            <w:pPr>
              <w:spacing w:before="40" w:after="40"/>
              <w:jc w:val="center"/>
              <w:rPr>
                <w:rFonts w:ascii="Arial Narrow" w:hAnsi="Arial Narrow" w:cs="Times New Roman"/>
                <w:snapToGrid w:val="0"/>
                <w:sz w:val="20"/>
                <w:highlight w:val="black"/>
              </w:rPr>
            </w:pPr>
            <w:r>
              <w:rPr>
                <w:rFonts w:ascii="Arial Narrow" w:hAnsi="Arial Narrow" w:cs="Arial"/>
                <w:noProof/>
                <w:snapToGrid w:val="0"/>
                <w:color w:val="000000"/>
                <w:sz w:val="20"/>
                <w:highlight w:val="black"/>
              </w:rPr>
              <w:t>''''''''''' '''''''''''''''' ''''''''''''''</w:t>
            </w:r>
          </w:p>
        </w:tc>
      </w:tr>
      <w:tr w:rsidR="00AF47F6" w:rsidRPr="00E850A7" w:rsidTr="005D489A">
        <w:tc>
          <w:tcPr>
            <w:tcW w:w="4169" w:type="pct"/>
            <w:gridSpan w:val="7"/>
            <w:vAlign w:val="center"/>
          </w:tcPr>
          <w:p w:rsidR="00AF47F6" w:rsidRPr="00E850A7" w:rsidRDefault="00AF47F6" w:rsidP="00F06FC0">
            <w:pPr>
              <w:tabs>
                <w:tab w:val="right" w:pos="7513"/>
              </w:tabs>
              <w:spacing w:before="40" w:after="40"/>
              <w:rPr>
                <w:rFonts w:ascii="Arial Narrow" w:hAnsi="Arial Narrow" w:cs="Times New Roman"/>
                <w:snapToGrid w:val="0"/>
                <w:sz w:val="20"/>
              </w:rPr>
            </w:pPr>
            <w:r w:rsidRPr="00E850A7">
              <w:rPr>
                <w:rFonts w:ascii="Arial Narrow" w:hAnsi="Arial Narrow"/>
                <w:snapToGrid w:val="0"/>
                <w:sz w:val="20"/>
              </w:rPr>
              <w:t>Indirect comparison:</w:t>
            </w:r>
            <w:r w:rsidRPr="00E850A7">
              <w:rPr>
                <w:rFonts w:ascii="Arial Narrow" w:hAnsi="Arial Narrow"/>
                <w:snapToGrid w:val="0"/>
                <w:sz w:val="20"/>
              </w:rPr>
              <w:tab/>
              <w:t>pooled</w:t>
            </w:r>
          </w:p>
        </w:tc>
        <w:tc>
          <w:tcPr>
            <w:tcW w:w="831" w:type="pct"/>
            <w:vAlign w:val="center"/>
          </w:tcPr>
          <w:p w:rsidR="00AF47F6" w:rsidRPr="005D428A" w:rsidRDefault="005D428A" w:rsidP="005D489A">
            <w:pPr>
              <w:spacing w:before="40" w:after="40"/>
              <w:jc w:val="center"/>
              <w:rPr>
                <w:rFonts w:ascii="Arial Narrow" w:hAnsi="Arial Narrow" w:cs="Times New Roman"/>
                <w:snapToGrid w:val="0"/>
                <w:sz w:val="20"/>
                <w:highlight w:val="black"/>
              </w:rPr>
            </w:pPr>
            <w:r>
              <w:rPr>
                <w:rFonts w:ascii="Arial Narrow" w:hAnsi="Arial Narrow" w:cs="Arial"/>
                <w:noProof/>
                <w:snapToGrid w:val="0"/>
                <w:color w:val="000000"/>
                <w:sz w:val="20"/>
                <w:highlight w:val="black"/>
              </w:rPr>
              <w:t>'''''''''''' '''''''''''''''' '''''''''''''</w:t>
            </w:r>
          </w:p>
        </w:tc>
      </w:tr>
    </w:tbl>
    <w:p w:rsidR="00AF47F6" w:rsidRPr="00E850A7" w:rsidRDefault="00AF47F6" w:rsidP="00F06FC0">
      <w:pPr>
        <w:widowControl w:val="0"/>
        <w:spacing w:before="0" w:after="0"/>
        <w:jc w:val="both"/>
        <w:rPr>
          <w:rFonts w:ascii="Arial Narrow" w:eastAsia="Times New Roman" w:hAnsi="Arial Narrow" w:cs="Arial"/>
          <w:snapToGrid w:val="0"/>
          <w:sz w:val="18"/>
          <w:szCs w:val="16"/>
        </w:rPr>
      </w:pPr>
      <w:r w:rsidRPr="00E850A7">
        <w:rPr>
          <w:rFonts w:ascii="Arial Narrow" w:eastAsia="Times New Roman" w:hAnsi="Arial Narrow" w:cs="Arial"/>
          <w:snapToGrid w:val="0"/>
          <w:sz w:val="18"/>
          <w:szCs w:val="16"/>
        </w:rPr>
        <w:t>Source: Table B.206, p.581 of the resubmission. (Statistically significant results in bold).</w:t>
      </w:r>
    </w:p>
    <w:p w:rsidR="00AF47F6" w:rsidRPr="00E850A7" w:rsidRDefault="00AF47F6" w:rsidP="00F06FC0">
      <w:pPr>
        <w:widowControl w:val="0"/>
        <w:spacing w:before="0" w:after="0"/>
        <w:jc w:val="both"/>
        <w:rPr>
          <w:rFonts w:ascii="Arial Narrow" w:eastAsia="Times New Roman" w:hAnsi="Arial Narrow" w:cs="Arial"/>
          <w:snapToGrid w:val="0"/>
          <w:sz w:val="18"/>
          <w:szCs w:val="16"/>
        </w:rPr>
      </w:pPr>
      <w:r w:rsidRPr="00E850A7">
        <w:rPr>
          <w:rFonts w:ascii="Arial Narrow" w:eastAsia="Times New Roman" w:hAnsi="Arial Narrow" w:cs="Arial"/>
          <w:snapToGrid w:val="0"/>
          <w:sz w:val="18"/>
          <w:szCs w:val="16"/>
        </w:rPr>
        <w:t>Note: Standard deviation and weight mean difference calculated post hoc for the March 2017 submission.</w:t>
      </w:r>
    </w:p>
    <w:p w:rsidR="00AF47F6" w:rsidRPr="00E850A7" w:rsidRDefault="00AF47F6" w:rsidP="00ED32D1">
      <w:pPr>
        <w:spacing w:before="0" w:after="0"/>
        <w:jc w:val="both"/>
        <w:rPr>
          <w:rFonts w:ascii="Arial Narrow" w:eastAsia="Times New Roman" w:hAnsi="Arial Narrow" w:cs="Arial"/>
          <w:snapToGrid w:val="0"/>
          <w:sz w:val="18"/>
          <w:szCs w:val="16"/>
        </w:rPr>
      </w:pPr>
      <w:r w:rsidRPr="00E850A7">
        <w:rPr>
          <w:rFonts w:ascii="Arial Narrow" w:eastAsia="Times New Roman" w:hAnsi="Arial Narrow" w:cs="Arial"/>
          <w:snapToGrid w:val="0"/>
          <w:sz w:val="18"/>
          <w:szCs w:val="16"/>
        </w:rPr>
        <w:t>Abbreviations: CI, confidence interval; DAPA, dapagliflozin; EMPA, empagliflozin; FDC, fixed dose combination; HbA1c, Glycosylated haemoglobin; LINA, linagliptin; MET, metformin; SD, standard deviation; SAXA, saxagliptin; wks, weeks.</w:t>
      </w:r>
    </w:p>
    <w:p w:rsidR="00ED32D1" w:rsidRPr="00E850A7" w:rsidRDefault="00ED32D1" w:rsidP="00ED32D1">
      <w:pPr>
        <w:pStyle w:val="TableFooter"/>
        <w:rPr>
          <w:szCs w:val="16"/>
        </w:rPr>
      </w:pPr>
      <w:r w:rsidRPr="00E850A7">
        <w:rPr>
          <w:szCs w:val="16"/>
        </w:rPr>
        <w:t xml:space="preserve">* Common reference </w:t>
      </w:r>
      <w:r w:rsidR="00F02C62" w:rsidRPr="00E850A7">
        <w:rPr>
          <w:szCs w:val="16"/>
        </w:rPr>
        <w:t>empagliflozin 25 mg or 10 mg</w:t>
      </w:r>
      <w:r w:rsidRPr="00E850A7">
        <w:rPr>
          <w:szCs w:val="16"/>
        </w:rPr>
        <w:t xml:space="preserve"> in Trial 1275.</w:t>
      </w:r>
      <w:r w:rsidR="00F02C62" w:rsidRPr="00E850A7">
        <w:rPr>
          <w:szCs w:val="16"/>
        </w:rPr>
        <w:t>10</w:t>
      </w:r>
      <w:r w:rsidRPr="00E850A7">
        <w:rPr>
          <w:szCs w:val="16"/>
        </w:rPr>
        <w:t xml:space="preserve"> and </w:t>
      </w:r>
      <w:r w:rsidR="00F02C62" w:rsidRPr="00E850A7">
        <w:rPr>
          <w:szCs w:val="16"/>
        </w:rPr>
        <w:t>dapagliflozin 10 mg</w:t>
      </w:r>
      <w:r w:rsidRPr="00E850A7">
        <w:rPr>
          <w:szCs w:val="16"/>
        </w:rPr>
        <w:t xml:space="preserve"> in </w:t>
      </w:r>
      <w:r w:rsidR="00F02C62" w:rsidRPr="00E850A7">
        <w:rPr>
          <w:szCs w:val="16"/>
        </w:rPr>
        <w:t>Matthaei</w:t>
      </w:r>
      <w:r w:rsidRPr="00E850A7">
        <w:rPr>
          <w:szCs w:val="16"/>
        </w:rPr>
        <w:t xml:space="preserve"> 2015.</w:t>
      </w:r>
    </w:p>
    <w:p w:rsidR="00FD73E7" w:rsidRPr="00E850A7" w:rsidRDefault="00AF47F6" w:rsidP="00FE25C2">
      <w:pPr>
        <w:pStyle w:val="ListParagraph"/>
        <w:numPr>
          <w:ilvl w:val="1"/>
          <w:numId w:val="3"/>
        </w:numPr>
        <w:spacing w:before="0" w:after="120"/>
        <w:jc w:val="both"/>
      </w:pPr>
      <w:r w:rsidRPr="00E850A7">
        <w:t>There were no statistically significant differences between empagliflozin with linagliptin FDC and dapagliflozin with saxagliptin in terms of the primary outcome (mean change in HbA1c), and empagliflozin with linagliptin FDC demonstrated noninferiority to dapagliflozin with saxagliptin, the upper confidence intervals falling below the MCID of 0.40% HbA1c.</w:t>
      </w:r>
    </w:p>
    <w:p w:rsidR="00AF47F6" w:rsidRPr="00E850A7" w:rsidRDefault="003B1E69" w:rsidP="00FE25C2">
      <w:pPr>
        <w:pStyle w:val="ListParagraph"/>
        <w:numPr>
          <w:ilvl w:val="1"/>
          <w:numId w:val="3"/>
        </w:numPr>
        <w:spacing w:before="0" w:after="120"/>
        <w:jc w:val="both"/>
        <w:rPr>
          <w:szCs w:val="24"/>
        </w:rPr>
      </w:pPr>
      <w:r w:rsidRPr="00E850A7">
        <w:t>T</w:t>
      </w:r>
      <w:r w:rsidR="00AF47F6" w:rsidRPr="00E850A7">
        <w:t>he comparison between trials 1275.1 (</w:t>
      </w:r>
      <w:r w:rsidR="00B63F94" w:rsidRPr="00E850A7">
        <w:t xml:space="preserve">sub group of patients previously exposed to </w:t>
      </w:r>
      <w:r w:rsidR="00217BD0" w:rsidRPr="00E850A7">
        <w:t xml:space="preserve">metformin) and Rosenstock 2015 </w:t>
      </w:r>
      <w:r w:rsidR="00AF47F6" w:rsidRPr="00E850A7">
        <w:t>using a</w:t>
      </w:r>
      <w:r w:rsidR="006142C8" w:rsidRPr="00E850A7">
        <w:t>n</w:t>
      </w:r>
      <w:r w:rsidR="00AF47F6" w:rsidRPr="00E850A7">
        <w:t xml:space="preserve"> SGLT2 i</w:t>
      </w:r>
      <w:r w:rsidR="00217BD0" w:rsidRPr="00E850A7">
        <w:t>nhibitor (empagliflozin 25 or 10 </w:t>
      </w:r>
      <w:r w:rsidR="00AF47F6" w:rsidRPr="00E850A7">
        <w:t>mg or dapagliflozin) as a common reference, showed superiority of empagliflozin 25</w:t>
      </w:r>
      <w:r w:rsidR="006142C8" w:rsidRPr="00E850A7">
        <w:t> </w:t>
      </w:r>
      <w:r w:rsidR="00AF47F6" w:rsidRPr="00E850A7">
        <w:t>mg with linagliptin FDC over</w:t>
      </w:r>
      <w:r w:rsidRPr="00E850A7">
        <w:t xml:space="preserve"> dapagliflozin </w:t>
      </w:r>
      <w:r w:rsidRPr="00E850A7">
        <w:rPr>
          <w:szCs w:val="24"/>
        </w:rPr>
        <w:t>with saxagliptin</w:t>
      </w:r>
      <w:r w:rsidR="00FD73E7" w:rsidRPr="00E850A7">
        <w:rPr>
          <w:szCs w:val="24"/>
        </w:rPr>
        <w:t xml:space="preserve">. However, </w:t>
      </w:r>
      <w:r w:rsidRPr="00E850A7">
        <w:rPr>
          <w:szCs w:val="24"/>
        </w:rPr>
        <w:t>t</w:t>
      </w:r>
      <w:r w:rsidR="00AF47F6" w:rsidRPr="00E850A7">
        <w:rPr>
          <w:szCs w:val="24"/>
        </w:rPr>
        <w:t>his result may be due to the larger treatment effect of the common reference arm in the Rosenstock 2015 trial (metformin with dapagliflozin).</w:t>
      </w:r>
    </w:p>
    <w:p w:rsidR="00AF47F6" w:rsidRPr="00E850A7" w:rsidRDefault="00AF47F6" w:rsidP="00FE25C2">
      <w:pPr>
        <w:pStyle w:val="ListParagraph"/>
        <w:numPr>
          <w:ilvl w:val="1"/>
          <w:numId w:val="3"/>
        </w:numPr>
        <w:spacing w:before="0" w:after="120"/>
        <w:jc w:val="both"/>
        <w:rPr>
          <w:szCs w:val="24"/>
        </w:rPr>
      </w:pPr>
      <w:r w:rsidRPr="00E850A7">
        <w:rPr>
          <w:szCs w:val="24"/>
        </w:rPr>
        <w:t>Overall, empagliflozin with linagliptin FDC demonstrated noninferiority to dapagliflozin with saxagliptin</w:t>
      </w:r>
      <w:r w:rsidR="003B1E69" w:rsidRPr="00E850A7">
        <w:rPr>
          <w:szCs w:val="24"/>
        </w:rPr>
        <w:t>, in combination with metformin</w:t>
      </w:r>
      <w:r w:rsidRPr="00E850A7">
        <w:rPr>
          <w:szCs w:val="24"/>
        </w:rPr>
        <w:t xml:space="preserve">. </w:t>
      </w:r>
    </w:p>
    <w:p w:rsidR="003B1E69" w:rsidRPr="00E850A7" w:rsidRDefault="003B1E69" w:rsidP="00FE25C2">
      <w:pPr>
        <w:spacing w:before="0" w:after="120"/>
        <w:jc w:val="both"/>
        <w:rPr>
          <w:szCs w:val="24"/>
        </w:rPr>
      </w:pPr>
      <w:r w:rsidRPr="00E850A7">
        <w:rPr>
          <w:szCs w:val="24"/>
          <w:u w:val="single"/>
        </w:rPr>
        <w:t>Empagliflozin with linagliptin FDC vs triple therapies containing sulfonylureas</w:t>
      </w:r>
      <w:r w:rsidRPr="00E850A7">
        <w:rPr>
          <w:szCs w:val="24"/>
        </w:rPr>
        <w:t xml:space="preserve">. </w:t>
      </w:r>
    </w:p>
    <w:p w:rsidR="00577F4F" w:rsidRPr="00E850A7" w:rsidRDefault="00577F4F" w:rsidP="00FE25C2">
      <w:pPr>
        <w:pStyle w:val="ListParagraph"/>
        <w:numPr>
          <w:ilvl w:val="1"/>
          <w:numId w:val="3"/>
        </w:numPr>
        <w:spacing w:before="0" w:after="120"/>
        <w:jc w:val="both"/>
        <w:rPr>
          <w:szCs w:val="24"/>
        </w:rPr>
      </w:pPr>
      <w:r w:rsidRPr="00E850A7">
        <w:rPr>
          <w:szCs w:val="24"/>
        </w:rPr>
        <w:t>The PBAC was concerned that the March 2017 submission had not provided evidence for a clinical or economic comparison against triple oral therapies including metformin</w:t>
      </w:r>
      <w:r w:rsidR="00ED5043" w:rsidRPr="00E850A7">
        <w:rPr>
          <w:szCs w:val="24"/>
        </w:rPr>
        <w:t xml:space="preserve">, </w:t>
      </w:r>
      <w:r w:rsidRPr="00E850A7">
        <w:rPr>
          <w:szCs w:val="24"/>
        </w:rPr>
        <w:t>a sulfonylurea</w:t>
      </w:r>
      <w:r w:rsidR="00ED5043" w:rsidRPr="00E850A7">
        <w:rPr>
          <w:szCs w:val="24"/>
        </w:rPr>
        <w:t xml:space="preserve"> and either a DPP4 or SGLT2 inhibitor.</w:t>
      </w:r>
    </w:p>
    <w:p w:rsidR="00FD73E7" w:rsidRPr="00E850A7" w:rsidRDefault="00FD73E7" w:rsidP="00FE25C2">
      <w:pPr>
        <w:pStyle w:val="ListParagraph"/>
        <w:numPr>
          <w:ilvl w:val="1"/>
          <w:numId w:val="3"/>
        </w:numPr>
        <w:spacing w:before="0" w:after="120"/>
        <w:jc w:val="both"/>
        <w:rPr>
          <w:szCs w:val="24"/>
        </w:rPr>
      </w:pPr>
      <w:r w:rsidRPr="00E850A7">
        <w:rPr>
          <w:szCs w:val="24"/>
        </w:rPr>
        <w:t xml:space="preserve">Several potentially relevant trials were identified </w:t>
      </w:r>
      <w:r w:rsidR="00ED5043" w:rsidRPr="00E850A7">
        <w:rPr>
          <w:szCs w:val="24"/>
        </w:rPr>
        <w:t>in a literature search</w:t>
      </w:r>
      <w:r w:rsidRPr="00E850A7">
        <w:rPr>
          <w:szCs w:val="24"/>
        </w:rPr>
        <w:t xml:space="preserve"> </w:t>
      </w:r>
      <w:r w:rsidR="00ED5043" w:rsidRPr="00E850A7">
        <w:rPr>
          <w:szCs w:val="24"/>
        </w:rPr>
        <w:t>conducted for the resubmission,</w:t>
      </w:r>
      <w:r w:rsidRPr="00E850A7">
        <w:rPr>
          <w:szCs w:val="24"/>
        </w:rPr>
        <w:t xml:space="preserve"> including metformin in combination with a sulfonylurea and a DPP4 or SGLT2 inhibitor (1245.23, Study 5, 1218.18, Study 229, Study 253 and Study 035).</w:t>
      </w:r>
      <w:r w:rsidR="00ED5043" w:rsidRPr="00E850A7">
        <w:rPr>
          <w:szCs w:val="24"/>
        </w:rPr>
        <w:t xml:space="preserve"> </w:t>
      </w:r>
      <w:r w:rsidRPr="00E850A7">
        <w:rPr>
          <w:szCs w:val="24"/>
        </w:rPr>
        <w:t xml:space="preserve"> </w:t>
      </w:r>
      <w:r w:rsidR="00ED5043" w:rsidRPr="00E850A7">
        <w:rPr>
          <w:szCs w:val="24"/>
        </w:rPr>
        <w:t>T</w:t>
      </w:r>
      <w:r w:rsidRPr="00E850A7">
        <w:rPr>
          <w:szCs w:val="24"/>
        </w:rPr>
        <w:t>hese trials were appropriately excluded as they could not be compared with empagliflozin with linagliptin FDC given the absence of common reference arms (none of the FDC trials included a metformin with a sulfonylurea arm).</w:t>
      </w:r>
      <w:r w:rsidR="00ED5043" w:rsidRPr="00E850A7">
        <w:rPr>
          <w:szCs w:val="24"/>
        </w:rPr>
        <w:t xml:space="preserve"> No evidence was presented for this comparison.</w:t>
      </w:r>
      <w:r w:rsidR="0043494E" w:rsidRPr="00E850A7">
        <w:rPr>
          <w:szCs w:val="24"/>
        </w:rPr>
        <w:t xml:space="preserve"> The PSCR (p</w:t>
      </w:r>
      <w:r w:rsidR="0094349E" w:rsidRPr="00E850A7">
        <w:rPr>
          <w:szCs w:val="24"/>
        </w:rPr>
        <w:t>p</w:t>
      </w:r>
      <w:r w:rsidR="0043494E" w:rsidRPr="00E850A7">
        <w:rPr>
          <w:szCs w:val="24"/>
        </w:rPr>
        <w:t>1-2) reiterated that it was not possible to conduct an i</w:t>
      </w:r>
      <w:r w:rsidR="0094349E" w:rsidRPr="00E850A7">
        <w:rPr>
          <w:szCs w:val="24"/>
        </w:rPr>
        <w:t>n</w:t>
      </w:r>
      <w:r w:rsidR="0043494E" w:rsidRPr="00E850A7">
        <w:rPr>
          <w:szCs w:val="24"/>
        </w:rPr>
        <w:t>direct comparison due to the lack of a common treatment arm.</w:t>
      </w:r>
      <w:r w:rsidR="00075D7A" w:rsidRPr="00E850A7">
        <w:rPr>
          <w:szCs w:val="24"/>
        </w:rPr>
        <w:t xml:space="preserve"> The PBAC noted the literature search provided in the submission and considered that it was unlikely that a robust indirect comparison could be conducted for this comparator.</w:t>
      </w:r>
    </w:p>
    <w:p w:rsidR="003B1E69" w:rsidRPr="00E850A7" w:rsidRDefault="003B1E69" w:rsidP="00FE25C2">
      <w:pPr>
        <w:spacing w:before="0" w:after="120"/>
        <w:jc w:val="both"/>
        <w:rPr>
          <w:szCs w:val="24"/>
        </w:rPr>
      </w:pPr>
      <w:r w:rsidRPr="00E850A7">
        <w:rPr>
          <w:szCs w:val="24"/>
          <w:u w:val="single"/>
        </w:rPr>
        <w:t>Empagliflozin with linagliptin FDC vs insulin glargine in treatment naïve patients with type 2 diabetes and impaired renal function</w:t>
      </w:r>
    </w:p>
    <w:p w:rsidR="00FD73E7" w:rsidRPr="00E850A7" w:rsidRDefault="00FD73E7" w:rsidP="00FE25C2">
      <w:pPr>
        <w:pStyle w:val="ListParagraph"/>
        <w:numPr>
          <w:ilvl w:val="1"/>
          <w:numId w:val="3"/>
        </w:numPr>
        <w:spacing w:before="0" w:after="120"/>
        <w:jc w:val="both"/>
        <w:rPr>
          <w:szCs w:val="24"/>
        </w:rPr>
      </w:pPr>
      <w:r w:rsidRPr="00E850A7">
        <w:rPr>
          <w:szCs w:val="24"/>
        </w:rPr>
        <w:t>The results of Trial 1275.1 (treatment naïve population)</w:t>
      </w:r>
      <w:r w:rsidR="004D5F6B" w:rsidRPr="00E850A7">
        <w:rPr>
          <w:szCs w:val="24"/>
        </w:rPr>
        <w:t>,</w:t>
      </w:r>
      <w:r w:rsidRPr="00E850A7">
        <w:rPr>
          <w:szCs w:val="24"/>
        </w:rPr>
        <w:t xml:space="preserve"> </w:t>
      </w:r>
      <w:r w:rsidR="00221E53" w:rsidRPr="00E850A7">
        <w:rPr>
          <w:szCs w:val="24"/>
        </w:rPr>
        <w:t>summarised in Table 1</w:t>
      </w:r>
      <w:r w:rsidR="001010D9" w:rsidRPr="00E850A7">
        <w:rPr>
          <w:szCs w:val="24"/>
        </w:rPr>
        <w:t>0</w:t>
      </w:r>
      <w:r w:rsidR="00221E53" w:rsidRPr="00E850A7">
        <w:rPr>
          <w:szCs w:val="24"/>
        </w:rPr>
        <w:t xml:space="preserve">, </w:t>
      </w:r>
      <w:r w:rsidRPr="00E850A7">
        <w:rPr>
          <w:szCs w:val="24"/>
        </w:rPr>
        <w:t>were presented to support th</w:t>
      </w:r>
      <w:r w:rsidR="00221E53" w:rsidRPr="00E850A7">
        <w:rPr>
          <w:szCs w:val="24"/>
        </w:rPr>
        <w:t>e resubmission’s additional requested restriction</w:t>
      </w:r>
      <w:r w:rsidR="005961D9" w:rsidRPr="00E850A7">
        <w:rPr>
          <w:szCs w:val="24"/>
        </w:rPr>
        <w:t xml:space="preserve"> for</w:t>
      </w:r>
      <w:r w:rsidR="00221E53" w:rsidRPr="00E850A7">
        <w:rPr>
          <w:szCs w:val="24"/>
        </w:rPr>
        <w:t xml:space="preserve"> patients with impaired renal function.</w:t>
      </w:r>
    </w:p>
    <w:p w:rsidR="003B1E69" w:rsidRPr="00E850A7" w:rsidRDefault="003B1E69" w:rsidP="00F06FC0">
      <w:pPr>
        <w:pStyle w:val="TableHeader"/>
        <w:spacing w:after="60"/>
      </w:pPr>
      <w:r w:rsidRPr="00E850A7">
        <w:t>Table 1</w:t>
      </w:r>
      <w:r w:rsidR="00AD7BCD" w:rsidRPr="00E850A7">
        <w:t>1</w:t>
      </w:r>
      <w:r w:rsidRPr="00E850A7">
        <w:t>: Mean change in HbA1c from baseline; direct comparisons of empagliflozin with linagliptin FDC vs linagliptin or empagliflozin (FAS, MMRM, 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74"/>
        <w:gridCol w:w="427"/>
        <w:gridCol w:w="1273"/>
        <w:gridCol w:w="461"/>
        <w:gridCol w:w="1124"/>
        <w:gridCol w:w="1524"/>
      </w:tblGrid>
      <w:tr w:rsidR="003B1E69" w:rsidRPr="00E850A7" w:rsidTr="009F1F5F">
        <w:trPr>
          <w:tblHeader/>
        </w:trPr>
        <w:tc>
          <w:tcPr>
            <w:tcW w:w="2352" w:type="pct"/>
            <w:vAlign w:val="center"/>
          </w:tcPr>
          <w:p w:rsidR="003B1E69" w:rsidRPr="00E850A7" w:rsidRDefault="003B1E69" w:rsidP="00F06FC0">
            <w:pPr>
              <w:spacing w:before="40" w:after="40"/>
              <w:ind w:right="-108"/>
              <w:rPr>
                <w:rFonts w:ascii="Arial Narrow" w:hAnsi="Arial Narrow" w:cs="Times New Roman"/>
                <w:b/>
                <w:sz w:val="20"/>
              </w:rPr>
            </w:pPr>
            <w:r w:rsidRPr="00E850A7">
              <w:rPr>
                <w:rFonts w:ascii="Arial Narrow" w:hAnsi="Arial Narrow" w:cs="Times New Roman"/>
                <w:b/>
                <w:sz w:val="20"/>
              </w:rPr>
              <w:t xml:space="preserve">Trial ID / </w:t>
            </w:r>
            <w:r w:rsidRPr="00E850A7">
              <w:rPr>
                <w:rFonts w:ascii="Arial Narrow" w:hAnsi="Arial Narrow"/>
                <w:b/>
                <w:sz w:val="20"/>
              </w:rPr>
              <w:t xml:space="preserve">Comparison </w:t>
            </w:r>
          </w:p>
        </w:tc>
        <w:tc>
          <w:tcPr>
            <w:tcW w:w="1809" w:type="pct"/>
            <w:gridSpan w:val="4"/>
            <w:vAlign w:val="center"/>
          </w:tcPr>
          <w:p w:rsidR="003B1E69" w:rsidRPr="00E850A7" w:rsidRDefault="003B1E69" w:rsidP="00F06FC0">
            <w:pPr>
              <w:spacing w:before="40" w:after="40"/>
              <w:jc w:val="center"/>
              <w:rPr>
                <w:rFonts w:ascii="Arial Narrow" w:hAnsi="Arial Narrow"/>
                <w:b/>
                <w:sz w:val="20"/>
              </w:rPr>
            </w:pPr>
            <w:r w:rsidRPr="00E850A7">
              <w:rPr>
                <w:rFonts w:ascii="Arial Narrow" w:hAnsi="Arial Narrow"/>
                <w:b/>
                <w:sz w:val="20"/>
              </w:rPr>
              <w:t>Mean change in HbA1c, % (SD)</w:t>
            </w:r>
          </w:p>
        </w:tc>
        <w:tc>
          <w:tcPr>
            <w:tcW w:w="839" w:type="pct"/>
            <w:vMerge w:val="restart"/>
            <w:vAlign w:val="center"/>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b/>
                <w:sz w:val="20"/>
              </w:rPr>
              <w:t>Difference in</w:t>
            </w:r>
          </w:p>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b/>
                <w:sz w:val="20"/>
              </w:rPr>
              <w:t xml:space="preserve">mean change </w:t>
            </w:r>
          </w:p>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b/>
                <w:sz w:val="20"/>
              </w:rPr>
              <w:t>(95% CI)</w:t>
            </w:r>
          </w:p>
        </w:tc>
      </w:tr>
      <w:tr w:rsidR="003B1E69" w:rsidRPr="00E850A7" w:rsidTr="009F1F5F">
        <w:trPr>
          <w:tblHeader/>
        </w:trPr>
        <w:tc>
          <w:tcPr>
            <w:tcW w:w="2352" w:type="pct"/>
            <w:vAlign w:val="center"/>
          </w:tcPr>
          <w:p w:rsidR="003B1E69" w:rsidRPr="00E850A7" w:rsidRDefault="003B1E69" w:rsidP="00F06FC0">
            <w:pPr>
              <w:spacing w:before="40" w:after="40"/>
              <w:rPr>
                <w:rFonts w:ascii="Arial Narrow" w:hAnsi="Arial Narrow" w:cs="Times New Roman"/>
                <w:b/>
                <w:sz w:val="20"/>
              </w:rPr>
            </w:pPr>
            <w:r w:rsidRPr="00E850A7">
              <w:rPr>
                <w:rFonts w:ascii="Arial Narrow" w:hAnsi="Arial Narrow" w:cs="Times New Roman"/>
                <w:b/>
                <w:sz w:val="20"/>
              </w:rPr>
              <w:t>1275.1 (24 wks; treatment naïve)</w:t>
            </w:r>
          </w:p>
        </w:tc>
        <w:tc>
          <w:tcPr>
            <w:tcW w:w="235" w:type="pct"/>
            <w:tcBorders>
              <w:bottom w:val="single" w:sz="4" w:space="0" w:color="auto"/>
            </w:tcBorders>
            <w:vAlign w:val="center"/>
          </w:tcPr>
          <w:p w:rsidR="003B1E69" w:rsidRPr="00E850A7" w:rsidRDefault="003B1E69" w:rsidP="00F06FC0">
            <w:pPr>
              <w:spacing w:before="40" w:after="40"/>
              <w:ind w:right="-28"/>
              <w:jc w:val="center"/>
              <w:rPr>
                <w:rFonts w:ascii="Arial Narrow" w:hAnsi="Arial Narrow" w:cs="Times New Roman"/>
                <w:b/>
                <w:sz w:val="20"/>
              </w:rPr>
            </w:pPr>
            <w:r w:rsidRPr="00E850A7">
              <w:rPr>
                <w:rFonts w:ascii="Arial Narrow" w:hAnsi="Arial Narrow" w:cs="Times New Roman"/>
                <w:b/>
                <w:sz w:val="20"/>
              </w:rPr>
              <w:t>n</w:t>
            </w:r>
          </w:p>
        </w:tc>
        <w:tc>
          <w:tcPr>
            <w:tcW w:w="701" w:type="pct"/>
            <w:tcBorders>
              <w:bottom w:val="single" w:sz="4" w:space="0" w:color="auto"/>
            </w:tcBorders>
            <w:vAlign w:val="center"/>
          </w:tcPr>
          <w:p w:rsidR="003B1E69" w:rsidRPr="00E850A7" w:rsidRDefault="003B1E69" w:rsidP="00F06FC0">
            <w:pPr>
              <w:spacing w:before="40" w:after="40"/>
              <w:ind w:right="67"/>
              <w:jc w:val="center"/>
              <w:rPr>
                <w:rFonts w:ascii="Arial Narrow" w:hAnsi="Arial Narrow" w:cs="Times New Roman"/>
                <w:b/>
                <w:sz w:val="20"/>
              </w:rPr>
            </w:pPr>
            <w:r w:rsidRPr="00E850A7">
              <w:rPr>
                <w:rFonts w:ascii="Arial Narrow" w:hAnsi="Arial Narrow" w:cs="Times New Roman"/>
                <w:b/>
                <w:sz w:val="20"/>
              </w:rPr>
              <w:t>EMPA + LINA FDC</w:t>
            </w:r>
          </w:p>
        </w:tc>
        <w:tc>
          <w:tcPr>
            <w:tcW w:w="254" w:type="pct"/>
            <w:tcBorders>
              <w:bottom w:val="single" w:sz="4" w:space="0" w:color="auto"/>
            </w:tcBorders>
            <w:vAlign w:val="center"/>
          </w:tcPr>
          <w:p w:rsidR="003B1E69" w:rsidRPr="00E850A7" w:rsidRDefault="003B1E69" w:rsidP="00F06FC0">
            <w:pPr>
              <w:spacing w:before="40" w:after="40"/>
              <w:ind w:right="-28"/>
              <w:jc w:val="center"/>
              <w:rPr>
                <w:rFonts w:ascii="Arial Narrow" w:hAnsi="Arial Narrow" w:cs="Times New Roman"/>
                <w:b/>
                <w:sz w:val="20"/>
              </w:rPr>
            </w:pPr>
            <w:r w:rsidRPr="00E850A7">
              <w:rPr>
                <w:rFonts w:ascii="Arial Narrow" w:hAnsi="Arial Narrow" w:cs="Times New Roman"/>
                <w:b/>
                <w:sz w:val="20"/>
              </w:rPr>
              <w:t>n</w:t>
            </w:r>
          </w:p>
        </w:tc>
        <w:tc>
          <w:tcPr>
            <w:tcW w:w="619" w:type="pct"/>
            <w:tcBorders>
              <w:bottom w:val="single" w:sz="4" w:space="0" w:color="auto"/>
            </w:tcBorders>
            <w:vAlign w:val="center"/>
          </w:tcPr>
          <w:p w:rsidR="003B1E69" w:rsidRPr="00E850A7" w:rsidRDefault="003B1E69" w:rsidP="00F06FC0">
            <w:pPr>
              <w:spacing w:before="40" w:after="40"/>
              <w:ind w:right="13"/>
              <w:jc w:val="center"/>
              <w:rPr>
                <w:rFonts w:ascii="Arial Narrow" w:hAnsi="Arial Narrow" w:cs="Times New Roman"/>
                <w:b/>
                <w:sz w:val="20"/>
              </w:rPr>
            </w:pPr>
            <w:r w:rsidRPr="00E850A7">
              <w:rPr>
                <w:rFonts w:ascii="Arial Narrow" w:hAnsi="Arial Narrow" w:cs="Times New Roman"/>
                <w:b/>
                <w:sz w:val="20"/>
              </w:rPr>
              <w:t>LINA + Pbo</w:t>
            </w:r>
          </w:p>
        </w:tc>
        <w:tc>
          <w:tcPr>
            <w:tcW w:w="839" w:type="pct"/>
            <w:vMerge/>
            <w:tcBorders>
              <w:bottom w:val="single" w:sz="4" w:space="0" w:color="auto"/>
            </w:tcBorders>
            <w:vAlign w:val="center"/>
          </w:tcPr>
          <w:p w:rsidR="003B1E69" w:rsidRPr="00E850A7" w:rsidRDefault="003B1E69" w:rsidP="00F06FC0">
            <w:pPr>
              <w:spacing w:before="40" w:after="40"/>
              <w:jc w:val="center"/>
              <w:rPr>
                <w:rFonts w:ascii="Arial Narrow" w:hAnsi="Arial Narrow" w:cs="Times New Roman"/>
                <w:b/>
                <w:sz w:val="20"/>
              </w:rPr>
            </w:pPr>
          </w:p>
        </w:tc>
      </w:tr>
      <w:tr w:rsidR="003B1E69" w:rsidRPr="00E850A7" w:rsidTr="009F1F5F">
        <w:tc>
          <w:tcPr>
            <w:tcW w:w="2352" w:type="pct"/>
            <w:tcBorders>
              <w:bottom w:val="single" w:sz="4" w:space="0" w:color="auto"/>
            </w:tcBorders>
            <w:vAlign w:val="center"/>
          </w:tcPr>
          <w:p w:rsidR="003B1E69" w:rsidRPr="00E850A7" w:rsidRDefault="003B1E69" w:rsidP="00F06FC0">
            <w:pPr>
              <w:spacing w:before="40" w:after="40"/>
              <w:rPr>
                <w:rFonts w:ascii="Arial Narrow" w:hAnsi="Arial Narrow" w:cs="Times New Roman"/>
                <w:sz w:val="20"/>
              </w:rPr>
            </w:pPr>
            <w:r w:rsidRPr="00E850A7">
              <w:rPr>
                <w:rFonts w:ascii="Arial Narrow" w:hAnsi="Arial Narrow" w:cs="Times New Roman"/>
                <w:sz w:val="20"/>
              </w:rPr>
              <w:t>EMPA 25 mg + LINA vs LINA + Pbo</w:t>
            </w:r>
          </w:p>
        </w:tc>
        <w:tc>
          <w:tcPr>
            <w:tcW w:w="235"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134</w:t>
            </w:r>
          </w:p>
        </w:tc>
        <w:tc>
          <w:tcPr>
            <w:tcW w:w="701"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sz w:val="20"/>
              </w:rPr>
              <w:t>-1.07 (0.81)</w:t>
            </w:r>
          </w:p>
        </w:tc>
        <w:tc>
          <w:tcPr>
            <w:tcW w:w="254"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133</w:t>
            </w:r>
          </w:p>
        </w:tc>
        <w:tc>
          <w:tcPr>
            <w:tcW w:w="61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sz w:val="20"/>
              </w:rPr>
              <w:t>-0.69 (0.81)</w:t>
            </w:r>
          </w:p>
        </w:tc>
        <w:tc>
          <w:tcPr>
            <w:tcW w:w="83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b/>
                <w:sz w:val="20"/>
              </w:rPr>
              <w:t>-0.38 (-0.58, -0.18)</w:t>
            </w:r>
          </w:p>
        </w:tc>
      </w:tr>
      <w:tr w:rsidR="003B1E69" w:rsidRPr="00E850A7" w:rsidTr="009F1F5F">
        <w:tc>
          <w:tcPr>
            <w:tcW w:w="2352" w:type="pct"/>
            <w:tcBorders>
              <w:bottom w:val="single" w:sz="4" w:space="0" w:color="auto"/>
            </w:tcBorders>
            <w:vAlign w:val="center"/>
          </w:tcPr>
          <w:p w:rsidR="003B1E69" w:rsidRPr="00E850A7" w:rsidRDefault="003B1E69" w:rsidP="00F06FC0">
            <w:pPr>
              <w:spacing w:before="40" w:after="40"/>
              <w:rPr>
                <w:rFonts w:ascii="Arial Narrow" w:hAnsi="Arial Narrow" w:cs="Times New Roman"/>
                <w:sz w:val="20"/>
              </w:rPr>
            </w:pPr>
            <w:r w:rsidRPr="00E850A7">
              <w:rPr>
                <w:rFonts w:ascii="Arial Narrow" w:hAnsi="Arial Narrow" w:cs="Times New Roman"/>
                <w:sz w:val="20"/>
              </w:rPr>
              <w:t xml:space="preserve">EMPA 10 mg + LINA vs LINA + Pbo </w:t>
            </w:r>
          </w:p>
        </w:tc>
        <w:tc>
          <w:tcPr>
            <w:tcW w:w="235"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134</w:t>
            </w:r>
          </w:p>
        </w:tc>
        <w:tc>
          <w:tcPr>
            <w:tcW w:w="701"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sz w:val="20"/>
              </w:rPr>
              <w:t>-1.26 (0.81)</w:t>
            </w:r>
          </w:p>
        </w:tc>
        <w:tc>
          <w:tcPr>
            <w:tcW w:w="254"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133</w:t>
            </w:r>
          </w:p>
        </w:tc>
        <w:tc>
          <w:tcPr>
            <w:tcW w:w="61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sz w:val="20"/>
              </w:rPr>
              <w:t>-0.69 (0.81)</w:t>
            </w:r>
          </w:p>
        </w:tc>
        <w:tc>
          <w:tcPr>
            <w:tcW w:w="83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b/>
                <w:sz w:val="20"/>
              </w:rPr>
              <w:t>-0.57 (-0.77, -0.36)</w:t>
            </w:r>
          </w:p>
        </w:tc>
      </w:tr>
      <w:tr w:rsidR="003B1E69" w:rsidRPr="00E850A7" w:rsidTr="009F1F5F">
        <w:trPr>
          <w:trHeight w:val="416"/>
          <w:tblHeader/>
        </w:trPr>
        <w:tc>
          <w:tcPr>
            <w:tcW w:w="2352" w:type="pct"/>
            <w:tcBorders>
              <w:top w:val="single" w:sz="4" w:space="0" w:color="auto"/>
            </w:tcBorders>
            <w:shd w:val="clear" w:color="auto" w:fill="auto"/>
            <w:vAlign w:val="center"/>
          </w:tcPr>
          <w:p w:rsidR="003B1E69" w:rsidRPr="00E850A7" w:rsidRDefault="003B1E69" w:rsidP="00F06FC0">
            <w:pPr>
              <w:spacing w:before="40" w:after="40"/>
              <w:rPr>
                <w:rFonts w:ascii="Arial Narrow" w:hAnsi="Arial Narrow" w:cs="Times New Roman"/>
                <w:sz w:val="20"/>
              </w:rPr>
            </w:pPr>
            <w:r w:rsidRPr="00E850A7">
              <w:rPr>
                <w:rFonts w:ascii="Arial Narrow" w:hAnsi="Arial Narrow" w:cs="Times New Roman"/>
                <w:sz w:val="20"/>
                <w:u w:val="single"/>
              </w:rPr>
              <w:t>EMPA 25 or 10 mg</w:t>
            </w:r>
            <w:r w:rsidRPr="00E850A7">
              <w:rPr>
                <w:rFonts w:ascii="Arial Narrow" w:hAnsi="Arial Narrow" w:cs="Times New Roman"/>
                <w:sz w:val="20"/>
              </w:rPr>
              <w:t xml:space="preserve"> + vs LINA + Pbo (pooled)</w:t>
            </w:r>
          </w:p>
        </w:tc>
        <w:tc>
          <w:tcPr>
            <w:tcW w:w="235"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sz w:val="20"/>
              </w:rPr>
              <w:t>268</w:t>
            </w:r>
          </w:p>
        </w:tc>
        <w:tc>
          <w:tcPr>
            <w:tcW w:w="701"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b/>
                <w:sz w:val="20"/>
              </w:rPr>
              <w:t>-</w:t>
            </w:r>
          </w:p>
        </w:tc>
        <w:tc>
          <w:tcPr>
            <w:tcW w:w="254"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sz w:val="20"/>
              </w:rPr>
              <w:t>266</w:t>
            </w:r>
          </w:p>
        </w:tc>
        <w:tc>
          <w:tcPr>
            <w:tcW w:w="619"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b/>
                <w:sz w:val="20"/>
              </w:rPr>
              <w:t>-</w:t>
            </w:r>
          </w:p>
        </w:tc>
        <w:tc>
          <w:tcPr>
            <w:tcW w:w="839" w:type="pct"/>
            <w:tcBorders>
              <w:top w:val="single" w:sz="4" w:space="0" w:color="auto"/>
            </w:tcBorders>
            <w:shd w:val="clear" w:color="auto" w:fill="auto"/>
            <w:vAlign w:val="center"/>
          </w:tcPr>
          <w:p w:rsidR="003B1E69" w:rsidRPr="005D428A" w:rsidRDefault="005D428A" w:rsidP="00F06FC0">
            <w:pPr>
              <w:spacing w:before="40" w:after="40"/>
              <w:jc w:val="center"/>
              <w:rPr>
                <w:rFonts w:ascii="Arial Narrow" w:hAnsi="Arial Narrow" w:cs="Times New Roman"/>
                <w:b/>
                <w:sz w:val="20"/>
                <w:highlight w:val="black"/>
              </w:rPr>
            </w:pPr>
            <w:r>
              <w:rPr>
                <w:rFonts w:ascii="Arial Narrow" w:hAnsi="Arial Narrow"/>
                <w:b/>
                <w:noProof/>
                <w:color w:val="000000"/>
                <w:sz w:val="20"/>
                <w:highlight w:val="black"/>
              </w:rPr>
              <w:t>'''''''''' ''''''''''' ''''''''''</w:t>
            </w:r>
          </w:p>
        </w:tc>
      </w:tr>
      <w:tr w:rsidR="003B1E69" w:rsidRPr="00E850A7" w:rsidTr="009F1F5F">
        <w:trPr>
          <w:tblHeader/>
        </w:trPr>
        <w:tc>
          <w:tcPr>
            <w:tcW w:w="2352" w:type="pct"/>
            <w:tcBorders>
              <w:top w:val="double" w:sz="4" w:space="0" w:color="auto"/>
            </w:tcBorders>
            <w:vAlign w:val="center"/>
          </w:tcPr>
          <w:p w:rsidR="003B1E69" w:rsidRPr="00E850A7" w:rsidRDefault="003B1E69" w:rsidP="00F06FC0">
            <w:pPr>
              <w:spacing w:before="40" w:after="40"/>
              <w:rPr>
                <w:rFonts w:ascii="Arial Narrow" w:hAnsi="Arial Narrow" w:cs="Times New Roman"/>
                <w:b/>
                <w:sz w:val="20"/>
              </w:rPr>
            </w:pPr>
            <w:r w:rsidRPr="00E850A7">
              <w:rPr>
                <w:rFonts w:ascii="Arial Narrow" w:hAnsi="Arial Narrow" w:cs="Times New Roman"/>
                <w:b/>
                <w:sz w:val="20"/>
              </w:rPr>
              <w:t>1275.1 (24 wks; treatment naïve)</w:t>
            </w:r>
          </w:p>
        </w:tc>
        <w:tc>
          <w:tcPr>
            <w:tcW w:w="235" w:type="pct"/>
            <w:tcBorders>
              <w:top w:val="double" w:sz="4" w:space="0" w:color="auto"/>
              <w:bottom w:val="single" w:sz="4" w:space="0" w:color="auto"/>
            </w:tcBorders>
            <w:vAlign w:val="center"/>
          </w:tcPr>
          <w:p w:rsidR="003B1E69" w:rsidRPr="00E850A7" w:rsidRDefault="003B1E69" w:rsidP="00F06FC0">
            <w:pPr>
              <w:spacing w:before="40" w:after="40"/>
              <w:ind w:right="-28"/>
              <w:jc w:val="center"/>
              <w:rPr>
                <w:rFonts w:ascii="Arial Narrow" w:hAnsi="Arial Narrow"/>
                <w:b/>
                <w:sz w:val="20"/>
              </w:rPr>
            </w:pPr>
            <w:r w:rsidRPr="00E850A7">
              <w:rPr>
                <w:rFonts w:ascii="Arial Narrow" w:hAnsi="Arial Narrow" w:cs="Times New Roman"/>
                <w:b/>
                <w:sz w:val="20"/>
              </w:rPr>
              <w:t>n</w:t>
            </w:r>
          </w:p>
        </w:tc>
        <w:tc>
          <w:tcPr>
            <w:tcW w:w="701" w:type="pct"/>
            <w:tcBorders>
              <w:top w:val="double" w:sz="4" w:space="0" w:color="auto"/>
              <w:bottom w:val="single" w:sz="4" w:space="0" w:color="auto"/>
            </w:tcBorders>
            <w:vAlign w:val="center"/>
          </w:tcPr>
          <w:p w:rsidR="003B1E69" w:rsidRPr="00E850A7" w:rsidRDefault="003B1E69" w:rsidP="00F06FC0">
            <w:pPr>
              <w:spacing w:before="40" w:after="40"/>
              <w:ind w:right="67"/>
              <w:jc w:val="center"/>
              <w:rPr>
                <w:rFonts w:ascii="Arial Narrow" w:hAnsi="Arial Narrow" w:cs="Times New Roman"/>
                <w:b/>
                <w:sz w:val="20"/>
              </w:rPr>
            </w:pPr>
            <w:r w:rsidRPr="00E850A7">
              <w:rPr>
                <w:rFonts w:ascii="Arial Narrow" w:hAnsi="Arial Narrow" w:cs="Times New Roman"/>
                <w:b/>
                <w:sz w:val="20"/>
              </w:rPr>
              <w:t>EMPA + LINA FDC</w:t>
            </w:r>
          </w:p>
        </w:tc>
        <w:tc>
          <w:tcPr>
            <w:tcW w:w="254" w:type="pct"/>
            <w:tcBorders>
              <w:top w:val="double" w:sz="4" w:space="0" w:color="auto"/>
              <w:bottom w:val="single" w:sz="4" w:space="0" w:color="auto"/>
            </w:tcBorders>
            <w:vAlign w:val="center"/>
          </w:tcPr>
          <w:p w:rsidR="003B1E69" w:rsidRPr="00E850A7" w:rsidRDefault="003B1E69" w:rsidP="00F06FC0">
            <w:pPr>
              <w:spacing w:before="40" w:after="40"/>
              <w:ind w:right="-28"/>
              <w:jc w:val="center"/>
              <w:rPr>
                <w:rFonts w:ascii="Arial Narrow" w:hAnsi="Arial Narrow"/>
                <w:b/>
                <w:sz w:val="20"/>
              </w:rPr>
            </w:pPr>
            <w:r w:rsidRPr="00E850A7">
              <w:rPr>
                <w:rFonts w:ascii="Arial Narrow" w:hAnsi="Arial Narrow" w:cs="Times New Roman"/>
                <w:b/>
                <w:sz w:val="20"/>
              </w:rPr>
              <w:t>n</w:t>
            </w:r>
          </w:p>
        </w:tc>
        <w:tc>
          <w:tcPr>
            <w:tcW w:w="619" w:type="pct"/>
            <w:tcBorders>
              <w:top w:val="double" w:sz="4" w:space="0" w:color="auto"/>
              <w:bottom w:val="single" w:sz="4" w:space="0" w:color="auto"/>
            </w:tcBorders>
            <w:vAlign w:val="center"/>
          </w:tcPr>
          <w:p w:rsidR="003B1E69" w:rsidRPr="00E850A7" w:rsidRDefault="003B1E69" w:rsidP="00F06FC0">
            <w:pPr>
              <w:spacing w:before="40" w:after="40"/>
              <w:ind w:right="13"/>
              <w:jc w:val="center"/>
              <w:rPr>
                <w:rFonts w:ascii="Arial Narrow" w:hAnsi="Arial Narrow"/>
                <w:b/>
                <w:sz w:val="20"/>
              </w:rPr>
            </w:pPr>
            <w:r w:rsidRPr="00E850A7">
              <w:rPr>
                <w:rFonts w:ascii="Arial Narrow" w:hAnsi="Arial Narrow" w:cs="Times New Roman"/>
                <w:b/>
                <w:sz w:val="20"/>
              </w:rPr>
              <w:t>EMPA + Pbo</w:t>
            </w:r>
          </w:p>
        </w:tc>
        <w:tc>
          <w:tcPr>
            <w:tcW w:w="839" w:type="pct"/>
            <w:tcBorders>
              <w:top w:val="double" w:sz="4" w:space="0" w:color="auto"/>
              <w:bottom w:val="single" w:sz="4" w:space="0" w:color="auto"/>
            </w:tcBorders>
            <w:vAlign w:val="center"/>
          </w:tcPr>
          <w:p w:rsidR="003B1E69" w:rsidRPr="00E850A7" w:rsidRDefault="003B1E69" w:rsidP="00F06FC0">
            <w:pPr>
              <w:spacing w:before="40" w:after="40"/>
              <w:jc w:val="center"/>
              <w:rPr>
                <w:rFonts w:ascii="Arial Narrow" w:hAnsi="Arial Narrow" w:cs="Times New Roman"/>
                <w:b/>
                <w:sz w:val="20"/>
              </w:rPr>
            </w:pPr>
          </w:p>
        </w:tc>
      </w:tr>
      <w:tr w:rsidR="003B1E69" w:rsidRPr="00E850A7" w:rsidTr="009F1F5F">
        <w:tc>
          <w:tcPr>
            <w:tcW w:w="2352" w:type="pct"/>
            <w:tcBorders>
              <w:bottom w:val="single" w:sz="4" w:space="0" w:color="auto"/>
            </w:tcBorders>
            <w:vAlign w:val="center"/>
          </w:tcPr>
          <w:p w:rsidR="003B1E69" w:rsidRPr="00E850A7" w:rsidRDefault="003B1E69" w:rsidP="00F06FC0">
            <w:pPr>
              <w:spacing w:before="40" w:after="40"/>
              <w:rPr>
                <w:rFonts w:ascii="Arial Narrow" w:hAnsi="Arial Narrow" w:cs="Times New Roman"/>
                <w:sz w:val="20"/>
              </w:rPr>
            </w:pPr>
            <w:r w:rsidRPr="00E850A7">
              <w:rPr>
                <w:rFonts w:ascii="Arial Narrow" w:hAnsi="Arial Narrow" w:cs="Times New Roman"/>
                <w:sz w:val="20"/>
              </w:rPr>
              <w:t>EMPA 25 mg + LINA vs EMPA 25 mg + Pbo</w:t>
            </w:r>
          </w:p>
        </w:tc>
        <w:tc>
          <w:tcPr>
            <w:tcW w:w="235" w:type="pct"/>
            <w:tcBorders>
              <w:bottom w:val="single" w:sz="4" w:space="0" w:color="auto"/>
            </w:tcBorders>
            <w:vAlign w:val="center"/>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134</w:t>
            </w:r>
          </w:p>
        </w:tc>
        <w:tc>
          <w:tcPr>
            <w:tcW w:w="701"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-1.07 (0.81)</w:t>
            </w:r>
          </w:p>
        </w:tc>
        <w:tc>
          <w:tcPr>
            <w:tcW w:w="254" w:type="pct"/>
            <w:tcBorders>
              <w:bottom w:val="single" w:sz="4" w:space="0" w:color="auto"/>
            </w:tcBorders>
            <w:vAlign w:val="center"/>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133</w:t>
            </w:r>
          </w:p>
        </w:tc>
        <w:tc>
          <w:tcPr>
            <w:tcW w:w="61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-0.95 (0.81)</w:t>
            </w:r>
          </w:p>
        </w:tc>
        <w:tc>
          <w:tcPr>
            <w:tcW w:w="83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-0.12 (-0.32, 0.08)</w:t>
            </w:r>
          </w:p>
        </w:tc>
      </w:tr>
      <w:tr w:rsidR="003B1E69" w:rsidRPr="00E850A7" w:rsidTr="009F1F5F">
        <w:tc>
          <w:tcPr>
            <w:tcW w:w="2352" w:type="pct"/>
            <w:tcBorders>
              <w:bottom w:val="single" w:sz="4" w:space="0" w:color="auto"/>
            </w:tcBorders>
            <w:vAlign w:val="center"/>
          </w:tcPr>
          <w:p w:rsidR="003B1E69" w:rsidRPr="00E850A7" w:rsidRDefault="003B1E69" w:rsidP="00F06FC0">
            <w:pPr>
              <w:spacing w:before="40" w:after="40"/>
              <w:rPr>
                <w:rFonts w:ascii="Arial Narrow" w:hAnsi="Arial Narrow" w:cs="Times New Roman"/>
                <w:sz w:val="20"/>
              </w:rPr>
            </w:pPr>
            <w:r w:rsidRPr="00E850A7">
              <w:rPr>
                <w:rFonts w:ascii="Arial Narrow" w:hAnsi="Arial Narrow" w:cs="Times New Roman"/>
                <w:sz w:val="20"/>
              </w:rPr>
              <w:t xml:space="preserve">EMPA 10 mg + LINA vs EMPA 10 mg + Pbo </w:t>
            </w:r>
          </w:p>
        </w:tc>
        <w:tc>
          <w:tcPr>
            <w:tcW w:w="235" w:type="pct"/>
            <w:tcBorders>
              <w:bottom w:val="single" w:sz="4" w:space="0" w:color="auto"/>
            </w:tcBorders>
            <w:vAlign w:val="center"/>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134</w:t>
            </w:r>
          </w:p>
        </w:tc>
        <w:tc>
          <w:tcPr>
            <w:tcW w:w="701"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sz w:val="20"/>
              </w:rPr>
              <w:t>-1.26 (0.81)</w:t>
            </w:r>
          </w:p>
        </w:tc>
        <w:tc>
          <w:tcPr>
            <w:tcW w:w="254" w:type="pct"/>
            <w:tcBorders>
              <w:bottom w:val="single" w:sz="4" w:space="0" w:color="auto"/>
            </w:tcBorders>
            <w:vAlign w:val="center"/>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cs="Times New Roman"/>
                <w:sz w:val="20"/>
              </w:rPr>
              <w:t>131</w:t>
            </w:r>
          </w:p>
        </w:tc>
        <w:tc>
          <w:tcPr>
            <w:tcW w:w="61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sz w:val="20"/>
              </w:rPr>
            </w:pPr>
            <w:r w:rsidRPr="00E850A7">
              <w:rPr>
                <w:rFonts w:ascii="Arial Narrow" w:hAnsi="Arial Narrow"/>
                <w:sz w:val="20"/>
              </w:rPr>
              <w:t>-0.84 (0.80)</w:t>
            </w:r>
          </w:p>
        </w:tc>
        <w:tc>
          <w:tcPr>
            <w:tcW w:w="839" w:type="pct"/>
            <w:tcBorders>
              <w:bottom w:val="single" w:sz="4" w:space="0" w:color="auto"/>
            </w:tcBorders>
            <w:vAlign w:val="bottom"/>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b/>
                <w:sz w:val="20"/>
              </w:rPr>
              <w:t>-0.41 (-0.62, -0.21)</w:t>
            </w:r>
          </w:p>
        </w:tc>
      </w:tr>
      <w:tr w:rsidR="003B1E69" w:rsidRPr="00E850A7" w:rsidTr="009F1F5F">
        <w:trPr>
          <w:trHeight w:val="97"/>
          <w:tblHeader/>
        </w:trPr>
        <w:tc>
          <w:tcPr>
            <w:tcW w:w="2352" w:type="pct"/>
            <w:tcBorders>
              <w:top w:val="single" w:sz="4" w:space="0" w:color="auto"/>
            </w:tcBorders>
            <w:shd w:val="clear" w:color="auto" w:fill="auto"/>
            <w:vAlign w:val="center"/>
          </w:tcPr>
          <w:p w:rsidR="003B1E69" w:rsidRPr="00E850A7" w:rsidRDefault="003B1E69" w:rsidP="00F06FC0">
            <w:pPr>
              <w:spacing w:before="40" w:after="40"/>
              <w:rPr>
                <w:rFonts w:ascii="Arial Narrow" w:hAnsi="Arial Narrow" w:cs="Times New Roman"/>
                <w:b/>
                <w:sz w:val="20"/>
              </w:rPr>
            </w:pPr>
            <w:r w:rsidRPr="00E850A7">
              <w:rPr>
                <w:rFonts w:ascii="Arial Narrow" w:hAnsi="Arial Narrow" w:cs="Times New Roman"/>
                <w:sz w:val="20"/>
                <w:u w:val="single"/>
              </w:rPr>
              <w:t>EMPA 25 or 10 mg</w:t>
            </w:r>
            <w:r w:rsidRPr="00E850A7">
              <w:rPr>
                <w:rFonts w:ascii="Arial Narrow" w:hAnsi="Arial Narrow" w:cs="Times New Roman"/>
                <w:sz w:val="20"/>
              </w:rPr>
              <w:t xml:space="preserve"> + LINA vs </w:t>
            </w:r>
            <w:r w:rsidRPr="00E850A7">
              <w:rPr>
                <w:rFonts w:ascii="Arial Narrow" w:hAnsi="Arial Narrow" w:cs="Times New Roman"/>
                <w:sz w:val="20"/>
                <w:u w:val="single"/>
              </w:rPr>
              <w:t>EMPA 25 or 10 mg</w:t>
            </w:r>
            <w:r w:rsidRPr="00E850A7">
              <w:rPr>
                <w:rFonts w:ascii="Arial Narrow" w:hAnsi="Arial Narrow" w:cs="Times New Roman"/>
                <w:sz w:val="20"/>
              </w:rPr>
              <w:t xml:space="preserve"> + Pbo (pooled)</w:t>
            </w:r>
          </w:p>
        </w:tc>
        <w:tc>
          <w:tcPr>
            <w:tcW w:w="235"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b/>
                <w:sz w:val="20"/>
              </w:rPr>
            </w:pPr>
            <w:r w:rsidRPr="00E850A7">
              <w:rPr>
                <w:rFonts w:ascii="Arial Narrow" w:hAnsi="Arial Narrow" w:cs="Times New Roman"/>
                <w:sz w:val="20"/>
              </w:rPr>
              <w:t>219</w:t>
            </w:r>
          </w:p>
        </w:tc>
        <w:tc>
          <w:tcPr>
            <w:tcW w:w="701"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cs="Times New Roman"/>
                <w:b/>
                <w:sz w:val="20"/>
              </w:rPr>
            </w:pPr>
            <w:r w:rsidRPr="00E850A7">
              <w:rPr>
                <w:rFonts w:ascii="Arial Narrow" w:hAnsi="Arial Narrow" w:cs="Times New Roman"/>
                <w:b/>
                <w:sz w:val="20"/>
              </w:rPr>
              <w:t>-</w:t>
            </w:r>
          </w:p>
        </w:tc>
        <w:tc>
          <w:tcPr>
            <w:tcW w:w="254"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b/>
                <w:sz w:val="20"/>
              </w:rPr>
            </w:pPr>
            <w:r w:rsidRPr="00E850A7">
              <w:rPr>
                <w:rFonts w:ascii="Arial Narrow" w:hAnsi="Arial Narrow" w:cs="Times New Roman"/>
                <w:sz w:val="20"/>
              </w:rPr>
              <w:t>212</w:t>
            </w:r>
          </w:p>
        </w:tc>
        <w:tc>
          <w:tcPr>
            <w:tcW w:w="619" w:type="pct"/>
            <w:tcBorders>
              <w:top w:val="single" w:sz="4" w:space="0" w:color="auto"/>
            </w:tcBorders>
            <w:shd w:val="clear" w:color="auto" w:fill="auto"/>
            <w:vAlign w:val="center"/>
          </w:tcPr>
          <w:p w:rsidR="003B1E69" w:rsidRPr="00E850A7" w:rsidRDefault="003B1E69" w:rsidP="00F06FC0">
            <w:pPr>
              <w:spacing w:before="40" w:after="40"/>
              <w:jc w:val="center"/>
              <w:rPr>
                <w:rFonts w:ascii="Arial Narrow" w:hAnsi="Arial Narrow"/>
                <w:b/>
                <w:sz w:val="20"/>
              </w:rPr>
            </w:pPr>
            <w:r w:rsidRPr="00E850A7">
              <w:rPr>
                <w:rFonts w:ascii="Arial Narrow" w:hAnsi="Arial Narrow"/>
                <w:b/>
                <w:sz w:val="20"/>
              </w:rPr>
              <w:t>-</w:t>
            </w:r>
          </w:p>
        </w:tc>
        <w:tc>
          <w:tcPr>
            <w:tcW w:w="839" w:type="pct"/>
            <w:tcBorders>
              <w:top w:val="single" w:sz="4" w:space="0" w:color="auto"/>
            </w:tcBorders>
            <w:shd w:val="clear" w:color="auto" w:fill="auto"/>
            <w:vAlign w:val="center"/>
          </w:tcPr>
          <w:p w:rsidR="003B1E69" w:rsidRPr="005D428A" w:rsidRDefault="005D428A" w:rsidP="00F06FC0">
            <w:pPr>
              <w:spacing w:before="40" w:after="40"/>
              <w:jc w:val="center"/>
              <w:rPr>
                <w:rFonts w:ascii="Arial Narrow" w:hAnsi="Arial Narrow" w:cs="Times New Roman"/>
                <w:sz w:val="20"/>
                <w:highlight w:val="black"/>
              </w:rPr>
            </w:pPr>
            <w:r>
              <w:rPr>
                <w:rFonts w:ascii="Arial Narrow" w:hAnsi="Arial Narrow" w:cs="Times New Roman"/>
                <w:noProof/>
                <w:color w:val="000000"/>
                <w:sz w:val="20"/>
                <w:highlight w:val="black"/>
              </w:rPr>
              <w:t>'''''''''''' '''''''''''''''' '''''''''''''</w:t>
            </w:r>
          </w:p>
        </w:tc>
      </w:tr>
    </w:tbl>
    <w:p w:rsidR="003B1E69" w:rsidRPr="00E850A7" w:rsidRDefault="003B1E69" w:rsidP="00F06FC0">
      <w:pPr>
        <w:pStyle w:val="TableFooter"/>
        <w:rPr>
          <w:szCs w:val="16"/>
        </w:rPr>
      </w:pPr>
      <w:r w:rsidRPr="00E850A7">
        <w:rPr>
          <w:szCs w:val="16"/>
        </w:rPr>
        <w:t>Source: Tables B.228, p.637 and B.229, p.640 of the resubmission. (Statistically significant results in bold).</w:t>
      </w:r>
    </w:p>
    <w:p w:rsidR="003B1E69" w:rsidRPr="00E850A7" w:rsidRDefault="003B1E69" w:rsidP="00F06FC0">
      <w:pPr>
        <w:pStyle w:val="TableFooter"/>
        <w:rPr>
          <w:szCs w:val="16"/>
        </w:rPr>
      </w:pPr>
      <w:r w:rsidRPr="00E850A7">
        <w:rPr>
          <w:szCs w:val="16"/>
        </w:rPr>
        <w:t xml:space="preserve">Abbreviations: CI, confidence interval; EMPA, empagliflozin; FAS, full analysis set; FDC, fixed dose combination; HbA1c, Glycosylated haemoglobin; LINA, linagliptin; MET, metformin; MMRM, </w:t>
      </w:r>
      <w:r w:rsidRPr="00E850A7">
        <w:rPr>
          <w:szCs w:val="18"/>
        </w:rPr>
        <w:t xml:space="preserve">mixed model repeated measures; </w:t>
      </w:r>
      <w:r w:rsidRPr="00E850A7">
        <w:rPr>
          <w:szCs w:val="16"/>
        </w:rPr>
        <w:t>OC, observed cases; Pbo, placebo; SD, standard deviation; wks, weeks.</w:t>
      </w:r>
    </w:p>
    <w:p w:rsidR="0065689B" w:rsidRPr="00E850A7" w:rsidRDefault="003B1E69" w:rsidP="00FE25C2">
      <w:pPr>
        <w:pStyle w:val="ListParagraph"/>
        <w:numPr>
          <w:ilvl w:val="1"/>
          <w:numId w:val="3"/>
        </w:numPr>
        <w:spacing w:before="0" w:after="120"/>
        <w:jc w:val="both"/>
        <w:rPr>
          <w:szCs w:val="24"/>
        </w:rPr>
      </w:pPr>
      <w:r w:rsidRPr="00E850A7">
        <w:rPr>
          <w:szCs w:val="24"/>
        </w:rPr>
        <w:t xml:space="preserve">In the treatment naïve </w:t>
      </w:r>
      <w:r w:rsidR="005961D9" w:rsidRPr="00E850A7">
        <w:rPr>
          <w:szCs w:val="24"/>
        </w:rPr>
        <w:t>sub-</w:t>
      </w:r>
      <w:r w:rsidRPr="00E850A7">
        <w:rPr>
          <w:szCs w:val="24"/>
        </w:rPr>
        <w:t xml:space="preserve">population of Trial 1275.1, empagliflozin with linagliptin FDC demonstrated statistically significantly larger reductions in HbA1c from baseline compared to linagliptin </w:t>
      </w:r>
      <w:r w:rsidR="005961D9" w:rsidRPr="00E850A7">
        <w:rPr>
          <w:szCs w:val="24"/>
        </w:rPr>
        <w:t xml:space="preserve">monotherapy </w:t>
      </w:r>
      <w:r w:rsidRPr="00E850A7">
        <w:rPr>
          <w:szCs w:val="24"/>
        </w:rPr>
        <w:t xml:space="preserve">over 24 weeks. However, </w:t>
      </w:r>
      <w:r w:rsidR="0065689B" w:rsidRPr="00E850A7">
        <w:rPr>
          <w:szCs w:val="24"/>
        </w:rPr>
        <w:t xml:space="preserve">all </w:t>
      </w:r>
      <w:r w:rsidR="008C6E64" w:rsidRPr="00E850A7">
        <w:rPr>
          <w:szCs w:val="24"/>
        </w:rPr>
        <w:t>upper</w:t>
      </w:r>
      <w:r w:rsidR="0065689B" w:rsidRPr="00E850A7">
        <w:rPr>
          <w:szCs w:val="24"/>
        </w:rPr>
        <w:t xml:space="preserve"> 95% CIs as well as the mean difference for empagliflozin 25 mg with linagliptin compared to linagliptin alone were below the MCID of 0.4%. </w:t>
      </w:r>
    </w:p>
    <w:p w:rsidR="003B1E69" w:rsidRPr="00E850A7" w:rsidRDefault="0065689B" w:rsidP="00FE25C2">
      <w:pPr>
        <w:pStyle w:val="ListParagraph"/>
        <w:numPr>
          <w:ilvl w:val="1"/>
          <w:numId w:val="3"/>
        </w:numPr>
        <w:spacing w:before="0" w:after="120"/>
        <w:jc w:val="both"/>
        <w:rPr>
          <w:szCs w:val="24"/>
        </w:rPr>
      </w:pPr>
      <w:r w:rsidRPr="00E850A7">
        <w:rPr>
          <w:szCs w:val="24"/>
        </w:rPr>
        <w:t>T</w:t>
      </w:r>
      <w:r w:rsidR="003B1E69" w:rsidRPr="00E850A7">
        <w:rPr>
          <w:szCs w:val="24"/>
        </w:rPr>
        <w:t>here was no statistically significant difference between empagliflozin 25 mg with linagliptin FDC compared to empagliflozin 25 mg alone</w:t>
      </w:r>
      <w:r w:rsidRPr="00E850A7">
        <w:rPr>
          <w:szCs w:val="24"/>
        </w:rPr>
        <w:t>,</w:t>
      </w:r>
      <w:r w:rsidR="003B1E69" w:rsidRPr="00E850A7">
        <w:rPr>
          <w:szCs w:val="24"/>
        </w:rPr>
        <w:t xml:space="preserve"> </w:t>
      </w:r>
      <w:r w:rsidRPr="00E850A7">
        <w:rPr>
          <w:szCs w:val="24"/>
        </w:rPr>
        <w:t>n</w:t>
      </w:r>
      <w:r w:rsidR="003B1E69" w:rsidRPr="00E850A7">
        <w:rPr>
          <w:szCs w:val="24"/>
        </w:rPr>
        <w:t>or</w:t>
      </w:r>
      <w:r w:rsidRPr="00E850A7">
        <w:rPr>
          <w:szCs w:val="24"/>
        </w:rPr>
        <w:t xml:space="preserve"> was there a statistically significant difference between empagliflozin with linagliptin compared to empagliflozin alone</w:t>
      </w:r>
      <w:r w:rsidR="003B1E69" w:rsidRPr="00E850A7">
        <w:rPr>
          <w:szCs w:val="24"/>
        </w:rPr>
        <w:t xml:space="preserve"> in the pooled analysis. This was consistent with the results presented in the March 2017 submission for the metformin exposed populations in trials 1275.9 and 1275.10.</w:t>
      </w:r>
      <w:r w:rsidR="0043494E" w:rsidRPr="00E850A7">
        <w:rPr>
          <w:szCs w:val="24"/>
        </w:rPr>
        <w:t xml:space="preserve"> </w:t>
      </w:r>
    </w:p>
    <w:p w:rsidR="0064568A" w:rsidRPr="00E850A7" w:rsidRDefault="003B1E69" w:rsidP="00FE25C2">
      <w:pPr>
        <w:pStyle w:val="ListParagraph"/>
        <w:numPr>
          <w:ilvl w:val="1"/>
          <w:numId w:val="3"/>
        </w:numPr>
        <w:spacing w:before="0" w:after="120"/>
        <w:jc w:val="both"/>
        <w:rPr>
          <w:szCs w:val="24"/>
        </w:rPr>
      </w:pPr>
      <w:r w:rsidRPr="00E850A7">
        <w:rPr>
          <w:szCs w:val="24"/>
        </w:rPr>
        <w:t xml:space="preserve">Results favouring empagliflozin </w:t>
      </w:r>
      <w:r w:rsidR="00431448" w:rsidRPr="00E850A7">
        <w:rPr>
          <w:szCs w:val="24"/>
        </w:rPr>
        <w:t xml:space="preserve">25 mg </w:t>
      </w:r>
      <w:r w:rsidRPr="00E850A7">
        <w:rPr>
          <w:szCs w:val="24"/>
        </w:rPr>
        <w:t>with linagliptin FDC were also reported for change in fasting plasma glucose</w:t>
      </w:r>
      <w:r w:rsidR="00950D97" w:rsidRPr="00E850A7">
        <w:rPr>
          <w:szCs w:val="24"/>
        </w:rPr>
        <w:t xml:space="preserve"> (FPG)</w:t>
      </w:r>
      <w:r w:rsidRPr="00E850A7">
        <w:rPr>
          <w:szCs w:val="24"/>
        </w:rPr>
        <w:t xml:space="preserve"> from baseline (</w:t>
      </w:r>
      <w:r w:rsidR="00431448" w:rsidRPr="00E850A7">
        <w:rPr>
          <w:szCs w:val="24"/>
        </w:rPr>
        <w:t xml:space="preserve">empagliflozin 25 mg FDC FPG -1.22 mmol/L, 95% CI [-1.6, -0.85]; </w:t>
      </w:r>
      <w:r w:rsidR="005961D9" w:rsidRPr="00E850A7">
        <w:rPr>
          <w:szCs w:val="24"/>
        </w:rPr>
        <w:t xml:space="preserve">and for </w:t>
      </w:r>
      <w:r w:rsidR="00431448" w:rsidRPr="00E850A7">
        <w:rPr>
          <w:szCs w:val="24"/>
        </w:rPr>
        <w:t>empagliflozin 10 mg FDC FPG -1.10</w:t>
      </w:r>
      <w:r w:rsidR="005250D5" w:rsidRPr="00E850A7">
        <w:rPr>
          <w:szCs w:val="24"/>
        </w:rPr>
        <w:t xml:space="preserve"> mmol/L, 95% CI [-1.47, -0.73].  </w:t>
      </w:r>
      <w:r w:rsidRPr="00E850A7">
        <w:rPr>
          <w:szCs w:val="24"/>
        </w:rPr>
        <w:t>Similar to the primary outcome and consistent with the metformin exposed population presented in the March 2017 submission, the benefits of adding linagliptin 5 mg to empagliflozin</w:t>
      </w:r>
      <w:r w:rsidR="005961D9" w:rsidRPr="00E850A7">
        <w:rPr>
          <w:szCs w:val="24"/>
        </w:rPr>
        <w:t xml:space="preserve"> 10 or 25 mg</w:t>
      </w:r>
      <w:r w:rsidRPr="00E850A7">
        <w:rPr>
          <w:szCs w:val="24"/>
        </w:rPr>
        <w:t xml:space="preserve"> in combination with metformin were small and may not be clinically important</w:t>
      </w:r>
      <w:r w:rsidR="00431448" w:rsidRPr="00E850A7">
        <w:rPr>
          <w:szCs w:val="24"/>
        </w:rPr>
        <w:t xml:space="preserve"> (empagliflozin 25 mg FDC FPG -0.29 mmol/L, 95% CI [-0.66, 0.08]; empagliflozin 10</w:t>
      </w:r>
      <w:r w:rsidR="005961D9" w:rsidRPr="00E850A7">
        <w:rPr>
          <w:szCs w:val="24"/>
        </w:rPr>
        <w:t> </w:t>
      </w:r>
      <w:r w:rsidR="00431448" w:rsidRPr="00E850A7">
        <w:rPr>
          <w:szCs w:val="24"/>
        </w:rPr>
        <w:t>mg FDC FPG -0.17 mmol/L, 95% CI [-0.54, 0.20]).</w:t>
      </w:r>
    </w:p>
    <w:p w:rsidR="003B1E69" w:rsidRPr="00E850A7" w:rsidRDefault="0064568A" w:rsidP="00FE25C2">
      <w:pPr>
        <w:pStyle w:val="ListParagraph"/>
        <w:numPr>
          <w:ilvl w:val="1"/>
          <w:numId w:val="3"/>
        </w:numPr>
        <w:spacing w:before="0" w:after="120"/>
        <w:jc w:val="both"/>
        <w:rPr>
          <w:szCs w:val="24"/>
        </w:rPr>
      </w:pPr>
      <w:r w:rsidRPr="00E850A7">
        <w:rPr>
          <w:szCs w:val="24"/>
        </w:rPr>
        <w:t>The primary and key secondary results in the treatment naïve population of Trial 1275.1 were similar to those reported for metformin exposed patients in trials 1275.9 and 1275.10 in the March 2017 submission. The results showed that adding empagliflozin 25 mg or 10 mg to linagliptin 5 mg resulted in a statistically significant benefit to treatment naïve patients with type 2 diabetes, but the magnitude of treatment effect was inconsistently reported between the empagliflozin 25 mg and 10 mg dose strength FDCs. In addition, adding linagliptin 5 mg to empagliflozin 25 mg or 10 mg showed inconsistent results with many outcomes failing to achieve statistical significance</w:t>
      </w:r>
      <w:r w:rsidR="003B1E69" w:rsidRPr="00E850A7">
        <w:rPr>
          <w:szCs w:val="24"/>
        </w:rPr>
        <w:t>.</w:t>
      </w:r>
      <w:r w:rsidR="000035E8" w:rsidRPr="00E850A7">
        <w:rPr>
          <w:szCs w:val="24"/>
        </w:rPr>
        <w:t xml:space="preserve"> The ESC noted that the data suggested that the benefit to adding a second agent in this setting</w:t>
      </w:r>
      <w:r w:rsidR="00A97CE0" w:rsidRPr="00E850A7">
        <w:rPr>
          <w:szCs w:val="24"/>
        </w:rPr>
        <w:t xml:space="preserve"> was lower</w:t>
      </w:r>
      <w:r w:rsidR="000035E8" w:rsidRPr="00E850A7">
        <w:rPr>
          <w:szCs w:val="24"/>
        </w:rPr>
        <w:t>.</w:t>
      </w:r>
    </w:p>
    <w:p w:rsidR="00C317F3" w:rsidRPr="00E850A7" w:rsidRDefault="00C317F3" w:rsidP="00F06FC0">
      <w:pPr>
        <w:pStyle w:val="Heading2"/>
        <w:rPr>
          <w:i w:val="0"/>
        </w:rPr>
      </w:pPr>
      <w:bookmarkStart w:id="26" w:name="_Toc413139279"/>
      <w:bookmarkStart w:id="27" w:name="_Toc491873483"/>
      <w:r w:rsidRPr="00E850A7">
        <w:rPr>
          <w:i w:val="0"/>
        </w:rPr>
        <w:t>Comparative harms</w:t>
      </w:r>
      <w:bookmarkEnd w:id="26"/>
      <w:bookmarkEnd w:id="27"/>
    </w:p>
    <w:p w:rsidR="00C317F3" w:rsidRPr="00E850A7" w:rsidRDefault="009E358E" w:rsidP="00FE25C2">
      <w:pPr>
        <w:pStyle w:val="ListParagraph"/>
        <w:numPr>
          <w:ilvl w:val="1"/>
          <w:numId w:val="3"/>
        </w:numPr>
        <w:spacing w:before="0" w:after="120"/>
        <w:jc w:val="both"/>
        <w:rPr>
          <w:szCs w:val="24"/>
        </w:rPr>
      </w:pPr>
      <w:r w:rsidRPr="00E850A7">
        <w:rPr>
          <w:szCs w:val="24"/>
        </w:rPr>
        <w:t xml:space="preserve">The comparative harms for empagliflozin with linagliptin FDC versus the comparators </w:t>
      </w:r>
      <w:r w:rsidR="009454F2" w:rsidRPr="00E850A7">
        <w:rPr>
          <w:szCs w:val="24"/>
        </w:rPr>
        <w:t>w</w:t>
      </w:r>
      <w:r w:rsidR="0097040D" w:rsidRPr="00E850A7">
        <w:rPr>
          <w:szCs w:val="24"/>
        </w:rPr>
        <w:t>ere</w:t>
      </w:r>
      <w:r w:rsidR="009454F2" w:rsidRPr="00E850A7">
        <w:rPr>
          <w:szCs w:val="24"/>
        </w:rPr>
        <w:t xml:space="preserve"> </w:t>
      </w:r>
      <w:r w:rsidRPr="00E850A7">
        <w:rPr>
          <w:szCs w:val="24"/>
        </w:rPr>
        <w:t xml:space="preserve">unchanged from the March 2017 submission. </w:t>
      </w:r>
    </w:p>
    <w:p w:rsidR="00431448" w:rsidRPr="00E850A7" w:rsidRDefault="00431448" w:rsidP="00F06FC0">
      <w:pPr>
        <w:pStyle w:val="Heading2"/>
        <w:rPr>
          <w:i w:val="0"/>
        </w:rPr>
      </w:pPr>
      <w:bookmarkStart w:id="28" w:name="_Toc472413209"/>
      <w:bookmarkStart w:id="29" w:name="_Toc491873484"/>
      <w:bookmarkStart w:id="30" w:name="_Toc413139282"/>
      <w:r w:rsidRPr="00E850A7">
        <w:rPr>
          <w:i w:val="0"/>
        </w:rPr>
        <w:t>Clinical claim</w:t>
      </w:r>
      <w:bookmarkEnd w:id="28"/>
      <w:bookmarkEnd w:id="29"/>
    </w:p>
    <w:p w:rsidR="00431448" w:rsidRPr="00E850A7" w:rsidRDefault="00431448" w:rsidP="00FE25C2">
      <w:pPr>
        <w:spacing w:before="0" w:after="120"/>
        <w:contextualSpacing/>
        <w:jc w:val="both"/>
        <w:rPr>
          <w:szCs w:val="24"/>
        </w:rPr>
      </w:pPr>
      <w:r w:rsidRPr="00E850A7">
        <w:rPr>
          <w:szCs w:val="24"/>
          <w:u w:val="single"/>
        </w:rPr>
        <w:t>Empagliflozin with linagliptin FDC vs linagliptin or empagliflozin, in combination with metformin</w:t>
      </w:r>
    </w:p>
    <w:p w:rsidR="008A3722" w:rsidRPr="00E850A7" w:rsidRDefault="00431448" w:rsidP="00B00B70">
      <w:pPr>
        <w:pStyle w:val="ListParagraph"/>
        <w:numPr>
          <w:ilvl w:val="1"/>
          <w:numId w:val="3"/>
        </w:numPr>
        <w:spacing w:before="0" w:after="120"/>
        <w:jc w:val="both"/>
        <w:rPr>
          <w:szCs w:val="24"/>
        </w:rPr>
      </w:pPr>
      <w:r w:rsidRPr="00E850A7">
        <w:rPr>
          <w:szCs w:val="24"/>
        </w:rPr>
        <w:t>The clinical claim was that empagliflozin with linagliptin FDC is superior in terms of efficacy and noninferior in terms of safety compared to either linagliptin or empagliflozin (in combination with metformin), and that empagliflozin with linagliptin FDC is bioequivalent to concomitant empagliflozin and linagliptin. This claim is adequately supported</w:t>
      </w:r>
      <w:r w:rsidR="009F1F5F" w:rsidRPr="00E850A7">
        <w:rPr>
          <w:szCs w:val="24"/>
        </w:rPr>
        <w:t>, and was accepted by the PBAC at the March 2017 meeting (Empagliflozin w</w:t>
      </w:r>
      <w:r w:rsidR="000639FB" w:rsidRPr="00E850A7">
        <w:rPr>
          <w:szCs w:val="24"/>
        </w:rPr>
        <w:t>ith linagliptin PSD, March 2017</w:t>
      </w:r>
      <w:r w:rsidR="009F1F5F" w:rsidRPr="00E850A7">
        <w:rPr>
          <w:szCs w:val="24"/>
        </w:rPr>
        <w:t xml:space="preserve"> </w:t>
      </w:r>
      <w:r w:rsidR="00C070D0" w:rsidRPr="00E850A7">
        <w:rPr>
          <w:szCs w:val="24"/>
        </w:rPr>
        <w:t xml:space="preserve">para </w:t>
      </w:r>
      <w:r w:rsidR="009F1F5F" w:rsidRPr="00E850A7">
        <w:rPr>
          <w:szCs w:val="24"/>
        </w:rPr>
        <w:t xml:space="preserve">7.6). </w:t>
      </w:r>
    </w:p>
    <w:p w:rsidR="008A3722" w:rsidRPr="00E850A7" w:rsidRDefault="008A3722" w:rsidP="00B00B70">
      <w:pPr>
        <w:contextualSpacing/>
        <w:jc w:val="both"/>
        <w:rPr>
          <w:u w:val="single"/>
        </w:rPr>
      </w:pPr>
    </w:p>
    <w:p w:rsidR="00431448" w:rsidRPr="00E850A7" w:rsidRDefault="00431448" w:rsidP="00B00B70">
      <w:pPr>
        <w:contextualSpacing/>
        <w:jc w:val="both"/>
        <w:rPr>
          <w:u w:val="single"/>
        </w:rPr>
      </w:pPr>
      <w:r w:rsidRPr="00E850A7">
        <w:rPr>
          <w:u w:val="single"/>
        </w:rPr>
        <w:t>Empagliflozin with linag</w:t>
      </w:r>
      <w:r w:rsidR="009F1F5F" w:rsidRPr="00E850A7">
        <w:rPr>
          <w:u w:val="single"/>
        </w:rPr>
        <w:t xml:space="preserve">liptin FDC vs insulin glargine, </w:t>
      </w:r>
      <w:r w:rsidRPr="00E850A7">
        <w:rPr>
          <w:u w:val="single"/>
        </w:rPr>
        <w:t>in combination with metformin</w:t>
      </w:r>
    </w:p>
    <w:p w:rsidR="00431448" w:rsidRPr="00E850A7" w:rsidRDefault="00431448" w:rsidP="00FE25C2">
      <w:pPr>
        <w:pStyle w:val="ListParagraph"/>
        <w:numPr>
          <w:ilvl w:val="1"/>
          <w:numId w:val="3"/>
        </w:numPr>
        <w:spacing w:before="0" w:after="120"/>
        <w:jc w:val="both"/>
      </w:pPr>
      <w:r w:rsidRPr="00E850A7">
        <w:t xml:space="preserve">The clinical claim was that empagliflozin with linagliptin FDC is noninferior in terms of efficacy and safety compared to insulin glargine (in combination with metformin). </w:t>
      </w:r>
    </w:p>
    <w:p w:rsidR="00431448" w:rsidRPr="00E850A7" w:rsidRDefault="0009425E" w:rsidP="00FE25C2">
      <w:pPr>
        <w:pStyle w:val="ListParagraph"/>
        <w:numPr>
          <w:ilvl w:val="1"/>
          <w:numId w:val="3"/>
        </w:numPr>
        <w:spacing w:before="0" w:after="120"/>
        <w:jc w:val="both"/>
      </w:pPr>
      <w:r w:rsidRPr="00E850A7">
        <w:t xml:space="preserve">The PBAC considered that </w:t>
      </w:r>
      <w:r w:rsidR="00F56029" w:rsidRPr="00E850A7">
        <w:t xml:space="preserve">while </w:t>
      </w:r>
      <w:r w:rsidRPr="00E850A7">
        <w:t xml:space="preserve">the pooled analysis supported a claim of non-inferiority, there was some </w:t>
      </w:r>
      <w:r w:rsidR="00F56029" w:rsidRPr="00E850A7">
        <w:t xml:space="preserve">remaining </w:t>
      </w:r>
      <w:r w:rsidRPr="00E850A7">
        <w:t xml:space="preserve">uncertainty due to </w:t>
      </w:r>
      <w:r w:rsidR="00022EBD" w:rsidRPr="00E850A7">
        <w:t>the 10</w:t>
      </w:r>
      <w:r w:rsidRPr="00E850A7">
        <w:t xml:space="preserve"> mg </w:t>
      </w:r>
      <w:r w:rsidR="00154DCB" w:rsidRPr="00E850A7">
        <w:t>empagliflozin</w:t>
      </w:r>
      <w:r w:rsidRPr="00E850A7">
        <w:t xml:space="preserve"> </w:t>
      </w:r>
      <w:r w:rsidR="00154DCB" w:rsidRPr="00E850A7">
        <w:t>does</w:t>
      </w:r>
      <w:r w:rsidRPr="00E850A7">
        <w:t xml:space="preserve"> not demonstrating noninferiority</w:t>
      </w:r>
      <w:r w:rsidRPr="00E850A7">
        <w:rPr>
          <w:i/>
        </w:rPr>
        <w:t>.</w:t>
      </w:r>
    </w:p>
    <w:p w:rsidR="00431448" w:rsidRPr="00E850A7" w:rsidRDefault="00431448" w:rsidP="00B00B70">
      <w:pPr>
        <w:contextualSpacing/>
        <w:jc w:val="both"/>
        <w:rPr>
          <w:u w:val="single"/>
        </w:rPr>
      </w:pPr>
      <w:r w:rsidRPr="00E850A7">
        <w:rPr>
          <w:u w:val="single"/>
        </w:rPr>
        <w:t>Empagliflozin wit</w:t>
      </w:r>
      <w:r w:rsidR="009F1F5F" w:rsidRPr="00E850A7">
        <w:rPr>
          <w:u w:val="single"/>
        </w:rPr>
        <w:t>h linagliptin FDC vs exenatide,</w:t>
      </w:r>
      <w:r w:rsidRPr="00E850A7">
        <w:rPr>
          <w:u w:val="single"/>
        </w:rPr>
        <w:t xml:space="preserve"> in combination with metformin</w:t>
      </w:r>
    </w:p>
    <w:p w:rsidR="00431448" w:rsidRPr="00E850A7" w:rsidRDefault="00431448" w:rsidP="00FE25C2">
      <w:pPr>
        <w:pStyle w:val="ListParagraph"/>
        <w:numPr>
          <w:ilvl w:val="1"/>
          <w:numId w:val="3"/>
        </w:numPr>
        <w:spacing w:before="0" w:after="120"/>
        <w:jc w:val="both"/>
      </w:pPr>
      <w:r w:rsidRPr="00E850A7">
        <w:t xml:space="preserve">The </w:t>
      </w:r>
      <w:r w:rsidR="0009425E" w:rsidRPr="00E850A7">
        <w:t xml:space="preserve">PBAC considered that the </w:t>
      </w:r>
      <w:r w:rsidRPr="00E850A7">
        <w:t>clinical claim that empagliflozin with linagliptin FDC is noninferior in terms of efficacy and safety to exenatide 10 µg twice daily or 2 mg weekly</w:t>
      </w:r>
      <w:r w:rsidR="0009425E" w:rsidRPr="00E850A7">
        <w:t xml:space="preserve"> was reasonable</w:t>
      </w:r>
      <w:r w:rsidRPr="00E850A7">
        <w:t xml:space="preserve">. </w:t>
      </w:r>
    </w:p>
    <w:p w:rsidR="00E93082" w:rsidRPr="00E850A7" w:rsidRDefault="00E93082" w:rsidP="00B00B70">
      <w:pPr>
        <w:contextualSpacing/>
        <w:jc w:val="both"/>
        <w:rPr>
          <w:u w:val="single"/>
        </w:rPr>
      </w:pPr>
      <w:r w:rsidRPr="00E850A7">
        <w:rPr>
          <w:u w:val="single"/>
        </w:rPr>
        <w:t>Empagliflozin with linagliptin FDC vs dapagliflozin with saxagliptin, in combination with metformin</w:t>
      </w:r>
    </w:p>
    <w:p w:rsidR="00E93082" w:rsidRPr="00E850A7" w:rsidRDefault="00E93082" w:rsidP="00FE25C2">
      <w:pPr>
        <w:pStyle w:val="ListParagraph"/>
        <w:numPr>
          <w:ilvl w:val="1"/>
          <w:numId w:val="3"/>
        </w:numPr>
        <w:spacing w:before="0" w:after="120"/>
        <w:jc w:val="both"/>
      </w:pPr>
      <w:r w:rsidRPr="00E850A7">
        <w:t xml:space="preserve">The </w:t>
      </w:r>
      <w:r w:rsidR="0009425E" w:rsidRPr="00E850A7">
        <w:t xml:space="preserve">PBAC considered that the </w:t>
      </w:r>
      <w:r w:rsidRPr="00E850A7">
        <w:t>clinical claim that empagliflozin with linagliptin FDC is noninferior in terms of efficacy and safety to dapagliflozin with saxagliptin FDC</w:t>
      </w:r>
      <w:r w:rsidR="0009425E" w:rsidRPr="00E850A7">
        <w:t xml:space="preserve"> was </w:t>
      </w:r>
      <w:r w:rsidRPr="00E850A7">
        <w:t xml:space="preserve">adequately supported. </w:t>
      </w:r>
    </w:p>
    <w:p w:rsidR="00CD7722" w:rsidRPr="00E850A7" w:rsidRDefault="00E93082" w:rsidP="00B00B70">
      <w:pPr>
        <w:contextualSpacing/>
        <w:jc w:val="both"/>
        <w:rPr>
          <w:u w:val="single"/>
        </w:rPr>
      </w:pPr>
      <w:r w:rsidRPr="00E850A7">
        <w:rPr>
          <w:u w:val="single"/>
        </w:rPr>
        <w:t>Empagliflozin with linagliptin FDC vs insulin glargine</w:t>
      </w:r>
      <w:r w:rsidR="000F6011" w:rsidRPr="00E850A7">
        <w:rPr>
          <w:u w:val="single"/>
        </w:rPr>
        <w:t xml:space="preserve"> (patients with renal impairment)</w:t>
      </w:r>
    </w:p>
    <w:p w:rsidR="000F6011" w:rsidRPr="00E850A7" w:rsidRDefault="000F6011" w:rsidP="00FE25C2">
      <w:pPr>
        <w:pStyle w:val="ListParagraph"/>
        <w:numPr>
          <w:ilvl w:val="1"/>
          <w:numId w:val="3"/>
        </w:numPr>
        <w:spacing w:before="0" w:after="120"/>
        <w:jc w:val="both"/>
        <w:rPr>
          <w:szCs w:val="24"/>
        </w:rPr>
      </w:pPr>
      <w:r w:rsidRPr="00E850A7">
        <w:rPr>
          <w:szCs w:val="24"/>
        </w:rPr>
        <w:t>No evidence was presented comparing empagliflozin with linagliptin FDC versus insulin glargine (the nominated comparator) in the requested population.</w:t>
      </w:r>
    </w:p>
    <w:p w:rsidR="008A2475" w:rsidRPr="00E850A7" w:rsidRDefault="00E93082" w:rsidP="0009425E">
      <w:pPr>
        <w:pStyle w:val="ListParagraph"/>
        <w:spacing w:before="0" w:after="120"/>
        <w:jc w:val="both"/>
        <w:rPr>
          <w:strike/>
          <w:szCs w:val="24"/>
        </w:rPr>
      </w:pPr>
      <w:r w:rsidRPr="00E850A7">
        <w:rPr>
          <w:szCs w:val="24"/>
        </w:rPr>
        <w:t xml:space="preserve">The </w:t>
      </w:r>
      <w:r w:rsidR="00022EBD" w:rsidRPr="00E850A7">
        <w:rPr>
          <w:szCs w:val="24"/>
        </w:rPr>
        <w:t xml:space="preserve">PBAC considered that the </w:t>
      </w:r>
      <w:r w:rsidRPr="00E850A7">
        <w:rPr>
          <w:szCs w:val="24"/>
        </w:rPr>
        <w:t>clinical claim that empagliflozin with linagliptin FDC is superior in terms of efficacy and noninferior in terms of safety compared to either linagliptin or empagliflozin, in treatment naïve patients</w:t>
      </w:r>
      <w:r w:rsidR="00022EBD" w:rsidRPr="00E850A7">
        <w:rPr>
          <w:szCs w:val="24"/>
        </w:rPr>
        <w:t xml:space="preserve"> was not adequately supported by the data. The PBAC noted that some comparisons did not meet the minimum clinically important difference of 0.4% to demonstrate the benefit of adding a second agent</w:t>
      </w:r>
      <w:r w:rsidRPr="00E850A7">
        <w:rPr>
          <w:szCs w:val="24"/>
        </w:rPr>
        <w:t xml:space="preserve">. </w:t>
      </w:r>
      <w:r w:rsidR="00E850A7" w:rsidRPr="00E850A7">
        <w:rPr>
          <w:szCs w:val="24"/>
        </w:rPr>
        <w:t>However,</w:t>
      </w:r>
      <w:r w:rsidR="002E79AD" w:rsidRPr="00E850A7">
        <w:rPr>
          <w:szCs w:val="24"/>
        </w:rPr>
        <w:t xml:space="preserve"> the PBAC acknowledged the clinical need for further treatment options for this patient group. </w:t>
      </w:r>
    </w:p>
    <w:p w:rsidR="00C317F3" w:rsidRPr="00E850A7" w:rsidRDefault="00C317F3" w:rsidP="00F06FC0">
      <w:pPr>
        <w:pStyle w:val="Heading2"/>
        <w:rPr>
          <w:i w:val="0"/>
        </w:rPr>
      </w:pPr>
      <w:bookmarkStart w:id="31" w:name="_Toc491873485"/>
      <w:r w:rsidRPr="00E850A7">
        <w:rPr>
          <w:i w:val="0"/>
        </w:rPr>
        <w:t>Economic analysis</w:t>
      </w:r>
      <w:bookmarkEnd w:id="30"/>
      <w:bookmarkEnd w:id="31"/>
    </w:p>
    <w:p w:rsidR="00A97CE0" w:rsidRPr="00E850A7" w:rsidRDefault="00A97CE0" w:rsidP="00FE25C2">
      <w:pPr>
        <w:pStyle w:val="ListParagraph"/>
        <w:numPr>
          <w:ilvl w:val="1"/>
          <w:numId w:val="3"/>
        </w:numPr>
        <w:spacing w:before="0" w:after="120"/>
        <w:jc w:val="both"/>
      </w:pPr>
      <w:r w:rsidRPr="00E850A7">
        <w:t xml:space="preserve">The resubmission did not present any economic analysis directly relating to the renal impairment population. </w:t>
      </w:r>
      <w:r w:rsidR="00022EBD" w:rsidRPr="00E850A7">
        <w:t>The submission claimed that the price reduction was intended to account for the uncertainty regarding the cost-effectiveness of this list</w:t>
      </w:r>
      <w:r w:rsidR="00E850A7">
        <w:t>i</w:t>
      </w:r>
      <w:r w:rsidR="00022EBD" w:rsidRPr="00E850A7">
        <w:t>ng. However, the benefit of this treatment was not adequately supported.</w:t>
      </w:r>
    </w:p>
    <w:p w:rsidR="002968E4" w:rsidRPr="00E850A7" w:rsidRDefault="00082E77" w:rsidP="00CA5C74">
      <w:pPr>
        <w:pStyle w:val="ListParagraph"/>
        <w:numPr>
          <w:ilvl w:val="1"/>
          <w:numId w:val="3"/>
        </w:numPr>
        <w:spacing w:before="0" w:after="0"/>
        <w:jc w:val="both"/>
      </w:pPr>
      <w:r w:rsidRPr="00E850A7">
        <w:t xml:space="preserve">The </w:t>
      </w:r>
      <w:r w:rsidR="0069044E" w:rsidRPr="00E850A7">
        <w:t>pre</w:t>
      </w:r>
      <w:r w:rsidR="00937486" w:rsidRPr="00E850A7">
        <w:noBreakHyphen/>
      </w:r>
      <w:r w:rsidR="0069044E" w:rsidRPr="00E850A7">
        <w:t>PBAC response</w:t>
      </w:r>
      <w:r w:rsidR="002E79AD" w:rsidRPr="00E850A7">
        <w:t xml:space="preserve"> </w:t>
      </w:r>
      <w:r w:rsidRPr="00E850A7">
        <w:t xml:space="preserve">proposed a discount of </w:t>
      </w:r>
      <w:r w:rsidR="005D428A">
        <w:rPr>
          <w:noProof/>
          <w:color w:val="000000"/>
          <w:highlight w:val="black"/>
        </w:rPr>
        <w:t>''''''</w:t>
      </w:r>
      <w:r w:rsidR="00857594" w:rsidRPr="00E850A7">
        <w:t>% on the previously requested approved ex</w:t>
      </w:r>
      <w:r w:rsidR="00615DAC" w:rsidRPr="00E850A7">
        <w:noBreakHyphen/>
      </w:r>
      <w:r w:rsidR="00857594" w:rsidRPr="00E850A7">
        <w:t>manufacturer price (AEMP)</w:t>
      </w:r>
      <w:r w:rsidRPr="00E850A7">
        <w:t xml:space="preserve"> to account for uncertainty around the cost effectiveness of the FDC</w:t>
      </w:r>
      <w:r w:rsidR="0069044E" w:rsidRPr="00E850A7">
        <w:t xml:space="preserve"> (the initial resubmission proposed a </w:t>
      </w:r>
      <w:r w:rsidR="005D428A">
        <w:rPr>
          <w:noProof/>
          <w:color w:val="000000"/>
          <w:highlight w:val="black"/>
        </w:rPr>
        <w:t>'''''</w:t>
      </w:r>
      <w:r w:rsidR="0069044E" w:rsidRPr="00E850A7">
        <w:t>% price reduction)</w:t>
      </w:r>
      <w:r w:rsidR="00C317F3" w:rsidRPr="00E850A7">
        <w:t xml:space="preserve">. </w:t>
      </w:r>
    </w:p>
    <w:p w:rsidR="002A347D" w:rsidRPr="00E850A7" w:rsidRDefault="002A347D" w:rsidP="00CA5C74">
      <w:pPr>
        <w:pStyle w:val="ListParagraph"/>
        <w:spacing w:before="0" w:after="0"/>
        <w:jc w:val="both"/>
        <w:rPr>
          <w:i/>
        </w:rPr>
      </w:pPr>
    </w:p>
    <w:p w:rsidR="005961D9" w:rsidRPr="00E850A7" w:rsidRDefault="00AD7BCD" w:rsidP="00FE25C2">
      <w:pPr>
        <w:pStyle w:val="ListParagraph"/>
        <w:numPr>
          <w:ilvl w:val="1"/>
          <w:numId w:val="3"/>
        </w:numPr>
        <w:spacing w:before="0" w:after="120"/>
        <w:jc w:val="both"/>
      </w:pPr>
      <w:r w:rsidRPr="00E850A7">
        <w:t>T</w:t>
      </w:r>
      <w:r w:rsidR="00C6136C" w:rsidRPr="00E850A7">
        <w:t>he resubmission presented the three cost minimisation analyses presented in the March 2017 submission</w:t>
      </w:r>
      <w:r w:rsidR="008A4E5A" w:rsidRPr="00E850A7">
        <w:t xml:space="preserve"> using the same methodology</w:t>
      </w:r>
      <w:r w:rsidR="00C6136C" w:rsidRPr="00E850A7">
        <w:t>, with changes addressing some of the concerns raised by the PBAC, ESC and DUSC</w:t>
      </w:r>
      <w:r w:rsidR="002E79AD" w:rsidRPr="00E850A7">
        <w:t xml:space="preserve"> at that time</w:t>
      </w:r>
      <w:r w:rsidR="005961D9" w:rsidRPr="00E850A7">
        <w:t>:</w:t>
      </w:r>
    </w:p>
    <w:p w:rsidR="005402F3" w:rsidRPr="00E850A7" w:rsidRDefault="005961D9" w:rsidP="002A347D">
      <w:pPr>
        <w:pStyle w:val="ListParagraph"/>
        <w:numPr>
          <w:ilvl w:val="1"/>
          <w:numId w:val="28"/>
        </w:numPr>
        <w:spacing w:before="0" w:after="120"/>
        <w:ind w:left="993" w:hanging="284"/>
        <w:jc w:val="both"/>
      </w:pPr>
      <w:r w:rsidRPr="00E850A7">
        <w:t>T</w:t>
      </w:r>
      <w:r w:rsidR="00C6136C" w:rsidRPr="00E850A7">
        <w:t xml:space="preserve">he </w:t>
      </w:r>
      <w:r w:rsidR="008F0D54" w:rsidRPr="00E850A7">
        <w:t xml:space="preserve">published </w:t>
      </w:r>
      <w:r w:rsidR="00C6136C" w:rsidRPr="00E850A7">
        <w:t xml:space="preserve">prices of insulin glargine and exenatide 2 mg once weekly </w:t>
      </w:r>
      <w:r w:rsidRPr="00E850A7">
        <w:t xml:space="preserve">were </w:t>
      </w:r>
      <w:r w:rsidR="005402F3" w:rsidRPr="00E850A7">
        <w:t xml:space="preserve">updated to the July </w:t>
      </w:r>
      <w:r w:rsidR="00C070D0" w:rsidRPr="00E850A7">
        <w:t xml:space="preserve">2017 </w:t>
      </w:r>
      <w:r w:rsidR="005402F3" w:rsidRPr="00E850A7">
        <w:t xml:space="preserve">PBS Schedule. </w:t>
      </w:r>
    </w:p>
    <w:p w:rsidR="004D7EAB" w:rsidRPr="00E850A7" w:rsidRDefault="005402F3" w:rsidP="002A347D">
      <w:pPr>
        <w:pStyle w:val="ListParagraph"/>
        <w:numPr>
          <w:ilvl w:val="1"/>
          <w:numId w:val="28"/>
        </w:numPr>
        <w:spacing w:before="0" w:after="120"/>
        <w:ind w:left="993" w:hanging="284"/>
        <w:jc w:val="both"/>
      </w:pPr>
      <w:r w:rsidRPr="00E850A7">
        <w:t>The number of nurse educator visits was reduced to one initial visit ($79.85</w:t>
      </w:r>
      <w:r w:rsidR="00D41852" w:rsidRPr="00E850A7">
        <w:t xml:space="preserve">). </w:t>
      </w:r>
    </w:p>
    <w:p w:rsidR="004D7EAB" w:rsidRPr="00E850A7" w:rsidRDefault="00D41852" w:rsidP="002A347D">
      <w:pPr>
        <w:pStyle w:val="ListParagraph"/>
        <w:numPr>
          <w:ilvl w:val="1"/>
          <w:numId w:val="28"/>
        </w:numPr>
        <w:spacing w:before="0" w:after="120"/>
        <w:ind w:left="993" w:hanging="284"/>
        <w:jc w:val="both"/>
      </w:pPr>
      <w:r w:rsidRPr="00E850A7">
        <w:t>T</w:t>
      </w:r>
      <w:r w:rsidR="005402F3" w:rsidRPr="00E850A7">
        <w:t xml:space="preserve">he cost of hospitalisation for severe hypoglycaemia events was reduced, assuming 28% of hospital admissions would be day stay or multi day stay </w:t>
      </w:r>
      <w:r w:rsidR="00AD7BCD" w:rsidRPr="00E850A7">
        <w:t>admissions</w:t>
      </w:r>
      <w:r w:rsidR="005402F3" w:rsidRPr="00E850A7">
        <w:t>, and the remain</w:t>
      </w:r>
      <w:r w:rsidR="00AD7BCD" w:rsidRPr="00E850A7">
        <w:t>de</w:t>
      </w:r>
      <w:r w:rsidR="005402F3" w:rsidRPr="00E850A7">
        <w:t xml:space="preserve">r (78%) </w:t>
      </w:r>
      <w:r w:rsidR="00AD7BCD" w:rsidRPr="00E850A7">
        <w:t>a</w:t>
      </w:r>
      <w:r w:rsidR="005402F3" w:rsidRPr="00E850A7">
        <w:t xml:space="preserve">ccident and </w:t>
      </w:r>
      <w:r w:rsidR="00AD7BCD" w:rsidRPr="00E850A7">
        <w:t>e</w:t>
      </w:r>
      <w:r w:rsidR="005402F3" w:rsidRPr="00E850A7">
        <w:t xml:space="preserve">mergency </w:t>
      </w:r>
      <w:r w:rsidR="00AD7BCD" w:rsidRPr="00E850A7">
        <w:t>d</w:t>
      </w:r>
      <w:r w:rsidR="005402F3" w:rsidRPr="00E850A7">
        <w:t>epartment presentations, co</w:t>
      </w:r>
      <w:r w:rsidR="008A4E5A" w:rsidRPr="00E850A7">
        <w:t>nsistent with Leese et al. (2003</w:t>
      </w:r>
      <w:r w:rsidR="005402F3" w:rsidRPr="00E850A7">
        <w:t xml:space="preserve">). </w:t>
      </w:r>
    </w:p>
    <w:p w:rsidR="00C317F3" w:rsidRPr="00E850A7" w:rsidRDefault="005402F3" w:rsidP="002A347D">
      <w:pPr>
        <w:pStyle w:val="ListParagraph"/>
        <w:numPr>
          <w:ilvl w:val="1"/>
          <w:numId w:val="28"/>
        </w:numPr>
        <w:spacing w:before="0" w:after="120"/>
        <w:ind w:left="993" w:hanging="284"/>
        <w:jc w:val="both"/>
      </w:pPr>
      <w:r w:rsidRPr="00E850A7">
        <w:t xml:space="preserve">The cost of linagliptin </w:t>
      </w:r>
      <w:r w:rsidR="002E79AD" w:rsidRPr="00E850A7">
        <w:t>was</w:t>
      </w:r>
      <w:r w:rsidRPr="00E850A7">
        <w:t xml:space="preserve"> removed from the comparator costs.</w:t>
      </w:r>
    </w:p>
    <w:p w:rsidR="008A3722" w:rsidRPr="00E850A7" w:rsidRDefault="008A3722" w:rsidP="00FE25C2">
      <w:pPr>
        <w:spacing w:before="0" w:after="120"/>
        <w:jc w:val="both"/>
        <w:rPr>
          <w:u w:val="single"/>
        </w:rPr>
      </w:pPr>
    </w:p>
    <w:p w:rsidR="00C6136C" w:rsidRPr="00E850A7" w:rsidRDefault="00C6136C" w:rsidP="00FE25C2">
      <w:pPr>
        <w:spacing w:before="0" w:after="120"/>
        <w:jc w:val="both"/>
      </w:pPr>
      <w:r w:rsidRPr="00E850A7">
        <w:rPr>
          <w:u w:val="single"/>
        </w:rPr>
        <w:t>Empagliflozin with linagliptin FDC vs insulin glargine</w:t>
      </w:r>
    </w:p>
    <w:p w:rsidR="000D632F" w:rsidRPr="00E850A7" w:rsidRDefault="000D632F" w:rsidP="00FE25C2">
      <w:pPr>
        <w:pStyle w:val="ListParagraph"/>
        <w:numPr>
          <w:ilvl w:val="1"/>
          <w:numId w:val="3"/>
        </w:numPr>
        <w:spacing w:before="0" w:after="120"/>
        <w:jc w:val="both"/>
      </w:pPr>
      <w:r w:rsidRPr="00E850A7">
        <w:t xml:space="preserve">The resubmission estimated an incremental cost saving over a </w:t>
      </w:r>
      <w:r w:rsidR="00E850A7" w:rsidRPr="00E850A7">
        <w:t>two-year</w:t>
      </w:r>
      <w:r w:rsidRPr="00E850A7">
        <w:t xml:space="preserve"> period for empagliflozin with linagliptin FDC versus insulin glargine </w:t>
      </w:r>
      <w:r w:rsidR="004D7EAB" w:rsidRPr="00E850A7">
        <w:t>per person</w:t>
      </w:r>
      <w:r w:rsidRPr="00E850A7">
        <w:t xml:space="preserve">. When drug costs only were included, the treatment with empagliflozin with linagliptin FDC was </w:t>
      </w:r>
      <w:r w:rsidR="002E79AD" w:rsidRPr="00E850A7">
        <w:t xml:space="preserve">associated with an additional </w:t>
      </w:r>
      <w:r w:rsidR="00E850A7" w:rsidRPr="00E850A7">
        <w:t>cost (</w:t>
      </w:r>
      <w:r w:rsidRPr="00E850A7">
        <w:t>based on insulin glargine listed price and the proposed equi</w:t>
      </w:r>
      <w:r w:rsidR="001010D9" w:rsidRPr="00E850A7">
        <w:noBreakHyphen/>
      </w:r>
      <w:r w:rsidRPr="00E850A7">
        <w:t>effective doses</w:t>
      </w:r>
      <w:r w:rsidR="0058305C" w:rsidRPr="00E850A7">
        <w:t xml:space="preserve">; Table D(ii).2.5 of the </w:t>
      </w:r>
      <w:r w:rsidR="0028662A" w:rsidRPr="00E850A7">
        <w:t>Commentary</w:t>
      </w:r>
      <w:r w:rsidRPr="00E850A7">
        <w:t xml:space="preserve">). The analysis </w:t>
      </w:r>
      <w:r w:rsidR="00857594" w:rsidRPr="00E850A7">
        <w:t>coul</w:t>
      </w:r>
      <w:r w:rsidRPr="00E850A7">
        <w:t xml:space="preserve">d not incorporate the impact of insulin glargine’s special pricing arrangement. The cost minimisation analysis </w:t>
      </w:r>
      <w:r w:rsidR="004D7EAB" w:rsidRPr="00E850A7">
        <w:t xml:space="preserve">therefore </w:t>
      </w:r>
      <w:r w:rsidRPr="00E850A7">
        <w:t>overestimates the costs of treatment with insulin glargine.</w:t>
      </w:r>
      <w:r w:rsidR="00D641F9" w:rsidRPr="00E850A7">
        <w:t xml:space="preserve"> The ESC also noted that the proposed equieffective dose of 41.4 IU was based on the EASIE trial which had aggressive glycaemic targets, and that the PBAC ha</w:t>
      </w:r>
      <w:r w:rsidR="001C4843" w:rsidRPr="00E850A7">
        <w:t>s</w:t>
      </w:r>
      <w:r w:rsidR="00D641F9" w:rsidRPr="00E850A7">
        <w:t xml:space="preserve"> previously recommended equieffective doses in the range of 24-28.2 IU, which although in different settings, were considerably lower.</w:t>
      </w:r>
    </w:p>
    <w:p w:rsidR="00C6136C" w:rsidRPr="00E850A7" w:rsidRDefault="005402F3" w:rsidP="00FE25C2">
      <w:pPr>
        <w:spacing w:before="0" w:after="120"/>
        <w:jc w:val="both"/>
      </w:pPr>
      <w:r w:rsidRPr="00E850A7">
        <w:rPr>
          <w:u w:val="single"/>
        </w:rPr>
        <w:t>Empagliflozin with linagliptin FDC vs exenatide</w:t>
      </w:r>
    </w:p>
    <w:p w:rsidR="000D632F" w:rsidRPr="00E850A7" w:rsidRDefault="000D632F" w:rsidP="00FE25C2">
      <w:pPr>
        <w:pStyle w:val="ListParagraph"/>
        <w:numPr>
          <w:ilvl w:val="1"/>
          <w:numId w:val="3"/>
        </w:numPr>
        <w:spacing w:before="0" w:after="120"/>
        <w:jc w:val="both"/>
      </w:pPr>
      <w:r w:rsidRPr="00E850A7">
        <w:t xml:space="preserve">The resubmission estimated an incremental cost saving over a </w:t>
      </w:r>
      <w:r w:rsidR="00E850A7" w:rsidRPr="00E850A7">
        <w:t>two-year</w:t>
      </w:r>
      <w:r w:rsidRPr="00E850A7">
        <w:t xml:space="preserve"> period for empagliflozin with linagliptin FDC versus exenatide 2 mg once weekly. When drug costs only were included, the estimated incremental cost savings was </w:t>
      </w:r>
      <w:r w:rsidR="0069044E" w:rsidRPr="00E850A7">
        <w:t>slightly increased</w:t>
      </w:r>
      <w:r w:rsidR="0058305C" w:rsidRPr="00E850A7">
        <w:t xml:space="preserve"> (Table D.2.2 of the Commentary)</w:t>
      </w:r>
      <w:r w:rsidRPr="00E850A7">
        <w:t xml:space="preserve">. The analysis </w:t>
      </w:r>
      <w:r w:rsidR="00FF24BB" w:rsidRPr="00E850A7">
        <w:t xml:space="preserve">could </w:t>
      </w:r>
      <w:r w:rsidRPr="00E850A7">
        <w:t xml:space="preserve">not incorporate the impact of the exenatide special pricing arrangement. The cost minimisation analysis </w:t>
      </w:r>
      <w:r w:rsidR="004D7EAB" w:rsidRPr="00E850A7">
        <w:t xml:space="preserve">therefore </w:t>
      </w:r>
      <w:r w:rsidRPr="00E850A7">
        <w:t>overestimates the costs of treatment with exenatide.</w:t>
      </w:r>
    </w:p>
    <w:p w:rsidR="005402F3" w:rsidRPr="00E850A7" w:rsidRDefault="008A4E5A" w:rsidP="00FE25C2">
      <w:pPr>
        <w:pStyle w:val="ListParagraph"/>
        <w:numPr>
          <w:ilvl w:val="1"/>
          <w:numId w:val="3"/>
        </w:numPr>
        <w:spacing w:before="0" w:after="120"/>
        <w:jc w:val="both"/>
      </w:pPr>
      <w:r w:rsidRPr="00E850A7">
        <w:t>The</w:t>
      </w:r>
      <w:r w:rsidR="00D641F9" w:rsidRPr="00E850A7">
        <w:t xml:space="preserve"> ESC noted that the cost offsets may be overestimated </w:t>
      </w:r>
      <w:r w:rsidR="00E850A7">
        <w:t xml:space="preserve">because of </w:t>
      </w:r>
      <w:r w:rsidRPr="00E850A7">
        <w:t>a number of issues around the resource costs and drug costs used in the cost minimisation analyses:</w:t>
      </w:r>
    </w:p>
    <w:p w:rsidR="008A4E5A" w:rsidRPr="00E850A7" w:rsidRDefault="008A4E5A" w:rsidP="00FE25C2">
      <w:pPr>
        <w:pStyle w:val="ListParagraph"/>
        <w:numPr>
          <w:ilvl w:val="0"/>
          <w:numId w:val="20"/>
        </w:numPr>
        <w:spacing w:before="0" w:after="120"/>
        <w:ind w:left="1134"/>
        <w:jc w:val="both"/>
      </w:pPr>
      <w:r w:rsidRPr="00E850A7">
        <w:t>The cost</w:t>
      </w:r>
      <w:r w:rsidR="0097040D" w:rsidRPr="00E850A7">
        <w:t>s</w:t>
      </w:r>
      <w:r w:rsidRPr="00E850A7">
        <w:t xml:space="preserve"> of glucose monitoring (blood test strips and lancets) and sharps disposal have not previous</w:t>
      </w:r>
      <w:r w:rsidR="004D7EAB" w:rsidRPr="00E850A7">
        <w:t>ly</w:t>
      </w:r>
      <w:r w:rsidRPr="00E850A7">
        <w:t xml:space="preserve"> been accepted by the PBAC, and may not be reasonable;</w:t>
      </w:r>
    </w:p>
    <w:p w:rsidR="008A4E5A" w:rsidRPr="00E850A7" w:rsidRDefault="008A4E5A" w:rsidP="00FE25C2">
      <w:pPr>
        <w:pStyle w:val="ListParagraph"/>
        <w:numPr>
          <w:ilvl w:val="0"/>
          <w:numId w:val="20"/>
        </w:numPr>
        <w:spacing w:before="0" w:after="120"/>
        <w:ind w:left="1134"/>
        <w:jc w:val="both"/>
      </w:pPr>
      <w:r w:rsidRPr="00E850A7">
        <w:t>Diabetes education in patient</w:t>
      </w:r>
      <w:r w:rsidR="0097040D" w:rsidRPr="00E850A7">
        <w:t>s</w:t>
      </w:r>
      <w:r w:rsidRPr="00E850A7">
        <w:t xml:space="preserve"> with poor glycaemic control may continue for patients taking oral diabetes medicines. The costs of a nurse educator visit may not be reasonable</w:t>
      </w:r>
      <w:r w:rsidR="00D641F9" w:rsidRPr="00E850A7">
        <w:t>. The ESC noted that the PBAC previously considered that</w:t>
      </w:r>
      <w:r w:rsidR="00D641F9" w:rsidRPr="00E850A7">
        <w:rPr>
          <w:rFonts w:eastAsiaTheme="minorEastAsia" w:hAnsi="Arial"/>
          <w:iCs/>
          <w:color w:val="000000" w:themeColor="dark1"/>
          <w:kern w:val="24"/>
          <w:sz w:val="28"/>
          <w:szCs w:val="28"/>
          <w:lang w:eastAsia="en-AU"/>
        </w:rPr>
        <w:t xml:space="preserve"> </w:t>
      </w:r>
      <w:r w:rsidR="00D641F9" w:rsidRPr="00E850A7">
        <w:rPr>
          <w:iCs/>
        </w:rPr>
        <w:t>offsets relating to reduced nurse educator visits were unlikely to be achieved and may not be desirable in an uncontrolled population</w:t>
      </w:r>
      <w:r w:rsidRPr="00E850A7">
        <w:t>;</w:t>
      </w:r>
    </w:p>
    <w:p w:rsidR="008A4E5A" w:rsidRPr="00E850A7" w:rsidRDefault="008A4E5A" w:rsidP="00FE25C2">
      <w:pPr>
        <w:pStyle w:val="ListParagraph"/>
        <w:numPr>
          <w:ilvl w:val="0"/>
          <w:numId w:val="20"/>
        </w:numPr>
        <w:spacing w:before="0" w:after="120"/>
        <w:ind w:left="1134"/>
        <w:jc w:val="both"/>
      </w:pPr>
      <w:r w:rsidRPr="00E850A7">
        <w:t xml:space="preserve">Costs of hospitalisation due to severe hypoglycaemia events may not be reasonable, given that it was assumed that all patients experiencing severe hypoglycaemia events required </w:t>
      </w:r>
      <w:r w:rsidR="002678EA" w:rsidRPr="00E850A7">
        <w:t xml:space="preserve">either </w:t>
      </w:r>
      <w:r w:rsidRPr="00E850A7">
        <w:t>hospitalisation</w:t>
      </w:r>
      <w:r w:rsidR="0097040D" w:rsidRPr="00E850A7">
        <w:t xml:space="preserve"> or accident and emergency admission</w:t>
      </w:r>
      <w:r w:rsidRPr="00E850A7">
        <w:t xml:space="preserve">. </w:t>
      </w:r>
    </w:p>
    <w:p w:rsidR="00022EBD" w:rsidRPr="00E850A7" w:rsidRDefault="002A347D" w:rsidP="00124216">
      <w:pPr>
        <w:pStyle w:val="ListParagraph"/>
        <w:numPr>
          <w:ilvl w:val="1"/>
          <w:numId w:val="3"/>
        </w:numPr>
        <w:spacing w:before="0" w:after="120"/>
        <w:jc w:val="both"/>
      </w:pPr>
      <w:r w:rsidRPr="00E850A7">
        <w:t xml:space="preserve">The PBAC considered that </w:t>
      </w:r>
      <w:r w:rsidR="00124216" w:rsidRPr="00E850A7">
        <w:t xml:space="preserve">in the context of the remaining uncertainties with the economic analyses with insulin glargine and exenatide, the most appropriate approach would be to determine the price based on the benefit of both agents used in triple therapy, compared to the sum of the magnitude of benefit when each of the agents are used in </w:t>
      </w:r>
      <w:r w:rsidR="0069044E" w:rsidRPr="00E850A7">
        <w:t xml:space="preserve">dual </w:t>
      </w:r>
      <w:r w:rsidR="00124216" w:rsidRPr="00E850A7">
        <w:t xml:space="preserve">therapy. </w:t>
      </w:r>
    </w:p>
    <w:p w:rsidR="00022EBD" w:rsidRPr="00E850A7" w:rsidRDefault="00022EBD" w:rsidP="00022EBD">
      <w:pPr>
        <w:pStyle w:val="ListParagraph"/>
        <w:numPr>
          <w:ilvl w:val="1"/>
          <w:numId w:val="3"/>
        </w:numPr>
        <w:spacing w:before="0" w:after="120"/>
        <w:jc w:val="both"/>
      </w:pPr>
      <w:r w:rsidRPr="00E850A7">
        <w:rPr>
          <w:iCs/>
        </w:rPr>
        <w:t xml:space="preserve">Applying this approach to the results from study 1275.1 at 24 weeks (Tables </w:t>
      </w:r>
      <w:r w:rsidR="001010D9" w:rsidRPr="00E850A7">
        <w:rPr>
          <w:iCs/>
        </w:rPr>
        <w:t>5</w:t>
      </w:r>
      <w:r w:rsidRPr="00E850A7">
        <w:rPr>
          <w:iCs/>
        </w:rPr>
        <w:t xml:space="preserve"> and 1</w:t>
      </w:r>
      <w:r w:rsidR="001010D9" w:rsidRPr="00E850A7">
        <w:rPr>
          <w:iCs/>
        </w:rPr>
        <w:t>0</w:t>
      </w:r>
      <w:r w:rsidRPr="00E850A7">
        <w:rPr>
          <w:iCs/>
        </w:rPr>
        <w:t xml:space="preserve"> for metformin exposed and treatment naïve, respectively), rather than the 52 weeks results used by the sponsor, the benefit of adding both empagliflozin and linagliptin </w:t>
      </w:r>
      <w:r w:rsidR="00FC710E">
        <w:rPr>
          <w:iCs/>
        </w:rPr>
        <w:t xml:space="preserve">is </w:t>
      </w:r>
      <w:r w:rsidR="005D428A">
        <w:rPr>
          <w:iCs/>
          <w:noProof/>
          <w:color w:val="000000"/>
          <w:highlight w:val="black"/>
        </w:rPr>
        <w:t>'''''</w:t>
      </w:r>
      <w:r w:rsidRPr="00340E8F">
        <w:rPr>
          <w:iCs/>
        </w:rPr>
        <w:t xml:space="preserve">% (range </w:t>
      </w:r>
      <w:r w:rsidR="005D428A">
        <w:rPr>
          <w:iCs/>
          <w:noProof/>
          <w:color w:val="000000"/>
          <w:highlight w:val="black"/>
        </w:rPr>
        <w:t>''''''''''''</w:t>
      </w:r>
      <w:r w:rsidRPr="00340E8F">
        <w:rPr>
          <w:iCs/>
        </w:rPr>
        <w:t xml:space="preserve">%) of the sum of components for the metformin experienced patients, and </w:t>
      </w:r>
      <w:r w:rsidR="005D428A">
        <w:rPr>
          <w:iCs/>
          <w:noProof/>
          <w:color w:val="000000"/>
          <w:highlight w:val="black"/>
        </w:rPr>
        <w:t>''''''</w:t>
      </w:r>
      <w:r w:rsidRPr="00340E8F">
        <w:rPr>
          <w:iCs/>
        </w:rPr>
        <w:t xml:space="preserve">% (range </w:t>
      </w:r>
      <w:r w:rsidR="005D428A">
        <w:rPr>
          <w:iCs/>
          <w:noProof/>
          <w:color w:val="000000"/>
          <w:highlight w:val="black"/>
        </w:rPr>
        <w:t>''''''''''''</w:t>
      </w:r>
      <w:r w:rsidRPr="00340E8F">
        <w:rPr>
          <w:iCs/>
        </w:rPr>
        <w:t>%)</w:t>
      </w:r>
      <w:r w:rsidRPr="00E850A7">
        <w:rPr>
          <w:iCs/>
        </w:rPr>
        <w:t xml:space="preserve"> for the metformin naïve (renally impaired) populations (averages unweighted for dose utilisations) – see Table 12 and 13.</w:t>
      </w:r>
    </w:p>
    <w:p w:rsidR="00022EBD" w:rsidRPr="00E850A7" w:rsidRDefault="00022EBD" w:rsidP="00022EBD">
      <w:pPr>
        <w:pStyle w:val="TableHeader"/>
        <w:spacing w:after="60"/>
      </w:pPr>
      <w:r w:rsidRPr="00E850A7">
        <w:t>Table 1</w:t>
      </w:r>
      <w:r w:rsidR="001010D9" w:rsidRPr="00E850A7">
        <w:t>1</w:t>
      </w:r>
      <w:r w:rsidRPr="00E850A7">
        <w:t>: Proportional HbA1c reduction between the empagliflozin with linagliptin FDC vs the reduction in HbA1c in dual therapy of linagliptin plus empagliflozin (metformin exposed patients)</w:t>
      </w: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4"/>
        <w:gridCol w:w="1275"/>
        <w:gridCol w:w="1126"/>
        <w:gridCol w:w="1442"/>
      </w:tblGrid>
      <w:tr w:rsidR="00022EBD" w:rsidRPr="00E850A7" w:rsidTr="00633282">
        <w:trPr>
          <w:cantSplit/>
          <w:tblHeader/>
        </w:trPr>
        <w:tc>
          <w:tcPr>
            <w:tcW w:w="2676" w:type="pct"/>
            <w:vAlign w:val="center"/>
          </w:tcPr>
          <w:p w:rsidR="00022EBD" w:rsidRPr="00E850A7" w:rsidRDefault="00022EBD" w:rsidP="00633282">
            <w:pPr>
              <w:spacing w:before="40" w:after="40"/>
              <w:rPr>
                <w:rFonts w:ascii="Arial Narrow" w:hAnsi="Arial Narrow" w:cs="Times New Roman"/>
                <w:b/>
                <w:sz w:val="20"/>
              </w:rPr>
            </w:pPr>
            <w:r w:rsidRPr="00E850A7">
              <w:rPr>
                <w:rFonts w:ascii="Arial Narrow" w:hAnsi="Arial Narrow" w:cs="Times New Roman"/>
                <w:b/>
                <w:sz w:val="20"/>
              </w:rPr>
              <w:t>1275.1 (24 weeks; metformin exposed)</w:t>
            </w:r>
          </w:p>
        </w:tc>
        <w:tc>
          <w:tcPr>
            <w:tcW w:w="771" w:type="pct"/>
            <w:tcBorders>
              <w:bottom w:val="single" w:sz="4" w:space="0" w:color="auto"/>
            </w:tcBorders>
            <w:vAlign w:val="center"/>
          </w:tcPr>
          <w:p w:rsidR="00022EBD" w:rsidRPr="00E850A7" w:rsidRDefault="00022EBD" w:rsidP="00633282">
            <w:pPr>
              <w:spacing w:before="40" w:after="40"/>
              <w:ind w:right="67"/>
              <w:jc w:val="center"/>
              <w:rPr>
                <w:rFonts w:ascii="Arial Narrow" w:hAnsi="Arial Narrow" w:cs="Times New Roman"/>
                <w:b/>
                <w:sz w:val="20"/>
              </w:rPr>
            </w:pPr>
            <w:r w:rsidRPr="00E850A7">
              <w:rPr>
                <w:rFonts w:ascii="Arial Narrow" w:hAnsi="Arial Narrow" w:cs="Times New Roman"/>
                <w:b/>
                <w:sz w:val="20"/>
              </w:rPr>
              <w:t>MET + LINA + Pbo plus MET + EMPA + Pbo</w:t>
            </w:r>
          </w:p>
        </w:tc>
        <w:tc>
          <w:tcPr>
            <w:tcW w:w="681" w:type="pct"/>
            <w:tcBorders>
              <w:bottom w:val="single" w:sz="4" w:space="0" w:color="auto"/>
            </w:tcBorders>
            <w:vAlign w:val="center"/>
          </w:tcPr>
          <w:p w:rsidR="00022EBD" w:rsidRPr="00E850A7" w:rsidRDefault="00022EBD" w:rsidP="00633282">
            <w:pPr>
              <w:spacing w:before="40" w:after="40"/>
              <w:ind w:right="13"/>
              <w:jc w:val="center"/>
              <w:rPr>
                <w:rFonts w:ascii="Arial Narrow" w:hAnsi="Arial Narrow" w:cs="Times New Roman"/>
                <w:b/>
                <w:sz w:val="20"/>
              </w:rPr>
            </w:pPr>
            <w:r w:rsidRPr="00E850A7">
              <w:rPr>
                <w:rFonts w:ascii="Arial Narrow" w:hAnsi="Arial Narrow" w:cs="Times New Roman"/>
                <w:b/>
                <w:sz w:val="20"/>
              </w:rPr>
              <w:t xml:space="preserve">MET + EMPA + LINA FDC </w:t>
            </w:r>
          </w:p>
        </w:tc>
        <w:tc>
          <w:tcPr>
            <w:tcW w:w="872" w:type="pct"/>
            <w:tcBorders>
              <w:bottom w:val="single" w:sz="4" w:space="0" w:color="auto"/>
            </w:tcBorders>
            <w:vAlign w:val="center"/>
          </w:tcPr>
          <w:p w:rsidR="00022EBD" w:rsidRPr="00E850A7" w:rsidRDefault="00022EBD" w:rsidP="00633282">
            <w:pPr>
              <w:spacing w:before="40" w:after="40"/>
              <w:jc w:val="center"/>
              <w:rPr>
                <w:rFonts w:ascii="Arial Narrow" w:hAnsi="Arial Narrow" w:cs="Times New Roman"/>
                <w:b/>
                <w:sz w:val="20"/>
              </w:rPr>
            </w:pPr>
            <w:r w:rsidRPr="00E850A7">
              <w:rPr>
                <w:rFonts w:ascii="Arial Narrow" w:hAnsi="Arial Narrow" w:cs="Times New Roman"/>
                <w:b/>
                <w:sz w:val="20"/>
              </w:rPr>
              <w:t>Proportion of benefit compared to sum of components</w:t>
            </w:r>
          </w:p>
        </w:tc>
      </w:tr>
      <w:tr w:rsidR="00022EBD" w:rsidRPr="00E850A7" w:rsidTr="00633282">
        <w:tc>
          <w:tcPr>
            <w:tcW w:w="2676" w:type="pct"/>
            <w:vAlign w:val="center"/>
          </w:tcPr>
          <w:p w:rsidR="00022EBD" w:rsidRPr="00E850A7" w:rsidRDefault="00022EBD" w:rsidP="00633282">
            <w:pPr>
              <w:spacing w:before="40" w:after="40"/>
              <w:rPr>
                <w:rFonts w:ascii="Arial Narrow" w:hAnsi="Arial Narrow" w:cs="Times New Roman"/>
                <w:sz w:val="20"/>
              </w:rPr>
            </w:pPr>
            <w:r w:rsidRPr="00E850A7">
              <w:rPr>
                <w:rFonts w:ascii="Arial Narrow" w:hAnsi="Arial Narrow" w:cs="Times New Roman"/>
                <w:sz w:val="20"/>
              </w:rPr>
              <w:t xml:space="preserve">MET + LINA + Pbo added to MET + EMPA 25 + Pbo vs MET + EMPA 25 mg + LINA </w:t>
            </w:r>
          </w:p>
        </w:tc>
        <w:tc>
          <w:tcPr>
            <w:tcW w:w="771" w:type="pct"/>
            <w:tcBorders>
              <w:bottom w:val="single" w:sz="4" w:space="0" w:color="auto"/>
            </w:tcBorders>
            <w:vAlign w:val="bottom"/>
          </w:tcPr>
          <w:p w:rsidR="00022EBD" w:rsidRPr="005D428A" w:rsidRDefault="005D428A" w:rsidP="00633282">
            <w:pPr>
              <w:spacing w:before="40" w:after="4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81" w:type="pct"/>
            <w:tcBorders>
              <w:bottom w:val="single" w:sz="4" w:space="0" w:color="auto"/>
            </w:tcBorders>
            <w:vAlign w:val="bottom"/>
          </w:tcPr>
          <w:p w:rsidR="00022EBD" w:rsidRPr="005D428A" w:rsidRDefault="00022EBD" w:rsidP="00633282">
            <w:pPr>
              <w:spacing w:before="40" w:after="40"/>
              <w:jc w:val="center"/>
              <w:rPr>
                <w:rFonts w:ascii="Arial Narrow" w:hAnsi="Arial Narrow" w:cs="Times New Roman"/>
                <w:sz w:val="20"/>
              </w:rPr>
            </w:pPr>
            <w:r w:rsidRPr="00A64956">
              <w:rPr>
                <w:rFonts w:ascii="Arial Narrow" w:hAnsi="Arial Narrow"/>
                <w:sz w:val="20"/>
              </w:rPr>
              <w:t>-1.20</w:t>
            </w:r>
          </w:p>
        </w:tc>
        <w:tc>
          <w:tcPr>
            <w:tcW w:w="872" w:type="pct"/>
            <w:tcBorders>
              <w:bottom w:val="single" w:sz="4" w:space="0" w:color="auto"/>
            </w:tcBorders>
            <w:vAlign w:val="bottom"/>
          </w:tcPr>
          <w:p w:rsidR="00022EBD" w:rsidRPr="005D428A" w:rsidRDefault="005D428A" w:rsidP="00633282">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22EBD" w:rsidRPr="00E850A7" w:rsidTr="00633282">
        <w:tc>
          <w:tcPr>
            <w:tcW w:w="2676" w:type="pct"/>
            <w:tcBorders>
              <w:bottom w:val="double" w:sz="4" w:space="0" w:color="auto"/>
            </w:tcBorders>
            <w:vAlign w:val="center"/>
          </w:tcPr>
          <w:p w:rsidR="00022EBD" w:rsidRPr="00E850A7" w:rsidRDefault="00022EBD" w:rsidP="00633282">
            <w:pPr>
              <w:spacing w:before="40" w:after="40"/>
              <w:rPr>
                <w:rFonts w:ascii="Arial Narrow" w:hAnsi="Arial Narrow" w:cs="Times New Roman"/>
                <w:sz w:val="20"/>
              </w:rPr>
            </w:pPr>
            <w:r w:rsidRPr="00E850A7">
              <w:rPr>
                <w:rFonts w:ascii="Arial Narrow" w:hAnsi="Arial Narrow" w:cs="Times New Roman"/>
                <w:sz w:val="20"/>
              </w:rPr>
              <w:t xml:space="preserve">MET + LINA + Pbo added to MET + EMPA 10 + Pbo vs MET + EMPA 10 mg + LINA </w:t>
            </w:r>
          </w:p>
        </w:tc>
        <w:tc>
          <w:tcPr>
            <w:tcW w:w="771" w:type="pct"/>
            <w:tcBorders>
              <w:bottom w:val="double" w:sz="4" w:space="0" w:color="auto"/>
            </w:tcBorders>
            <w:vAlign w:val="bottom"/>
          </w:tcPr>
          <w:p w:rsidR="00022EBD" w:rsidRPr="005D428A" w:rsidRDefault="005D428A" w:rsidP="00633282">
            <w:pPr>
              <w:spacing w:before="40" w:after="4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81" w:type="pct"/>
            <w:tcBorders>
              <w:bottom w:val="double" w:sz="4" w:space="0" w:color="auto"/>
            </w:tcBorders>
            <w:vAlign w:val="bottom"/>
          </w:tcPr>
          <w:p w:rsidR="00022EBD" w:rsidRPr="005D428A" w:rsidRDefault="00022EBD" w:rsidP="00633282">
            <w:pPr>
              <w:spacing w:before="40" w:after="40"/>
              <w:jc w:val="center"/>
              <w:rPr>
                <w:rFonts w:ascii="Arial Narrow" w:hAnsi="Arial Narrow" w:cs="Times New Roman"/>
                <w:sz w:val="20"/>
              </w:rPr>
            </w:pPr>
            <w:r w:rsidRPr="00A64956">
              <w:rPr>
                <w:rFonts w:ascii="Arial Narrow" w:hAnsi="Arial Narrow" w:cs="Times New Roman"/>
                <w:sz w:val="20"/>
              </w:rPr>
              <w:t>-1.09</w:t>
            </w:r>
          </w:p>
        </w:tc>
        <w:tc>
          <w:tcPr>
            <w:tcW w:w="872" w:type="pct"/>
            <w:tcBorders>
              <w:bottom w:val="double" w:sz="4" w:space="0" w:color="auto"/>
            </w:tcBorders>
            <w:vAlign w:val="bottom"/>
          </w:tcPr>
          <w:p w:rsidR="00022EBD" w:rsidRPr="005D428A" w:rsidRDefault="005D428A" w:rsidP="00633282">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22EBD" w:rsidRPr="00E850A7" w:rsidTr="00633282">
        <w:trPr>
          <w:trHeight w:val="416"/>
          <w:tblHeader/>
        </w:trPr>
        <w:tc>
          <w:tcPr>
            <w:tcW w:w="4128" w:type="pct"/>
            <w:gridSpan w:val="3"/>
            <w:shd w:val="clear" w:color="auto" w:fill="auto"/>
            <w:vAlign w:val="center"/>
          </w:tcPr>
          <w:p w:rsidR="00022EBD" w:rsidRPr="00E850A7" w:rsidRDefault="00022EBD" w:rsidP="00633282">
            <w:pPr>
              <w:spacing w:before="40" w:after="40"/>
              <w:rPr>
                <w:rFonts w:ascii="Arial Narrow" w:hAnsi="Arial Narrow" w:cs="Times New Roman"/>
                <w:b/>
                <w:sz w:val="20"/>
              </w:rPr>
            </w:pPr>
            <w:r w:rsidRPr="00E850A7">
              <w:rPr>
                <w:rFonts w:ascii="Arial Narrow" w:hAnsi="Arial Narrow" w:cs="Times New Roman"/>
                <w:sz w:val="20"/>
              </w:rPr>
              <w:t>Average (unweighted)</w:t>
            </w:r>
          </w:p>
        </w:tc>
        <w:tc>
          <w:tcPr>
            <w:tcW w:w="872" w:type="pct"/>
            <w:tcBorders>
              <w:top w:val="double" w:sz="4" w:space="0" w:color="auto"/>
            </w:tcBorders>
            <w:shd w:val="clear" w:color="auto" w:fill="auto"/>
            <w:vAlign w:val="center"/>
          </w:tcPr>
          <w:p w:rsidR="00022EBD" w:rsidRPr="005D428A" w:rsidRDefault="005D428A" w:rsidP="00633282">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bl>
    <w:p w:rsidR="00022EBD" w:rsidRPr="00E850A7" w:rsidRDefault="00022EBD" w:rsidP="00022EBD">
      <w:pPr>
        <w:spacing w:before="0" w:line="259" w:lineRule="auto"/>
        <w:rPr>
          <w:rFonts w:ascii="Arial Narrow" w:eastAsia="Times New Roman" w:hAnsi="Arial Narrow" w:cs="Arial"/>
          <w:b/>
          <w:strike/>
          <w:snapToGrid w:val="0"/>
          <w:sz w:val="20"/>
          <w:szCs w:val="20"/>
        </w:rPr>
      </w:pPr>
    </w:p>
    <w:p w:rsidR="00022EBD" w:rsidRPr="00E850A7" w:rsidRDefault="00022EBD" w:rsidP="00022EBD">
      <w:pPr>
        <w:pStyle w:val="TableHeader"/>
        <w:spacing w:after="60"/>
      </w:pPr>
      <w:r w:rsidRPr="00E850A7">
        <w:t>Table 1</w:t>
      </w:r>
      <w:r w:rsidR="001010D9" w:rsidRPr="00E850A7">
        <w:t>2</w:t>
      </w:r>
      <w:r w:rsidRPr="00E850A7">
        <w:t>: Proportional HbA1c reduction between the empagliflozin with linagliptin FDC vs the reduction in HbA1c in dual therapy of linagliptin plus empagliflozin (treatment naïve patients)</w:t>
      </w: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4"/>
        <w:gridCol w:w="1275"/>
        <w:gridCol w:w="1126"/>
        <w:gridCol w:w="1442"/>
      </w:tblGrid>
      <w:tr w:rsidR="00022EBD" w:rsidRPr="00E850A7" w:rsidTr="00633282">
        <w:trPr>
          <w:cantSplit/>
          <w:tblHeader/>
        </w:trPr>
        <w:tc>
          <w:tcPr>
            <w:tcW w:w="2676" w:type="pct"/>
            <w:vAlign w:val="center"/>
          </w:tcPr>
          <w:p w:rsidR="00022EBD" w:rsidRPr="00E850A7" w:rsidRDefault="00022EBD" w:rsidP="00633282">
            <w:pPr>
              <w:spacing w:before="40" w:after="40"/>
              <w:rPr>
                <w:rFonts w:ascii="Arial Narrow" w:hAnsi="Arial Narrow" w:cs="Times New Roman"/>
                <w:b/>
                <w:sz w:val="20"/>
              </w:rPr>
            </w:pPr>
            <w:r w:rsidRPr="00E850A7">
              <w:rPr>
                <w:rFonts w:ascii="Arial Narrow" w:hAnsi="Arial Narrow" w:cs="Times New Roman"/>
                <w:b/>
                <w:sz w:val="20"/>
              </w:rPr>
              <w:t>1275.1 (24 weeks; treatment naïve)</w:t>
            </w:r>
          </w:p>
        </w:tc>
        <w:tc>
          <w:tcPr>
            <w:tcW w:w="771" w:type="pct"/>
            <w:tcBorders>
              <w:bottom w:val="single" w:sz="4" w:space="0" w:color="auto"/>
            </w:tcBorders>
            <w:vAlign w:val="center"/>
          </w:tcPr>
          <w:p w:rsidR="00022EBD" w:rsidRPr="00E850A7" w:rsidRDefault="00022EBD" w:rsidP="00633282">
            <w:pPr>
              <w:spacing w:before="40" w:after="40"/>
              <w:ind w:right="67"/>
              <w:jc w:val="center"/>
              <w:rPr>
                <w:rFonts w:ascii="Arial Narrow" w:hAnsi="Arial Narrow" w:cs="Times New Roman"/>
                <w:b/>
                <w:sz w:val="20"/>
              </w:rPr>
            </w:pPr>
            <w:r w:rsidRPr="00E850A7">
              <w:rPr>
                <w:rFonts w:ascii="Arial Narrow" w:hAnsi="Arial Narrow" w:cs="Times New Roman"/>
                <w:b/>
                <w:sz w:val="20"/>
              </w:rPr>
              <w:t>LINA + Pbo plus EMPA + Pbo</w:t>
            </w:r>
          </w:p>
        </w:tc>
        <w:tc>
          <w:tcPr>
            <w:tcW w:w="681" w:type="pct"/>
            <w:tcBorders>
              <w:bottom w:val="single" w:sz="4" w:space="0" w:color="auto"/>
            </w:tcBorders>
            <w:vAlign w:val="center"/>
          </w:tcPr>
          <w:p w:rsidR="00022EBD" w:rsidRPr="00E850A7" w:rsidRDefault="00022EBD" w:rsidP="00633282">
            <w:pPr>
              <w:spacing w:before="40" w:after="40"/>
              <w:ind w:right="13"/>
              <w:jc w:val="center"/>
              <w:rPr>
                <w:rFonts w:ascii="Arial Narrow" w:hAnsi="Arial Narrow" w:cs="Times New Roman"/>
                <w:b/>
                <w:sz w:val="20"/>
              </w:rPr>
            </w:pPr>
            <w:r w:rsidRPr="00E850A7">
              <w:rPr>
                <w:rFonts w:ascii="Arial Narrow" w:hAnsi="Arial Narrow" w:cs="Times New Roman"/>
                <w:b/>
                <w:sz w:val="20"/>
              </w:rPr>
              <w:t xml:space="preserve">EMPA + LINA FDC </w:t>
            </w:r>
          </w:p>
        </w:tc>
        <w:tc>
          <w:tcPr>
            <w:tcW w:w="872" w:type="pct"/>
            <w:tcBorders>
              <w:bottom w:val="single" w:sz="4" w:space="0" w:color="auto"/>
            </w:tcBorders>
            <w:vAlign w:val="center"/>
          </w:tcPr>
          <w:p w:rsidR="00022EBD" w:rsidRPr="00E850A7" w:rsidRDefault="00022EBD" w:rsidP="00633282">
            <w:pPr>
              <w:spacing w:before="40" w:after="40"/>
              <w:jc w:val="center"/>
              <w:rPr>
                <w:rFonts w:ascii="Arial Narrow" w:hAnsi="Arial Narrow" w:cs="Times New Roman"/>
                <w:b/>
                <w:sz w:val="20"/>
              </w:rPr>
            </w:pPr>
            <w:r w:rsidRPr="00E850A7">
              <w:rPr>
                <w:rFonts w:ascii="Arial Narrow" w:hAnsi="Arial Narrow" w:cs="Times New Roman"/>
                <w:b/>
                <w:sz w:val="20"/>
              </w:rPr>
              <w:t>Proportion of benefit compared to sum of components</w:t>
            </w:r>
          </w:p>
        </w:tc>
      </w:tr>
      <w:tr w:rsidR="00022EBD" w:rsidRPr="00E850A7" w:rsidTr="00633282">
        <w:tc>
          <w:tcPr>
            <w:tcW w:w="2676" w:type="pct"/>
            <w:vAlign w:val="center"/>
          </w:tcPr>
          <w:p w:rsidR="00022EBD" w:rsidRPr="00E850A7" w:rsidRDefault="00022EBD" w:rsidP="00633282">
            <w:pPr>
              <w:spacing w:before="40" w:after="40"/>
              <w:rPr>
                <w:rFonts w:ascii="Arial Narrow" w:hAnsi="Arial Narrow" w:cs="Times New Roman"/>
                <w:sz w:val="20"/>
              </w:rPr>
            </w:pPr>
            <w:r w:rsidRPr="00E850A7">
              <w:rPr>
                <w:rFonts w:ascii="Arial Narrow" w:hAnsi="Arial Narrow" w:cs="Times New Roman"/>
                <w:sz w:val="20"/>
              </w:rPr>
              <w:t>EMPA 25 + Pbo plus LINA + Pbo vs EMPA 25 + LINA</w:t>
            </w:r>
          </w:p>
        </w:tc>
        <w:tc>
          <w:tcPr>
            <w:tcW w:w="771" w:type="pct"/>
            <w:tcBorders>
              <w:bottom w:val="single" w:sz="4" w:space="0" w:color="auto"/>
            </w:tcBorders>
            <w:vAlign w:val="bottom"/>
          </w:tcPr>
          <w:p w:rsidR="00022EBD" w:rsidRPr="005D428A" w:rsidRDefault="005D428A" w:rsidP="00633282">
            <w:pPr>
              <w:spacing w:before="40" w:after="4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81" w:type="pct"/>
            <w:tcBorders>
              <w:bottom w:val="single" w:sz="4" w:space="0" w:color="auto"/>
            </w:tcBorders>
            <w:vAlign w:val="bottom"/>
          </w:tcPr>
          <w:p w:rsidR="00022EBD" w:rsidRPr="00A64956" w:rsidRDefault="00022EBD" w:rsidP="00633282">
            <w:pPr>
              <w:spacing w:before="40" w:after="40"/>
              <w:jc w:val="center"/>
              <w:rPr>
                <w:rFonts w:ascii="Arial Narrow" w:hAnsi="Arial Narrow" w:cs="Times New Roman"/>
                <w:sz w:val="20"/>
              </w:rPr>
            </w:pPr>
            <w:r w:rsidRPr="00A64956">
              <w:rPr>
                <w:rFonts w:ascii="Arial Narrow" w:hAnsi="Arial Narrow" w:cs="Times New Roman"/>
                <w:sz w:val="20"/>
              </w:rPr>
              <w:t>-1.07</w:t>
            </w:r>
          </w:p>
        </w:tc>
        <w:tc>
          <w:tcPr>
            <w:tcW w:w="872" w:type="pct"/>
            <w:tcBorders>
              <w:bottom w:val="single" w:sz="4" w:space="0" w:color="auto"/>
            </w:tcBorders>
            <w:vAlign w:val="bottom"/>
          </w:tcPr>
          <w:p w:rsidR="00022EBD" w:rsidRPr="005D428A" w:rsidRDefault="005D428A" w:rsidP="00633282">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22EBD" w:rsidRPr="00E850A7" w:rsidTr="00633282">
        <w:tc>
          <w:tcPr>
            <w:tcW w:w="2676" w:type="pct"/>
            <w:tcBorders>
              <w:bottom w:val="double" w:sz="4" w:space="0" w:color="auto"/>
            </w:tcBorders>
            <w:vAlign w:val="center"/>
          </w:tcPr>
          <w:p w:rsidR="00022EBD" w:rsidRPr="00E850A7" w:rsidRDefault="00022EBD" w:rsidP="00633282">
            <w:pPr>
              <w:spacing w:before="40" w:after="40"/>
              <w:rPr>
                <w:rFonts w:ascii="Arial Narrow" w:hAnsi="Arial Narrow" w:cs="Times New Roman"/>
                <w:sz w:val="20"/>
              </w:rPr>
            </w:pPr>
            <w:r w:rsidRPr="00E850A7">
              <w:rPr>
                <w:rFonts w:ascii="Arial Narrow" w:hAnsi="Arial Narrow" w:cs="Times New Roman"/>
                <w:sz w:val="20"/>
              </w:rPr>
              <w:t>EMPA 10 + Pbo plus LINA + Pbo vs EMPA 10 + LINA</w:t>
            </w:r>
          </w:p>
        </w:tc>
        <w:tc>
          <w:tcPr>
            <w:tcW w:w="771" w:type="pct"/>
            <w:tcBorders>
              <w:bottom w:val="double" w:sz="4" w:space="0" w:color="auto"/>
            </w:tcBorders>
            <w:vAlign w:val="bottom"/>
          </w:tcPr>
          <w:p w:rsidR="00022EBD" w:rsidRPr="005D428A" w:rsidRDefault="005D428A" w:rsidP="00633282">
            <w:pPr>
              <w:spacing w:before="40" w:after="4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681" w:type="pct"/>
            <w:tcBorders>
              <w:bottom w:val="double" w:sz="4" w:space="0" w:color="auto"/>
            </w:tcBorders>
            <w:vAlign w:val="bottom"/>
          </w:tcPr>
          <w:p w:rsidR="00022EBD" w:rsidRPr="00A64956" w:rsidRDefault="00022EBD" w:rsidP="00633282">
            <w:pPr>
              <w:spacing w:before="40" w:after="40"/>
              <w:jc w:val="center"/>
              <w:rPr>
                <w:rFonts w:ascii="Arial Narrow" w:hAnsi="Arial Narrow" w:cs="Times New Roman"/>
                <w:sz w:val="20"/>
              </w:rPr>
            </w:pPr>
            <w:r w:rsidRPr="00A64956">
              <w:rPr>
                <w:rFonts w:ascii="Arial Narrow" w:hAnsi="Arial Narrow" w:cs="Times New Roman"/>
                <w:sz w:val="20"/>
              </w:rPr>
              <w:t>-1.26</w:t>
            </w:r>
          </w:p>
        </w:tc>
        <w:tc>
          <w:tcPr>
            <w:tcW w:w="872" w:type="pct"/>
            <w:tcBorders>
              <w:bottom w:val="double" w:sz="4" w:space="0" w:color="auto"/>
            </w:tcBorders>
            <w:vAlign w:val="bottom"/>
          </w:tcPr>
          <w:p w:rsidR="00022EBD" w:rsidRPr="005D428A" w:rsidRDefault="005D428A" w:rsidP="00633282">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r w:rsidR="00022EBD" w:rsidRPr="00E850A7" w:rsidTr="00633282">
        <w:trPr>
          <w:trHeight w:val="416"/>
          <w:tblHeader/>
        </w:trPr>
        <w:tc>
          <w:tcPr>
            <w:tcW w:w="4128" w:type="pct"/>
            <w:gridSpan w:val="3"/>
            <w:shd w:val="clear" w:color="auto" w:fill="auto"/>
            <w:vAlign w:val="center"/>
          </w:tcPr>
          <w:p w:rsidR="00022EBD" w:rsidRPr="00E850A7" w:rsidRDefault="00022EBD" w:rsidP="00633282">
            <w:pPr>
              <w:spacing w:before="40" w:after="40"/>
              <w:rPr>
                <w:rFonts w:ascii="Arial Narrow" w:hAnsi="Arial Narrow" w:cs="Times New Roman"/>
                <w:b/>
                <w:sz w:val="20"/>
              </w:rPr>
            </w:pPr>
            <w:r w:rsidRPr="00E850A7">
              <w:rPr>
                <w:rFonts w:ascii="Arial Narrow" w:hAnsi="Arial Narrow" w:cs="Times New Roman"/>
                <w:sz w:val="20"/>
              </w:rPr>
              <w:t>Average (unweighted)</w:t>
            </w:r>
          </w:p>
        </w:tc>
        <w:tc>
          <w:tcPr>
            <w:tcW w:w="872" w:type="pct"/>
            <w:tcBorders>
              <w:top w:val="double" w:sz="4" w:space="0" w:color="auto"/>
            </w:tcBorders>
            <w:shd w:val="clear" w:color="auto" w:fill="auto"/>
            <w:vAlign w:val="center"/>
          </w:tcPr>
          <w:p w:rsidR="00022EBD" w:rsidRPr="005D428A" w:rsidRDefault="005D428A" w:rsidP="00633282">
            <w:pPr>
              <w:spacing w:before="40" w:after="40"/>
              <w:jc w:val="center"/>
              <w:rPr>
                <w:rFonts w:ascii="Arial Narrow" w:hAnsi="Arial Narrow" w:cs="Times New Roman"/>
                <w:b/>
                <w:sz w:val="20"/>
                <w:highlight w:val="black"/>
              </w:rPr>
            </w:pPr>
            <w:r>
              <w:rPr>
                <w:rFonts w:ascii="Arial Narrow" w:hAnsi="Arial Narrow" w:cs="Times New Roman"/>
                <w:b/>
                <w:noProof/>
                <w:color w:val="000000"/>
                <w:sz w:val="20"/>
                <w:highlight w:val="black"/>
              </w:rPr>
              <w:t>'''''''''</w:t>
            </w:r>
          </w:p>
        </w:tc>
      </w:tr>
    </w:tbl>
    <w:p w:rsidR="001E696D" w:rsidRDefault="001E696D" w:rsidP="00022EBD">
      <w:pPr>
        <w:pStyle w:val="ListParagraph"/>
        <w:spacing w:before="0" w:after="120"/>
        <w:jc w:val="both"/>
      </w:pPr>
    </w:p>
    <w:p w:rsidR="001E696D" w:rsidRDefault="001E696D">
      <w:pPr>
        <w:spacing w:before="0" w:line="259" w:lineRule="auto"/>
      </w:pPr>
      <w:r>
        <w:br w:type="page"/>
      </w:r>
    </w:p>
    <w:p w:rsidR="00022EBD" w:rsidRPr="00E850A7" w:rsidRDefault="00022EBD" w:rsidP="00022EBD">
      <w:pPr>
        <w:pStyle w:val="ListParagraph"/>
        <w:spacing w:before="0" w:after="120"/>
        <w:jc w:val="both"/>
      </w:pPr>
    </w:p>
    <w:p w:rsidR="00A07002" w:rsidRPr="00E850A7" w:rsidRDefault="00A07002" w:rsidP="00CA5C74">
      <w:pPr>
        <w:pStyle w:val="TableHeader"/>
        <w:spacing w:after="60"/>
      </w:pPr>
      <w:r w:rsidRPr="00E850A7">
        <w:t>Table 1</w:t>
      </w:r>
      <w:r w:rsidR="001010D9" w:rsidRPr="00E850A7">
        <w:t>3</w:t>
      </w:r>
      <w:r w:rsidRPr="00E850A7">
        <w:t xml:space="preserve">: AEMP of FDC based on additive benefit on HbA1c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AEMP of FDC based on additive benefit on HbA1c "/>
      </w:tblPr>
      <w:tblGrid>
        <w:gridCol w:w="2310"/>
        <w:gridCol w:w="2311"/>
        <w:gridCol w:w="2311"/>
        <w:gridCol w:w="2311"/>
      </w:tblGrid>
      <w:tr w:rsidR="00A07002" w:rsidRPr="00E850A7" w:rsidTr="00E925FB">
        <w:trPr>
          <w:cnfStyle w:val="100000000000" w:firstRow="1" w:lastRow="0" w:firstColumn="0" w:lastColumn="0" w:oddVBand="0" w:evenVBand="0" w:oddHBand="0" w:evenHBand="0" w:firstRowFirstColumn="0" w:firstRowLastColumn="0" w:lastRowFirstColumn="0" w:lastRowLastColumn="0"/>
          <w:tblHeader/>
        </w:trPr>
        <w:tc>
          <w:tcPr>
            <w:tcW w:w="2310" w:type="dxa"/>
            <w:shd w:val="clear" w:color="auto" w:fill="FFFFFF" w:themeFill="background1"/>
          </w:tcPr>
          <w:p w:rsidR="00A07002" w:rsidRPr="00E850A7" w:rsidRDefault="00A07002" w:rsidP="00CA5C74">
            <w:pPr>
              <w:pStyle w:val="TableHeader"/>
              <w:spacing w:after="60"/>
              <w:rPr>
                <w:lang w:val="en-AU"/>
              </w:rPr>
            </w:pPr>
          </w:p>
        </w:tc>
        <w:tc>
          <w:tcPr>
            <w:tcW w:w="2311" w:type="dxa"/>
            <w:shd w:val="clear" w:color="auto" w:fill="FFFFFF" w:themeFill="background1"/>
          </w:tcPr>
          <w:p w:rsidR="00A07002" w:rsidRPr="00E850A7" w:rsidRDefault="00A07002" w:rsidP="00CA5C74">
            <w:pPr>
              <w:pStyle w:val="TableHeader"/>
              <w:spacing w:after="60"/>
              <w:rPr>
                <w:lang w:val="en-AU"/>
              </w:rPr>
            </w:pPr>
            <w:r w:rsidRPr="00E850A7">
              <w:rPr>
                <w:b/>
                <w:lang w:val="en-AU"/>
              </w:rPr>
              <w:t>Proportion of benefit compared to sum of components</w:t>
            </w:r>
          </w:p>
        </w:tc>
        <w:tc>
          <w:tcPr>
            <w:tcW w:w="2311" w:type="dxa"/>
            <w:shd w:val="clear" w:color="auto" w:fill="FFFFFF" w:themeFill="background1"/>
          </w:tcPr>
          <w:p w:rsidR="00A07002" w:rsidRPr="00E850A7" w:rsidRDefault="00A07002" w:rsidP="00CA5C74">
            <w:pPr>
              <w:pStyle w:val="TableHeader"/>
              <w:spacing w:after="60"/>
              <w:rPr>
                <w:lang w:val="en-AU"/>
              </w:rPr>
            </w:pPr>
            <w:r w:rsidRPr="00E850A7">
              <w:rPr>
                <w:b/>
                <w:lang w:val="en-AU"/>
              </w:rPr>
              <w:t>Discount based on additive HbA1c</w:t>
            </w:r>
          </w:p>
        </w:tc>
        <w:tc>
          <w:tcPr>
            <w:tcW w:w="2311" w:type="dxa"/>
            <w:shd w:val="clear" w:color="auto" w:fill="FFFFFF" w:themeFill="background1"/>
          </w:tcPr>
          <w:p w:rsidR="00A07002" w:rsidRPr="00E850A7" w:rsidRDefault="00A07002" w:rsidP="00CA5C74">
            <w:pPr>
              <w:pStyle w:val="TableHeader"/>
              <w:spacing w:after="60"/>
              <w:rPr>
                <w:lang w:val="en-AU"/>
              </w:rPr>
            </w:pPr>
            <w:r w:rsidRPr="00E850A7">
              <w:rPr>
                <w:b/>
                <w:lang w:val="en-AU"/>
              </w:rPr>
              <w:t xml:space="preserve">Price based on additive benefit on HbA1c </w:t>
            </w:r>
          </w:p>
        </w:tc>
      </w:tr>
      <w:tr w:rsidR="00A07002" w:rsidRPr="00E850A7" w:rsidTr="00CA5C74">
        <w:tc>
          <w:tcPr>
            <w:tcW w:w="9243" w:type="dxa"/>
            <w:gridSpan w:val="4"/>
          </w:tcPr>
          <w:p w:rsidR="00A07002" w:rsidRPr="00E850A7" w:rsidRDefault="00A07002" w:rsidP="00CA5C74">
            <w:pPr>
              <w:pStyle w:val="TableHeader"/>
              <w:spacing w:after="60"/>
              <w:rPr>
                <w:lang w:val="en-AU"/>
              </w:rPr>
            </w:pPr>
            <w:r w:rsidRPr="00E850A7">
              <w:rPr>
                <w:lang w:val="en-AU"/>
              </w:rPr>
              <w:t>52 weeks</w:t>
            </w:r>
          </w:p>
        </w:tc>
      </w:tr>
      <w:tr w:rsidR="00A07002" w:rsidRPr="00E850A7" w:rsidTr="00CA5C74">
        <w:tc>
          <w:tcPr>
            <w:tcW w:w="2310" w:type="dxa"/>
          </w:tcPr>
          <w:p w:rsidR="00A07002" w:rsidRPr="00E850A7" w:rsidRDefault="00D8207E" w:rsidP="00CA5C74">
            <w:pPr>
              <w:pStyle w:val="TableHeader"/>
              <w:spacing w:after="60"/>
              <w:rPr>
                <w:lang w:val="en-AU"/>
              </w:rPr>
            </w:pPr>
            <w:r w:rsidRPr="00E850A7">
              <w:rPr>
                <w:b w:val="0"/>
                <w:lang w:val="en-AU"/>
              </w:rPr>
              <w:t>Treatment Naïve</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r>
      <w:tr w:rsidR="00A07002" w:rsidRPr="00E850A7" w:rsidTr="00CA5C74">
        <w:tc>
          <w:tcPr>
            <w:tcW w:w="2310" w:type="dxa"/>
          </w:tcPr>
          <w:p w:rsidR="00A07002" w:rsidRPr="00E850A7" w:rsidRDefault="00D8207E" w:rsidP="00CA5C74">
            <w:pPr>
              <w:pStyle w:val="TableHeader"/>
              <w:spacing w:after="60"/>
              <w:rPr>
                <w:lang w:val="en-AU"/>
              </w:rPr>
            </w:pPr>
            <w:r w:rsidRPr="00E850A7">
              <w:rPr>
                <w:b w:val="0"/>
                <w:lang w:val="en-AU"/>
              </w:rPr>
              <w:t>Treatment Experienced</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r>
      <w:tr w:rsidR="00A07002" w:rsidRPr="00E850A7" w:rsidTr="00CA5C74">
        <w:tc>
          <w:tcPr>
            <w:tcW w:w="2310" w:type="dxa"/>
          </w:tcPr>
          <w:p w:rsidR="00A07002" w:rsidRPr="00E850A7" w:rsidRDefault="00D8207E" w:rsidP="00CA5C74">
            <w:pPr>
              <w:pStyle w:val="TableHeader"/>
              <w:spacing w:after="60"/>
              <w:rPr>
                <w:lang w:val="en-AU"/>
              </w:rPr>
            </w:pPr>
            <w:r w:rsidRPr="00E850A7">
              <w:rPr>
                <w:b w:val="0"/>
                <w:lang w:val="en-AU"/>
              </w:rPr>
              <w:t>Average (unweighted)</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b w:val="0"/>
                <w:noProof/>
                <w:color w:val="000000"/>
                <w:highlight w:val="black"/>
                <w:lang w:val="en-AU"/>
              </w:rPr>
              <w:t>'''''''''''''''</w:t>
            </w:r>
          </w:p>
        </w:tc>
      </w:tr>
      <w:tr w:rsidR="00A07002" w:rsidRPr="00E850A7" w:rsidTr="00CA5C74">
        <w:tc>
          <w:tcPr>
            <w:tcW w:w="9243" w:type="dxa"/>
            <w:gridSpan w:val="4"/>
          </w:tcPr>
          <w:p w:rsidR="00A07002" w:rsidRPr="00E850A7" w:rsidRDefault="00A07002" w:rsidP="00CA5C74">
            <w:pPr>
              <w:pStyle w:val="TableHeader"/>
              <w:spacing w:after="60"/>
              <w:jc w:val="left"/>
              <w:rPr>
                <w:lang w:val="en-AU"/>
              </w:rPr>
            </w:pPr>
            <w:r w:rsidRPr="00E850A7">
              <w:rPr>
                <w:lang w:val="en-AU"/>
              </w:rPr>
              <w:t>24 weeks</w:t>
            </w:r>
          </w:p>
        </w:tc>
      </w:tr>
      <w:tr w:rsidR="00D8207E" w:rsidRPr="00E850A7" w:rsidTr="00CA5C74">
        <w:tc>
          <w:tcPr>
            <w:tcW w:w="2310" w:type="dxa"/>
          </w:tcPr>
          <w:p w:rsidR="00D8207E" w:rsidRPr="00E850A7" w:rsidRDefault="00D8207E" w:rsidP="00CA5C74">
            <w:pPr>
              <w:pStyle w:val="TableHeader"/>
              <w:spacing w:after="60"/>
              <w:rPr>
                <w:lang w:val="en-AU"/>
              </w:rPr>
            </w:pPr>
            <w:r w:rsidRPr="00E850A7">
              <w:rPr>
                <w:b w:val="0"/>
                <w:lang w:val="en-AU"/>
              </w:rPr>
              <w:t>Treatment Naïve</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r>
      <w:tr w:rsidR="00D8207E" w:rsidRPr="00E850A7" w:rsidTr="00CA5C74">
        <w:tc>
          <w:tcPr>
            <w:tcW w:w="2310" w:type="dxa"/>
          </w:tcPr>
          <w:p w:rsidR="00D8207E" w:rsidRPr="00E850A7" w:rsidRDefault="00D8207E" w:rsidP="00CA5C74">
            <w:pPr>
              <w:pStyle w:val="TableHeader"/>
              <w:spacing w:after="60"/>
              <w:rPr>
                <w:lang w:val="en-AU"/>
              </w:rPr>
            </w:pPr>
            <w:r w:rsidRPr="00E850A7">
              <w:rPr>
                <w:b w:val="0"/>
                <w:lang w:val="en-AU"/>
              </w:rPr>
              <w:t>Treatment Experienced</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r>
      <w:tr w:rsidR="00D8207E" w:rsidRPr="00E850A7" w:rsidTr="00CA5C74">
        <w:tc>
          <w:tcPr>
            <w:tcW w:w="2310" w:type="dxa"/>
          </w:tcPr>
          <w:p w:rsidR="00D8207E" w:rsidRPr="00E850A7" w:rsidRDefault="00D8207E" w:rsidP="00CA5C74">
            <w:pPr>
              <w:pStyle w:val="TableHeader"/>
              <w:spacing w:after="60"/>
              <w:rPr>
                <w:lang w:val="en-AU"/>
              </w:rPr>
            </w:pPr>
            <w:r w:rsidRPr="00E850A7">
              <w:rPr>
                <w:b w:val="0"/>
                <w:lang w:val="en-AU"/>
              </w:rPr>
              <w:t>Average (unweighted)</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c>
          <w:tcPr>
            <w:tcW w:w="2311" w:type="dxa"/>
          </w:tcPr>
          <w:p w:rsidR="00D8207E" w:rsidRPr="005D428A" w:rsidRDefault="005D428A" w:rsidP="00CA5C74">
            <w:pPr>
              <w:pStyle w:val="TableHeader"/>
              <w:spacing w:after="60"/>
              <w:jc w:val="center"/>
              <w:rPr>
                <w:highlight w:val="black"/>
                <w:lang w:val="en-AU"/>
              </w:rPr>
            </w:pPr>
            <w:r>
              <w:rPr>
                <w:b w:val="0"/>
                <w:noProof/>
                <w:color w:val="000000"/>
                <w:highlight w:val="black"/>
                <w:lang w:val="en-AU"/>
              </w:rPr>
              <w:t>'''''''''''''''</w:t>
            </w:r>
          </w:p>
        </w:tc>
      </w:tr>
      <w:tr w:rsidR="00A07002" w:rsidRPr="00E850A7" w:rsidTr="00CA5C74">
        <w:tc>
          <w:tcPr>
            <w:tcW w:w="9243" w:type="dxa"/>
            <w:gridSpan w:val="4"/>
          </w:tcPr>
          <w:p w:rsidR="00A07002" w:rsidRPr="00E850A7" w:rsidRDefault="00A07002" w:rsidP="00CA5C74">
            <w:pPr>
              <w:pStyle w:val="TableHeader"/>
              <w:spacing w:after="60"/>
              <w:jc w:val="left"/>
              <w:rPr>
                <w:lang w:val="en-AU"/>
              </w:rPr>
            </w:pPr>
            <w:r w:rsidRPr="00E850A7">
              <w:rPr>
                <w:lang w:val="en-AU"/>
              </w:rPr>
              <w:t>Proposed price (AEMP)</w:t>
            </w:r>
          </w:p>
        </w:tc>
      </w:tr>
      <w:tr w:rsidR="00A07002" w:rsidRPr="00E850A7" w:rsidTr="00CA5C74">
        <w:tc>
          <w:tcPr>
            <w:tcW w:w="2310" w:type="dxa"/>
          </w:tcPr>
          <w:p w:rsidR="00A07002" w:rsidRPr="00E850A7" w:rsidRDefault="00A07002" w:rsidP="00A07002">
            <w:pPr>
              <w:pStyle w:val="TableHeader"/>
              <w:spacing w:after="60"/>
              <w:rPr>
                <w:lang w:val="en-AU"/>
              </w:rPr>
            </w:pPr>
          </w:p>
        </w:tc>
        <w:tc>
          <w:tcPr>
            <w:tcW w:w="2311" w:type="dxa"/>
          </w:tcPr>
          <w:p w:rsidR="00A07002" w:rsidRPr="005D428A" w:rsidRDefault="005D428A" w:rsidP="00CA5C74">
            <w:pPr>
              <w:pStyle w:val="TableHeader"/>
              <w:spacing w:after="60"/>
              <w:jc w:val="center"/>
              <w:rPr>
                <w:highlight w:val="black"/>
                <w:lang w:val="en-AU"/>
              </w:rPr>
            </w:pPr>
            <w:r>
              <w:rPr>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noProof/>
                <w:color w:val="000000"/>
                <w:highlight w:val="black"/>
                <w:lang w:val="en-AU"/>
              </w:rPr>
              <w:t>'''''''''</w:t>
            </w:r>
          </w:p>
        </w:tc>
        <w:tc>
          <w:tcPr>
            <w:tcW w:w="2311" w:type="dxa"/>
          </w:tcPr>
          <w:p w:rsidR="00A07002" w:rsidRPr="005D428A" w:rsidRDefault="005D428A" w:rsidP="00CA5C74">
            <w:pPr>
              <w:pStyle w:val="TableHeader"/>
              <w:spacing w:after="60"/>
              <w:jc w:val="center"/>
              <w:rPr>
                <w:highlight w:val="black"/>
                <w:lang w:val="en-AU"/>
              </w:rPr>
            </w:pPr>
            <w:r>
              <w:rPr>
                <w:noProof/>
                <w:color w:val="000000"/>
                <w:highlight w:val="black"/>
                <w:lang w:val="en-AU"/>
              </w:rPr>
              <w:t>''''''''''''</w:t>
            </w:r>
          </w:p>
        </w:tc>
      </w:tr>
    </w:tbl>
    <w:p w:rsidR="00A07002" w:rsidRPr="00E850A7" w:rsidRDefault="00A07002" w:rsidP="00CA5C74">
      <w:pPr>
        <w:spacing w:before="0" w:after="120"/>
        <w:jc w:val="both"/>
      </w:pPr>
      <w:r w:rsidRPr="00E850A7">
        <w:t xml:space="preserve"> </w:t>
      </w:r>
    </w:p>
    <w:p w:rsidR="002A347D" w:rsidRPr="00E850A7" w:rsidRDefault="00022EBD" w:rsidP="005E6E62">
      <w:pPr>
        <w:pStyle w:val="ListParagraph"/>
        <w:numPr>
          <w:ilvl w:val="1"/>
          <w:numId w:val="3"/>
        </w:numPr>
        <w:spacing w:before="0" w:after="120"/>
        <w:jc w:val="both"/>
      </w:pPr>
      <w:r w:rsidRPr="00E850A7">
        <w:t xml:space="preserve">The pre-PBAC response argued that it was more reasonable to use the week 52 results over the week 24 results because diabetes is a long-term </w:t>
      </w:r>
      <w:r w:rsidR="00FC710E">
        <w:t>condition</w:t>
      </w:r>
      <w:r w:rsidRPr="00E850A7">
        <w:t xml:space="preserve">. However, the PBAC considered that any benefits of treatment should be </w:t>
      </w:r>
      <w:r w:rsidR="00FC710E">
        <w:t xml:space="preserve">observable </w:t>
      </w:r>
      <w:r w:rsidRPr="00E850A7">
        <w:t xml:space="preserve">by week 24, and noted that the submission used the data at week 24 as the basis of </w:t>
      </w:r>
      <w:r w:rsidR="0069044E" w:rsidRPr="00E850A7">
        <w:t xml:space="preserve">the </w:t>
      </w:r>
      <w:r w:rsidRPr="00E850A7">
        <w:t xml:space="preserve">clinical claim. </w:t>
      </w:r>
      <w:r w:rsidRPr="00E850A7">
        <w:rPr>
          <w:iCs/>
        </w:rPr>
        <w:t xml:space="preserve">The ESC </w:t>
      </w:r>
      <w:r w:rsidR="0069044E" w:rsidRPr="00E850A7">
        <w:rPr>
          <w:iCs/>
        </w:rPr>
        <w:t xml:space="preserve">had </w:t>
      </w:r>
      <w:r w:rsidRPr="00E850A7">
        <w:rPr>
          <w:iCs/>
        </w:rPr>
        <w:t>considered that the price reduction offered in the PSCR (</w:t>
      </w:r>
      <w:r w:rsidR="005D428A">
        <w:rPr>
          <w:iCs/>
          <w:noProof/>
          <w:color w:val="000000"/>
          <w:highlight w:val="black"/>
        </w:rPr>
        <w:t>'''''</w:t>
      </w:r>
      <w:r w:rsidRPr="00E850A7">
        <w:rPr>
          <w:iCs/>
        </w:rPr>
        <w:t>% at AEMP) may not be sufficient to address the uncertainty associated with this approach.</w:t>
      </w:r>
      <w:r w:rsidR="00154DCB">
        <w:rPr>
          <w:iCs/>
        </w:rPr>
        <w:t xml:space="preserve"> </w:t>
      </w:r>
      <w:r w:rsidR="00FC710E">
        <w:t>T</w:t>
      </w:r>
      <w:r w:rsidR="00FC710E" w:rsidRPr="00E850A7">
        <w:t xml:space="preserve">he </w:t>
      </w:r>
      <w:r w:rsidRPr="00E850A7">
        <w:t xml:space="preserve">PBAC noted that the pre-PBAC response proposed an </w:t>
      </w:r>
      <w:r w:rsidR="00FC710E">
        <w:t xml:space="preserve">increased </w:t>
      </w:r>
      <w:r w:rsidRPr="00E850A7">
        <w:t xml:space="preserve">price reduction, to </w:t>
      </w:r>
      <w:r w:rsidR="005D428A">
        <w:rPr>
          <w:noProof/>
          <w:color w:val="000000"/>
          <w:highlight w:val="black"/>
        </w:rPr>
        <w:t>'''''</w:t>
      </w:r>
      <w:r w:rsidRPr="00E850A7">
        <w:t>% off the AEMP of the sum of components</w:t>
      </w:r>
      <w:r w:rsidR="0069044E" w:rsidRPr="00E850A7">
        <w:t xml:space="preserve">. The PBAC </w:t>
      </w:r>
      <w:r w:rsidR="005E6E62" w:rsidRPr="00E850A7">
        <w:t xml:space="preserve">considered </w:t>
      </w:r>
      <w:r w:rsidR="0069044E" w:rsidRPr="00E850A7">
        <w:t xml:space="preserve">this </w:t>
      </w:r>
      <w:r w:rsidR="00124216" w:rsidRPr="00E850A7">
        <w:t xml:space="preserve">adequately addressed the </w:t>
      </w:r>
      <w:r w:rsidR="00124216" w:rsidRPr="00E850A7">
        <w:rPr>
          <w:iCs/>
        </w:rPr>
        <w:t>reduced benefit of adding the third drug in triple therapy, any rema</w:t>
      </w:r>
      <w:r w:rsidR="0069044E" w:rsidRPr="00E850A7">
        <w:rPr>
          <w:iCs/>
        </w:rPr>
        <w:t>i</w:t>
      </w:r>
      <w:r w:rsidR="00124216" w:rsidRPr="00E850A7">
        <w:rPr>
          <w:iCs/>
        </w:rPr>
        <w:t>ning uncertainty regarding the cost-effectiveness of this combination</w:t>
      </w:r>
      <w:r w:rsidR="005E6E62" w:rsidRPr="00E850A7">
        <w:rPr>
          <w:iCs/>
        </w:rPr>
        <w:t xml:space="preserve"> use and </w:t>
      </w:r>
      <w:r w:rsidR="0069044E" w:rsidRPr="00E850A7">
        <w:rPr>
          <w:iCs/>
        </w:rPr>
        <w:t xml:space="preserve">accounted </w:t>
      </w:r>
      <w:r w:rsidR="00FC710E" w:rsidRPr="00E850A7">
        <w:rPr>
          <w:iCs/>
        </w:rPr>
        <w:t>for use</w:t>
      </w:r>
      <w:r w:rsidR="005E6E62" w:rsidRPr="00E850A7">
        <w:rPr>
          <w:iCs/>
        </w:rPr>
        <w:t xml:space="preserve"> of this triple therapy combination through other fixed</w:t>
      </w:r>
      <w:r w:rsidR="005E6E62" w:rsidRPr="00E850A7">
        <w:rPr>
          <w:iCs/>
        </w:rPr>
        <w:noBreakHyphen/>
        <w:t>dose combination products available on the PBS</w:t>
      </w:r>
      <w:r w:rsidR="00124216" w:rsidRPr="00E850A7">
        <w:rPr>
          <w:iCs/>
        </w:rPr>
        <w:t>.</w:t>
      </w:r>
    </w:p>
    <w:p w:rsidR="00C317F3" w:rsidRPr="00E850A7" w:rsidRDefault="000A4842" w:rsidP="00F06FC0">
      <w:pPr>
        <w:pStyle w:val="Heading2"/>
        <w:rPr>
          <w:i w:val="0"/>
        </w:rPr>
      </w:pPr>
      <w:bookmarkStart w:id="32" w:name="_Toc413139283"/>
      <w:bookmarkStart w:id="33" w:name="_Toc491873486"/>
      <w:r w:rsidRPr="00E850A7">
        <w:rPr>
          <w:i w:val="0"/>
        </w:rPr>
        <w:t>Drug cost/patient</w:t>
      </w:r>
      <w:r w:rsidR="00C317F3" w:rsidRPr="00E850A7">
        <w:rPr>
          <w:i w:val="0"/>
        </w:rPr>
        <w:t>/year</w:t>
      </w:r>
      <w:bookmarkEnd w:id="32"/>
      <w:r w:rsidR="0006281D" w:rsidRPr="00E850A7">
        <w:rPr>
          <w:i w:val="0"/>
        </w:rPr>
        <w:t>: $</w:t>
      </w:r>
      <w:bookmarkEnd w:id="33"/>
      <w:r w:rsidR="005D428A">
        <w:rPr>
          <w:i w:val="0"/>
          <w:noProof/>
          <w:color w:val="000000"/>
          <w:highlight w:val="black"/>
        </w:rPr>
        <w:t>'''''''''''''''''</w:t>
      </w:r>
    </w:p>
    <w:p w:rsidR="00C317F3" w:rsidRPr="00E850A7" w:rsidRDefault="000D632F" w:rsidP="00FE25C2">
      <w:pPr>
        <w:pStyle w:val="ListParagraph"/>
        <w:numPr>
          <w:ilvl w:val="1"/>
          <w:numId w:val="3"/>
        </w:numPr>
        <w:spacing w:before="0" w:after="120"/>
        <w:contextualSpacing/>
        <w:jc w:val="both"/>
      </w:pPr>
      <w:r w:rsidRPr="00E850A7">
        <w:t>The estimated cost of treating one patient over 12 months with empagliflozin with linagliptin FDC was $</w:t>
      </w:r>
      <w:r w:rsidR="005D428A">
        <w:rPr>
          <w:noProof/>
          <w:color w:val="000000"/>
          <w:highlight w:val="black"/>
        </w:rPr>
        <w:t>''''''''''''''''</w:t>
      </w:r>
      <w:r w:rsidR="000A4842" w:rsidRPr="00E850A7">
        <w:t xml:space="preserve"> (cost per year calculated as 365.25 / 30 × price)</w:t>
      </w:r>
      <w:r w:rsidRPr="00E850A7">
        <w:t xml:space="preserve">, this is a reduction of </w:t>
      </w:r>
      <w:r w:rsidR="005D428A">
        <w:rPr>
          <w:noProof/>
          <w:color w:val="000000"/>
          <w:highlight w:val="black"/>
        </w:rPr>
        <w:t>'''''''''</w:t>
      </w:r>
      <w:r w:rsidRPr="00E850A7">
        <w:t xml:space="preserve">% </w:t>
      </w:r>
      <w:r w:rsidR="00D641F9" w:rsidRPr="00E850A7">
        <w:t xml:space="preserve">(DPMQ) </w:t>
      </w:r>
      <w:r w:rsidRPr="00E850A7">
        <w:t>compared to the March 2017 submission ($</w:t>
      </w:r>
      <w:r w:rsidR="005D428A">
        <w:rPr>
          <w:noProof/>
          <w:color w:val="000000"/>
          <w:highlight w:val="black"/>
        </w:rPr>
        <w:t>''''''''''''''''</w:t>
      </w:r>
      <w:r w:rsidRPr="00E850A7">
        <w:t>).</w:t>
      </w:r>
      <w:r w:rsidR="00124216" w:rsidRPr="00E850A7">
        <w:t xml:space="preserve"> The PBAC noted that </w:t>
      </w:r>
      <w:r w:rsidR="00FC710E">
        <w:t xml:space="preserve">this cost would be further lowered </w:t>
      </w:r>
      <w:r w:rsidR="00124216" w:rsidRPr="00E850A7">
        <w:t>following the additional price reduction offered in the pre-PBAC response.</w:t>
      </w:r>
    </w:p>
    <w:p w:rsidR="00C317F3" w:rsidRPr="00E850A7" w:rsidRDefault="00C317F3" w:rsidP="00F06FC0">
      <w:pPr>
        <w:pStyle w:val="Heading2"/>
        <w:rPr>
          <w:i w:val="0"/>
        </w:rPr>
      </w:pPr>
      <w:bookmarkStart w:id="34" w:name="_Toc413139284"/>
      <w:bookmarkStart w:id="35" w:name="_Toc491873487"/>
      <w:r w:rsidRPr="00E850A7">
        <w:rPr>
          <w:i w:val="0"/>
        </w:rPr>
        <w:t>Estimated PBS usage &amp; financial implications</w:t>
      </w:r>
      <w:bookmarkEnd w:id="34"/>
      <w:bookmarkEnd w:id="35"/>
    </w:p>
    <w:p w:rsidR="008C24A6" w:rsidRPr="00E850A7" w:rsidRDefault="00C317F3" w:rsidP="00FE25C2">
      <w:pPr>
        <w:pStyle w:val="ListParagraph"/>
        <w:numPr>
          <w:ilvl w:val="1"/>
          <w:numId w:val="3"/>
        </w:numPr>
        <w:spacing w:before="0" w:after="120"/>
        <w:jc w:val="both"/>
        <w:rPr>
          <w:color w:val="4472C4" w:themeColor="accent5"/>
          <w:szCs w:val="24"/>
        </w:rPr>
      </w:pPr>
      <w:r w:rsidRPr="00E850A7">
        <w:rPr>
          <w:szCs w:val="24"/>
        </w:rPr>
        <w:t xml:space="preserve">This </w:t>
      </w:r>
      <w:r w:rsidR="001D0827" w:rsidRPr="00E850A7">
        <w:rPr>
          <w:szCs w:val="24"/>
        </w:rPr>
        <w:t>re</w:t>
      </w:r>
      <w:r w:rsidRPr="00E850A7">
        <w:rPr>
          <w:szCs w:val="24"/>
        </w:rPr>
        <w:t xml:space="preserve">submission </w:t>
      </w:r>
      <w:r w:rsidR="00D67FEB" w:rsidRPr="00E850A7">
        <w:rPr>
          <w:szCs w:val="24"/>
        </w:rPr>
        <w:t>was</w:t>
      </w:r>
      <w:r w:rsidR="00454493" w:rsidRPr="00E850A7">
        <w:rPr>
          <w:szCs w:val="24"/>
        </w:rPr>
        <w:t xml:space="preserve"> </w:t>
      </w:r>
      <w:r w:rsidR="002F507F" w:rsidRPr="00E850A7">
        <w:rPr>
          <w:szCs w:val="24"/>
        </w:rPr>
        <w:t>not</w:t>
      </w:r>
      <w:r w:rsidRPr="00E850A7">
        <w:rPr>
          <w:szCs w:val="24"/>
        </w:rPr>
        <w:t xml:space="preserve"> considered by DUSC</w:t>
      </w:r>
      <w:r w:rsidR="008C24A6" w:rsidRPr="00E850A7">
        <w:rPr>
          <w:color w:val="4472C4" w:themeColor="accent5"/>
          <w:szCs w:val="24"/>
        </w:rPr>
        <w:t xml:space="preserve">. </w:t>
      </w:r>
      <w:r w:rsidR="008C24A6" w:rsidRPr="00E850A7">
        <w:rPr>
          <w:szCs w:val="24"/>
        </w:rPr>
        <w:t>The resubmission used a mixed epidemiological and market share approach to estimate the extent of use and financial implications of listing empagliflozin with linagliptin FDC on the PBS as:</w:t>
      </w:r>
    </w:p>
    <w:p w:rsidR="0006281D" w:rsidRPr="00E850A7" w:rsidRDefault="005E6E62" w:rsidP="00FE25C2">
      <w:pPr>
        <w:pStyle w:val="ListParagraph"/>
        <w:numPr>
          <w:ilvl w:val="0"/>
          <w:numId w:val="20"/>
        </w:numPr>
        <w:spacing w:before="0" w:after="120"/>
        <w:ind w:left="1134"/>
        <w:jc w:val="both"/>
        <w:rPr>
          <w:szCs w:val="24"/>
        </w:rPr>
      </w:pPr>
      <w:r w:rsidRPr="00E850A7">
        <w:rPr>
          <w:szCs w:val="24"/>
        </w:rPr>
        <w:t>t</w:t>
      </w:r>
      <w:r w:rsidR="008C24A6" w:rsidRPr="00E850A7">
        <w:rPr>
          <w:szCs w:val="24"/>
        </w:rPr>
        <w:t>riple therapy with metformin for the treatment of type 2 diabetes in patients intolerant/contraindicated to metformin and sulfonylurea combination therapy; and</w:t>
      </w:r>
    </w:p>
    <w:p w:rsidR="008C24A6" w:rsidRPr="00E850A7" w:rsidRDefault="005E6E62" w:rsidP="00FE25C2">
      <w:pPr>
        <w:pStyle w:val="ListParagraph"/>
        <w:numPr>
          <w:ilvl w:val="0"/>
          <w:numId w:val="20"/>
        </w:numPr>
        <w:spacing w:before="0" w:after="120"/>
        <w:ind w:left="1134"/>
        <w:jc w:val="both"/>
      </w:pPr>
      <w:r w:rsidRPr="00E850A7">
        <w:rPr>
          <w:szCs w:val="24"/>
        </w:rPr>
        <w:t>d</w:t>
      </w:r>
      <w:r w:rsidR="008C24A6" w:rsidRPr="00E850A7">
        <w:rPr>
          <w:szCs w:val="24"/>
        </w:rPr>
        <w:t xml:space="preserve">ual therapy (empagliflozin with linagliptin FDC alone) for the treatment of type </w:t>
      </w:r>
      <w:r w:rsidR="008C24A6" w:rsidRPr="00E850A7">
        <w:t>2 diabetes in patients with moderate renal impairment.</w:t>
      </w:r>
    </w:p>
    <w:p w:rsidR="00817165" w:rsidRPr="00E850A7" w:rsidRDefault="006F6759" w:rsidP="00FE25C2">
      <w:pPr>
        <w:pStyle w:val="ListParagraph"/>
        <w:numPr>
          <w:ilvl w:val="1"/>
          <w:numId w:val="3"/>
        </w:numPr>
        <w:spacing w:before="0" w:after="120"/>
        <w:contextualSpacing/>
        <w:jc w:val="both"/>
      </w:pPr>
      <w:r w:rsidRPr="00E850A7">
        <w:t>T</w:t>
      </w:r>
      <w:r w:rsidR="00817165" w:rsidRPr="00E850A7">
        <w:t>he resubmission applied the same methodology used in the March 2017 submission, adjusted for updated drug prices and reductions in selected non-drug related cost offsets</w:t>
      </w:r>
      <w:r w:rsidR="004D7EAB" w:rsidRPr="00E850A7">
        <w:t xml:space="preserve"> as recommended by the PBAC</w:t>
      </w:r>
      <w:r w:rsidR="00817165" w:rsidRPr="00E850A7">
        <w:t>.</w:t>
      </w:r>
    </w:p>
    <w:p w:rsidR="003A64C4" w:rsidRPr="00E850A7" w:rsidRDefault="003A64C4" w:rsidP="008C71CF">
      <w:pPr>
        <w:keepNext/>
        <w:spacing w:before="0" w:after="120"/>
        <w:jc w:val="both"/>
        <w:rPr>
          <w:u w:val="single"/>
        </w:rPr>
      </w:pPr>
      <w:r w:rsidRPr="00E850A7">
        <w:rPr>
          <w:u w:val="single"/>
        </w:rPr>
        <w:t>Triple therapy in combination with metformin</w:t>
      </w:r>
    </w:p>
    <w:p w:rsidR="00C317F3" w:rsidRPr="00E850A7" w:rsidRDefault="008C24A6" w:rsidP="008C71CF">
      <w:pPr>
        <w:pStyle w:val="TableHeading0"/>
      </w:pPr>
      <w:r w:rsidRPr="00E850A7">
        <w:t>Table 1</w:t>
      </w:r>
      <w:r w:rsidR="0065712C" w:rsidRPr="00E850A7">
        <w:t>4</w:t>
      </w:r>
      <w:r w:rsidR="00C317F3" w:rsidRPr="00E850A7">
        <w:t xml:space="preserve">: </w:t>
      </w:r>
      <w:r w:rsidRPr="00E850A7">
        <w:rPr>
          <w:color w:val="4472C4" w:themeColor="accent5"/>
        </w:rPr>
        <w:t xml:space="preserve"> </w:t>
      </w:r>
      <w:r w:rsidR="00C317F3" w:rsidRPr="00E850A7">
        <w:t>Estimated use and financial implications</w:t>
      </w:r>
      <w:r w:rsidRPr="00E850A7">
        <w:t xml:space="preserve"> in triple therapy</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8"/>
        <w:gridCol w:w="57"/>
        <w:gridCol w:w="35"/>
        <w:gridCol w:w="1067"/>
        <w:gridCol w:w="46"/>
        <w:gridCol w:w="26"/>
        <w:gridCol w:w="1088"/>
        <w:gridCol w:w="33"/>
        <w:gridCol w:w="18"/>
        <w:gridCol w:w="1109"/>
        <w:gridCol w:w="18"/>
        <w:gridCol w:w="13"/>
        <w:gridCol w:w="1132"/>
        <w:gridCol w:w="8"/>
        <w:gridCol w:w="1141"/>
        <w:gridCol w:w="11"/>
        <w:gridCol w:w="1130"/>
        <w:gridCol w:w="26"/>
      </w:tblGrid>
      <w:tr w:rsidR="00E37424" w:rsidRPr="00E850A7" w:rsidTr="00C50232">
        <w:trPr>
          <w:gridAfter w:val="1"/>
          <w:wAfter w:w="14" w:type="pct"/>
          <w:tblHeader/>
        </w:trPr>
        <w:tc>
          <w:tcPr>
            <w:tcW w:w="1235" w:type="pct"/>
            <w:gridSpan w:val="3"/>
            <w:shd w:val="clear" w:color="auto" w:fill="auto"/>
            <w:vAlign w:val="center"/>
          </w:tcPr>
          <w:p w:rsidR="00E37424" w:rsidRPr="00E850A7" w:rsidRDefault="00E37424" w:rsidP="00F06FC0">
            <w:pPr>
              <w:pStyle w:val="TableText"/>
            </w:pPr>
          </w:p>
        </w:tc>
        <w:tc>
          <w:tcPr>
            <w:tcW w:w="624" w:type="pct"/>
            <w:gridSpan w:val="3"/>
            <w:shd w:val="clear" w:color="auto" w:fill="auto"/>
            <w:vAlign w:val="center"/>
          </w:tcPr>
          <w:p w:rsidR="00E37424" w:rsidRPr="00E850A7" w:rsidRDefault="00E37424" w:rsidP="00F06FC0">
            <w:pPr>
              <w:pStyle w:val="TableText"/>
              <w:jc w:val="center"/>
              <w:rPr>
                <w:b/>
              </w:rPr>
            </w:pPr>
            <w:r w:rsidRPr="00E850A7">
              <w:rPr>
                <w:b/>
              </w:rPr>
              <w:t>Year 1</w:t>
            </w:r>
          </w:p>
        </w:tc>
        <w:tc>
          <w:tcPr>
            <w:tcW w:w="625" w:type="pct"/>
            <w:gridSpan w:val="3"/>
            <w:shd w:val="clear" w:color="auto" w:fill="auto"/>
            <w:vAlign w:val="center"/>
          </w:tcPr>
          <w:p w:rsidR="00E37424" w:rsidRPr="00E850A7" w:rsidRDefault="00E37424" w:rsidP="00F06FC0">
            <w:pPr>
              <w:pStyle w:val="TableText"/>
              <w:jc w:val="center"/>
              <w:rPr>
                <w:b/>
              </w:rPr>
            </w:pPr>
            <w:r w:rsidRPr="00E850A7">
              <w:rPr>
                <w:b/>
              </w:rPr>
              <w:t>Year 2</w:t>
            </w:r>
          </w:p>
        </w:tc>
        <w:tc>
          <w:tcPr>
            <w:tcW w:w="625" w:type="pct"/>
            <w:gridSpan w:val="3"/>
            <w:shd w:val="clear" w:color="auto" w:fill="auto"/>
            <w:vAlign w:val="center"/>
          </w:tcPr>
          <w:p w:rsidR="00E37424" w:rsidRPr="00E850A7" w:rsidRDefault="00E37424" w:rsidP="00F06FC0">
            <w:pPr>
              <w:pStyle w:val="TableText"/>
              <w:jc w:val="center"/>
              <w:rPr>
                <w:b/>
              </w:rPr>
            </w:pPr>
            <w:r w:rsidRPr="00E850A7">
              <w:rPr>
                <w:b/>
              </w:rPr>
              <w:t>Year 3</w:t>
            </w:r>
          </w:p>
        </w:tc>
        <w:tc>
          <w:tcPr>
            <w:tcW w:w="625" w:type="pct"/>
            <w:gridSpan w:val="2"/>
            <w:shd w:val="clear" w:color="auto" w:fill="auto"/>
            <w:vAlign w:val="center"/>
          </w:tcPr>
          <w:p w:rsidR="00E37424" w:rsidRPr="00E850A7" w:rsidRDefault="00E37424" w:rsidP="00F06FC0">
            <w:pPr>
              <w:pStyle w:val="TableText"/>
              <w:jc w:val="center"/>
              <w:rPr>
                <w:b/>
              </w:rPr>
            </w:pPr>
            <w:r w:rsidRPr="00E850A7">
              <w:rPr>
                <w:b/>
              </w:rPr>
              <w:t>Year 4</w:t>
            </w:r>
          </w:p>
        </w:tc>
        <w:tc>
          <w:tcPr>
            <w:tcW w:w="625" w:type="pct"/>
            <w:shd w:val="clear" w:color="auto" w:fill="auto"/>
            <w:vAlign w:val="center"/>
          </w:tcPr>
          <w:p w:rsidR="00E37424" w:rsidRPr="00E850A7" w:rsidRDefault="00E37424" w:rsidP="00F06FC0">
            <w:pPr>
              <w:pStyle w:val="TableText"/>
              <w:jc w:val="center"/>
              <w:rPr>
                <w:b/>
              </w:rPr>
            </w:pPr>
            <w:r w:rsidRPr="00E850A7">
              <w:rPr>
                <w:b/>
              </w:rPr>
              <w:t>Year 5</w:t>
            </w:r>
          </w:p>
        </w:tc>
        <w:tc>
          <w:tcPr>
            <w:tcW w:w="626" w:type="pct"/>
            <w:gridSpan w:val="2"/>
          </w:tcPr>
          <w:p w:rsidR="00E37424" w:rsidRPr="00E850A7" w:rsidRDefault="00E37424" w:rsidP="00F06FC0">
            <w:pPr>
              <w:pStyle w:val="TableText"/>
              <w:jc w:val="center"/>
              <w:rPr>
                <w:b/>
              </w:rPr>
            </w:pPr>
            <w:r w:rsidRPr="00E850A7">
              <w:rPr>
                <w:b/>
              </w:rPr>
              <w:t>Year 6</w:t>
            </w:r>
          </w:p>
        </w:tc>
      </w:tr>
      <w:tr w:rsidR="00E37424" w:rsidRPr="00E850A7" w:rsidTr="00C50232">
        <w:trPr>
          <w:gridAfter w:val="1"/>
          <w:wAfter w:w="14" w:type="pct"/>
        </w:trPr>
        <w:tc>
          <w:tcPr>
            <w:tcW w:w="4986" w:type="pct"/>
            <w:gridSpan w:val="17"/>
            <w:shd w:val="clear" w:color="auto" w:fill="auto"/>
            <w:vAlign w:val="center"/>
          </w:tcPr>
          <w:p w:rsidR="00E37424" w:rsidRPr="00E850A7" w:rsidRDefault="00E37424" w:rsidP="00F06FC0">
            <w:pPr>
              <w:pStyle w:val="TableText"/>
              <w:rPr>
                <w:b/>
                <w:bCs/>
                <w:color w:val="000000"/>
              </w:rPr>
            </w:pPr>
            <w:r w:rsidRPr="00E850A7">
              <w:rPr>
                <w:b/>
                <w:bCs/>
                <w:color w:val="000000"/>
              </w:rPr>
              <w:t>Estimated extent of use</w:t>
            </w:r>
            <w:r w:rsidR="004C7823" w:rsidRPr="00E850A7">
              <w:rPr>
                <w:b/>
                <w:bCs/>
                <w:color w:val="000000"/>
              </w:rPr>
              <w:t xml:space="preserve"> (other therapies)</w:t>
            </w:r>
          </w:p>
        </w:tc>
      </w:tr>
      <w:tr w:rsidR="0084332C" w:rsidRPr="00E850A7" w:rsidTr="00C50232">
        <w:trPr>
          <w:gridAfter w:val="1"/>
          <w:wAfter w:w="14" w:type="pct"/>
        </w:trPr>
        <w:tc>
          <w:tcPr>
            <w:tcW w:w="1235" w:type="pct"/>
            <w:gridSpan w:val="3"/>
            <w:shd w:val="clear" w:color="auto" w:fill="auto"/>
            <w:vAlign w:val="center"/>
          </w:tcPr>
          <w:p w:rsidR="004C7823" w:rsidRPr="00E850A7" w:rsidRDefault="0084332C" w:rsidP="00F06FC0">
            <w:pPr>
              <w:pStyle w:val="TableText"/>
              <w:rPr>
                <w:rFonts w:ascii="Times" w:eastAsia="Times New Roman" w:hAnsi="Times" w:cs="Times New Roman"/>
              </w:rPr>
            </w:pPr>
            <w:r w:rsidRPr="00E850A7">
              <w:t>Total</w:t>
            </w:r>
            <w:r w:rsidR="004C7823" w:rsidRPr="00E850A7">
              <w:t xml:space="preserve"> patients treated</w:t>
            </w:r>
          </w:p>
        </w:tc>
        <w:tc>
          <w:tcPr>
            <w:tcW w:w="624" w:type="pct"/>
            <w:gridSpan w:val="3"/>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noProof/>
                <w:snapToGrid w:val="0"/>
                <w:color w:val="000000"/>
                <w:szCs w:val="20"/>
                <w:highlight w:val="black"/>
              </w:rPr>
              <w:t>'''''''''''''''''</w:t>
            </w:r>
          </w:p>
        </w:tc>
        <w:tc>
          <w:tcPr>
            <w:tcW w:w="625" w:type="pct"/>
            <w:gridSpan w:val="3"/>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noProof/>
                <w:snapToGrid w:val="0"/>
                <w:color w:val="000000"/>
                <w:szCs w:val="20"/>
                <w:highlight w:val="black"/>
              </w:rPr>
              <w:t>''''''''''''''''</w:t>
            </w:r>
          </w:p>
        </w:tc>
        <w:tc>
          <w:tcPr>
            <w:tcW w:w="625" w:type="pct"/>
            <w:gridSpan w:val="3"/>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noProof/>
                <w:snapToGrid w:val="0"/>
                <w:color w:val="000000"/>
                <w:szCs w:val="20"/>
                <w:highlight w:val="black"/>
              </w:rPr>
              <w:t>''''''''''''''''</w:t>
            </w:r>
          </w:p>
        </w:tc>
        <w:tc>
          <w:tcPr>
            <w:tcW w:w="625" w:type="pct"/>
            <w:gridSpan w:val="2"/>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noProof/>
                <w:snapToGrid w:val="0"/>
                <w:color w:val="000000"/>
                <w:szCs w:val="20"/>
                <w:highlight w:val="black"/>
              </w:rPr>
              <w:t>''''''''''''''''''</w:t>
            </w:r>
          </w:p>
        </w:tc>
        <w:tc>
          <w:tcPr>
            <w:tcW w:w="625" w:type="pct"/>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noProof/>
                <w:snapToGrid w:val="0"/>
                <w:color w:val="000000"/>
                <w:szCs w:val="20"/>
                <w:highlight w:val="black"/>
              </w:rPr>
              <w:t>''''''''''''''''''</w:t>
            </w:r>
          </w:p>
        </w:tc>
        <w:tc>
          <w:tcPr>
            <w:tcW w:w="626" w:type="pct"/>
            <w:gridSpan w:val="2"/>
            <w:vAlign w:val="center"/>
          </w:tcPr>
          <w:p w:rsidR="004C7823" w:rsidRPr="005D428A" w:rsidRDefault="005D428A" w:rsidP="00F06FC0">
            <w:pPr>
              <w:pStyle w:val="TableText"/>
              <w:jc w:val="center"/>
              <w:rPr>
                <w:bCs/>
                <w:color w:val="000000"/>
                <w:highlight w:val="black"/>
              </w:rPr>
            </w:pPr>
            <w:r>
              <w:rPr>
                <w:rFonts w:eastAsia="Times New Roman" w:cs="Arial"/>
                <w:noProof/>
                <w:snapToGrid w:val="0"/>
                <w:color w:val="000000"/>
                <w:szCs w:val="20"/>
                <w:highlight w:val="black"/>
              </w:rPr>
              <w:t>'''''''''''''''''''''</w:t>
            </w:r>
          </w:p>
        </w:tc>
      </w:tr>
      <w:tr w:rsidR="004C7823" w:rsidRPr="00E850A7" w:rsidTr="00C50232">
        <w:trPr>
          <w:gridAfter w:val="1"/>
          <w:wAfter w:w="14" w:type="pct"/>
        </w:trPr>
        <w:tc>
          <w:tcPr>
            <w:tcW w:w="4986" w:type="pct"/>
            <w:gridSpan w:val="17"/>
            <w:shd w:val="clear" w:color="auto" w:fill="auto"/>
            <w:vAlign w:val="center"/>
          </w:tcPr>
          <w:p w:rsidR="004C7823" w:rsidRPr="00E850A7" w:rsidRDefault="004C7823" w:rsidP="00F06FC0">
            <w:pPr>
              <w:pStyle w:val="TableText"/>
              <w:rPr>
                <w:b/>
                <w:bCs/>
                <w:color w:val="000000"/>
              </w:rPr>
            </w:pPr>
            <w:r w:rsidRPr="00E850A7">
              <w:rPr>
                <w:b/>
                <w:bCs/>
                <w:color w:val="000000"/>
              </w:rPr>
              <w:t>Estimated extent of use (uptake from other therapies)</w:t>
            </w:r>
          </w:p>
        </w:tc>
      </w:tr>
      <w:tr w:rsidR="0084332C" w:rsidRPr="00E850A7" w:rsidTr="00C50232">
        <w:trPr>
          <w:gridAfter w:val="1"/>
          <w:wAfter w:w="14" w:type="pct"/>
        </w:trPr>
        <w:tc>
          <w:tcPr>
            <w:tcW w:w="1235" w:type="pct"/>
            <w:gridSpan w:val="3"/>
            <w:tcBorders>
              <w:bottom w:val="double" w:sz="4" w:space="0" w:color="auto"/>
            </w:tcBorders>
            <w:shd w:val="clear" w:color="auto" w:fill="auto"/>
            <w:vAlign w:val="center"/>
          </w:tcPr>
          <w:p w:rsidR="004C7823" w:rsidRPr="00E850A7" w:rsidRDefault="004C7823" w:rsidP="00F06FC0">
            <w:pPr>
              <w:pStyle w:val="TableText"/>
              <w:rPr>
                <w:rFonts w:ascii="Times" w:eastAsia="Times New Roman" w:hAnsi="Times" w:cs="Times New Roman"/>
              </w:rPr>
            </w:pPr>
            <w:r w:rsidRPr="00E850A7">
              <w:t>Number of scripts empagliflozin/linagliptin FDC</w:t>
            </w:r>
          </w:p>
        </w:tc>
        <w:tc>
          <w:tcPr>
            <w:tcW w:w="624" w:type="pct"/>
            <w:gridSpan w:val="3"/>
            <w:tcBorders>
              <w:bottom w:val="double" w:sz="4" w:space="0" w:color="auto"/>
            </w:tcBorders>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b/>
                <w:noProof/>
                <w:snapToGrid w:val="0"/>
                <w:color w:val="000000"/>
                <w:szCs w:val="20"/>
                <w:highlight w:val="black"/>
              </w:rPr>
              <w:t>''''''''''''''''</w:t>
            </w:r>
          </w:p>
        </w:tc>
        <w:tc>
          <w:tcPr>
            <w:tcW w:w="625" w:type="pct"/>
            <w:gridSpan w:val="3"/>
            <w:tcBorders>
              <w:bottom w:val="double" w:sz="4" w:space="0" w:color="auto"/>
            </w:tcBorders>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b/>
                <w:noProof/>
                <w:snapToGrid w:val="0"/>
                <w:color w:val="000000"/>
                <w:szCs w:val="20"/>
                <w:highlight w:val="black"/>
              </w:rPr>
              <w:t>'''''''''''''''</w:t>
            </w:r>
          </w:p>
        </w:tc>
        <w:tc>
          <w:tcPr>
            <w:tcW w:w="625" w:type="pct"/>
            <w:gridSpan w:val="3"/>
            <w:tcBorders>
              <w:bottom w:val="double" w:sz="4" w:space="0" w:color="auto"/>
            </w:tcBorders>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b/>
                <w:noProof/>
                <w:snapToGrid w:val="0"/>
                <w:color w:val="000000"/>
                <w:szCs w:val="20"/>
                <w:highlight w:val="black"/>
              </w:rPr>
              <w:t>'''''''''''''''</w:t>
            </w:r>
          </w:p>
        </w:tc>
        <w:tc>
          <w:tcPr>
            <w:tcW w:w="625" w:type="pct"/>
            <w:gridSpan w:val="2"/>
            <w:tcBorders>
              <w:bottom w:val="double" w:sz="4" w:space="0" w:color="auto"/>
            </w:tcBorders>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b/>
                <w:noProof/>
                <w:snapToGrid w:val="0"/>
                <w:color w:val="000000"/>
                <w:szCs w:val="20"/>
                <w:highlight w:val="black"/>
              </w:rPr>
              <w:t>'''''''''''''''</w:t>
            </w:r>
          </w:p>
        </w:tc>
        <w:tc>
          <w:tcPr>
            <w:tcW w:w="625" w:type="pct"/>
            <w:tcBorders>
              <w:bottom w:val="double" w:sz="4" w:space="0" w:color="auto"/>
            </w:tcBorders>
            <w:shd w:val="clear" w:color="auto" w:fill="auto"/>
            <w:vAlign w:val="center"/>
          </w:tcPr>
          <w:p w:rsidR="004C7823" w:rsidRPr="005D428A" w:rsidRDefault="005D428A" w:rsidP="00F06FC0">
            <w:pPr>
              <w:pStyle w:val="TableText"/>
              <w:jc w:val="center"/>
              <w:rPr>
                <w:bCs/>
                <w:color w:val="000000"/>
                <w:highlight w:val="black"/>
              </w:rPr>
            </w:pPr>
            <w:r>
              <w:rPr>
                <w:rFonts w:eastAsia="Times New Roman" w:cs="Arial"/>
                <w:b/>
                <w:noProof/>
                <w:snapToGrid w:val="0"/>
                <w:color w:val="000000"/>
                <w:szCs w:val="20"/>
                <w:highlight w:val="black"/>
              </w:rPr>
              <w:t>'''''''''''''''''</w:t>
            </w:r>
          </w:p>
        </w:tc>
        <w:tc>
          <w:tcPr>
            <w:tcW w:w="626" w:type="pct"/>
            <w:gridSpan w:val="2"/>
            <w:tcBorders>
              <w:bottom w:val="double" w:sz="4" w:space="0" w:color="auto"/>
            </w:tcBorders>
            <w:vAlign w:val="center"/>
          </w:tcPr>
          <w:p w:rsidR="004C7823" w:rsidRPr="005D428A" w:rsidRDefault="005D428A" w:rsidP="00F06FC0">
            <w:pPr>
              <w:pStyle w:val="TableText"/>
              <w:jc w:val="center"/>
              <w:rPr>
                <w:bCs/>
                <w:color w:val="000000"/>
                <w:highlight w:val="black"/>
              </w:rPr>
            </w:pPr>
            <w:r>
              <w:rPr>
                <w:rFonts w:eastAsia="Times New Roman" w:cs="Arial"/>
                <w:b/>
                <w:noProof/>
                <w:snapToGrid w:val="0"/>
                <w:color w:val="000000"/>
                <w:szCs w:val="20"/>
                <w:highlight w:val="black"/>
              </w:rPr>
              <w:t>'''''''''''''''''''</w:t>
            </w:r>
          </w:p>
        </w:tc>
      </w:tr>
      <w:tr w:rsidR="00E37424" w:rsidRPr="00E850A7" w:rsidTr="00C50232">
        <w:trPr>
          <w:gridAfter w:val="1"/>
          <w:wAfter w:w="14" w:type="pct"/>
        </w:trPr>
        <w:tc>
          <w:tcPr>
            <w:tcW w:w="4986" w:type="pct"/>
            <w:gridSpan w:val="17"/>
            <w:tcBorders>
              <w:top w:val="double" w:sz="4" w:space="0" w:color="auto"/>
            </w:tcBorders>
            <w:shd w:val="clear" w:color="auto" w:fill="auto"/>
            <w:vAlign w:val="center"/>
          </w:tcPr>
          <w:p w:rsidR="00E37424" w:rsidRPr="00E850A7" w:rsidRDefault="00E37424" w:rsidP="00F06FC0">
            <w:pPr>
              <w:pStyle w:val="TableText"/>
              <w:rPr>
                <w:b/>
                <w:bCs/>
                <w:color w:val="000000"/>
              </w:rPr>
            </w:pPr>
            <w:r w:rsidRPr="00E850A7">
              <w:rPr>
                <w:b/>
                <w:bCs/>
                <w:color w:val="000000"/>
              </w:rPr>
              <w:t xml:space="preserve">Estimated </w:t>
            </w:r>
            <w:r w:rsidR="0084332C" w:rsidRPr="00E850A7">
              <w:rPr>
                <w:b/>
                <w:bCs/>
                <w:color w:val="000000"/>
              </w:rPr>
              <w:t>cost</w:t>
            </w:r>
            <w:r w:rsidR="00607758" w:rsidRPr="00E850A7">
              <w:rPr>
                <w:b/>
                <w:bCs/>
                <w:color w:val="000000"/>
              </w:rPr>
              <w:t xml:space="preserve"> of </w:t>
            </w:r>
            <w:r w:rsidR="0084332C" w:rsidRPr="00E850A7">
              <w:rPr>
                <w:b/>
                <w:bCs/>
                <w:color w:val="000000"/>
              </w:rPr>
              <w:t>empagliflozin with linagliptin FDC</w:t>
            </w:r>
          </w:p>
        </w:tc>
      </w:tr>
      <w:tr w:rsidR="004C7823" w:rsidRPr="00E850A7" w:rsidTr="00C50232">
        <w:trPr>
          <w:gridAfter w:val="1"/>
          <w:wAfter w:w="14" w:type="pct"/>
        </w:trPr>
        <w:tc>
          <w:tcPr>
            <w:tcW w:w="1235" w:type="pct"/>
            <w:gridSpan w:val="3"/>
            <w:shd w:val="clear" w:color="auto" w:fill="auto"/>
            <w:vAlign w:val="center"/>
          </w:tcPr>
          <w:p w:rsidR="004C7823" w:rsidRPr="00E850A7" w:rsidRDefault="004C7823" w:rsidP="00F06FC0">
            <w:pPr>
              <w:pStyle w:val="TableText"/>
              <w:rPr>
                <w:rFonts w:ascii="Times" w:eastAsia="Times New Roman" w:hAnsi="Times" w:cs="Times New Roman"/>
              </w:rPr>
            </w:pPr>
            <w:r w:rsidRPr="00E850A7">
              <w:rPr>
                <w:sz w:val="19"/>
                <w:szCs w:val="19"/>
              </w:rPr>
              <w:t>Cost empagliflozin/linagliptin FDC (DPMQ)</w:t>
            </w:r>
          </w:p>
        </w:tc>
        <w:tc>
          <w:tcPr>
            <w:tcW w:w="624" w:type="pct"/>
            <w:gridSpan w:val="3"/>
            <w:shd w:val="clear" w:color="auto" w:fill="auto"/>
            <w:vAlign w:val="center"/>
          </w:tcPr>
          <w:p w:rsidR="004C7823" w:rsidRPr="005D428A" w:rsidRDefault="005D428A" w:rsidP="00F06FC0">
            <w:pPr>
              <w:pStyle w:val="TableText"/>
              <w:rPr>
                <w:bCs/>
                <w:color w:val="000000"/>
                <w:highlight w:val="black"/>
              </w:rPr>
            </w:pPr>
            <w:r>
              <w:rPr>
                <w:rFonts w:eastAsia="Times New Roman" w:cs="Arial"/>
                <w:b/>
                <w:noProof/>
                <w:snapToGrid w:val="0"/>
                <w:color w:val="000000"/>
                <w:szCs w:val="20"/>
                <w:highlight w:val="black"/>
              </w:rPr>
              <w:t>'''''''''''''''''''''''</w:t>
            </w:r>
          </w:p>
        </w:tc>
        <w:tc>
          <w:tcPr>
            <w:tcW w:w="625" w:type="pct"/>
            <w:gridSpan w:val="3"/>
            <w:shd w:val="clear" w:color="auto" w:fill="auto"/>
            <w:vAlign w:val="center"/>
          </w:tcPr>
          <w:p w:rsidR="004C7823" w:rsidRPr="005D428A" w:rsidRDefault="005D428A" w:rsidP="00F06FC0">
            <w:pPr>
              <w:pStyle w:val="TableText"/>
              <w:rPr>
                <w:bCs/>
                <w:color w:val="000000"/>
                <w:highlight w:val="black"/>
              </w:rPr>
            </w:pPr>
            <w:r>
              <w:rPr>
                <w:rFonts w:eastAsia="Times New Roman" w:cs="Arial"/>
                <w:b/>
                <w:noProof/>
                <w:snapToGrid w:val="0"/>
                <w:color w:val="000000"/>
                <w:szCs w:val="20"/>
                <w:highlight w:val="black"/>
              </w:rPr>
              <w:t>''''''''''''''''''''''''</w:t>
            </w:r>
          </w:p>
        </w:tc>
        <w:tc>
          <w:tcPr>
            <w:tcW w:w="625" w:type="pct"/>
            <w:gridSpan w:val="3"/>
            <w:shd w:val="clear" w:color="auto" w:fill="auto"/>
            <w:vAlign w:val="center"/>
          </w:tcPr>
          <w:p w:rsidR="004C7823" w:rsidRPr="005D428A" w:rsidRDefault="005D428A" w:rsidP="00F06FC0">
            <w:pPr>
              <w:pStyle w:val="TableText"/>
              <w:rPr>
                <w:bCs/>
                <w:color w:val="000000"/>
                <w:highlight w:val="black"/>
              </w:rPr>
            </w:pPr>
            <w:r>
              <w:rPr>
                <w:rFonts w:eastAsia="Times New Roman" w:cs="Arial"/>
                <w:b/>
                <w:noProof/>
                <w:snapToGrid w:val="0"/>
                <w:color w:val="000000"/>
                <w:szCs w:val="20"/>
                <w:highlight w:val="black"/>
              </w:rPr>
              <w:t>'''''''''''''''''''''''''</w:t>
            </w:r>
          </w:p>
        </w:tc>
        <w:tc>
          <w:tcPr>
            <w:tcW w:w="625" w:type="pct"/>
            <w:gridSpan w:val="2"/>
            <w:shd w:val="clear" w:color="auto" w:fill="auto"/>
            <w:vAlign w:val="center"/>
          </w:tcPr>
          <w:p w:rsidR="004C7823" w:rsidRPr="005D428A" w:rsidRDefault="005D428A" w:rsidP="00F06FC0">
            <w:pPr>
              <w:pStyle w:val="TableText"/>
              <w:rPr>
                <w:bCs/>
                <w:color w:val="000000"/>
                <w:highlight w:val="black"/>
              </w:rPr>
            </w:pPr>
            <w:r>
              <w:rPr>
                <w:rFonts w:eastAsia="Times New Roman" w:cs="Arial"/>
                <w:b/>
                <w:noProof/>
                <w:snapToGrid w:val="0"/>
                <w:color w:val="000000"/>
                <w:szCs w:val="20"/>
                <w:highlight w:val="black"/>
              </w:rPr>
              <w:t>''''''''''''''''''''''''''</w:t>
            </w:r>
          </w:p>
        </w:tc>
        <w:tc>
          <w:tcPr>
            <w:tcW w:w="625" w:type="pct"/>
            <w:shd w:val="clear" w:color="auto" w:fill="auto"/>
            <w:vAlign w:val="center"/>
          </w:tcPr>
          <w:p w:rsidR="004C7823" w:rsidRPr="005D428A" w:rsidRDefault="005D428A" w:rsidP="00F06FC0">
            <w:pPr>
              <w:pStyle w:val="TableText"/>
              <w:rPr>
                <w:bCs/>
                <w:color w:val="000000"/>
                <w:highlight w:val="black"/>
              </w:rPr>
            </w:pPr>
            <w:r>
              <w:rPr>
                <w:rFonts w:eastAsia="Times New Roman" w:cs="Arial"/>
                <w:b/>
                <w:noProof/>
                <w:snapToGrid w:val="0"/>
                <w:color w:val="000000"/>
                <w:szCs w:val="20"/>
                <w:highlight w:val="black"/>
              </w:rPr>
              <w:t>''''''''''''''''''''''''</w:t>
            </w:r>
          </w:p>
        </w:tc>
        <w:tc>
          <w:tcPr>
            <w:tcW w:w="626" w:type="pct"/>
            <w:gridSpan w:val="2"/>
            <w:vAlign w:val="center"/>
          </w:tcPr>
          <w:p w:rsidR="004C7823" w:rsidRPr="005D428A" w:rsidRDefault="005D428A" w:rsidP="00F06FC0">
            <w:pPr>
              <w:pStyle w:val="TableText"/>
              <w:rPr>
                <w:bCs/>
                <w:color w:val="000000"/>
                <w:highlight w:val="black"/>
              </w:rPr>
            </w:pPr>
            <w:r>
              <w:rPr>
                <w:rFonts w:eastAsia="Times New Roman" w:cs="Arial"/>
                <w:b/>
                <w:noProof/>
                <w:snapToGrid w:val="0"/>
                <w:color w:val="000000"/>
                <w:szCs w:val="20"/>
                <w:highlight w:val="black"/>
              </w:rPr>
              <w:t>'''''''''''''''''''''''''</w:t>
            </w:r>
          </w:p>
        </w:tc>
      </w:tr>
      <w:tr w:rsidR="0084332C" w:rsidRPr="00E850A7" w:rsidTr="00C50232">
        <w:tblPrEx>
          <w:tblLook w:val="01E0" w:firstRow="1" w:lastRow="1" w:firstColumn="1" w:lastColumn="1" w:noHBand="0" w:noVBand="0"/>
        </w:tblPrEx>
        <w:trPr>
          <w:gridAfter w:val="1"/>
          <w:wAfter w:w="14" w:type="pct"/>
          <w:trHeight w:val="294"/>
        </w:trPr>
        <w:tc>
          <w:tcPr>
            <w:tcW w:w="4986" w:type="pct"/>
            <w:gridSpan w:val="17"/>
            <w:tcBorders>
              <w:top w:val="double" w:sz="4" w:space="0" w:color="auto"/>
            </w:tcBorders>
            <w:vAlign w:val="center"/>
          </w:tcPr>
          <w:p w:rsidR="0084332C" w:rsidRPr="00E850A7" w:rsidRDefault="0084332C" w:rsidP="00F06FC0">
            <w:pPr>
              <w:pStyle w:val="TableText"/>
              <w:keepNext w:val="0"/>
              <w:widowControl w:val="0"/>
              <w:tabs>
                <w:tab w:val="right" w:pos="6804"/>
              </w:tabs>
              <w:ind w:left="14"/>
              <w:rPr>
                <w:rFonts w:cs="Arial"/>
                <w:snapToGrid w:val="0"/>
              </w:rPr>
            </w:pPr>
            <w:r w:rsidRPr="00E850A7">
              <w:rPr>
                <w:rFonts w:eastAsia="Times New Roman" w:cs="Arial"/>
                <w:b/>
                <w:bCs/>
                <w:snapToGrid w:val="0"/>
                <w:szCs w:val="20"/>
              </w:rPr>
              <w:t>Net change in financial implications to the PBS/RPBS</w:t>
            </w:r>
          </w:p>
        </w:tc>
      </w:tr>
      <w:tr w:rsidR="0084332C" w:rsidRPr="00E850A7" w:rsidTr="00C50232">
        <w:tblPrEx>
          <w:tblLook w:val="01E0" w:firstRow="1" w:lastRow="1" w:firstColumn="1" w:lastColumn="1" w:noHBand="0" w:noVBand="0"/>
        </w:tblPrEx>
        <w:trPr>
          <w:gridAfter w:val="1"/>
          <w:wAfter w:w="14" w:type="pct"/>
          <w:trHeight w:val="294"/>
        </w:trPr>
        <w:tc>
          <w:tcPr>
            <w:tcW w:w="1216" w:type="pct"/>
            <w:gridSpan w:val="2"/>
            <w:vAlign w:val="center"/>
          </w:tcPr>
          <w:p w:rsidR="0084332C" w:rsidRPr="00E850A7" w:rsidRDefault="0084332C" w:rsidP="00F06FC0">
            <w:pPr>
              <w:pStyle w:val="TableText"/>
              <w:keepNext w:val="0"/>
              <w:widowControl w:val="0"/>
              <w:tabs>
                <w:tab w:val="right" w:pos="6804"/>
              </w:tabs>
              <w:ind w:right="115"/>
              <w:rPr>
                <w:rFonts w:cs="Arial"/>
                <w:snapToGrid w:val="0"/>
              </w:rPr>
            </w:pPr>
            <w:r w:rsidRPr="00E850A7">
              <w:rPr>
                <w:rFonts w:eastAsia="Times New Roman" w:cs="Arial"/>
                <w:b/>
                <w:snapToGrid w:val="0"/>
                <w:szCs w:val="20"/>
              </w:rPr>
              <w:t>Net PBS/RPBS cost</w:t>
            </w:r>
          </w:p>
        </w:tc>
        <w:tc>
          <w:tcPr>
            <w:tcW w:w="629" w:type="pct"/>
            <w:gridSpan w:val="3"/>
            <w:vAlign w:val="center"/>
          </w:tcPr>
          <w:p w:rsidR="0084332C" w:rsidRPr="005D428A" w:rsidRDefault="005D428A" w:rsidP="00F06FC0">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29" w:type="pct"/>
            <w:gridSpan w:val="3"/>
            <w:vAlign w:val="center"/>
          </w:tcPr>
          <w:p w:rsidR="0084332C" w:rsidRPr="005D428A" w:rsidRDefault="005D428A" w:rsidP="00F06FC0">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28" w:type="pct"/>
            <w:gridSpan w:val="3"/>
            <w:vAlign w:val="center"/>
          </w:tcPr>
          <w:p w:rsidR="0084332C" w:rsidRPr="005D428A" w:rsidRDefault="005D428A" w:rsidP="00F06FC0">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28" w:type="pct"/>
            <w:gridSpan w:val="2"/>
            <w:vAlign w:val="center"/>
          </w:tcPr>
          <w:p w:rsidR="0084332C" w:rsidRPr="005D428A" w:rsidRDefault="005D428A" w:rsidP="00F06FC0">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30" w:type="pct"/>
            <w:gridSpan w:val="2"/>
            <w:vAlign w:val="center"/>
          </w:tcPr>
          <w:p w:rsidR="0084332C" w:rsidRPr="005D428A" w:rsidRDefault="005D428A" w:rsidP="00F06FC0">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26" w:type="pct"/>
            <w:gridSpan w:val="2"/>
            <w:vAlign w:val="center"/>
          </w:tcPr>
          <w:p w:rsidR="0084332C" w:rsidRPr="005D428A" w:rsidRDefault="005D428A" w:rsidP="00F06FC0">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r>
      <w:tr w:rsidR="00C91BFD" w:rsidRPr="00E850A7" w:rsidTr="00C91BFD">
        <w:tblPrEx>
          <w:tblLook w:val="01E0" w:firstRow="1" w:lastRow="1" w:firstColumn="1" w:lastColumn="1" w:noHBand="0" w:noVBand="0"/>
        </w:tblPrEx>
        <w:trPr>
          <w:trHeight w:val="294"/>
        </w:trPr>
        <w:tc>
          <w:tcPr>
            <w:tcW w:w="5000" w:type="pct"/>
            <w:gridSpan w:val="18"/>
            <w:vAlign w:val="center"/>
          </w:tcPr>
          <w:p w:rsidR="00C91BFD" w:rsidRPr="00E850A7" w:rsidRDefault="00C91BFD" w:rsidP="006F6759">
            <w:pPr>
              <w:pStyle w:val="TableText"/>
              <w:keepNext w:val="0"/>
              <w:widowControl w:val="0"/>
              <w:tabs>
                <w:tab w:val="right" w:pos="6804"/>
              </w:tabs>
              <w:rPr>
                <w:rFonts w:cs="Arial"/>
                <w:snapToGrid w:val="0"/>
              </w:rPr>
            </w:pPr>
            <w:r w:rsidRPr="00E850A7">
              <w:rPr>
                <w:rFonts w:eastAsia="Times New Roman" w:cs="Arial"/>
                <w:b/>
                <w:bCs/>
                <w:snapToGrid w:val="0"/>
                <w:szCs w:val="20"/>
              </w:rPr>
              <w:t>Costs implications to other health budgets (costs avoided)</w:t>
            </w:r>
          </w:p>
        </w:tc>
      </w:tr>
      <w:tr w:rsidR="00C91BFD" w:rsidRPr="00E850A7" w:rsidTr="00C50232">
        <w:tblPrEx>
          <w:tblLook w:val="01E0" w:firstRow="1" w:lastRow="1" w:firstColumn="1" w:lastColumn="1" w:noHBand="0" w:noVBand="0"/>
        </w:tblPrEx>
        <w:trPr>
          <w:trHeight w:val="294"/>
        </w:trPr>
        <w:tc>
          <w:tcPr>
            <w:tcW w:w="1184" w:type="pct"/>
            <w:tcBorders>
              <w:bottom w:val="double" w:sz="4" w:space="0" w:color="auto"/>
            </w:tcBorders>
            <w:vAlign w:val="center"/>
          </w:tcPr>
          <w:p w:rsidR="00C91BFD" w:rsidRPr="00E850A7" w:rsidRDefault="00C91BFD" w:rsidP="006F6759">
            <w:pPr>
              <w:pStyle w:val="TableText"/>
              <w:keepNext w:val="0"/>
              <w:widowControl w:val="0"/>
              <w:tabs>
                <w:tab w:val="right" w:pos="6804"/>
              </w:tabs>
              <w:ind w:right="115"/>
              <w:rPr>
                <w:rFonts w:cs="Arial"/>
                <w:snapToGrid w:val="0"/>
              </w:rPr>
            </w:pPr>
            <w:r w:rsidRPr="00E850A7">
              <w:rPr>
                <w:rFonts w:eastAsia="Times New Roman" w:cs="Arial"/>
                <w:snapToGrid w:val="0"/>
                <w:szCs w:val="20"/>
              </w:rPr>
              <w:t>Total costs to other health budgets</w:t>
            </w:r>
          </w:p>
        </w:tc>
        <w:tc>
          <w:tcPr>
            <w:tcW w:w="636" w:type="pct"/>
            <w:gridSpan w:val="3"/>
            <w:tcBorders>
              <w:bottom w:val="double" w:sz="4" w:space="0" w:color="auto"/>
            </w:tcBorders>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noProof/>
                <w:snapToGrid w:val="0"/>
                <w:color w:val="000000"/>
                <w:szCs w:val="20"/>
                <w:highlight w:val="black"/>
              </w:rPr>
              <w:t>''''''''''''''''''''''''''''''</w:t>
            </w:r>
          </w:p>
        </w:tc>
        <w:tc>
          <w:tcPr>
            <w:tcW w:w="636" w:type="pct"/>
            <w:gridSpan w:val="3"/>
            <w:tcBorders>
              <w:bottom w:val="double" w:sz="4" w:space="0" w:color="auto"/>
            </w:tcBorders>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noProof/>
                <w:snapToGrid w:val="0"/>
                <w:color w:val="000000"/>
                <w:szCs w:val="20"/>
                <w:highlight w:val="black"/>
              </w:rPr>
              <w:t>''''''''''''''''''''''''''''</w:t>
            </w:r>
          </w:p>
        </w:tc>
        <w:tc>
          <w:tcPr>
            <w:tcW w:w="636" w:type="pct"/>
            <w:gridSpan w:val="3"/>
            <w:tcBorders>
              <w:bottom w:val="double" w:sz="4" w:space="0" w:color="auto"/>
            </w:tcBorders>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noProof/>
                <w:snapToGrid w:val="0"/>
                <w:color w:val="000000"/>
                <w:szCs w:val="20"/>
                <w:highlight w:val="black"/>
              </w:rPr>
              <w:t>'''''''''''''''''''''''''''''</w:t>
            </w:r>
          </w:p>
        </w:tc>
        <w:tc>
          <w:tcPr>
            <w:tcW w:w="638" w:type="pct"/>
            <w:gridSpan w:val="3"/>
            <w:tcBorders>
              <w:bottom w:val="double" w:sz="4" w:space="0" w:color="auto"/>
            </w:tcBorders>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noProof/>
                <w:snapToGrid w:val="0"/>
                <w:color w:val="000000"/>
                <w:szCs w:val="20"/>
                <w:highlight w:val="black"/>
              </w:rPr>
              <w:t>'''''''''''''''''''''''''''</w:t>
            </w:r>
          </w:p>
        </w:tc>
        <w:tc>
          <w:tcPr>
            <w:tcW w:w="636" w:type="pct"/>
            <w:gridSpan w:val="3"/>
            <w:tcBorders>
              <w:bottom w:val="double" w:sz="4" w:space="0" w:color="auto"/>
            </w:tcBorders>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noProof/>
                <w:snapToGrid w:val="0"/>
                <w:color w:val="000000"/>
                <w:szCs w:val="20"/>
                <w:highlight w:val="black"/>
              </w:rPr>
              <w:t>''''''''''''''''''''''''''</w:t>
            </w:r>
          </w:p>
        </w:tc>
        <w:tc>
          <w:tcPr>
            <w:tcW w:w="634" w:type="pct"/>
            <w:gridSpan w:val="2"/>
            <w:tcBorders>
              <w:bottom w:val="double" w:sz="4" w:space="0" w:color="auto"/>
            </w:tcBorders>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noProof/>
                <w:snapToGrid w:val="0"/>
                <w:color w:val="000000"/>
                <w:szCs w:val="20"/>
                <w:highlight w:val="black"/>
              </w:rPr>
              <w:t>'''''''''''''''''''''''''''''</w:t>
            </w:r>
          </w:p>
        </w:tc>
      </w:tr>
      <w:tr w:rsidR="00C91BFD" w:rsidRPr="00E850A7" w:rsidTr="00C50232">
        <w:tblPrEx>
          <w:tblLook w:val="01E0" w:firstRow="1" w:lastRow="1" w:firstColumn="1" w:lastColumn="1" w:noHBand="0" w:noVBand="0"/>
        </w:tblPrEx>
        <w:trPr>
          <w:trHeight w:val="294"/>
        </w:trPr>
        <w:tc>
          <w:tcPr>
            <w:tcW w:w="1184" w:type="pct"/>
            <w:vAlign w:val="center"/>
          </w:tcPr>
          <w:p w:rsidR="00C91BFD" w:rsidRPr="00E850A7" w:rsidRDefault="00C91BFD" w:rsidP="006F6759">
            <w:pPr>
              <w:pStyle w:val="TableText"/>
              <w:keepNext w:val="0"/>
              <w:widowControl w:val="0"/>
              <w:tabs>
                <w:tab w:val="right" w:pos="6804"/>
              </w:tabs>
              <w:ind w:right="115"/>
              <w:rPr>
                <w:rFonts w:cs="Arial"/>
                <w:snapToGrid w:val="0"/>
              </w:rPr>
            </w:pPr>
            <w:r w:rsidRPr="00E850A7">
              <w:rPr>
                <w:rFonts w:eastAsia="Times New Roman" w:cs="Arial"/>
                <w:b/>
                <w:snapToGrid w:val="0"/>
                <w:szCs w:val="20"/>
              </w:rPr>
              <w:t>Net cost to government</w:t>
            </w:r>
          </w:p>
        </w:tc>
        <w:tc>
          <w:tcPr>
            <w:tcW w:w="636" w:type="pct"/>
            <w:gridSpan w:val="3"/>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36" w:type="pct"/>
            <w:gridSpan w:val="3"/>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36" w:type="pct"/>
            <w:gridSpan w:val="3"/>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38" w:type="pct"/>
            <w:gridSpan w:val="3"/>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36" w:type="pct"/>
            <w:gridSpan w:val="3"/>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c>
          <w:tcPr>
            <w:tcW w:w="634" w:type="pct"/>
            <w:gridSpan w:val="2"/>
            <w:vAlign w:val="center"/>
          </w:tcPr>
          <w:p w:rsidR="00C91BFD" w:rsidRPr="005D428A" w:rsidRDefault="005D428A" w:rsidP="006F6759">
            <w:pPr>
              <w:pStyle w:val="TableText"/>
              <w:keepNext w:val="0"/>
              <w:widowControl w:val="0"/>
              <w:tabs>
                <w:tab w:val="right" w:pos="6804"/>
              </w:tabs>
              <w:ind w:left="14"/>
              <w:jc w:val="center"/>
              <w:rPr>
                <w:rFonts w:cs="Arial"/>
                <w:snapToGrid w:val="0"/>
                <w:highlight w:val="black"/>
              </w:rPr>
            </w:pPr>
            <w:r>
              <w:rPr>
                <w:rFonts w:eastAsia="Times New Roman" w:cs="Arial"/>
                <w:b/>
                <w:noProof/>
                <w:snapToGrid w:val="0"/>
                <w:color w:val="000000"/>
                <w:szCs w:val="20"/>
                <w:highlight w:val="black"/>
              </w:rPr>
              <w:t>'''''''''''''''''''''''''</w:t>
            </w:r>
          </w:p>
        </w:tc>
      </w:tr>
    </w:tbl>
    <w:p w:rsidR="00E902DE" w:rsidRDefault="00C317F3" w:rsidP="00C91BFD">
      <w:pPr>
        <w:pStyle w:val="TableFooter"/>
        <w:rPr>
          <w:szCs w:val="16"/>
        </w:rPr>
      </w:pPr>
      <w:r w:rsidRPr="00E850A7">
        <w:rPr>
          <w:szCs w:val="16"/>
        </w:rPr>
        <w:t xml:space="preserve">Source: </w:t>
      </w:r>
      <w:r w:rsidR="00060511" w:rsidRPr="00E850A7">
        <w:rPr>
          <w:szCs w:val="16"/>
        </w:rPr>
        <w:t>Tables E.4, p.751; Table E.11, p.756; Table E.12, p.757; Table E.13, p.758; Table E.21, p.766</w:t>
      </w:r>
      <w:r w:rsidR="00C91BFD" w:rsidRPr="00E850A7">
        <w:rPr>
          <w:szCs w:val="16"/>
        </w:rPr>
        <w:t>,</w:t>
      </w:r>
      <w:r w:rsidR="00060511" w:rsidRPr="00E850A7">
        <w:rPr>
          <w:szCs w:val="16"/>
        </w:rPr>
        <w:t xml:space="preserve"> </w:t>
      </w:r>
      <w:r w:rsidR="00C91BFD" w:rsidRPr="00E850A7">
        <w:rPr>
          <w:szCs w:val="16"/>
        </w:rPr>
        <w:t xml:space="preserve">Tables E.22 to E.27, pp.766-769 </w:t>
      </w:r>
      <w:r w:rsidR="00060511" w:rsidRPr="00E850A7">
        <w:rPr>
          <w:szCs w:val="16"/>
        </w:rPr>
        <w:t xml:space="preserve">and ‘Att 8_Glyxambi Section E’ Excel workbook </w:t>
      </w:r>
    </w:p>
    <w:p w:rsidR="00E902DE" w:rsidRDefault="00E902DE" w:rsidP="00C91BFD">
      <w:pPr>
        <w:pStyle w:val="TableFooter"/>
        <w:rPr>
          <w:szCs w:val="16"/>
        </w:rPr>
      </w:pPr>
    </w:p>
    <w:p w:rsidR="00C317F3" w:rsidRPr="00E902DE" w:rsidRDefault="00E902DE" w:rsidP="00C91BFD">
      <w:pPr>
        <w:pStyle w:val="TableFooter"/>
        <w:rPr>
          <w:rFonts w:asciiTheme="minorHAnsi" w:hAnsiTheme="minorHAnsi"/>
          <w:sz w:val="24"/>
          <w:szCs w:val="24"/>
        </w:rPr>
      </w:pPr>
      <w:r w:rsidRPr="00E902DE">
        <w:rPr>
          <w:rFonts w:asciiTheme="minorHAnsi" w:hAnsiTheme="minorHAnsi"/>
          <w:sz w:val="24"/>
          <w:szCs w:val="24"/>
        </w:rPr>
        <w:t>The redacted table shows that at year 6, the estimated number of patients was 100,000 – 200,000 per year</w:t>
      </w:r>
    </w:p>
    <w:p w:rsidR="0084332C" w:rsidRPr="00E850A7" w:rsidRDefault="0084332C" w:rsidP="008A1DD8">
      <w:pPr>
        <w:pStyle w:val="ListParagraph"/>
        <w:numPr>
          <w:ilvl w:val="1"/>
          <w:numId w:val="3"/>
        </w:numPr>
        <w:spacing w:before="0" w:after="120"/>
        <w:jc w:val="both"/>
        <w:rPr>
          <w:szCs w:val="24"/>
        </w:rPr>
      </w:pPr>
      <w:r w:rsidRPr="00E850A7">
        <w:rPr>
          <w:szCs w:val="24"/>
        </w:rPr>
        <w:t xml:space="preserve">The resubmission estimated the net cost savings to the PBS/RPBS of listing empagliflozin with linagliptin FDC at </w:t>
      </w:r>
      <w:r w:rsidR="00AA3D71">
        <w:rPr>
          <w:szCs w:val="24"/>
        </w:rPr>
        <w:t>less than $10 million per year</w:t>
      </w:r>
      <w:r w:rsidRPr="00E850A7">
        <w:rPr>
          <w:szCs w:val="24"/>
        </w:rPr>
        <w:t xml:space="preserve">in Year 1, increasing to </w:t>
      </w:r>
      <w:r w:rsidR="00AA3D71">
        <w:rPr>
          <w:szCs w:val="24"/>
        </w:rPr>
        <w:t>$20 - $30 million per year</w:t>
      </w:r>
      <w:r w:rsidR="00AA3D71" w:rsidRPr="00E850A7">
        <w:rPr>
          <w:szCs w:val="24"/>
        </w:rPr>
        <w:t xml:space="preserve"> </w:t>
      </w:r>
      <w:r w:rsidRPr="00E850A7">
        <w:rPr>
          <w:szCs w:val="24"/>
        </w:rPr>
        <w:t xml:space="preserve">in Year 6, a </w:t>
      </w:r>
      <w:r w:rsidR="00FC710E">
        <w:rPr>
          <w:szCs w:val="24"/>
        </w:rPr>
        <w:t xml:space="preserve">total </w:t>
      </w:r>
      <w:r w:rsidRPr="00E850A7">
        <w:rPr>
          <w:szCs w:val="24"/>
        </w:rPr>
        <w:t xml:space="preserve">cost savings of </w:t>
      </w:r>
      <w:r w:rsidR="002E2748">
        <w:rPr>
          <w:szCs w:val="24"/>
        </w:rPr>
        <w:t xml:space="preserve">$30 - $60 </w:t>
      </w:r>
      <w:r w:rsidRPr="002E2748">
        <w:rPr>
          <w:szCs w:val="24"/>
        </w:rPr>
        <w:t>million</w:t>
      </w:r>
      <w:r w:rsidRPr="00E850A7">
        <w:rPr>
          <w:szCs w:val="24"/>
        </w:rPr>
        <w:t xml:space="preserve"> over 6 years.</w:t>
      </w:r>
      <w:r w:rsidR="00F43D41">
        <w:rPr>
          <w:szCs w:val="24"/>
        </w:rPr>
        <w:t xml:space="preserve">. </w:t>
      </w:r>
    </w:p>
    <w:p w:rsidR="00FC710E" w:rsidRDefault="0084332C" w:rsidP="00FE25C2">
      <w:pPr>
        <w:pStyle w:val="ListParagraph"/>
        <w:numPr>
          <w:ilvl w:val="1"/>
          <w:numId w:val="3"/>
        </w:numPr>
        <w:spacing w:before="0" w:after="120"/>
        <w:jc w:val="both"/>
        <w:rPr>
          <w:szCs w:val="24"/>
        </w:rPr>
      </w:pPr>
      <w:r w:rsidRPr="00E850A7">
        <w:rPr>
          <w:szCs w:val="24"/>
        </w:rPr>
        <w:t xml:space="preserve">The </w:t>
      </w:r>
      <w:r w:rsidR="00072195" w:rsidRPr="00E850A7">
        <w:rPr>
          <w:szCs w:val="24"/>
        </w:rPr>
        <w:t xml:space="preserve">evaluation considered that the </w:t>
      </w:r>
      <w:r w:rsidRPr="00E850A7">
        <w:rPr>
          <w:szCs w:val="24"/>
        </w:rPr>
        <w:t>estimated utilisation and financial estimates for triple therapy were uncertain</w:t>
      </w:r>
      <w:r w:rsidR="0006281D" w:rsidRPr="00E850A7">
        <w:rPr>
          <w:szCs w:val="24"/>
        </w:rPr>
        <w:t>. The resubmission did not adequately address DUSC</w:t>
      </w:r>
      <w:r w:rsidR="00FC710E">
        <w:rPr>
          <w:szCs w:val="24"/>
        </w:rPr>
        <w:t>’s</w:t>
      </w:r>
      <w:r w:rsidR="0006281D" w:rsidRPr="00E850A7">
        <w:rPr>
          <w:szCs w:val="24"/>
        </w:rPr>
        <w:t xml:space="preserve"> concerns about the exclusion of other triple and dual therapy markets likely to be substituted (particularly those including sulfonylureas), the costs of hospitalisation due to severe hypoglycaemia events and other non-drug related resources</w:t>
      </w:r>
      <w:r w:rsidR="00FC710E">
        <w:rPr>
          <w:szCs w:val="24"/>
        </w:rPr>
        <w:t xml:space="preserve">. The estimates also </w:t>
      </w:r>
      <w:r w:rsidR="0006281D" w:rsidRPr="00E850A7">
        <w:rPr>
          <w:szCs w:val="24"/>
        </w:rPr>
        <w:t>failed to address all other issues raised by the DUSC at the March 2017 meeting</w:t>
      </w:r>
      <w:r w:rsidR="00FC710E">
        <w:rPr>
          <w:szCs w:val="24"/>
        </w:rPr>
        <w:t>:</w:t>
      </w:r>
    </w:p>
    <w:p w:rsidR="00FC710E" w:rsidRDefault="0006281D" w:rsidP="00216CB1">
      <w:pPr>
        <w:pStyle w:val="ListParagraph"/>
        <w:numPr>
          <w:ilvl w:val="0"/>
          <w:numId w:val="20"/>
        </w:numPr>
        <w:spacing w:before="0" w:after="120"/>
        <w:ind w:left="1134"/>
        <w:jc w:val="both"/>
        <w:rPr>
          <w:szCs w:val="24"/>
        </w:rPr>
      </w:pPr>
      <w:r w:rsidRPr="00FC710E">
        <w:rPr>
          <w:szCs w:val="24"/>
        </w:rPr>
        <w:t>methodology of the 10% Medicare sample analysis</w:t>
      </w:r>
    </w:p>
    <w:p w:rsidR="00FC710E" w:rsidRDefault="0006281D" w:rsidP="00216CB1">
      <w:pPr>
        <w:pStyle w:val="ListParagraph"/>
        <w:numPr>
          <w:ilvl w:val="0"/>
          <w:numId w:val="20"/>
        </w:numPr>
        <w:spacing w:before="0" w:after="120"/>
        <w:ind w:left="1134"/>
        <w:jc w:val="both"/>
        <w:rPr>
          <w:szCs w:val="24"/>
        </w:rPr>
      </w:pPr>
      <w:r w:rsidRPr="00FC710E">
        <w:rPr>
          <w:szCs w:val="24"/>
        </w:rPr>
        <w:t>exclusion of undercopayment data from the analysis</w:t>
      </w:r>
    </w:p>
    <w:p w:rsidR="00FC710E" w:rsidRDefault="0006281D" w:rsidP="00216CB1">
      <w:pPr>
        <w:pStyle w:val="ListParagraph"/>
        <w:numPr>
          <w:ilvl w:val="0"/>
          <w:numId w:val="20"/>
        </w:numPr>
        <w:spacing w:before="0" w:after="120"/>
        <w:ind w:left="1134"/>
        <w:jc w:val="both"/>
        <w:rPr>
          <w:szCs w:val="24"/>
        </w:rPr>
      </w:pPr>
      <w:r w:rsidRPr="00FC710E">
        <w:rPr>
          <w:szCs w:val="24"/>
        </w:rPr>
        <w:t>broadening of the market due introduction of a novel therapy option</w:t>
      </w:r>
    </w:p>
    <w:p w:rsidR="00FC710E" w:rsidRDefault="0006281D" w:rsidP="00216CB1">
      <w:pPr>
        <w:pStyle w:val="ListParagraph"/>
        <w:numPr>
          <w:ilvl w:val="0"/>
          <w:numId w:val="20"/>
        </w:numPr>
        <w:spacing w:before="0" w:after="120"/>
        <w:ind w:left="1134"/>
        <w:jc w:val="both"/>
        <w:rPr>
          <w:szCs w:val="24"/>
        </w:rPr>
      </w:pPr>
      <w:r w:rsidRPr="00FC710E">
        <w:rPr>
          <w:szCs w:val="24"/>
        </w:rPr>
        <w:t>exclusion of costs related to adverse events such as vulvovaginal candidiasis and</w:t>
      </w:r>
    </w:p>
    <w:p w:rsidR="00C91BFD" w:rsidRPr="00FC710E" w:rsidRDefault="0006281D" w:rsidP="00216CB1">
      <w:pPr>
        <w:pStyle w:val="ListParagraph"/>
        <w:numPr>
          <w:ilvl w:val="0"/>
          <w:numId w:val="20"/>
        </w:numPr>
        <w:spacing w:before="0" w:after="120"/>
        <w:ind w:left="1134"/>
        <w:jc w:val="both"/>
        <w:rPr>
          <w:szCs w:val="24"/>
        </w:rPr>
      </w:pPr>
      <w:r w:rsidRPr="00FC710E">
        <w:rPr>
          <w:szCs w:val="24"/>
        </w:rPr>
        <w:t>quality use of medicine issues around patient understanding of combination medicine use.</w:t>
      </w:r>
      <w:r w:rsidR="00C91BFD" w:rsidRPr="00FC710E">
        <w:rPr>
          <w:szCs w:val="24"/>
        </w:rPr>
        <w:t xml:space="preserve"> </w:t>
      </w:r>
    </w:p>
    <w:p w:rsidR="0006281D" w:rsidRPr="00E850A7" w:rsidRDefault="00C91BFD" w:rsidP="00FE25C2">
      <w:pPr>
        <w:pStyle w:val="ListParagraph"/>
        <w:numPr>
          <w:ilvl w:val="1"/>
          <w:numId w:val="3"/>
        </w:numPr>
        <w:spacing w:before="0" w:after="120"/>
        <w:jc w:val="both"/>
        <w:rPr>
          <w:szCs w:val="24"/>
        </w:rPr>
      </w:pPr>
      <w:r w:rsidRPr="00E850A7">
        <w:rPr>
          <w:szCs w:val="24"/>
        </w:rPr>
        <w:t>At the March 2017</w:t>
      </w:r>
      <w:r w:rsidR="00FC710E">
        <w:rPr>
          <w:szCs w:val="24"/>
        </w:rPr>
        <w:t>,</w:t>
      </w:r>
      <w:r w:rsidRPr="00E850A7">
        <w:rPr>
          <w:szCs w:val="24"/>
        </w:rPr>
        <w:t xml:space="preserve"> meeting the DUSC also noted that uptake of empagliflozin across all lines of the treatment (single or FDC) </w:t>
      </w:r>
      <w:r w:rsidR="004D7EAB" w:rsidRPr="00E850A7">
        <w:rPr>
          <w:szCs w:val="24"/>
        </w:rPr>
        <w:t>may</w:t>
      </w:r>
      <w:r w:rsidR="001C4843" w:rsidRPr="00E850A7">
        <w:rPr>
          <w:szCs w:val="24"/>
        </w:rPr>
        <w:t xml:space="preserve"> </w:t>
      </w:r>
      <w:r w:rsidRPr="00E850A7">
        <w:rPr>
          <w:szCs w:val="24"/>
        </w:rPr>
        <w:t xml:space="preserve">rapidly increase </w:t>
      </w:r>
      <w:r w:rsidR="00FC710E" w:rsidRPr="00E850A7">
        <w:rPr>
          <w:szCs w:val="24"/>
        </w:rPr>
        <w:t>because</w:t>
      </w:r>
      <w:r w:rsidRPr="00E850A7">
        <w:rPr>
          <w:szCs w:val="24"/>
        </w:rPr>
        <w:t xml:space="preserve"> of the finding of reduced risk of cardiovascular death in the EMPA-REG OUTCOME study. </w:t>
      </w:r>
    </w:p>
    <w:p w:rsidR="0084332C" w:rsidRPr="00E850A7" w:rsidRDefault="0006281D" w:rsidP="00FE25C2">
      <w:pPr>
        <w:pStyle w:val="ListParagraph"/>
        <w:numPr>
          <w:ilvl w:val="1"/>
          <w:numId w:val="3"/>
        </w:numPr>
        <w:spacing w:before="0" w:after="120"/>
        <w:jc w:val="both"/>
        <w:rPr>
          <w:szCs w:val="24"/>
        </w:rPr>
      </w:pPr>
      <w:r w:rsidRPr="00E850A7">
        <w:rPr>
          <w:szCs w:val="24"/>
        </w:rPr>
        <w:t>Additionally</w:t>
      </w:r>
      <w:r w:rsidR="00C50232" w:rsidRPr="00E850A7">
        <w:rPr>
          <w:szCs w:val="24"/>
        </w:rPr>
        <w:t>,</w:t>
      </w:r>
      <w:r w:rsidRPr="00E850A7">
        <w:rPr>
          <w:szCs w:val="24"/>
        </w:rPr>
        <w:t xml:space="preserve"> t</w:t>
      </w:r>
      <w:r w:rsidR="0084332C" w:rsidRPr="00E850A7">
        <w:rPr>
          <w:szCs w:val="24"/>
        </w:rPr>
        <w:t xml:space="preserve">he cost offsets </w:t>
      </w:r>
      <w:r w:rsidR="008F203C">
        <w:rPr>
          <w:szCs w:val="24"/>
        </w:rPr>
        <w:t xml:space="preserve">from </w:t>
      </w:r>
      <w:r w:rsidR="0084332C" w:rsidRPr="00E850A7">
        <w:rPr>
          <w:szCs w:val="24"/>
        </w:rPr>
        <w:t xml:space="preserve">medicines substituted were overestimated </w:t>
      </w:r>
      <w:r w:rsidRPr="00E850A7">
        <w:rPr>
          <w:szCs w:val="24"/>
        </w:rPr>
        <w:t>due to the use of</w:t>
      </w:r>
      <w:r w:rsidR="0084332C" w:rsidRPr="00E850A7">
        <w:rPr>
          <w:szCs w:val="24"/>
        </w:rPr>
        <w:t xml:space="preserve"> the published prices of insulin glargine and exenatide 2 mg weekly </w:t>
      </w:r>
      <w:r w:rsidR="008F203C" w:rsidRPr="00E850A7">
        <w:rPr>
          <w:szCs w:val="24"/>
        </w:rPr>
        <w:t>that</w:t>
      </w:r>
      <w:r w:rsidR="0084332C" w:rsidRPr="00E850A7">
        <w:rPr>
          <w:szCs w:val="24"/>
        </w:rPr>
        <w:t xml:space="preserve"> are subject to special pricing arrangements.</w:t>
      </w:r>
      <w:r w:rsidR="004D7EAB" w:rsidRPr="00E850A7">
        <w:rPr>
          <w:szCs w:val="24"/>
        </w:rPr>
        <w:t xml:space="preserve"> </w:t>
      </w:r>
    </w:p>
    <w:p w:rsidR="003A64C4" w:rsidRPr="00E850A7" w:rsidRDefault="003A64C4" w:rsidP="00FE25C2">
      <w:pPr>
        <w:spacing w:before="0" w:after="120"/>
        <w:jc w:val="both"/>
        <w:rPr>
          <w:szCs w:val="24"/>
          <w:u w:val="single"/>
        </w:rPr>
      </w:pPr>
      <w:bookmarkStart w:id="36" w:name="_Toc413139285"/>
      <w:r w:rsidRPr="00E850A7">
        <w:rPr>
          <w:szCs w:val="24"/>
          <w:u w:val="single"/>
        </w:rPr>
        <w:t>Dual therapy in treatment naïve patients with mild to moderate renal impairment</w:t>
      </w:r>
    </w:p>
    <w:p w:rsidR="008A3722" w:rsidRPr="00E850A7" w:rsidRDefault="003A64C4" w:rsidP="00FE25C2">
      <w:pPr>
        <w:pStyle w:val="ListParagraph"/>
        <w:numPr>
          <w:ilvl w:val="1"/>
          <w:numId w:val="3"/>
        </w:numPr>
        <w:spacing w:before="0" w:after="120"/>
        <w:jc w:val="both"/>
        <w:rPr>
          <w:szCs w:val="24"/>
        </w:rPr>
      </w:pPr>
      <w:r w:rsidRPr="00E850A7">
        <w:rPr>
          <w:szCs w:val="24"/>
        </w:rPr>
        <w:t xml:space="preserve">The resubmission used an epidemiological approach to </w:t>
      </w:r>
      <w:r w:rsidR="00C50232" w:rsidRPr="00E850A7">
        <w:rPr>
          <w:szCs w:val="24"/>
        </w:rPr>
        <w:t>estimate</w:t>
      </w:r>
      <w:r w:rsidRPr="00E850A7">
        <w:rPr>
          <w:szCs w:val="24"/>
        </w:rPr>
        <w:t xml:space="preserve"> </w:t>
      </w:r>
      <w:r w:rsidR="00C50232" w:rsidRPr="00E850A7">
        <w:rPr>
          <w:szCs w:val="24"/>
        </w:rPr>
        <w:t xml:space="preserve">the </w:t>
      </w:r>
      <w:r w:rsidRPr="00E850A7">
        <w:rPr>
          <w:szCs w:val="24"/>
        </w:rPr>
        <w:t>use and financial implication</w:t>
      </w:r>
      <w:r w:rsidR="007F6A6E" w:rsidRPr="00E850A7">
        <w:rPr>
          <w:szCs w:val="24"/>
        </w:rPr>
        <w:t>s</w:t>
      </w:r>
      <w:r w:rsidRPr="00E850A7">
        <w:rPr>
          <w:szCs w:val="24"/>
        </w:rPr>
        <w:t xml:space="preserve"> of listing empagliflozin with linagliptin for use in dual therapy</w:t>
      </w:r>
      <w:r w:rsidR="005F7ACD" w:rsidRPr="00E850A7">
        <w:rPr>
          <w:szCs w:val="24"/>
        </w:rPr>
        <w:t xml:space="preserve"> in patients with mild to moderate renal impairment</w:t>
      </w:r>
      <w:r w:rsidRPr="00E850A7">
        <w:rPr>
          <w:szCs w:val="24"/>
        </w:rPr>
        <w:t>.</w:t>
      </w:r>
    </w:p>
    <w:p w:rsidR="003A64C4" w:rsidRPr="00E850A7" w:rsidRDefault="003A64C4" w:rsidP="008A3722">
      <w:pPr>
        <w:spacing w:before="0" w:line="259" w:lineRule="auto"/>
      </w:pPr>
      <w:r w:rsidRPr="00E850A7">
        <w:rPr>
          <w:rFonts w:ascii="Arial Narrow" w:hAnsi="Arial Narrow"/>
          <w:b/>
          <w:bCs/>
          <w:sz w:val="20"/>
        </w:rPr>
        <w:t>Table 1</w:t>
      </w:r>
      <w:r w:rsidR="0065712C" w:rsidRPr="00E850A7">
        <w:rPr>
          <w:rFonts w:ascii="Arial Narrow" w:hAnsi="Arial Narrow"/>
          <w:b/>
          <w:bCs/>
          <w:sz w:val="20"/>
        </w:rPr>
        <w:t>5</w:t>
      </w:r>
      <w:r w:rsidRPr="00E850A7">
        <w:rPr>
          <w:rFonts w:ascii="Arial Narrow" w:hAnsi="Arial Narrow"/>
          <w:b/>
          <w:bCs/>
          <w:sz w:val="20"/>
        </w:rPr>
        <w:t xml:space="preserve">: Estimated utilisation and financial implications of PBS-listed empagliflozin with linagliptin FDC </w:t>
      </w:r>
      <w:r w:rsidR="005F7ACD" w:rsidRPr="00E850A7">
        <w:rPr>
          <w:rFonts w:ascii="Arial Narrow" w:hAnsi="Arial Narrow"/>
          <w:b/>
          <w:bCs/>
          <w:sz w:val="20"/>
        </w:rPr>
        <w:t>in dual therapy</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8"/>
        <w:gridCol w:w="1159"/>
        <w:gridCol w:w="1159"/>
        <w:gridCol w:w="1160"/>
        <w:gridCol w:w="1160"/>
        <w:gridCol w:w="1160"/>
        <w:gridCol w:w="1160"/>
      </w:tblGrid>
      <w:tr w:rsidR="003A64C4" w:rsidRPr="00E850A7" w:rsidTr="005F7ACD">
        <w:trPr>
          <w:trHeight w:val="294"/>
          <w:tblHeader/>
        </w:trPr>
        <w:tc>
          <w:tcPr>
            <w:tcW w:w="1184" w:type="pct"/>
            <w:vAlign w:val="center"/>
          </w:tcPr>
          <w:p w:rsidR="003A64C4" w:rsidRPr="00E850A7" w:rsidRDefault="003A64C4" w:rsidP="00F06FC0">
            <w:pPr>
              <w:tabs>
                <w:tab w:val="right" w:pos="6804"/>
              </w:tabs>
              <w:spacing w:before="40" w:after="40"/>
              <w:ind w:right="31"/>
              <w:rPr>
                <w:rFonts w:ascii="Arial Narrow" w:eastAsia="Calibri" w:hAnsi="Arial Narrow"/>
                <w:sz w:val="20"/>
              </w:rPr>
            </w:pPr>
          </w:p>
        </w:tc>
        <w:tc>
          <w:tcPr>
            <w:tcW w:w="636" w:type="pct"/>
            <w:vAlign w:val="center"/>
          </w:tcPr>
          <w:p w:rsidR="003A64C4" w:rsidRPr="00E850A7" w:rsidRDefault="003A64C4" w:rsidP="00F06FC0">
            <w:pPr>
              <w:tabs>
                <w:tab w:val="right" w:pos="6804"/>
              </w:tabs>
              <w:spacing w:before="40" w:after="40"/>
              <w:ind w:left="14"/>
              <w:jc w:val="center"/>
              <w:rPr>
                <w:rFonts w:ascii="Arial Narrow" w:eastAsia="Calibri" w:hAnsi="Arial Narrow"/>
                <w:sz w:val="20"/>
              </w:rPr>
            </w:pPr>
            <w:r w:rsidRPr="00E850A7">
              <w:rPr>
                <w:rFonts w:ascii="Arial Narrow" w:hAnsi="Arial Narrow"/>
                <w:b/>
                <w:sz w:val="20"/>
              </w:rPr>
              <w:t>Year 1</w:t>
            </w:r>
          </w:p>
        </w:tc>
        <w:tc>
          <w:tcPr>
            <w:tcW w:w="636" w:type="pct"/>
            <w:vAlign w:val="center"/>
          </w:tcPr>
          <w:p w:rsidR="003A64C4" w:rsidRPr="00E850A7" w:rsidRDefault="003A64C4" w:rsidP="00F06FC0">
            <w:pPr>
              <w:tabs>
                <w:tab w:val="right" w:pos="6804"/>
              </w:tabs>
              <w:spacing w:before="40" w:after="40"/>
              <w:ind w:left="14"/>
              <w:jc w:val="center"/>
              <w:rPr>
                <w:rFonts w:ascii="Arial Narrow" w:eastAsia="Calibri" w:hAnsi="Arial Narrow"/>
                <w:sz w:val="20"/>
              </w:rPr>
            </w:pPr>
            <w:r w:rsidRPr="00E850A7">
              <w:rPr>
                <w:rFonts w:ascii="Arial Narrow" w:hAnsi="Arial Narrow"/>
                <w:b/>
                <w:sz w:val="20"/>
              </w:rPr>
              <w:t>Year 2</w:t>
            </w:r>
          </w:p>
        </w:tc>
        <w:tc>
          <w:tcPr>
            <w:tcW w:w="636" w:type="pct"/>
            <w:vAlign w:val="center"/>
          </w:tcPr>
          <w:p w:rsidR="003A64C4" w:rsidRPr="00E850A7" w:rsidRDefault="003A64C4" w:rsidP="00F06FC0">
            <w:pPr>
              <w:tabs>
                <w:tab w:val="right" w:pos="6804"/>
              </w:tabs>
              <w:spacing w:before="40" w:after="40"/>
              <w:ind w:left="14"/>
              <w:jc w:val="center"/>
              <w:rPr>
                <w:rFonts w:ascii="Arial Narrow" w:eastAsia="Calibri" w:hAnsi="Arial Narrow"/>
                <w:sz w:val="20"/>
              </w:rPr>
            </w:pPr>
            <w:r w:rsidRPr="00E850A7">
              <w:rPr>
                <w:rFonts w:ascii="Arial Narrow" w:hAnsi="Arial Narrow"/>
                <w:b/>
                <w:sz w:val="20"/>
              </w:rPr>
              <w:t>Year 3</w:t>
            </w:r>
          </w:p>
        </w:tc>
        <w:tc>
          <w:tcPr>
            <w:tcW w:w="636" w:type="pct"/>
            <w:vAlign w:val="center"/>
          </w:tcPr>
          <w:p w:rsidR="003A64C4" w:rsidRPr="00E850A7" w:rsidRDefault="003A64C4" w:rsidP="00F06FC0">
            <w:pPr>
              <w:tabs>
                <w:tab w:val="right" w:pos="6804"/>
              </w:tabs>
              <w:spacing w:before="40" w:after="40"/>
              <w:ind w:left="14"/>
              <w:jc w:val="center"/>
              <w:rPr>
                <w:rFonts w:ascii="Arial Narrow" w:eastAsia="Calibri" w:hAnsi="Arial Narrow"/>
                <w:sz w:val="20"/>
              </w:rPr>
            </w:pPr>
            <w:r w:rsidRPr="00E850A7">
              <w:rPr>
                <w:rFonts w:ascii="Arial Narrow" w:hAnsi="Arial Narrow"/>
                <w:b/>
                <w:sz w:val="20"/>
              </w:rPr>
              <w:t>Year 4</w:t>
            </w:r>
          </w:p>
        </w:tc>
        <w:tc>
          <w:tcPr>
            <w:tcW w:w="636" w:type="pct"/>
            <w:vAlign w:val="center"/>
          </w:tcPr>
          <w:p w:rsidR="003A64C4" w:rsidRPr="00E850A7" w:rsidRDefault="003A64C4" w:rsidP="00F06FC0">
            <w:pPr>
              <w:tabs>
                <w:tab w:val="right" w:pos="6804"/>
              </w:tabs>
              <w:spacing w:before="40" w:after="40"/>
              <w:ind w:left="14"/>
              <w:jc w:val="center"/>
              <w:rPr>
                <w:rFonts w:ascii="Arial Narrow" w:eastAsia="Calibri" w:hAnsi="Arial Narrow"/>
                <w:sz w:val="20"/>
              </w:rPr>
            </w:pPr>
            <w:r w:rsidRPr="00E850A7">
              <w:rPr>
                <w:rFonts w:ascii="Arial Narrow" w:hAnsi="Arial Narrow"/>
                <w:b/>
                <w:sz w:val="20"/>
              </w:rPr>
              <w:t>Year 5</w:t>
            </w:r>
          </w:p>
        </w:tc>
        <w:tc>
          <w:tcPr>
            <w:tcW w:w="636" w:type="pct"/>
            <w:vAlign w:val="center"/>
          </w:tcPr>
          <w:p w:rsidR="003A64C4" w:rsidRPr="00E850A7" w:rsidRDefault="003A64C4" w:rsidP="00F06FC0">
            <w:pPr>
              <w:tabs>
                <w:tab w:val="right" w:pos="6804"/>
              </w:tabs>
              <w:spacing w:before="40" w:after="40"/>
              <w:ind w:left="14"/>
              <w:jc w:val="center"/>
              <w:rPr>
                <w:rFonts w:ascii="Arial Narrow" w:eastAsia="Calibri" w:hAnsi="Arial Narrow"/>
                <w:sz w:val="20"/>
              </w:rPr>
            </w:pPr>
            <w:r w:rsidRPr="00E850A7">
              <w:rPr>
                <w:rFonts w:ascii="Arial Narrow" w:hAnsi="Arial Narrow"/>
                <w:b/>
                <w:sz w:val="20"/>
              </w:rPr>
              <w:t>Year 6</w:t>
            </w:r>
          </w:p>
        </w:tc>
      </w:tr>
      <w:tr w:rsidR="003A64C4" w:rsidRPr="00E850A7" w:rsidTr="005F7ACD">
        <w:trPr>
          <w:trHeight w:val="294"/>
        </w:trPr>
        <w:tc>
          <w:tcPr>
            <w:tcW w:w="5000" w:type="pct"/>
            <w:gridSpan w:val="7"/>
            <w:vAlign w:val="center"/>
          </w:tcPr>
          <w:p w:rsidR="003A64C4" w:rsidRPr="00E850A7" w:rsidRDefault="003A64C4" w:rsidP="00F06FC0">
            <w:pPr>
              <w:tabs>
                <w:tab w:val="right" w:pos="6804"/>
              </w:tabs>
              <w:spacing w:before="40" w:after="40"/>
              <w:ind w:left="14" w:right="31"/>
              <w:rPr>
                <w:rFonts w:ascii="Arial Narrow" w:eastAsia="Calibri" w:hAnsi="Arial Narrow"/>
                <w:sz w:val="20"/>
              </w:rPr>
            </w:pPr>
            <w:r w:rsidRPr="00E850A7">
              <w:rPr>
                <w:rFonts w:ascii="Arial Narrow" w:hAnsi="Arial Narrow"/>
                <w:b/>
                <w:bCs/>
                <w:sz w:val="20"/>
              </w:rPr>
              <w:t xml:space="preserve">Estimate utilisation and cost of empagliflozin with linagliptin FDC </w:t>
            </w:r>
          </w:p>
        </w:tc>
      </w:tr>
      <w:tr w:rsidR="003A64C4" w:rsidRPr="00E850A7" w:rsidTr="005F7ACD">
        <w:trPr>
          <w:trHeight w:val="294"/>
        </w:trPr>
        <w:tc>
          <w:tcPr>
            <w:tcW w:w="1184" w:type="pct"/>
            <w:vAlign w:val="center"/>
          </w:tcPr>
          <w:p w:rsidR="003A64C4" w:rsidRPr="00E850A7" w:rsidRDefault="002E067C" w:rsidP="005F7ACD">
            <w:pPr>
              <w:tabs>
                <w:tab w:val="right" w:pos="6804"/>
              </w:tabs>
              <w:spacing w:before="40" w:after="40"/>
              <w:ind w:right="31"/>
              <w:rPr>
                <w:rFonts w:ascii="Arial Narrow" w:eastAsia="Calibri" w:hAnsi="Arial Narrow"/>
                <w:sz w:val="20"/>
              </w:rPr>
            </w:pPr>
            <w:r w:rsidRPr="00E850A7">
              <w:rPr>
                <w:rFonts w:ascii="Arial Narrow" w:hAnsi="Arial Narrow"/>
                <w:sz w:val="20"/>
              </w:rPr>
              <w:t>Eli</w:t>
            </w:r>
            <w:r w:rsidR="0028662A" w:rsidRPr="00E850A7">
              <w:rPr>
                <w:rFonts w:ascii="Arial Narrow" w:hAnsi="Arial Narrow"/>
                <w:sz w:val="20"/>
              </w:rPr>
              <w:t>g</w:t>
            </w:r>
            <w:r w:rsidRPr="00E850A7">
              <w:rPr>
                <w:rFonts w:ascii="Arial Narrow" w:hAnsi="Arial Narrow"/>
                <w:sz w:val="20"/>
              </w:rPr>
              <w:t xml:space="preserve">ible patients with </w:t>
            </w:r>
            <w:r w:rsidR="003A64C4" w:rsidRPr="00E850A7">
              <w:rPr>
                <w:rFonts w:ascii="Arial Narrow" w:hAnsi="Arial Narrow"/>
                <w:sz w:val="20"/>
              </w:rPr>
              <w:t xml:space="preserve">CKD stage 3 </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3A64C4" w:rsidRPr="00E850A7" w:rsidTr="005F7ACD">
        <w:trPr>
          <w:trHeight w:val="127"/>
        </w:trPr>
        <w:tc>
          <w:tcPr>
            <w:tcW w:w="1184" w:type="pct"/>
            <w:vAlign w:val="center"/>
          </w:tcPr>
          <w:p w:rsidR="003A64C4" w:rsidRPr="00E850A7" w:rsidRDefault="003A64C4" w:rsidP="00F06FC0">
            <w:pPr>
              <w:tabs>
                <w:tab w:val="right" w:pos="6804"/>
              </w:tabs>
              <w:spacing w:before="40" w:after="40"/>
              <w:ind w:right="31"/>
              <w:rPr>
                <w:rFonts w:ascii="Arial Narrow" w:eastAsia="Calibri" w:hAnsi="Arial Narrow"/>
                <w:sz w:val="20"/>
              </w:rPr>
            </w:pPr>
            <w:r w:rsidRPr="00E850A7">
              <w:rPr>
                <w:rFonts w:ascii="Arial Narrow" w:hAnsi="Arial Narrow"/>
                <w:sz w:val="20"/>
              </w:rPr>
              <w:t xml:space="preserve">Market uptake </w:t>
            </w:r>
          </w:p>
        </w:tc>
        <w:tc>
          <w:tcPr>
            <w:tcW w:w="636" w:type="pct"/>
            <w:vAlign w:val="center"/>
          </w:tcPr>
          <w:p w:rsidR="003A64C4" w:rsidRPr="00E902DE" w:rsidRDefault="003A64C4" w:rsidP="00F06FC0">
            <w:pPr>
              <w:tabs>
                <w:tab w:val="right" w:pos="6804"/>
              </w:tabs>
              <w:spacing w:before="40" w:after="40"/>
              <w:ind w:left="14"/>
              <w:jc w:val="center"/>
              <w:rPr>
                <w:rFonts w:ascii="Arial Narrow" w:eastAsia="Calibri" w:hAnsi="Arial Narrow"/>
                <w:sz w:val="20"/>
              </w:rPr>
            </w:pPr>
            <w:r w:rsidRPr="00E902DE">
              <w:rPr>
                <w:rFonts w:ascii="Arial Narrow" w:hAnsi="Arial Narrow"/>
                <w:sz w:val="20"/>
              </w:rPr>
              <w:t>40%</w:t>
            </w:r>
          </w:p>
        </w:tc>
        <w:tc>
          <w:tcPr>
            <w:tcW w:w="636" w:type="pct"/>
            <w:vAlign w:val="center"/>
          </w:tcPr>
          <w:p w:rsidR="003A64C4" w:rsidRPr="00E902DE" w:rsidRDefault="003A64C4" w:rsidP="00F06FC0">
            <w:pPr>
              <w:tabs>
                <w:tab w:val="right" w:pos="6804"/>
              </w:tabs>
              <w:spacing w:before="40" w:after="40"/>
              <w:ind w:left="14"/>
              <w:jc w:val="center"/>
              <w:rPr>
                <w:rFonts w:ascii="Arial Narrow" w:eastAsia="Calibri" w:hAnsi="Arial Narrow"/>
                <w:sz w:val="20"/>
              </w:rPr>
            </w:pPr>
            <w:r w:rsidRPr="00E902DE">
              <w:rPr>
                <w:rFonts w:ascii="Arial Narrow" w:hAnsi="Arial Narrow"/>
                <w:sz w:val="20"/>
              </w:rPr>
              <w:t>50%</w:t>
            </w:r>
          </w:p>
        </w:tc>
        <w:tc>
          <w:tcPr>
            <w:tcW w:w="636" w:type="pct"/>
            <w:vAlign w:val="center"/>
          </w:tcPr>
          <w:p w:rsidR="003A64C4" w:rsidRPr="00E902DE" w:rsidRDefault="003A64C4" w:rsidP="00F06FC0">
            <w:pPr>
              <w:tabs>
                <w:tab w:val="right" w:pos="6804"/>
              </w:tabs>
              <w:spacing w:before="40" w:after="40"/>
              <w:ind w:left="14"/>
              <w:jc w:val="center"/>
              <w:rPr>
                <w:rFonts w:ascii="Arial Narrow" w:eastAsia="Calibri" w:hAnsi="Arial Narrow"/>
                <w:sz w:val="20"/>
              </w:rPr>
            </w:pPr>
            <w:r w:rsidRPr="00E902DE">
              <w:rPr>
                <w:rFonts w:ascii="Arial Narrow" w:hAnsi="Arial Narrow"/>
                <w:sz w:val="20"/>
              </w:rPr>
              <w:t>60%</w:t>
            </w:r>
          </w:p>
        </w:tc>
        <w:tc>
          <w:tcPr>
            <w:tcW w:w="636" w:type="pct"/>
            <w:vAlign w:val="center"/>
          </w:tcPr>
          <w:p w:rsidR="003A64C4" w:rsidRPr="00E902DE" w:rsidRDefault="003A64C4" w:rsidP="00F06FC0">
            <w:pPr>
              <w:tabs>
                <w:tab w:val="right" w:pos="6804"/>
              </w:tabs>
              <w:spacing w:before="40" w:after="40"/>
              <w:ind w:left="14"/>
              <w:jc w:val="center"/>
              <w:rPr>
                <w:rFonts w:ascii="Arial Narrow" w:eastAsia="Calibri" w:hAnsi="Arial Narrow"/>
                <w:sz w:val="20"/>
              </w:rPr>
            </w:pPr>
            <w:r w:rsidRPr="00E902DE">
              <w:rPr>
                <w:rFonts w:ascii="Arial Narrow" w:hAnsi="Arial Narrow"/>
                <w:sz w:val="20"/>
              </w:rPr>
              <w:t>70%</w:t>
            </w:r>
          </w:p>
        </w:tc>
        <w:tc>
          <w:tcPr>
            <w:tcW w:w="636" w:type="pct"/>
            <w:vAlign w:val="center"/>
          </w:tcPr>
          <w:p w:rsidR="003A64C4" w:rsidRPr="00E902DE" w:rsidRDefault="003A64C4" w:rsidP="00F06FC0">
            <w:pPr>
              <w:tabs>
                <w:tab w:val="right" w:pos="6804"/>
              </w:tabs>
              <w:spacing w:before="40" w:after="40"/>
              <w:ind w:left="14"/>
              <w:jc w:val="center"/>
              <w:rPr>
                <w:rFonts w:ascii="Arial Narrow" w:eastAsia="Calibri" w:hAnsi="Arial Narrow"/>
                <w:sz w:val="20"/>
              </w:rPr>
            </w:pPr>
            <w:r w:rsidRPr="00E902DE">
              <w:rPr>
                <w:rFonts w:ascii="Arial Narrow" w:hAnsi="Arial Narrow"/>
                <w:sz w:val="20"/>
              </w:rPr>
              <w:t>80%</w:t>
            </w:r>
          </w:p>
        </w:tc>
        <w:tc>
          <w:tcPr>
            <w:tcW w:w="636" w:type="pct"/>
            <w:vAlign w:val="center"/>
          </w:tcPr>
          <w:p w:rsidR="003A64C4" w:rsidRPr="00E902DE" w:rsidRDefault="003A64C4" w:rsidP="00F06FC0">
            <w:pPr>
              <w:tabs>
                <w:tab w:val="right" w:pos="6804"/>
              </w:tabs>
              <w:spacing w:before="40" w:after="40"/>
              <w:ind w:left="14"/>
              <w:jc w:val="center"/>
              <w:rPr>
                <w:rFonts w:ascii="Arial Narrow" w:eastAsia="Calibri" w:hAnsi="Arial Narrow"/>
                <w:sz w:val="20"/>
              </w:rPr>
            </w:pPr>
            <w:r w:rsidRPr="00E902DE">
              <w:rPr>
                <w:rFonts w:ascii="Arial Narrow" w:hAnsi="Arial Narrow"/>
                <w:sz w:val="20"/>
              </w:rPr>
              <w:t>90%</w:t>
            </w:r>
          </w:p>
        </w:tc>
      </w:tr>
      <w:tr w:rsidR="003A64C4" w:rsidRPr="00E850A7" w:rsidTr="005F7ACD">
        <w:trPr>
          <w:trHeight w:val="294"/>
        </w:trPr>
        <w:tc>
          <w:tcPr>
            <w:tcW w:w="1184" w:type="pct"/>
            <w:vAlign w:val="center"/>
          </w:tcPr>
          <w:p w:rsidR="003A64C4" w:rsidRPr="00E850A7" w:rsidRDefault="003A64C4" w:rsidP="00F06FC0">
            <w:pPr>
              <w:tabs>
                <w:tab w:val="right" w:pos="6804"/>
              </w:tabs>
              <w:spacing w:before="40" w:after="40"/>
              <w:ind w:right="31"/>
              <w:rPr>
                <w:rFonts w:ascii="Arial Narrow" w:eastAsia="Calibri" w:hAnsi="Arial Narrow"/>
                <w:sz w:val="20"/>
              </w:rPr>
            </w:pPr>
            <w:r w:rsidRPr="00E850A7">
              <w:rPr>
                <w:rFonts w:ascii="Arial Narrow" w:hAnsi="Arial Narrow"/>
                <w:sz w:val="20"/>
              </w:rPr>
              <w:t>Total patients</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3A64C4" w:rsidRPr="00E850A7" w:rsidTr="005F7ACD">
        <w:trPr>
          <w:trHeight w:val="294"/>
        </w:trPr>
        <w:tc>
          <w:tcPr>
            <w:tcW w:w="1184" w:type="pct"/>
            <w:vAlign w:val="center"/>
          </w:tcPr>
          <w:p w:rsidR="003A64C4" w:rsidRPr="00E850A7" w:rsidRDefault="003A64C4" w:rsidP="005F7ACD">
            <w:pPr>
              <w:tabs>
                <w:tab w:val="right" w:pos="6804"/>
              </w:tabs>
              <w:spacing w:before="40" w:after="40"/>
              <w:ind w:right="31"/>
              <w:rPr>
                <w:rFonts w:ascii="Arial Narrow" w:eastAsia="Calibri" w:hAnsi="Arial Narrow"/>
                <w:sz w:val="20"/>
              </w:rPr>
            </w:pPr>
            <w:r w:rsidRPr="00E850A7">
              <w:rPr>
                <w:rFonts w:ascii="Arial Narrow" w:hAnsi="Arial Narrow"/>
                <w:sz w:val="20"/>
              </w:rPr>
              <w:t>Total scripts (12.18</w:t>
            </w:r>
            <w:r w:rsidR="00666074" w:rsidRPr="00E850A7">
              <w:rPr>
                <w:rFonts w:ascii="Arial Narrow" w:hAnsi="Arial Narrow"/>
                <w:sz w:val="20"/>
              </w:rPr>
              <w:t>/</w:t>
            </w:r>
            <w:r w:rsidRPr="00E850A7">
              <w:rPr>
                <w:rFonts w:ascii="Arial Narrow" w:hAnsi="Arial Narrow"/>
                <w:sz w:val="20"/>
              </w:rPr>
              <w:t>year)</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3A64C4" w:rsidRPr="00E850A7" w:rsidTr="005F7ACD">
        <w:trPr>
          <w:trHeight w:val="294"/>
        </w:trPr>
        <w:tc>
          <w:tcPr>
            <w:tcW w:w="1184" w:type="pct"/>
            <w:vAlign w:val="center"/>
          </w:tcPr>
          <w:p w:rsidR="003A64C4" w:rsidRPr="00E850A7" w:rsidRDefault="003A64C4" w:rsidP="00F06FC0">
            <w:pPr>
              <w:tabs>
                <w:tab w:val="right" w:pos="6804"/>
              </w:tabs>
              <w:spacing w:before="40" w:after="40"/>
              <w:ind w:right="31"/>
              <w:rPr>
                <w:rFonts w:ascii="Arial Narrow" w:eastAsia="Calibri" w:hAnsi="Arial Narrow"/>
                <w:sz w:val="20"/>
              </w:rPr>
            </w:pPr>
            <w:r w:rsidRPr="00E850A7">
              <w:rPr>
                <w:rFonts w:ascii="Arial Narrow" w:hAnsi="Arial Narrow"/>
                <w:sz w:val="20"/>
              </w:rPr>
              <w:t xml:space="preserve">Total cost </w:t>
            </w:r>
            <w:r w:rsidR="005F7ACD" w:rsidRPr="00E850A7">
              <w:rPr>
                <w:rFonts w:ascii="Arial Narrow" w:hAnsi="Arial Narrow"/>
                <w:sz w:val="20"/>
              </w:rPr>
              <w:t xml:space="preserve">to PBS/RPBS </w:t>
            </w:r>
            <w:r w:rsidRPr="00E850A7">
              <w:rPr>
                <w:rFonts w:ascii="Arial Narrow" w:hAnsi="Arial Narrow"/>
                <w:sz w:val="20"/>
              </w:rPr>
              <w:t>less copayments</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3A64C4" w:rsidRPr="00E850A7" w:rsidTr="005F7ACD">
        <w:trPr>
          <w:trHeight w:val="294"/>
        </w:trPr>
        <w:tc>
          <w:tcPr>
            <w:tcW w:w="5000" w:type="pct"/>
            <w:gridSpan w:val="7"/>
            <w:vAlign w:val="center"/>
          </w:tcPr>
          <w:p w:rsidR="003A64C4" w:rsidRPr="00E850A7" w:rsidRDefault="003A64C4" w:rsidP="00F06FC0">
            <w:pPr>
              <w:tabs>
                <w:tab w:val="right" w:pos="6804"/>
              </w:tabs>
              <w:spacing w:before="40" w:after="40"/>
              <w:ind w:left="14" w:right="31"/>
              <w:rPr>
                <w:rFonts w:ascii="Arial Narrow" w:eastAsia="Calibri" w:hAnsi="Arial Narrow"/>
                <w:sz w:val="20"/>
              </w:rPr>
            </w:pPr>
            <w:r w:rsidRPr="00E850A7">
              <w:rPr>
                <w:rFonts w:ascii="Arial Narrow" w:hAnsi="Arial Narrow"/>
                <w:b/>
                <w:sz w:val="20"/>
              </w:rPr>
              <w:t>Drug cost offsets due to substitution of insulin glargine</w:t>
            </w:r>
          </w:p>
        </w:tc>
      </w:tr>
      <w:tr w:rsidR="003A64C4" w:rsidRPr="00E850A7" w:rsidTr="005F7ACD">
        <w:trPr>
          <w:trHeight w:val="294"/>
        </w:trPr>
        <w:tc>
          <w:tcPr>
            <w:tcW w:w="1184" w:type="pct"/>
            <w:vAlign w:val="center"/>
          </w:tcPr>
          <w:p w:rsidR="003A64C4" w:rsidRPr="00E850A7" w:rsidRDefault="003A64C4" w:rsidP="006F6759">
            <w:pPr>
              <w:tabs>
                <w:tab w:val="right" w:pos="6804"/>
              </w:tabs>
              <w:spacing w:before="40" w:after="40"/>
              <w:ind w:right="31"/>
              <w:rPr>
                <w:rFonts w:ascii="Arial Narrow" w:eastAsia="Calibri" w:hAnsi="Arial Narrow"/>
                <w:sz w:val="20"/>
              </w:rPr>
            </w:pPr>
            <w:r w:rsidRPr="00E850A7">
              <w:rPr>
                <w:rFonts w:ascii="Arial Narrow" w:hAnsi="Arial Narrow"/>
                <w:sz w:val="20"/>
              </w:rPr>
              <w:t xml:space="preserve">Total </w:t>
            </w:r>
            <w:r w:rsidR="006F6759" w:rsidRPr="00E850A7">
              <w:rPr>
                <w:rFonts w:ascii="Arial Narrow" w:hAnsi="Arial Narrow"/>
                <w:sz w:val="20"/>
              </w:rPr>
              <w:t xml:space="preserve">offsets </w:t>
            </w:r>
            <w:r w:rsidRPr="00E850A7">
              <w:rPr>
                <w:rFonts w:ascii="Arial Narrow" w:hAnsi="Arial Narrow"/>
                <w:sz w:val="20"/>
              </w:rPr>
              <w:t>less copayments</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3A64C4" w:rsidRPr="00E850A7" w:rsidTr="005F7ACD">
        <w:trPr>
          <w:trHeight w:val="294"/>
        </w:trPr>
        <w:tc>
          <w:tcPr>
            <w:tcW w:w="5000" w:type="pct"/>
            <w:gridSpan w:val="7"/>
            <w:vAlign w:val="center"/>
          </w:tcPr>
          <w:p w:rsidR="003A64C4" w:rsidRPr="00E850A7" w:rsidRDefault="003A64C4" w:rsidP="00F06FC0">
            <w:pPr>
              <w:tabs>
                <w:tab w:val="right" w:pos="6804"/>
              </w:tabs>
              <w:spacing w:before="40" w:after="40"/>
              <w:ind w:left="14" w:right="31"/>
              <w:rPr>
                <w:rFonts w:ascii="Arial Narrow" w:eastAsia="Calibri" w:hAnsi="Arial Narrow"/>
                <w:sz w:val="20"/>
              </w:rPr>
            </w:pPr>
            <w:r w:rsidRPr="00E850A7">
              <w:rPr>
                <w:rFonts w:ascii="Arial Narrow" w:hAnsi="Arial Narrow"/>
                <w:b/>
                <w:sz w:val="20"/>
              </w:rPr>
              <w:t>Net financial implications of empagliflozin with linagliptin FDC substituting for insulin glargine</w:t>
            </w:r>
          </w:p>
        </w:tc>
      </w:tr>
      <w:tr w:rsidR="003A64C4" w:rsidRPr="00E850A7" w:rsidTr="005F7ACD">
        <w:trPr>
          <w:trHeight w:val="294"/>
        </w:trPr>
        <w:tc>
          <w:tcPr>
            <w:tcW w:w="1184" w:type="pct"/>
            <w:vAlign w:val="center"/>
          </w:tcPr>
          <w:p w:rsidR="003A64C4" w:rsidRPr="00E850A7" w:rsidRDefault="003A64C4" w:rsidP="00F06FC0">
            <w:pPr>
              <w:tabs>
                <w:tab w:val="right" w:pos="6804"/>
              </w:tabs>
              <w:spacing w:before="40" w:after="40"/>
              <w:ind w:right="31"/>
              <w:rPr>
                <w:rFonts w:ascii="Arial Narrow" w:eastAsia="Calibri" w:hAnsi="Arial Narrow"/>
                <w:sz w:val="20"/>
              </w:rPr>
            </w:pPr>
            <w:r w:rsidRPr="00E850A7">
              <w:rPr>
                <w:rFonts w:ascii="Arial Narrow" w:hAnsi="Arial Narrow"/>
                <w:sz w:val="20"/>
              </w:rPr>
              <w:t>Net cost to PBS less copayments</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3A64C4" w:rsidRPr="005D428A" w:rsidRDefault="005D428A" w:rsidP="00F06FC0">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C91BFD" w:rsidRPr="00E850A7" w:rsidTr="005F7ACD">
        <w:trPr>
          <w:trHeight w:val="294"/>
        </w:trPr>
        <w:tc>
          <w:tcPr>
            <w:tcW w:w="5000" w:type="pct"/>
            <w:gridSpan w:val="7"/>
            <w:vAlign w:val="center"/>
          </w:tcPr>
          <w:p w:rsidR="00C91BFD" w:rsidRPr="00E850A7" w:rsidRDefault="00C91BFD" w:rsidP="006F6759">
            <w:pPr>
              <w:tabs>
                <w:tab w:val="right" w:pos="6804"/>
              </w:tabs>
              <w:spacing w:before="40" w:after="40"/>
              <w:ind w:left="14"/>
              <w:rPr>
                <w:rFonts w:ascii="Arial Narrow" w:eastAsia="Calibri" w:hAnsi="Arial Narrow"/>
                <w:sz w:val="20"/>
              </w:rPr>
            </w:pPr>
            <w:r w:rsidRPr="00E850A7">
              <w:rPr>
                <w:rFonts w:ascii="Arial Narrow" w:hAnsi="Arial Narrow"/>
                <w:b/>
                <w:bCs/>
                <w:sz w:val="20"/>
              </w:rPr>
              <w:t>Costs implications to MBS budget (costs avoided)</w:t>
            </w:r>
          </w:p>
        </w:tc>
      </w:tr>
      <w:tr w:rsidR="00C91BFD" w:rsidRPr="00E850A7" w:rsidTr="005F7ACD">
        <w:trPr>
          <w:trHeight w:val="294"/>
        </w:trPr>
        <w:tc>
          <w:tcPr>
            <w:tcW w:w="1184" w:type="pct"/>
            <w:vAlign w:val="center"/>
          </w:tcPr>
          <w:p w:rsidR="00C91BFD" w:rsidRPr="00E850A7" w:rsidRDefault="00C91BFD" w:rsidP="006F6759">
            <w:pPr>
              <w:tabs>
                <w:tab w:val="right" w:pos="6804"/>
              </w:tabs>
              <w:spacing w:before="40" w:after="40"/>
              <w:ind w:right="115"/>
              <w:rPr>
                <w:rFonts w:ascii="Arial Narrow" w:eastAsia="Calibri" w:hAnsi="Arial Narrow"/>
                <w:sz w:val="20"/>
              </w:rPr>
            </w:pPr>
            <w:r w:rsidRPr="00E850A7">
              <w:rPr>
                <w:rFonts w:ascii="Arial Narrow" w:hAnsi="Arial Narrow"/>
                <w:sz w:val="20"/>
              </w:rPr>
              <w:t>Diabetes nurse educator</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C91BFD" w:rsidRPr="00E850A7" w:rsidTr="005F7ACD">
        <w:trPr>
          <w:trHeight w:val="294"/>
        </w:trPr>
        <w:tc>
          <w:tcPr>
            <w:tcW w:w="5000" w:type="pct"/>
            <w:gridSpan w:val="7"/>
            <w:vAlign w:val="center"/>
          </w:tcPr>
          <w:p w:rsidR="00C91BFD" w:rsidRPr="00E850A7" w:rsidRDefault="00C91BFD" w:rsidP="006F6759">
            <w:pPr>
              <w:tabs>
                <w:tab w:val="right" w:pos="6804"/>
              </w:tabs>
              <w:spacing w:before="40" w:after="40"/>
              <w:ind w:left="14"/>
              <w:rPr>
                <w:rFonts w:ascii="Arial Narrow" w:eastAsia="Calibri" w:hAnsi="Arial Narrow"/>
                <w:sz w:val="20"/>
              </w:rPr>
            </w:pPr>
            <w:r w:rsidRPr="00E850A7">
              <w:rPr>
                <w:rFonts w:ascii="Arial Narrow" w:hAnsi="Arial Narrow"/>
                <w:b/>
                <w:bCs/>
                <w:sz w:val="20"/>
              </w:rPr>
              <w:t>Costs implications to State and Territory health budgets (costs avoided)</w:t>
            </w:r>
          </w:p>
        </w:tc>
      </w:tr>
      <w:tr w:rsidR="00C91BFD" w:rsidRPr="00E850A7" w:rsidTr="005F7ACD">
        <w:trPr>
          <w:trHeight w:val="294"/>
        </w:trPr>
        <w:tc>
          <w:tcPr>
            <w:tcW w:w="1184" w:type="pct"/>
            <w:vAlign w:val="center"/>
          </w:tcPr>
          <w:p w:rsidR="00C91BFD" w:rsidRPr="00E850A7" w:rsidRDefault="00C91BFD" w:rsidP="006F6759">
            <w:pPr>
              <w:tabs>
                <w:tab w:val="right" w:pos="6804"/>
              </w:tabs>
              <w:spacing w:before="40" w:after="40"/>
              <w:ind w:right="115"/>
              <w:rPr>
                <w:rFonts w:ascii="Arial Narrow" w:eastAsia="Calibri" w:hAnsi="Arial Narrow"/>
                <w:sz w:val="20"/>
              </w:rPr>
            </w:pPr>
            <w:r w:rsidRPr="00E850A7">
              <w:rPr>
                <w:rFonts w:ascii="Arial Narrow" w:hAnsi="Arial Narrow"/>
                <w:sz w:val="20"/>
              </w:rPr>
              <w:t xml:space="preserve">Severe hypoglycaemia </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C91BFD" w:rsidRPr="00E850A7" w:rsidTr="005F7ACD">
        <w:trPr>
          <w:trHeight w:val="294"/>
        </w:trPr>
        <w:tc>
          <w:tcPr>
            <w:tcW w:w="5000" w:type="pct"/>
            <w:gridSpan w:val="7"/>
            <w:vAlign w:val="center"/>
          </w:tcPr>
          <w:p w:rsidR="00C91BFD" w:rsidRPr="00E850A7" w:rsidRDefault="00C91BFD" w:rsidP="006F6759">
            <w:pPr>
              <w:tabs>
                <w:tab w:val="right" w:pos="6804"/>
              </w:tabs>
              <w:spacing w:before="40" w:after="40"/>
              <w:ind w:left="14"/>
              <w:rPr>
                <w:rFonts w:ascii="Arial Narrow" w:eastAsia="Calibri" w:hAnsi="Arial Narrow"/>
                <w:sz w:val="20"/>
              </w:rPr>
            </w:pPr>
            <w:r w:rsidRPr="00E850A7">
              <w:rPr>
                <w:rFonts w:ascii="Arial Narrow" w:hAnsi="Arial Narrow"/>
                <w:b/>
                <w:bCs/>
                <w:sz w:val="20"/>
              </w:rPr>
              <w:t>Costs implications to other health budgets (costs avoided)</w:t>
            </w:r>
          </w:p>
        </w:tc>
      </w:tr>
      <w:tr w:rsidR="00C91BFD" w:rsidRPr="00E850A7" w:rsidTr="005F7ACD">
        <w:trPr>
          <w:trHeight w:val="294"/>
        </w:trPr>
        <w:tc>
          <w:tcPr>
            <w:tcW w:w="1184" w:type="pct"/>
            <w:vAlign w:val="center"/>
          </w:tcPr>
          <w:p w:rsidR="00C91BFD" w:rsidRPr="00E850A7" w:rsidRDefault="005F7ACD" w:rsidP="005F7ACD">
            <w:pPr>
              <w:tabs>
                <w:tab w:val="right" w:pos="6804"/>
              </w:tabs>
              <w:spacing w:before="40" w:after="40"/>
              <w:ind w:right="115"/>
              <w:rPr>
                <w:rFonts w:ascii="Arial Narrow" w:eastAsia="Calibri" w:hAnsi="Arial Narrow"/>
                <w:sz w:val="20"/>
              </w:rPr>
            </w:pPr>
            <w:r w:rsidRPr="00E850A7">
              <w:rPr>
                <w:rFonts w:ascii="Arial Narrow" w:hAnsi="Arial Narrow"/>
                <w:sz w:val="20"/>
              </w:rPr>
              <w:t>N</w:t>
            </w:r>
            <w:r w:rsidR="00C91BFD" w:rsidRPr="00E850A7">
              <w:rPr>
                <w:rFonts w:ascii="Arial Narrow" w:hAnsi="Arial Narrow"/>
                <w:sz w:val="20"/>
              </w:rPr>
              <w:t>eedles, lancets, glucose strips, needle disposal</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noProof/>
                <w:color w:val="000000"/>
                <w:sz w:val="20"/>
                <w:highlight w:val="black"/>
              </w:rPr>
              <w:t>''''''''''''''''''''''''''''''''''</w:t>
            </w:r>
          </w:p>
        </w:tc>
      </w:tr>
      <w:tr w:rsidR="00C91BFD" w:rsidRPr="00E850A7" w:rsidTr="005F7ACD">
        <w:trPr>
          <w:trHeight w:val="294"/>
        </w:trPr>
        <w:tc>
          <w:tcPr>
            <w:tcW w:w="1184" w:type="pct"/>
            <w:vAlign w:val="center"/>
          </w:tcPr>
          <w:p w:rsidR="00C91BFD" w:rsidRPr="00E850A7" w:rsidRDefault="00C91BFD" w:rsidP="006F6759">
            <w:pPr>
              <w:tabs>
                <w:tab w:val="right" w:pos="6804"/>
              </w:tabs>
              <w:spacing w:before="40" w:after="40"/>
              <w:ind w:right="115"/>
              <w:rPr>
                <w:rFonts w:ascii="Arial Narrow" w:eastAsia="Calibri" w:hAnsi="Arial Narrow"/>
                <w:sz w:val="20"/>
              </w:rPr>
            </w:pPr>
            <w:r w:rsidRPr="00E850A7">
              <w:rPr>
                <w:rFonts w:ascii="Arial Narrow" w:hAnsi="Arial Narrow"/>
                <w:b/>
                <w:sz w:val="20"/>
              </w:rPr>
              <w:t>Net costs to PBS/RPBS</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r>
      <w:tr w:rsidR="00C91BFD" w:rsidRPr="00E850A7" w:rsidTr="005F7ACD">
        <w:trPr>
          <w:trHeight w:val="294"/>
        </w:trPr>
        <w:tc>
          <w:tcPr>
            <w:tcW w:w="1184" w:type="pct"/>
            <w:vAlign w:val="center"/>
          </w:tcPr>
          <w:p w:rsidR="00C91BFD" w:rsidRPr="00E850A7" w:rsidRDefault="00C91BFD" w:rsidP="006F6759">
            <w:pPr>
              <w:tabs>
                <w:tab w:val="right" w:pos="6804"/>
              </w:tabs>
              <w:spacing w:before="40" w:after="40"/>
              <w:ind w:right="115"/>
              <w:rPr>
                <w:rFonts w:ascii="Arial Narrow" w:eastAsia="Calibri" w:hAnsi="Arial Narrow"/>
                <w:sz w:val="20"/>
              </w:rPr>
            </w:pPr>
            <w:r w:rsidRPr="00E850A7">
              <w:rPr>
                <w:rFonts w:ascii="Arial Narrow" w:hAnsi="Arial Narrow"/>
                <w:b/>
                <w:sz w:val="20"/>
              </w:rPr>
              <w:t>Net cost to government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c>
          <w:tcPr>
            <w:tcW w:w="636" w:type="pct"/>
            <w:vAlign w:val="center"/>
          </w:tcPr>
          <w:p w:rsidR="00C91BFD" w:rsidRPr="005D428A" w:rsidRDefault="005D428A" w:rsidP="006F6759">
            <w:pPr>
              <w:tabs>
                <w:tab w:val="right" w:pos="6804"/>
              </w:tabs>
              <w:spacing w:before="40" w:after="40"/>
              <w:ind w:left="14"/>
              <w:jc w:val="center"/>
              <w:rPr>
                <w:rFonts w:ascii="Arial Narrow" w:eastAsia="Calibri" w:hAnsi="Arial Narrow"/>
                <w:sz w:val="20"/>
                <w:highlight w:val="black"/>
              </w:rPr>
            </w:pPr>
            <w:r>
              <w:rPr>
                <w:rFonts w:ascii="Arial Narrow" w:hAnsi="Arial Narrow"/>
                <w:b/>
                <w:noProof/>
                <w:color w:val="000000"/>
                <w:sz w:val="20"/>
                <w:highlight w:val="black"/>
              </w:rPr>
              <w:t>''''''''''''''''''''''''''</w:t>
            </w:r>
          </w:p>
        </w:tc>
      </w:tr>
    </w:tbl>
    <w:p w:rsidR="005F7ACD" w:rsidRPr="00E850A7" w:rsidRDefault="003A64C4" w:rsidP="005F7ACD">
      <w:pPr>
        <w:spacing w:before="0" w:after="0"/>
        <w:rPr>
          <w:rFonts w:ascii="Arial Narrow" w:hAnsi="Arial Narrow"/>
          <w:sz w:val="18"/>
        </w:rPr>
      </w:pPr>
      <w:r w:rsidRPr="00E850A7">
        <w:rPr>
          <w:rFonts w:ascii="Arial Narrow" w:hAnsi="Arial Narrow"/>
          <w:sz w:val="18"/>
          <w:szCs w:val="18"/>
        </w:rPr>
        <w:t xml:space="preserve">Source: Tables E.35-E.53, pp.778-789 </w:t>
      </w:r>
      <w:r w:rsidR="005F7ACD" w:rsidRPr="00E850A7">
        <w:rPr>
          <w:rFonts w:ascii="Arial Narrow" w:hAnsi="Arial Narrow"/>
          <w:sz w:val="18"/>
        </w:rPr>
        <w:t>Tables E.22 to E.27, pp.766-769 of the submission.</w:t>
      </w:r>
    </w:p>
    <w:p w:rsidR="003A64C4" w:rsidRPr="00E850A7" w:rsidRDefault="003A64C4" w:rsidP="00F06FC0">
      <w:pPr>
        <w:spacing w:before="0" w:after="0"/>
        <w:rPr>
          <w:rFonts w:ascii="Arial Narrow" w:hAnsi="Arial Narrow"/>
          <w:sz w:val="18"/>
          <w:szCs w:val="18"/>
        </w:rPr>
      </w:pPr>
      <w:r w:rsidRPr="00E850A7">
        <w:rPr>
          <w:rFonts w:ascii="Arial Narrow" w:hAnsi="Arial Narrow"/>
          <w:sz w:val="18"/>
          <w:szCs w:val="18"/>
        </w:rPr>
        <w:t>Abbreviations: CKD, chronic kidney disease; FDC, fixed dose combination; eGFR, estimated glomerular filtration rate.</w:t>
      </w:r>
    </w:p>
    <w:p w:rsidR="003A64C4" w:rsidRDefault="003A64C4" w:rsidP="00F06FC0">
      <w:pPr>
        <w:spacing w:before="0" w:after="120"/>
        <w:rPr>
          <w:rFonts w:ascii="Arial Narrow" w:hAnsi="Arial Narrow"/>
          <w:sz w:val="18"/>
          <w:szCs w:val="18"/>
        </w:rPr>
      </w:pPr>
      <w:r w:rsidRPr="00E850A7">
        <w:rPr>
          <w:rFonts w:ascii="Arial Narrow" w:hAnsi="Arial Narrow"/>
          <w:sz w:val="18"/>
          <w:szCs w:val="18"/>
        </w:rPr>
        <w:t xml:space="preserve">Note: Insulin glargine is subject to a special pricing arrangement. Estimates are based on published prices. </w:t>
      </w:r>
    </w:p>
    <w:p w:rsidR="00E902DE" w:rsidRPr="00E902DE" w:rsidRDefault="00E902DE" w:rsidP="00E902DE">
      <w:pPr>
        <w:pStyle w:val="TableFooter"/>
        <w:rPr>
          <w:rFonts w:asciiTheme="minorHAnsi" w:hAnsiTheme="minorHAnsi"/>
          <w:sz w:val="24"/>
          <w:szCs w:val="24"/>
        </w:rPr>
      </w:pPr>
      <w:r w:rsidRPr="00E902DE">
        <w:rPr>
          <w:rFonts w:asciiTheme="minorHAnsi" w:hAnsiTheme="minorHAnsi"/>
          <w:sz w:val="24"/>
          <w:szCs w:val="24"/>
        </w:rPr>
        <w:t xml:space="preserve">The redacted table shows that at year 6, the estimated number of patients was 10,000 – </w:t>
      </w:r>
      <w:r>
        <w:rPr>
          <w:rFonts w:asciiTheme="minorHAnsi" w:hAnsiTheme="minorHAnsi"/>
          <w:sz w:val="24"/>
          <w:szCs w:val="24"/>
        </w:rPr>
        <w:t>50</w:t>
      </w:r>
      <w:r w:rsidRPr="00E902DE">
        <w:rPr>
          <w:rFonts w:asciiTheme="minorHAnsi" w:hAnsiTheme="minorHAnsi"/>
          <w:sz w:val="24"/>
          <w:szCs w:val="24"/>
        </w:rPr>
        <w:t>,000 per year</w:t>
      </w:r>
    </w:p>
    <w:p w:rsidR="00E902DE" w:rsidRPr="00E850A7" w:rsidRDefault="00E902DE" w:rsidP="00F06FC0">
      <w:pPr>
        <w:spacing w:before="0" w:after="120"/>
        <w:rPr>
          <w:rFonts w:ascii="Calibri" w:hAnsi="Calibri"/>
          <w:szCs w:val="24"/>
        </w:rPr>
      </w:pPr>
    </w:p>
    <w:p w:rsidR="003A64C4" w:rsidRPr="00E850A7" w:rsidRDefault="003A64C4" w:rsidP="00FE25C2">
      <w:pPr>
        <w:pStyle w:val="ListParagraph"/>
        <w:numPr>
          <w:ilvl w:val="1"/>
          <w:numId w:val="3"/>
        </w:numPr>
        <w:spacing w:before="0" w:after="120"/>
        <w:jc w:val="both"/>
        <w:rPr>
          <w:szCs w:val="24"/>
        </w:rPr>
      </w:pPr>
      <w:r w:rsidRPr="00E850A7">
        <w:rPr>
          <w:szCs w:val="24"/>
        </w:rPr>
        <w:t>The resubmission estimated the net cost to the PBS/RPBS of listing empagliflozin with linagliptin FDC</w:t>
      </w:r>
      <w:r w:rsidR="006F6759" w:rsidRPr="00E850A7">
        <w:rPr>
          <w:szCs w:val="24"/>
        </w:rPr>
        <w:t xml:space="preserve"> for patients with mild to moderate renal impairment</w:t>
      </w:r>
      <w:r w:rsidRPr="00E850A7">
        <w:rPr>
          <w:szCs w:val="24"/>
        </w:rPr>
        <w:t xml:space="preserve"> </w:t>
      </w:r>
      <w:r w:rsidR="00C50232" w:rsidRPr="00E850A7">
        <w:rPr>
          <w:szCs w:val="24"/>
        </w:rPr>
        <w:t xml:space="preserve">at </w:t>
      </w:r>
      <w:r w:rsidR="00AA3D71">
        <w:rPr>
          <w:szCs w:val="24"/>
        </w:rPr>
        <w:t>less than $10 million per year</w:t>
      </w:r>
      <w:r w:rsidRPr="00E850A7">
        <w:rPr>
          <w:szCs w:val="24"/>
        </w:rPr>
        <w:t xml:space="preserve"> in Year 1, increasing to </w:t>
      </w:r>
      <w:r w:rsidR="00AA3D71">
        <w:rPr>
          <w:szCs w:val="24"/>
        </w:rPr>
        <w:t>less than $10 million per year</w:t>
      </w:r>
      <w:r w:rsidR="00AA3D71" w:rsidRPr="00E850A7">
        <w:rPr>
          <w:szCs w:val="24"/>
        </w:rPr>
        <w:t xml:space="preserve"> </w:t>
      </w:r>
      <w:r w:rsidRPr="00E850A7">
        <w:rPr>
          <w:szCs w:val="24"/>
        </w:rPr>
        <w:t xml:space="preserve">in Year 6, a </w:t>
      </w:r>
      <w:r w:rsidR="008F203C">
        <w:rPr>
          <w:szCs w:val="24"/>
        </w:rPr>
        <w:t xml:space="preserve">total </w:t>
      </w:r>
      <w:r w:rsidRPr="00E850A7">
        <w:rPr>
          <w:szCs w:val="24"/>
        </w:rPr>
        <w:t>cost savings of $</w:t>
      </w:r>
      <w:r w:rsidR="00E902DE">
        <w:rPr>
          <w:szCs w:val="24"/>
        </w:rPr>
        <w:t>20 - $30</w:t>
      </w:r>
      <w:r w:rsidRPr="00E902DE">
        <w:rPr>
          <w:szCs w:val="24"/>
        </w:rPr>
        <w:t xml:space="preserve"> million</w:t>
      </w:r>
      <w:r w:rsidRPr="00E850A7">
        <w:rPr>
          <w:szCs w:val="24"/>
        </w:rPr>
        <w:t xml:space="preserve"> over 6 years.</w:t>
      </w:r>
      <w:r w:rsidR="004D7EAB" w:rsidRPr="00E850A7">
        <w:rPr>
          <w:szCs w:val="24"/>
        </w:rPr>
        <w:t xml:space="preserve"> </w:t>
      </w:r>
      <w:r w:rsidR="008F203C">
        <w:rPr>
          <w:szCs w:val="24"/>
        </w:rPr>
        <w:t>DUSC has not previously considered t</w:t>
      </w:r>
      <w:r w:rsidR="008F203C" w:rsidRPr="00E850A7">
        <w:rPr>
          <w:szCs w:val="24"/>
        </w:rPr>
        <w:t xml:space="preserve">his </w:t>
      </w:r>
      <w:r w:rsidR="004D7EAB" w:rsidRPr="00E850A7">
        <w:rPr>
          <w:szCs w:val="24"/>
        </w:rPr>
        <w:t>population.</w:t>
      </w:r>
    </w:p>
    <w:p w:rsidR="003A64C4" w:rsidRPr="00E850A7" w:rsidRDefault="003A64C4" w:rsidP="00FE25C2">
      <w:pPr>
        <w:pStyle w:val="ListParagraph"/>
        <w:numPr>
          <w:ilvl w:val="1"/>
          <w:numId w:val="3"/>
        </w:numPr>
        <w:spacing w:before="0" w:after="120"/>
        <w:jc w:val="both"/>
        <w:rPr>
          <w:szCs w:val="24"/>
        </w:rPr>
      </w:pPr>
      <w:r w:rsidRPr="00E850A7">
        <w:rPr>
          <w:szCs w:val="24"/>
        </w:rPr>
        <w:t xml:space="preserve">The </w:t>
      </w:r>
      <w:r w:rsidR="00072195" w:rsidRPr="00E850A7">
        <w:rPr>
          <w:szCs w:val="24"/>
        </w:rPr>
        <w:t xml:space="preserve">evaluation considered that </w:t>
      </w:r>
      <w:r w:rsidRPr="00E850A7">
        <w:rPr>
          <w:szCs w:val="24"/>
        </w:rPr>
        <w:t>utilisation/financial estimates</w:t>
      </w:r>
      <w:r w:rsidR="00072195" w:rsidRPr="00E850A7">
        <w:rPr>
          <w:szCs w:val="24"/>
        </w:rPr>
        <w:t xml:space="preserve"> for this patient population</w:t>
      </w:r>
      <w:r w:rsidRPr="00E850A7">
        <w:rPr>
          <w:szCs w:val="24"/>
        </w:rPr>
        <w:t xml:space="preserve"> were </w:t>
      </w:r>
      <w:r w:rsidR="006D0997" w:rsidRPr="00E850A7">
        <w:rPr>
          <w:szCs w:val="24"/>
        </w:rPr>
        <w:t>substantially</w:t>
      </w:r>
      <w:r w:rsidRPr="00E850A7">
        <w:rPr>
          <w:szCs w:val="24"/>
        </w:rPr>
        <w:t xml:space="preserve"> underestimated due to the following issues:</w:t>
      </w:r>
    </w:p>
    <w:p w:rsidR="003A64C4" w:rsidRPr="00E850A7" w:rsidRDefault="003A64C4" w:rsidP="00FE25C2">
      <w:pPr>
        <w:pStyle w:val="ListParagraph"/>
        <w:numPr>
          <w:ilvl w:val="0"/>
          <w:numId w:val="20"/>
        </w:numPr>
        <w:spacing w:before="0" w:after="120"/>
        <w:ind w:left="1134"/>
        <w:jc w:val="both"/>
        <w:rPr>
          <w:szCs w:val="24"/>
        </w:rPr>
      </w:pPr>
      <w:r w:rsidRPr="00E850A7">
        <w:rPr>
          <w:szCs w:val="24"/>
        </w:rPr>
        <w:t xml:space="preserve">The overly complex derivation of patient numbers based on multiple sources of data with different population characteristics and definitions of renal impairment </w:t>
      </w:r>
      <w:r w:rsidR="006D0997" w:rsidRPr="00E850A7">
        <w:rPr>
          <w:szCs w:val="24"/>
        </w:rPr>
        <w:t>resulted</w:t>
      </w:r>
      <w:r w:rsidRPr="00E850A7">
        <w:rPr>
          <w:szCs w:val="24"/>
        </w:rPr>
        <w:t xml:space="preserve"> in only 0.0015% of Australians </w:t>
      </w:r>
      <w:r w:rsidR="006D0997" w:rsidRPr="00E850A7">
        <w:rPr>
          <w:szCs w:val="24"/>
        </w:rPr>
        <w:t>being considered</w:t>
      </w:r>
      <w:r w:rsidRPr="00E850A7">
        <w:rPr>
          <w:szCs w:val="24"/>
        </w:rPr>
        <w:t xml:space="preserve"> eligible for treatment. This proportion does not appear reliable given other sources identify much larger proportions of patients with diabetes and renal impairment (e.g. 1.7% of total Australian population, AIHW 2014).</w:t>
      </w:r>
    </w:p>
    <w:p w:rsidR="003A64C4" w:rsidRPr="00E850A7" w:rsidRDefault="006D0997" w:rsidP="00FE25C2">
      <w:pPr>
        <w:pStyle w:val="ListParagraph"/>
        <w:numPr>
          <w:ilvl w:val="0"/>
          <w:numId w:val="20"/>
        </w:numPr>
        <w:spacing w:before="0" w:after="120"/>
        <w:ind w:left="1134"/>
        <w:jc w:val="both"/>
        <w:rPr>
          <w:szCs w:val="24"/>
        </w:rPr>
      </w:pPr>
      <w:r w:rsidRPr="00E850A7">
        <w:rPr>
          <w:szCs w:val="24"/>
        </w:rPr>
        <w:t>T</w:t>
      </w:r>
      <w:r w:rsidR="003A64C4" w:rsidRPr="00E850A7">
        <w:rPr>
          <w:szCs w:val="24"/>
        </w:rPr>
        <w:t xml:space="preserve">he assumption that all use of PBS-listed empagliflozin with linagliptin FDC would be </w:t>
      </w:r>
      <w:r w:rsidRPr="00E850A7">
        <w:rPr>
          <w:szCs w:val="24"/>
        </w:rPr>
        <w:t>from</w:t>
      </w:r>
      <w:r w:rsidR="003A64C4" w:rsidRPr="00E850A7">
        <w:rPr>
          <w:szCs w:val="24"/>
        </w:rPr>
        <w:t xml:space="preserve"> substitution of insulin glargine alone (100%)</w:t>
      </w:r>
      <w:r w:rsidRPr="00E850A7">
        <w:rPr>
          <w:szCs w:val="24"/>
        </w:rPr>
        <w:t xml:space="preserve"> was not justified</w:t>
      </w:r>
      <w:r w:rsidR="003A64C4" w:rsidRPr="00E850A7">
        <w:rPr>
          <w:szCs w:val="24"/>
        </w:rPr>
        <w:t>. The drug cost offsets are likely to be overestimated.</w:t>
      </w:r>
    </w:p>
    <w:p w:rsidR="006F6759" w:rsidRPr="00E850A7" w:rsidRDefault="005331D7" w:rsidP="00FE25C2">
      <w:pPr>
        <w:pStyle w:val="ListParagraph"/>
        <w:numPr>
          <w:ilvl w:val="0"/>
          <w:numId w:val="20"/>
        </w:numPr>
        <w:spacing w:before="0" w:after="120"/>
        <w:ind w:left="1134"/>
        <w:jc w:val="both"/>
        <w:rPr>
          <w:szCs w:val="24"/>
        </w:rPr>
      </w:pPr>
      <w:r w:rsidRPr="00E850A7">
        <w:rPr>
          <w:szCs w:val="24"/>
        </w:rPr>
        <w:t>I</w:t>
      </w:r>
      <w:r w:rsidR="003A64C4" w:rsidRPr="00E850A7">
        <w:rPr>
          <w:szCs w:val="24"/>
        </w:rPr>
        <w:t xml:space="preserve">nsulin glargine </w:t>
      </w:r>
      <w:r w:rsidRPr="00E850A7">
        <w:rPr>
          <w:szCs w:val="24"/>
        </w:rPr>
        <w:t xml:space="preserve">is </w:t>
      </w:r>
      <w:r w:rsidR="006D0997" w:rsidRPr="00E850A7">
        <w:rPr>
          <w:szCs w:val="24"/>
        </w:rPr>
        <w:t>subject to</w:t>
      </w:r>
      <w:r w:rsidR="003A64C4" w:rsidRPr="00E850A7">
        <w:rPr>
          <w:szCs w:val="24"/>
        </w:rPr>
        <w:t xml:space="preserve"> </w:t>
      </w:r>
      <w:r w:rsidR="006D0997" w:rsidRPr="00E850A7">
        <w:rPr>
          <w:szCs w:val="24"/>
        </w:rPr>
        <w:t>a special pricing arrangement</w:t>
      </w:r>
      <w:r w:rsidR="006F6759" w:rsidRPr="00E850A7">
        <w:rPr>
          <w:szCs w:val="24"/>
        </w:rPr>
        <w:t xml:space="preserve"> and t</w:t>
      </w:r>
      <w:r w:rsidR="006D0997" w:rsidRPr="00E850A7">
        <w:rPr>
          <w:szCs w:val="24"/>
        </w:rPr>
        <w:t>he estimated savings</w:t>
      </w:r>
      <w:r w:rsidR="008F203C">
        <w:rPr>
          <w:szCs w:val="24"/>
        </w:rPr>
        <w:t>,</w:t>
      </w:r>
      <w:r w:rsidR="006D0997" w:rsidRPr="00E850A7">
        <w:rPr>
          <w:szCs w:val="24"/>
        </w:rPr>
        <w:t xml:space="preserve"> </w:t>
      </w:r>
      <w:r w:rsidR="008F203C">
        <w:rPr>
          <w:szCs w:val="24"/>
        </w:rPr>
        <w:t xml:space="preserve">at the published price, </w:t>
      </w:r>
      <w:r w:rsidR="006D0997" w:rsidRPr="00E850A7">
        <w:rPr>
          <w:szCs w:val="24"/>
        </w:rPr>
        <w:t xml:space="preserve">from substitution of insulin glargine were </w:t>
      </w:r>
      <w:r w:rsidR="006F6759" w:rsidRPr="00E850A7">
        <w:rPr>
          <w:szCs w:val="24"/>
        </w:rPr>
        <w:t xml:space="preserve">therefore </w:t>
      </w:r>
      <w:r w:rsidR="006D0997" w:rsidRPr="00E850A7">
        <w:rPr>
          <w:szCs w:val="24"/>
        </w:rPr>
        <w:t>overestimated.</w:t>
      </w:r>
    </w:p>
    <w:p w:rsidR="006F6759" w:rsidRPr="00E850A7" w:rsidRDefault="003A64C4" w:rsidP="00FE25C2">
      <w:pPr>
        <w:pStyle w:val="ListParagraph"/>
        <w:numPr>
          <w:ilvl w:val="0"/>
          <w:numId w:val="20"/>
        </w:numPr>
        <w:spacing w:before="0" w:after="120"/>
        <w:ind w:left="1134"/>
        <w:jc w:val="both"/>
        <w:rPr>
          <w:szCs w:val="24"/>
        </w:rPr>
      </w:pPr>
      <w:r w:rsidRPr="00E850A7">
        <w:rPr>
          <w:szCs w:val="24"/>
        </w:rPr>
        <w:t>The number of scripts of insulin glargine that are substituted are likely to be overestimated as it was calculated based on a proposed equi-effective dose of 41.4 IU with empagliflozin and linagliptin from the EASIE extension study.</w:t>
      </w:r>
    </w:p>
    <w:p w:rsidR="003A64C4" w:rsidRPr="00E850A7" w:rsidRDefault="006F6759" w:rsidP="00FE25C2">
      <w:pPr>
        <w:pStyle w:val="ListParagraph"/>
        <w:numPr>
          <w:ilvl w:val="0"/>
          <w:numId w:val="20"/>
        </w:numPr>
        <w:spacing w:before="0" w:after="120"/>
        <w:ind w:left="1134"/>
        <w:jc w:val="both"/>
        <w:rPr>
          <w:szCs w:val="24"/>
        </w:rPr>
      </w:pPr>
      <w:r w:rsidRPr="00E850A7">
        <w:rPr>
          <w:szCs w:val="24"/>
        </w:rPr>
        <w:t>The resubmission used the same assumptions and cost offsets as for triple therapy based on differences in methods of administration and management of severe hypoglycaemia events. These did not adequately address DUSC</w:t>
      </w:r>
      <w:r w:rsidR="008F203C">
        <w:rPr>
          <w:szCs w:val="24"/>
        </w:rPr>
        <w:t>’s</w:t>
      </w:r>
      <w:r w:rsidRPr="00E850A7">
        <w:rPr>
          <w:szCs w:val="24"/>
        </w:rPr>
        <w:t xml:space="preserve"> concerns and likely overestimate the savings to other health budgets.</w:t>
      </w:r>
    </w:p>
    <w:p w:rsidR="00CE5B57" w:rsidRPr="00E850A7" w:rsidRDefault="00CE5B57" w:rsidP="00FE25C2">
      <w:pPr>
        <w:pStyle w:val="ListParagraph"/>
        <w:numPr>
          <w:ilvl w:val="1"/>
          <w:numId w:val="3"/>
        </w:numPr>
        <w:spacing w:before="0" w:after="120"/>
        <w:jc w:val="both"/>
      </w:pPr>
      <w:r w:rsidRPr="00E850A7">
        <w:t>The ESC considered that the financial estimates were highly dependent on the proposed restriction, and were therefore uncertain.</w:t>
      </w:r>
      <w:r w:rsidR="00124216" w:rsidRPr="00E850A7">
        <w:t xml:space="preserve"> The PBAC noted that as the requirement for sulfonylurea intolerance was proposed to be removed from the restriction, </w:t>
      </w:r>
      <w:r w:rsidR="005E6E62" w:rsidRPr="00E850A7">
        <w:t xml:space="preserve">and the restriction for the renally impaired population would not be included, </w:t>
      </w:r>
      <w:r w:rsidR="00124216" w:rsidRPr="00E850A7">
        <w:t>these financial estimate</w:t>
      </w:r>
      <w:r w:rsidR="00072195" w:rsidRPr="00E850A7">
        <w:t>s</w:t>
      </w:r>
      <w:r w:rsidR="00124216" w:rsidRPr="00E850A7">
        <w:t xml:space="preserve"> would need to be re-calculated.</w:t>
      </w:r>
    </w:p>
    <w:p w:rsidR="00C317F3" w:rsidRPr="00E850A7" w:rsidRDefault="00C317F3" w:rsidP="00F06FC0">
      <w:pPr>
        <w:pStyle w:val="Heading2"/>
        <w:rPr>
          <w:i w:val="0"/>
        </w:rPr>
      </w:pPr>
      <w:bookmarkStart w:id="37" w:name="_Toc491873488"/>
      <w:r w:rsidRPr="00E850A7">
        <w:rPr>
          <w:i w:val="0"/>
        </w:rPr>
        <w:t xml:space="preserve">Quality </w:t>
      </w:r>
      <w:r w:rsidR="00661286" w:rsidRPr="00E850A7">
        <w:rPr>
          <w:i w:val="0"/>
        </w:rPr>
        <w:t>u</w:t>
      </w:r>
      <w:r w:rsidRPr="00E850A7">
        <w:rPr>
          <w:i w:val="0"/>
        </w:rPr>
        <w:t xml:space="preserve">se of </w:t>
      </w:r>
      <w:r w:rsidR="00661286" w:rsidRPr="00E850A7">
        <w:rPr>
          <w:i w:val="0"/>
        </w:rPr>
        <w:t>m</w:t>
      </w:r>
      <w:r w:rsidRPr="00E850A7">
        <w:rPr>
          <w:i w:val="0"/>
        </w:rPr>
        <w:t>edicines</w:t>
      </w:r>
      <w:bookmarkEnd w:id="36"/>
      <w:bookmarkEnd w:id="37"/>
    </w:p>
    <w:p w:rsidR="00C317F3" w:rsidRPr="00E850A7" w:rsidRDefault="00D80173" w:rsidP="00FE25C2">
      <w:pPr>
        <w:pStyle w:val="ListParagraph"/>
        <w:numPr>
          <w:ilvl w:val="1"/>
          <w:numId w:val="3"/>
        </w:numPr>
        <w:spacing w:before="0" w:after="120"/>
        <w:jc w:val="both"/>
        <w:rPr>
          <w:color w:val="4472C4" w:themeColor="accent5"/>
        </w:rPr>
      </w:pPr>
      <w:r w:rsidRPr="00E850A7">
        <w:t>The sponsor proposed to work with a third party provider to build a Decision Support System (CAT Plus Technology) and to provide an Ongoing HCP Education program to prescribers.</w:t>
      </w:r>
    </w:p>
    <w:p w:rsidR="00CE5B57" w:rsidRPr="00E850A7" w:rsidRDefault="00CE5B57" w:rsidP="00FE25C2">
      <w:pPr>
        <w:pStyle w:val="ListParagraph"/>
        <w:numPr>
          <w:ilvl w:val="1"/>
          <w:numId w:val="3"/>
        </w:numPr>
        <w:spacing w:before="0" w:after="120"/>
        <w:jc w:val="both"/>
        <w:rPr>
          <w:color w:val="4472C4" w:themeColor="accent5"/>
        </w:rPr>
      </w:pPr>
      <w:r w:rsidRPr="00E850A7">
        <w:t xml:space="preserve">The </w:t>
      </w:r>
      <w:r w:rsidR="00124216" w:rsidRPr="00E850A7">
        <w:t>PBAC</w:t>
      </w:r>
      <w:r w:rsidRPr="00E850A7">
        <w:t xml:space="preserve"> noted previous advice in relation to DPP4 + SGLT2 inhibitor fixed dose combinations that these combinations may allow for more flexibility in metformin dose titration and reduce the risk of confusion with metformin-containing products.</w:t>
      </w:r>
    </w:p>
    <w:p w:rsidR="00CE5B57" w:rsidRPr="00E850A7" w:rsidRDefault="008A2475" w:rsidP="005E6E62">
      <w:pPr>
        <w:pStyle w:val="ListParagraph"/>
        <w:spacing w:before="0" w:after="120"/>
        <w:jc w:val="both"/>
        <w:rPr>
          <w:color w:val="4472C4" w:themeColor="accent5"/>
        </w:rPr>
      </w:pPr>
      <w:r w:rsidRPr="00E850A7">
        <w:rPr>
          <w:i/>
        </w:rPr>
        <w:t>For more detail on PBAC’s view, see section 7 PBAC outcome</w:t>
      </w:r>
    </w:p>
    <w:p w:rsidR="008A2475" w:rsidRPr="00E850A7" w:rsidRDefault="008A2475" w:rsidP="00320DE6">
      <w:pPr>
        <w:widowControl w:val="0"/>
        <w:numPr>
          <w:ilvl w:val="0"/>
          <w:numId w:val="3"/>
        </w:numPr>
        <w:spacing w:before="240" w:after="120"/>
        <w:jc w:val="both"/>
        <w:rPr>
          <w:rFonts w:cs="Arial"/>
          <w:b/>
          <w:bCs/>
          <w:snapToGrid w:val="0"/>
          <w:sz w:val="32"/>
        </w:rPr>
      </w:pPr>
      <w:r w:rsidRPr="00E850A7">
        <w:rPr>
          <w:rFonts w:cs="Arial"/>
          <w:b/>
          <w:bCs/>
          <w:snapToGrid w:val="0"/>
          <w:sz w:val="32"/>
        </w:rPr>
        <w:t>PBAC Outcome</w:t>
      </w:r>
    </w:p>
    <w:p w:rsidR="00E8734D" w:rsidRPr="00E850A7" w:rsidRDefault="00E8734D" w:rsidP="00CA5C74">
      <w:pPr>
        <w:widowControl w:val="0"/>
        <w:spacing w:before="0" w:after="120"/>
        <w:jc w:val="both"/>
        <w:rPr>
          <w:rFonts w:cs="Arial"/>
          <w:bCs/>
          <w:i/>
          <w:snapToGrid w:val="0"/>
        </w:rPr>
      </w:pPr>
      <w:r w:rsidRPr="00E850A7">
        <w:rPr>
          <w:rFonts w:cs="Arial"/>
          <w:bCs/>
          <w:i/>
          <w:snapToGrid w:val="0"/>
        </w:rPr>
        <w:t>Triple therapy with metform</w:t>
      </w:r>
      <w:r w:rsidR="00F41729" w:rsidRPr="00E850A7">
        <w:rPr>
          <w:rFonts w:cs="Arial"/>
          <w:bCs/>
          <w:i/>
          <w:snapToGrid w:val="0"/>
        </w:rPr>
        <w:t>in</w:t>
      </w:r>
    </w:p>
    <w:p w:rsidR="00C508E0" w:rsidRPr="00E850A7" w:rsidRDefault="008A2475" w:rsidP="005E6E62">
      <w:pPr>
        <w:widowControl w:val="0"/>
        <w:numPr>
          <w:ilvl w:val="1"/>
          <w:numId w:val="3"/>
        </w:numPr>
        <w:spacing w:before="0" w:after="120"/>
        <w:jc w:val="both"/>
        <w:rPr>
          <w:rFonts w:cs="Arial"/>
          <w:bCs/>
          <w:snapToGrid w:val="0"/>
        </w:rPr>
      </w:pPr>
      <w:r w:rsidRPr="00E850A7">
        <w:rPr>
          <w:rFonts w:cs="Arial"/>
          <w:bCs/>
          <w:snapToGrid w:val="0"/>
        </w:rPr>
        <w:t xml:space="preserve">The PBAC recommended the listing of </w:t>
      </w:r>
      <w:r w:rsidR="00320DE6" w:rsidRPr="00E850A7">
        <w:rPr>
          <w:rFonts w:cs="Arial"/>
          <w:bCs/>
          <w:snapToGrid w:val="0"/>
        </w:rPr>
        <w:t>empagliflozin with linagliptin for use in combination with metformin for the treatment of type 2 diabetes</w:t>
      </w:r>
      <w:r w:rsidR="00AB23CF" w:rsidRPr="00E850A7">
        <w:rPr>
          <w:rFonts w:cs="Arial"/>
          <w:bCs/>
          <w:snapToGrid w:val="0"/>
        </w:rPr>
        <w:t xml:space="preserve"> </w:t>
      </w:r>
      <w:r w:rsidR="005E6E62" w:rsidRPr="00E850A7">
        <w:rPr>
          <w:rFonts w:cs="Arial"/>
          <w:bCs/>
          <w:snapToGrid w:val="0"/>
        </w:rPr>
        <w:t xml:space="preserve">in patients </w:t>
      </w:r>
      <w:r w:rsidR="00AB23CF" w:rsidRPr="00E850A7">
        <w:rPr>
          <w:rFonts w:cs="Arial"/>
          <w:bCs/>
          <w:snapToGrid w:val="0"/>
        </w:rPr>
        <w:t>uncontrolled on du</w:t>
      </w:r>
      <w:r w:rsidR="00320DE6" w:rsidRPr="00E850A7">
        <w:rPr>
          <w:rFonts w:cs="Arial"/>
          <w:bCs/>
          <w:snapToGrid w:val="0"/>
        </w:rPr>
        <w:t xml:space="preserve">al </w:t>
      </w:r>
      <w:r w:rsidR="005E6E62" w:rsidRPr="00E850A7">
        <w:rPr>
          <w:rFonts w:cs="Arial"/>
          <w:bCs/>
          <w:snapToGrid w:val="0"/>
        </w:rPr>
        <w:t xml:space="preserve">or </w:t>
      </w:r>
      <w:r w:rsidR="00320DE6" w:rsidRPr="00E850A7">
        <w:rPr>
          <w:rFonts w:cs="Arial"/>
          <w:bCs/>
          <w:snapToGrid w:val="0"/>
        </w:rPr>
        <w:t>triple therapy</w:t>
      </w:r>
      <w:r w:rsidR="005E6E62" w:rsidRPr="00E850A7">
        <w:rPr>
          <w:rFonts w:cs="Arial"/>
          <w:bCs/>
          <w:snapToGrid w:val="0"/>
        </w:rPr>
        <w:t xml:space="preserve"> including metformin and a DPP4 or SGLT2 inhibitor</w:t>
      </w:r>
      <w:r w:rsidR="00320DE6" w:rsidRPr="00E850A7">
        <w:rPr>
          <w:rFonts w:cs="Arial"/>
          <w:bCs/>
          <w:snapToGrid w:val="0"/>
        </w:rPr>
        <w:t>.</w:t>
      </w:r>
      <w:r w:rsidRPr="00E850A7">
        <w:rPr>
          <w:rFonts w:cs="Arial"/>
          <w:bCs/>
          <w:snapToGrid w:val="0"/>
        </w:rPr>
        <w:t xml:space="preserve"> </w:t>
      </w:r>
    </w:p>
    <w:p w:rsidR="00DA03EA" w:rsidRPr="00E850A7" w:rsidRDefault="00AB23CF" w:rsidP="005E6E62">
      <w:pPr>
        <w:numPr>
          <w:ilvl w:val="1"/>
          <w:numId w:val="3"/>
        </w:numPr>
        <w:jc w:val="both"/>
        <w:rPr>
          <w:rFonts w:cs="Arial"/>
          <w:bCs/>
          <w:snapToGrid w:val="0"/>
        </w:rPr>
      </w:pPr>
      <w:r w:rsidRPr="00E850A7">
        <w:rPr>
          <w:rFonts w:cs="Arial"/>
          <w:bCs/>
          <w:snapToGrid w:val="0"/>
        </w:rPr>
        <w:t>The PBAC considered that the evidence presented in the submission supported a claim of non-inferior efficacy and safety for empagliflozin with linagliptin, c</w:t>
      </w:r>
      <w:r w:rsidR="00DA03EA" w:rsidRPr="00E850A7">
        <w:rPr>
          <w:rFonts w:cs="Arial"/>
          <w:bCs/>
          <w:snapToGrid w:val="0"/>
        </w:rPr>
        <w:t>ompared to exenatide or insulin</w:t>
      </w:r>
      <w:r w:rsidRPr="00E850A7">
        <w:rPr>
          <w:rFonts w:cs="Arial"/>
          <w:bCs/>
          <w:snapToGrid w:val="0"/>
        </w:rPr>
        <w:t xml:space="preserve"> glargine, all in combination with metformin. The PBAC noted that </w:t>
      </w:r>
      <w:r w:rsidR="00DA03EA" w:rsidRPr="00E850A7">
        <w:rPr>
          <w:rFonts w:cs="Arial"/>
          <w:bCs/>
          <w:snapToGrid w:val="0"/>
        </w:rPr>
        <w:t xml:space="preserve">while a relevant comparator, </w:t>
      </w:r>
      <w:r w:rsidRPr="00E850A7">
        <w:rPr>
          <w:rFonts w:cs="Arial"/>
          <w:bCs/>
          <w:snapToGrid w:val="0"/>
        </w:rPr>
        <w:t xml:space="preserve">the submission </w:t>
      </w:r>
      <w:r w:rsidR="00DA03EA" w:rsidRPr="00E850A7">
        <w:rPr>
          <w:rFonts w:cs="Arial"/>
          <w:bCs/>
          <w:snapToGrid w:val="0"/>
        </w:rPr>
        <w:t xml:space="preserve">indicated that a robust comparison with triple therapies including a sulfonylurea would be difficult due to the lack of clinical trial evidence with a common comparator. </w:t>
      </w:r>
    </w:p>
    <w:p w:rsidR="00DA03EA" w:rsidRPr="00E850A7" w:rsidRDefault="00DA03EA" w:rsidP="005E6E62">
      <w:pPr>
        <w:numPr>
          <w:ilvl w:val="1"/>
          <w:numId w:val="3"/>
        </w:numPr>
        <w:jc w:val="both"/>
        <w:rPr>
          <w:rFonts w:cs="Arial"/>
          <w:bCs/>
          <w:snapToGrid w:val="0"/>
        </w:rPr>
      </w:pPr>
      <w:r w:rsidRPr="00E850A7">
        <w:rPr>
          <w:rFonts w:cs="Arial"/>
          <w:bCs/>
          <w:snapToGrid w:val="0"/>
        </w:rPr>
        <w:t>The PBAC also considered that the data presented in the submission supported the claim of non-inferior efficacy and safety for empagliflozin with linagliptin, compared to dapagliflozin with saxagliptin. The equi-effective doses are empagliflozin 10 mg or 25 mg plus linagliptin 5 mg compared to dapagliflozin 10 mg plus saxagliptin 5 mg.</w:t>
      </w:r>
    </w:p>
    <w:p w:rsidR="008A2475" w:rsidRPr="00E850A7" w:rsidRDefault="00AB23CF" w:rsidP="005E6E62">
      <w:pPr>
        <w:widowControl w:val="0"/>
        <w:numPr>
          <w:ilvl w:val="1"/>
          <w:numId w:val="3"/>
        </w:numPr>
        <w:spacing w:before="0" w:after="120"/>
        <w:jc w:val="both"/>
        <w:rPr>
          <w:rFonts w:cs="Arial"/>
          <w:bCs/>
          <w:snapToGrid w:val="0"/>
        </w:rPr>
      </w:pPr>
      <w:r w:rsidRPr="00E850A7">
        <w:rPr>
          <w:rFonts w:cs="Arial"/>
          <w:bCs/>
          <w:snapToGrid w:val="0"/>
        </w:rPr>
        <w:t xml:space="preserve">The PBAC </w:t>
      </w:r>
      <w:r w:rsidR="00442E49" w:rsidRPr="00E850A7">
        <w:rPr>
          <w:rFonts w:cs="Arial"/>
          <w:bCs/>
          <w:snapToGrid w:val="0"/>
        </w:rPr>
        <w:t>also consid</w:t>
      </w:r>
      <w:r w:rsidR="00DA03EA" w:rsidRPr="00E850A7">
        <w:rPr>
          <w:rFonts w:cs="Arial"/>
          <w:bCs/>
          <w:snapToGrid w:val="0"/>
        </w:rPr>
        <w:t xml:space="preserve">ered that the evidence presented in the submission supported the claim that </w:t>
      </w:r>
      <w:r w:rsidRPr="00E850A7">
        <w:rPr>
          <w:rFonts w:cs="Arial"/>
          <w:bCs/>
          <w:snapToGrid w:val="0"/>
        </w:rPr>
        <w:t>empagliflozin with linagliptin in combination with metformin</w:t>
      </w:r>
      <w:r w:rsidR="00DA03EA" w:rsidRPr="00E850A7">
        <w:rPr>
          <w:rFonts w:cs="Arial"/>
          <w:bCs/>
          <w:snapToGrid w:val="0"/>
        </w:rPr>
        <w:t xml:space="preserve"> provides</w:t>
      </w:r>
      <w:r w:rsidRPr="00E850A7">
        <w:rPr>
          <w:rFonts w:cs="Arial"/>
          <w:bCs/>
          <w:snapToGrid w:val="0"/>
        </w:rPr>
        <w:t xml:space="preserve"> a significant improvement in efficacy over either empagliflozin or linagliptin in dual combination therapy with metformin.</w:t>
      </w:r>
      <w:r w:rsidR="00442E49" w:rsidRPr="00E850A7">
        <w:rPr>
          <w:rFonts w:cs="Arial"/>
          <w:bCs/>
          <w:snapToGrid w:val="0"/>
        </w:rPr>
        <w:t xml:space="preserve"> However, the PBAC maintained its previous view that the benefit of adding empagliflozin or linagliptin in the triple therapy setting was smaller than the magnitude of benefit when either of these agents are added in the dual therapy setting, and therefore that the price should be lower than the sum of the price of the </w:t>
      </w:r>
      <w:r w:rsidR="007E16BA" w:rsidRPr="00E850A7">
        <w:rPr>
          <w:rFonts w:cs="Arial"/>
          <w:bCs/>
          <w:snapToGrid w:val="0"/>
        </w:rPr>
        <w:t xml:space="preserve">individual </w:t>
      </w:r>
      <w:r w:rsidR="00442E49" w:rsidRPr="00E850A7">
        <w:rPr>
          <w:rFonts w:cs="Arial"/>
          <w:bCs/>
          <w:snapToGrid w:val="0"/>
        </w:rPr>
        <w:t xml:space="preserve">components. </w:t>
      </w:r>
    </w:p>
    <w:p w:rsidR="00B15C54" w:rsidRPr="007D51A5" w:rsidRDefault="00B15C54" w:rsidP="005E6E62">
      <w:pPr>
        <w:widowControl w:val="0"/>
        <w:numPr>
          <w:ilvl w:val="1"/>
          <w:numId w:val="3"/>
        </w:numPr>
        <w:spacing w:before="0" w:after="120"/>
        <w:jc w:val="both"/>
        <w:rPr>
          <w:snapToGrid w:val="0"/>
        </w:rPr>
      </w:pPr>
      <w:r w:rsidRPr="00E850A7">
        <w:rPr>
          <w:rFonts w:cs="Arial"/>
          <w:bCs/>
          <w:snapToGrid w:val="0"/>
        </w:rPr>
        <w:t xml:space="preserve">The PBAC </w:t>
      </w:r>
      <w:r w:rsidR="007E16BA" w:rsidRPr="00E850A7">
        <w:rPr>
          <w:rFonts w:cs="Arial"/>
          <w:bCs/>
          <w:snapToGrid w:val="0"/>
        </w:rPr>
        <w:t>was of the view</w:t>
      </w:r>
      <w:r w:rsidRPr="00E850A7">
        <w:rPr>
          <w:rFonts w:cs="Arial"/>
          <w:bCs/>
          <w:snapToGrid w:val="0"/>
        </w:rPr>
        <w:t xml:space="preserve"> that there </w:t>
      </w:r>
      <w:r w:rsidR="007E16BA" w:rsidRPr="00E850A7">
        <w:rPr>
          <w:rFonts w:cs="Arial"/>
          <w:bCs/>
          <w:snapToGrid w:val="0"/>
        </w:rPr>
        <w:t>may be</w:t>
      </w:r>
      <w:r w:rsidRPr="00E850A7">
        <w:rPr>
          <w:rFonts w:cs="Arial"/>
          <w:bCs/>
          <w:snapToGrid w:val="0"/>
        </w:rPr>
        <w:t xml:space="preserve"> some potential quality use of medicines benefits for patients as </w:t>
      </w:r>
      <w:r w:rsidR="00F41729" w:rsidRPr="00E850A7">
        <w:rPr>
          <w:rFonts w:cs="Arial"/>
          <w:bCs/>
          <w:snapToGrid w:val="0"/>
        </w:rPr>
        <w:t>use of the FDC may reduce</w:t>
      </w:r>
      <w:r w:rsidRPr="00E850A7">
        <w:rPr>
          <w:rFonts w:cs="Arial"/>
          <w:bCs/>
          <w:snapToGrid w:val="0"/>
        </w:rPr>
        <w:t xml:space="preserve"> the risk of confusion in DPP4 and SGLT2 inhibitor dosing, and provide greater flexibility </w:t>
      </w:r>
      <w:r w:rsidR="007E16BA" w:rsidRPr="00E850A7">
        <w:rPr>
          <w:rFonts w:cs="Arial"/>
          <w:bCs/>
          <w:snapToGrid w:val="0"/>
        </w:rPr>
        <w:t>in metformin dosing</w:t>
      </w:r>
      <w:r w:rsidRPr="00E850A7">
        <w:rPr>
          <w:rFonts w:cs="Arial"/>
          <w:bCs/>
          <w:snapToGrid w:val="0"/>
        </w:rPr>
        <w:t>.</w:t>
      </w:r>
    </w:p>
    <w:p w:rsidR="007D51A5" w:rsidRPr="00E850A7" w:rsidRDefault="007D51A5" w:rsidP="005E6E62">
      <w:pPr>
        <w:widowControl w:val="0"/>
        <w:numPr>
          <w:ilvl w:val="1"/>
          <w:numId w:val="3"/>
        </w:numPr>
        <w:spacing w:before="0" w:after="120"/>
        <w:jc w:val="both"/>
        <w:rPr>
          <w:snapToGrid w:val="0"/>
        </w:rPr>
      </w:pPr>
      <w:r>
        <w:rPr>
          <w:rFonts w:cs="Arial"/>
          <w:bCs/>
          <w:snapToGrid w:val="0"/>
        </w:rPr>
        <w:t>The PBAC noted that triple therapy of oral agents was already occurring and that this application would enable more cost effective triple therapy than currently exists.</w:t>
      </w:r>
    </w:p>
    <w:p w:rsidR="00AB23CF" w:rsidRPr="00E850A7" w:rsidRDefault="00442E49" w:rsidP="005E6E62">
      <w:pPr>
        <w:widowControl w:val="0"/>
        <w:numPr>
          <w:ilvl w:val="1"/>
          <w:numId w:val="3"/>
        </w:numPr>
        <w:spacing w:before="0" w:after="120"/>
        <w:jc w:val="both"/>
        <w:rPr>
          <w:snapToGrid w:val="0"/>
        </w:rPr>
      </w:pPr>
      <w:r w:rsidRPr="00E850A7">
        <w:rPr>
          <w:rFonts w:cs="Arial"/>
          <w:bCs/>
          <w:snapToGrid w:val="0"/>
        </w:rPr>
        <w:t>The PBAC noted that the submission presented cost-minimisation analys</w:t>
      </w:r>
      <w:r w:rsidR="00F41729" w:rsidRPr="00E850A7">
        <w:rPr>
          <w:rFonts w:cs="Arial"/>
          <w:bCs/>
          <w:snapToGrid w:val="0"/>
        </w:rPr>
        <w:t>e</w:t>
      </w:r>
      <w:r w:rsidRPr="00E850A7">
        <w:rPr>
          <w:rFonts w:cs="Arial"/>
          <w:bCs/>
          <w:snapToGrid w:val="0"/>
        </w:rPr>
        <w:t>s for empagliflozin and linagliptin agains</w:t>
      </w:r>
      <w:r w:rsidR="000A6EB7" w:rsidRPr="00E850A7">
        <w:rPr>
          <w:rFonts w:cs="Arial"/>
          <w:bCs/>
          <w:snapToGrid w:val="0"/>
        </w:rPr>
        <w:t>t</w:t>
      </w:r>
      <w:r w:rsidRPr="00E850A7">
        <w:rPr>
          <w:rFonts w:cs="Arial"/>
          <w:bCs/>
          <w:snapToGrid w:val="0"/>
        </w:rPr>
        <w:t xml:space="preserve"> insulin glargine or exenatide. However, the PBAC considered that there remained a number of uncertainties in these analyses. The PBAC </w:t>
      </w:r>
      <w:r w:rsidR="008F203C">
        <w:rPr>
          <w:rFonts w:cs="Arial"/>
          <w:bCs/>
          <w:snapToGrid w:val="0"/>
        </w:rPr>
        <w:t xml:space="preserve">considered </w:t>
      </w:r>
      <w:r w:rsidRPr="00E850A7">
        <w:rPr>
          <w:rFonts w:cs="Arial"/>
          <w:bCs/>
          <w:snapToGrid w:val="0"/>
        </w:rPr>
        <w:t xml:space="preserve">that </w:t>
      </w:r>
      <w:r w:rsidR="006C3D70">
        <w:rPr>
          <w:rFonts w:cs="Arial"/>
          <w:bCs/>
          <w:snapToGrid w:val="0"/>
        </w:rPr>
        <w:t xml:space="preserve">the </w:t>
      </w:r>
      <w:r w:rsidR="00345736">
        <w:rPr>
          <w:rFonts w:cs="Arial"/>
          <w:bCs/>
          <w:snapToGrid w:val="0"/>
        </w:rPr>
        <w:t xml:space="preserve">presented </w:t>
      </w:r>
      <w:r w:rsidRPr="00E850A7">
        <w:rPr>
          <w:rFonts w:cs="Arial"/>
          <w:bCs/>
          <w:snapToGrid w:val="0"/>
        </w:rPr>
        <w:t>alternative approach where the decrement of benefit of empagliflozin and linagliptin in triple therapy with metformin compared to the sum of benefit when each is added to metformin in dual therapy</w:t>
      </w:r>
      <w:r w:rsidR="001B6FAA" w:rsidRPr="00E850A7">
        <w:rPr>
          <w:rFonts w:cs="Arial"/>
          <w:bCs/>
          <w:snapToGrid w:val="0"/>
        </w:rPr>
        <w:t xml:space="preserve"> was a more robust approach. The PBAC </w:t>
      </w:r>
      <w:r w:rsidR="00320734" w:rsidRPr="00E850A7">
        <w:rPr>
          <w:rFonts w:cs="Arial"/>
          <w:bCs/>
          <w:snapToGrid w:val="0"/>
        </w:rPr>
        <w:t>noted</w:t>
      </w:r>
      <w:r w:rsidR="001B6FAA" w:rsidRPr="00E850A7">
        <w:rPr>
          <w:rFonts w:cs="Arial"/>
          <w:bCs/>
          <w:snapToGrid w:val="0"/>
        </w:rPr>
        <w:t xml:space="preserve"> that the price reduction offered in the pre-PBAC response of </w:t>
      </w:r>
      <w:r w:rsidR="005D428A">
        <w:rPr>
          <w:rFonts w:cs="Arial"/>
          <w:bCs/>
          <w:noProof/>
          <w:snapToGrid w:val="0"/>
          <w:color w:val="000000"/>
          <w:highlight w:val="black"/>
        </w:rPr>
        <w:t>'''''</w:t>
      </w:r>
      <w:r w:rsidR="001B6FAA" w:rsidRPr="00E850A7">
        <w:rPr>
          <w:rFonts w:cs="Arial"/>
          <w:bCs/>
          <w:snapToGrid w:val="0"/>
        </w:rPr>
        <w:t>% exceeded the decrement of benefit observed in</w:t>
      </w:r>
      <w:r w:rsidR="00320734" w:rsidRPr="00E850A7">
        <w:rPr>
          <w:rFonts w:cs="Arial"/>
          <w:bCs/>
          <w:snapToGrid w:val="0"/>
        </w:rPr>
        <w:t xml:space="preserve"> most of the patient groups in</w:t>
      </w:r>
      <w:r w:rsidR="001B6FAA" w:rsidRPr="00E850A7">
        <w:rPr>
          <w:rFonts w:cs="Arial"/>
          <w:bCs/>
          <w:snapToGrid w:val="0"/>
        </w:rPr>
        <w:t xml:space="preserve"> the clinical trials and as such also ad</w:t>
      </w:r>
      <w:r w:rsidR="007E16BA" w:rsidRPr="00E850A7">
        <w:rPr>
          <w:rFonts w:cs="Arial"/>
          <w:bCs/>
          <w:snapToGrid w:val="0"/>
        </w:rPr>
        <w:t>dressed any residual uncertainties</w:t>
      </w:r>
      <w:r w:rsidR="001B6FAA" w:rsidRPr="00E850A7">
        <w:rPr>
          <w:rFonts w:cs="Arial"/>
          <w:bCs/>
          <w:snapToGrid w:val="0"/>
        </w:rPr>
        <w:t xml:space="preserve">. The PBAC therefore considered that the price proposed for the empagliflozin with linagliptin fixed dose combination was acceptable. </w:t>
      </w:r>
    </w:p>
    <w:p w:rsidR="00B15C54" w:rsidRPr="00E850A7" w:rsidRDefault="00D74D63" w:rsidP="005E6E62">
      <w:pPr>
        <w:widowControl w:val="0"/>
        <w:numPr>
          <w:ilvl w:val="1"/>
          <w:numId w:val="3"/>
        </w:numPr>
        <w:spacing w:before="0" w:after="120"/>
        <w:jc w:val="both"/>
        <w:rPr>
          <w:rFonts w:cs="Arial"/>
          <w:bCs/>
          <w:snapToGrid w:val="0"/>
        </w:rPr>
      </w:pPr>
      <w:r w:rsidRPr="00E850A7">
        <w:rPr>
          <w:rFonts w:cs="Arial"/>
          <w:bCs/>
          <w:snapToGrid w:val="0"/>
        </w:rPr>
        <w:t xml:space="preserve">The PBAC noted the restriction changes </w:t>
      </w:r>
      <w:r w:rsidR="00345736">
        <w:rPr>
          <w:rFonts w:cs="Arial"/>
          <w:bCs/>
          <w:snapToGrid w:val="0"/>
        </w:rPr>
        <w:t xml:space="preserve">for the requested FDCs </w:t>
      </w:r>
      <w:r w:rsidRPr="00E850A7">
        <w:rPr>
          <w:rFonts w:cs="Arial"/>
          <w:bCs/>
          <w:snapToGrid w:val="0"/>
        </w:rPr>
        <w:t xml:space="preserve">would be </w:t>
      </w:r>
      <w:r w:rsidR="00345736">
        <w:rPr>
          <w:rFonts w:cs="Arial"/>
          <w:bCs/>
          <w:snapToGrid w:val="0"/>
        </w:rPr>
        <w:t xml:space="preserve">similarly applied </w:t>
      </w:r>
      <w:r w:rsidRPr="00E850A7">
        <w:rPr>
          <w:rFonts w:cs="Arial"/>
          <w:bCs/>
          <w:snapToGrid w:val="0"/>
        </w:rPr>
        <w:t>to the components and that this is a c</w:t>
      </w:r>
      <w:r w:rsidR="007E16BA" w:rsidRPr="00E850A7">
        <w:rPr>
          <w:rFonts w:cs="Arial"/>
          <w:bCs/>
          <w:snapToGrid w:val="0"/>
        </w:rPr>
        <w:t>omplex restriction. In addition</w:t>
      </w:r>
      <w:r w:rsidRPr="00E850A7">
        <w:rPr>
          <w:rFonts w:cs="Arial"/>
          <w:bCs/>
          <w:snapToGrid w:val="0"/>
        </w:rPr>
        <w:t>, t</w:t>
      </w:r>
      <w:r w:rsidR="00B15C54" w:rsidRPr="00E850A7">
        <w:rPr>
          <w:rFonts w:cs="Arial"/>
          <w:bCs/>
          <w:snapToGrid w:val="0"/>
        </w:rPr>
        <w:t xml:space="preserve">he PBAC noted that these additional restrictions would add further complexity to the PBS subsidised treatments for type 2 diabetes and reiterated </w:t>
      </w:r>
      <w:r w:rsidR="00F41729" w:rsidRPr="00E850A7">
        <w:rPr>
          <w:rFonts w:cs="Arial"/>
          <w:bCs/>
          <w:snapToGrid w:val="0"/>
        </w:rPr>
        <w:t xml:space="preserve">its </w:t>
      </w:r>
      <w:r w:rsidR="00B15C54" w:rsidRPr="00E850A7">
        <w:rPr>
          <w:rFonts w:cs="Arial"/>
          <w:bCs/>
          <w:snapToGrid w:val="0"/>
        </w:rPr>
        <w:t>recommendation that a general statement for type 2 diabetes may be appropriate.</w:t>
      </w:r>
    </w:p>
    <w:p w:rsidR="00B15C54" w:rsidRPr="00BC0FE9" w:rsidRDefault="00B15C54" w:rsidP="005E6E62">
      <w:pPr>
        <w:widowControl w:val="0"/>
        <w:numPr>
          <w:ilvl w:val="1"/>
          <w:numId w:val="3"/>
        </w:numPr>
        <w:spacing w:before="0" w:after="120"/>
        <w:jc w:val="both"/>
        <w:rPr>
          <w:snapToGrid w:val="0"/>
          <w:szCs w:val="24"/>
        </w:rPr>
      </w:pPr>
      <w:r w:rsidRPr="00BC0FE9">
        <w:rPr>
          <w:rFonts w:cs="Arial"/>
          <w:bCs/>
          <w:snapToGrid w:val="0"/>
          <w:szCs w:val="24"/>
        </w:rPr>
        <w:t>The PBAC noted that the financial estimates would need to be adjusted to reflect the change in the proposed restriction</w:t>
      </w:r>
      <w:r w:rsidR="00D74D63" w:rsidRPr="00BC0FE9">
        <w:rPr>
          <w:rFonts w:cs="Arial"/>
          <w:bCs/>
          <w:snapToGrid w:val="0"/>
          <w:szCs w:val="24"/>
        </w:rPr>
        <w:t xml:space="preserve"> to remove the requirement for sulfonylurea intolerance, and that these should be consistent with the previous DUSC </w:t>
      </w:r>
      <w:r w:rsidR="00F41729" w:rsidRPr="00BC0FE9">
        <w:rPr>
          <w:rFonts w:cs="Arial"/>
          <w:bCs/>
          <w:snapToGrid w:val="0"/>
          <w:szCs w:val="24"/>
        </w:rPr>
        <w:t>advice</w:t>
      </w:r>
      <w:r w:rsidRPr="00BC0FE9">
        <w:rPr>
          <w:rFonts w:cs="Arial"/>
          <w:bCs/>
          <w:snapToGrid w:val="0"/>
          <w:szCs w:val="24"/>
        </w:rPr>
        <w:t>.</w:t>
      </w:r>
    </w:p>
    <w:p w:rsidR="00BC0FE9" w:rsidRPr="00BC0FE9" w:rsidRDefault="00BC0FE9" w:rsidP="00BC0FE9">
      <w:pPr>
        <w:widowControl w:val="0"/>
        <w:numPr>
          <w:ilvl w:val="1"/>
          <w:numId w:val="3"/>
        </w:numPr>
        <w:spacing w:before="0" w:after="120"/>
        <w:jc w:val="both"/>
        <w:rPr>
          <w:rFonts w:cs="Arial"/>
          <w:bCs/>
          <w:snapToGrid w:val="0"/>
          <w:szCs w:val="24"/>
        </w:rPr>
      </w:pPr>
      <w:r w:rsidRPr="00BC0FE9">
        <w:rPr>
          <w:szCs w:val="24"/>
        </w:rPr>
        <w:t xml:space="preserve">The PBAC advised that, under subsection 101(3BA) of the </w:t>
      </w:r>
      <w:r w:rsidRPr="00BC0FE9">
        <w:rPr>
          <w:i/>
          <w:szCs w:val="24"/>
        </w:rPr>
        <w:t>National Health Act, 1953</w:t>
      </w:r>
      <w:r w:rsidRPr="00BC0FE9">
        <w:rPr>
          <w:szCs w:val="24"/>
        </w:rPr>
        <w:t xml:space="preserve"> </w:t>
      </w:r>
      <w:r w:rsidRPr="00BC0FE9">
        <w:rPr>
          <w:rFonts w:cs="Arial"/>
          <w:szCs w:val="24"/>
        </w:rPr>
        <w:t>empagliflozin with linagliptin</w:t>
      </w:r>
      <w:r w:rsidRPr="00BC0FE9">
        <w:rPr>
          <w:rFonts w:cs="Arial"/>
          <w:bCs/>
          <w:snapToGrid w:val="0"/>
          <w:szCs w:val="24"/>
        </w:rPr>
        <w:t xml:space="preserve"> </w:t>
      </w:r>
      <w:r w:rsidRPr="00BC0FE9">
        <w:rPr>
          <w:szCs w:val="24"/>
        </w:rPr>
        <w:t xml:space="preserve">should be treated as interchangeable on an individual patient basis with </w:t>
      </w:r>
      <w:r>
        <w:t>dapagliflozin with saxagliptin</w:t>
      </w:r>
      <w:r w:rsidRPr="00BC0FE9">
        <w:rPr>
          <w:szCs w:val="24"/>
        </w:rPr>
        <w:t xml:space="preserve">. </w:t>
      </w:r>
    </w:p>
    <w:p w:rsidR="008A2475" w:rsidRPr="00E850A7" w:rsidRDefault="008A2475" w:rsidP="005E6E62">
      <w:pPr>
        <w:widowControl w:val="0"/>
        <w:numPr>
          <w:ilvl w:val="1"/>
          <w:numId w:val="3"/>
        </w:numPr>
        <w:spacing w:before="0" w:after="120"/>
        <w:jc w:val="both"/>
        <w:rPr>
          <w:rFonts w:cs="Arial"/>
          <w:bCs/>
          <w:snapToGrid w:val="0"/>
        </w:rPr>
      </w:pPr>
      <w:r w:rsidRPr="00BC0FE9">
        <w:rPr>
          <w:rFonts w:cs="Arial"/>
          <w:bCs/>
          <w:snapToGrid w:val="0"/>
          <w:szCs w:val="24"/>
        </w:rPr>
        <w:t>The PBAC advised</w:t>
      </w:r>
      <w:r w:rsidRPr="00E850A7">
        <w:rPr>
          <w:rFonts w:cs="Arial"/>
          <w:bCs/>
          <w:snapToGrid w:val="0"/>
        </w:rPr>
        <w:t xml:space="preserve"> that </w:t>
      </w:r>
      <w:r w:rsidR="00D74D63" w:rsidRPr="00E850A7">
        <w:rPr>
          <w:rFonts w:cs="Arial"/>
          <w:bCs/>
          <w:snapToGrid w:val="0"/>
        </w:rPr>
        <w:t xml:space="preserve">empagliflozin with </w:t>
      </w:r>
      <w:r w:rsidR="00154DCB" w:rsidRPr="00E850A7">
        <w:rPr>
          <w:rFonts w:cs="Arial"/>
          <w:bCs/>
          <w:snapToGrid w:val="0"/>
        </w:rPr>
        <w:t>linagliptin</w:t>
      </w:r>
      <w:r w:rsidR="00D74D63" w:rsidRPr="00E850A7">
        <w:rPr>
          <w:rFonts w:cs="Arial"/>
          <w:bCs/>
          <w:snapToGrid w:val="0"/>
        </w:rPr>
        <w:t xml:space="preserve"> </w:t>
      </w:r>
      <w:r w:rsidRPr="00E850A7">
        <w:rPr>
          <w:rFonts w:cs="Arial"/>
          <w:bCs/>
          <w:snapToGrid w:val="0"/>
        </w:rPr>
        <w:t>is suitable for prescribing by nurse practitioners</w:t>
      </w:r>
      <w:r w:rsidR="00D74D63" w:rsidRPr="00E850A7">
        <w:rPr>
          <w:rFonts w:cs="Arial"/>
          <w:bCs/>
          <w:snapToGrid w:val="0"/>
        </w:rPr>
        <w:t xml:space="preserve"> for continuing therapy only</w:t>
      </w:r>
      <w:r w:rsidRPr="00E850A7">
        <w:rPr>
          <w:rFonts w:cs="Arial"/>
          <w:bCs/>
          <w:snapToGrid w:val="0"/>
        </w:rPr>
        <w:t>.</w:t>
      </w:r>
      <w:r w:rsidR="00D74D63" w:rsidRPr="00E850A7">
        <w:rPr>
          <w:rFonts w:cs="Arial"/>
          <w:bCs/>
          <w:snapToGrid w:val="0"/>
        </w:rPr>
        <w:t xml:space="preserve"> However, the PBAC considered that it may be </w:t>
      </w:r>
      <w:r w:rsidR="005E6E62" w:rsidRPr="00E850A7">
        <w:rPr>
          <w:rFonts w:cs="Arial"/>
          <w:bCs/>
          <w:snapToGrid w:val="0"/>
        </w:rPr>
        <w:t xml:space="preserve">appropriate </w:t>
      </w:r>
      <w:r w:rsidR="00C50232" w:rsidRPr="00E850A7">
        <w:rPr>
          <w:rFonts w:cs="Arial"/>
          <w:bCs/>
          <w:snapToGrid w:val="0"/>
        </w:rPr>
        <w:t>for</w:t>
      </w:r>
      <w:r w:rsidR="00D74D63" w:rsidRPr="00E850A7">
        <w:rPr>
          <w:rFonts w:cs="Arial"/>
          <w:bCs/>
          <w:snapToGrid w:val="0"/>
        </w:rPr>
        <w:t xml:space="preserve"> nurse practitioners </w:t>
      </w:r>
      <w:r w:rsidR="00C50232" w:rsidRPr="00E850A7">
        <w:rPr>
          <w:rFonts w:cs="Arial"/>
          <w:bCs/>
          <w:snapToGrid w:val="0"/>
        </w:rPr>
        <w:t>to</w:t>
      </w:r>
      <w:r w:rsidR="00D74D63" w:rsidRPr="00E850A7">
        <w:rPr>
          <w:rFonts w:cs="Arial"/>
          <w:bCs/>
          <w:snapToGrid w:val="0"/>
        </w:rPr>
        <w:t xml:space="preserve"> </w:t>
      </w:r>
      <w:r w:rsidR="00C50232" w:rsidRPr="00E850A7">
        <w:rPr>
          <w:rFonts w:cs="Arial"/>
          <w:bCs/>
          <w:snapToGrid w:val="0"/>
        </w:rPr>
        <w:t xml:space="preserve">initiate some </w:t>
      </w:r>
      <w:r w:rsidR="00D74D63" w:rsidRPr="00E850A7">
        <w:rPr>
          <w:rFonts w:cs="Arial"/>
          <w:bCs/>
          <w:snapToGrid w:val="0"/>
        </w:rPr>
        <w:t>treatments for type 2 d</w:t>
      </w:r>
      <w:r w:rsidR="007E16BA" w:rsidRPr="00E850A7">
        <w:rPr>
          <w:rFonts w:cs="Arial"/>
          <w:bCs/>
          <w:snapToGrid w:val="0"/>
        </w:rPr>
        <w:t>iabetes</w:t>
      </w:r>
      <w:r w:rsidR="00D74D63" w:rsidRPr="00E850A7">
        <w:rPr>
          <w:rFonts w:cs="Arial"/>
          <w:bCs/>
          <w:snapToGrid w:val="0"/>
        </w:rPr>
        <w:t xml:space="preserve"> and requested that this be investigated further.</w:t>
      </w:r>
    </w:p>
    <w:p w:rsidR="008A2475" w:rsidRPr="00E850A7" w:rsidRDefault="008A2475" w:rsidP="005E6E62">
      <w:pPr>
        <w:widowControl w:val="0"/>
        <w:numPr>
          <w:ilvl w:val="1"/>
          <w:numId w:val="3"/>
        </w:numPr>
        <w:spacing w:before="0" w:after="120"/>
        <w:jc w:val="both"/>
        <w:rPr>
          <w:rFonts w:cs="Arial"/>
          <w:bCs/>
          <w:snapToGrid w:val="0"/>
        </w:rPr>
      </w:pPr>
      <w:r w:rsidRPr="00E850A7">
        <w:rPr>
          <w:rFonts w:cs="Arial"/>
          <w:bCs/>
          <w:snapToGrid w:val="0"/>
        </w:rPr>
        <w:t xml:space="preserve">The PBAC recommended that the Early Supply Rule should apply. </w:t>
      </w:r>
    </w:p>
    <w:p w:rsidR="00D74D63" w:rsidRPr="00E850A7" w:rsidRDefault="008A2475" w:rsidP="005E6E62">
      <w:pPr>
        <w:widowControl w:val="0"/>
        <w:numPr>
          <w:ilvl w:val="1"/>
          <w:numId w:val="3"/>
        </w:numPr>
        <w:spacing w:before="0" w:after="120"/>
        <w:jc w:val="both"/>
        <w:rPr>
          <w:rFonts w:cs="Arial"/>
          <w:b/>
          <w:bCs/>
          <w:snapToGrid w:val="0"/>
        </w:rPr>
      </w:pPr>
      <w:r w:rsidRPr="00E850A7">
        <w:rPr>
          <w:rFonts w:cs="Arial"/>
          <w:bCs/>
          <w:snapToGrid w:val="0"/>
        </w:rPr>
        <w:t>The PBAC noted that this submission is not eligible for an Independent Review</w:t>
      </w:r>
      <w:r w:rsidR="00D74D63" w:rsidRPr="00E850A7">
        <w:rPr>
          <w:rFonts w:cs="Arial"/>
          <w:bCs/>
          <w:snapToGrid w:val="0"/>
        </w:rPr>
        <w:t xml:space="preserve"> because it was recommended</w:t>
      </w:r>
      <w:r w:rsidRPr="00E850A7">
        <w:rPr>
          <w:rFonts w:cs="Arial"/>
          <w:bCs/>
          <w:snapToGrid w:val="0"/>
        </w:rPr>
        <w:t xml:space="preserve">. </w:t>
      </w:r>
    </w:p>
    <w:p w:rsidR="00F41729" w:rsidRPr="00E850A7" w:rsidRDefault="00F41729" w:rsidP="00D74D63">
      <w:pPr>
        <w:widowControl w:val="0"/>
        <w:spacing w:before="0" w:after="120"/>
        <w:jc w:val="both"/>
        <w:rPr>
          <w:rFonts w:cs="Arial"/>
          <w:bCs/>
          <w:i/>
          <w:snapToGrid w:val="0"/>
        </w:rPr>
      </w:pPr>
      <w:r w:rsidRPr="00E850A7">
        <w:rPr>
          <w:rFonts w:cs="Arial"/>
          <w:bCs/>
          <w:i/>
          <w:snapToGrid w:val="0"/>
        </w:rPr>
        <w:t>Use in moderate renal impairment</w:t>
      </w:r>
    </w:p>
    <w:p w:rsidR="00F41729" w:rsidRPr="00E850A7" w:rsidRDefault="00F41729" w:rsidP="00F41729">
      <w:pPr>
        <w:widowControl w:val="0"/>
        <w:numPr>
          <w:ilvl w:val="1"/>
          <w:numId w:val="3"/>
        </w:numPr>
        <w:spacing w:before="0" w:after="120"/>
        <w:jc w:val="both"/>
        <w:rPr>
          <w:rFonts w:cs="Arial"/>
          <w:bCs/>
          <w:snapToGrid w:val="0"/>
        </w:rPr>
      </w:pPr>
      <w:r w:rsidRPr="00E850A7">
        <w:rPr>
          <w:rFonts w:cs="Arial"/>
          <w:bCs/>
          <w:snapToGrid w:val="0"/>
        </w:rPr>
        <w:t>The PBAC did not recommended the listing of empagliflozin with linagliptin for the treatment of patients with type 2</w:t>
      </w:r>
      <w:r w:rsidR="00A07002" w:rsidRPr="00E850A7">
        <w:rPr>
          <w:rFonts w:cs="Arial"/>
          <w:bCs/>
          <w:snapToGrid w:val="0"/>
        </w:rPr>
        <w:t xml:space="preserve"> </w:t>
      </w:r>
      <w:r w:rsidRPr="00E850A7">
        <w:rPr>
          <w:rFonts w:cs="Arial"/>
          <w:bCs/>
          <w:snapToGrid w:val="0"/>
        </w:rPr>
        <w:t xml:space="preserve">diabetes and moderate renal impairment for whom metformin or sulfonylureas are contraindicated or not tolerated. </w:t>
      </w:r>
    </w:p>
    <w:p w:rsidR="00F41729" w:rsidRPr="00E850A7" w:rsidRDefault="00F41729" w:rsidP="00F41729">
      <w:pPr>
        <w:widowControl w:val="0"/>
        <w:numPr>
          <w:ilvl w:val="1"/>
          <w:numId w:val="3"/>
        </w:numPr>
        <w:spacing w:before="0" w:after="120"/>
        <w:jc w:val="both"/>
        <w:rPr>
          <w:rFonts w:cs="Arial"/>
          <w:bCs/>
          <w:snapToGrid w:val="0"/>
        </w:rPr>
      </w:pPr>
      <w:r w:rsidRPr="00E850A7">
        <w:rPr>
          <w:rFonts w:cs="Arial"/>
          <w:bCs/>
          <w:snapToGrid w:val="0"/>
        </w:rPr>
        <w:t xml:space="preserve">The PBAC considered that the efficacy of empagliflozin and linagliptin for the treatment of patients with mild to moderate renal impairment was not adequately supported by the data presented. Further, the submission did not address relevant comparators, such as reduced dose metformin or sulfonylureas. The PBAC also noted that the </w:t>
      </w:r>
      <w:r w:rsidRPr="00E850A7">
        <w:rPr>
          <w:szCs w:val="24"/>
        </w:rPr>
        <w:t xml:space="preserve">data suggested that the benefit to adding a second agent in this setting was lower, </w:t>
      </w:r>
      <w:r w:rsidR="00345736">
        <w:rPr>
          <w:szCs w:val="24"/>
        </w:rPr>
        <w:t xml:space="preserve">particularly in adding linagliptin to empagliflozin, </w:t>
      </w:r>
      <w:r w:rsidRPr="00E850A7">
        <w:rPr>
          <w:szCs w:val="24"/>
        </w:rPr>
        <w:t xml:space="preserve">and that some </w:t>
      </w:r>
      <w:r w:rsidR="008F203C" w:rsidRPr="00E850A7">
        <w:rPr>
          <w:szCs w:val="24"/>
        </w:rPr>
        <w:t>did not</w:t>
      </w:r>
      <w:r w:rsidRPr="00E850A7">
        <w:rPr>
          <w:szCs w:val="24"/>
        </w:rPr>
        <w:t xml:space="preserve"> exceed the minimum clinically important difference of 0.4%.</w:t>
      </w:r>
    </w:p>
    <w:p w:rsidR="00F41729" w:rsidRPr="00E850A7" w:rsidRDefault="008F203C" w:rsidP="00A07002">
      <w:pPr>
        <w:widowControl w:val="0"/>
        <w:numPr>
          <w:ilvl w:val="1"/>
          <w:numId w:val="3"/>
        </w:numPr>
        <w:spacing w:before="0" w:after="120"/>
        <w:jc w:val="both"/>
        <w:rPr>
          <w:rFonts w:cs="Arial"/>
          <w:bCs/>
          <w:snapToGrid w:val="0"/>
        </w:rPr>
      </w:pPr>
      <w:r w:rsidRPr="00E850A7">
        <w:rPr>
          <w:szCs w:val="24"/>
        </w:rPr>
        <w:t>However,</w:t>
      </w:r>
      <w:r w:rsidR="00A07002" w:rsidRPr="00E850A7">
        <w:rPr>
          <w:szCs w:val="24"/>
        </w:rPr>
        <w:t xml:space="preserve"> the PBAC acknowledged the clinical need for further treatment options for this patient group and requested the Department work with the sponsor on potential ways forward.</w:t>
      </w:r>
    </w:p>
    <w:p w:rsidR="00F41729" w:rsidRPr="00E850A7" w:rsidRDefault="00F41729" w:rsidP="00D74D63">
      <w:pPr>
        <w:widowControl w:val="0"/>
        <w:spacing w:before="0" w:after="120"/>
        <w:jc w:val="both"/>
        <w:rPr>
          <w:rFonts w:cs="Arial"/>
          <w:b/>
          <w:bCs/>
          <w:snapToGrid w:val="0"/>
        </w:rPr>
      </w:pPr>
    </w:p>
    <w:p w:rsidR="008A2475" w:rsidRPr="00E850A7" w:rsidRDefault="008A2475" w:rsidP="00D74D63">
      <w:pPr>
        <w:widowControl w:val="0"/>
        <w:spacing w:before="0" w:after="120"/>
        <w:jc w:val="both"/>
        <w:rPr>
          <w:rFonts w:cs="Arial"/>
          <w:b/>
          <w:bCs/>
          <w:snapToGrid w:val="0"/>
        </w:rPr>
      </w:pPr>
      <w:r w:rsidRPr="00E850A7">
        <w:rPr>
          <w:rFonts w:cs="Arial"/>
          <w:b/>
          <w:bCs/>
          <w:snapToGrid w:val="0"/>
        </w:rPr>
        <w:t>Outcome:</w:t>
      </w:r>
    </w:p>
    <w:p w:rsidR="008A2475" w:rsidRPr="00E850A7" w:rsidRDefault="008A2475" w:rsidP="008A2475">
      <w:pPr>
        <w:jc w:val="both"/>
        <w:rPr>
          <w:rFonts w:cs="Arial"/>
          <w:bCs/>
          <w:snapToGrid w:val="0"/>
        </w:rPr>
      </w:pPr>
      <w:r w:rsidRPr="00E850A7">
        <w:rPr>
          <w:rFonts w:cs="Arial"/>
          <w:bCs/>
          <w:snapToGrid w:val="0"/>
        </w:rPr>
        <w:t xml:space="preserve">Recommended </w:t>
      </w:r>
    </w:p>
    <w:p w:rsidR="008A2475" w:rsidRPr="00E850A7" w:rsidRDefault="008A2475" w:rsidP="008A2475">
      <w:pPr>
        <w:widowControl w:val="0"/>
        <w:jc w:val="both"/>
        <w:rPr>
          <w:rFonts w:cs="Arial"/>
          <w:bCs/>
          <w:snapToGrid w:val="0"/>
        </w:rPr>
      </w:pPr>
    </w:p>
    <w:p w:rsidR="008A2475" w:rsidRPr="00E850A7" w:rsidRDefault="008A2475" w:rsidP="008A2475">
      <w:pPr>
        <w:widowControl w:val="0"/>
        <w:numPr>
          <w:ilvl w:val="0"/>
          <w:numId w:val="3"/>
        </w:numPr>
        <w:spacing w:before="240" w:after="120"/>
        <w:jc w:val="both"/>
        <w:rPr>
          <w:rFonts w:cs="Arial"/>
          <w:b/>
          <w:bCs/>
          <w:snapToGrid w:val="0"/>
          <w:sz w:val="32"/>
        </w:rPr>
      </w:pPr>
      <w:r w:rsidRPr="00E850A7">
        <w:rPr>
          <w:rFonts w:cs="Arial"/>
          <w:b/>
          <w:bCs/>
          <w:snapToGrid w:val="0"/>
          <w:sz w:val="32"/>
        </w:rPr>
        <w:t>Recommended listing</w:t>
      </w:r>
    </w:p>
    <w:p w:rsidR="008A2475" w:rsidRPr="00E850A7" w:rsidRDefault="00D74D63" w:rsidP="008A2475">
      <w:pPr>
        <w:widowControl w:val="0"/>
        <w:numPr>
          <w:ilvl w:val="1"/>
          <w:numId w:val="3"/>
        </w:numPr>
        <w:spacing w:before="0" w:after="120"/>
        <w:jc w:val="both"/>
        <w:rPr>
          <w:rFonts w:cs="Arial"/>
          <w:b/>
          <w:bCs/>
          <w:snapToGrid w:val="0"/>
        </w:rPr>
      </w:pPr>
      <w:r w:rsidRPr="00E850A7">
        <w:rPr>
          <w:rFonts w:cs="Arial"/>
          <w:bCs/>
          <w:snapToGrid w:val="0"/>
        </w:rPr>
        <w:t>Add new item</w:t>
      </w:r>
      <w:r w:rsidR="008A2475" w:rsidRPr="00E850A7">
        <w:rPr>
          <w:rFonts w:cs="Arial"/>
          <w:bCs/>
          <w:snapToGrid w:val="0"/>
        </w:rPr>
        <w:t>:</w:t>
      </w:r>
    </w:p>
    <w:p w:rsidR="009D55E8" w:rsidRPr="00E850A7" w:rsidRDefault="009D55E8" w:rsidP="009D55E8">
      <w:pPr>
        <w:widowControl w:val="0"/>
        <w:spacing w:before="0" w:after="120"/>
        <w:jc w:val="both"/>
        <w:rPr>
          <w:rFonts w:cs="Arial"/>
          <w:b/>
          <w:bCs/>
          <w:snapToGrid w:val="0"/>
        </w:rPr>
      </w:pPr>
    </w:p>
    <w:tbl>
      <w:tblPr>
        <w:tblW w:w="9214" w:type="dxa"/>
        <w:tblInd w:w="108" w:type="dxa"/>
        <w:tblLayout w:type="fixed"/>
        <w:tblLook w:val="0000" w:firstRow="0" w:lastRow="0" w:firstColumn="0" w:lastColumn="0" w:noHBand="0" w:noVBand="0"/>
      </w:tblPr>
      <w:tblGrid>
        <w:gridCol w:w="2835"/>
        <w:gridCol w:w="142"/>
        <w:gridCol w:w="851"/>
        <w:gridCol w:w="567"/>
        <w:gridCol w:w="2268"/>
        <w:gridCol w:w="1417"/>
        <w:gridCol w:w="1134"/>
      </w:tblGrid>
      <w:tr w:rsidR="009D55E8" w:rsidRPr="00E850A7" w:rsidTr="009C5DB6">
        <w:trPr>
          <w:gridAfter w:val="1"/>
          <w:wAfter w:w="1134" w:type="dxa"/>
          <w:cantSplit/>
          <w:trHeight w:val="471"/>
        </w:trPr>
        <w:tc>
          <w:tcPr>
            <w:tcW w:w="2977" w:type="dxa"/>
            <w:gridSpan w:val="2"/>
            <w:tcBorders>
              <w:bottom w:val="single" w:sz="4" w:space="0" w:color="auto"/>
            </w:tcBorders>
          </w:tcPr>
          <w:p w:rsidR="009D55E8" w:rsidRPr="00E850A7" w:rsidRDefault="009D55E8" w:rsidP="009C5DB6">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Name, Restriction,</w:t>
            </w:r>
          </w:p>
          <w:p w:rsidR="009D55E8" w:rsidRPr="00E850A7" w:rsidRDefault="009D55E8" w:rsidP="009C5DB6">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Manner of administration and form</w:t>
            </w:r>
          </w:p>
        </w:tc>
        <w:tc>
          <w:tcPr>
            <w:tcW w:w="851" w:type="dxa"/>
            <w:tcBorders>
              <w:bottom w:val="single" w:sz="4" w:space="0" w:color="auto"/>
            </w:tcBorders>
          </w:tcPr>
          <w:p w:rsidR="009D55E8" w:rsidRPr="00E850A7" w:rsidRDefault="009D55E8" w:rsidP="009C5DB6">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Max.</w:t>
            </w:r>
          </w:p>
          <w:p w:rsidR="009D55E8" w:rsidRPr="00E850A7" w:rsidRDefault="009D55E8" w:rsidP="009C5DB6">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Qty (packs)</w:t>
            </w:r>
          </w:p>
        </w:tc>
        <w:tc>
          <w:tcPr>
            <w:tcW w:w="567" w:type="dxa"/>
            <w:tcBorders>
              <w:bottom w:val="single" w:sz="4" w:space="0" w:color="auto"/>
            </w:tcBorders>
          </w:tcPr>
          <w:p w:rsidR="009D55E8" w:rsidRPr="00E850A7" w:rsidRDefault="009D55E8" w:rsidP="009C5DB6">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№.of</w:t>
            </w:r>
          </w:p>
          <w:p w:rsidR="009D55E8" w:rsidRPr="00E850A7" w:rsidRDefault="009D55E8" w:rsidP="009C5DB6">
            <w:pPr>
              <w:keepNext/>
              <w:spacing w:before="0" w:after="0"/>
              <w:ind w:left="-108"/>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Rpts</w:t>
            </w:r>
          </w:p>
        </w:tc>
        <w:tc>
          <w:tcPr>
            <w:tcW w:w="3685" w:type="dxa"/>
            <w:gridSpan w:val="2"/>
            <w:tcBorders>
              <w:bottom w:val="single" w:sz="4" w:space="0" w:color="auto"/>
            </w:tcBorders>
          </w:tcPr>
          <w:p w:rsidR="009D55E8" w:rsidRPr="00E850A7" w:rsidRDefault="009D55E8" w:rsidP="009C5DB6">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Proprietary Name and Manufacturer</w:t>
            </w:r>
          </w:p>
        </w:tc>
      </w:tr>
      <w:tr w:rsidR="009D55E8" w:rsidRPr="00E850A7" w:rsidTr="009C5DB6">
        <w:trPr>
          <w:gridAfter w:val="1"/>
          <w:wAfter w:w="1134" w:type="dxa"/>
          <w:cantSplit/>
          <w:trHeight w:val="577"/>
        </w:trPr>
        <w:tc>
          <w:tcPr>
            <w:tcW w:w="2977" w:type="dxa"/>
            <w:gridSpan w:val="2"/>
          </w:tcPr>
          <w:p w:rsidR="009D55E8" w:rsidRPr="00E850A7" w:rsidRDefault="009D55E8" w:rsidP="009C5DB6">
            <w:pPr>
              <w:keepNext/>
              <w:spacing w:before="0" w:after="0"/>
              <w:ind w:left="-108"/>
              <w:jc w:val="both"/>
              <w:rPr>
                <w:rFonts w:ascii="Arial Narrow" w:eastAsia="Times New Roman" w:hAnsi="Arial Narrow" w:cs="Arial"/>
                <w:sz w:val="20"/>
                <w:szCs w:val="20"/>
                <w:lang w:eastAsia="en-AU"/>
              </w:rPr>
            </w:pPr>
            <w:r w:rsidRPr="00E850A7">
              <w:rPr>
                <w:rFonts w:ascii="Arial Narrow" w:eastAsia="Times New Roman" w:hAnsi="Arial Narrow" w:cs="Arial"/>
                <w:smallCaps/>
                <w:sz w:val="20"/>
                <w:szCs w:val="20"/>
                <w:lang w:eastAsia="en-AU"/>
              </w:rPr>
              <w:t>Empagliflozin + linagliptin</w:t>
            </w:r>
          </w:p>
          <w:p w:rsidR="009D55E8" w:rsidRPr="00E850A7" w:rsidRDefault="009D55E8" w:rsidP="009C5DB6">
            <w:pPr>
              <w:keepNext/>
              <w:spacing w:before="0" w:after="0"/>
              <w:ind w:left="-108"/>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empagliflozin 10 mg + linagliptin 5 mg tablet, 30</w:t>
            </w:r>
          </w:p>
          <w:p w:rsidR="009D55E8" w:rsidRPr="00E850A7" w:rsidRDefault="009D55E8" w:rsidP="009C5DB6">
            <w:pPr>
              <w:keepNext/>
              <w:spacing w:before="0" w:after="0"/>
              <w:ind w:left="-108"/>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empagliflozin 25 mg + linagliptin 5 mg tablet, 30</w:t>
            </w:r>
          </w:p>
        </w:tc>
        <w:tc>
          <w:tcPr>
            <w:tcW w:w="851" w:type="dxa"/>
          </w:tcPr>
          <w:p w:rsidR="009D55E8" w:rsidRPr="00E850A7" w:rsidRDefault="009D55E8" w:rsidP="009C5DB6">
            <w:pPr>
              <w:keepNext/>
              <w:spacing w:before="0" w:after="0"/>
              <w:ind w:left="-108"/>
              <w:jc w:val="both"/>
              <w:rPr>
                <w:rFonts w:ascii="Arial Narrow" w:eastAsia="Times New Roman" w:hAnsi="Arial Narrow" w:cs="Arial"/>
                <w:sz w:val="20"/>
                <w:szCs w:val="20"/>
                <w:lang w:eastAsia="en-AU"/>
              </w:rPr>
            </w:pPr>
          </w:p>
          <w:p w:rsidR="009D55E8" w:rsidRPr="00E850A7" w:rsidRDefault="009D55E8" w:rsidP="009C5DB6">
            <w:pPr>
              <w:keepNext/>
              <w:spacing w:before="0" w:after="0"/>
              <w:jc w:val="both"/>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1</w:t>
            </w:r>
          </w:p>
        </w:tc>
        <w:tc>
          <w:tcPr>
            <w:tcW w:w="567" w:type="dxa"/>
          </w:tcPr>
          <w:p w:rsidR="009D55E8" w:rsidRPr="00E850A7" w:rsidRDefault="009D55E8" w:rsidP="009C5DB6">
            <w:pPr>
              <w:keepNext/>
              <w:spacing w:before="0" w:after="0"/>
              <w:ind w:left="-108"/>
              <w:jc w:val="both"/>
              <w:rPr>
                <w:rFonts w:ascii="Arial Narrow" w:eastAsia="Times New Roman" w:hAnsi="Arial Narrow" w:cs="Arial"/>
                <w:sz w:val="20"/>
                <w:szCs w:val="20"/>
                <w:lang w:eastAsia="en-AU"/>
              </w:rPr>
            </w:pPr>
          </w:p>
          <w:p w:rsidR="009D55E8" w:rsidRPr="00E850A7" w:rsidRDefault="009D55E8" w:rsidP="009C5DB6">
            <w:pPr>
              <w:keepNext/>
              <w:spacing w:before="0" w:after="0"/>
              <w:ind w:left="-108"/>
              <w:jc w:val="both"/>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5</w:t>
            </w:r>
          </w:p>
        </w:tc>
        <w:tc>
          <w:tcPr>
            <w:tcW w:w="2268" w:type="dxa"/>
          </w:tcPr>
          <w:p w:rsidR="009D55E8" w:rsidRPr="00E850A7" w:rsidRDefault="009D55E8" w:rsidP="009C5DB6">
            <w:pPr>
              <w:keepNext/>
              <w:spacing w:before="0" w:after="0"/>
              <w:jc w:val="both"/>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Glyxambi® 10 mg/5 mg</w:t>
            </w:r>
          </w:p>
          <w:p w:rsidR="009D55E8" w:rsidRPr="00E850A7" w:rsidRDefault="009D55E8" w:rsidP="009C5DB6">
            <w:pPr>
              <w:keepNext/>
              <w:spacing w:before="0" w:after="0"/>
              <w:jc w:val="both"/>
              <w:rPr>
                <w:rFonts w:ascii="Arial Narrow" w:eastAsia="Times New Roman" w:hAnsi="Arial Narrow" w:cs="Arial"/>
                <w:sz w:val="20"/>
                <w:szCs w:val="20"/>
                <w:lang w:eastAsia="en-AU"/>
              </w:rPr>
            </w:pPr>
          </w:p>
          <w:p w:rsidR="009D55E8" w:rsidRPr="00E850A7" w:rsidRDefault="009D55E8" w:rsidP="009C5DB6">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Arial"/>
                <w:sz w:val="20"/>
                <w:szCs w:val="20"/>
                <w:lang w:eastAsia="en-AU"/>
              </w:rPr>
              <w:t>Glyxambi® 25 mg/5 mg</w:t>
            </w:r>
          </w:p>
        </w:tc>
        <w:tc>
          <w:tcPr>
            <w:tcW w:w="1417" w:type="dxa"/>
          </w:tcPr>
          <w:p w:rsidR="009D55E8" w:rsidRPr="00E850A7" w:rsidRDefault="009D55E8" w:rsidP="009C5DB6">
            <w:pPr>
              <w:keepNext/>
              <w:spacing w:before="0" w:after="0"/>
              <w:rPr>
                <w:rFonts w:ascii="Arial Narrow" w:eastAsia="Times New Roman" w:hAnsi="Arial Narrow" w:cs="Times New Roman"/>
                <w:sz w:val="20"/>
                <w:szCs w:val="24"/>
                <w:lang w:eastAsia="en-AU"/>
              </w:rPr>
            </w:pPr>
            <w:r w:rsidRPr="00E850A7">
              <w:rPr>
                <w:rFonts w:ascii="Arial Narrow" w:eastAsia="Times New Roman" w:hAnsi="Arial Narrow" w:cs="Times New Roman"/>
                <w:sz w:val="20"/>
                <w:szCs w:val="24"/>
                <w:lang w:eastAsia="en-AU"/>
              </w:rPr>
              <w:t>BY</w:t>
            </w:r>
          </w:p>
        </w:tc>
      </w:tr>
      <w:tr w:rsidR="009D55E8" w:rsidRPr="00E850A7" w:rsidTr="009C5DB6">
        <w:trPr>
          <w:cantSplit/>
          <w:trHeight w:val="360"/>
        </w:trPr>
        <w:tc>
          <w:tcPr>
            <w:tcW w:w="9214" w:type="dxa"/>
            <w:gridSpan w:val="7"/>
            <w:tcBorders>
              <w:bottom w:val="single" w:sz="4" w:space="0" w:color="auto"/>
            </w:tcBorders>
          </w:tcPr>
          <w:p w:rsidR="009D55E8" w:rsidRPr="00E850A7" w:rsidRDefault="009D55E8" w:rsidP="009C5DB6">
            <w:pPr>
              <w:pStyle w:val="ListParagraph"/>
              <w:spacing w:before="0" w:after="120"/>
              <w:ind w:left="0"/>
              <w:jc w:val="both"/>
              <w:rPr>
                <w:rFonts w:ascii="Arial Narrow" w:eastAsia="Times New Roman" w:hAnsi="Arial Narrow" w:cs="Arial"/>
                <w:sz w:val="20"/>
                <w:szCs w:val="20"/>
                <w:lang w:eastAsia="en-AU"/>
              </w:rPr>
            </w:pP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GENERAL – General Schedule (Code GE)</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Prescriber type:</w:t>
            </w:r>
          </w:p>
          <w:p w:rsidR="009D55E8" w:rsidRPr="00E850A7" w:rsidRDefault="009D55E8" w:rsidP="009C5DB6">
            <w:pPr>
              <w:spacing w:before="0" w:after="0"/>
              <w:jc w:val="both"/>
              <w:rPr>
                <w:rFonts w:ascii="Arial Narrow" w:eastAsia="Times New Roman" w:hAnsi="Arial Narrow"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 xml:space="preserve">Dental  </w:t>
            </w:r>
            <w:r w:rsidRPr="00E850A7">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 xml:space="preserve">Medical Practitioners  </w:t>
            </w:r>
            <w:r w:rsidRPr="00E850A7">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 xml:space="preserve">Nurse practitioners  </w:t>
            </w:r>
            <w:r w:rsidRPr="00E850A7">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Optometrists</w:t>
            </w:r>
          </w:p>
          <w:p w:rsidR="009D55E8" w:rsidRPr="00E850A7" w:rsidRDefault="009D55E8" w:rsidP="009C5DB6">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Midwives</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sz w:val="20"/>
                <w:szCs w:val="20"/>
                <w:lang w:eastAsia="en-AU"/>
              </w:rPr>
            </w:pPr>
            <w:r w:rsidRPr="00E850A7">
              <w:rPr>
                <w:rFonts w:ascii="Arial Narrow" w:eastAsia="Times New Roman" w:hAnsi="Arial Narrow"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Diabetes mellitus type 2</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rPr>
                <w:rFonts w:ascii="Arial Narrow" w:eastAsia="Times New Roman" w:hAnsi="Arial Narrow" w:cs="Arial"/>
                <w:sz w:val="20"/>
                <w:szCs w:val="20"/>
                <w:lang w:eastAsia="en-AU"/>
              </w:rPr>
            </w:pPr>
            <w:r w:rsidRPr="00E850A7">
              <w:rPr>
                <w:rFonts w:ascii="Arial Narrow" w:eastAsia="Times New Roman" w:hAnsi="Arial Narrow" w:cs="Arial"/>
                <w:sz w:val="20"/>
                <w:szCs w:val="20"/>
                <w:lang w:eastAsia="en-AU"/>
              </w:rPr>
              <w:t>-</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rPr>
                <w:rFonts w:ascii="Arial Narrow" w:eastAsia="Times New Roman" w:hAnsi="Arial Narrow" w:cs="Arial"/>
                <w:sz w:val="20"/>
                <w:szCs w:val="20"/>
                <w:highlight w:val="yellow"/>
                <w:lang w:eastAsia="en-AU"/>
              </w:rPr>
            </w:pPr>
            <w:r w:rsidRPr="00E850A7">
              <w:rPr>
                <w:rFonts w:ascii="Arial Narrow" w:eastAsia="Times New Roman" w:hAnsi="Arial Narrow" w:cs="Arial"/>
                <w:sz w:val="20"/>
                <w:szCs w:val="20"/>
                <w:lang w:eastAsia="en-AU"/>
              </w:rPr>
              <w:fldChar w:fldCharType="begin">
                <w:ffData>
                  <w:name w:val="Check5"/>
                  <w:enabled/>
                  <w:calcOnExit w:val="0"/>
                  <w:checkBox>
                    <w:sizeAuto/>
                    <w:default w:val="1"/>
                  </w:checkBox>
                </w:ffData>
              </w:fldChar>
            </w:r>
            <w:r w:rsidRPr="00E850A7">
              <w:rPr>
                <w:rFonts w:ascii="Arial Narrow" w:eastAsia="Times New Roman" w:hAnsi="Arial Narrow" w:cs="Arial"/>
                <w:sz w:val="20"/>
                <w:szCs w:val="20"/>
                <w:lang w:eastAsia="en-AU"/>
              </w:rPr>
              <w:instrText xml:space="preserve"> FORMCHECKBOX </w:instrText>
            </w:r>
            <w:r w:rsidR="005D428A">
              <w:rPr>
                <w:rFonts w:ascii="Arial Narrow" w:eastAsia="Times New Roman" w:hAnsi="Arial Narrow" w:cs="Arial"/>
                <w:sz w:val="20"/>
                <w:szCs w:val="20"/>
                <w:lang w:eastAsia="en-AU"/>
              </w:rPr>
            </w:r>
            <w:r w:rsidR="005D428A">
              <w:rPr>
                <w:rFonts w:ascii="Arial Narrow" w:eastAsia="Times New Roman" w:hAnsi="Arial Narrow" w:cs="Arial"/>
                <w:sz w:val="20"/>
                <w:szCs w:val="20"/>
                <w:lang w:eastAsia="en-AU"/>
              </w:rPr>
              <w:fldChar w:fldCharType="separate"/>
            </w:r>
            <w:r w:rsidRPr="00E850A7">
              <w:rPr>
                <w:rFonts w:ascii="Arial Narrow" w:eastAsia="Times New Roman" w:hAnsi="Arial Narrow" w:cs="Arial"/>
                <w:sz w:val="20"/>
                <w:szCs w:val="20"/>
                <w:lang w:eastAsia="en-AU"/>
              </w:rPr>
              <w:fldChar w:fldCharType="end"/>
            </w:r>
            <w:r w:rsidRPr="00E850A7">
              <w:rPr>
                <w:rFonts w:ascii="Arial Narrow" w:eastAsia="Times New Roman" w:hAnsi="Arial Narrow" w:cs="Arial"/>
                <w:sz w:val="20"/>
                <w:szCs w:val="20"/>
                <w:lang w:eastAsia="en-AU"/>
              </w:rPr>
              <w:t>Streamlined</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Clinical criteria:</w:t>
            </w:r>
          </w:p>
          <w:p w:rsidR="009D55E8" w:rsidRPr="00E850A7" w:rsidRDefault="009D55E8" w:rsidP="009C5DB6">
            <w:pPr>
              <w:spacing w:before="0" w:after="0"/>
              <w:jc w:val="both"/>
              <w:rPr>
                <w:rFonts w:ascii="Arial Narrow" w:eastAsia="Times New Roman" w:hAnsi="Arial Narrow" w:cs="Arial"/>
                <w:sz w:val="20"/>
                <w:szCs w:val="20"/>
                <w:lang w:eastAsia="en-AU"/>
              </w:rPr>
            </w:pPr>
          </w:p>
          <w:p w:rsidR="009D55E8" w:rsidRPr="00E850A7" w:rsidRDefault="009D55E8" w:rsidP="009C5DB6">
            <w:pPr>
              <w:spacing w:before="0" w:after="0"/>
              <w:jc w:val="both"/>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treatment must be in combination with metformin.</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AND</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 xml:space="preserve">Patient must have previously been stabilised on dual </w:t>
            </w:r>
            <w:r w:rsidR="008A2E9D" w:rsidRPr="00E850A7">
              <w:rPr>
                <w:rFonts w:ascii="Arial Narrow" w:eastAsia="SimSun" w:hAnsi="Arial Narrow" w:cs="Arial Narrow"/>
                <w:sz w:val="20"/>
                <w:szCs w:val="20"/>
              </w:rPr>
              <w:t xml:space="preserve">or triple </w:t>
            </w:r>
            <w:r w:rsidRPr="00E850A7">
              <w:rPr>
                <w:rFonts w:ascii="Arial Narrow" w:eastAsia="SimSun" w:hAnsi="Arial Narrow" w:cs="Arial Narrow"/>
                <w:sz w:val="20"/>
                <w:szCs w:val="20"/>
              </w:rPr>
              <w:t>oral therapy which include</w:t>
            </w:r>
            <w:r w:rsidR="00CA368A" w:rsidRPr="00E850A7">
              <w:rPr>
                <w:rFonts w:ascii="Arial Narrow" w:eastAsia="SimSun" w:hAnsi="Arial Narrow" w:cs="Arial Narrow"/>
                <w:sz w:val="20"/>
                <w:szCs w:val="20"/>
              </w:rPr>
              <w:t>d</w:t>
            </w:r>
            <w:r w:rsidRPr="00E850A7">
              <w:rPr>
                <w:rFonts w:ascii="Arial Narrow" w:eastAsia="SimSun" w:hAnsi="Arial Narrow" w:cs="Arial Narrow"/>
                <w:sz w:val="20"/>
                <w:szCs w:val="20"/>
              </w:rPr>
              <w:t xml:space="preserve"> a dipeptidyl peptidase 4 inhibitor (gliptin), </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OR</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 xml:space="preserve">Patient must have previously been stabilised on dual </w:t>
            </w:r>
            <w:r w:rsidR="008A2E9D" w:rsidRPr="00E850A7">
              <w:rPr>
                <w:rFonts w:ascii="Arial Narrow" w:eastAsia="SimSun" w:hAnsi="Arial Narrow" w:cs="Arial Narrow"/>
                <w:sz w:val="20"/>
                <w:szCs w:val="20"/>
              </w:rPr>
              <w:t xml:space="preserve">or triple </w:t>
            </w:r>
            <w:r w:rsidRPr="00E850A7">
              <w:rPr>
                <w:rFonts w:ascii="Arial Narrow" w:eastAsia="SimSun" w:hAnsi="Arial Narrow" w:cs="Arial Narrow"/>
                <w:sz w:val="20"/>
                <w:szCs w:val="20"/>
              </w:rPr>
              <w:t>oral therapy which include</w:t>
            </w:r>
            <w:r w:rsidR="00CA368A" w:rsidRPr="00E850A7">
              <w:rPr>
                <w:rFonts w:ascii="Arial Narrow" w:eastAsia="SimSun" w:hAnsi="Arial Narrow" w:cs="Arial Narrow"/>
                <w:sz w:val="20"/>
                <w:szCs w:val="20"/>
              </w:rPr>
              <w:t>d</w:t>
            </w:r>
            <w:r w:rsidRPr="00E850A7">
              <w:rPr>
                <w:rFonts w:ascii="Arial Narrow" w:eastAsia="SimSun" w:hAnsi="Arial Narrow" w:cs="Arial Narrow"/>
                <w:sz w:val="20"/>
                <w:szCs w:val="20"/>
              </w:rPr>
              <w:t xml:space="preserve"> a sodium-glucose co-transporter 2 (SGLT2) inhibitor, </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AND</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 xml:space="preserve">Patient must have, or have had, a HbA1c measurement greater than 7% prior to the initiation of triple oral therapy with a gliptin, and an SGLT2 inhibitor; </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OR</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Prescriber Instructions</w:t>
            </w:r>
          </w:p>
          <w:p w:rsidR="009D55E8" w:rsidRPr="00E850A7" w:rsidRDefault="009D55E8" w:rsidP="009C5DB6">
            <w:pPr>
              <w:spacing w:before="0" w:after="0"/>
              <w:jc w:val="both"/>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date and level of the qualifying HbA1c measurement must be, or must have been, documented in the patient’s medical records at the time triple oral therapy with a gliptin and an SGLT2 inhibitor is initiated.</w:t>
            </w:r>
          </w:p>
          <w:p w:rsidR="009D55E8" w:rsidRPr="00E850A7" w:rsidRDefault="009D55E8" w:rsidP="009C5DB6">
            <w:pPr>
              <w:spacing w:before="40" w:after="60"/>
              <w:jc w:val="both"/>
              <w:rPr>
                <w:rFonts w:ascii="Arial Narrow" w:eastAsia="SimSun" w:hAnsi="Arial Narrow" w:cs="Arial Narrow"/>
                <w:sz w:val="20"/>
                <w:szCs w:val="20"/>
              </w:rPr>
            </w:pP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HbA1c must be no more than 4 months old at the time triple oral therapy with a gliptin and an SGLT2 inhibitor was initiated.</w:t>
            </w:r>
          </w:p>
          <w:p w:rsidR="009D55E8" w:rsidRPr="00E850A7" w:rsidRDefault="009D55E8" w:rsidP="009C5DB6">
            <w:pPr>
              <w:spacing w:before="40" w:after="60"/>
              <w:jc w:val="both"/>
              <w:rPr>
                <w:rFonts w:ascii="Arial Narrow" w:eastAsia="SimSun" w:hAnsi="Arial Narrow" w:cs="Arial Narrow"/>
                <w:sz w:val="20"/>
                <w:szCs w:val="20"/>
              </w:rPr>
            </w:pP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Blood glucose monitoring may be used as an alternative assessment to HbA1c levels in the following circumstances:</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 clinical condition with reduced red blood cell survival, including haemolytic anaemias and haemoglobinopathies; and/or</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Had red cell transfusion within the previous 3 months.</w:t>
            </w:r>
          </w:p>
          <w:p w:rsidR="009D55E8" w:rsidRPr="00E850A7" w:rsidRDefault="009D55E8" w:rsidP="009C5DB6">
            <w:pPr>
              <w:spacing w:before="40" w:after="60"/>
              <w:jc w:val="both"/>
              <w:rPr>
                <w:rFonts w:ascii="Arial Narrow" w:eastAsia="SimSun" w:hAnsi="Arial Narrow" w:cs="Arial Narrow"/>
                <w:sz w:val="20"/>
                <w:szCs w:val="20"/>
              </w:rPr>
            </w:pP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The results of the blood glucose monitoring, which must be no more than 4 months old at the time of initiation of triple oral therapy with a gliptin and an SGLT2 inhibitor, must be documented in the patient’s medical records.</w:t>
            </w:r>
          </w:p>
          <w:p w:rsidR="009D55E8" w:rsidRPr="00E850A7" w:rsidRDefault="009D55E8" w:rsidP="009C5DB6">
            <w:pPr>
              <w:spacing w:before="40" w:after="60"/>
              <w:jc w:val="both"/>
              <w:rPr>
                <w:rFonts w:ascii="Arial Narrow" w:eastAsia="SimSun" w:hAnsi="Arial Narrow" w:cs="Arial Narrow"/>
                <w:sz w:val="20"/>
                <w:szCs w:val="20"/>
              </w:rPr>
            </w:pP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A patient whose diabetes was previously demonstrated unable to be controlled with metformin and an SGLT2 inhibitor or gliptin does not need to requalify on this criterion before being eligible for PBS subsidised treatment with this fixed dose combination.</w:t>
            </w:r>
          </w:p>
        </w:tc>
      </w:tr>
      <w:tr w:rsidR="009D55E8" w:rsidRPr="00E850A7" w:rsidTr="009C5DB6">
        <w:trPr>
          <w:cantSplit/>
          <w:trHeight w:val="360"/>
        </w:trPr>
        <w:tc>
          <w:tcPr>
            <w:tcW w:w="2835" w:type="dxa"/>
            <w:tcBorders>
              <w:top w:val="single" w:sz="4" w:space="0" w:color="auto"/>
              <w:left w:val="single" w:sz="4" w:space="0" w:color="auto"/>
              <w:bottom w:val="single" w:sz="4" w:space="0" w:color="auto"/>
              <w:right w:val="single" w:sz="4" w:space="0" w:color="auto"/>
            </w:tcBorders>
          </w:tcPr>
          <w:p w:rsidR="009D55E8" w:rsidRPr="00E850A7" w:rsidRDefault="009D55E8" w:rsidP="009C5DB6">
            <w:pPr>
              <w:spacing w:before="0" w:after="0"/>
              <w:jc w:val="both"/>
              <w:rPr>
                <w:rFonts w:ascii="Arial Narrow" w:eastAsia="Times New Roman" w:hAnsi="Arial Narrow" w:cs="Arial"/>
                <w:b/>
                <w:sz w:val="20"/>
                <w:szCs w:val="20"/>
                <w:lang w:eastAsia="en-AU"/>
              </w:rPr>
            </w:pPr>
            <w:r w:rsidRPr="00E850A7">
              <w:rPr>
                <w:rFonts w:ascii="Arial Narrow" w:eastAsia="Times New Roman" w:hAnsi="Arial Narrow" w:cs="Arial"/>
                <w:b/>
                <w:sz w:val="20"/>
                <w:szCs w:val="20"/>
                <w:lang w:eastAsia="en-AU"/>
              </w:rPr>
              <w:t>Administrative Advice</w:t>
            </w:r>
          </w:p>
          <w:p w:rsidR="009D55E8" w:rsidRPr="00E850A7" w:rsidRDefault="009D55E8" w:rsidP="009C5DB6">
            <w:pPr>
              <w:spacing w:before="0" w:after="0"/>
              <w:jc w:val="both"/>
              <w:rPr>
                <w:rFonts w:ascii="Arial Narrow" w:eastAsia="Times New Roman" w:hAnsi="Arial Narrow"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Note: Continuing Therapy Only:</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9D55E8" w:rsidRPr="00E850A7" w:rsidRDefault="009D55E8" w:rsidP="009C5DB6">
            <w:pPr>
              <w:spacing w:before="40" w:after="60"/>
              <w:jc w:val="both"/>
              <w:rPr>
                <w:rFonts w:ascii="Arial Narrow" w:eastAsia="SimSun" w:hAnsi="Arial Narrow" w:cs="Arial Narrow"/>
                <w:sz w:val="20"/>
                <w:szCs w:val="20"/>
              </w:rPr>
            </w:pP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 xml:space="preserve">Note: </w:t>
            </w:r>
          </w:p>
          <w:p w:rsidR="009D55E8" w:rsidRPr="00E850A7" w:rsidRDefault="009D55E8" w:rsidP="009C5DB6">
            <w:pPr>
              <w:spacing w:before="40" w:after="60"/>
              <w:jc w:val="both"/>
              <w:rPr>
                <w:rFonts w:ascii="Arial Narrow" w:eastAsia="SimSun" w:hAnsi="Arial Narrow" w:cs="Arial Narrow"/>
                <w:sz w:val="20"/>
                <w:szCs w:val="20"/>
              </w:rPr>
            </w:pPr>
            <w:r w:rsidRPr="00E850A7">
              <w:rPr>
                <w:rFonts w:ascii="Arial Narrow" w:eastAsia="SimSun" w:hAnsi="Arial Narrow" w:cs="Arial Narrow"/>
                <w:sz w:val="20"/>
                <w:szCs w:val="20"/>
              </w:rPr>
              <w:t>This fixed dose combination is not PBS-subsidised for use as initial therapy or in combination with a thiazolidinedione (glitazone), a glucagon-like peptide-1, an insulin, another dipeptidyl peptidase 4 inhibitor (gliptin), or another SGLT2 inhibitor.</w:t>
            </w:r>
          </w:p>
        </w:tc>
      </w:tr>
    </w:tbl>
    <w:p w:rsidR="00AA3D71" w:rsidRPr="00625BD2" w:rsidRDefault="00AA3D71" w:rsidP="00AA3D71">
      <w:pPr>
        <w:pStyle w:val="Heading1"/>
      </w:pPr>
      <w:r w:rsidRPr="00625BD2">
        <w:t>Context for Decision</w:t>
      </w:r>
    </w:p>
    <w:p w:rsidR="00AA3D71" w:rsidRPr="00625BD2" w:rsidRDefault="00AA3D71" w:rsidP="00AA3D71">
      <w:pPr>
        <w:spacing w:after="120"/>
        <w:rPr>
          <w:rFonts w:ascii="Calibri" w:eastAsia="Calibri" w:hAnsi="Calibri" w:cs="Arial"/>
        </w:rPr>
      </w:pPr>
      <w:r w:rsidRPr="00625BD2">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A3D71" w:rsidRPr="00A02E3C" w:rsidRDefault="00AA3D71" w:rsidP="00A02E3C">
      <w:pPr>
        <w:pStyle w:val="Heading1"/>
      </w:pPr>
      <w:r w:rsidRPr="00625BD2">
        <w:t>Sponsor’s Comment</w:t>
      </w:r>
    </w:p>
    <w:p w:rsidR="00AA3D71" w:rsidRPr="00625BD2" w:rsidRDefault="00AA3D71" w:rsidP="00AA3D71">
      <w:pPr>
        <w:jc w:val="both"/>
        <w:rPr>
          <w:rFonts w:ascii="Calibri" w:eastAsia="Calibri" w:hAnsi="Calibri" w:cs="Arial"/>
          <w:snapToGrid w:val="0"/>
          <w:szCs w:val="20"/>
        </w:rPr>
      </w:pPr>
      <w:r w:rsidRPr="00625BD2">
        <w:rPr>
          <w:rFonts w:ascii="Calibri" w:eastAsia="Calibri" w:hAnsi="Calibri" w:cs="Arial"/>
          <w:snapToGrid w:val="0"/>
          <w:szCs w:val="20"/>
        </w:rPr>
        <w:t>The sponsor had no comment.</w:t>
      </w:r>
    </w:p>
    <w:p w:rsidR="008A2475" w:rsidRPr="00E850A7" w:rsidRDefault="008A2475" w:rsidP="00F06FC0">
      <w:pPr>
        <w:spacing w:before="0"/>
        <w:rPr>
          <w:b/>
          <w:u w:val="single"/>
        </w:rPr>
      </w:pPr>
    </w:p>
    <w:sectPr w:rsidR="008A2475" w:rsidRPr="00E850A7" w:rsidSect="00D67FEB">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1BE59" w15:done="0"/>
  <w15:commentEx w15:paraId="0C68FCF3" w15:done="0"/>
  <w15:commentEx w15:paraId="760ABAC7" w15:done="0"/>
  <w15:commentEx w15:paraId="5C370E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1BE59" w16cid:durableId="1DBAB19D"/>
  <w16cid:commentId w16cid:paraId="0C68FCF3" w16cid:durableId="1DBAB19E"/>
  <w16cid:commentId w16cid:paraId="760ABAC7" w16cid:durableId="1DBAB912"/>
  <w16cid:commentId w16cid:paraId="5C370E04" w16cid:durableId="1DBAB6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8A" w:rsidRDefault="005D428A" w:rsidP="00BA3306">
      <w:pPr>
        <w:spacing w:before="0" w:after="0"/>
      </w:pPr>
      <w:r>
        <w:separator/>
      </w:r>
    </w:p>
  </w:endnote>
  <w:endnote w:type="continuationSeparator" w:id="0">
    <w:p w:rsidR="005D428A" w:rsidRDefault="005D428A"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dvOT7b515deb">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8A" w:rsidRDefault="005D4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620587"/>
      <w:docPartObj>
        <w:docPartGallery w:val="Page Numbers (Bottom of Page)"/>
        <w:docPartUnique/>
      </w:docPartObj>
    </w:sdtPr>
    <w:sdtEndPr>
      <w:rPr>
        <w:noProof/>
      </w:rPr>
    </w:sdtEndPr>
    <w:sdtContent>
      <w:p w:rsidR="00D44059" w:rsidRDefault="00D44059">
        <w:pPr>
          <w:pStyle w:val="Footer"/>
          <w:jc w:val="center"/>
        </w:pPr>
        <w:r>
          <w:fldChar w:fldCharType="begin"/>
        </w:r>
        <w:r>
          <w:instrText xml:space="preserve"> PAGE   \* MERGEFORMAT </w:instrText>
        </w:r>
        <w:r>
          <w:fldChar w:fldCharType="separate"/>
        </w:r>
        <w:r w:rsidR="005D428A">
          <w:rPr>
            <w:noProof/>
          </w:rPr>
          <w:t>1</w:t>
        </w:r>
        <w:r>
          <w:rPr>
            <w:noProof/>
          </w:rPr>
          <w:fldChar w:fldCharType="end"/>
        </w:r>
      </w:p>
    </w:sdtContent>
  </w:sdt>
  <w:p w:rsidR="00D44059" w:rsidRDefault="00D44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8A" w:rsidRDefault="005D4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8A" w:rsidRDefault="005D428A" w:rsidP="00BA3306">
      <w:pPr>
        <w:spacing w:before="0" w:after="0"/>
      </w:pPr>
      <w:r>
        <w:separator/>
      </w:r>
    </w:p>
  </w:footnote>
  <w:footnote w:type="continuationSeparator" w:id="0">
    <w:p w:rsidR="005D428A" w:rsidRDefault="005D428A"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8A" w:rsidRDefault="005D4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59" w:rsidRPr="008A2475" w:rsidRDefault="00D44059" w:rsidP="008A2475">
    <w:pPr>
      <w:pStyle w:val="Header"/>
      <w:tabs>
        <w:tab w:val="clear" w:pos="9026"/>
        <w:tab w:val="left" w:pos="1725"/>
        <w:tab w:val="left" w:pos="7230"/>
        <w:tab w:val="left" w:pos="7513"/>
        <w:tab w:val="right" w:pos="9072"/>
        <w:tab w:val="right" w:pos="13325"/>
      </w:tabs>
      <w:jc w:val="center"/>
      <w:rPr>
        <w:i/>
      </w:rPr>
    </w:pPr>
    <w:r>
      <w:rPr>
        <w:i/>
      </w:rPr>
      <w:t>Public Summary Document</w:t>
    </w:r>
    <w:r w:rsidRPr="008A2475">
      <w:rPr>
        <w:i/>
      </w:rPr>
      <w:t xml:space="preserve"> – November 2017 PBAC Meeting</w:t>
    </w:r>
  </w:p>
  <w:p w:rsidR="00D44059" w:rsidRDefault="00D44059">
    <w:pPr>
      <w:pStyle w:val="Header"/>
    </w:pPr>
  </w:p>
  <w:p w:rsidR="00D44059" w:rsidRDefault="00D44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8A" w:rsidRDefault="005D4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6D1258"/>
    <w:multiLevelType w:val="hybridMultilevel"/>
    <w:tmpl w:val="E62CB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AF0B25"/>
    <w:multiLevelType w:val="hybridMultilevel"/>
    <w:tmpl w:val="39BC299E"/>
    <w:lvl w:ilvl="0" w:tplc="0C090015">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74B09E3"/>
    <w:multiLevelType w:val="hybridMultilevel"/>
    <w:tmpl w:val="F9B41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364AC"/>
    <w:multiLevelType w:val="hybridMultilevel"/>
    <w:tmpl w:val="D5C6AA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02A491C"/>
    <w:multiLevelType w:val="hybridMultilevel"/>
    <w:tmpl w:val="E68E5B1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12035C0"/>
    <w:multiLevelType w:val="hybridMultilevel"/>
    <w:tmpl w:val="ACD87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C56D30"/>
    <w:multiLevelType w:val="hybridMultilevel"/>
    <w:tmpl w:val="CBD2B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B60721E"/>
    <w:multiLevelType w:val="hybridMultilevel"/>
    <w:tmpl w:val="D930A8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ED548B"/>
    <w:multiLevelType w:val="hybridMultilevel"/>
    <w:tmpl w:val="F98E40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16575B"/>
    <w:multiLevelType w:val="hybridMultilevel"/>
    <w:tmpl w:val="F6B2991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nsid w:val="1F610C0F"/>
    <w:multiLevelType w:val="hybridMultilevel"/>
    <w:tmpl w:val="3DFEB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B62627"/>
    <w:multiLevelType w:val="hybridMultilevel"/>
    <w:tmpl w:val="A5508536"/>
    <w:lvl w:ilvl="0" w:tplc="0C090001">
      <w:start w:val="1"/>
      <w:numFmt w:val="bullet"/>
      <w:lvlText w:val=""/>
      <w:lvlJc w:val="left"/>
      <w:pPr>
        <w:ind w:left="2629"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3504C81"/>
    <w:multiLevelType w:val="hybridMultilevel"/>
    <w:tmpl w:val="5002F46A"/>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343AFC3A">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666A18"/>
    <w:multiLevelType w:val="hybridMultilevel"/>
    <w:tmpl w:val="4C42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BF6A78"/>
    <w:multiLevelType w:val="hybridMultilevel"/>
    <w:tmpl w:val="9E688BB2"/>
    <w:lvl w:ilvl="0" w:tplc="A4304488">
      <w:start w:val="1"/>
      <w:numFmt w:val="bullet"/>
      <w:lvlText w:val="-"/>
      <w:lvlJc w:val="left"/>
      <w:pPr>
        <w:tabs>
          <w:tab w:val="num" w:pos="720"/>
        </w:tabs>
        <w:ind w:left="720" w:hanging="360"/>
      </w:pPr>
      <w:rPr>
        <w:rFonts w:ascii="Times New Roman" w:hAnsi="Times New Roman" w:hint="default"/>
      </w:rPr>
    </w:lvl>
    <w:lvl w:ilvl="1" w:tplc="765C4138" w:tentative="1">
      <w:start w:val="1"/>
      <w:numFmt w:val="bullet"/>
      <w:lvlText w:val="-"/>
      <w:lvlJc w:val="left"/>
      <w:pPr>
        <w:tabs>
          <w:tab w:val="num" w:pos="1440"/>
        </w:tabs>
        <w:ind w:left="1440" w:hanging="360"/>
      </w:pPr>
      <w:rPr>
        <w:rFonts w:ascii="Times New Roman" w:hAnsi="Times New Roman" w:hint="default"/>
      </w:rPr>
    </w:lvl>
    <w:lvl w:ilvl="2" w:tplc="86E8E3C2" w:tentative="1">
      <w:start w:val="1"/>
      <w:numFmt w:val="bullet"/>
      <w:lvlText w:val="-"/>
      <w:lvlJc w:val="left"/>
      <w:pPr>
        <w:tabs>
          <w:tab w:val="num" w:pos="2160"/>
        </w:tabs>
        <w:ind w:left="2160" w:hanging="360"/>
      </w:pPr>
      <w:rPr>
        <w:rFonts w:ascii="Times New Roman" w:hAnsi="Times New Roman" w:hint="default"/>
      </w:rPr>
    </w:lvl>
    <w:lvl w:ilvl="3" w:tplc="405EA170" w:tentative="1">
      <w:start w:val="1"/>
      <w:numFmt w:val="bullet"/>
      <w:lvlText w:val="-"/>
      <w:lvlJc w:val="left"/>
      <w:pPr>
        <w:tabs>
          <w:tab w:val="num" w:pos="2880"/>
        </w:tabs>
        <w:ind w:left="2880" w:hanging="360"/>
      </w:pPr>
      <w:rPr>
        <w:rFonts w:ascii="Times New Roman" w:hAnsi="Times New Roman" w:hint="default"/>
      </w:rPr>
    </w:lvl>
    <w:lvl w:ilvl="4" w:tplc="E3A24A72" w:tentative="1">
      <w:start w:val="1"/>
      <w:numFmt w:val="bullet"/>
      <w:lvlText w:val="-"/>
      <w:lvlJc w:val="left"/>
      <w:pPr>
        <w:tabs>
          <w:tab w:val="num" w:pos="3600"/>
        </w:tabs>
        <w:ind w:left="3600" w:hanging="360"/>
      </w:pPr>
      <w:rPr>
        <w:rFonts w:ascii="Times New Roman" w:hAnsi="Times New Roman" w:hint="default"/>
      </w:rPr>
    </w:lvl>
    <w:lvl w:ilvl="5" w:tplc="82DA50F2" w:tentative="1">
      <w:start w:val="1"/>
      <w:numFmt w:val="bullet"/>
      <w:lvlText w:val="-"/>
      <w:lvlJc w:val="left"/>
      <w:pPr>
        <w:tabs>
          <w:tab w:val="num" w:pos="4320"/>
        </w:tabs>
        <w:ind w:left="4320" w:hanging="360"/>
      </w:pPr>
      <w:rPr>
        <w:rFonts w:ascii="Times New Roman" w:hAnsi="Times New Roman" w:hint="default"/>
      </w:rPr>
    </w:lvl>
    <w:lvl w:ilvl="6" w:tplc="A590181C" w:tentative="1">
      <w:start w:val="1"/>
      <w:numFmt w:val="bullet"/>
      <w:lvlText w:val="-"/>
      <w:lvlJc w:val="left"/>
      <w:pPr>
        <w:tabs>
          <w:tab w:val="num" w:pos="5040"/>
        </w:tabs>
        <w:ind w:left="5040" w:hanging="360"/>
      </w:pPr>
      <w:rPr>
        <w:rFonts w:ascii="Times New Roman" w:hAnsi="Times New Roman" w:hint="default"/>
      </w:rPr>
    </w:lvl>
    <w:lvl w:ilvl="7" w:tplc="405A0C40" w:tentative="1">
      <w:start w:val="1"/>
      <w:numFmt w:val="bullet"/>
      <w:lvlText w:val="-"/>
      <w:lvlJc w:val="left"/>
      <w:pPr>
        <w:tabs>
          <w:tab w:val="num" w:pos="5760"/>
        </w:tabs>
        <w:ind w:left="5760" w:hanging="360"/>
      </w:pPr>
      <w:rPr>
        <w:rFonts w:ascii="Times New Roman" w:hAnsi="Times New Roman" w:hint="default"/>
      </w:rPr>
    </w:lvl>
    <w:lvl w:ilvl="8" w:tplc="57A6D05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842726C"/>
    <w:multiLevelType w:val="hybridMultilevel"/>
    <w:tmpl w:val="7B249A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E1A2925"/>
    <w:multiLevelType w:val="hybridMultilevel"/>
    <w:tmpl w:val="A380F5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42E52BA"/>
    <w:multiLevelType w:val="multilevel"/>
    <w:tmpl w:val="C0284DD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59F2B80"/>
    <w:multiLevelType w:val="hybridMultilevel"/>
    <w:tmpl w:val="FCD2BE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FB10C36"/>
    <w:multiLevelType w:val="hybridMultilevel"/>
    <w:tmpl w:val="7B249A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DA42255"/>
    <w:multiLevelType w:val="hybridMultilevel"/>
    <w:tmpl w:val="9DC40D5C"/>
    <w:lvl w:ilvl="0" w:tplc="DA22D98E">
      <w:start w:val="1"/>
      <w:numFmt w:val="lowerRoman"/>
      <w:lvlText w:val="B(%1).6"/>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587E4D"/>
    <w:multiLevelType w:val="hybridMultilevel"/>
    <w:tmpl w:val="0D9A4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6453D9"/>
    <w:multiLevelType w:val="hybridMultilevel"/>
    <w:tmpl w:val="F6D0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BD34A5"/>
    <w:multiLevelType w:val="hybridMultilevel"/>
    <w:tmpl w:val="A8CE6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082086C"/>
    <w:multiLevelType w:val="hybridMultilevel"/>
    <w:tmpl w:val="83EA1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0B81AAA"/>
    <w:multiLevelType w:val="hybridMultilevel"/>
    <w:tmpl w:val="2172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C73123"/>
    <w:multiLevelType w:val="hybridMultilevel"/>
    <w:tmpl w:val="7B249A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75E8169D"/>
    <w:multiLevelType w:val="hybridMultilevel"/>
    <w:tmpl w:val="5472349C"/>
    <w:lvl w:ilvl="0" w:tplc="BD723662">
      <w:start w:val="1"/>
      <w:numFmt w:val="decimal"/>
      <w:lvlText w:val="%1."/>
      <w:lvlJc w:val="left"/>
      <w:pPr>
        <w:ind w:left="720" w:hanging="360"/>
      </w:pPr>
      <w:rPr>
        <w:rFonts w:ascii="Arial" w:hAnsi="Arial" w:cs="Arial" w:hint="default"/>
        <w:b w:val="0"/>
        <w:i/>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4D033C"/>
    <w:multiLevelType w:val="multilevel"/>
    <w:tmpl w:val="B1E0822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5"/>
  </w:num>
  <w:num w:numId="3">
    <w:abstractNumId w:val="38"/>
  </w:num>
  <w:num w:numId="4">
    <w:abstractNumId w:val="16"/>
  </w:num>
  <w:num w:numId="5">
    <w:abstractNumId w:val="17"/>
  </w:num>
  <w:num w:numId="6">
    <w:abstractNumId w:val="30"/>
  </w:num>
  <w:num w:numId="7">
    <w:abstractNumId w:val="24"/>
  </w:num>
  <w:num w:numId="8">
    <w:abstractNumId w:val="36"/>
  </w:num>
  <w:num w:numId="9">
    <w:abstractNumId w:val="35"/>
  </w:num>
  <w:num w:numId="10">
    <w:abstractNumId w:val="20"/>
  </w:num>
  <w:num w:numId="11">
    <w:abstractNumId w:val="7"/>
  </w:num>
  <w:num w:numId="12">
    <w:abstractNumId w:val="8"/>
  </w:num>
  <w:num w:numId="13">
    <w:abstractNumId w:val="26"/>
  </w:num>
  <w:num w:numId="14">
    <w:abstractNumId w:val="12"/>
  </w:num>
  <w:num w:numId="15">
    <w:abstractNumId w:val="28"/>
  </w:num>
  <w:num w:numId="16">
    <w:abstractNumId w:val="33"/>
  </w:num>
  <w:num w:numId="17">
    <w:abstractNumId w:val="34"/>
  </w:num>
  <w:num w:numId="18">
    <w:abstractNumId w:val="31"/>
  </w:num>
  <w:num w:numId="19">
    <w:abstractNumId w:val="21"/>
  </w:num>
  <w:num w:numId="20">
    <w:abstractNumId w:val="13"/>
  </w:num>
  <w:num w:numId="21">
    <w:abstractNumId w:val="3"/>
  </w:num>
  <w:num w:numId="22">
    <w:abstractNumId w:val="9"/>
  </w:num>
  <w:num w:numId="23">
    <w:abstractNumId w:val="32"/>
  </w:num>
  <w:num w:numId="24">
    <w:abstractNumId w:val="23"/>
  </w:num>
  <w:num w:numId="25">
    <w:abstractNumId w:val="11"/>
  </w:num>
  <w:num w:numId="26">
    <w:abstractNumId w:val="6"/>
  </w:num>
  <w:num w:numId="27">
    <w:abstractNumId w:val="1"/>
  </w:num>
  <w:num w:numId="28">
    <w:abstractNumId w:val="22"/>
  </w:num>
  <w:num w:numId="29">
    <w:abstractNumId w:val="37"/>
  </w:num>
  <w:num w:numId="30">
    <w:abstractNumId w:val="2"/>
  </w:num>
  <w:num w:numId="31">
    <w:abstractNumId w:val="10"/>
  </w:num>
  <w:num w:numId="32">
    <w:abstractNumId w:val="19"/>
  </w:num>
  <w:num w:numId="33">
    <w:abstractNumId w:val="18"/>
  </w:num>
  <w:num w:numId="34">
    <w:abstractNumId w:val="27"/>
  </w:num>
  <w:num w:numId="35">
    <w:abstractNumId w:val="5"/>
  </w:num>
  <w:num w:numId="36">
    <w:abstractNumId w:val="0"/>
  </w:num>
  <w:num w:numId="37">
    <w:abstractNumId w:val="14"/>
  </w:num>
  <w:num w:numId="38">
    <w:abstractNumId w:val="15"/>
  </w:num>
  <w:num w:numId="39">
    <w:abstractNumId w:val="15"/>
  </w:num>
  <w:num w:numId="40">
    <w:abstractNumId w:val="15"/>
  </w:num>
  <w:num w:numId="41">
    <w:abstractNumId w:val="4"/>
  </w:num>
  <w:num w:numId="42">
    <w:abstractNumId w:val="2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b">
    <w15:presenceInfo w15:providerId="None" w15:userId="m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029"/>
    <w:rsid w:val="00001AB4"/>
    <w:rsid w:val="000027A1"/>
    <w:rsid w:val="000028D8"/>
    <w:rsid w:val="000035E8"/>
    <w:rsid w:val="00004E0D"/>
    <w:rsid w:val="00005964"/>
    <w:rsid w:val="000069B9"/>
    <w:rsid w:val="00010209"/>
    <w:rsid w:val="0001066F"/>
    <w:rsid w:val="00011A3B"/>
    <w:rsid w:val="00013222"/>
    <w:rsid w:val="00013DAA"/>
    <w:rsid w:val="00014AC0"/>
    <w:rsid w:val="00016B81"/>
    <w:rsid w:val="0002095B"/>
    <w:rsid w:val="00021751"/>
    <w:rsid w:val="00022EBD"/>
    <w:rsid w:val="00023078"/>
    <w:rsid w:val="00023E19"/>
    <w:rsid w:val="000266EB"/>
    <w:rsid w:val="00027DAC"/>
    <w:rsid w:val="00030A74"/>
    <w:rsid w:val="00031C22"/>
    <w:rsid w:val="00033BBA"/>
    <w:rsid w:val="00034404"/>
    <w:rsid w:val="00034D05"/>
    <w:rsid w:val="000356B7"/>
    <w:rsid w:val="00040A68"/>
    <w:rsid w:val="000461CF"/>
    <w:rsid w:val="00046A18"/>
    <w:rsid w:val="000475A9"/>
    <w:rsid w:val="00052385"/>
    <w:rsid w:val="00052885"/>
    <w:rsid w:val="00056010"/>
    <w:rsid w:val="000566AA"/>
    <w:rsid w:val="000566E6"/>
    <w:rsid w:val="00057C4E"/>
    <w:rsid w:val="00057CDB"/>
    <w:rsid w:val="00057F71"/>
    <w:rsid w:val="00060511"/>
    <w:rsid w:val="00061065"/>
    <w:rsid w:val="00062067"/>
    <w:rsid w:val="0006281D"/>
    <w:rsid w:val="000631A0"/>
    <w:rsid w:val="00063689"/>
    <w:rsid w:val="000639FB"/>
    <w:rsid w:val="0006488C"/>
    <w:rsid w:val="00064B80"/>
    <w:rsid w:val="00065C62"/>
    <w:rsid w:val="00065CDE"/>
    <w:rsid w:val="00065F4A"/>
    <w:rsid w:val="00071BAE"/>
    <w:rsid w:val="00072195"/>
    <w:rsid w:val="00075D7A"/>
    <w:rsid w:val="000804C1"/>
    <w:rsid w:val="00080FF3"/>
    <w:rsid w:val="000812E0"/>
    <w:rsid w:val="00082E77"/>
    <w:rsid w:val="000847FE"/>
    <w:rsid w:val="00086133"/>
    <w:rsid w:val="00086806"/>
    <w:rsid w:val="000878D7"/>
    <w:rsid w:val="00091029"/>
    <w:rsid w:val="00091201"/>
    <w:rsid w:val="00091D5E"/>
    <w:rsid w:val="0009343A"/>
    <w:rsid w:val="0009425E"/>
    <w:rsid w:val="0009534C"/>
    <w:rsid w:val="000967BC"/>
    <w:rsid w:val="000A151B"/>
    <w:rsid w:val="000A2694"/>
    <w:rsid w:val="000A2EF1"/>
    <w:rsid w:val="000A3C7E"/>
    <w:rsid w:val="000A4842"/>
    <w:rsid w:val="000A66B2"/>
    <w:rsid w:val="000A6EB7"/>
    <w:rsid w:val="000A6FBD"/>
    <w:rsid w:val="000A7325"/>
    <w:rsid w:val="000B14CE"/>
    <w:rsid w:val="000B16DE"/>
    <w:rsid w:val="000B2412"/>
    <w:rsid w:val="000B2DD0"/>
    <w:rsid w:val="000B56CD"/>
    <w:rsid w:val="000B662A"/>
    <w:rsid w:val="000B6978"/>
    <w:rsid w:val="000B6B69"/>
    <w:rsid w:val="000C0142"/>
    <w:rsid w:val="000C06A8"/>
    <w:rsid w:val="000C21BD"/>
    <w:rsid w:val="000C6A40"/>
    <w:rsid w:val="000C6A75"/>
    <w:rsid w:val="000D0023"/>
    <w:rsid w:val="000D008C"/>
    <w:rsid w:val="000D0912"/>
    <w:rsid w:val="000D2E92"/>
    <w:rsid w:val="000D5FB4"/>
    <w:rsid w:val="000D632F"/>
    <w:rsid w:val="000D75ED"/>
    <w:rsid w:val="000D7691"/>
    <w:rsid w:val="000E1329"/>
    <w:rsid w:val="000E5165"/>
    <w:rsid w:val="000E720B"/>
    <w:rsid w:val="000F0BC4"/>
    <w:rsid w:val="000F2534"/>
    <w:rsid w:val="000F2D33"/>
    <w:rsid w:val="000F3652"/>
    <w:rsid w:val="000F375B"/>
    <w:rsid w:val="000F6011"/>
    <w:rsid w:val="0010037E"/>
    <w:rsid w:val="001010D9"/>
    <w:rsid w:val="001017D0"/>
    <w:rsid w:val="00102AAE"/>
    <w:rsid w:val="00102EF6"/>
    <w:rsid w:val="00103F37"/>
    <w:rsid w:val="00107BE4"/>
    <w:rsid w:val="001118B1"/>
    <w:rsid w:val="001177F6"/>
    <w:rsid w:val="00121338"/>
    <w:rsid w:val="0012179E"/>
    <w:rsid w:val="00124216"/>
    <w:rsid w:val="0012701F"/>
    <w:rsid w:val="001275CE"/>
    <w:rsid w:val="001279AE"/>
    <w:rsid w:val="0013092C"/>
    <w:rsid w:val="00136550"/>
    <w:rsid w:val="00136A30"/>
    <w:rsid w:val="00136A7C"/>
    <w:rsid w:val="00136E76"/>
    <w:rsid w:val="0014294C"/>
    <w:rsid w:val="00145605"/>
    <w:rsid w:val="001468C6"/>
    <w:rsid w:val="00146C47"/>
    <w:rsid w:val="001508ED"/>
    <w:rsid w:val="00150B3B"/>
    <w:rsid w:val="00151C44"/>
    <w:rsid w:val="00153B10"/>
    <w:rsid w:val="00154B7C"/>
    <w:rsid w:val="00154DCB"/>
    <w:rsid w:val="00155FCE"/>
    <w:rsid w:val="00164D03"/>
    <w:rsid w:val="00165A49"/>
    <w:rsid w:val="001704C9"/>
    <w:rsid w:val="001722AD"/>
    <w:rsid w:val="00173577"/>
    <w:rsid w:val="001743E9"/>
    <w:rsid w:val="00174FFB"/>
    <w:rsid w:val="00175E56"/>
    <w:rsid w:val="0017638E"/>
    <w:rsid w:val="00176AA5"/>
    <w:rsid w:val="0017720E"/>
    <w:rsid w:val="00177893"/>
    <w:rsid w:val="001816A4"/>
    <w:rsid w:val="00184221"/>
    <w:rsid w:val="00184340"/>
    <w:rsid w:val="00186307"/>
    <w:rsid w:val="00186EBC"/>
    <w:rsid w:val="0019039A"/>
    <w:rsid w:val="00191F56"/>
    <w:rsid w:val="001926CE"/>
    <w:rsid w:val="00193603"/>
    <w:rsid w:val="00195DA4"/>
    <w:rsid w:val="001960FE"/>
    <w:rsid w:val="00196230"/>
    <w:rsid w:val="001A0142"/>
    <w:rsid w:val="001A02B2"/>
    <w:rsid w:val="001A3961"/>
    <w:rsid w:val="001A491F"/>
    <w:rsid w:val="001A78B5"/>
    <w:rsid w:val="001B00CE"/>
    <w:rsid w:val="001B06A3"/>
    <w:rsid w:val="001B0765"/>
    <w:rsid w:val="001B0B30"/>
    <w:rsid w:val="001B3086"/>
    <w:rsid w:val="001B504A"/>
    <w:rsid w:val="001B6389"/>
    <w:rsid w:val="001B6FAA"/>
    <w:rsid w:val="001C04CC"/>
    <w:rsid w:val="001C051E"/>
    <w:rsid w:val="001C08D9"/>
    <w:rsid w:val="001C3030"/>
    <w:rsid w:val="001C3058"/>
    <w:rsid w:val="001C4843"/>
    <w:rsid w:val="001C6548"/>
    <w:rsid w:val="001C748D"/>
    <w:rsid w:val="001D0827"/>
    <w:rsid w:val="001D0B5C"/>
    <w:rsid w:val="001D25C5"/>
    <w:rsid w:val="001D4516"/>
    <w:rsid w:val="001D5DE3"/>
    <w:rsid w:val="001D7533"/>
    <w:rsid w:val="001D7601"/>
    <w:rsid w:val="001E06E8"/>
    <w:rsid w:val="001E0777"/>
    <w:rsid w:val="001E4361"/>
    <w:rsid w:val="001E583F"/>
    <w:rsid w:val="001E5918"/>
    <w:rsid w:val="001E5EEA"/>
    <w:rsid w:val="001E696D"/>
    <w:rsid w:val="001F073C"/>
    <w:rsid w:val="001F1E0F"/>
    <w:rsid w:val="001F2912"/>
    <w:rsid w:val="001F461B"/>
    <w:rsid w:val="001F4DA7"/>
    <w:rsid w:val="001F6CD6"/>
    <w:rsid w:val="002001C6"/>
    <w:rsid w:val="00200296"/>
    <w:rsid w:val="002006A4"/>
    <w:rsid w:val="002018CF"/>
    <w:rsid w:val="00201ADB"/>
    <w:rsid w:val="002028CE"/>
    <w:rsid w:val="0020388D"/>
    <w:rsid w:val="002043BD"/>
    <w:rsid w:val="00205782"/>
    <w:rsid w:val="002058E5"/>
    <w:rsid w:val="00205FA1"/>
    <w:rsid w:val="00207EAC"/>
    <w:rsid w:val="00210153"/>
    <w:rsid w:val="00210FAA"/>
    <w:rsid w:val="0021677C"/>
    <w:rsid w:val="00216CB1"/>
    <w:rsid w:val="00216E2A"/>
    <w:rsid w:val="00217BD0"/>
    <w:rsid w:val="00217C3B"/>
    <w:rsid w:val="00220890"/>
    <w:rsid w:val="00220B9D"/>
    <w:rsid w:val="00221E53"/>
    <w:rsid w:val="00222FE3"/>
    <w:rsid w:val="002234A6"/>
    <w:rsid w:val="00223FF7"/>
    <w:rsid w:val="00230065"/>
    <w:rsid w:val="00232316"/>
    <w:rsid w:val="00233DCB"/>
    <w:rsid w:val="00234221"/>
    <w:rsid w:val="00234645"/>
    <w:rsid w:val="0024157D"/>
    <w:rsid w:val="00242556"/>
    <w:rsid w:val="002425EA"/>
    <w:rsid w:val="00242EA0"/>
    <w:rsid w:val="00243685"/>
    <w:rsid w:val="00243A1C"/>
    <w:rsid w:val="00244163"/>
    <w:rsid w:val="00245DDA"/>
    <w:rsid w:val="00246808"/>
    <w:rsid w:val="00250BAE"/>
    <w:rsid w:val="00252DCF"/>
    <w:rsid w:val="00254CBA"/>
    <w:rsid w:val="00255511"/>
    <w:rsid w:val="0025613F"/>
    <w:rsid w:val="002575BA"/>
    <w:rsid w:val="002610D6"/>
    <w:rsid w:val="00261DC6"/>
    <w:rsid w:val="00263022"/>
    <w:rsid w:val="00264623"/>
    <w:rsid w:val="002678EA"/>
    <w:rsid w:val="00267D90"/>
    <w:rsid w:val="002706CC"/>
    <w:rsid w:val="00273C92"/>
    <w:rsid w:val="00274F08"/>
    <w:rsid w:val="00276435"/>
    <w:rsid w:val="002800B1"/>
    <w:rsid w:val="00280B1A"/>
    <w:rsid w:val="00280B5B"/>
    <w:rsid w:val="00280F1B"/>
    <w:rsid w:val="002821A6"/>
    <w:rsid w:val="00282D1F"/>
    <w:rsid w:val="002836DF"/>
    <w:rsid w:val="00284050"/>
    <w:rsid w:val="002851D3"/>
    <w:rsid w:val="00285F67"/>
    <w:rsid w:val="0028662A"/>
    <w:rsid w:val="00286DC7"/>
    <w:rsid w:val="00287B5B"/>
    <w:rsid w:val="0029128C"/>
    <w:rsid w:val="00292022"/>
    <w:rsid w:val="002928F4"/>
    <w:rsid w:val="00296641"/>
    <w:rsid w:val="002968E4"/>
    <w:rsid w:val="002A0DE9"/>
    <w:rsid w:val="002A2BFC"/>
    <w:rsid w:val="002A347D"/>
    <w:rsid w:val="002A3816"/>
    <w:rsid w:val="002A4069"/>
    <w:rsid w:val="002A4503"/>
    <w:rsid w:val="002A4ACE"/>
    <w:rsid w:val="002A63F7"/>
    <w:rsid w:val="002A7EDF"/>
    <w:rsid w:val="002B0132"/>
    <w:rsid w:val="002B1253"/>
    <w:rsid w:val="002B421E"/>
    <w:rsid w:val="002B4941"/>
    <w:rsid w:val="002B5D74"/>
    <w:rsid w:val="002B6935"/>
    <w:rsid w:val="002B6E8F"/>
    <w:rsid w:val="002B7ADB"/>
    <w:rsid w:val="002C1D2F"/>
    <w:rsid w:val="002C28F5"/>
    <w:rsid w:val="002D210F"/>
    <w:rsid w:val="002D2FCA"/>
    <w:rsid w:val="002D34C2"/>
    <w:rsid w:val="002D4ADF"/>
    <w:rsid w:val="002D7823"/>
    <w:rsid w:val="002E067C"/>
    <w:rsid w:val="002E0B5A"/>
    <w:rsid w:val="002E2100"/>
    <w:rsid w:val="002E2748"/>
    <w:rsid w:val="002E42FD"/>
    <w:rsid w:val="002E4C2D"/>
    <w:rsid w:val="002E5C23"/>
    <w:rsid w:val="002E5DEA"/>
    <w:rsid w:val="002E60EE"/>
    <w:rsid w:val="002E6518"/>
    <w:rsid w:val="002E724A"/>
    <w:rsid w:val="002E79AD"/>
    <w:rsid w:val="002F0CC4"/>
    <w:rsid w:val="002F311E"/>
    <w:rsid w:val="002F507F"/>
    <w:rsid w:val="002F71B8"/>
    <w:rsid w:val="0030057F"/>
    <w:rsid w:val="00301EA1"/>
    <w:rsid w:val="00302BCD"/>
    <w:rsid w:val="00302FCC"/>
    <w:rsid w:val="003062AE"/>
    <w:rsid w:val="00306B8A"/>
    <w:rsid w:val="00306C7C"/>
    <w:rsid w:val="0031095A"/>
    <w:rsid w:val="00311BEA"/>
    <w:rsid w:val="00312050"/>
    <w:rsid w:val="0031340E"/>
    <w:rsid w:val="00315514"/>
    <w:rsid w:val="00316816"/>
    <w:rsid w:val="0031718D"/>
    <w:rsid w:val="00320350"/>
    <w:rsid w:val="00320734"/>
    <w:rsid w:val="00320DE6"/>
    <w:rsid w:val="00323150"/>
    <w:rsid w:val="0032513D"/>
    <w:rsid w:val="0032660D"/>
    <w:rsid w:val="003272E0"/>
    <w:rsid w:val="00332376"/>
    <w:rsid w:val="00334ACF"/>
    <w:rsid w:val="003351EE"/>
    <w:rsid w:val="00336E18"/>
    <w:rsid w:val="00340E8F"/>
    <w:rsid w:val="00341A14"/>
    <w:rsid w:val="00345736"/>
    <w:rsid w:val="00346560"/>
    <w:rsid w:val="00350108"/>
    <w:rsid w:val="00351381"/>
    <w:rsid w:val="00351582"/>
    <w:rsid w:val="00351C54"/>
    <w:rsid w:val="003530A6"/>
    <w:rsid w:val="00353627"/>
    <w:rsid w:val="00355F72"/>
    <w:rsid w:val="00357657"/>
    <w:rsid w:val="0036056C"/>
    <w:rsid w:val="00360F3D"/>
    <w:rsid w:val="0036125C"/>
    <w:rsid w:val="00363735"/>
    <w:rsid w:val="003639A6"/>
    <w:rsid w:val="003651AB"/>
    <w:rsid w:val="003679AE"/>
    <w:rsid w:val="00370C97"/>
    <w:rsid w:val="00372B7C"/>
    <w:rsid w:val="00374889"/>
    <w:rsid w:val="003804D9"/>
    <w:rsid w:val="0038281C"/>
    <w:rsid w:val="003851FE"/>
    <w:rsid w:val="00385A64"/>
    <w:rsid w:val="00385AC9"/>
    <w:rsid w:val="00386D1A"/>
    <w:rsid w:val="00391763"/>
    <w:rsid w:val="00392952"/>
    <w:rsid w:val="0039472B"/>
    <w:rsid w:val="00397170"/>
    <w:rsid w:val="00397AB7"/>
    <w:rsid w:val="003A3433"/>
    <w:rsid w:val="003A3BDD"/>
    <w:rsid w:val="003A537E"/>
    <w:rsid w:val="003A64C4"/>
    <w:rsid w:val="003A660F"/>
    <w:rsid w:val="003A6C13"/>
    <w:rsid w:val="003B095E"/>
    <w:rsid w:val="003B120D"/>
    <w:rsid w:val="003B1E69"/>
    <w:rsid w:val="003B20B7"/>
    <w:rsid w:val="003B21A0"/>
    <w:rsid w:val="003B5A1B"/>
    <w:rsid w:val="003B7FF6"/>
    <w:rsid w:val="003C06BD"/>
    <w:rsid w:val="003C0BF9"/>
    <w:rsid w:val="003C0EAF"/>
    <w:rsid w:val="003C1A9F"/>
    <w:rsid w:val="003C24EE"/>
    <w:rsid w:val="003C4BCE"/>
    <w:rsid w:val="003C5F28"/>
    <w:rsid w:val="003C6149"/>
    <w:rsid w:val="003C6ECA"/>
    <w:rsid w:val="003C71E7"/>
    <w:rsid w:val="003D11A9"/>
    <w:rsid w:val="003D2553"/>
    <w:rsid w:val="003D2640"/>
    <w:rsid w:val="003D2A37"/>
    <w:rsid w:val="003D37B8"/>
    <w:rsid w:val="003D50AB"/>
    <w:rsid w:val="003D69EF"/>
    <w:rsid w:val="003D7ADE"/>
    <w:rsid w:val="003D7F8C"/>
    <w:rsid w:val="003E08E0"/>
    <w:rsid w:val="003E0EDB"/>
    <w:rsid w:val="003E2D05"/>
    <w:rsid w:val="003E3376"/>
    <w:rsid w:val="003E6475"/>
    <w:rsid w:val="003F105A"/>
    <w:rsid w:val="003F283D"/>
    <w:rsid w:val="003F6199"/>
    <w:rsid w:val="00401223"/>
    <w:rsid w:val="004033BF"/>
    <w:rsid w:val="00403E16"/>
    <w:rsid w:val="00404442"/>
    <w:rsid w:val="0040502C"/>
    <w:rsid w:val="00406169"/>
    <w:rsid w:val="0040678F"/>
    <w:rsid w:val="00407416"/>
    <w:rsid w:val="00413D39"/>
    <w:rsid w:val="00415662"/>
    <w:rsid w:val="004158FD"/>
    <w:rsid w:val="00421379"/>
    <w:rsid w:val="00421450"/>
    <w:rsid w:val="004222CD"/>
    <w:rsid w:val="00427298"/>
    <w:rsid w:val="00427C59"/>
    <w:rsid w:val="00427E55"/>
    <w:rsid w:val="00430878"/>
    <w:rsid w:val="00430E9B"/>
    <w:rsid w:val="00431448"/>
    <w:rsid w:val="00433F89"/>
    <w:rsid w:val="0043494E"/>
    <w:rsid w:val="0043573B"/>
    <w:rsid w:val="00435E49"/>
    <w:rsid w:val="00437BB5"/>
    <w:rsid w:val="00441DF3"/>
    <w:rsid w:val="00442E49"/>
    <w:rsid w:val="00443C4C"/>
    <w:rsid w:val="00445917"/>
    <w:rsid w:val="00453BAE"/>
    <w:rsid w:val="00453D59"/>
    <w:rsid w:val="00453E00"/>
    <w:rsid w:val="00454493"/>
    <w:rsid w:val="00457CEA"/>
    <w:rsid w:val="0046108B"/>
    <w:rsid w:val="00461893"/>
    <w:rsid w:val="004619BB"/>
    <w:rsid w:val="00461F67"/>
    <w:rsid w:val="00464FD4"/>
    <w:rsid w:val="00465D3F"/>
    <w:rsid w:val="00465ED5"/>
    <w:rsid w:val="0046621E"/>
    <w:rsid w:val="00472D4D"/>
    <w:rsid w:val="0047320F"/>
    <w:rsid w:val="0047370F"/>
    <w:rsid w:val="004748C1"/>
    <w:rsid w:val="00474F37"/>
    <w:rsid w:val="00475E90"/>
    <w:rsid w:val="00477249"/>
    <w:rsid w:val="0048274C"/>
    <w:rsid w:val="00482A3B"/>
    <w:rsid w:val="0048420C"/>
    <w:rsid w:val="00485D34"/>
    <w:rsid w:val="00487325"/>
    <w:rsid w:val="004914E7"/>
    <w:rsid w:val="004919DD"/>
    <w:rsid w:val="00494F7C"/>
    <w:rsid w:val="00495951"/>
    <w:rsid w:val="00497E9E"/>
    <w:rsid w:val="004A2DF5"/>
    <w:rsid w:val="004A33AB"/>
    <w:rsid w:val="004A3AA2"/>
    <w:rsid w:val="004A4EF3"/>
    <w:rsid w:val="004A7472"/>
    <w:rsid w:val="004B035B"/>
    <w:rsid w:val="004B3270"/>
    <w:rsid w:val="004B34ED"/>
    <w:rsid w:val="004B3C00"/>
    <w:rsid w:val="004B5083"/>
    <w:rsid w:val="004B519D"/>
    <w:rsid w:val="004B562E"/>
    <w:rsid w:val="004B632B"/>
    <w:rsid w:val="004C10E2"/>
    <w:rsid w:val="004C40B0"/>
    <w:rsid w:val="004C7823"/>
    <w:rsid w:val="004C7F0F"/>
    <w:rsid w:val="004D04B5"/>
    <w:rsid w:val="004D1006"/>
    <w:rsid w:val="004D15E6"/>
    <w:rsid w:val="004D1DBC"/>
    <w:rsid w:val="004D23DE"/>
    <w:rsid w:val="004D45DF"/>
    <w:rsid w:val="004D5F6B"/>
    <w:rsid w:val="004D6C40"/>
    <w:rsid w:val="004D74EC"/>
    <w:rsid w:val="004D7EAB"/>
    <w:rsid w:val="004D7FA9"/>
    <w:rsid w:val="004E0C0B"/>
    <w:rsid w:val="004E1C72"/>
    <w:rsid w:val="004E2125"/>
    <w:rsid w:val="004E2F2E"/>
    <w:rsid w:val="004E38EA"/>
    <w:rsid w:val="004E3FF2"/>
    <w:rsid w:val="004E77EA"/>
    <w:rsid w:val="004E7AA0"/>
    <w:rsid w:val="004F064C"/>
    <w:rsid w:val="004F2192"/>
    <w:rsid w:val="004F2431"/>
    <w:rsid w:val="004F2AE4"/>
    <w:rsid w:val="004F3688"/>
    <w:rsid w:val="004F3AAE"/>
    <w:rsid w:val="004F4415"/>
    <w:rsid w:val="004F4BDE"/>
    <w:rsid w:val="004F4EEE"/>
    <w:rsid w:val="004F5F7B"/>
    <w:rsid w:val="004F6163"/>
    <w:rsid w:val="004F650F"/>
    <w:rsid w:val="004F6DF3"/>
    <w:rsid w:val="004F7CAC"/>
    <w:rsid w:val="005011F3"/>
    <w:rsid w:val="00501903"/>
    <w:rsid w:val="005028A4"/>
    <w:rsid w:val="005039FF"/>
    <w:rsid w:val="00504EB1"/>
    <w:rsid w:val="00505BFF"/>
    <w:rsid w:val="00506CAA"/>
    <w:rsid w:val="00507713"/>
    <w:rsid w:val="00507D3B"/>
    <w:rsid w:val="00510213"/>
    <w:rsid w:val="00510C0E"/>
    <w:rsid w:val="00511320"/>
    <w:rsid w:val="00513C62"/>
    <w:rsid w:val="005143F9"/>
    <w:rsid w:val="00514BA1"/>
    <w:rsid w:val="00516566"/>
    <w:rsid w:val="00517B21"/>
    <w:rsid w:val="00517C16"/>
    <w:rsid w:val="00520107"/>
    <w:rsid w:val="005218C3"/>
    <w:rsid w:val="00524579"/>
    <w:rsid w:val="005250D5"/>
    <w:rsid w:val="00525C76"/>
    <w:rsid w:val="005272FF"/>
    <w:rsid w:val="005302E2"/>
    <w:rsid w:val="00531C11"/>
    <w:rsid w:val="005331D7"/>
    <w:rsid w:val="00535C74"/>
    <w:rsid w:val="005361AB"/>
    <w:rsid w:val="00536979"/>
    <w:rsid w:val="00536EEF"/>
    <w:rsid w:val="005402F3"/>
    <w:rsid w:val="0054126A"/>
    <w:rsid w:val="005419CA"/>
    <w:rsid w:val="00541D43"/>
    <w:rsid w:val="00542068"/>
    <w:rsid w:val="005424F3"/>
    <w:rsid w:val="00542E86"/>
    <w:rsid w:val="00543607"/>
    <w:rsid w:val="00543AF9"/>
    <w:rsid w:val="00544E04"/>
    <w:rsid w:val="0054628A"/>
    <w:rsid w:val="00552235"/>
    <w:rsid w:val="005525CD"/>
    <w:rsid w:val="00553D8B"/>
    <w:rsid w:val="00554896"/>
    <w:rsid w:val="0055532F"/>
    <w:rsid w:val="005558A9"/>
    <w:rsid w:val="00555A7A"/>
    <w:rsid w:val="0055691A"/>
    <w:rsid w:val="00557168"/>
    <w:rsid w:val="00557852"/>
    <w:rsid w:val="005601BD"/>
    <w:rsid w:val="005616F8"/>
    <w:rsid w:val="00561D24"/>
    <w:rsid w:val="00571ECD"/>
    <w:rsid w:val="00571F16"/>
    <w:rsid w:val="005741D4"/>
    <w:rsid w:val="00576ADE"/>
    <w:rsid w:val="00577CFD"/>
    <w:rsid w:val="00577DEF"/>
    <w:rsid w:val="00577F4F"/>
    <w:rsid w:val="005807B5"/>
    <w:rsid w:val="0058305C"/>
    <w:rsid w:val="005837F1"/>
    <w:rsid w:val="0058463A"/>
    <w:rsid w:val="00587023"/>
    <w:rsid w:val="005908EA"/>
    <w:rsid w:val="005924A7"/>
    <w:rsid w:val="005948F6"/>
    <w:rsid w:val="005961D9"/>
    <w:rsid w:val="00597972"/>
    <w:rsid w:val="00597EB6"/>
    <w:rsid w:val="005A0284"/>
    <w:rsid w:val="005A0AAB"/>
    <w:rsid w:val="005A1978"/>
    <w:rsid w:val="005A2A12"/>
    <w:rsid w:val="005A536E"/>
    <w:rsid w:val="005A74B4"/>
    <w:rsid w:val="005A7683"/>
    <w:rsid w:val="005B0DCF"/>
    <w:rsid w:val="005B1F01"/>
    <w:rsid w:val="005B6BF8"/>
    <w:rsid w:val="005B7549"/>
    <w:rsid w:val="005C367F"/>
    <w:rsid w:val="005C3BD2"/>
    <w:rsid w:val="005C6285"/>
    <w:rsid w:val="005D2067"/>
    <w:rsid w:val="005D428A"/>
    <w:rsid w:val="005D489A"/>
    <w:rsid w:val="005D598D"/>
    <w:rsid w:val="005D5BA1"/>
    <w:rsid w:val="005D6068"/>
    <w:rsid w:val="005D622E"/>
    <w:rsid w:val="005D63D7"/>
    <w:rsid w:val="005D664D"/>
    <w:rsid w:val="005D68BA"/>
    <w:rsid w:val="005D7862"/>
    <w:rsid w:val="005D79C9"/>
    <w:rsid w:val="005E22FF"/>
    <w:rsid w:val="005E49B2"/>
    <w:rsid w:val="005E4A0E"/>
    <w:rsid w:val="005E4DC0"/>
    <w:rsid w:val="005E6E62"/>
    <w:rsid w:val="005E6FAD"/>
    <w:rsid w:val="005F0AE8"/>
    <w:rsid w:val="005F2A6B"/>
    <w:rsid w:val="005F40C1"/>
    <w:rsid w:val="005F4AB9"/>
    <w:rsid w:val="005F6448"/>
    <w:rsid w:val="005F7ACD"/>
    <w:rsid w:val="005F7B4A"/>
    <w:rsid w:val="006024D3"/>
    <w:rsid w:val="00604104"/>
    <w:rsid w:val="00605CEA"/>
    <w:rsid w:val="00606340"/>
    <w:rsid w:val="00606B48"/>
    <w:rsid w:val="00606EF9"/>
    <w:rsid w:val="0060706A"/>
    <w:rsid w:val="006070C4"/>
    <w:rsid w:val="00607758"/>
    <w:rsid w:val="00610D5E"/>
    <w:rsid w:val="006110E8"/>
    <w:rsid w:val="00612B40"/>
    <w:rsid w:val="00612C86"/>
    <w:rsid w:val="00613100"/>
    <w:rsid w:val="00613467"/>
    <w:rsid w:val="00613913"/>
    <w:rsid w:val="006142C8"/>
    <w:rsid w:val="00614979"/>
    <w:rsid w:val="00614A6D"/>
    <w:rsid w:val="00615469"/>
    <w:rsid w:val="00615DAC"/>
    <w:rsid w:val="00615DD4"/>
    <w:rsid w:val="00616E2A"/>
    <w:rsid w:val="0062271D"/>
    <w:rsid w:val="00624315"/>
    <w:rsid w:val="0062545B"/>
    <w:rsid w:val="0062552A"/>
    <w:rsid w:val="0062770D"/>
    <w:rsid w:val="00632E2E"/>
    <w:rsid w:val="00633282"/>
    <w:rsid w:val="006332BE"/>
    <w:rsid w:val="00633D46"/>
    <w:rsid w:val="0063559B"/>
    <w:rsid w:val="006408C3"/>
    <w:rsid w:val="00643765"/>
    <w:rsid w:val="0064568A"/>
    <w:rsid w:val="0064620D"/>
    <w:rsid w:val="006468DF"/>
    <w:rsid w:val="00647CC4"/>
    <w:rsid w:val="00650D7A"/>
    <w:rsid w:val="00651245"/>
    <w:rsid w:val="00651EDB"/>
    <w:rsid w:val="00653633"/>
    <w:rsid w:val="00656294"/>
    <w:rsid w:val="0065689B"/>
    <w:rsid w:val="0065712C"/>
    <w:rsid w:val="00657754"/>
    <w:rsid w:val="00657A4B"/>
    <w:rsid w:val="00660D62"/>
    <w:rsid w:val="00660E82"/>
    <w:rsid w:val="00661286"/>
    <w:rsid w:val="00662C86"/>
    <w:rsid w:val="00662DFF"/>
    <w:rsid w:val="006633E5"/>
    <w:rsid w:val="00664356"/>
    <w:rsid w:val="00664C45"/>
    <w:rsid w:val="00664E79"/>
    <w:rsid w:val="00666074"/>
    <w:rsid w:val="00672120"/>
    <w:rsid w:val="006733A0"/>
    <w:rsid w:val="00673EE8"/>
    <w:rsid w:val="00675444"/>
    <w:rsid w:val="0068374A"/>
    <w:rsid w:val="00683CDF"/>
    <w:rsid w:val="0068435B"/>
    <w:rsid w:val="00687EE3"/>
    <w:rsid w:val="0069044E"/>
    <w:rsid w:val="0069090C"/>
    <w:rsid w:val="00691216"/>
    <w:rsid w:val="006915A6"/>
    <w:rsid w:val="00691913"/>
    <w:rsid w:val="00692FB3"/>
    <w:rsid w:val="00696663"/>
    <w:rsid w:val="00696A15"/>
    <w:rsid w:val="00697339"/>
    <w:rsid w:val="006A0712"/>
    <w:rsid w:val="006A138B"/>
    <w:rsid w:val="006A200C"/>
    <w:rsid w:val="006A3C0E"/>
    <w:rsid w:val="006A3DEA"/>
    <w:rsid w:val="006B0B04"/>
    <w:rsid w:val="006B140A"/>
    <w:rsid w:val="006B3961"/>
    <w:rsid w:val="006C26F8"/>
    <w:rsid w:val="006C2F18"/>
    <w:rsid w:val="006C3D70"/>
    <w:rsid w:val="006C4859"/>
    <w:rsid w:val="006C4906"/>
    <w:rsid w:val="006C4A09"/>
    <w:rsid w:val="006C5AF2"/>
    <w:rsid w:val="006D0997"/>
    <w:rsid w:val="006D0CA3"/>
    <w:rsid w:val="006D2AF7"/>
    <w:rsid w:val="006D3271"/>
    <w:rsid w:val="006D3AD7"/>
    <w:rsid w:val="006E1C1A"/>
    <w:rsid w:val="006E3133"/>
    <w:rsid w:val="006E4189"/>
    <w:rsid w:val="006E60AD"/>
    <w:rsid w:val="006E7302"/>
    <w:rsid w:val="006F0F55"/>
    <w:rsid w:val="006F161E"/>
    <w:rsid w:val="006F21CC"/>
    <w:rsid w:val="006F29F3"/>
    <w:rsid w:val="006F5548"/>
    <w:rsid w:val="006F6759"/>
    <w:rsid w:val="006F7ACC"/>
    <w:rsid w:val="00700553"/>
    <w:rsid w:val="00704BC2"/>
    <w:rsid w:val="00707082"/>
    <w:rsid w:val="00707572"/>
    <w:rsid w:val="00710818"/>
    <w:rsid w:val="00711DBF"/>
    <w:rsid w:val="00712C73"/>
    <w:rsid w:val="00716E0D"/>
    <w:rsid w:val="00720192"/>
    <w:rsid w:val="00723AB1"/>
    <w:rsid w:val="00723E1E"/>
    <w:rsid w:val="0072686F"/>
    <w:rsid w:val="007305B9"/>
    <w:rsid w:val="007318B6"/>
    <w:rsid w:val="007318C6"/>
    <w:rsid w:val="00732031"/>
    <w:rsid w:val="00734971"/>
    <w:rsid w:val="00734BB3"/>
    <w:rsid w:val="00735233"/>
    <w:rsid w:val="00737847"/>
    <w:rsid w:val="00737ABE"/>
    <w:rsid w:val="00737D58"/>
    <w:rsid w:val="00737F36"/>
    <w:rsid w:val="007408DC"/>
    <w:rsid w:val="00742A27"/>
    <w:rsid w:val="00744048"/>
    <w:rsid w:val="00746074"/>
    <w:rsid w:val="00747333"/>
    <w:rsid w:val="00747F88"/>
    <w:rsid w:val="007509A6"/>
    <w:rsid w:val="00750B5A"/>
    <w:rsid w:val="00751984"/>
    <w:rsid w:val="00755453"/>
    <w:rsid w:val="007604A3"/>
    <w:rsid w:val="007633B0"/>
    <w:rsid w:val="00767D0B"/>
    <w:rsid w:val="00767F3A"/>
    <w:rsid w:val="007715D2"/>
    <w:rsid w:val="00772501"/>
    <w:rsid w:val="00772C70"/>
    <w:rsid w:val="007747B9"/>
    <w:rsid w:val="00775431"/>
    <w:rsid w:val="00776F8D"/>
    <w:rsid w:val="0077783A"/>
    <w:rsid w:val="00784392"/>
    <w:rsid w:val="007847FA"/>
    <w:rsid w:val="00790910"/>
    <w:rsid w:val="00791DE1"/>
    <w:rsid w:val="00793534"/>
    <w:rsid w:val="00793ACF"/>
    <w:rsid w:val="0079407D"/>
    <w:rsid w:val="00795589"/>
    <w:rsid w:val="007972B7"/>
    <w:rsid w:val="007A3721"/>
    <w:rsid w:val="007A3A8C"/>
    <w:rsid w:val="007A420C"/>
    <w:rsid w:val="007A53BF"/>
    <w:rsid w:val="007A647D"/>
    <w:rsid w:val="007B0455"/>
    <w:rsid w:val="007B0E0C"/>
    <w:rsid w:val="007B0E55"/>
    <w:rsid w:val="007B307B"/>
    <w:rsid w:val="007B34DD"/>
    <w:rsid w:val="007B6C28"/>
    <w:rsid w:val="007C1009"/>
    <w:rsid w:val="007C12F7"/>
    <w:rsid w:val="007C2646"/>
    <w:rsid w:val="007C26E5"/>
    <w:rsid w:val="007C2C99"/>
    <w:rsid w:val="007C3375"/>
    <w:rsid w:val="007C4F1D"/>
    <w:rsid w:val="007C720A"/>
    <w:rsid w:val="007D0058"/>
    <w:rsid w:val="007D1092"/>
    <w:rsid w:val="007D2621"/>
    <w:rsid w:val="007D3E52"/>
    <w:rsid w:val="007D4886"/>
    <w:rsid w:val="007D51A5"/>
    <w:rsid w:val="007D64AD"/>
    <w:rsid w:val="007D6C1F"/>
    <w:rsid w:val="007D7D3C"/>
    <w:rsid w:val="007E1476"/>
    <w:rsid w:val="007E16BA"/>
    <w:rsid w:val="007E1C6F"/>
    <w:rsid w:val="007E2B72"/>
    <w:rsid w:val="007E2DF7"/>
    <w:rsid w:val="007E3562"/>
    <w:rsid w:val="007E676D"/>
    <w:rsid w:val="007F08CA"/>
    <w:rsid w:val="007F1D8A"/>
    <w:rsid w:val="007F22C2"/>
    <w:rsid w:val="007F3B6E"/>
    <w:rsid w:val="007F4159"/>
    <w:rsid w:val="007F5D3C"/>
    <w:rsid w:val="007F6A6E"/>
    <w:rsid w:val="007F7F02"/>
    <w:rsid w:val="0080455E"/>
    <w:rsid w:val="0080553E"/>
    <w:rsid w:val="008058E8"/>
    <w:rsid w:val="00805FD3"/>
    <w:rsid w:val="00806434"/>
    <w:rsid w:val="0081266C"/>
    <w:rsid w:val="00813288"/>
    <w:rsid w:val="00814C2C"/>
    <w:rsid w:val="008153F5"/>
    <w:rsid w:val="00815885"/>
    <w:rsid w:val="00816EEA"/>
    <w:rsid w:val="00817165"/>
    <w:rsid w:val="008214B0"/>
    <w:rsid w:val="00821781"/>
    <w:rsid w:val="00821A29"/>
    <w:rsid w:val="00823233"/>
    <w:rsid w:val="00823A68"/>
    <w:rsid w:val="00824426"/>
    <w:rsid w:val="00826B3B"/>
    <w:rsid w:val="00827861"/>
    <w:rsid w:val="00830E52"/>
    <w:rsid w:val="008315F2"/>
    <w:rsid w:val="008324E3"/>
    <w:rsid w:val="0083368A"/>
    <w:rsid w:val="00834DD9"/>
    <w:rsid w:val="0083570C"/>
    <w:rsid w:val="00836E8D"/>
    <w:rsid w:val="008419BF"/>
    <w:rsid w:val="0084250D"/>
    <w:rsid w:val="0084332C"/>
    <w:rsid w:val="0084441B"/>
    <w:rsid w:val="00845946"/>
    <w:rsid w:val="00845DF9"/>
    <w:rsid w:val="00846359"/>
    <w:rsid w:val="008467BD"/>
    <w:rsid w:val="00846BCA"/>
    <w:rsid w:val="008476A0"/>
    <w:rsid w:val="00851D6A"/>
    <w:rsid w:val="00852F38"/>
    <w:rsid w:val="008534BB"/>
    <w:rsid w:val="00854C36"/>
    <w:rsid w:val="00856813"/>
    <w:rsid w:val="008568E1"/>
    <w:rsid w:val="00856C34"/>
    <w:rsid w:val="00857594"/>
    <w:rsid w:val="00864BCC"/>
    <w:rsid w:val="00865A81"/>
    <w:rsid w:val="00865DC1"/>
    <w:rsid w:val="00866618"/>
    <w:rsid w:val="00870089"/>
    <w:rsid w:val="0087089F"/>
    <w:rsid w:val="00872C0E"/>
    <w:rsid w:val="008750F9"/>
    <w:rsid w:val="00875341"/>
    <w:rsid w:val="0087536F"/>
    <w:rsid w:val="008757A4"/>
    <w:rsid w:val="0087667A"/>
    <w:rsid w:val="00876ECE"/>
    <w:rsid w:val="00880A40"/>
    <w:rsid w:val="00884E77"/>
    <w:rsid w:val="008853CC"/>
    <w:rsid w:val="008869F4"/>
    <w:rsid w:val="00891E0E"/>
    <w:rsid w:val="00893EEF"/>
    <w:rsid w:val="00894C1B"/>
    <w:rsid w:val="00897559"/>
    <w:rsid w:val="008A1DD8"/>
    <w:rsid w:val="008A2475"/>
    <w:rsid w:val="008A2E9D"/>
    <w:rsid w:val="008A3722"/>
    <w:rsid w:val="008A3C58"/>
    <w:rsid w:val="008A430F"/>
    <w:rsid w:val="008A47C0"/>
    <w:rsid w:val="008A4880"/>
    <w:rsid w:val="008A4E5A"/>
    <w:rsid w:val="008A52B1"/>
    <w:rsid w:val="008A6B62"/>
    <w:rsid w:val="008B196D"/>
    <w:rsid w:val="008B2DC6"/>
    <w:rsid w:val="008B2E83"/>
    <w:rsid w:val="008B5B32"/>
    <w:rsid w:val="008C24A6"/>
    <w:rsid w:val="008C35E5"/>
    <w:rsid w:val="008C5C18"/>
    <w:rsid w:val="008C6E64"/>
    <w:rsid w:val="008C71CF"/>
    <w:rsid w:val="008D49CA"/>
    <w:rsid w:val="008D6431"/>
    <w:rsid w:val="008D78FF"/>
    <w:rsid w:val="008E1949"/>
    <w:rsid w:val="008E4E33"/>
    <w:rsid w:val="008E5197"/>
    <w:rsid w:val="008E5D75"/>
    <w:rsid w:val="008F0D54"/>
    <w:rsid w:val="008F203C"/>
    <w:rsid w:val="008F414E"/>
    <w:rsid w:val="008F47ED"/>
    <w:rsid w:val="008F6508"/>
    <w:rsid w:val="008F6835"/>
    <w:rsid w:val="008F71E9"/>
    <w:rsid w:val="008F77A6"/>
    <w:rsid w:val="008F791B"/>
    <w:rsid w:val="008F7BF6"/>
    <w:rsid w:val="0090048F"/>
    <w:rsid w:val="0090270D"/>
    <w:rsid w:val="009043DC"/>
    <w:rsid w:val="009148BA"/>
    <w:rsid w:val="00914DA7"/>
    <w:rsid w:val="00915F63"/>
    <w:rsid w:val="00917028"/>
    <w:rsid w:val="009177E9"/>
    <w:rsid w:val="0092606A"/>
    <w:rsid w:val="009268E3"/>
    <w:rsid w:val="0092774C"/>
    <w:rsid w:val="009313A2"/>
    <w:rsid w:val="00931C16"/>
    <w:rsid w:val="009322D7"/>
    <w:rsid w:val="009331CF"/>
    <w:rsid w:val="009334AC"/>
    <w:rsid w:val="00937486"/>
    <w:rsid w:val="009401FE"/>
    <w:rsid w:val="00940446"/>
    <w:rsid w:val="00942010"/>
    <w:rsid w:val="0094320A"/>
    <w:rsid w:val="00943327"/>
    <w:rsid w:val="0094349E"/>
    <w:rsid w:val="0094394F"/>
    <w:rsid w:val="009454F2"/>
    <w:rsid w:val="00945660"/>
    <w:rsid w:val="00945A32"/>
    <w:rsid w:val="00946823"/>
    <w:rsid w:val="0095089F"/>
    <w:rsid w:val="00950D97"/>
    <w:rsid w:val="00950F24"/>
    <w:rsid w:val="0095170D"/>
    <w:rsid w:val="00951D42"/>
    <w:rsid w:val="0095307F"/>
    <w:rsid w:val="00953F06"/>
    <w:rsid w:val="00955526"/>
    <w:rsid w:val="00960111"/>
    <w:rsid w:val="00960F6B"/>
    <w:rsid w:val="00962694"/>
    <w:rsid w:val="00963B21"/>
    <w:rsid w:val="00965909"/>
    <w:rsid w:val="00965BEB"/>
    <w:rsid w:val="00966458"/>
    <w:rsid w:val="00966C09"/>
    <w:rsid w:val="0097040D"/>
    <w:rsid w:val="00973591"/>
    <w:rsid w:val="00973610"/>
    <w:rsid w:val="00975236"/>
    <w:rsid w:val="009760EF"/>
    <w:rsid w:val="00980386"/>
    <w:rsid w:val="009809C7"/>
    <w:rsid w:val="009813A5"/>
    <w:rsid w:val="00981EB9"/>
    <w:rsid w:val="00984441"/>
    <w:rsid w:val="009844CF"/>
    <w:rsid w:val="00984DD8"/>
    <w:rsid w:val="00985950"/>
    <w:rsid w:val="00985F22"/>
    <w:rsid w:val="00986D61"/>
    <w:rsid w:val="0098712C"/>
    <w:rsid w:val="0098784B"/>
    <w:rsid w:val="009907C6"/>
    <w:rsid w:val="0099085F"/>
    <w:rsid w:val="009912CA"/>
    <w:rsid w:val="009925DB"/>
    <w:rsid w:val="00992AF5"/>
    <w:rsid w:val="00993CC9"/>
    <w:rsid w:val="00993D9F"/>
    <w:rsid w:val="00994125"/>
    <w:rsid w:val="00994AAD"/>
    <w:rsid w:val="00995B7D"/>
    <w:rsid w:val="009972AF"/>
    <w:rsid w:val="009A3A1C"/>
    <w:rsid w:val="009A4C75"/>
    <w:rsid w:val="009A5C44"/>
    <w:rsid w:val="009A5EA0"/>
    <w:rsid w:val="009A603A"/>
    <w:rsid w:val="009A61CB"/>
    <w:rsid w:val="009A6F74"/>
    <w:rsid w:val="009B1F25"/>
    <w:rsid w:val="009B2758"/>
    <w:rsid w:val="009B3293"/>
    <w:rsid w:val="009B376D"/>
    <w:rsid w:val="009B3AEA"/>
    <w:rsid w:val="009B6EEA"/>
    <w:rsid w:val="009C18D2"/>
    <w:rsid w:val="009C3594"/>
    <w:rsid w:val="009C5DB6"/>
    <w:rsid w:val="009C5E02"/>
    <w:rsid w:val="009D0F4A"/>
    <w:rsid w:val="009D3628"/>
    <w:rsid w:val="009D3CEF"/>
    <w:rsid w:val="009D4379"/>
    <w:rsid w:val="009D4C2A"/>
    <w:rsid w:val="009D55E8"/>
    <w:rsid w:val="009D6914"/>
    <w:rsid w:val="009E078C"/>
    <w:rsid w:val="009E0855"/>
    <w:rsid w:val="009E0D28"/>
    <w:rsid w:val="009E13D9"/>
    <w:rsid w:val="009E1902"/>
    <w:rsid w:val="009E1C22"/>
    <w:rsid w:val="009E2481"/>
    <w:rsid w:val="009E29BC"/>
    <w:rsid w:val="009E2DA3"/>
    <w:rsid w:val="009E358E"/>
    <w:rsid w:val="009E5200"/>
    <w:rsid w:val="009E6B78"/>
    <w:rsid w:val="009E6F4B"/>
    <w:rsid w:val="009F1F5F"/>
    <w:rsid w:val="009F3631"/>
    <w:rsid w:val="009F3790"/>
    <w:rsid w:val="009F7665"/>
    <w:rsid w:val="009F7CEB"/>
    <w:rsid w:val="00A02D36"/>
    <w:rsid w:val="00A02E3C"/>
    <w:rsid w:val="00A040FD"/>
    <w:rsid w:val="00A0426A"/>
    <w:rsid w:val="00A04C0D"/>
    <w:rsid w:val="00A07002"/>
    <w:rsid w:val="00A07A7F"/>
    <w:rsid w:val="00A1048B"/>
    <w:rsid w:val="00A124F1"/>
    <w:rsid w:val="00A12983"/>
    <w:rsid w:val="00A15F31"/>
    <w:rsid w:val="00A16710"/>
    <w:rsid w:val="00A176D2"/>
    <w:rsid w:val="00A209A0"/>
    <w:rsid w:val="00A20B1A"/>
    <w:rsid w:val="00A2265F"/>
    <w:rsid w:val="00A22A39"/>
    <w:rsid w:val="00A233B5"/>
    <w:rsid w:val="00A24D2F"/>
    <w:rsid w:val="00A320CE"/>
    <w:rsid w:val="00A34018"/>
    <w:rsid w:val="00A352BB"/>
    <w:rsid w:val="00A35F15"/>
    <w:rsid w:val="00A36332"/>
    <w:rsid w:val="00A36826"/>
    <w:rsid w:val="00A416E9"/>
    <w:rsid w:val="00A41E5D"/>
    <w:rsid w:val="00A4664E"/>
    <w:rsid w:val="00A47270"/>
    <w:rsid w:val="00A50031"/>
    <w:rsid w:val="00A517E4"/>
    <w:rsid w:val="00A5271A"/>
    <w:rsid w:val="00A52DCA"/>
    <w:rsid w:val="00A535FB"/>
    <w:rsid w:val="00A54F1F"/>
    <w:rsid w:val="00A56650"/>
    <w:rsid w:val="00A6297F"/>
    <w:rsid w:val="00A6374D"/>
    <w:rsid w:val="00A64956"/>
    <w:rsid w:val="00A65A12"/>
    <w:rsid w:val="00A67177"/>
    <w:rsid w:val="00A67758"/>
    <w:rsid w:val="00A703AF"/>
    <w:rsid w:val="00A719D6"/>
    <w:rsid w:val="00A73DA1"/>
    <w:rsid w:val="00A8101A"/>
    <w:rsid w:val="00A81CF1"/>
    <w:rsid w:val="00A81F82"/>
    <w:rsid w:val="00A8310D"/>
    <w:rsid w:val="00A841B0"/>
    <w:rsid w:val="00A85A2B"/>
    <w:rsid w:val="00A8645A"/>
    <w:rsid w:val="00A866D4"/>
    <w:rsid w:val="00A93543"/>
    <w:rsid w:val="00A94EFC"/>
    <w:rsid w:val="00A95D75"/>
    <w:rsid w:val="00A97CD0"/>
    <w:rsid w:val="00A97CE0"/>
    <w:rsid w:val="00AA1681"/>
    <w:rsid w:val="00AA1693"/>
    <w:rsid w:val="00AA2FA1"/>
    <w:rsid w:val="00AA3D71"/>
    <w:rsid w:val="00AA51C1"/>
    <w:rsid w:val="00AA5EB9"/>
    <w:rsid w:val="00AA606E"/>
    <w:rsid w:val="00AA6156"/>
    <w:rsid w:val="00AA73AC"/>
    <w:rsid w:val="00AA7B77"/>
    <w:rsid w:val="00AB10DB"/>
    <w:rsid w:val="00AB187A"/>
    <w:rsid w:val="00AB1936"/>
    <w:rsid w:val="00AB23CF"/>
    <w:rsid w:val="00AB45BC"/>
    <w:rsid w:val="00AB514A"/>
    <w:rsid w:val="00AC50E3"/>
    <w:rsid w:val="00AC5BFA"/>
    <w:rsid w:val="00AC6B26"/>
    <w:rsid w:val="00AC7E05"/>
    <w:rsid w:val="00AD167B"/>
    <w:rsid w:val="00AD22E0"/>
    <w:rsid w:val="00AD2CE4"/>
    <w:rsid w:val="00AD377A"/>
    <w:rsid w:val="00AD506D"/>
    <w:rsid w:val="00AD51C9"/>
    <w:rsid w:val="00AD54D7"/>
    <w:rsid w:val="00AD75E9"/>
    <w:rsid w:val="00AD7BCD"/>
    <w:rsid w:val="00AE001D"/>
    <w:rsid w:val="00AE1ECC"/>
    <w:rsid w:val="00AE2A68"/>
    <w:rsid w:val="00AE513E"/>
    <w:rsid w:val="00AE778E"/>
    <w:rsid w:val="00AE7AA8"/>
    <w:rsid w:val="00AF0DF9"/>
    <w:rsid w:val="00AF13EB"/>
    <w:rsid w:val="00AF3363"/>
    <w:rsid w:val="00AF47F6"/>
    <w:rsid w:val="00AF4BE4"/>
    <w:rsid w:val="00B00B70"/>
    <w:rsid w:val="00B05A6C"/>
    <w:rsid w:val="00B06A0C"/>
    <w:rsid w:val="00B10994"/>
    <w:rsid w:val="00B10C3C"/>
    <w:rsid w:val="00B10EE5"/>
    <w:rsid w:val="00B11EA0"/>
    <w:rsid w:val="00B134D1"/>
    <w:rsid w:val="00B14669"/>
    <w:rsid w:val="00B15C54"/>
    <w:rsid w:val="00B17FDB"/>
    <w:rsid w:val="00B21BB1"/>
    <w:rsid w:val="00B23562"/>
    <w:rsid w:val="00B23C41"/>
    <w:rsid w:val="00B25D68"/>
    <w:rsid w:val="00B26950"/>
    <w:rsid w:val="00B26D86"/>
    <w:rsid w:val="00B2777B"/>
    <w:rsid w:val="00B31221"/>
    <w:rsid w:val="00B32056"/>
    <w:rsid w:val="00B32C1D"/>
    <w:rsid w:val="00B32E7D"/>
    <w:rsid w:val="00B33D10"/>
    <w:rsid w:val="00B358ED"/>
    <w:rsid w:val="00B360B0"/>
    <w:rsid w:val="00B37186"/>
    <w:rsid w:val="00B40DB1"/>
    <w:rsid w:val="00B41252"/>
    <w:rsid w:val="00B4176C"/>
    <w:rsid w:val="00B42616"/>
    <w:rsid w:val="00B46581"/>
    <w:rsid w:val="00B47CD1"/>
    <w:rsid w:val="00B52714"/>
    <w:rsid w:val="00B539FB"/>
    <w:rsid w:val="00B54794"/>
    <w:rsid w:val="00B55270"/>
    <w:rsid w:val="00B56436"/>
    <w:rsid w:val="00B61C37"/>
    <w:rsid w:val="00B6367E"/>
    <w:rsid w:val="00B63B06"/>
    <w:rsid w:val="00B63F94"/>
    <w:rsid w:val="00B66C37"/>
    <w:rsid w:val="00B67119"/>
    <w:rsid w:val="00B71467"/>
    <w:rsid w:val="00B71675"/>
    <w:rsid w:val="00B71B62"/>
    <w:rsid w:val="00B71BDD"/>
    <w:rsid w:val="00B74487"/>
    <w:rsid w:val="00B746A3"/>
    <w:rsid w:val="00B75BC0"/>
    <w:rsid w:val="00B77324"/>
    <w:rsid w:val="00B7796D"/>
    <w:rsid w:val="00B80B83"/>
    <w:rsid w:val="00B81A5A"/>
    <w:rsid w:val="00B81F72"/>
    <w:rsid w:val="00B83DAE"/>
    <w:rsid w:val="00B863A0"/>
    <w:rsid w:val="00B90753"/>
    <w:rsid w:val="00B909C7"/>
    <w:rsid w:val="00B90CC3"/>
    <w:rsid w:val="00B915D3"/>
    <w:rsid w:val="00B91D6F"/>
    <w:rsid w:val="00B938D2"/>
    <w:rsid w:val="00B94B77"/>
    <w:rsid w:val="00B9629D"/>
    <w:rsid w:val="00B969E9"/>
    <w:rsid w:val="00B96F30"/>
    <w:rsid w:val="00B979BD"/>
    <w:rsid w:val="00B97C62"/>
    <w:rsid w:val="00BA01AB"/>
    <w:rsid w:val="00BA1738"/>
    <w:rsid w:val="00BA3306"/>
    <w:rsid w:val="00BA73EE"/>
    <w:rsid w:val="00BB047C"/>
    <w:rsid w:val="00BB233E"/>
    <w:rsid w:val="00BB237B"/>
    <w:rsid w:val="00BB33CD"/>
    <w:rsid w:val="00BB4EDD"/>
    <w:rsid w:val="00BB5F04"/>
    <w:rsid w:val="00BB7C88"/>
    <w:rsid w:val="00BC0FE9"/>
    <w:rsid w:val="00BC63AD"/>
    <w:rsid w:val="00BC7FCB"/>
    <w:rsid w:val="00BD03EC"/>
    <w:rsid w:val="00BD13C9"/>
    <w:rsid w:val="00BD1FAD"/>
    <w:rsid w:val="00BD6AA3"/>
    <w:rsid w:val="00BD6AB1"/>
    <w:rsid w:val="00BE3CAA"/>
    <w:rsid w:val="00BE3E5F"/>
    <w:rsid w:val="00BE3EFE"/>
    <w:rsid w:val="00BE5163"/>
    <w:rsid w:val="00BE583A"/>
    <w:rsid w:val="00BF01CD"/>
    <w:rsid w:val="00BF095E"/>
    <w:rsid w:val="00BF3567"/>
    <w:rsid w:val="00BF4951"/>
    <w:rsid w:val="00BF6DB7"/>
    <w:rsid w:val="00C001C0"/>
    <w:rsid w:val="00C030D0"/>
    <w:rsid w:val="00C05AA0"/>
    <w:rsid w:val="00C05E40"/>
    <w:rsid w:val="00C06418"/>
    <w:rsid w:val="00C06ECD"/>
    <w:rsid w:val="00C06F35"/>
    <w:rsid w:val="00C070D0"/>
    <w:rsid w:val="00C07417"/>
    <w:rsid w:val="00C07BBA"/>
    <w:rsid w:val="00C104C2"/>
    <w:rsid w:val="00C10CB1"/>
    <w:rsid w:val="00C11033"/>
    <w:rsid w:val="00C11351"/>
    <w:rsid w:val="00C12979"/>
    <w:rsid w:val="00C1729A"/>
    <w:rsid w:val="00C21C78"/>
    <w:rsid w:val="00C223B9"/>
    <w:rsid w:val="00C23FEA"/>
    <w:rsid w:val="00C317F3"/>
    <w:rsid w:val="00C36C87"/>
    <w:rsid w:val="00C40799"/>
    <w:rsid w:val="00C41DA4"/>
    <w:rsid w:val="00C41F94"/>
    <w:rsid w:val="00C44C37"/>
    <w:rsid w:val="00C46524"/>
    <w:rsid w:val="00C467C3"/>
    <w:rsid w:val="00C46AE5"/>
    <w:rsid w:val="00C4729C"/>
    <w:rsid w:val="00C47654"/>
    <w:rsid w:val="00C50232"/>
    <w:rsid w:val="00C508E0"/>
    <w:rsid w:val="00C510A4"/>
    <w:rsid w:val="00C5270E"/>
    <w:rsid w:val="00C52ACF"/>
    <w:rsid w:val="00C54669"/>
    <w:rsid w:val="00C56539"/>
    <w:rsid w:val="00C567BB"/>
    <w:rsid w:val="00C57E4D"/>
    <w:rsid w:val="00C57EFB"/>
    <w:rsid w:val="00C6078D"/>
    <w:rsid w:val="00C6136C"/>
    <w:rsid w:val="00C626E2"/>
    <w:rsid w:val="00C628C8"/>
    <w:rsid w:val="00C6438C"/>
    <w:rsid w:val="00C64E50"/>
    <w:rsid w:val="00C6623E"/>
    <w:rsid w:val="00C71E9F"/>
    <w:rsid w:val="00C71F3A"/>
    <w:rsid w:val="00C73E55"/>
    <w:rsid w:val="00C74F13"/>
    <w:rsid w:val="00C7519E"/>
    <w:rsid w:val="00C76142"/>
    <w:rsid w:val="00C772EE"/>
    <w:rsid w:val="00C81A12"/>
    <w:rsid w:val="00C843A0"/>
    <w:rsid w:val="00C846BE"/>
    <w:rsid w:val="00C85D84"/>
    <w:rsid w:val="00C91055"/>
    <w:rsid w:val="00C91BFD"/>
    <w:rsid w:val="00C953BD"/>
    <w:rsid w:val="00C963DE"/>
    <w:rsid w:val="00C97A3D"/>
    <w:rsid w:val="00C97FC8"/>
    <w:rsid w:val="00CA0C26"/>
    <w:rsid w:val="00CA368A"/>
    <w:rsid w:val="00CA4062"/>
    <w:rsid w:val="00CA5C74"/>
    <w:rsid w:val="00CA6479"/>
    <w:rsid w:val="00CA734F"/>
    <w:rsid w:val="00CB07A8"/>
    <w:rsid w:val="00CB0CE9"/>
    <w:rsid w:val="00CB14A1"/>
    <w:rsid w:val="00CB1E0C"/>
    <w:rsid w:val="00CB20C8"/>
    <w:rsid w:val="00CB5389"/>
    <w:rsid w:val="00CB5E68"/>
    <w:rsid w:val="00CB6FB6"/>
    <w:rsid w:val="00CB73C2"/>
    <w:rsid w:val="00CC1094"/>
    <w:rsid w:val="00CC10E1"/>
    <w:rsid w:val="00CC3895"/>
    <w:rsid w:val="00CC48EF"/>
    <w:rsid w:val="00CC53C7"/>
    <w:rsid w:val="00CC615B"/>
    <w:rsid w:val="00CD12E3"/>
    <w:rsid w:val="00CD1E42"/>
    <w:rsid w:val="00CD2E23"/>
    <w:rsid w:val="00CD54BC"/>
    <w:rsid w:val="00CD6327"/>
    <w:rsid w:val="00CD7722"/>
    <w:rsid w:val="00CE077E"/>
    <w:rsid w:val="00CE2878"/>
    <w:rsid w:val="00CE2B78"/>
    <w:rsid w:val="00CE5B57"/>
    <w:rsid w:val="00CE6FF1"/>
    <w:rsid w:val="00CE74A3"/>
    <w:rsid w:val="00CE7829"/>
    <w:rsid w:val="00CF1F10"/>
    <w:rsid w:val="00CF365F"/>
    <w:rsid w:val="00CF4C04"/>
    <w:rsid w:val="00CF6633"/>
    <w:rsid w:val="00CF6B11"/>
    <w:rsid w:val="00CF7666"/>
    <w:rsid w:val="00D025E4"/>
    <w:rsid w:val="00D02645"/>
    <w:rsid w:val="00D0318B"/>
    <w:rsid w:val="00D034DD"/>
    <w:rsid w:val="00D03D0C"/>
    <w:rsid w:val="00D0448E"/>
    <w:rsid w:val="00D04952"/>
    <w:rsid w:val="00D06A16"/>
    <w:rsid w:val="00D1078F"/>
    <w:rsid w:val="00D108C6"/>
    <w:rsid w:val="00D10E60"/>
    <w:rsid w:val="00D12CD2"/>
    <w:rsid w:val="00D144C4"/>
    <w:rsid w:val="00D14763"/>
    <w:rsid w:val="00D14996"/>
    <w:rsid w:val="00D14D23"/>
    <w:rsid w:val="00D15D8B"/>
    <w:rsid w:val="00D16568"/>
    <w:rsid w:val="00D1792F"/>
    <w:rsid w:val="00D17984"/>
    <w:rsid w:val="00D20CA9"/>
    <w:rsid w:val="00D24396"/>
    <w:rsid w:val="00D24DAD"/>
    <w:rsid w:val="00D24ED9"/>
    <w:rsid w:val="00D25916"/>
    <w:rsid w:val="00D261C7"/>
    <w:rsid w:val="00D26204"/>
    <w:rsid w:val="00D31B86"/>
    <w:rsid w:val="00D329E6"/>
    <w:rsid w:val="00D34031"/>
    <w:rsid w:val="00D34436"/>
    <w:rsid w:val="00D37972"/>
    <w:rsid w:val="00D40668"/>
    <w:rsid w:val="00D40896"/>
    <w:rsid w:val="00D41534"/>
    <w:rsid w:val="00D41852"/>
    <w:rsid w:val="00D41E94"/>
    <w:rsid w:val="00D43110"/>
    <w:rsid w:val="00D44059"/>
    <w:rsid w:val="00D451FC"/>
    <w:rsid w:val="00D4539F"/>
    <w:rsid w:val="00D47F86"/>
    <w:rsid w:val="00D50D1B"/>
    <w:rsid w:val="00D50D56"/>
    <w:rsid w:val="00D51C88"/>
    <w:rsid w:val="00D53F66"/>
    <w:rsid w:val="00D553E5"/>
    <w:rsid w:val="00D55A90"/>
    <w:rsid w:val="00D5600B"/>
    <w:rsid w:val="00D602B7"/>
    <w:rsid w:val="00D61E8F"/>
    <w:rsid w:val="00D6332C"/>
    <w:rsid w:val="00D63C48"/>
    <w:rsid w:val="00D641F9"/>
    <w:rsid w:val="00D64289"/>
    <w:rsid w:val="00D6667B"/>
    <w:rsid w:val="00D67A6F"/>
    <w:rsid w:val="00D67FEB"/>
    <w:rsid w:val="00D70858"/>
    <w:rsid w:val="00D71400"/>
    <w:rsid w:val="00D72552"/>
    <w:rsid w:val="00D72609"/>
    <w:rsid w:val="00D72C23"/>
    <w:rsid w:val="00D74C83"/>
    <w:rsid w:val="00D74D63"/>
    <w:rsid w:val="00D75998"/>
    <w:rsid w:val="00D80173"/>
    <w:rsid w:val="00D8207E"/>
    <w:rsid w:val="00D8309D"/>
    <w:rsid w:val="00D8435D"/>
    <w:rsid w:val="00D853B9"/>
    <w:rsid w:val="00D924F4"/>
    <w:rsid w:val="00D93296"/>
    <w:rsid w:val="00D95394"/>
    <w:rsid w:val="00D970E7"/>
    <w:rsid w:val="00D97360"/>
    <w:rsid w:val="00DA032B"/>
    <w:rsid w:val="00DA03EA"/>
    <w:rsid w:val="00DA0456"/>
    <w:rsid w:val="00DA17C2"/>
    <w:rsid w:val="00DA534A"/>
    <w:rsid w:val="00DA55BB"/>
    <w:rsid w:val="00DA6BD3"/>
    <w:rsid w:val="00DA6C7C"/>
    <w:rsid w:val="00DA73EE"/>
    <w:rsid w:val="00DB36E4"/>
    <w:rsid w:val="00DB4123"/>
    <w:rsid w:val="00DB423D"/>
    <w:rsid w:val="00DB4DF9"/>
    <w:rsid w:val="00DB7E4F"/>
    <w:rsid w:val="00DB7E58"/>
    <w:rsid w:val="00DC1743"/>
    <w:rsid w:val="00DC1F73"/>
    <w:rsid w:val="00DC2038"/>
    <w:rsid w:val="00DC28C8"/>
    <w:rsid w:val="00DC34D0"/>
    <w:rsid w:val="00DC4CC9"/>
    <w:rsid w:val="00DC6E4E"/>
    <w:rsid w:val="00DC70AA"/>
    <w:rsid w:val="00DC7746"/>
    <w:rsid w:val="00DD2660"/>
    <w:rsid w:val="00DD27DB"/>
    <w:rsid w:val="00DD3049"/>
    <w:rsid w:val="00DD4365"/>
    <w:rsid w:val="00DD4BCE"/>
    <w:rsid w:val="00DD52D3"/>
    <w:rsid w:val="00DD675F"/>
    <w:rsid w:val="00DE064D"/>
    <w:rsid w:val="00DE30E2"/>
    <w:rsid w:val="00DE39BF"/>
    <w:rsid w:val="00DE3A9A"/>
    <w:rsid w:val="00DE474D"/>
    <w:rsid w:val="00DE6421"/>
    <w:rsid w:val="00DE7782"/>
    <w:rsid w:val="00DF16C0"/>
    <w:rsid w:val="00DF3C6D"/>
    <w:rsid w:val="00DF548B"/>
    <w:rsid w:val="00DF5693"/>
    <w:rsid w:val="00DF6646"/>
    <w:rsid w:val="00DF69A3"/>
    <w:rsid w:val="00DF71BA"/>
    <w:rsid w:val="00DF728A"/>
    <w:rsid w:val="00E03A5F"/>
    <w:rsid w:val="00E043DD"/>
    <w:rsid w:val="00E0588D"/>
    <w:rsid w:val="00E05D02"/>
    <w:rsid w:val="00E05FBC"/>
    <w:rsid w:val="00E06876"/>
    <w:rsid w:val="00E10B7D"/>
    <w:rsid w:val="00E10DA0"/>
    <w:rsid w:val="00E1262B"/>
    <w:rsid w:val="00E14A76"/>
    <w:rsid w:val="00E227EA"/>
    <w:rsid w:val="00E23660"/>
    <w:rsid w:val="00E24481"/>
    <w:rsid w:val="00E24C8C"/>
    <w:rsid w:val="00E26B61"/>
    <w:rsid w:val="00E26C73"/>
    <w:rsid w:val="00E2761D"/>
    <w:rsid w:val="00E27CE8"/>
    <w:rsid w:val="00E31A1E"/>
    <w:rsid w:val="00E31EDB"/>
    <w:rsid w:val="00E34484"/>
    <w:rsid w:val="00E361CA"/>
    <w:rsid w:val="00E368B6"/>
    <w:rsid w:val="00E37424"/>
    <w:rsid w:val="00E4041E"/>
    <w:rsid w:val="00E43DAA"/>
    <w:rsid w:val="00E45180"/>
    <w:rsid w:val="00E45305"/>
    <w:rsid w:val="00E45C37"/>
    <w:rsid w:val="00E4634C"/>
    <w:rsid w:val="00E466BD"/>
    <w:rsid w:val="00E46AC9"/>
    <w:rsid w:val="00E50B52"/>
    <w:rsid w:val="00E53DB6"/>
    <w:rsid w:val="00E54FB3"/>
    <w:rsid w:val="00E55904"/>
    <w:rsid w:val="00E55E72"/>
    <w:rsid w:val="00E611BB"/>
    <w:rsid w:val="00E61CB9"/>
    <w:rsid w:val="00E62A4C"/>
    <w:rsid w:val="00E66614"/>
    <w:rsid w:val="00E66DC4"/>
    <w:rsid w:val="00E74482"/>
    <w:rsid w:val="00E76392"/>
    <w:rsid w:val="00E773DF"/>
    <w:rsid w:val="00E8133D"/>
    <w:rsid w:val="00E8269B"/>
    <w:rsid w:val="00E84828"/>
    <w:rsid w:val="00E850A7"/>
    <w:rsid w:val="00E86373"/>
    <w:rsid w:val="00E87319"/>
    <w:rsid w:val="00E8734D"/>
    <w:rsid w:val="00E902DE"/>
    <w:rsid w:val="00E909D1"/>
    <w:rsid w:val="00E92077"/>
    <w:rsid w:val="00E925FB"/>
    <w:rsid w:val="00E92F72"/>
    <w:rsid w:val="00E93082"/>
    <w:rsid w:val="00E930FA"/>
    <w:rsid w:val="00E9505D"/>
    <w:rsid w:val="00E95ADD"/>
    <w:rsid w:val="00E9645E"/>
    <w:rsid w:val="00EA0A1F"/>
    <w:rsid w:val="00EA1217"/>
    <w:rsid w:val="00EA1B29"/>
    <w:rsid w:val="00EA3D29"/>
    <w:rsid w:val="00EA3F27"/>
    <w:rsid w:val="00EA4E80"/>
    <w:rsid w:val="00EA6051"/>
    <w:rsid w:val="00EA66E6"/>
    <w:rsid w:val="00EB0990"/>
    <w:rsid w:val="00EB2DBF"/>
    <w:rsid w:val="00EB3F3E"/>
    <w:rsid w:val="00EB426B"/>
    <w:rsid w:val="00EB4362"/>
    <w:rsid w:val="00EB5989"/>
    <w:rsid w:val="00EB5E6D"/>
    <w:rsid w:val="00EB742C"/>
    <w:rsid w:val="00EC1249"/>
    <w:rsid w:val="00EC4549"/>
    <w:rsid w:val="00EC47A8"/>
    <w:rsid w:val="00ED15AA"/>
    <w:rsid w:val="00ED2E55"/>
    <w:rsid w:val="00ED32D1"/>
    <w:rsid w:val="00ED4C33"/>
    <w:rsid w:val="00ED5043"/>
    <w:rsid w:val="00EE0C79"/>
    <w:rsid w:val="00EE5FC2"/>
    <w:rsid w:val="00EE65F6"/>
    <w:rsid w:val="00EF04A8"/>
    <w:rsid w:val="00EF22B8"/>
    <w:rsid w:val="00EF3278"/>
    <w:rsid w:val="00EF3F03"/>
    <w:rsid w:val="00EF51FC"/>
    <w:rsid w:val="00F01A86"/>
    <w:rsid w:val="00F025C5"/>
    <w:rsid w:val="00F0264E"/>
    <w:rsid w:val="00F027E8"/>
    <w:rsid w:val="00F02C62"/>
    <w:rsid w:val="00F043D2"/>
    <w:rsid w:val="00F049EC"/>
    <w:rsid w:val="00F06FC0"/>
    <w:rsid w:val="00F07387"/>
    <w:rsid w:val="00F07523"/>
    <w:rsid w:val="00F11E3C"/>
    <w:rsid w:val="00F20E3A"/>
    <w:rsid w:val="00F228B0"/>
    <w:rsid w:val="00F22C33"/>
    <w:rsid w:val="00F24ADD"/>
    <w:rsid w:val="00F25A40"/>
    <w:rsid w:val="00F26B4B"/>
    <w:rsid w:val="00F26D4B"/>
    <w:rsid w:val="00F2706C"/>
    <w:rsid w:val="00F3094A"/>
    <w:rsid w:val="00F320BD"/>
    <w:rsid w:val="00F32D23"/>
    <w:rsid w:val="00F369BB"/>
    <w:rsid w:val="00F41729"/>
    <w:rsid w:val="00F419C5"/>
    <w:rsid w:val="00F42C06"/>
    <w:rsid w:val="00F42D9C"/>
    <w:rsid w:val="00F43138"/>
    <w:rsid w:val="00F4327E"/>
    <w:rsid w:val="00F435AB"/>
    <w:rsid w:val="00F43A6A"/>
    <w:rsid w:val="00F43D41"/>
    <w:rsid w:val="00F441F5"/>
    <w:rsid w:val="00F44548"/>
    <w:rsid w:val="00F44A3E"/>
    <w:rsid w:val="00F44EFB"/>
    <w:rsid w:val="00F4513F"/>
    <w:rsid w:val="00F46BB8"/>
    <w:rsid w:val="00F50A35"/>
    <w:rsid w:val="00F5239D"/>
    <w:rsid w:val="00F52875"/>
    <w:rsid w:val="00F54048"/>
    <w:rsid w:val="00F56029"/>
    <w:rsid w:val="00F56314"/>
    <w:rsid w:val="00F56333"/>
    <w:rsid w:val="00F5704C"/>
    <w:rsid w:val="00F57089"/>
    <w:rsid w:val="00F57C51"/>
    <w:rsid w:val="00F6165F"/>
    <w:rsid w:val="00F61963"/>
    <w:rsid w:val="00F66AD7"/>
    <w:rsid w:val="00F66B79"/>
    <w:rsid w:val="00F70CF0"/>
    <w:rsid w:val="00F72149"/>
    <w:rsid w:val="00F72B42"/>
    <w:rsid w:val="00F733F3"/>
    <w:rsid w:val="00F73A39"/>
    <w:rsid w:val="00F759AE"/>
    <w:rsid w:val="00F75D3A"/>
    <w:rsid w:val="00F7638B"/>
    <w:rsid w:val="00F776D8"/>
    <w:rsid w:val="00F77919"/>
    <w:rsid w:val="00F80139"/>
    <w:rsid w:val="00F83354"/>
    <w:rsid w:val="00F83712"/>
    <w:rsid w:val="00F85315"/>
    <w:rsid w:val="00F87C31"/>
    <w:rsid w:val="00F9152F"/>
    <w:rsid w:val="00F9212E"/>
    <w:rsid w:val="00F97070"/>
    <w:rsid w:val="00F9783F"/>
    <w:rsid w:val="00F97A62"/>
    <w:rsid w:val="00FA02FC"/>
    <w:rsid w:val="00FA0329"/>
    <w:rsid w:val="00FA5ABF"/>
    <w:rsid w:val="00FB0D31"/>
    <w:rsid w:val="00FB11F0"/>
    <w:rsid w:val="00FB17C2"/>
    <w:rsid w:val="00FB1956"/>
    <w:rsid w:val="00FB20DC"/>
    <w:rsid w:val="00FB366A"/>
    <w:rsid w:val="00FB57DB"/>
    <w:rsid w:val="00FB5D9E"/>
    <w:rsid w:val="00FB6238"/>
    <w:rsid w:val="00FB7027"/>
    <w:rsid w:val="00FC06E3"/>
    <w:rsid w:val="00FC12E7"/>
    <w:rsid w:val="00FC2099"/>
    <w:rsid w:val="00FC22AB"/>
    <w:rsid w:val="00FC34B9"/>
    <w:rsid w:val="00FC594B"/>
    <w:rsid w:val="00FC5D4F"/>
    <w:rsid w:val="00FC710E"/>
    <w:rsid w:val="00FD090E"/>
    <w:rsid w:val="00FD0DA5"/>
    <w:rsid w:val="00FD3733"/>
    <w:rsid w:val="00FD73E7"/>
    <w:rsid w:val="00FD7841"/>
    <w:rsid w:val="00FE2431"/>
    <w:rsid w:val="00FE25C2"/>
    <w:rsid w:val="00FE37BE"/>
    <w:rsid w:val="00FE4860"/>
    <w:rsid w:val="00FE4C58"/>
    <w:rsid w:val="00FE53F8"/>
    <w:rsid w:val="00FE6746"/>
    <w:rsid w:val="00FE6D21"/>
    <w:rsid w:val="00FF1C0C"/>
    <w:rsid w:val="00FF24BB"/>
    <w:rsid w:val="00FF2550"/>
    <w:rsid w:val="00FF2590"/>
    <w:rsid w:val="00FF3A56"/>
    <w:rsid w:val="00FF610D"/>
    <w:rsid w:val="00FF648E"/>
    <w:rsid w:val="00FF7550"/>
    <w:rsid w:val="00FF7BFA"/>
    <w:rsid w:val="00FF7F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7"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9"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65"/>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nhideWhenUsed/>
    <w:qFormat/>
    <w:rsid w:val="00624315"/>
    <w:pPr>
      <w:outlineLvl w:val="3"/>
    </w:pPr>
  </w:style>
  <w:style w:type="paragraph" w:styleId="Heading5">
    <w:name w:val="heading 5"/>
    <w:aliases w:val="Heading 2 - Body"/>
    <w:basedOn w:val="Heading2"/>
    <w:next w:val="Normal"/>
    <w:link w:val="Heading5Char"/>
    <w:unhideWhenUsed/>
    <w:qFormat/>
    <w:rsid w:val="003B095E"/>
    <w:pPr>
      <w:outlineLvl w:val="4"/>
    </w:pPr>
  </w:style>
  <w:style w:type="paragraph" w:styleId="Heading6">
    <w:name w:val="heading 6"/>
    <w:aliases w:val="Heading 3 - Body"/>
    <w:basedOn w:val="Heading3"/>
    <w:next w:val="Normal"/>
    <w:link w:val="Heading6Char"/>
    <w:unhideWhenUsed/>
    <w:qFormat/>
    <w:rsid w:val="00624315"/>
    <w:pPr>
      <w:outlineLvl w:val="5"/>
    </w:pPr>
    <w:rPr>
      <w:sz w:val="24"/>
    </w:rPr>
  </w:style>
  <w:style w:type="paragraph" w:styleId="Heading7">
    <w:name w:val="heading 7"/>
    <w:basedOn w:val="Heading1"/>
    <w:next w:val="Normal"/>
    <w:link w:val="Heading7Char"/>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nhideWhenUsed/>
    <w:rsid w:val="004619BB"/>
    <w:rPr>
      <w:b/>
      <w:bCs/>
    </w:rPr>
  </w:style>
  <w:style w:type="character" w:customStyle="1" w:styleId="CommentSubjectChar">
    <w:name w:val="Comment Subject Char"/>
    <w:basedOn w:val="CommentTextChar"/>
    <w:link w:val="CommentSubject"/>
    <w:rsid w:val="004619BB"/>
    <w:rPr>
      <w:b/>
      <w:bCs/>
      <w:sz w:val="20"/>
      <w:szCs w:val="20"/>
    </w:rPr>
  </w:style>
  <w:style w:type="paragraph" w:styleId="BalloonText">
    <w:name w:val="Balloon Text"/>
    <w:basedOn w:val="Normal"/>
    <w:link w:val="BalloonTextChar"/>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qFormat/>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qFormat/>
    <w:rsid w:val="006F0F55"/>
    <w:pPr>
      <w:widowControl w:val="0"/>
      <w:tabs>
        <w:tab w:val="left" w:pos="426"/>
        <w:tab w:val="right" w:leader="dot" w:pos="9016"/>
      </w:tabs>
      <w:spacing w:after="120"/>
      <w:ind w:left="425" w:hanging="425"/>
    </w:pPr>
    <w:rPr>
      <w:rFonts w:ascii="Arial" w:eastAsia="Times New Roman" w:hAnsi="Arial" w:cs="Arial"/>
      <w:bCs/>
      <w:snapToGrid w:val="0"/>
      <w:sz w:val="20"/>
      <w:szCs w:val="20"/>
    </w:rPr>
  </w:style>
  <w:style w:type="paragraph" w:customStyle="1" w:styleId="TableHeader">
    <w:name w:val="Table Header"/>
    <w:basedOn w:val="Normal"/>
    <w:next w:val="Normal"/>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rsid w:val="00C317F3"/>
    <w:rPr>
      <w:b/>
    </w:rPr>
  </w:style>
  <w:style w:type="character" w:customStyle="1" w:styleId="RegularTextChar">
    <w:name w:val="Regular Text Char"/>
    <w:basedOn w:val="BodyTextChar"/>
    <w:link w:val="RegularText"/>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qFormat/>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rsid w:val="00C317F3"/>
    <w:rPr>
      <w:rFonts w:ascii="Arial" w:eastAsia="Times New Roman" w:hAnsi="Arial" w:cs="Arial"/>
      <w:snapToGrid w:val="0"/>
      <w:szCs w:val="20"/>
    </w:rPr>
  </w:style>
  <w:style w:type="paragraph" w:customStyle="1" w:styleId="TableText1">
    <w:name w:val="TableText"/>
    <w:basedOn w:val="Normal"/>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rsid w:val="00C317F3"/>
    <w:pPr>
      <w:keepNext w:val="0"/>
      <w:keepLines/>
      <w:spacing w:before="0" w:after="360"/>
      <w:ind w:left="720"/>
    </w:pPr>
    <w:rPr>
      <w:sz w:val="18"/>
      <w:szCs w:val="18"/>
    </w:rPr>
  </w:style>
  <w:style w:type="paragraph" w:customStyle="1" w:styleId="TableNotes0">
    <w:name w:val="TableNotes+0"/>
    <w:basedOn w:val="TableNotes18"/>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rsid w:val="00C317F3"/>
    <w:rPr>
      <w:rFonts w:ascii="Arial" w:eastAsia="Times New Roman" w:hAnsi="Arial" w:cs="Arial"/>
      <w:snapToGrid w:val="0"/>
      <w:szCs w:val="20"/>
    </w:rPr>
  </w:style>
  <w:style w:type="paragraph" w:customStyle="1" w:styleId="Char1CharCharChar">
    <w:name w:val="Char1 Char Char Char"/>
    <w:basedOn w:val="Normal"/>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link w:val="ESnumberedparaChar"/>
    <w:qFormat/>
    <w:rsid w:val="00C52ACF"/>
    <w:pPr>
      <w:spacing w:before="0" w:after="120"/>
      <w:ind w:left="720" w:hanging="720"/>
      <w:jc w:val="both"/>
    </w:pPr>
    <w:rPr>
      <w:rFonts w:ascii="Calibri" w:hAnsi="Calibri"/>
    </w:rPr>
  </w:style>
  <w:style w:type="character" w:customStyle="1" w:styleId="TableTextChar">
    <w:name w:val="Table Text Char"/>
    <w:basedOn w:val="DefaultParagraphFont"/>
    <w:link w:val="TableText"/>
    <w:rsid w:val="009401FE"/>
    <w:rPr>
      <w:rFonts w:ascii="Arial Narrow" w:hAnsi="Arial Narrow"/>
      <w:sz w:val="20"/>
    </w:rPr>
  </w:style>
  <w:style w:type="table" w:customStyle="1" w:styleId="Summarybox5">
    <w:name w:val="Summary box5"/>
    <w:basedOn w:val="TableNormal"/>
    <w:next w:val="TableGrid"/>
    <w:rsid w:val="007E2B72"/>
    <w:pPr>
      <w:spacing w:before="20" w:after="20" w:line="240" w:lineRule="auto"/>
    </w:pPr>
    <w:rPr>
      <w:rFonts w:ascii="Garamond" w:eastAsia="PMingLiU" w:hAnsi="Garamond" w:cs="Times New Roman"/>
      <w:sz w:val="18"/>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AdvOT7b515deb" w:hAnsi="AdvOT7b515deb"/>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EndnoteText">
    <w:name w:val="endnote text"/>
    <w:basedOn w:val="Normal"/>
    <w:link w:val="EndnoteTextChar"/>
    <w:uiPriority w:val="99"/>
    <w:semiHidden/>
    <w:unhideWhenUsed/>
    <w:rsid w:val="002006A4"/>
    <w:pPr>
      <w:spacing w:before="0" w:after="0"/>
    </w:pPr>
    <w:rPr>
      <w:sz w:val="20"/>
      <w:szCs w:val="20"/>
    </w:rPr>
  </w:style>
  <w:style w:type="character" w:customStyle="1" w:styleId="EndnoteTextChar">
    <w:name w:val="Endnote Text Char"/>
    <w:basedOn w:val="DefaultParagraphFont"/>
    <w:link w:val="EndnoteText"/>
    <w:uiPriority w:val="99"/>
    <w:semiHidden/>
    <w:rsid w:val="002006A4"/>
    <w:rPr>
      <w:sz w:val="20"/>
      <w:szCs w:val="20"/>
    </w:rPr>
  </w:style>
  <w:style w:type="character" w:styleId="EndnoteReference">
    <w:name w:val="endnote reference"/>
    <w:basedOn w:val="DefaultParagraphFont"/>
    <w:uiPriority w:val="99"/>
    <w:semiHidden/>
    <w:unhideWhenUsed/>
    <w:rsid w:val="002006A4"/>
    <w:rPr>
      <w:vertAlign w:val="superscript"/>
    </w:rPr>
  </w:style>
  <w:style w:type="paragraph" w:customStyle="1" w:styleId="COMtbl-HEADLeftAligned">
    <w:name w:val="COMtbl-HEAD Left Aligned"/>
    <w:basedOn w:val="Normal"/>
    <w:qFormat/>
    <w:rsid w:val="006C5AF2"/>
    <w:pPr>
      <w:widowControl w:val="0"/>
      <w:tabs>
        <w:tab w:val="left" w:pos="720"/>
      </w:tabs>
      <w:spacing w:before="0" w:after="0"/>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6C5AF2"/>
    <w:pPr>
      <w:jc w:val="center"/>
    </w:pPr>
  </w:style>
  <w:style w:type="paragraph" w:customStyle="1" w:styleId="COMTbl-cap">
    <w:name w:val="COMTbl-cap"/>
    <w:basedOn w:val="Normal"/>
    <w:link w:val="COMTbl-capChar"/>
    <w:qFormat/>
    <w:rsid w:val="006C5AF2"/>
    <w:pPr>
      <w:keepNext/>
      <w:widowControl w:val="0"/>
      <w:spacing w:before="0" w:after="0"/>
      <w:jc w:val="both"/>
    </w:pPr>
    <w:rPr>
      <w:rFonts w:ascii="Arial Narrow" w:eastAsia="Times New Roman" w:hAnsi="Arial Narrow" w:cs="Arial"/>
      <w:b/>
      <w:snapToGrid w:val="0"/>
      <w:sz w:val="20"/>
      <w:szCs w:val="20"/>
    </w:rPr>
  </w:style>
  <w:style w:type="character" w:customStyle="1" w:styleId="COMTbl-capChar">
    <w:name w:val="COMTbl-cap Char"/>
    <w:basedOn w:val="DefaultParagraphFont"/>
    <w:link w:val="COMTbl-cap"/>
    <w:rsid w:val="006C5AF2"/>
    <w:rPr>
      <w:rFonts w:ascii="Arial Narrow" w:eastAsia="Times New Roman" w:hAnsi="Arial Narrow" w:cs="Arial"/>
      <w:b/>
      <w:snapToGrid w:val="0"/>
      <w:sz w:val="20"/>
      <w:szCs w:val="20"/>
    </w:rPr>
  </w:style>
  <w:style w:type="paragraph" w:customStyle="1" w:styleId="TableHeaderRow">
    <w:name w:val="Table Header Row"/>
    <w:basedOn w:val="Normal"/>
    <w:uiPriority w:val="99"/>
    <w:qFormat/>
    <w:rsid w:val="004B5083"/>
    <w:pPr>
      <w:keepNext/>
      <w:spacing w:before="60" w:after="60" w:line="360" w:lineRule="auto"/>
      <w:contextualSpacing/>
      <w:jc w:val="center"/>
    </w:pPr>
    <w:rPr>
      <w:rFonts w:eastAsia="PMingLiU" w:cs="Times New Roman"/>
      <w:b/>
      <w:sz w:val="20"/>
      <w:szCs w:val="24"/>
      <w:lang w:eastAsia="en-AU"/>
    </w:rPr>
  </w:style>
  <w:style w:type="table" w:customStyle="1" w:styleId="TableGridbeth1">
    <w:name w:val="Table Gridbeth1"/>
    <w:basedOn w:val="TableNormal"/>
    <w:next w:val="TableGrid"/>
    <w:rsid w:val="00FB11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10E2"/>
  </w:style>
  <w:style w:type="table" w:customStyle="1" w:styleId="TableGrid1">
    <w:name w:val="Table Grid1"/>
    <w:basedOn w:val="TableNormal"/>
    <w:next w:val="TableGrid"/>
    <w:rsid w:val="004C10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C10E2"/>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dy">
    <w:name w:val="Table text (body)"/>
    <w:basedOn w:val="BodyText"/>
    <w:qFormat/>
    <w:rsid w:val="00B358ED"/>
    <w:pPr>
      <w:keepNext/>
      <w:widowControl/>
      <w:spacing w:before="40" w:after="40"/>
      <w:jc w:val="center"/>
    </w:pPr>
    <w:rPr>
      <w:rFonts w:asciiTheme="minorHAnsi" w:eastAsia="PMingLiU" w:hAnsiTheme="minorHAnsi" w:cs="Times New Roman"/>
      <w:snapToGrid/>
      <w:sz w:val="20"/>
      <w:szCs w:val="24"/>
      <w:lang w:eastAsia="en-AU"/>
    </w:rPr>
  </w:style>
  <w:style w:type="table" w:customStyle="1" w:styleId="TableGrid72">
    <w:name w:val="Table Grid72"/>
    <w:basedOn w:val="TableNormal"/>
    <w:next w:val="TableGrid"/>
    <w:uiPriority w:val="59"/>
    <w:rsid w:val="00D5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1">
    <w:name w:val="table_NOTES"/>
    <w:basedOn w:val="BodyText"/>
    <w:next w:val="Normal"/>
    <w:qFormat/>
    <w:rsid w:val="005F6448"/>
    <w:pPr>
      <w:widowControl/>
      <w:spacing w:after="240"/>
      <w:contextualSpacing/>
      <w:jc w:val="both"/>
    </w:pPr>
    <w:rPr>
      <w:rFonts w:asciiTheme="minorHAnsi" w:eastAsia="SimSun" w:hAnsiTheme="minorHAnsi" w:cs="Times New Roman"/>
      <w:snapToGrid/>
      <w:sz w:val="18"/>
      <w:szCs w:val="22"/>
      <w:lang w:eastAsia="en-AU"/>
    </w:rPr>
  </w:style>
  <w:style w:type="table" w:customStyle="1" w:styleId="Summarybox4">
    <w:name w:val="Summary box4"/>
    <w:basedOn w:val="TableNormal"/>
    <w:next w:val="TableGrid"/>
    <w:rsid w:val="005F6448"/>
    <w:pPr>
      <w:spacing w:after="0" w:line="240" w:lineRule="auto"/>
      <w:jc w:val="both"/>
    </w:pPr>
    <w:rPr>
      <w:rFonts w:ascii="Calibri" w:eastAsia="MS Mincho"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numberedparablue">
    <w:name w:val="ES numbered para blue"/>
    <w:basedOn w:val="Normal"/>
    <w:qFormat/>
    <w:rsid w:val="004F4EEE"/>
    <w:pPr>
      <w:jc w:val="both"/>
    </w:pPr>
    <w:rPr>
      <w:rFonts w:ascii="Arial" w:hAnsi="Arial"/>
      <w:color w:val="4472C4" w:themeColor="accent5"/>
      <w:sz w:val="22"/>
    </w:rPr>
  </w:style>
  <w:style w:type="paragraph" w:customStyle="1" w:styleId="COMTbl-foot">
    <w:name w:val="COMTbl-foot"/>
    <w:basedOn w:val="Normal"/>
    <w:link w:val="COMTbl-footChar"/>
    <w:qFormat/>
    <w:rsid w:val="00711DBF"/>
    <w:pPr>
      <w:widowControl w:val="0"/>
      <w:spacing w:before="0" w:after="0"/>
      <w:jc w:val="both"/>
    </w:pPr>
    <w:rPr>
      <w:rFonts w:ascii="Arial Narrow" w:eastAsia="Times New Roman" w:hAnsi="Arial Narrow" w:cs="Arial"/>
      <w:snapToGrid w:val="0"/>
      <w:sz w:val="18"/>
      <w:szCs w:val="20"/>
    </w:rPr>
  </w:style>
  <w:style w:type="character" w:customStyle="1" w:styleId="COMTbl-footChar">
    <w:name w:val="COMTbl-foot Char"/>
    <w:basedOn w:val="DefaultParagraphFont"/>
    <w:link w:val="COMTbl-foot"/>
    <w:rsid w:val="00711DBF"/>
    <w:rPr>
      <w:rFonts w:ascii="Arial Narrow" w:eastAsia="Times New Roman" w:hAnsi="Arial Narrow" w:cs="Arial"/>
      <w:snapToGrid w:val="0"/>
      <w:sz w:val="18"/>
      <w:szCs w:val="20"/>
    </w:rPr>
  </w:style>
  <w:style w:type="character" w:customStyle="1" w:styleId="ESnumberedparaChar">
    <w:name w:val="ES numbered para Char"/>
    <w:basedOn w:val="DefaultParagraphFont"/>
    <w:link w:val="ESnumberedpara"/>
    <w:rsid w:val="00C46524"/>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7"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9"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65"/>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nhideWhenUsed/>
    <w:qFormat/>
    <w:rsid w:val="00624315"/>
    <w:pPr>
      <w:outlineLvl w:val="3"/>
    </w:pPr>
  </w:style>
  <w:style w:type="paragraph" w:styleId="Heading5">
    <w:name w:val="heading 5"/>
    <w:aliases w:val="Heading 2 - Body"/>
    <w:basedOn w:val="Heading2"/>
    <w:next w:val="Normal"/>
    <w:link w:val="Heading5Char"/>
    <w:unhideWhenUsed/>
    <w:qFormat/>
    <w:rsid w:val="003B095E"/>
    <w:pPr>
      <w:outlineLvl w:val="4"/>
    </w:pPr>
  </w:style>
  <w:style w:type="paragraph" w:styleId="Heading6">
    <w:name w:val="heading 6"/>
    <w:aliases w:val="Heading 3 - Body"/>
    <w:basedOn w:val="Heading3"/>
    <w:next w:val="Normal"/>
    <w:link w:val="Heading6Char"/>
    <w:unhideWhenUsed/>
    <w:qFormat/>
    <w:rsid w:val="00624315"/>
    <w:pPr>
      <w:outlineLvl w:val="5"/>
    </w:pPr>
    <w:rPr>
      <w:sz w:val="24"/>
    </w:rPr>
  </w:style>
  <w:style w:type="paragraph" w:styleId="Heading7">
    <w:name w:val="heading 7"/>
    <w:basedOn w:val="Heading1"/>
    <w:next w:val="Normal"/>
    <w:link w:val="Heading7Char"/>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nhideWhenUsed/>
    <w:rsid w:val="004619BB"/>
    <w:rPr>
      <w:b/>
      <w:bCs/>
    </w:rPr>
  </w:style>
  <w:style w:type="character" w:customStyle="1" w:styleId="CommentSubjectChar">
    <w:name w:val="Comment Subject Char"/>
    <w:basedOn w:val="CommentTextChar"/>
    <w:link w:val="CommentSubject"/>
    <w:rsid w:val="004619BB"/>
    <w:rPr>
      <w:b/>
      <w:bCs/>
      <w:sz w:val="20"/>
      <w:szCs w:val="20"/>
    </w:rPr>
  </w:style>
  <w:style w:type="paragraph" w:styleId="BalloonText">
    <w:name w:val="Balloon Text"/>
    <w:basedOn w:val="Normal"/>
    <w:link w:val="BalloonTextChar"/>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qFormat/>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qFormat/>
    <w:rsid w:val="006F0F55"/>
    <w:pPr>
      <w:widowControl w:val="0"/>
      <w:tabs>
        <w:tab w:val="left" w:pos="426"/>
        <w:tab w:val="right" w:leader="dot" w:pos="9016"/>
      </w:tabs>
      <w:spacing w:after="120"/>
      <w:ind w:left="425" w:hanging="425"/>
    </w:pPr>
    <w:rPr>
      <w:rFonts w:ascii="Arial" w:eastAsia="Times New Roman" w:hAnsi="Arial" w:cs="Arial"/>
      <w:bCs/>
      <w:snapToGrid w:val="0"/>
      <w:sz w:val="20"/>
      <w:szCs w:val="20"/>
    </w:rPr>
  </w:style>
  <w:style w:type="paragraph" w:customStyle="1" w:styleId="TableHeader">
    <w:name w:val="Table Header"/>
    <w:basedOn w:val="Normal"/>
    <w:next w:val="Normal"/>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rsid w:val="00C317F3"/>
    <w:rPr>
      <w:b/>
    </w:rPr>
  </w:style>
  <w:style w:type="character" w:customStyle="1" w:styleId="RegularTextChar">
    <w:name w:val="Regular Text Char"/>
    <w:basedOn w:val="BodyTextChar"/>
    <w:link w:val="RegularText"/>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qFormat/>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rsid w:val="00C317F3"/>
    <w:rPr>
      <w:rFonts w:ascii="Arial" w:eastAsia="Times New Roman" w:hAnsi="Arial" w:cs="Arial"/>
      <w:snapToGrid w:val="0"/>
      <w:szCs w:val="20"/>
    </w:rPr>
  </w:style>
  <w:style w:type="paragraph" w:customStyle="1" w:styleId="TableText1">
    <w:name w:val="TableText"/>
    <w:basedOn w:val="Normal"/>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rsid w:val="00C317F3"/>
    <w:pPr>
      <w:keepNext w:val="0"/>
      <w:keepLines/>
      <w:spacing w:before="0" w:after="360"/>
      <w:ind w:left="720"/>
    </w:pPr>
    <w:rPr>
      <w:sz w:val="18"/>
      <w:szCs w:val="18"/>
    </w:rPr>
  </w:style>
  <w:style w:type="paragraph" w:customStyle="1" w:styleId="TableNotes0">
    <w:name w:val="TableNotes+0"/>
    <w:basedOn w:val="TableNotes18"/>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rsid w:val="00C317F3"/>
    <w:rPr>
      <w:rFonts w:ascii="Arial" w:eastAsia="Times New Roman" w:hAnsi="Arial" w:cs="Arial"/>
      <w:snapToGrid w:val="0"/>
      <w:szCs w:val="20"/>
    </w:rPr>
  </w:style>
  <w:style w:type="paragraph" w:customStyle="1" w:styleId="Char1CharCharChar">
    <w:name w:val="Char1 Char Char Char"/>
    <w:basedOn w:val="Normal"/>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link w:val="ESnumberedparaChar"/>
    <w:qFormat/>
    <w:rsid w:val="00C52ACF"/>
    <w:pPr>
      <w:spacing w:before="0" w:after="120"/>
      <w:ind w:left="720" w:hanging="720"/>
      <w:jc w:val="both"/>
    </w:pPr>
    <w:rPr>
      <w:rFonts w:ascii="Calibri" w:hAnsi="Calibri"/>
    </w:rPr>
  </w:style>
  <w:style w:type="character" w:customStyle="1" w:styleId="TableTextChar">
    <w:name w:val="Table Text Char"/>
    <w:basedOn w:val="DefaultParagraphFont"/>
    <w:link w:val="TableText"/>
    <w:rsid w:val="009401FE"/>
    <w:rPr>
      <w:rFonts w:ascii="Arial Narrow" w:hAnsi="Arial Narrow"/>
      <w:sz w:val="20"/>
    </w:rPr>
  </w:style>
  <w:style w:type="table" w:customStyle="1" w:styleId="Summarybox5">
    <w:name w:val="Summary box5"/>
    <w:basedOn w:val="TableNormal"/>
    <w:next w:val="TableGrid"/>
    <w:rsid w:val="007E2B72"/>
    <w:pPr>
      <w:spacing w:before="20" w:after="20" w:line="240" w:lineRule="auto"/>
    </w:pPr>
    <w:rPr>
      <w:rFonts w:ascii="Garamond" w:eastAsia="PMingLiU" w:hAnsi="Garamond" w:cs="Times New Roman"/>
      <w:sz w:val="18"/>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AdvOT7b515deb" w:hAnsi="AdvOT7b515deb"/>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EndnoteText">
    <w:name w:val="endnote text"/>
    <w:basedOn w:val="Normal"/>
    <w:link w:val="EndnoteTextChar"/>
    <w:uiPriority w:val="99"/>
    <w:semiHidden/>
    <w:unhideWhenUsed/>
    <w:rsid w:val="002006A4"/>
    <w:pPr>
      <w:spacing w:before="0" w:after="0"/>
    </w:pPr>
    <w:rPr>
      <w:sz w:val="20"/>
      <w:szCs w:val="20"/>
    </w:rPr>
  </w:style>
  <w:style w:type="character" w:customStyle="1" w:styleId="EndnoteTextChar">
    <w:name w:val="Endnote Text Char"/>
    <w:basedOn w:val="DefaultParagraphFont"/>
    <w:link w:val="EndnoteText"/>
    <w:uiPriority w:val="99"/>
    <w:semiHidden/>
    <w:rsid w:val="002006A4"/>
    <w:rPr>
      <w:sz w:val="20"/>
      <w:szCs w:val="20"/>
    </w:rPr>
  </w:style>
  <w:style w:type="character" w:styleId="EndnoteReference">
    <w:name w:val="endnote reference"/>
    <w:basedOn w:val="DefaultParagraphFont"/>
    <w:uiPriority w:val="99"/>
    <w:semiHidden/>
    <w:unhideWhenUsed/>
    <w:rsid w:val="002006A4"/>
    <w:rPr>
      <w:vertAlign w:val="superscript"/>
    </w:rPr>
  </w:style>
  <w:style w:type="paragraph" w:customStyle="1" w:styleId="COMtbl-HEADLeftAligned">
    <w:name w:val="COMtbl-HEAD Left Aligned"/>
    <w:basedOn w:val="Normal"/>
    <w:qFormat/>
    <w:rsid w:val="006C5AF2"/>
    <w:pPr>
      <w:widowControl w:val="0"/>
      <w:tabs>
        <w:tab w:val="left" w:pos="720"/>
      </w:tabs>
      <w:spacing w:before="0" w:after="0"/>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6C5AF2"/>
    <w:pPr>
      <w:jc w:val="center"/>
    </w:pPr>
  </w:style>
  <w:style w:type="paragraph" w:customStyle="1" w:styleId="COMTbl-cap">
    <w:name w:val="COMTbl-cap"/>
    <w:basedOn w:val="Normal"/>
    <w:link w:val="COMTbl-capChar"/>
    <w:qFormat/>
    <w:rsid w:val="006C5AF2"/>
    <w:pPr>
      <w:keepNext/>
      <w:widowControl w:val="0"/>
      <w:spacing w:before="0" w:after="0"/>
      <w:jc w:val="both"/>
    </w:pPr>
    <w:rPr>
      <w:rFonts w:ascii="Arial Narrow" w:eastAsia="Times New Roman" w:hAnsi="Arial Narrow" w:cs="Arial"/>
      <w:b/>
      <w:snapToGrid w:val="0"/>
      <w:sz w:val="20"/>
      <w:szCs w:val="20"/>
    </w:rPr>
  </w:style>
  <w:style w:type="character" w:customStyle="1" w:styleId="COMTbl-capChar">
    <w:name w:val="COMTbl-cap Char"/>
    <w:basedOn w:val="DefaultParagraphFont"/>
    <w:link w:val="COMTbl-cap"/>
    <w:rsid w:val="006C5AF2"/>
    <w:rPr>
      <w:rFonts w:ascii="Arial Narrow" w:eastAsia="Times New Roman" w:hAnsi="Arial Narrow" w:cs="Arial"/>
      <w:b/>
      <w:snapToGrid w:val="0"/>
      <w:sz w:val="20"/>
      <w:szCs w:val="20"/>
    </w:rPr>
  </w:style>
  <w:style w:type="paragraph" w:customStyle="1" w:styleId="TableHeaderRow">
    <w:name w:val="Table Header Row"/>
    <w:basedOn w:val="Normal"/>
    <w:uiPriority w:val="99"/>
    <w:qFormat/>
    <w:rsid w:val="004B5083"/>
    <w:pPr>
      <w:keepNext/>
      <w:spacing w:before="60" w:after="60" w:line="360" w:lineRule="auto"/>
      <w:contextualSpacing/>
      <w:jc w:val="center"/>
    </w:pPr>
    <w:rPr>
      <w:rFonts w:eastAsia="PMingLiU" w:cs="Times New Roman"/>
      <w:b/>
      <w:sz w:val="20"/>
      <w:szCs w:val="24"/>
      <w:lang w:eastAsia="en-AU"/>
    </w:rPr>
  </w:style>
  <w:style w:type="table" w:customStyle="1" w:styleId="TableGridbeth1">
    <w:name w:val="Table Gridbeth1"/>
    <w:basedOn w:val="TableNormal"/>
    <w:next w:val="TableGrid"/>
    <w:rsid w:val="00FB11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10E2"/>
  </w:style>
  <w:style w:type="table" w:customStyle="1" w:styleId="TableGrid1">
    <w:name w:val="Table Grid1"/>
    <w:basedOn w:val="TableNormal"/>
    <w:next w:val="TableGrid"/>
    <w:rsid w:val="004C10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C10E2"/>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dy">
    <w:name w:val="Table text (body)"/>
    <w:basedOn w:val="BodyText"/>
    <w:qFormat/>
    <w:rsid w:val="00B358ED"/>
    <w:pPr>
      <w:keepNext/>
      <w:widowControl/>
      <w:spacing w:before="40" w:after="40"/>
      <w:jc w:val="center"/>
    </w:pPr>
    <w:rPr>
      <w:rFonts w:asciiTheme="minorHAnsi" w:eastAsia="PMingLiU" w:hAnsiTheme="minorHAnsi" w:cs="Times New Roman"/>
      <w:snapToGrid/>
      <w:sz w:val="20"/>
      <w:szCs w:val="24"/>
      <w:lang w:eastAsia="en-AU"/>
    </w:rPr>
  </w:style>
  <w:style w:type="table" w:customStyle="1" w:styleId="TableGrid72">
    <w:name w:val="Table Grid72"/>
    <w:basedOn w:val="TableNormal"/>
    <w:next w:val="TableGrid"/>
    <w:uiPriority w:val="59"/>
    <w:rsid w:val="00D5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1">
    <w:name w:val="table_NOTES"/>
    <w:basedOn w:val="BodyText"/>
    <w:next w:val="Normal"/>
    <w:qFormat/>
    <w:rsid w:val="005F6448"/>
    <w:pPr>
      <w:widowControl/>
      <w:spacing w:after="240"/>
      <w:contextualSpacing/>
      <w:jc w:val="both"/>
    </w:pPr>
    <w:rPr>
      <w:rFonts w:asciiTheme="minorHAnsi" w:eastAsia="SimSun" w:hAnsiTheme="minorHAnsi" w:cs="Times New Roman"/>
      <w:snapToGrid/>
      <w:sz w:val="18"/>
      <w:szCs w:val="22"/>
      <w:lang w:eastAsia="en-AU"/>
    </w:rPr>
  </w:style>
  <w:style w:type="table" w:customStyle="1" w:styleId="Summarybox4">
    <w:name w:val="Summary box4"/>
    <w:basedOn w:val="TableNormal"/>
    <w:next w:val="TableGrid"/>
    <w:rsid w:val="005F6448"/>
    <w:pPr>
      <w:spacing w:after="0" w:line="240" w:lineRule="auto"/>
      <w:jc w:val="both"/>
    </w:pPr>
    <w:rPr>
      <w:rFonts w:ascii="Calibri" w:eastAsia="MS Mincho"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numberedparablue">
    <w:name w:val="ES numbered para blue"/>
    <w:basedOn w:val="Normal"/>
    <w:qFormat/>
    <w:rsid w:val="004F4EEE"/>
    <w:pPr>
      <w:jc w:val="both"/>
    </w:pPr>
    <w:rPr>
      <w:rFonts w:ascii="Arial" w:hAnsi="Arial"/>
      <w:color w:val="4472C4" w:themeColor="accent5"/>
      <w:sz w:val="22"/>
    </w:rPr>
  </w:style>
  <w:style w:type="paragraph" w:customStyle="1" w:styleId="COMTbl-foot">
    <w:name w:val="COMTbl-foot"/>
    <w:basedOn w:val="Normal"/>
    <w:link w:val="COMTbl-footChar"/>
    <w:qFormat/>
    <w:rsid w:val="00711DBF"/>
    <w:pPr>
      <w:widowControl w:val="0"/>
      <w:spacing w:before="0" w:after="0"/>
      <w:jc w:val="both"/>
    </w:pPr>
    <w:rPr>
      <w:rFonts w:ascii="Arial Narrow" w:eastAsia="Times New Roman" w:hAnsi="Arial Narrow" w:cs="Arial"/>
      <w:snapToGrid w:val="0"/>
      <w:sz w:val="18"/>
      <w:szCs w:val="20"/>
    </w:rPr>
  </w:style>
  <w:style w:type="character" w:customStyle="1" w:styleId="COMTbl-footChar">
    <w:name w:val="COMTbl-foot Char"/>
    <w:basedOn w:val="DefaultParagraphFont"/>
    <w:link w:val="COMTbl-foot"/>
    <w:rsid w:val="00711DBF"/>
    <w:rPr>
      <w:rFonts w:ascii="Arial Narrow" w:eastAsia="Times New Roman" w:hAnsi="Arial Narrow" w:cs="Arial"/>
      <w:snapToGrid w:val="0"/>
      <w:sz w:val="18"/>
      <w:szCs w:val="20"/>
    </w:rPr>
  </w:style>
  <w:style w:type="character" w:customStyle="1" w:styleId="ESnumberedparaChar">
    <w:name w:val="ES numbered para Char"/>
    <w:basedOn w:val="DefaultParagraphFont"/>
    <w:link w:val="ESnumberedpara"/>
    <w:rsid w:val="00C4652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1367">
      <w:bodyDiv w:val="1"/>
      <w:marLeft w:val="0"/>
      <w:marRight w:val="0"/>
      <w:marTop w:val="0"/>
      <w:marBottom w:val="0"/>
      <w:divBdr>
        <w:top w:val="none" w:sz="0" w:space="0" w:color="auto"/>
        <w:left w:val="none" w:sz="0" w:space="0" w:color="auto"/>
        <w:bottom w:val="none" w:sz="0" w:space="0" w:color="auto"/>
        <w:right w:val="none" w:sz="0" w:space="0" w:color="auto"/>
      </w:divBdr>
      <w:divsChild>
        <w:div w:id="290942907">
          <w:marLeft w:val="446"/>
          <w:marRight w:val="0"/>
          <w:marTop w:val="0"/>
          <w:marBottom w:val="0"/>
          <w:divBdr>
            <w:top w:val="none" w:sz="0" w:space="0" w:color="auto"/>
            <w:left w:val="none" w:sz="0" w:space="0" w:color="auto"/>
            <w:bottom w:val="none" w:sz="0" w:space="0" w:color="auto"/>
            <w:right w:val="none" w:sz="0" w:space="0" w:color="auto"/>
          </w:divBdr>
        </w:div>
      </w:divsChild>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98524333">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731423579">
      <w:bodyDiv w:val="1"/>
      <w:marLeft w:val="0"/>
      <w:marRight w:val="0"/>
      <w:marTop w:val="0"/>
      <w:marBottom w:val="0"/>
      <w:divBdr>
        <w:top w:val="none" w:sz="0" w:space="0" w:color="auto"/>
        <w:left w:val="none" w:sz="0" w:space="0" w:color="auto"/>
        <w:bottom w:val="none" w:sz="0" w:space="0" w:color="auto"/>
        <w:right w:val="none" w:sz="0" w:space="0" w:color="auto"/>
      </w:divBdr>
    </w:div>
    <w:div w:id="1835341308">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B96D-AC5B-42F6-AA6D-DD91BA73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11824</Words>
  <Characters>67399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2018-02-19T00:49:00Z</dcterms:created>
  <dcterms:modified xsi:type="dcterms:W3CDTF">2018-02-19T00:49:00Z</dcterms:modified>
</cp:coreProperties>
</file>