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C38" w:rsidRPr="00A35598" w:rsidRDefault="00BA4C38" w:rsidP="00BA4C38">
      <w:bookmarkStart w:id="0" w:name="_GoBack"/>
      <w:bookmarkEnd w:id="0"/>
    </w:p>
    <w:p w:rsidR="00C27B58" w:rsidRPr="00A35598" w:rsidRDefault="009D2709" w:rsidP="00B8064C">
      <w:pPr>
        <w:pStyle w:val="Title"/>
        <w:spacing w:before="120" w:after="160"/>
        <w:ind w:left="709" w:hanging="709"/>
        <w:rPr>
          <w:rFonts w:asciiTheme="minorHAnsi" w:hAnsiTheme="minorHAnsi"/>
          <w:sz w:val="36"/>
          <w:szCs w:val="36"/>
        </w:rPr>
      </w:pPr>
      <w:r w:rsidRPr="00A35598">
        <w:rPr>
          <w:rFonts w:asciiTheme="minorHAnsi" w:hAnsiTheme="minorHAnsi"/>
          <w:sz w:val="36"/>
          <w:szCs w:val="36"/>
        </w:rPr>
        <w:t>4</w:t>
      </w:r>
      <w:r w:rsidR="0004240E" w:rsidRPr="00A35598">
        <w:rPr>
          <w:rFonts w:asciiTheme="minorHAnsi" w:hAnsiTheme="minorHAnsi"/>
          <w:sz w:val="36"/>
          <w:szCs w:val="36"/>
        </w:rPr>
        <w:t>.</w:t>
      </w:r>
      <w:r w:rsidRPr="00A35598">
        <w:rPr>
          <w:rFonts w:asciiTheme="minorHAnsi" w:hAnsiTheme="minorHAnsi"/>
          <w:sz w:val="36"/>
          <w:szCs w:val="36"/>
        </w:rPr>
        <w:t>02</w:t>
      </w:r>
      <w:r w:rsidR="007C0F57" w:rsidRPr="00A35598">
        <w:rPr>
          <w:rFonts w:asciiTheme="minorHAnsi" w:hAnsiTheme="minorHAnsi"/>
          <w:sz w:val="36"/>
          <w:szCs w:val="36"/>
        </w:rPr>
        <w:tab/>
      </w:r>
      <w:r w:rsidRPr="00A35598">
        <w:rPr>
          <w:rFonts w:asciiTheme="minorHAnsi" w:hAnsiTheme="minorHAnsi"/>
          <w:sz w:val="36"/>
          <w:szCs w:val="36"/>
        </w:rPr>
        <w:t>BARICITINIB</w:t>
      </w:r>
      <w:r w:rsidR="008A50F1" w:rsidRPr="00A35598">
        <w:rPr>
          <w:rFonts w:asciiTheme="minorHAnsi" w:hAnsiTheme="minorHAnsi"/>
          <w:sz w:val="36"/>
          <w:szCs w:val="36"/>
        </w:rPr>
        <w:t xml:space="preserve"> </w:t>
      </w:r>
      <w:r w:rsidR="008A50F1" w:rsidRPr="00A35598">
        <w:rPr>
          <w:rFonts w:asciiTheme="minorHAnsi" w:hAnsiTheme="minorHAnsi"/>
          <w:sz w:val="36"/>
          <w:szCs w:val="36"/>
        </w:rPr>
        <w:br/>
      </w:r>
      <w:r w:rsidRPr="00A35598">
        <w:rPr>
          <w:rFonts w:asciiTheme="minorHAnsi" w:hAnsiTheme="minorHAnsi"/>
          <w:sz w:val="36"/>
          <w:szCs w:val="36"/>
        </w:rPr>
        <w:t xml:space="preserve">Tablet 2 mg, </w:t>
      </w:r>
      <w:r w:rsidR="00B8064C">
        <w:rPr>
          <w:rFonts w:asciiTheme="minorHAnsi" w:hAnsiTheme="minorHAnsi"/>
          <w:sz w:val="36"/>
          <w:szCs w:val="36"/>
        </w:rPr>
        <w:br/>
      </w:r>
      <w:r w:rsidR="00EB3307" w:rsidRPr="00A35598">
        <w:rPr>
          <w:rFonts w:asciiTheme="minorHAnsi" w:hAnsiTheme="minorHAnsi"/>
          <w:sz w:val="36"/>
          <w:szCs w:val="36"/>
        </w:rPr>
        <w:t>Tablet 4 mg,</w:t>
      </w:r>
      <w:r w:rsidR="00B8064C">
        <w:rPr>
          <w:rFonts w:asciiTheme="minorHAnsi" w:hAnsiTheme="minorHAnsi"/>
          <w:sz w:val="36"/>
          <w:szCs w:val="36"/>
        </w:rPr>
        <w:br/>
      </w:r>
      <w:r w:rsidRPr="00A35598">
        <w:rPr>
          <w:rFonts w:asciiTheme="minorHAnsi" w:hAnsiTheme="minorHAnsi"/>
          <w:sz w:val="36"/>
          <w:szCs w:val="36"/>
        </w:rPr>
        <w:t>Olumiant®, Eli Lil</w:t>
      </w:r>
      <w:r w:rsidR="00472713" w:rsidRPr="00A35598">
        <w:rPr>
          <w:rFonts w:asciiTheme="minorHAnsi" w:hAnsiTheme="minorHAnsi"/>
          <w:sz w:val="36"/>
          <w:szCs w:val="36"/>
        </w:rPr>
        <w:t>l</w:t>
      </w:r>
      <w:r w:rsidRPr="00A35598">
        <w:rPr>
          <w:rFonts w:asciiTheme="minorHAnsi" w:hAnsiTheme="minorHAnsi"/>
          <w:sz w:val="36"/>
          <w:szCs w:val="36"/>
        </w:rPr>
        <w:t>y Australia Pty Ltd</w:t>
      </w:r>
    </w:p>
    <w:p w:rsidR="008A50F1" w:rsidRPr="00A35598" w:rsidRDefault="00CE10C4" w:rsidP="00EB0B63">
      <w:pPr>
        <w:pStyle w:val="PBACHeading1"/>
        <w:spacing w:before="240" w:after="120"/>
        <w:ind w:left="709" w:hanging="709"/>
        <w:rPr>
          <w:rFonts w:asciiTheme="minorHAnsi" w:hAnsiTheme="minorHAnsi"/>
          <w:sz w:val="32"/>
          <w:szCs w:val="32"/>
        </w:rPr>
      </w:pPr>
      <w:r w:rsidRPr="00A35598">
        <w:rPr>
          <w:rFonts w:asciiTheme="minorHAnsi" w:hAnsiTheme="minorHAnsi"/>
          <w:sz w:val="32"/>
          <w:szCs w:val="32"/>
        </w:rPr>
        <w:t xml:space="preserve">Purpose of </w:t>
      </w:r>
      <w:r w:rsidR="0004240E" w:rsidRPr="00A35598">
        <w:rPr>
          <w:rFonts w:asciiTheme="minorHAnsi" w:hAnsiTheme="minorHAnsi"/>
          <w:sz w:val="32"/>
          <w:szCs w:val="32"/>
        </w:rPr>
        <w:t>Application</w:t>
      </w:r>
    </w:p>
    <w:p w:rsidR="009D2709" w:rsidRPr="00A35598" w:rsidRDefault="00EF44A0" w:rsidP="00C671A5">
      <w:pPr>
        <w:pStyle w:val="ListParagraph"/>
        <w:widowControl/>
        <w:numPr>
          <w:ilvl w:val="1"/>
          <w:numId w:val="5"/>
        </w:numPr>
        <w:spacing w:after="120"/>
        <w:contextualSpacing w:val="0"/>
        <w:rPr>
          <w:rFonts w:ascii="Calibri" w:hAnsi="Calibri"/>
          <w:sz w:val="24"/>
          <w:szCs w:val="24"/>
        </w:rPr>
      </w:pPr>
      <w:r w:rsidRPr="00A35598">
        <w:rPr>
          <w:rFonts w:ascii="Calibri" w:eastAsiaTheme="minorHAnsi" w:hAnsi="Calibri" w:cstheme="minorBidi"/>
          <w:snapToGrid/>
          <w:sz w:val="24"/>
          <w:szCs w:val="24"/>
        </w:rPr>
        <w:t>The mi</w:t>
      </w:r>
      <w:r w:rsidR="00FF2801" w:rsidRPr="00A35598">
        <w:rPr>
          <w:rFonts w:ascii="Calibri" w:eastAsiaTheme="minorHAnsi" w:hAnsi="Calibri" w:cstheme="minorBidi"/>
          <w:snapToGrid/>
          <w:sz w:val="24"/>
          <w:szCs w:val="24"/>
        </w:rPr>
        <w:t xml:space="preserve">nor </w:t>
      </w:r>
      <w:r w:rsidR="00C671A5" w:rsidRPr="00A35598">
        <w:rPr>
          <w:rFonts w:ascii="Calibri" w:eastAsiaTheme="minorHAnsi" w:hAnsi="Calibri" w:cstheme="minorBidi"/>
          <w:snapToGrid/>
          <w:sz w:val="24"/>
          <w:szCs w:val="24"/>
        </w:rPr>
        <w:t>re</w:t>
      </w:r>
      <w:r w:rsidR="00FF2801" w:rsidRPr="00A35598">
        <w:rPr>
          <w:rFonts w:ascii="Calibri" w:eastAsiaTheme="minorHAnsi" w:hAnsi="Calibri" w:cstheme="minorBidi"/>
          <w:snapToGrid/>
          <w:sz w:val="24"/>
          <w:szCs w:val="24"/>
        </w:rPr>
        <w:t>submission requested</w:t>
      </w:r>
      <w:r w:rsidR="009D2709" w:rsidRPr="00A35598">
        <w:rPr>
          <w:rFonts w:ascii="Calibri" w:eastAsiaTheme="minorHAnsi" w:hAnsi="Calibri" w:cstheme="minorBidi"/>
          <w:snapToGrid/>
          <w:sz w:val="24"/>
          <w:szCs w:val="24"/>
        </w:rPr>
        <w:t xml:space="preserve"> </w:t>
      </w:r>
      <w:r w:rsidR="00395A72" w:rsidRPr="00A35598">
        <w:rPr>
          <w:rFonts w:ascii="Calibri" w:hAnsi="Calibri"/>
          <w:sz w:val="24"/>
          <w:szCs w:val="24"/>
        </w:rPr>
        <w:t xml:space="preserve">Authority Required general schedule </w:t>
      </w:r>
      <w:r w:rsidR="009D2709" w:rsidRPr="00A35598">
        <w:rPr>
          <w:rFonts w:ascii="Calibri" w:hAnsi="Calibri"/>
          <w:sz w:val="24"/>
          <w:szCs w:val="24"/>
        </w:rPr>
        <w:t>listing for baricitinib for treatment of severe rheumatoid arthritis (RA).</w:t>
      </w:r>
    </w:p>
    <w:p w:rsidR="0069136C" w:rsidRPr="00A35598" w:rsidRDefault="0069136C" w:rsidP="00400FD7">
      <w:pPr>
        <w:pStyle w:val="ListParagraph"/>
        <w:numPr>
          <w:ilvl w:val="1"/>
          <w:numId w:val="5"/>
        </w:numPr>
        <w:rPr>
          <w:rFonts w:ascii="Calibri" w:hAnsi="Calibri"/>
          <w:sz w:val="24"/>
          <w:szCs w:val="24"/>
        </w:rPr>
      </w:pPr>
      <w:r w:rsidRPr="00A35598">
        <w:rPr>
          <w:rFonts w:ascii="Calibri" w:hAnsi="Calibri"/>
          <w:sz w:val="24"/>
          <w:szCs w:val="24"/>
        </w:rPr>
        <w:t>The resubmission was based on a cost-minimisation analys</w:t>
      </w:r>
      <w:r w:rsidR="00916264" w:rsidRPr="00A35598">
        <w:rPr>
          <w:rFonts w:ascii="Calibri" w:hAnsi="Calibri"/>
          <w:sz w:val="24"/>
          <w:szCs w:val="24"/>
        </w:rPr>
        <w:t>i</w:t>
      </w:r>
      <w:r w:rsidRPr="00A35598">
        <w:rPr>
          <w:rFonts w:ascii="Calibri" w:hAnsi="Calibri"/>
          <w:sz w:val="24"/>
          <w:szCs w:val="24"/>
        </w:rPr>
        <w:t>s against tofacitinib.</w:t>
      </w:r>
    </w:p>
    <w:p w:rsidR="006A12A5" w:rsidRPr="00A35598" w:rsidRDefault="006A12A5" w:rsidP="00EB0B63">
      <w:pPr>
        <w:pStyle w:val="PBACHeading1"/>
        <w:spacing w:before="240" w:after="120"/>
        <w:ind w:left="709" w:hanging="709"/>
        <w:rPr>
          <w:rFonts w:asciiTheme="minorHAnsi" w:hAnsiTheme="minorHAnsi"/>
          <w:sz w:val="32"/>
          <w:szCs w:val="32"/>
        </w:rPr>
      </w:pPr>
      <w:r w:rsidRPr="00A35598">
        <w:rPr>
          <w:rFonts w:asciiTheme="minorHAnsi" w:hAnsiTheme="minorHAnsi"/>
          <w:sz w:val="32"/>
          <w:szCs w:val="32"/>
        </w:rPr>
        <w:t>Requested listing</w:t>
      </w:r>
    </w:p>
    <w:p w:rsidR="00C671A5" w:rsidRPr="00A35598" w:rsidRDefault="009D2709" w:rsidP="004D4E6A">
      <w:pPr>
        <w:pStyle w:val="ListParagraph"/>
        <w:widowControl/>
        <w:numPr>
          <w:ilvl w:val="1"/>
          <w:numId w:val="14"/>
        </w:numPr>
        <w:spacing w:after="120"/>
        <w:contextualSpacing w:val="0"/>
      </w:pPr>
      <w:r w:rsidRPr="00A35598">
        <w:rPr>
          <w:rFonts w:ascii="Calibri" w:hAnsi="Calibri"/>
          <w:sz w:val="24"/>
          <w:szCs w:val="24"/>
        </w:rPr>
        <w:t xml:space="preserve">The requested listing in the minor submission was unchanged from </w:t>
      </w:r>
      <w:r w:rsidR="00C671A5" w:rsidRPr="00A35598">
        <w:rPr>
          <w:rFonts w:ascii="Calibri" w:hAnsi="Calibri"/>
          <w:sz w:val="24"/>
          <w:szCs w:val="24"/>
        </w:rPr>
        <w:t xml:space="preserve">that requested at the </w:t>
      </w:r>
      <w:r w:rsidRPr="00A35598">
        <w:rPr>
          <w:rFonts w:ascii="Calibri" w:hAnsi="Calibri"/>
          <w:sz w:val="24"/>
          <w:szCs w:val="24"/>
        </w:rPr>
        <w:t xml:space="preserve">July 2017 </w:t>
      </w:r>
      <w:r w:rsidR="00C671A5" w:rsidRPr="00A35598">
        <w:rPr>
          <w:rFonts w:ascii="Calibri" w:hAnsi="Calibri"/>
          <w:sz w:val="24"/>
          <w:szCs w:val="24"/>
        </w:rPr>
        <w:t xml:space="preserve">PBAC </w:t>
      </w:r>
      <w:r w:rsidR="003A7C76" w:rsidRPr="00A35598">
        <w:rPr>
          <w:rFonts w:ascii="Calibri" w:hAnsi="Calibri"/>
          <w:sz w:val="24"/>
          <w:szCs w:val="24"/>
        </w:rPr>
        <w:t>meeting</w:t>
      </w:r>
      <w:r w:rsidR="00C671A5" w:rsidRPr="00A35598">
        <w:rPr>
          <w:rFonts w:ascii="Calibri" w:hAnsi="Calibri"/>
          <w:sz w:val="24"/>
          <w:szCs w:val="24"/>
        </w:rPr>
        <w:t xml:space="preserve">, with the exception of a lower requested DPMQ, and </w:t>
      </w:r>
      <w:r w:rsidR="00395A72" w:rsidRPr="00A35598">
        <w:rPr>
          <w:rFonts w:ascii="Calibri" w:hAnsi="Calibri"/>
          <w:sz w:val="24"/>
          <w:szCs w:val="24"/>
        </w:rPr>
        <w:t xml:space="preserve">is the same as currently listed bDMARDs for RA. </w:t>
      </w:r>
      <w:r w:rsidR="00472713" w:rsidRPr="00A35598">
        <w:rPr>
          <w:rFonts w:ascii="Calibri" w:hAnsi="Calibri"/>
          <w:sz w:val="24"/>
          <w:szCs w:val="24"/>
        </w:rPr>
        <w:t>The submission proposed an</w:t>
      </w:r>
      <w:r w:rsidR="004D4E6A" w:rsidRPr="00A35598">
        <w:rPr>
          <w:rFonts w:ascii="Calibri" w:hAnsi="Calibri"/>
          <w:sz w:val="24"/>
          <w:szCs w:val="24"/>
        </w:rPr>
        <w:t xml:space="preserve"> initial treatment </w:t>
      </w:r>
      <w:r w:rsidR="00472713" w:rsidRPr="00A35598">
        <w:rPr>
          <w:rFonts w:ascii="Calibri" w:hAnsi="Calibri"/>
          <w:sz w:val="24"/>
          <w:szCs w:val="24"/>
        </w:rPr>
        <w:t xml:space="preserve">course </w:t>
      </w:r>
      <w:r w:rsidR="004D4E6A" w:rsidRPr="00A35598">
        <w:rPr>
          <w:rFonts w:ascii="Calibri" w:hAnsi="Calibri"/>
          <w:sz w:val="24"/>
          <w:szCs w:val="24"/>
        </w:rPr>
        <w:t xml:space="preserve">of 16 weeks duration, and </w:t>
      </w:r>
      <w:r w:rsidR="00472713" w:rsidRPr="00A35598">
        <w:rPr>
          <w:rFonts w:ascii="Calibri" w:hAnsi="Calibri"/>
          <w:sz w:val="24"/>
          <w:szCs w:val="24"/>
        </w:rPr>
        <w:t xml:space="preserve">a </w:t>
      </w:r>
      <w:r w:rsidR="004D4E6A" w:rsidRPr="00A35598">
        <w:rPr>
          <w:rFonts w:ascii="Calibri" w:hAnsi="Calibri"/>
          <w:sz w:val="24"/>
          <w:szCs w:val="24"/>
        </w:rPr>
        <w:t xml:space="preserve">continuing treatment </w:t>
      </w:r>
      <w:r w:rsidR="00472713" w:rsidRPr="00A35598">
        <w:rPr>
          <w:rFonts w:ascii="Calibri" w:hAnsi="Calibri"/>
          <w:sz w:val="24"/>
          <w:szCs w:val="24"/>
        </w:rPr>
        <w:t xml:space="preserve">course </w:t>
      </w:r>
      <w:r w:rsidR="004D4E6A" w:rsidRPr="00A35598">
        <w:rPr>
          <w:rFonts w:ascii="Calibri" w:hAnsi="Calibri"/>
          <w:sz w:val="24"/>
          <w:szCs w:val="24"/>
        </w:rPr>
        <w:t>of 24 weeks duration.</w:t>
      </w:r>
    </w:p>
    <w:p w:rsidR="00C603D4" w:rsidRPr="00A35598" w:rsidRDefault="00CE10C4" w:rsidP="00696129">
      <w:pPr>
        <w:pStyle w:val="PBACHeading1"/>
        <w:spacing w:before="240" w:after="120"/>
        <w:ind w:left="709" w:hanging="709"/>
        <w:rPr>
          <w:rFonts w:asciiTheme="minorHAnsi" w:hAnsiTheme="minorHAnsi"/>
          <w:sz w:val="32"/>
          <w:szCs w:val="32"/>
        </w:rPr>
      </w:pPr>
      <w:r w:rsidRPr="00A35598">
        <w:rPr>
          <w:rFonts w:asciiTheme="minorHAnsi" w:hAnsiTheme="minorHAnsi"/>
          <w:sz w:val="32"/>
          <w:szCs w:val="32"/>
        </w:rPr>
        <w:t>Background</w:t>
      </w:r>
    </w:p>
    <w:p w:rsidR="006B0D94" w:rsidRPr="00A35598" w:rsidRDefault="004D4E6A" w:rsidP="00F550CF">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A35598">
        <w:rPr>
          <w:rFonts w:asciiTheme="minorHAnsi" w:eastAsiaTheme="minorHAnsi" w:hAnsiTheme="minorHAnsi" w:cstheme="minorBidi"/>
          <w:snapToGrid/>
          <w:sz w:val="24"/>
          <w:szCs w:val="22"/>
        </w:rPr>
        <w:t xml:space="preserve">The original submission was made under TGA/PBAC parallel process. The </w:t>
      </w:r>
      <w:r w:rsidR="003A7C76" w:rsidRPr="00A35598">
        <w:rPr>
          <w:rFonts w:asciiTheme="minorHAnsi" w:eastAsiaTheme="minorHAnsi" w:hAnsiTheme="minorHAnsi" w:cstheme="minorBidi"/>
          <w:snapToGrid/>
          <w:sz w:val="24"/>
          <w:szCs w:val="22"/>
        </w:rPr>
        <w:t>Sponsor ha</w:t>
      </w:r>
      <w:r w:rsidR="0080271F" w:rsidRPr="00A35598">
        <w:rPr>
          <w:rFonts w:asciiTheme="minorHAnsi" w:eastAsiaTheme="minorHAnsi" w:hAnsiTheme="minorHAnsi" w:cstheme="minorBidi"/>
          <w:snapToGrid/>
          <w:sz w:val="24"/>
          <w:szCs w:val="22"/>
        </w:rPr>
        <w:t>d</w:t>
      </w:r>
      <w:r w:rsidR="003A7C76" w:rsidRPr="00A35598">
        <w:rPr>
          <w:rFonts w:asciiTheme="minorHAnsi" w:eastAsiaTheme="minorHAnsi" w:hAnsiTheme="minorHAnsi" w:cstheme="minorBidi"/>
          <w:snapToGrid/>
          <w:sz w:val="24"/>
          <w:szCs w:val="22"/>
        </w:rPr>
        <w:t xml:space="preserve"> indicated that the </w:t>
      </w:r>
      <w:r w:rsidRPr="00A35598">
        <w:rPr>
          <w:rFonts w:asciiTheme="minorHAnsi" w:eastAsiaTheme="minorHAnsi" w:hAnsiTheme="minorHAnsi" w:cstheme="minorBidi"/>
          <w:snapToGrid/>
          <w:sz w:val="24"/>
          <w:szCs w:val="22"/>
        </w:rPr>
        <w:t xml:space="preserve">TGA delegate’s overview </w:t>
      </w:r>
      <w:r w:rsidR="0080271F" w:rsidRPr="00A35598">
        <w:rPr>
          <w:rFonts w:asciiTheme="minorHAnsi" w:eastAsiaTheme="minorHAnsi" w:hAnsiTheme="minorHAnsi" w:cstheme="minorBidi"/>
          <w:snapToGrid/>
          <w:sz w:val="24"/>
          <w:szCs w:val="22"/>
        </w:rPr>
        <w:t>wa</w:t>
      </w:r>
      <w:r w:rsidRPr="00A35598">
        <w:rPr>
          <w:rFonts w:asciiTheme="minorHAnsi" w:eastAsiaTheme="minorHAnsi" w:hAnsiTheme="minorHAnsi" w:cstheme="minorBidi"/>
          <w:snapToGrid/>
          <w:sz w:val="24"/>
          <w:szCs w:val="22"/>
        </w:rPr>
        <w:t>s</w:t>
      </w:r>
      <w:r w:rsidR="003A7C76" w:rsidRPr="00A35598">
        <w:rPr>
          <w:rFonts w:asciiTheme="minorHAnsi" w:eastAsiaTheme="minorHAnsi" w:hAnsiTheme="minorHAnsi" w:cstheme="minorBidi"/>
          <w:snapToGrid/>
          <w:sz w:val="24"/>
          <w:szCs w:val="22"/>
        </w:rPr>
        <w:t>n’t</w:t>
      </w:r>
      <w:r w:rsidRPr="00A35598">
        <w:rPr>
          <w:rFonts w:asciiTheme="minorHAnsi" w:eastAsiaTheme="minorHAnsi" w:hAnsiTheme="minorHAnsi" w:cstheme="minorBidi"/>
          <w:snapToGrid/>
          <w:sz w:val="24"/>
          <w:szCs w:val="22"/>
        </w:rPr>
        <w:t xml:space="preserve"> expected to be available </w:t>
      </w:r>
      <w:r w:rsidR="003A7C76" w:rsidRPr="00A35598">
        <w:rPr>
          <w:rFonts w:asciiTheme="minorHAnsi" w:eastAsiaTheme="minorHAnsi" w:hAnsiTheme="minorHAnsi" w:cstheme="minorBidi"/>
          <w:snapToGrid/>
          <w:sz w:val="24"/>
          <w:szCs w:val="22"/>
        </w:rPr>
        <w:t xml:space="preserve">until the week </w:t>
      </w:r>
      <w:r w:rsidR="00397FB0" w:rsidRPr="00A35598">
        <w:rPr>
          <w:rFonts w:asciiTheme="minorHAnsi" w:eastAsiaTheme="minorHAnsi" w:hAnsiTheme="minorHAnsi" w:cstheme="minorBidi"/>
          <w:snapToGrid/>
          <w:sz w:val="24"/>
          <w:szCs w:val="22"/>
        </w:rPr>
        <w:t>before the November 2017 PBAC meeting</w:t>
      </w:r>
      <w:r w:rsidRPr="00A35598">
        <w:rPr>
          <w:rFonts w:asciiTheme="minorHAnsi" w:eastAsiaTheme="minorHAnsi" w:hAnsiTheme="minorHAnsi" w:cstheme="minorBidi"/>
          <w:snapToGrid/>
          <w:sz w:val="24"/>
          <w:szCs w:val="22"/>
        </w:rPr>
        <w:t xml:space="preserve">. </w:t>
      </w:r>
    </w:p>
    <w:p w:rsidR="004D4E6A" w:rsidRPr="00A35598" w:rsidRDefault="00C671A5" w:rsidP="004D4E6A">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A35598">
        <w:rPr>
          <w:rFonts w:asciiTheme="minorHAnsi" w:eastAsiaTheme="minorHAnsi" w:hAnsiTheme="minorHAnsi" w:cstheme="minorBidi"/>
          <w:snapToGrid/>
          <w:sz w:val="24"/>
          <w:szCs w:val="22"/>
        </w:rPr>
        <w:t>This was the second submission for baricitinib to the PBAC. At the July 2017 PBAC meeting</w:t>
      </w:r>
      <w:r w:rsidR="004D4E6A" w:rsidRPr="00A35598">
        <w:rPr>
          <w:rFonts w:asciiTheme="minorHAnsi" w:eastAsiaTheme="minorHAnsi" w:hAnsiTheme="minorHAnsi" w:cstheme="minorBidi"/>
          <w:snapToGrid/>
          <w:sz w:val="24"/>
          <w:szCs w:val="22"/>
        </w:rPr>
        <w:t>,</w:t>
      </w:r>
      <w:r w:rsidRPr="00A35598">
        <w:rPr>
          <w:rFonts w:asciiTheme="minorHAnsi" w:eastAsiaTheme="minorHAnsi" w:hAnsiTheme="minorHAnsi" w:cstheme="minorBidi"/>
          <w:snapToGrid/>
          <w:sz w:val="24"/>
          <w:szCs w:val="22"/>
        </w:rPr>
        <w:t xml:space="preserve"> the PBAC was of a mind to reject baricitinib for treatment of severe rheumatoid arthritis (RA) based on uncertain clinical need and efficacy</w:t>
      </w:r>
      <w:r w:rsidR="004D4E6A" w:rsidRPr="00A35598">
        <w:rPr>
          <w:rFonts w:asciiTheme="minorHAnsi" w:eastAsiaTheme="minorHAnsi" w:hAnsiTheme="minorHAnsi" w:cstheme="minorBidi"/>
          <w:snapToGrid/>
          <w:sz w:val="24"/>
          <w:szCs w:val="22"/>
        </w:rPr>
        <w:t>,</w:t>
      </w:r>
      <w:r w:rsidRPr="00A35598">
        <w:rPr>
          <w:rFonts w:asciiTheme="minorHAnsi" w:eastAsiaTheme="minorHAnsi" w:hAnsiTheme="minorHAnsi" w:cstheme="minorBidi"/>
          <w:snapToGrid/>
          <w:sz w:val="24"/>
          <w:szCs w:val="22"/>
        </w:rPr>
        <w:t xml:space="preserve"> and concerns about the safety profile, particularly in relation to serious adverse events. However, the PBAC deferred making a recommendation on the listing of baricitinib pending the provision of the relevant TGA delegate’s overview. </w:t>
      </w:r>
    </w:p>
    <w:p w:rsidR="00F822ED" w:rsidRPr="00A35598" w:rsidRDefault="003B26E3" w:rsidP="00F822ED">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A35598">
        <w:rPr>
          <w:rFonts w:asciiTheme="minorHAnsi" w:eastAsiaTheme="minorHAnsi" w:hAnsiTheme="minorHAnsi" w:cstheme="minorBidi"/>
          <w:snapToGrid/>
          <w:sz w:val="24"/>
          <w:szCs w:val="22"/>
        </w:rPr>
        <w:t>T</w:t>
      </w:r>
      <w:r w:rsidR="00F822ED" w:rsidRPr="00A35598">
        <w:rPr>
          <w:rFonts w:asciiTheme="minorHAnsi" w:eastAsiaTheme="minorHAnsi" w:hAnsiTheme="minorHAnsi" w:cstheme="minorBidi"/>
          <w:snapToGrid/>
          <w:sz w:val="24"/>
          <w:szCs w:val="22"/>
        </w:rPr>
        <w:t xml:space="preserve">he TGA </w:t>
      </w:r>
      <w:r w:rsidRPr="00A35598">
        <w:rPr>
          <w:rFonts w:asciiTheme="minorHAnsi" w:eastAsiaTheme="minorHAnsi" w:hAnsiTheme="minorHAnsi" w:cstheme="minorBidi"/>
          <w:snapToGrid/>
          <w:sz w:val="24"/>
          <w:szCs w:val="22"/>
        </w:rPr>
        <w:t>delegate’s overview had not been received at the time of the November PBAC meeting.</w:t>
      </w:r>
    </w:p>
    <w:p w:rsidR="00CE10C4" w:rsidRPr="00A35598" w:rsidRDefault="004D4E6A" w:rsidP="00D31150">
      <w:pPr>
        <w:pStyle w:val="PBACHeading1"/>
        <w:spacing w:before="240" w:after="120"/>
        <w:ind w:left="709" w:hanging="709"/>
        <w:rPr>
          <w:rFonts w:asciiTheme="minorHAnsi" w:hAnsiTheme="minorHAnsi"/>
          <w:sz w:val="32"/>
          <w:szCs w:val="32"/>
        </w:rPr>
      </w:pPr>
      <w:r w:rsidRPr="00A35598">
        <w:rPr>
          <w:rFonts w:asciiTheme="minorHAnsi" w:hAnsiTheme="minorHAnsi"/>
          <w:sz w:val="32"/>
          <w:szCs w:val="32"/>
        </w:rPr>
        <w:t>Current situation</w:t>
      </w:r>
    </w:p>
    <w:p w:rsidR="008A1956" w:rsidRPr="00A35598" w:rsidRDefault="00472713" w:rsidP="00472713">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A35598">
        <w:rPr>
          <w:rFonts w:asciiTheme="minorHAnsi" w:eastAsiaTheme="minorHAnsi" w:hAnsiTheme="minorHAnsi" w:cstheme="minorBidi"/>
          <w:snapToGrid/>
          <w:sz w:val="24"/>
          <w:szCs w:val="22"/>
        </w:rPr>
        <w:t xml:space="preserve">The minor resubmission did not address the PBAC’s concerns about clinical need for an additional bDMARD for the treatment of severe RA. </w:t>
      </w:r>
    </w:p>
    <w:p w:rsidR="00472713" w:rsidRDefault="00472713" w:rsidP="00472713">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A35598">
        <w:rPr>
          <w:rFonts w:asciiTheme="minorHAnsi" w:eastAsiaTheme="minorHAnsi" w:hAnsiTheme="minorHAnsi" w:cstheme="minorBidi"/>
          <w:snapToGrid/>
          <w:sz w:val="24"/>
          <w:szCs w:val="22"/>
        </w:rPr>
        <w:t xml:space="preserve">The resubmission sought to address PBACs concerns around comparative efficacy, safety profile, and revised the economic analysis to reflect the revised clinical claim. </w:t>
      </w:r>
    </w:p>
    <w:p w:rsidR="005A3173" w:rsidRPr="00A35598" w:rsidRDefault="005A3173" w:rsidP="00D31150">
      <w:pPr>
        <w:pStyle w:val="PBACHeading1"/>
        <w:spacing w:before="240" w:after="120"/>
        <w:ind w:left="709" w:hanging="709"/>
        <w:rPr>
          <w:rFonts w:asciiTheme="minorHAnsi" w:hAnsiTheme="minorHAnsi"/>
          <w:sz w:val="32"/>
          <w:szCs w:val="32"/>
        </w:rPr>
      </w:pPr>
      <w:r w:rsidRPr="00A35598">
        <w:rPr>
          <w:rFonts w:asciiTheme="minorHAnsi" w:hAnsiTheme="minorHAnsi"/>
          <w:sz w:val="32"/>
          <w:szCs w:val="32"/>
        </w:rPr>
        <w:t>Comparator</w:t>
      </w:r>
    </w:p>
    <w:p w:rsidR="008A1956" w:rsidRDefault="00476245" w:rsidP="00347050">
      <w:pPr>
        <w:pStyle w:val="ListParagraph"/>
        <w:widowControl/>
        <w:numPr>
          <w:ilvl w:val="1"/>
          <w:numId w:val="14"/>
        </w:numPr>
        <w:spacing w:before="120" w:after="160"/>
        <w:contextualSpacing w:val="0"/>
        <w:rPr>
          <w:rFonts w:asciiTheme="minorHAnsi" w:hAnsiTheme="minorHAnsi"/>
          <w:sz w:val="24"/>
          <w:szCs w:val="24"/>
        </w:rPr>
      </w:pPr>
      <w:r w:rsidRPr="00A35598">
        <w:rPr>
          <w:rFonts w:asciiTheme="minorHAnsi" w:hAnsiTheme="minorHAnsi"/>
          <w:sz w:val="24"/>
          <w:szCs w:val="24"/>
        </w:rPr>
        <w:lastRenderedPageBreak/>
        <w:t xml:space="preserve">The previous major submission considered by the PBAC in </w:t>
      </w:r>
      <w:r w:rsidR="00347050" w:rsidRPr="00A35598">
        <w:rPr>
          <w:rFonts w:asciiTheme="minorHAnsi" w:hAnsiTheme="minorHAnsi"/>
          <w:sz w:val="24"/>
          <w:szCs w:val="24"/>
        </w:rPr>
        <w:t>July 2017</w:t>
      </w:r>
      <w:r w:rsidR="00FF2801" w:rsidRPr="00A35598">
        <w:rPr>
          <w:rFonts w:asciiTheme="minorHAnsi" w:hAnsiTheme="minorHAnsi"/>
          <w:sz w:val="24"/>
          <w:szCs w:val="24"/>
        </w:rPr>
        <w:t xml:space="preserve"> nominated </w:t>
      </w:r>
      <w:r w:rsidR="00347050" w:rsidRPr="00A35598">
        <w:rPr>
          <w:rFonts w:asciiTheme="minorHAnsi" w:hAnsiTheme="minorHAnsi"/>
          <w:sz w:val="24"/>
          <w:szCs w:val="24"/>
        </w:rPr>
        <w:t>adalimumab as the main comparator</w:t>
      </w:r>
      <w:r w:rsidR="00FF2801" w:rsidRPr="00A35598">
        <w:rPr>
          <w:rFonts w:asciiTheme="minorHAnsi" w:hAnsiTheme="minorHAnsi"/>
          <w:sz w:val="24"/>
          <w:szCs w:val="24"/>
        </w:rPr>
        <w:t xml:space="preserve">. </w:t>
      </w:r>
      <w:r w:rsidR="00347050" w:rsidRPr="00A35598">
        <w:rPr>
          <w:rFonts w:asciiTheme="minorHAnsi" w:hAnsiTheme="minorHAnsi"/>
          <w:sz w:val="24"/>
          <w:szCs w:val="24"/>
        </w:rPr>
        <w:t xml:space="preserve">The PBAC considered that any of the currently PBS listed bDMARDs could be an appropriate comparator. </w:t>
      </w:r>
      <w:r w:rsidR="00FF2801" w:rsidRPr="00A35598">
        <w:rPr>
          <w:rFonts w:asciiTheme="minorHAnsi" w:hAnsiTheme="minorHAnsi"/>
          <w:sz w:val="24"/>
          <w:szCs w:val="24"/>
        </w:rPr>
        <w:t xml:space="preserve"> </w:t>
      </w:r>
      <w:r w:rsidR="00472713" w:rsidRPr="00A35598">
        <w:rPr>
          <w:rFonts w:asciiTheme="minorHAnsi" w:hAnsiTheme="minorHAnsi"/>
          <w:sz w:val="24"/>
          <w:szCs w:val="24"/>
        </w:rPr>
        <w:t>The comparator was updated</w:t>
      </w:r>
      <w:r w:rsidRPr="00A35598">
        <w:rPr>
          <w:rFonts w:asciiTheme="minorHAnsi" w:hAnsiTheme="minorHAnsi"/>
          <w:sz w:val="24"/>
          <w:szCs w:val="24"/>
        </w:rPr>
        <w:t xml:space="preserve"> to</w:t>
      </w:r>
      <w:r w:rsidR="00893B24" w:rsidRPr="00A35598">
        <w:rPr>
          <w:rFonts w:asciiTheme="minorHAnsi" w:hAnsiTheme="minorHAnsi"/>
          <w:sz w:val="24"/>
          <w:szCs w:val="24"/>
        </w:rPr>
        <w:t xml:space="preserve"> tofacitinib in the minor resubmission. </w:t>
      </w:r>
    </w:p>
    <w:p w:rsidR="00200247" w:rsidRPr="00A35598" w:rsidRDefault="00200247" w:rsidP="00200247">
      <w:pPr>
        <w:pStyle w:val="ListParagraph"/>
        <w:widowControl/>
        <w:numPr>
          <w:ilvl w:val="1"/>
          <w:numId w:val="14"/>
        </w:numPr>
        <w:spacing w:before="120" w:after="160"/>
        <w:contextualSpacing w:val="0"/>
        <w:rPr>
          <w:rFonts w:asciiTheme="minorHAnsi" w:hAnsiTheme="minorHAnsi"/>
          <w:sz w:val="24"/>
          <w:szCs w:val="24"/>
        </w:rPr>
      </w:pPr>
      <w:r w:rsidRPr="00200247">
        <w:rPr>
          <w:rFonts w:asciiTheme="minorHAnsi" w:hAnsiTheme="minorHAnsi"/>
          <w:sz w:val="24"/>
          <w:szCs w:val="24"/>
        </w:rPr>
        <w:t xml:space="preserve">The PBAC </w:t>
      </w:r>
      <w:r w:rsidR="00AA0A04">
        <w:rPr>
          <w:rFonts w:asciiTheme="minorHAnsi" w:hAnsiTheme="minorHAnsi"/>
          <w:sz w:val="24"/>
          <w:szCs w:val="24"/>
        </w:rPr>
        <w:t xml:space="preserve">did not comment on the comparator, </w:t>
      </w:r>
      <w:r w:rsidRPr="00200247">
        <w:rPr>
          <w:rFonts w:asciiTheme="minorHAnsi" w:hAnsiTheme="minorHAnsi"/>
          <w:sz w:val="24"/>
          <w:szCs w:val="24"/>
        </w:rPr>
        <w:t>decid</w:t>
      </w:r>
      <w:r w:rsidR="00AA0A04">
        <w:rPr>
          <w:rFonts w:asciiTheme="minorHAnsi" w:hAnsiTheme="minorHAnsi"/>
          <w:sz w:val="24"/>
          <w:szCs w:val="24"/>
        </w:rPr>
        <w:t>ing</w:t>
      </w:r>
      <w:r w:rsidRPr="00200247">
        <w:rPr>
          <w:rFonts w:asciiTheme="minorHAnsi" w:hAnsiTheme="minorHAnsi"/>
          <w:sz w:val="24"/>
          <w:szCs w:val="24"/>
        </w:rPr>
        <w:t xml:space="preserve"> to defer its discussion of this </w:t>
      </w:r>
      <w:r w:rsidR="00AA0A04">
        <w:rPr>
          <w:rFonts w:asciiTheme="minorHAnsi" w:hAnsiTheme="minorHAnsi"/>
          <w:sz w:val="24"/>
          <w:szCs w:val="24"/>
        </w:rPr>
        <w:t>resubmission</w:t>
      </w:r>
      <w:r w:rsidRPr="00200247">
        <w:rPr>
          <w:rFonts w:asciiTheme="minorHAnsi" w:hAnsiTheme="minorHAnsi"/>
          <w:sz w:val="24"/>
          <w:szCs w:val="24"/>
        </w:rPr>
        <w:t xml:space="preserve"> pending the receipt of the TGA delegate’s overview</w:t>
      </w:r>
      <w:r>
        <w:rPr>
          <w:rFonts w:asciiTheme="minorHAnsi" w:hAnsiTheme="minorHAnsi"/>
          <w:sz w:val="24"/>
          <w:szCs w:val="24"/>
        </w:rPr>
        <w:t>.</w:t>
      </w:r>
    </w:p>
    <w:p w:rsidR="000B558D" w:rsidRPr="00A35598" w:rsidRDefault="008D7A41" w:rsidP="00F550CF">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sidRPr="00A35598">
        <w:rPr>
          <w:rFonts w:asciiTheme="minorHAnsi" w:hAnsiTheme="minorHAnsi"/>
          <w:sz w:val="32"/>
          <w:szCs w:val="32"/>
        </w:rPr>
        <w:t>C</w:t>
      </w:r>
      <w:r w:rsidR="00D84934" w:rsidRPr="00A35598">
        <w:rPr>
          <w:rFonts w:asciiTheme="minorHAnsi" w:hAnsiTheme="minorHAnsi"/>
          <w:sz w:val="32"/>
          <w:szCs w:val="32"/>
        </w:rPr>
        <w:t>onsideration of the evidence</w:t>
      </w:r>
    </w:p>
    <w:p w:rsidR="00D84934" w:rsidRPr="00A35598" w:rsidRDefault="00BA4C38" w:rsidP="00937958">
      <w:pPr>
        <w:pStyle w:val="Heading2"/>
        <w:keepLines/>
        <w:spacing w:before="240" w:after="120"/>
        <w:rPr>
          <w:rFonts w:asciiTheme="minorHAnsi" w:eastAsiaTheme="majorEastAsia" w:hAnsiTheme="minorHAnsi" w:cstheme="majorBidi"/>
          <w:sz w:val="28"/>
          <w:szCs w:val="28"/>
          <w:lang w:eastAsia="en-US"/>
        </w:rPr>
      </w:pPr>
      <w:r w:rsidRPr="00A35598">
        <w:rPr>
          <w:rFonts w:asciiTheme="minorHAnsi" w:eastAsiaTheme="majorEastAsia" w:hAnsiTheme="minorHAnsi" w:cstheme="majorBidi"/>
          <w:sz w:val="28"/>
          <w:szCs w:val="28"/>
          <w:lang w:eastAsia="en-US"/>
        </w:rPr>
        <w:t>Sponsor hearing</w:t>
      </w:r>
    </w:p>
    <w:p w:rsidR="00BA4C38" w:rsidRPr="00A35598" w:rsidRDefault="00BA4C38" w:rsidP="00A35992">
      <w:pPr>
        <w:pStyle w:val="ListParagraph"/>
        <w:widowControl/>
        <w:numPr>
          <w:ilvl w:val="1"/>
          <w:numId w:val="14"/>
        </w:numPr>
        <w:spacing w:before="120" w:after="160"/>
        <w:contextualSpacing w:val="0"/>
        <w:rPr>
          <w:rFonts w:asciiTheme="minorHAnsi" w:hAnsiTheme="minorHAnsi"/>
          <w:sz w:val="24"/>
          <w:szCs w:val="24"/>
        </w:rPr>
      </w:pPr>
      <w:r w:rsidRPr="00A35598">
        <w:rPr>
          <w:rFonts w:asciiTheme="minorHAnsi" w:hAnsiTheme="minorHAnsi"/>
          <w:sz w:val="24"/>
          <w:szCs w:val="24"/>
        </w:rPr>
        <w:t>There was no hearing for this item as it was a minor submission.</w:t>
      </w:r>
    </w:p>
    <w:p w:rsidR="00272572" w:rsidRPr="00A35598" w:rsidRDefault="00272572" w:rsidP="00272572">
      <w:pPr>
        <w:pStyle w:val="Heading2"/>
        <w:keepLines/>
        <w:spacing w:before="240" w:after="120"/>
        <w:rPr>
          <w:rFonts w:asciiTheme="minorHAnsi" w:eastAsiaTheme="majorEastAsia" w:hAnsiTheme="minorHAnsi" w:cstheme="majorBidi"/>
          <w:sz w:val="28"/>
          <w:szCs w:val="28"/>
          <w:lang w:eastAsia="en-US"/>
        </w:rPr>
      </w:pPr>
      <w:r w:rsidRPr="00A35598">
        <w:rPr>
          <w:rFonts w:asciiTheme="minorHAnsi" w:eastAsiaTheme="majorEastAsia" w:hAnsiTheme="minorHAnsi" w:cstheme="majorBidi"/>
          <w:sz w:val="28"/>
          <w:szCs w:val="28"/>
          <w:lang w:eastAsia="en-US"/>
        </w:rPr>
        <w:t>Consumer comments</w:t>
      </w:r>
    </w:p>
    <w:p w:rsidR="00272572" w:rsidRPr="00A35598" w:rsidRDefault="00272572" w:rsidP="00272572">
      <w:pPr>
        <w:pStyle w:val="ListParagraph"/>
        <w:widowControl/>
        <w:numPr>
          <w:ilvl w:val="1"/>
          <w:numId w:val="14"/>
        </w:numPr>
        <w:spacing w:before="120" w:after="160"/>
        <w:contextualSpacing w:val="0"/>
        <w:rPr>
          <w:rFonts w:asciiTheme="minorHAnsi" w:hAnsiTheme="minorHAnsi"/>
          <w:sz w:val="24"/>
          <w:szCs w:val="24"/>
        </w:rPr>
      </w:pPr>
      <w:r w:rsidRPr="00A35598">
        <w:rPr>
          <w:rFonts w:asciiTheme="minorHAnsi" w:hAnsiTheme="minorHAnsi"/>
          <w:sz w:val="24"/>
          <w:szCs w:val="24"/>
        </w:rPr>
        <w:t>There PBAC noted that no consumer comments were received for this item.</w:t>
      </w:r>
    </w:p>
    <w:p w:rsidR="00BA4C38" w:rsidRPr="00A35598" w:rsidRDefault="00BA4C38" w:rsidP="00BA4C38">
      <w:pPr>
        <w:pStyle w:val="Heading2"/>
        <w:keepLines/>
        <w:spacing w:before="240" w:after="120"/>
        <w:rPr>
          <w:rFonts w:asciiTheme="minorHAnsi" w:eastAsiaTheme="majorEastAsia" w:hAnsiTheme="minorHAnsi" w:cstheme="majorBidi"/>
          <w:sz w:val="28"/>
          <w:szCs w:val="28"/>
          <w:lang w:eastAsia="en-US"/>
        </w:rPr>
      </w:pPr>
      <w:r w:rsidRPr="00A35598">
        <w:rPr>
          <w:rFonts w:asciiTheme="minorHAnsi" w:eastAsiaTheme="majorEastAsia" w:hAnsiTheme="minorHAnsi" w:cstheme="majorBidi"/>
          <w:sz w:val="28"/>
          <w:szCs w:val="28"/>
          <w:lang w:eastAsia="en-US"/>
        </w:rPr>
        <w:t>Clinical trials</w:t>
      </w:r>
    </w:p>
    <w:p w:rsidR="0090288E" w:rsidRPr="00A35598" w:rsidRDefault="009F4E46" w:rsidP="00A35992">
      <w:pPr>
        <w:pStyle w:val="ListParagraph"/>
        <w:widowControl/>
        <w:numPr>
          <w:ilvl w:val="1"/>
          <w:numId w:val="14"/>
        </w:numPr>
        <w:spacing w:before="120" w:after="160"/>
        <w:contextualSpacing w:val="0"/>
        <w:rPr>
          <w:rFonts w:asciiTheme="minorHAnsi" w:hAnsiTheme="minorHAnsi"/>
          <w:sz w:val="24"/>
          <w:szCs w:val="24"/>
        </w:rPr>
      </w:pPr>
      <w:r w:rsidRPr="00A35598">
        <w:rPr>
          <w:rFonts w:asciiTheme="minorHAnsi" w:hAnsiTheme="minorHAnsi"/>
          <w:sz w:val="24"/>
          <w:szCs w:val="24"/>
        </w:rPr>
        <w:t xml:space="preserve">The </w:t>
      </w:r>
      <w:r w:rsidR="00A35992" w:rsidRPr="00A35598">
        <w:rPr>
          <w:rFonts w:asciiTheme="minorHAnsi" w:hAnsiTheme="minorHAnsi"/>
          <w:sz w:val="24"/>
          <w:szCs w:val="24"/>
        </w:rPr>
        <w:t xml:space="preserve">July 2017 major submission was based on one head-to-head trial comparing baricitinib to placebo and to adalimumab, with four other placebo-controlled trials used as supplementary evidence. </w:t>
      </w:r>
    </w:p>
    <w:p w:rsidR="00A35992" w:rsidRPr="00A35598" w:rsidRDefault="0058505D" w:rsidP="00A35992">
      <w:pPr>
        <w:pStyle w:val="ListParagraph"/>
        <w:widowControl/>
        <w:numPr>
          <w:ilvl w:val="1"/>
          <w:numId w:val="14"/>
        </w:numPr>
        <w:spacing w:before="120" w:after="160"/>
        <w:contextualSpacing w:val="0"/>
        <w:rPr>
          <w:rFonts w:asciiTheme="minorHAnsi" w:hAnsiTheme="minorHAnsi"/>
          <w:sz w:val="24"/>
          <w:szCs w:val="24"/>
        </w:rPr>
      </w:pPr>
      <w:r w:rsidRPr="00A35598">
        <w:rPr>
          <w:rFonts w:asciiTheme="minorHAnsi" w:hAnsiTheme="minorHAnsi"/>
          <w:sz w:val="24"/>
          <w:szCs w:val="24"/>
        </w:rPr>
        <w:t>No head-to-head trials comparing baricinitib and tof</w:t>
      </w:r>
      <w:r w:rsidR="00472713" w:rsidRPr="00A35598">
        <w:rPr>
          <w:rFonts w:asciiTheme="minorHAnsi" w:hAnsiTheme="minorHAnsi"/>
          <w:sz w:val="24"/>
          <w:szCs w:val="24"/>
        </w:rPr>
        <w:t>acitinib we</w:t>
      </w:r>
      <w:r w:rsidRPr="00A35598">
        <w:rPr>
          <w:rFonts w:asciiTheme="minorHAnsi" w:hAnsiTheme="minorHAnsi"/>
          <w:sz w:val="24"/>
          <w:szCs w:val="24"/>
        </w:rPr>
        <w:t>re available. As such, a</w:t>
      </w:r>
      <w:r w:rsidR="00A35992" w:rsidRPr="00A35598">
        <w:rPr>
          <w:rFonts w:asciiTheme="minorHAnsi" w:hAnsiTheme="minorHAnsi"/>
          <w:sz w:val="24"/>
          <w:szCs w:val="24"/>
        </w:rPr>
        <w:t>n indirect comparison against tofacitinib</w:t>
      </w:r>
      <w:r w:rsidR="0090288E" w:rsidRPr="00A35598">
        <w:rPr>
          <w:rFonts w:asciiTheme="minorHAnsi" w:hAnsiTheme="minorHAnsi"/>
          <w:sz w:val="24"/>
          <w:szCs w:val="24"/>
        </w:rPr>
        <w:t>,</w:t>
      </w:r>
      <w:r w:rsidR="00A35992" w:rsidRPr="00A35598">
        <w:rPr>
          <w:rFonts w:asciiTheme="minorHAnsi" w:hAnsiTheme="minorHAnsi"/>
          <w:sz w:val="24"/>
          <w:szCs w:val="24"/>
        </w:rPr>
        <w:t xml:space="preserve"> </w:t>
      </w:r>
      <w:r w:rsidR="0090288E" w:rsidRPr="00A35598">
        <w:rPr>
          <w:rFonts w:asciiTheme="minorHAnsi" w:hAnsiTheme="minorHAnsi"/>
          <w:sz w:val="24"/>
          <w:szCs w:val="24"/>
        </w:rPr>
        <w:t xml:space="preserve">using placebo and adalimumab as common references, </w:t>
      </w:r>
      <w:r w:rsidR="00A35992" w:rsidRPr="00A35598">
        <w:rPr>
          <w:rFonts w:asciiTheme="minorHAnsi" w:hAnsiTheme="minorHAnsi"/>
          <w:sz w:val="24"/>
          <w:szCs w:val="24"/>
        </w:rPr>
        <w:t>was included in an attachment to the major submission, and was presented in Attachment 2 of the commentary. The PBAC did not consider the clinical evidence for the comparison against tofacitinib at the July 2017 meeting</w:t>
      </w:r>
      <w:r w:rsidR="0090288E" w:rsidRPr="00A35598">
        <w:rPr>
          <w:rFonts w:asciiTheme="minorHAnsi" w:hAnsiTheme="minorHAnsi"/>
          <w:sz w:val="24"/>
          <w:szCs w:val="24"/>
        </w:rPr>
        <w:t xml:space="preserve">. </w:t>
      </w:r>
    </w:p>
    <w:p w:rsidR="00A35992" w:rsidRPr="00A35598" w:rsidRDefault="0090288E" w:rsidP="00A35992">
      <w:pPr>
        <w:pStyle w:val="ListParagraph"/>
        <w:widowControl/>
        <w:numPr>
          <w:ilvl w:val="1"/>
          <w:numId w:val="14"/>
        </w:numPr>
        <w:spacing w:before="120" w:after="160"/>
        <w:contextualSpacing w:val="0"/>
        <w:rPr>
          <w:rFonts w:asciiTheme="minorHAnsi" w:hAnsiTheme="minorHAnsi"/>
          <w:sz w:val="24"/>
          <w:szCs w:val="24"/>
        </w:rPr>
      </w:pPr>
      <w:r w:rsidRPr="00A35598">
        <w:rPr>
          <w:rFonts w:asciiTheme="minorHAnsi" w:hAnsiTheme="minorHAnsi"/>
          <w:sz w:val="24"/>
          <w:szCs w:val="24"/>
        </w:rPr>
        <w:t xml:space="preserve">The minor resubmission </w:t>
      </w:r>
      <w:r w:rsidR="0058505D" w:rsidRPr="00A35598">
        <w:rPr>
          <w:rFonts w:asciiTheme="minorHAnsi" w:hAnsiTheme="minorHAnsi"/>
          <w:sz w:val="24"/>
          <w:szCs w:val="24"/>
        </w:rPr>
        <w:t>was</w:t>
      </w:r>
      <w:r w:rsidR="00943294" w:rsidRPr="00A35598">
        <w:rPr>
          <w:rFonts w:asciiTheme="minorHAnsi" w:hAnsiTheme="minorHAnsi"/>
          <w:sz w:val="24"/>
          <w:szCs w:val="24"/>
        </w:rPr>
        <w:t xml:space="preserve"> based on the indirect comparison against tofacitinib. No new trials were presented. </w:t>
      </w:r>
    </w:p>
    <w:p w:rsidR="005A3173" w:rsidRPr="00A35598" w:rsidRDefault="005A3173" w:rsidP="00937958">
      <w:pPr>
        <w:pStyle w:val="Heading2"/>
        <w:keepLines/>
        <w:spacing w:before="240" w:after="120"/>
        <w:rPr>
          <w:rFonts w:asciiTheme="minorHAnsi" w:eastAsiaTheme="majorEastAsia" w:hAnsiTheme="minorHAnsi" w:cstheme="majorBidi"/>
          <w:sz w:val="28"/>
          <w:szCs w:val="28"/>
          <w:lang w:eastAsia="en-US"/>
        </w:rPr>
      </w:pPr>
      <w:r w:rsidRPr="00A35598">
        <w:rPr>
          <w:rFonts w:asciiTheme="minorHAnsi" w:eastAsiaTheme="majorEastAsia" w:hAnsiTheme="minorHAnsi" w:cstheme="majorBidi"/>
          <w:sz w:val="28"/>
          <w:szCs w:val="28"/>
          <w:lang w:eastAsia="en-US"/>
        </w:rPr>
        <w:t>Comparative effectiveness</w:t>
      </w:r>
    </w:p>
    <w:p w:rsidR="00DF26A7" w:rsidRPr="00A35598" w:rsidRDefault="0058505D" w:rsidP="0058505D">
      <w:pPr>
        <w:pStyle w:val="ListParagraph"/>
        <w:widowControl/>
        <w:numPr>
          <w:ilvl w:val="1"/>
          <w:numId w:val="14"/>
        </w:numPr>
        <w:spacing w:before="120" w:after="160"/>
        <w:contextualSpacing w:val="0"/>
        <w:rPr>
          <w:rFonts w:asciiTheme="minorHAnsi" w:hAnsiTheme="minorHAnsi"/>
          <w:sz w:val="24"/>
          <w:szCs w:val="24"/>
        </w:rPr>
      </w:pPr>
      <w:r w:rsidRPr="00A35598">
        <w:rPr>
          <w:rFonts w:asciiTheme="minorHAnsi" w:hAnsiTheme="minorHAnsi"/>
          <w:sz w:val="24"/>
          <w:szCs w:val="24"/>
        </w:rPr>
        <w:t xml:space="preserve">In July 2017, the PBAC did not accept the submission’s claim that baricitinib was superior in terms of effectiveness compared to adalimumab. </w:t>
      </w:r>
    </w:p>
    <w:p w:rsidR="0058505D" w:rsidRPr="00A35598" w:rsidRDefault="0058505D" w:rsidP="0058505D">
      <w:pPr>
        <w:pStyle w:val="ListParagraph"/>
        <w:widowControl/>
        <w:numPr>
          <w:ilvl w:val="1"/>
          <w:numId w:val="14"/>
        </w:numPr>
        <w:spacing w:before="120" w:after="160"/>
        <w:contextualSpacing w:val="0"/>
        <w:rPr>
          <w:rFonts w:asciiTheme="minorHAnsi" w:hAnsiTheme="minorHAnsi"/>
          <w:sz w:val="24"/>
          <w:szCs w:val="24"/>
        </w:rPr>
      </w:pPr>
      <w:r w:rsidRPr="00A35598">
        <w:rPr>
          <w:rFonts w:asciiTheme="minorHAnsi" w:hAnsiTheme="minorHAnsi"/>
          <w:sz w:val="24"/>
          <w:szCs w:val="24"/>
        </w:rPr>
        <w:t>In considering the indirect comparison against tofacitinib, the</w:t>
      </w:r>
      <w:r w:rsidR="00525CAF" w:rsidRPr="00A35598">
        <w:rPr>
          <w:rFonts w:asciiTheme="minorHAnsi" w:hAnsiTheme="minorHAnsi"/>
          <w:sz w:val="24"/>
          <w:szCs w:val="24"/>
        </w:rPr>
        <w:t xml:space="preserve"> July 2017</w:t>
      </w:r>
      <w:r w:rsidRPr="00A35598">
        <w:rPr>
          <w:rFonts w:asciiTheme="minorHAnsi" w:hAnsiTheme="minorHAnsi"/>
          <w:sz w:val="24"/>
          <w:szCs w:val="24"/>
        </w:rPr>
        <w:t xml:space="preserve"> evaluation noted that no statistically significant differences were observed for baricitinib compared to tofacitinib. </w:t>
      </w:r>
    </w:p>
    <w:p w:rsidR="00525CAF" w:rsidRPr="00A35598" w:rsidRDefault="00525CAF" w:rsidP="00525CAF">
      <w:pPr>
        <w:pStyle w:val="TableHeader"/>
        <w:keepNext/>
        <w:keepLines/>
      </w:pPr>
      <w:bookmarkStart w:id="1" w:name="RANGE!T2"/>
      <w:r w:rsidRPr="00A35598">
        <w:lastRenderedPageBreak/>
        <w:t>Table 1: ACR20 at 12 weeks in cDMARD-IR and bDMARD-IR populations</w:t>
      </w:r>
      <w:bookmarkEnd w:id="1"/>
    </w:p>
    <w:tbl>
      <w:tblPr>
        <w:tblStyle w:val="TableGrid"/>
        <w:tblW w:w="0" w:type="auto"/>
        <w:tblLayout w:type="fixed"/>
        <w:tblCellMar>
          <w:left w:w="28" w:type="dxa"/>
          <w:right w:w="28" w:type="dxa"/>
        </w:tblCellMar>
        <w:tblLook w:val="04A0" w:firstRow="1" w:lastRow="0" w:firstColumn="1" w:lastColumn="0" w:noHBand="0" w:noVBand="1"/>
        <w:tblCaption w:val="Table 1: ACR20 at 12 weeks in cDMARD-IR and bDMARD-IR populations"/>
      </w:tblPr>
      <w:tblGrid>
        <w:gridCol w:w="828"/>
        <w:gridCol w:w="900"/>
        <w:gridCol w:w="1260"/>
        <w:gridCol w:w="1260"/>
        <w:gridCol w:w="1560"/>
        <w:gridCol w:w="1560"/>
        <w:gridCol w:w="1560"/>
      </w:tblGrid>
      <w:tr w:rsidR="00EB3307" w:rsidRPr="00A35598" w:rsidTr="00423DA9">
        <w:trPr>
          <w:trHeight w:val="320"/>
          <w:tblHeader/>
        </w:trPr>
        <w:tc>
          <w:tcPr>
            <w:tcW w:w="1728" w:type="dxa"/>
            <w:gridSpan w:val="2"/>
            <w:shd w:val="clear" w:color="auto" w:fill="auto"/>
            <w:noWrap/>
            <w:vAlign w:val="center"/>
            <w:hideMark/>
          </w:tcPr>
          <w:p w:rsidR="00525CAF" w:rsidRPr="00A35598" w:rsidRDefault="00525CAF" w:rsidP="00B669A5">
            <w:pPr>
              <w:pStyle w:val="TableText0"/>
            </w:pPr>
            <w:r w:rsidRPr="00A35598">
              <w:t>Trial</w:t>
            </w:r>
          </w:p>
        </w:tc>
        <w:tc>
          <w:tcPr>
            <w:tcW w:w="1260" w:type="dxa"/>
            <w:shd w:val="clear" w:color="auto" w:fill="auto"/>
            <w:noWrap/>
            <w:vAlign w:val="center"/>
            <w:hideMark/>
          </w:tcPr>
          <w:p w:rsidR="00525CAF" w:rsidRPr="00A35598" w:rsidRDefault="00525CAF" w:rsidP="00B669A5">
            <w:pPr>
              <w:pStyle w:val="TableText0"/>
              <w:jc w:val="center"/>
              <w:rPr>
                <w:rFonts w:eastAsiaTheme="majorEastAsia" w:cstheme="majorBidi"/>
                <w:szCs w:val="28"/>
              </w:rPr>
            </w:pPr>
            <w:r w:rsidRPr="00A35598">
              <w:t>Treatment</w:t>
            </w:r>
          </w:p>
          <w:p w:rsidR="00525CAF" w:rsidRPr="00A35598" w:rsidRDefault="00525CAF" w:rsidP="00B669A5">
            <w:pPr>
              <w:pStyle w:val="TableText0"/>
              <w:jc w:val="center"/>
              <w:rPr>
                <w:rFonts w:eastAsiaTheme="majorEastAsia" w:cstheme="majorBidi"/>
                <w:szCs w:val="28"/>
              </w:rPr>
            </w:pPr>
            <w:r w:rsidRPr="00A35598">
              <w:t>n/N (%)</w:t>
            </w:r>
          </w:p>
        </w:tc>
        <w:tc>
          <w:tcPr>
            <w:tcW w:w="1260" w:type="dxa"/>
            <w:shd w:val="clear" w:color="auto" w:fill="auto"/>
            <w:noWrap/>
            <w:vAlign w:val="center"/>
            <w:hideMark/>
          </w:tcPr>
          <w:p w:rsidR="00525CAF" w:rsidRPr="00A35598" w:rsidRDefault="00525CAF" w:rsidP="00B669A5">
            <w:pPr>
              <w:pStyle w:val="TableText0"/>
              <w:jc w:val="center"/>
              <w:rPr>
                <w:rFonts w:eastAsiaTheme="majorEastAsia" w:cstheme="majorBidi"/>
                <w:szCs w:val="28"/>
              </w:rPr>
            </w:pPr>
            <w:r w:rsidRPr="00A35598">
              <w:t>Control</w:t>
            </w:r>
          </w:p>
          <w:p w:rsidR="00525CAF" w:rsidRPr="00A35598" w:rsidRDefault="00525CAF" w:rsidP="00B669A5">
            <w:pPr>
              <w:pStyle w:val="TableText0"/>
              <w:jc w:val="center"/>
              <w:rPr>
                <w:rFonts w:eastAsiaTheme="majorEastAsia" w:cstheme="majorBidi"/>
                <w:szCs w:val="28"/>
              </w:rPr>
            </w:pPr>
            <w:r w:rsidRPr="00A35598">
              <w:t>n/N (%)</w:t>
            </w:r>
          </w:p>
        </w:tc>
        <w:tc>
          <w:tcPr>
            <w:tcW w:w="1560" w:type="dxa"/>
            <w:shd w:val="clear" w:color="auto" w:fill="auto"/>
            <w:noWrap/>
            <w:vAlign w:val="center"/>
            <w:hideMark/>
          </w:tcPr>
          <w:p w:rsidR="00525CAF" w:rsidRPr="00A35598" w:rsidRDefault="00525CAF" w:rsidP="00B669A5">
            <w:pPr>
              <w:pStyle w:val="TableText0"/>
              <w:jc w:val="center"/>
              <w:rPr>
                <w:rFonts w:eastAsiaTheme="majorEastAsia" w:cstheme="majorBidi"/>
                <w:szCs w:val="28"/>
              </w:rPr>
            </w:pPr>
            <w:r w:rsidRPr="00A35598">
              <w:t>RD (95% CI)</w:t>
            </w:r>
          </w:p>
        </w:tc>
        <w:tc>
          <w:tcPr>
            <w:tcW w:w="1560" w:type="dxa"/>
            <w:shd w:val="clear" w:color="auto" w:fill="auto"/>
            <w:noWrap/>
            <w:vAlign w:val="center"/>
            <w:hideMark/>
          </w:tcPr>
          <w:p w:rsidR="00525CAF" w:rsidRPr="00A35598" w:rsidRDefault="00525CAF" w:rsidP="00B669A5">
            <w:pPr>
              <w:pStyle w:val="TableText0"/>
              <w:jc w:val="center"/>
              <w:rPr>
                <w:rFonts w:eastAsiaTheme="majorEastAsia" w:cstheme="majorBidi"/>
                <w:szCs w:val="28"/>
              </w:rPr>
            </w:pPr>
            <w:r w:rsidRPr="00A35598">
              <w:t>OR (95% CI)</w:t>
            </w:r>
          </w:p>
        </w:tc>
        <w:tc>
          <w:tcPr>
            <w:tcW w:w="1560" w:type="dxa"/>
            <w:shd w:val="clear" w:color="auto" w:fill="auto"/>
            <w:noWrap/>
            <w:vAlign w:val="center"/>
            <w:hideMark/>
          </w:tcPr>
          <w:p w:rsidR="00525CAF" w:rsidRPr="00A35598" w:rsidRDefault="00525CAF" w:rsidP="00B669A5">
            <w:pPr>
              <w:pStyle w:val="TableText0"/>
              <w:jc w:val="center"/>
              <w:rPr>
                <w:rFonts w:eastAsiaTheme="majorEastAsia" w:cstheme="majorBidi"/>
                <w:szCs w:val="28"/>
              </w:rPr>
            </w:pPr>
            <w:r w:rsidRPr="00A35598">
              <w:t>RR (95% CI)</w:t>
            </w:r>
          </w:p>
        </w:tc>
      </w:tr>
      <w:tr w:rsidR="00EB3307" w:rsidRPr="00A35598" w:rsidTr="00B669A5">
        <w:trPr>
          <w:trHeight w:val="320"/>
        </w:trPr>
        <w:tc>
          <w:tcPr>
            <w:tcW w:w="8928" w:type="dxa"/>
            <w:gridSpan w:val="7"/>
            <w:noWrap/>
            <w:vAlign w:val="center"/>
            <w:hideMark/>
          </w:tcPr>
          <w:p w:rsidR="00525CAF" w:rsidRPr="00A35598" w:rsidRDefault="00525CAF" w:rsidP="00B669A5">
            <w:pPr>
              <w:pStyle w:val="TableText0"/>
              <w:rPr>
                <w:b/>
              </w:rPr>
            </w:pPr>
            <w:r w:rsidRPr="00A35598">
              <w:rPr>
                <w:b/>
              </w:rPr>
              <w:t>cDMARD-IR population, via Ada</w:t>
            </w:r>
          </w:p>
        </w:tc>
      </w:tr>
      <w:tr w:rsidR="00EB3307" w:rsidRPr="00A35598" w:rsidTr="00B669A5">
        <w:trPr>
          <w:trHeight w:val="320"/>
        </w:trPr>
        <w:tc>
          <w:tcPr>
            <w:tcW w:w="828" w:type="dxa"/>
            <w:noWrap/>
            <w:vAlign w:val="center"/>
            <w:hideMark/>
          </w:tcPr>
          <w:p w:rsidR="00525CAF" w:rsidRPr="00A35598" w:rsidRDefault="00525CAF" w:rsidP="00B669A5">
            <w:pPr>
              <w:pStyle w:val="TableText0"/>
            </w:pPr>
            <w:r w:rsidRPr="00A35598">
              <w:t>Bari</w:t>
            </w:r>
          </w:p>
        </w:tc>
        <w:tc>
          <w:tcPr>
            <w:tcW w:w="900" w:type="dxa"/>
            <w:noWrap/>
            <w:vAlign w:val="center"/>
            <w:hideMark/>
          </w:tcPr>
          <w:p w:rsidR="00525CAF" w:rsidRPr="00A35598" w:rsidRDefault="00525CAF" w:rsidP="00B669A5">
            <w:pPr>
              <w:pStyle w:val="TableText0"/>
            </w:pPr>
            <w:r w:rsidRPr="00A35598">
              <w:t>JADV</w:t>
            </w:r>
          </w:p>
        </w:tc>
        <w:tc>
          <w:tcPr>
            <w:tcW w:w="1260" w:type="dxa"/>
            <w:noWrap/>
            <w:vAlign w:val="center"/>
            <w:hideMark/>
          </w:tcPr>
          <w:p w:rsidR="00525CAF" w:rsidRPr="00A35598" w:rsidRDefault="00525CAF" w:rsidP="00B669A5">
            <w:pPr>
              <w:pStyle w:val="TableText0"/>
              <w:jc w:val="center"/>
            </w:pPr>
            <w:r w:rsidRPr="00A35598">
              <w:t>339/487 (70)</w:t>
            </w:r>
          </w:p>
        </w:tc>
        <w:tc>
          <w:tcPr>
            <w:tcW w:w="1260" w:type="dxa"/>
            <w:noWrap/>
            <w:vAlign w:val="center"/>
            <w:hideMark/>
          </w:tcPr>
          <w:p w:rsidR="00525CAF" w:rsidRPr="00A35598" w:rsidRDefault="00525CAF" w:rsidP="00B669A5">
            <w:pPr>
              <w:pStyle w:val="TableText0"/>
              <w:jc w:val="center"/>
              <w:rPr>
                <w:rFonts w:eastAsiaTheme="majorEastAsia" w:cstheme="majorBidi"/>
                <w:b/>
                <w:szCs w:val="28"/>
              </w:rPr>
            </w:pPr>
            <w:r w:rsidRPr="00A35598">
              <w:t>202/330 (61)</w:t>
            </w:r>
          </w:p>
        </w:tc>
        <w:tc>
          <w:tcPr>
            <w:tcW w:w="1560" w:type="dxa"/>
            <w:noWrap/>
            <w:vAlign w:val="center"/>
            <w:hideMark/>
          </w:tcPr>
          <w:p w:rsidR="00525CAF" w:rsidRPr="00A35598" w:rsidRDefault="00525CAF" w:rsidP="00B669A5">
            <w:pPr>
              <w:pStyle w:val="TableText0"/>
              <w:jc w:val="center"/>
              <w:rPr>
                <w:b/>
              </w:rPr>
            </w:pPr>
            <w:r w:rsidRPr="00A35598">
              <w:rPr>
                <w:b/>
              </w:rPr>
              <w:t>0.08 (0.02, 0.15)</w:t>
            </w:r>
          </w:p>
        </w:tc>
        <w:tc>
          <w:tcPr>
            <w:tcW w:w="1560" w:type="dxa"/>
            <w:noWrap/>
            <w:vAlign w:val="center"/>
            <w:hideMark/>
          </w:tcPr>
          <w:p w:rsidR="00525CAF" w:rsidRPr="00A35598" w:rsidRDefault="00525CAF" w:rsidP="00B669A5">
            <w:pPr>
              <w:pStyle w:val="TableText0"/>
              <w:jc w:val="center"/>
              <w:rPr>
                <w:b/>
              </w:rPr>
            </w:pPr>
            <w:r w:rsidRPr="00A35598">
              <w:rPr>
                <w:b/>
              </w:rPr>
              <w:t>1.45 (1.08, 1.95)</w:t>
            </w:r>
          </w:p>
        </w:tc>
        <w:tc>
          <w:tcPr>
            <w:tcW w:w="1560" w:type="dxa"/>
            <w:noWrap/>
            <w:vAlign w:val="center"/>
            <w:hideMark/>
          </w:tcPr>
          <w:p w:rsidR="00525CAF" w:rsidRPr="00575E5C" w:rsidRDefault="00575E5C" w:rsidP="00B669A5">
            <w:pPr>
              <w:pStyle w:val="TableText0"/>
              <w:jc w:val="center"/>
              <w:rPr>
                <w:b/>
                <w:highlight w:val="black"/>
              </w:rPr>
            </w:pPr>
            <w:r>
              <w:rPr>
                <w:b/>
                <w:noProof/>
                <w:color w:val="000000"/>
                <w:highlight w:val="black"/>
              </w:rPr>
              <w:t>''''''''' ''''''''''' '''''''''''</w:t>
            </w:r>
          </w:p>
        </w:tc>
      </w:tr>
      <w:tr w:rsidR="00EB3307" w:rsidRPr="00A35598" w:rsidTr="00B669A5">
        <w:trPr>
          <w:trHeight w:val="320"/>
        </w:trPr>
        <w:tc>
          <w:tcPr>
            <w:tcW w:w="828" w:type="dxa"/>
            <w:noWrap/>
            <w:vAlign w:val="center"/>
            <w:hideMark/>
          </w:tcPr>
          <w:p w:rsidR="00525CAF" w:rsidRPr="00A35598" w:rsidRDefault="00525CAF" w:rsidP="00B669A5">
            <w:pPr>
              <w:pStyle w:val="TableText0"/>
            </w:pPr>
            <w:r w:rsidRPr="00A35598">
              <w:t>Tofa</w:t>
            </w:r>
          </w:p>
        </w:tc>
        <w:tc>
          <w:tcPr>
            <w:tcW w:w="900" w:type="dxa"/>
            <w:noWrap/>
            <w:vAlign w:val="center"/>
            <w:hideMark/>
          </w:tcPr>
          <w:p w:rsidR="00525CAF" w:rsidRPr="00A35598" w:rsidRDefault="00525CAF" w:rsidP="00B669A5">
            <w:pPr>
              <w:pStyle w:val="TableText0"/>
            </w:pPr>
            <w:r w:rsidRPr="00A35598">
              <w:t>1064</w:t>
            </w:r>
          </w:p>
        </w:tc>
        <w:tc>
          <w:tcPr>
            <w:tcW w:w="1260" w:type="dxa"/>
            <w:noWrap/>
            <w:vAlign w:val="center"/>
            <w:hideMark/>
          </w:tcPr>
          <w:p w:rsidR="00525CAF" w:rsidRPr="00575E5C" w:rsidRDefault="00575E5C" w:rsidP="00B669A5">
            <w:pPr>
              <w:pStyle w:val="TableText0"/>
              <w:jc w:val="center"/>
              <w:rPr>
                <w:rFonts w:eastAsiaTheme="majorEastAsia" w:cstheme="majorBidi"/>
                <w:b/>
                <w:szCs w:val="28"/>
                <w:highlight w:val="black"/>
              </w:rPr>
            </w:pPr>
            <w:r>
              <w:rPr>
                <w:noProof/>
                <w:color w:val="000000"/>
                <w:highlight w:val="black"/>
              </w:rPr>
              <w:t>'''''''''''''''''' ''''''''''</w:t>
            </w:r>
          </w:p>
        </w:tc>
        <w:tc>
          <w:tcPr>
            <w:tcW w:w="1260" w:type="dxa"/>
            <w:noWrap/>
            <w:vAlign w:val="center"/>
            <w:hideMark/>
          </w:tcPr>
          <w:p w:rsidR="00525CAF" w:rsidRPr="00575E5C" w:rsidRDefault="00575E5C" w:rsidP="00B669A5">
            <w:pPr>
              <w:pStyle w:val="TableText0"/>
              <w:jc w:val="center"/>
              <w:rPr>
                <w:rFonts w:eastAsiaTheme="majorEastAsia" w:cstheme="majorBidi"/>
                <w:b/>
                <w:szCs w:val="28"/>
                <w:highlight w:val="black"/>
              </w:rPr>
            </w:pPr>
            <w:r>
              <w:rPr>
                <w:noProof/>
                <w:color w:val="000000"/>
                <w:highlight w:val="black"/>
              </w:rPr>
              <w:t>''''''''''''''''''' ''''''''''</w:t>
            </w:r>
          </w:p>
        </w:tc>
        <w:tc>
          <w:tcPr>
            <w:tcW w:w="1560" w:type="dxa"/>
            <w:noWrap/>
            <w:vAlign w:val="center"/>
            <w:hideMark/>
          </w:tcPr>
          <w:p w:rsidR="00525CAF" w:rsidRPr="00575E5C" w:rsidRDefault="00575E5C" w:rsidP="00B669A5">
            <w:pPr>
              <w:pStyle w:val="TableText0"/>
              <w:jc w:val="center"/>
              <w:rPr>
                <w:rFonts w:eastAsiaTheme="majorEastAsia" w:cstheme="majorBidi"/>
                <w:b/>
                <w:szCs w:val="28"/>
                <w:highlight w:val="black"/>
              </w:rPr>
            </w:pPr>
            <w:r>
              <w:rPr>
                <w:noProof/>
                <w:color w:val="000000"/>
                <w:highlight w:val="black"/>
              </w:rPr>
              <w:t>'''''''''' '''''''''''''''' ''''''''''''''</w:t>
            </w:r>
          </w:p>
        </w:tc>
        <w:tc>
          <w:tcPr>
            <w:tcW w:w="1560" w:type="dxa"/>
            <w:noWrap/>
            <w:vAlign w:val="center"/>
            <w:hideMark/>
          </w:tcPr>
          <w:p w:rsidR="00525CAF" w:rsidRPr="00575E5C" w:rsidRDefault="00575E5C" w:rsidP="00B669A5">
            <w:pPr>
              <w:pStyle w:val="TableText0"/>
              <w:jc w:val="center"/>
              <w:rPr>
                <w:rFonts w:eastAsiaTheme="majorEastAsia" w:cstheme="majorBidi"/>
                <w:b/>
                <w:szCs w:val="28"/>
                <w:highlight w:val="black"/>
              </w:rPr>
            </w:pPr>
            <w:r>
              <w:rPr>
                <w:noProof/>
                <w:color w:val="000000"/>
                <w:highlight w:val="black"/>
              </w:rPr>
              <w:t>'''''''''' '''''''''' ''''''''''''</w:t>
            </w:r>
          </w:p>
        </w:tc>
        <w:tc>
          <w:tcPr>
            <w:tcW w:w="1560" w:type="dxa"/>
            <w:noWrap/>
            <w:vAlign w:val="center"/>
            <w:hideMark/>
          </w:tcPr>
          <w:p w:rsidR="00525CAF" w:rsidRPr="00575E5C" w:rsidRDefault="00575E5C" w:rsidP="00B669A5">
            <w:pPr>
              <w:pStyle w:val="TableText0"/>
              <w:jc w:val="center"/>
              <w:rPr>
                <w:rFonts w:eastAsiaTheme="majorEastAsia" w:cstheme="majorBidi"/>
                <w:b/>
                <w:szCs w:val="28"/>
                <w:highlight w:val="black"/>
              </w:rPr>
            </w:pPr>
            <w:r>
              <w:rPr>
                <w:noProof/>
                <w:color w:val="000000"/>
                <w:highlight w:val="black"/>
              </w:rPr>
              <w:t>''''''''''' ''''''''''''''' ''''''''''''</w:t>
            </w:r>
          </w:p>
        </w:tc>
      </w:tr>
      <w:tr w:rsidR="00EB3307" w:rsidRPr="00A35598" w:rsidTr="00B669A5">
        <w:trPr>
          <w:trHeight w:val="90"/>
        </w:trPr>
        <w:tc>
          <w:tcPr>
            <w:tcW w:w="4248" w:type="dxa"/>
            <w:gridSpan w:val="4"/>
            <w:noWrap/>
            <w:vAlign w:val="center"/>
            <w:hideMark/>
          </w:tcPr>
          <w:p w:rsidR="00525CAF" w:rsidRPr="00A35598" w:rsidRDefault="00525CAF" w:rsidP="00B669A5">
            <w:pPr>
              <w:pStyle w:val="TableText0"/>
            </w:pPr>
            <w:r w:rsidRPr="00A35598">
              <w:t>Bari vs Tofa (via Ada)</w:t>
            </w:r>
          </w:p>
        </w:tc>
        <w:tc>
          <w:tcPr>
            <w:tcW w:w="1560" w:type="dxa"/>
            <w:noWrap/>
            <w:vAlign w:val="center"/>
            <w:hideMark/>
          </w:tcPr>
          <w:p w:rsidR="00525CAF" w:rsidRPr="00575E5C" w:rsidRDefault="00575E5C" w:rsidP="00B669A5">
            <w:pPr>
              <w:pStyle w:val="TableText0"/>
              <w:jc w:val="center"/>
              <w:rPr>
                <w:rFonts w:eastAsiaTheme="majorEastAsia" w:cstheme="majorBidi"/>
                <w:b/>
                <w:szCs w:val="28"/>
                <w:highlight w:val="black"/>
              </w:rPr>
            </w:pPr>
            <w:r>
              <w:rPr>
                <w:noProof/>
                <w:color w:val="000000"/>
                <w:highlight w:val="black"/>
              </w:rPr>
              <w:t>'''''''''' ''''''''''''''''' '''''''''''</w:t>
            </w:r>
          </w:p>
        </w:tc>
        <w:tc>
          <w:tcPr>
            <w:tcW w:w="1560" w:type="dxa"/>
            <w:noWrap/>
            <w:vAlign w:val="center"/>
            <w:hideMark/>
          </w:tcPr>
          <w:p w:rsidR="00525CAF" w:rsidRPr="00575E5C" w:rsidRDefault="00575E5C" w:rsidP="00B669A5">
            <w:pPr>
              <w:pStyle w:val="TableText0"/>
              <w:jc w:val="center"/>
              <w:rPr>
                <w:rFonts w:eastAsiaTheme="majorEastAsia" w:cstheme="majorBidi"/>
                <w:b/>
                <w:szCs w:val="28"/>
                <w:highlight w:val="black"/>
              </w:rPr>
            </w:pPr>
            <w:r>
              <w:rPr>
                <w:noProof/>
                <w:color w:val="000000"/>
                <w:highlight w:val="black"/>
              </w:rPr>
              <w:t>''''''''''' '''''''''''''' '''''''''''''</w:t>
            </w:r>
          </w:p>
        </w:tc>
        <w:tc>
          <w:tcPr>
            <w:tcW w:w="1560" w:type="dxa"/>
            <w:noWrap/>
            <w:vAlign w:val="center"/>
            <w:hideMark/>
          </w:tcPr>
          <w:p w:rsidR="00525CAF" w:rsidRPr="00575E5C" w:rsidRDefault="00575E5C" w:rsidP="00B669A5">
            <w:pPr>
              <w:pStyle w:val="TableText0"/>
              <w:jc w:val="center"/>
              <w:rPr>
                <w:rFonts w:eastAsiaTheme="majorEastAsia" w:cstheme="majorBidi"/>
                <w:b/>
                <w:szCs w:val="28"/>
                <w:highlight w:val="black"/>
              </w:rPr>
            </w:pPr>
            <w:r>
              <w:rPr>
                <w:noProof/>
                <w:color w:val="000000"/>
                <w:highlight w:val="black"/>
              </w:rPr>
              <w:t>'''''''''' '''''''''''''' ''''''''''''''</w:t>
            </w:r>
          </w:p>
        </w:tc>
      </w:tr>
      <w:tr w:rsidR="00EB3307" w:rsidRPr="00A35598" w:rsidTr="00B669A5">
        <w:trPr>
          <w:trHeight w:val="320"/>
        </w:trPr>
        <w:tc>
          <w:tcPr>
            <w:tcW w:w="8928" w:type="dxa"/>
            <w:gridSpan w:val="7"/>
            <w:noWrap/>
            <w:vAlign w:val="center"/>
            <w:hideMark/>
          </w:tcPr>
          <w:p w:rsidR="00525CAF" w:rsidRPr="00A35598" w:rsidRDefault="00525CAF" w:rsidP="00B669A5">
            <w:pPr>
              <w:pStyle w:val="TableText0"/>
              <w:rPr>
                <w:b/>
                <w:bCs/>
              </w:rPr>
            </w:pPr>
            <w:r w:rsidRPr="00A35598">
              <w:rPr>
                <w:b/>
                <w:bCs/>
              </w:rPr>
              <w:t>cDMARD-IR population, via PBO</w:t>
            </w:r>
          </w:p>
        </w:tc>
      </w:tr>
      <w:tr w:rsidR="00EB3307" w:rsidRPr="00A35598" w:rsidTr="00B669A5">
        <w:trPr>
          <w:trHeight w:val="154"/>
        </w:trPr>
        <w:tc>
          <w:tcPr>
            <w:tcW w:w="828" w:type="dxa"/>
            <w:vMerge w:val="restart"/>
            <w:noWrap/>
            <w:vAlign w:val="center"/>
            <w:hideMark/>
          </w:tcPr>
          <w:p w:rsidR="00525CAF" w:rsidRPr="00A35598" w:rsidRDefault="00525CAF" w:rsidP="00B669A5">
            <w:pPr>
              <w:pStyle w:val="TableText0"/>
            </w:pPr>
            <w:r w:rsidRPr="00A35598">
              <w:t>Bari</w:t>
            </w:r>
          </w:p>
        </w:tc>
        <w:tc>
          <w:tcPr>
            <w:tcW w:w="900" w:type="dxa"/>
            <w:noWrap/>
            <w:vAlign w:val="center"/>
            <w:hideMark/>
          </w:tcPr>
          <w:p w:rsidR="00525CAF" w:rsidRPr="00A35598" w:rsidRDefault="00525CAF" w:rsidP="00B669A5">
            <w:pPr>
              <w:pStyle w:val="TableText0"/>
            </w:pPr>
            <w:r w:rsidRPr="00A35598">
              <w:t>JADA</w:t>
            </w:r>
          </w:p>
        </w:tc>
        <w:tc>
          <w:tcPr>
            <w:tcW w:w="1260" w:type="dxa"/>
            <w:noWrap/>
            <w:vAlign w:val="center"/>
            <w:hideMark/>
          </w:tcPr>
          <w:p w:rsidR="00525CAF" w:rsidRPr="00575E5C" w:rsidRDefault="00575E5C" w:rsidP="00B669A5">
            <w:pPr>
              <w:pStyle w:val="TableText0"/>
              <w:jc w:val="center"/>
              <w:rPr>
                <w:rFonts w:eastAsiaTheme="majorEastAsia" w:cstheme="majorBidi"/>
                <w:b/>
                <w:szCs w:val="28"/>
                <w:highlight w:val="black"/>
              </w:rPr>
            </w:pPr>
            <w:r>
              <w:rPr>
                <w:noProof/>
                <w:color w:val="000000"/>
                <w:highlight w:val="black"/>
              </w:rPr>
              <w:t>'''''''''''' ''''''''''</w:t>
            </w:r>
          </w:p>
        </w:tc>
        <w:tc>
          <w:tcPr>
            <w:tcW w:w="1260" w:type="dxa"/>
            <w:noWrap/>
            <w:vAlign w:val="center"/>
            <w:hideMark/>
          </w:tcPr>
          <w:p w:rsidR="00525CAF" w:rsidRPr="00575E5C" w:rsidRDefault="00575E5C" w:rsidP="00B669A5">
            <w:pPr>
              <w:pStyle w:val="TableText0"/>
              <w:jc w:val="center"/>
              <w:rPr>
                <w:rFonts w:eastAsiaTheme="majorEastAsia" w:cstheme="majorBidi"/>
                <w:b/>
                <w:szCs w:val="28"/>
                <w:highlight w:val="black"/>
              </w:rPr>
            </w:pPr>
            <w:r>
              <w:rPr>
                <w:noProof/>
                <w:color w:val="000000"/>
                <w:highlight w:val="black"/>
              </w:rPr>
              <w:t>'''''''''''''' '''''''''</w:t>
            </w:r>
          </w:p>
        </w:tc>
        <w:tc>
          <w:tcPr>
            <w:tcW w:w="1560" w:type="dxa"/>
            <w:noWrap/>
            <w:vAlign w:val="center"/>
            <w:hideMark/>
          </w:tcPr>
          <w:p w:rsidR="00525CAF" w:rsidRPr="00575E5C" w:rsidRDefault="00575E5C" w:rsidP="00B669A5">
            <w:pPr>
              <w:pStyle w:val="TableText0"/>
              <w:jc w:val="center"/>
              <w:rPr>
                <w:b/>
                <w:highlight w:val="black"/>
              </w:rPr>
            </w:pPr>
            <w:r>
              <w:rPr>
                <w:b/>
                <w:noProof/>
                <w:color w:val="000000"/>
                <w:highlight w:val="black"/>
              </w:rPr>
              <w:t>'''''''''' '''''''''''' '''''''''</w:t>
            </w:r>
          </w:p>
        </w:tc>
        <w:tc>
          <w:tcPr>
            <w:tcW w:w="1560" w:type="dxa"/>
            <w:noWrap/>
            <w:vAlign w:val="center"/>
            <w:hideMark/>
          </w:tcPr>
          <w:p w:rsidR="00525CAF" w:rsidRPr="00575E5C" w:rsidRDefault="00575E5C" w:rsidP="00B669A5">
            <w:pPr>
              <w:pStyle w:val="TableText0"/>
              <w:jc w:val="center"/>
              <w:rPr>
                <w:b/>
                <w:highlight w:val="black"/>
              </w:rPr>
            </w:pPr>
            <w:r>
              <w:rPr>
                <w:b/>
                <w:noProof/>
                <w:color w:val="000000"/>
                <w:highlight w:val="black"/>
              </w:rPr>
              <w:t>''''''''' ''''''''''''' '''''''''''</w:t>
            </w:r>
          </w:p>
        </w:tc>
        <w:tc>
          <w:tcPr>
            <w:tcW w:w="1560" w:type="dxa"/>
            <w:noWrap/>
            <w:vAlign w:val="center"/>
            <w:hideMark/>
          </w:tcPr>
          <w:p w:rsidR="00525CAF" w:rsidRPr="00575E5C" w:rsidRDefault="00575E5C" w:rsidP="00B669A5">
            <w:pPr>
              <w:pStyle w:val="TableText0"/>
              <w:jc w:val="center"/>
              <w:rPr>
                <w:b/>
                <w:highlight w:val="black"/>
              </w:rPr>
            </w:pPr>
            <w:r>
              <w:rPr>
                <w:b/>
                <w:noProof/>
                <w:color w:val="000000"/>
                <w:highlight w:val="black"/>
              </w:rPr>
              <w:t>''''''''' '''''''''''' ''''''''''</w:t>
            </w:r>
          </w:p>
        </w:tc>
      </w:tr>
      <w:tr w:rsidR="00EB3307" w:rsidRPr="00A35598" w:rsidTr="00B669A5">
        <w:trPr>
          <w:trHeight w:val="320"/>
        </w:trPr>
        <w:tc>
          <w:tcPr>
            <w:tcW w:w="828" w:type="dxa"/>
            <w:vMerge/>
            <w:noWrap/>
            <w:vAlign w:val="center"/>
            <w:hideMark/>
          </w:tcPr>
          <w:p w:rsidR="00525CAF" w:rsidRPr="00A35598" w:rsidRDefault="00525CAF" w:rsidP="00B669A5">
            <w:pPr>
              <w:pStyle w:val="TableText0"/>
            </w:pPr>
          </w:p>
        </w:tc>
        <w:tc>
          <w:tcPr>
            <w:tcW w:w="900" w:type="dxa"/>
            <w:noWrap/>
            <w:vAlign w:val="center"/>
            <w:hideMark/>
          </w:tcPr>
          <w:p w:rsidR="00525CAF" w:rsidRPr="00A35598" w:rsidRDefault="00525CAF" w:rsidP="00B669A5">
            <w:pPr>
              <w:pStyle w:val="TableText0"/>
            </w:pPr>
            <w:r w:rsidRPr="00A35598">
              <w:t>JADN</w:t>
            </w:r>
          </w:p>
        </w:tc>
        <w:tc>
          <w:tcPr>
            <w:tcW w:w="1260" w:type="dxa"/>
            <w:noWrap/>
            <w:vAlign w:val="center"/>
            <w:hideMark/>
          </w:tcPr>
          <w:p w:rsidR="00525CAF" w:rsidRPr="00575E5C" w:rsidRDefault="00575E5C" w:rsidP="00B669A5">
            <w:pPr>
              <w:pStyle w:val="TableText0"/>
              <w:jc w:val="center"/>
              <w:rPr>
                <w:rFonts w:eastAsiaTheme="majorEastAsia" w:cstheme="majorBidi"/>
                <w:b/>
                <w:szCs w:val="28"/>
                <w:highlight w:val="black"/>
              </w:rPr>
            </w:pPr>
            <w:r>
              <w:rPr>
                <w:noProof/>
                <w:color w:val="000000"/>
                <w:highlight w:val="black"/>
              </w:rPr>
              <w:t>''''''''''''' ''''''''''</w:t>
            </w:r>
          </w:p>
        </w:tc>
        <w:tc>
          <w:tcPr>
            <w:tcW w:w="1260" w:type="dxa"/>
            <w:noWrap/>
            <w:vAlign w:val="center"/>
            <w:hideMark/>
          </w:tcPr>
          <w:p w:rsidR="00525CAF" w:rsidRPr="00575E5C" w:rsidRDefault="00575E5C" w:rsidP="00B669A5">
            <w:pPr>
              <w:pStyle w:val="TableText0"/>
              <w:jc w:val="center"/>
              <w:rPr>
                <w:rFonts w:eastAsiaTheme="majorEastAsia" w:cstheme="majorBidi"/>
                <w:b/>
                <w:szCs w:val="28"/>
                <w:highlight w:val="black"/>
              </w:rPr>
            </w:pPr>
            <w:r>
              <w:rPr>
                <w:noProof/>
                <w:color w:val="000000"/>
                <w:highlight w:val="black"/>
              </w:rPr>
              <w:t>'''''''''''' '''''''''</w:t>
            </w:r>
          </w:p>
        </w:tc>
        <w:tc>
          <w:tcPr>
            <w:tcW w:w="1560" w:type="dxa"/>
            <w:noWrap/>
            <w:vAlign w:val="center"/>
            <w:hideMark/>
          </w:tcPr>
          <w:p w:rsidR="00525CAF" w:rsidRPr="00575E5C" w:rsidRDefault="00575E5C" w:rsidP="00B669A5">
            <w:pPr>
              <w:pStyle w:val="TableText0"/>
              <w:jc w:val="center"/>
              <w:rPr>
                <w:b/>
                <w:highlight w:val="black"/>
              </w:rPr>
            </w:pPr>
            <w:r>
              <w:rPr>
                <w:b/>
                <w:noProof/>
                <w:color w:val="000000"/>
                <w:highlight w:val="black"/>
              </w:rPr>
              <w:t>'''''''' '''''''''''' ''''''''''</w:t>
            </w:r>
          </w:p>
        </w:tc>
        <w:tc>
          <w:tcPr>
            <w:tcW w:w="1560" w:type="dxa"/>
            <w:noWrap/>
            <w:vAlign w:val="center"/>
            <w:hideMark/>
          </w:tcPr>
          <w:p w:rsidR="00525CAF" w:rsidRPr="00575E5C" w:rsidRDefault="00575E5C" w:rsidP="00B669A5">
            <w:pPr>
              <w:pStyle w:val="TableText0"/>
              <w:jc w:val="center"/>
              <w:rPr>
                <w:b/>
                <w:highlight w:val="black"/>
              </w:rPr>
            </w:pPr>
            <w:r>
              <w:rPr>
                <w:b/>
                <w:noProof/>
                <w:color w:val="000000"/>
                <w:highlight w:val="black"/>
              </w:rPr>
              <w:t>'''''''' '''''''''''' '''''''''''''</w:t>
            </w:r>
          </w:p>
        </w:tc>
        <w:tc>
          <w:tcPr>
            <w:tcW w:w="1560" w:type="dxa"/>
            <w:noWrap/>
            <w:vAlign w:val="center"/>
            <w:hideMark/>
          </w:tcPr>
          <w:p w:rsidR="00525CAF" w:rsidRPr="00575E5C" w:rsidRDefault="00575E5C" w:rsidP="00B669A5">
            <w:pPr>
              <w:pStyle w:val="TableText0"/>
              <w:jc w:val="center"/>
              <w:rPr>
                <w:b/>
                <w:highlight w:val="black"/>
              </w:rPr>
            </w:pPr>
            <w:r>
              <w:rPr>
                <w:b/>
                <w:noProof/>
                <w:color w:val="000000"/>
                <w:highlight w:val="black"/>
              </w:rPr>
              <w:t>''''''''' '''''''''' '''''''''''</w:t>
            </w:r>
          </w:p>
        </w:tc>
      </w:tr>
      <w:tr w:rsidR="00EB3307" w:rsidRPr="00A35598" w:rsidTr="00B669A5">
        <w:trPr>
          <w:trHeight w:val="320"/>
        </w:trPr>
        <w:tc>
          <w:tcPr>
            <w:tcW w:w="828" w:type="dxa"/>
            <w:vMerge/>
            <w:noWrap/>
            <w:vAlign w:val="center"/>
            <w:hideMark/>
          </w:tcPr>
          <w:p w:rsidR="00525CAF" w:rsidRPr="00A35598" w:rsidRDefault="00525CAF" w:rsidP="00B669A5">
            <w:pPr>
              <w:pStyle w:val="TableText0"/>
            </w:pPr>
          </w:p>
        </w:tc>
        <w:tc>
          <w:tcPr>
            <w:tcW w:w="900" w:type="dxa"/>
            <w:noWrap/>
            <w:vAlign w:val="center"/>
            <w:hideMark/>
          </w:tcPr>
          <w:p w:rsidR="00525CAF" w:rsidRPr="00A35598" w:rsidRDefault="00525CAF" w:rsidP="00B669A5">
            <w:pPr>
              <w:pStyle w:val="TableText0"/>
            </w:pPr>
            <w:r w:rsidRPr="00A35598">
              <w:t>JADV</w:t>
            </w:r>
          </w:p>
        </w:tc>
        <w:tc>
          <w:tcPr>
            <w:tcW w:w="1260" w:type="dxa"/>
            <w:noWrap/>
            <w:vAlign w:val="center"/>
            <w:hideMark/>
          </w:tcPr>
          <w:p w:rsidR="00525CAF" w:rsidRPr="00575E5C" w:rsidRDefault="00575E5C" w:rsidP="00B669A5">
            <w:pPr>
              <w:pStyle w:val="TableText0"/>
              <w:jc w:val="center"/>
              <w:rPr>
                <w:rFonts w:eastAsiaTheme="majorEastAsia" w:cstheme="majorBidi"/>
                <w:b/>
                <w:szCs w:val="28"/>
                <w:highlight w:val="black"/>
              </w:rPr>
            </w:pPr>
            <w:r>
              <w:rPr>
                <w:noProof/>
                <w:color w:val="000000"/>
                <w:highlight w:val="black"/>
              </w:rPr>
              <w:t>'''''''''''''''''' '''''''''</w:t>
            </w:r>
          </w:p>
        </w:tc>
        <w:tc>
          <w:tcPr>
            <w:tcW w:w="1260" w:type="dxa"/>
            <w:noWrap/>
            <w:vAlign w:val="center"/>
            <w:hideMark/>
          </w:tcPr>
          <w:p w:rsidR="00525CAF" w:rsidRPr="00575E5C" w:rsidRDefault="00575E5C" w:rsidP="00B669A5">
            <w:pPr>
              <w:pStyle w:val="TableText0"/>
              <w:jc w:val="center"/>
              <w:rPr>
                <w:rFonts w:eastAsiaTheme="majorEastAsia" w:cstheme="majorBidi"/>
                <w:b/>
                <w:szCs w:val="28"/>
                <w:highlight w:val="black"/>
              </w:rPr>
            </w:pPr>
            <w:r>
              <w:rPr>
                <w:noProof/>
                <w:color w:val="000000"/>
                <w:highlight w:val="black"/>
              </w:rPr>
              <w:t>''''''''''''''''''' '''''''''''</w:t>
            </w:r>
          </w:p>
        </w:tc>
        <w:tc>
          <w:tcPr>
            <w:tcW w:w="1560" w:type="dxa"/>
            <w:noWrap/>
            <w:vAlign w:val="center"/>
            <w:hideMark/>
          </w:tcPr>
          <w:p w:rsidR="00525CAF" w:rsidRPr="00575E5C" w:rsidRDefault="00575E5C" w:rsidP="00B669A5">
            <w:pPr>
              <w:pStyle w:val="TableText0"/>
              <w:jc w:val="center"/>
              <w:rPr>
                <w:b/>
                <w:highlight w:val="black"/>
              </w:rPr>
            </w:pPr>
            <w:r>
              <w:rPr>
                <w:b/>
                <w:noProof/>
                <w:color w:val="000000"/>
                <w:highlight w:val="black"/>
              </w:rPr>
              <w:t>'''''''' '''''''''' '''''''''''</w:t>
            </w:r>
          </w:p>
        </w:tc>
        <w:tc>
          <w:tcPr>
            <w:tcW w:w="1560" w:type="dxa"/>
            <w:noWrap/>
            <w:vAlign w:val="center"/>
            <w:hideMark/>
          </w:tcPr>
          <w:p w:rsidR="00525CAF" w:rsidRPr="00575E5C" w:rsidRDefault="00575E5C" w:rsidP="00B669A5">
            <w:pPr>
              <w:pStyle w:val="TableText0"/>
              <w:jc w:val="center"/>
              <w:rPr>
                <w:b/>
                <w:highlight w:val="black"/>
              </w:rPr>
            </w:pPr>
            <w:r>
              <w:rPr>
                <w:b/>
                <w:noProof/>
                <w:color w:val="000000"/>
                <w:highlight w:val="black"/>
              </w:rPr>
              <w:t>'''''''' ''''''''''''' ''''''''''</w:t>
            </w:r>
          </w:p>
        </w:tc>
        <w:tc>
          <w:tcPr>
            <w:tcW w:w="1560" w:type="dxa"/>
            <w:noWrap/>
            <w:vAlign w:val="center"/>
            <w:hideMark/>
          </w:tcPr>
          <w:p w:rsidR="00525CAF" w:rsidRPr="00575E5C" w:rsidRDefault="00575E5C" w:rsidP="00B669A5">
            <w:pPr>
              <w:pStyle w:val="TableText0"/>
              <w:jc w:val="center"/>
              <w:rPr>
                <w:b/>
                <w:highlight w:val="black"/>
              </w:rPr>
            </w:pPr>
            <w:r>
              <w:rPr>
                <w:b/>
                <w:noProof/>
                <w:color w:val="000000"/>
                <w:highlight w:val="black"/>
              </w:rPr>
              <w:t>'''''''''' ''''''''''' '''''''''</w:t>
            </w:r>
          </w:p>
        </w:tc>
      </w:tr>
      <w:tr w:rsidR="00EB3307" w:rsidRPr="00A35598" w:rsidTr="00B669A5">
        <w:trPr>
          <w:trHeight w:val="168"/>
        </w:trPr>
        <w:tc>
          <w:tcPr>
            <w:tcW w:w="828" w:type="dxa"/>
            <w:vMerge/>
            <w:noWrap/>
            <w:vAlign w:val="center"/>
            <w:hideMark/>
          </w:tcPr>
          <w:p w:rsidR="00525CAF" w:rsidRPr="00A35598" w:rsidRDefault="00525CAF" w:rsidP="00B669A5">
            <w:pPr>
              <w:pStyle w:val="TableText0"/>
            </w:pPr>
          </w:p>
        </w:tc>
        <w:tc>
          <w:tcPr>
            <w:tcW w:w="900" w:type="dxa"/>
            <w:noWrap/>
            <w:vAlign w:val="center"/>
            <w:hideMark/>
          </w:tcPr>
          <w:p w:rsidR="00525CAF" w:rsidRPr="00A35598" w:rsidRDefault="00525CAF" w:rsidP="00B669A5">
            <w:pPr>
              <w:pStyle w:val="TableText0"/>
            </w:pPr>
            <w:r w:rsidRPr="00A35598">
              <w:t>JADX</w:t>
            </w:r>
          </w:p>
        </w:tc>
        <w:tc>
          <w:tcPr>
            <w:tcW w:w="1260" w:type="dxa"/>
            <w:noWrap/>
            <w:vAlign w:val="center"/>
            <w:hideMark/>
          </w:tcPr>
          <w:p w:rsidR="00525CAF" w:rsidRPr="00575E5C" w:rsidRDefault="00575E5C" w:rsidP="00B669A5">
            <w:pPr>
              <w:pStyle w:val="TableText0"/>
              <w:jc w:val="center"/>
              <w:rPr>
                <w:rFonts w:eastAsiaTheme="majorEastAsia" w:cstheme="majorBidi"/>
                <w:b/>
                <w:szCs w:val="28"/>
                <w:highlight w:val="black"/>
              </w:rPr>
            </w:pPr>
            <w:r>
              <w:rPr>
                <w:noProof/>
                <w:color w:val="000000"/>
                <w:highlight w:val="black"/>
              </w:rPr>
              <w:t>'''''''''''''''''''' '''''''''</w:t>
            </w:r>
          </w:p>
        </w:tc>
        <w:tc>
          <w:tcPr>
            <w:tcW w:w="1260" w:type="dxa"/>
            <w:noWrap/>
            <w:vAlign w:val="center"/>
            <w:hideMark/>
          </w:tcPr>
          <w:p w:rsidR="00525CAF" w:rsidRPr="00575E5C" w:rsidRDefault="00575E5C" w:rsidP="00B669A5">
            <w:pPr>
              <w:pStyle w:val="TableText0"/>
              <w:jc w:val="center"/>
              <w:rPr>
                <w:rFonts w:eastAsiaTheme="majorEastAsia" w:cstheme="majorBidi"/>
                <w:b/>
                <w:szCs w:val="28"/>
                <w:highlight w:val="black"/>
              </w:rPr>
            </w:pPr>
            <w:r>
              <w:rPr>
                <w:noProof/>
                <w:color w:val="000000"/>
                <w:highlight w:val="black"/>
              </w:rPr>
              <w:t>'''''''''''''''' '''''''''</w:t>
            </w:r>
          </w:p>
        </w:tc>
        <w:tc>
          <w:tcPr>
            <w:tcW w:w="1560" w:type="dxa"/>
            <w:noWrap/>
            <w:vAlign w:val="center"/>
            <w:hideMark/>
          </w:tcPr>
          <w:p w:rsidR="00525CAF" w:rsidRPr="00575E5C" w:rsidRDefault="00575E5C" w:rsidP="00B669A5">
            <w:pPr>
              <w:pStyle w:val="TableText0"/>
              <w:jc w:val="center"/>
              <w:rPr>
                <w:b/>
                <w:highlight w:val="black"/>
              </w:rPr>
            </w:pPr>
            <w:r>
              <w:rPr>
                <w:b/>
                <w:noProof/>
                <w:color w:val="000000"/>
                <w:highlight w:val="black"/>
              </w:rPr>
              <w:t>''''''''' '''''''''''' '''''''''''</w:t>
            </w:r>
          </w:p>
        </w:tc>
        <w:tc>
          <w:tcPr>
            <w:tcW w:w="1560" w:type="dxa"/>
            <w:noWrap/>
            <w:vAlign w:val="center"/>
            <w:hideMark/>
          </w:tcPr>
          <w:p w:rsidR="00525CAF" w:rsidRPr="00575E5C" w:rsidRDefault="00575E5C" w:rsidP="00B669A5">
            <w:pPr>
              <w:pStyle w:val="TableText0"/>
              <w:jc w:val="center"/>
              <w:rPr>
                <w:b/>
                <w:highlight w:val="black"/>
              </w:rPr>
            </w:pPr>
            <w:r>
              <w:rPr>
                <w:b/>
                <w:noProof/>
                <w:color w:val="000000"/>
                <w:highlight w:val="black"/>
              </w:rPr>
              <w:t>'''''''' '''''''''' ''''''''''</w:t>
            </w:r>
          </w:p>
        </w:tc>
        <w:tc>
          <w:tcPr>
            <w:tcW w:w="1560" w:type="dxa"/>
            <w:noWrap/>
            <w:vAlign w:val="center"/>
            <w:hideMark/>
          </w:tcPr>
          <w:p w:rsidR="00525CAF" w:rsidRPr="00575E5C" w:rsidRDefault="00575E5C" w:rsidP="00B669A5">
            <w:pPr>
              <w:pStyle w:val="TableText0"/>
              <w:jc w:val="center"/>
              <w:rPr>
                <w:b/>
                <w:highlight w:val="black"/>
              </w:rPr>
            </w:pPr>
            <w:r>
              <w:rPr>
                <w:b/>
                <w:noProof/>
                <w:color w:val="000000"/>
                <w:highlight w:val="black"/>
              </w:rPr>
              <w:t>''''''''' ''''''''''' ''''''''''</w:t>
            </w:r>
          </w:p>
        </w:tc>
      </w:tr>
      <w:tr w:rsidR="00EB3307" w:rsidRPr="00A35598" w:rsidTr="00B669A5">
        <w:trPr>
          <w:trHeight w:val="320"/>
        </w:trPr>
        <w:tc>
          <w:tcPr>
            <w:tcW w:w="4248" w:type="dxa"/>
            <w:gridSpan w:val="4"/>
            <w:noWrap/>
            <w:vAlign w:val="center"/>
            <w:hideMark/>
          </w:tcPr>
          <w:p w:rsidR="00525CAF" w:rsidRPr="00A35598" w:rsidRDefault="00525CAF" w:rsidP="00B669A5">
            <w:pPr>
              <w:pStyle w:val="TableText0"/>
            </w:pPr>
            <w:r w:rsidRPr="00A35598">
              <w:t>Meta-analysis, Bari vs PBO</w:t>
            </w:r>
          </w:p>
        </w:tc>
        <w:tc>
          <w:tcPr>
            <w:tcW w:w="1560" w:type="dxa"/>
            <w:noWrap/>
            <w:vAlign w:val="center"/>
            <w:hideMark/>
          </w:tcPr>
          <w:p w:rsidR="00525CAF" w:rsidRPr="00575E5C" w:rsidRDefault="00575E5C" w:rsidP="00B669A5">
            <w:pPr>
              <w:pStyle w:val="TableText0"/>
              <w:jc w:val="center"/>
              <w:rPr>
                <w:b/>
                <w:highlight w:val="black"/>
              </w:rPr>
            </w:pPr>
            <w:r>
              <w:rPr>
                <w:b/>
                <w:noProof/>
                <w:color w:val="000000"/>
                <w:highlight w:val="black"/>
              </w:rPr>
              <w:t>'''''''''' '''''''''' '''''''''</w:t>
            </w:r>
          </w:p>
        </w:tc>
        <w:tc>
          <w:tcPr>
            <w:tcW w:w="1560" w:type="dxa"/>
            <w:noWrap/>
            <w:vAlign w:val="center"/>
            <w:hideMark/>
          </w:tcPr>
          <w:p w:rsidR="00525CAF" w:rsidRPr="00575E5C" w:rsidRDefault="00575E5C" w:rsidP="00B669A5">
            <w:pPr>
              <w:pStyle w:val="TableText0"/>
              <w:jc w:val="center"/>
              <w:rPr>
                <w:b/>
                <w:highlight w:val="black"/>
              </w:rPr>
            </w:pPr>
            <w:r>
              <w:rPr>
                <w:b/>
                <w:noProof/>
                <w:color w:val="000000"/>
                <w:highlight w:val="black"/>
              </w:rPr>
              <w:t>''''''''' '''''''''' ''''''''''''</w:t>
            </w:r>
          </w:p>
        </w:tc>
        <w:tc>
          <w:tcPr>
            <w:tcW w:w="1560" w:type="dxa"/>
            <w:noWrap/>
            <w:vAlign w:val="center"/>
            <w:hideMark/>
          </w:tcPr>
          <w:p w:rsidR="00525CAF" w:rsidRPr="00575E5C" w:rsidRDefault="00575E5C" w:rsidP="00B669A5">
            <w:pPr>
              <w:pStyle w:val="TableText0"/>
              <w:jc w:val="center"/>
              <w:rPr>
                <w:b/>
                <w:highlight w:val="black"/>
              </w:rPr>
            </w:pPr>
            <w:r>
              <w:rPr>
                <w:b/>
                <w:noProof/>
                <w:color w:val="000000"/>
                <w:highlight w:val="black"/>
              </w:rPr>
              <w:t>''''''''' '''''''''' ''''''''''</w:t>
            </w:r>
          </w:p>
        </w:tc>
      </w:tr>
      <w:tr w:rsidR="00EB3307" w:rsidRPr="00A35598" w:rsidTr="00B669A5">
        <w:trPr>
          <w:trHeight w:val="320"/>
        </w:trPr>
        <w:tc>
          <w:tcPr>
            <w:tcW w:w="828" w:type="dxa"/>
            <w:vMerge w:val="restart"/>
            <w:noWrap/>
            <w:vAlign w:val="center"/>
            <w:hideMark/>
          </w:tcPr>
          <w:p w:rsidR="00525CAF" w:rsidRPr="00A35598" w:rsidRDefault="00525CAF" w:rsidP="00B669A5">
            <w:pPr>
              <w:pStyle w:val="TableText0"/>
            </w:pPr>
            <w:r w:rsidRPr="00A35598">
              <w:t>Tofa</w:t>
            </w:r>
          </w:p>
        </w:tc>
        <w:tc>
          <w:tcPr>
            <w:tcW w:w="900" w:type="dxa"/>
            <w:noWrap/>
            <w:vAlign w:val="center"/>
            <w:hideMark/>
          </w:tcPr>
          <w:p w:rsidR="00525CAF" w:rsidRPr="00A35598" w:rsidRDefault="00525CAF" w:rsidP="00B669A5">
            <w:pPr>
              <w:pStyle w:val="TableText0"/>
            </w:pPr>
            <w:r w:rsidRPr="00A35598">
              <w:t>1025</w:t>
            </w:r>
          </w:p>
        </w:tc>
        <w:tc>
          <w:tcPr>
            <w:tcW w:w="1260" w:type="dxa"/>
            <w:noWrap/>
            <w:vAlign w:val="center"/>
            <w:hideMark/>
          </w:tcPr>
          <w:p w:rsidR="00525CAF" w:rsidRPr="00575E5C" w:rsidRDefault="00575E5C" w:rsidP="00B669A5">
            <w:pPr>
              <w:pStyle w:val="TableText0"/>
              <w:jc w:val="center"/>
              <w:rPr>
                <w:rFonts w:eastAsiaTheme="majorEastAsia" w:cstheme="majorBidi"/>
                <w:b/>
                <w:szCs w:val="28"/>
                <w:highlight w:val="black"/>
              </w:rPr>
            </w:pPr>
            <w:r>
              <w:rPr>
                <w:noProof/>
                <w:color w:val="000000"/>
                <w:highlight w:val="black"/>
              </w:rPr>
              <w:t>''''''''''''' '''''''''</w:t>
            </w:r>
          </w:p>
        </w:tc>
        <w:tc>
          <w:tcPr>
            <w:tcW w:w="1260" w:type="dxa"/>
            <w:noWrap/>
            <w:vAlign w:val="center"/>
            <w:hideMark/>
          </w:tcPr>
          <w:p w:rsidR="00525CAF" w:rsidRPr="00575E5C" w:rsidRDefault="00575E5C" w:rsidP="00B669A5">
            <w:pPr>
              <w:pStyle w:val="TableText0"/>
              <w:jc w:val="center"/>
              <w:rPr>
                <w:rFonts w:eastAsiaTheme="majorEastAsia" w:cstheme="majorBidi"/>
                <w:b/>
                <w:szCs w:val="28"/>
                <w:highlight w:val="black"/>
              </w:rPr>
            </w:pPr>
            <w:r>
              <w:rPr>
                <w:noProof/>
                <w:color w:val="000000"/>
                <w:highlight w:val="black"/>
              </w:rPr>
              <w:t>'''''''''''' ''''''''''</w:t>
            </w:r>
          </w:p>
        </w:tc>
        <w:tc>
          <w:tcPr>
            <w:tcW w:w="1560" w:type="dxa"/>
            <w:noWrap/>
            <w:vAlign w:val="center"/>
            <w:hideMark/>
          </w:tcPr>
          <w:p w:rsidR="00525CAF" w:rsidRPr="00575E5C" w:rsidRDefault="00575E5C" w:rsidP="00B669A5">
            <w:pPr>
              <w:pStyle w:val="TableText0"/>
              <w:jc w:val="center"/>
              <w:rPr>
                <w:b/>
                <w:highlight w:val="black"/>
              </w:rPr>
            </w:pPr>
            <w:r>
              <w:rPr>
                <w:b/>
                <w:noProof/>
                <w:color w:val="000000"/>
                <w:highlight w:val="black"/>
              </w:rPr>
              <w:t>'''''''' '''''''''' ''''''''''</w:t>
            </w:r>
          </w:p>
        </w:tc>
        <w:tc>
          <w:tcPr>
            <w:tcW w:w="1560" w:type="dxa"/>
            <w:noWrap/>
            <w:vAlign w:val="center"/>
            <w:hideMark/>
          </w:tcPr>
          <w:p w:rsidR="00525CAF" w:rsidRPr="00575E5C" w:rsidRDefault="00575E5C" w:rsidP="00B669A5">
            <w:pPr>
              <w:pStyle w:val="TableText0"/>
              <w:jc w:val="center"/>
              <w:rPr>
                <w:b/>
                <w:highlight w:val="black"/>
              </w:rPr>
            </w:pPr>
            <w:r>
              <w:rPr>
                <w:b/>
                <w:noProof/>
                <w:color w:val="000000"/>
                <w:highlight w:val="black"/>
              </w:rPr>
              <w:t>''''''''' ''''''''''' ''''''''''</w:t>
            </w:r>
          </w:p>
        </w:tc>
        <w:tc>
          <w:tcPr>
            <w:tcW w:w="1560" w:type="dxa"/>
            <w:noWrap/>
            <w:vAlign w:val="center"/>
            <w:hideMark/>
          </w:tcPr>
          <w:p w:rsidR="00525CAF" w:rsidRPr="00575E5C" w:rsidRDefault="00575E5C" w:rsidP="00B669A5">
            <w:pPr>
              <w:pStyle w:val="TableText0"/>
              <w:jc w:val="center"/>
              <w:rPr>
                <w:b/>
                <w:highlight w:val="black"/>
              </w:rPr>
            </w:pPr>
            <w:r>
              <w:rPr>
                <w:b/>
                <w:noProof/>
                <w:color w:val="000000"/>
                <w:highlight w:val="black"/>
              </w:rPr>
              <w:t>'''''''' '''''''''' '''''''''''</w:t>
            </w:r>
          </w:p>
        </w:tc>
      </w:tr>
      <w:tr w:rsidR="00EB3307" w:rsidRPr="00A35598" w:rsidTr="00B669A5">
        <w:trPr>
          <w:trHeight w:val="320"/>
        </w:trPr>
        <w:tc>
          <w:tcPr>
            <w:tcW w:w="828" w:type="dxa"/>
            <w:vMerge/>
            <w:noWrap/>
            <w:vAlign w:val="center"/>
            <w:hideMark/>
          </w:tcPr>
          <w:p w:rsidR="00525CAF" w:rsidRPr="00A35598" w:rsidRDefault="00525CAF" w:rsidP="00B669A5">
            <w:pPr>
              <w:pStyle w:val="TableText0"/>
            </w:pPr>
          </w:p>
        </w:tc>
        <w:tc>
          <w:tcPr>
            <w:tcW w:w="900" w:type="dxa"/>
            <w:noWrap/>
            <w:vAlign w:val="center"/>
            <w:hideMark/>
          </w:tcPr>
          <w:p w:rsidR="00525CAF" w:rsidRPr="00A35598" w:rsidRDefault="00525CAF" w:rsidP="00B669A5">
            <w:pPr>
              <w:pStyle w:val="TableText0"/>
            </w:pPr>
            <w:r w:rsidRPr="00A35598">
              <w:t>1044</w:t>
            </w:r>
          </w:p>
        </w:tc>
        <w:tc>
          <w:tcPr>
            <w:tcW w:w="1260" w:type="dxa"/>
            <w:noWrap/>
            <w:vAlign w:val="center"/>
            <w:hideMark/>
          </w:tcPr>
          <w:p w:rsidR="00525CAF" w:rsidRPr="00575E5C" w:rsidRDefault="00575E5C" w:rsidP="00B669A5">
            <w:pPr>
              <w:pStyle w:val="TableText0"/>
              <w:jc w:val="center"/>
              <w:rPr>
                <w:rFonts w:eastAsiaTheme="majorEastAsia" w:cstheme="majorBidi"/>
                <w:b/>
                <w:szCs w:val="28"/>
                <w:highlight w:val="black"/>
              </w:rPr>
            </w:pPr>
            <w:r>
              <w:rPr>
                <w:noProof/>
                <w:color w:val="000000"/>
                <w:highlight w:val="black"/>
              </w:rPr>
              <w:t>'''''''''''''''''' ''''''''''</w:t>
            </w:r>
          </w:p>
        </w:tc>
        <w:tc>
          <w:tcPr>
            <w:tcW w:w="1260" w:type="dxa"/>
            <w:noWrap/>
            <w:vAlign w:val="center"/>
            <w:hideMark/>
          </w:tcPr>
          <w:p w:rsidR="00525CAF" w:rsidRPr="00575E5C" w:rsidRDefault="00575E5C" w:rsidP="00B669A5">
            <w:pPr>
              <w:pStyle w:val="TableText0"/>
              <w:jc w:val="center"/>
              <w:rPr>
                <w:rFonts w:eastAsiaTheme="majorEastAsia" w:cstheme="majorBidi"/>
                <w:b/>
                <w:szCs w:val="28"/>
                <w:highlight w:val="black"/>
              </w:rPr>
            </w:pPr>
            <w:r>
              <w:rPr>
                <w:noProof/>
                <w:color w:val="000000"/>
                <w:highlight w:val="black"/>
              </w:rPr>
              <w:t>'''''''''''''''' ''''''''''</w:t>
            </w:r>
          </w:p>
        </w:tc>
        <w:tc>
          <w:tcPr>
            <w:tcW w:w="1560" w:type="dxa"/>
            <w:noWrap/>
            <w:vAlign w:val="center"/>
            <w:hideMark/>
          </w:tcPr>
          <w:p w:rsidR="00525CAF" w:rsidRPr="00575E5C" w:rsidRDefault="00575E5C" w:rsidP="00B669A5">
            <w:pPr>
              <w:pStyle w:val="TableText0"/>
              <w:jc w:val="center"/>
              <w:rPr>
                <w:b/>
                <w:highlight w:val="black"/>
              </w:rPr>
            </w:pPr>
            <w:r>
              <w:rPr>
                <w:b/>
                <w:noProof/>
                <w:color w:val="000000"/>
                <w:highlight w:val="black"/>
              </w:rPr>
              <w:t>'''''''' '''''''''''' '''''''''''</w:t>
            </w:r>
          </w:p>
        </w:tc>
        <w:tc>
          <w:tcPr>
            <w:tcW w:w="1560" w:type="dxa"/>
            <w:noWrap/>
            <w:vAlign w:val="center"/>
            <w:hideMark/>
          </w:tcPr>
          <w:p w:rsidR="00525CAF" w:rsidRPr="00575E5C" w:rsidRDefault="00575E5C" w:rsidP="00B669A5">
            <w:pPr>
              <w:pStyle w:val="TableText0"/>
              <w:jc w:val="center"/>
              <w:rPr>
                <w:b/>
                <w:highlight w:val="black"/>
              </w:rPr>
            </w:pPr>
            <w:r>
              <w:rPr>
                <w:b/>
                <w:noProof/>
                <w:color w:val="000000"/>
                <w:highlight w:val="black"/>
              </w:rPr>
              <w:t>'''''''' ''''''''''' ''''''''''</w:t>
            </w:r>
          </w:p>
        </w:tc>
        <w:tc>
          <w:tcPr>
            <w:tcW w:w="1560" w:type="dxa"/>
            <w:noWrap/>
            <w:vAlign w:val="center"/>
            <w:hideMark/>
          </w:tcPr>
          <w:p w:rsidR="00525CAF" w:rsidRPr="00575E5C" w:rsidRDefault="00575E5C" w:rsidP="00B669A5">
            <w:pPr>
              <w:pStyle w:val="TableText0"/>
              <w:jc w:val="center"/>
              <w:rPr>
                <w:b/>
                <w:highlight w:val="black"/>
              </w:rPr>
            </w:pPr>
            <w:r>
              <w:rPr>
                <w:b/>
                <w:noProof/>
                <w:color w:val="000000"/>
                <w:highlight w:val="black"/>
              </w:rPr>
              <w:t>'''''''''' '''''''''''' '''''''''</w:t>
            </w:r>
          </w:p>
        </w:tc>
      </w:tr>
      <w:tr w:rsidR="00EB3307" w:rsidRPr="00A35598" w:rsidTr="00B669A5">
        <w:trPr>
          <w:trHeight w:val="320"/>
        </w:trPr>
        <w:tc>
          <w:tcPr>
            <w:tcW w:w="828" w:type="dxa"/>
            <w:vMerge/>
            <w:noWrap/>
            <w:vAlign w:val="center"/>
            <w:hideMark/>
          </w:tcPr>
          <w:p w:rsidR="00525CAF" w:rsidRPr="00A35598" w:rsidRDefault="00525CAF" w:rsidP="00B669A5">
            <w:pPr>
              <w:pStyle w:val="TableText0"/>
            </w:pPr>
          </w:p>
        </w:tc>
        <w:tc>
          <w:tcPr>
            <w:tcW w:w="900" w:type="dxa"/>
            <w:noWrap/>
            <w:vAlign w:val="center"/>
            <w:hideMark/>
          </w:tcPr>
          <w:p w:rsidR="00525CAF" w:rsidRPr="00A35598" w:rsidRDefault="00525CAF" w:rsidP="00B669A5">
            <w:pPr>
              <w:pStyle w:val="TableText0"/>
            </w:pPr>
            <w:r w:rsidRPr="00A35598">
              <w:t>1046</w:t>
            </w:r>
          </w:p>
        </w:tc>
        <w:tc>
          <w:tcPr>
            <w:tcW w:w="1260" w:type="dxa"/>
            <w:noWrap/>
            <w:vAlign w:val="center"/>
            <w:hideMark/>
          </w:tcPr>
          <w:p w:rsidR="00525CAF" w:rsidRPr="00575E5C" w:rsidRDefault="00575E5C" w:rsidP="00B669A5">
            <w:pPr>
              <w:pStyle w:val="TableText0"/>
              <w:jc w:val="center"/>
              <w:rPr>
                <w:rFonts w:eastAsiaTheme="majorEastAsia" w:cstheme="majorBidi"/>
                <w:b/>
                <w:szCs w:val="28"/>
                <w:highlight w:val="black"/>
              </w:rPr>
            </w:pPr>
            <w:r>
              <w:rPr>
                <w:noProof/>
                <w:color w:val="000000"/>
                <w:highlight w:val="black"/>
              </w:rPr>
              <w:t>''''''''''''''''''' ''''''''''</w:t>
            </w:r>
          </w:p>
        </w:tc>
        <w:tc>
          <w:tcPr>
            <w:tcW w:w="1260" w:type="dxa"/>
            <w:noWrap/>
            <w:vAlign w:val="center"/>
            <w:hideMark/>
          </w:tcPr>
          <w:p w:rsidR="00525CAF" w:rsidRPr="00575E5C" w:rsidRDefault="00575E5C" w:rsidP="00B669A5">
            <w:pPr>
              <w:pStyle w:val="TableText0"/>
              <w:jc w:val="center"/>
              <w:rPr>
                <w:rFonts w:eastAsiaTheme="majorEastAsia" w:cstheme="majorBidi"/>
                <w:b/>
                <w:szCs w:val="28"/>
                <w:highlight w:val="black"/>
              </w:rPr>
            </w:pPr>
            <w:r>
              <w:rPr>
                <w:noProof/>
                <w:color w:val="000000"/>
                <w:highlight w:val="black"/>
              </w:rPr>
              <w:t>'''''''''''''''' ''''''''''</w:t>
            </w:r>
          </w:p>
        </w:tc>
        <w:tc>
          <w:tcPr>
            <w:tcW w:w="1560" w:type="dxa"/>
            <w:noWrap/>
            <w:vAlign w:val="center"/>
            <w:hideMark/>
          </w:tcPr>
          <w:p w:rsidR="00525CAF" w:rsidRPr="00575E5C" w:rsidRDefault="00575E5C" w:rsidP="00B669A5">
            <w:pPr>
              <w:pStyle w:val="TableText0"/>
              <w:jc w:val="center"/>
              <w:rPr>
                <w:b/>
                <w:highlight w:val="black"/>
              </w:rPr>
            </w:pPr>
            <w:r>
              <w:rPr>
                <w:b/>
                <w:noProof/>
                <w:color w:val="000000"/>
                <w:highlight w:val="black"/>
              </w:rPr>
              <w:t>''''''''' ''''''''''' '''''''''''</w:t>
            </w:r>
          </w:p>
        </w:tc>
        <w:tc>
          <w:tcPr>
            <w:tcW w:w="1560" w:type="dxa"/>
            <w:noWrap/>
            <w:vAlign w:val="center"/>
            <w:hideMark/>
          </w:tcPr>
          <w:p w:rsidR="00525CAF" w:rsidRPr="00575E5C" w:rsidRDefault="00575E5C" w:rsidP="00B669A5">
            <w:pPr>
              <w:pStyle w:val="TableText0"/>
              <w:jc w:val="center"/>
              <w:rPr>
                <w:b/>
                <w:highlight w:val="black"/>
              </w:rPr>
            </w:pPr>
            <w:r>
              <w:rPr>
                <w:b/>
                <w:noProof/>
                <w:color w:val="000000"/>
                <w:highlight w:val="black"/>
              </w:rPr>
              <w:t>'''''''' '''''''''''' ''''''''''</w:t>
            </w:r>
          </w:p>
        </w:tc>
        <w:tc>
          <w:tcPr>
            <w:tcW w:w="1560" w:type="dxa"/>
            <w:noWrap/>
            <w:vAlign w:val="center"/>
            <w:hideMark/>
          </w:tcPr>
          <w:p w:rsidR="00525CAF" w:rsidRPr="00575E5C" w:rsidRDefault="00575E5C" w:rsidP="00B669A5">
            <w:pPr>
              <w:pStyle w:val="TableText0"/>
              <w:jc w:val="center"/>
              <w:rPr>
                <w:b/>
                <w:highlight w:val="black"/>
              </w:rPr>
            </w:pPr>
            <w:r>
              <w:rPr>
                <w:b/>
                <w:noProof/>
                <w:color w:val="000000"/>
                <w:highlight w:val="black"/>
              </w:rPr>
              <w:t>''''''''' ''''''''''''' ''''''''''</w:t>
            </w:r>
          </w:p>
        </w:tc>
      </w:tr>
      <w:tr w:rsidR="00EB3307" w:rsidRPr="00A35598" w:rsidTr="00B669A5">
        <w:trPr>
          <w:trHeight w:val="320"/>
        </w:trPr>
        <w:tc>
          <w:tcPr>
            <w:tcW w:w="828" w:type="dxa"/>
            <w:vMerge/>
            <w:noWrap/>
            <w:vAlign w:val="center"/>
            <w:hideMark/>
          </w:tcPr>
          <w:p w:rsidR="00525CAF" w:rsidRPr="00A35598" w:rsidRDefault="00525CAF" w:rsidP="00B669A5">
            <w:pPr>
              <w:pStyle w:val="TableText0"/>
            </w:pPr>
          </w:p>
        </w:tc>
        <w:tc>
          <w:tcPr>
            <w:tcW w:w="900" w:type="dxa"/>
            <w:noWrap/>
            <w:vAlign w:val="center"/>
            <w:hideMark/>
          </w:tcPr>
          <w:p w:rsidR="00525CAF" w:rsidRPr="00A35598" w:rsidRDefault="00525CAF" w:rsidP="00B669A5">
            <w:pPr>
              <w:pStyle w:val="TableText0"/>
            </w:pPr>
            <w:r w:rsidRPr="00A35598">
              <w:t>1064</w:t>
            </w:r>
          </w:p>
        </w:tc>
        <w:tc>
          <w:tcPr>
            <w:tcW w:w="1260" w:type="dxa"/>
            <w:noWrap/>
            <w:vAlign w:val="center"/>
            <w:hideMark/>
          </w:tcPr>
          <w:p w:rsidR="00525CAF" w:rsidRPr="00575E5C" w:rsidRDefault="00575E5C" w:rsidP="00B669A5">
            <w:pPr>
              <w:pStyle w:val="TableText0"/>
              <w:jc w:val="center"/>
              <w:rPr>
                <w:rFonts w:eastAsiaTheme="majorEastAsia" w:cstheme="majorBidi"/>
                <w:b/>
                <w:szCs w:val="28"/>
                <w:highlight w:val="black"/>
              </w:rPr>
            </w:pPr>
            <w:r>
              <w:rPr>
                <w:noProof/>
                <w:color w:val="000000"/>
                <w:highlight w:val="black"/>
              </w:rPr>
              <w:t>'''''''''''''''''''''' ''''''''''</w:t>
            </w:r>
          </w:p>
        </w:tc>
        <w:tc>
          <w:tcPr>
            <w:tcW w:w="1260" w:type="dxa"/>
            <w:noWrap/>
            <w:vAlign w:val="center"/>
            <w:hideMark/>
          </w:tcPr>
          <w:p w:rsidR="00525CAF" w:rsidRPr="00575E5C" w:rsidRDefault="00575E5C" w:rsidP="00B669A5">
            <w:pPr>
              <w:pStyle w:val="TableText0"/>
              <w:jc w:val="center"/>
              <w:rPr>
                <w:rFonts w:eastAsiaTheme="majorEastAsia" w:cstheme="majorBidi"/>
                <w:b/>
                <w:szCs w:val="28"/>
                <w:highlight w:val="black"/>
              </w:rPr>
            </w:pPr>
            <w:r>
              <w:rPr>
                <w:noProof/>
                <w:color w:val="000000"/>
                <w:highlight w:val="black"/>
              </w:rPr>
              <w:t>'''''''''''''''' ''''''''''</w:t>
            </w:r>
          </w:p>
        </w:tc>
        <w:tc>
          <w:tcPr>
            <w:tcW w:w="1560" w:type="dxa"/>
            <w:noWrap/>
            <w:vAlign w:val="center"/>
            <w:hideMark/>
          </w:tcPr>
          <w:p w:rsidR="00525CAF" w:rsidRPr="00575E5C" w:rsidRDefault="00575E5C" w:rsidP="00B669A5">
            <w:pPr>
              <w:pStyle w:val="TableText0"/>
              <w:jc w:val="center"/>
              <w:rPr>
                <w:b/>
                <w:highlight w:val="black"/>
              </w:rPr>
            </w:pPr>
            <w:r>
              <w:rPr>
                <w:b/>
                <w:noProof/>
                <w:color w:val="000000"/>
                <w:highlight w:val="black"/>
              </w:rPr>
              <w:t>''''''''' ''''''''''' ''''''''''</w:t>
            </w:r>
          </w:p>
        </w:tc>
        <w:tc>
          <w:tcPr>
            <w:tcW w:w="1560" w:type="dxa"/>
            <w:noWrap/>
            <w:vAlign w:val="center"/>
            <w:hideMark/>
          </w:tcPr>
          <w:p w:rsidR="00525CAF" w:rsidRPr="00575E5C" w:rsidRDefault="00575E5C" w:rsidP="00B669A5">
            <w:pPr>
              <w:pStyle w:val="TableText0"/>
              <w:jc w:val="center"/>
              <w:rPr>
                <w:b/>
                <w:highlight w:val="black"/>
              </w:rPr>
            </w:pPr>
            <w:r>
              <w:rPr>
                <w:b/>
                <w:noProof/>
                <w:color w:val="000000"/>
                <w:highlight w:val="black"/>
              </w:rPr>
              <w:t>'''''''' '''''''''' '''''''''''</w:t>
            </w:r>
          </w:p>
        </w:tc>
        <w:tc>
          <w:tcPr>
            <w:tcW w:w="1560" w:type="dxa"/>
            <w:noWrap/>
            <w:vAlign w:val="center"/>
            <w:hideMark/>
          </w:tcPr>
          <w:p w:rsidR="00525CAF" w:rsidRPr="00575E5C" w:rsidRDefault="00575E5C" w:rsidP="00B669A5">
            <w:pPr>
              <w:pStyle w:val="TableText0"/>
              <w:jc w:val="center"/>
              <w:rPr>
                <w:b/>
                <w:highlight w:val="black"/>
              </w:rPr>
            </w:pPr>
            <w:r>
              <w:rPr>
                <w:b/>
                <w:noProof/>
                <w:color w:val="000000"/>
                <w:highlight w:val="black"/>
              </w:rPr>
              <w:t>'''''''' '''''''''''' ''''''''''</w:t>
            </w:r>
          </w:p>
        </w:tc>
      </w:tr>
      <w:tr w:rsidR="00EB3307" w:rsidRPr="00A35598" w:rsidTr="00B669A5">
        <w:trPr>
          <w:trHeight w:val="300"/>
        </w:trPr>
        <w:tc>
          <w:tcPr>
            <w:tcW w:w="4248" w:type="dxa"/>
            <w:gridSpan w:val="4"/>
            <w:noWrap/>
            <w:vAlign w:val="center"/>
            <w:hideMark/>
          </w:tcPr>
          <w:p w:rsidR="00525CAF" w:rsidRPr="00A35598" w:rsidRDefault="00525CAF" w:rsidP="00B669A5">
            <w:pPr>
              <w:pStyle w:val="TableText0"/>
            </w:pPr>
            <w:r w:rsidRPr="00A35598">
              <w:t>Meta-analysis, Tofa vs PBO</w:t>
            </w:r>
          </w:p>
        </w:tc>
        <w:tc>
          <w:tcPr>
            <w:tcW w:w="1560" w:type="dxa"/>
            <w:noWrap/>
            <w:vAlign w:val="center"/>
            <w:hideMark/>
          </w:tcPr>
          <w:p w:rsidR="00525CAF" w:rsidRPr="00575E5C" w:rsidRDefault="00575E5C" w:rsidP="00B669A5">
            <w:pPr>
              <w:pStyle w:val="TableText0"/>
              <w:jc w:val="center"/>
              <w:rPr>
                <w:b/>
                <w:highlight w:val="black"/>
              </w:rPr>
            </w:pPr>
            <w:r>
              <w:rPr>
                <w:b/>
                <w:noProof/>
                <w:color w:val="000000"/>
                <w:highlight w:val="black"/>
              </w:rPr>
              <w:t>''''''''' '''''''''' ''''''''''</w:t>
            </w:r>
          </w:p>
        </w:tc>
        <w:tc>
          <w:tcPr>
            <w:tcW w:w="1560" w:type="dxa"/>
            <w:noWrap/>
            <w:vAlign w:val="center"/>
            <w:hideMark/>
          </w:tcPr>
          <w:p w:rsidR="00525CAF" w:rsidRPr="00575E5C" w:rsidRDefault="00575E5C" w:rsidP="00B669A5">
            <w:pPr>
              <w:pStyle w:val="TableText0"/>
              <w:jc w:val="center"/>
              <w:rPr>
                <w:b/>
                <w:highlight w:val="black"/>
              </w:rPr>
            </w:pPr>
            <w:r>
              <w:rPr>
                <w:b/>
                <w:noProof/>
                <w:color w:val="000000"/>
                <w:highlight w:val="black"/>
              </w:rPr>
              <w:t>'''''''' '''''''''''' '''''''''''</w:t>
            </w:r>
          </w:p>
        </w:tc>
        <w:tc>
          <w:tcPr>
            <w:tcW w:w="1560" w:type="dxa"/>
            <w:noWrap/>
            <w:vAlign w:val="center"/>
            <w:hideMark/>
          </w:tcPr>
          <w:p w:rsidR="00525CAF" w:rsidRPr="00575E5C" w:rsidRDefault="00575E5C" w:rsidP="00B669A5">
            <w:pPr>
              <w:pStyle w:val="TableText0"/>
              <w:jc w:val="center"/>
              <w:rPr>
                <w:b/>
                <w:highlight w:val="black"/>
              </w:rPr>
            </w:pPr>
            <w:r>
              <w:rPr>
                <w:b/>
                <w:noProof/>
                <w:color w:val="000000"/>
                <w:highlight w:val="black"/>
              </w:rPr>
              <w:t>''''''''' '''''''''''' ''''''''''</w:t>
            </w:r>
          </w:p>
        </w:tc>
      </w:tr>
      <w:tr w:rsidR="00EB3307" w:rsidRPr="00A35598" w:rsidTr="00B669A5">
        <w:trPr>
          <w:trHeight w:val="107"/>
        </w:trPr>
        <w:tc>
          <w:tcPr>
            <w:tcW w:w="4248" w:type="dxa"/>
            <w:gridSpan w:val="4"/>
            <w:noWrap/>
            <w:vAlign w:val="center"/>
            <w:hideMark/>
          </w:tcPr>
          <w:p w:rsidR="00525CAF" w:rsidRPr="00A35598" w:rsidRDefault="00525CAF" w:rsidP="00B669A5">
            <w:pPr>
              <w:pStyle w:val="TableText0"/>
            </w:pPr>
            <w:r w:rsidRPr="00A35598">
              <w:t>Bari vs Tofa (via PBO)</w:t>
            </w:r>
          </w:p>
        </w:tc>
        <w:tc>
          <w:tcPr>
            <w:tcW w:w="1560" w:type="dxa"/>
            <w:noWrap/>
            <w:vAlign w:val="center"/>
            <w:hideMark/>
          </w:tcPr>
          <w:p w:rsidR="00525CAF" w:rsidRPr="00575E5C" w:rsidRDefault="00575E5C" w:rsidP="00B669A5">
            <w:pPr>
              <w:pStyle w:val="TableText0"/>
              <w:jc w:val="center"/>
              <w:rPr>
                <w:rFonts w:eastAsiaTheme="majorEastAsia" w:cstheme="majorBidi"/>
                <w:b/>
                <w:szCs w:val="28"/>
                <w:highlight w:val="black"/>
              </w:rPr>
            </w:pPr>
            <w:r>
              <w:rPr>
                <w:noProof/>
                <w:color w:val="000000"/>
                <w:highlight w:val="black"/>
              </w:rPr>
              <w:t>'''''''''''' '''''''''''''' ''''''''''''</w:t>
            </w:r>
          </w:p>
        </w:tc>
        <w:tc>
          <w:tcPr>
            <w:tcW w:w="1560" w:type="dxa"/>
            <w:noWrap/>
            <w:vAlign w:val="center"/>
            <w:hideMark/>
          </w:tcPr>
          <w:p w:rsidR="00525CAF" w:rsidRPr="00575E5C" w:rsidRDefault="00575E5C" w:rsidP="00B669A5">
            <w:pPr>
              <w:pStyle w:val="TableText0"/>
              <w:jc w:val="center"/>
              <w:rPr>
                <w:rFonts w:eastAsiaTheme="majorEastAsia" w:cstheme="majorBidi"/>
                <w:b/>
                <w:szCs w:val="28"/>
                <w:highlight w:val="black"/>
              </w:rPr>
            </w:pPr>
            <w:r>
              <w:rPr>
                <w:noProof/>
                <w:color w:val="000000"/>
                <w:highlight w:val="black"/>
              </w:rPr>
              <w:t>'''''''''' ''''''''''''''' ''''''''''''''</w:t>
            </w:r>
          </w:p>
        </w:tc>
        <w:tc>
          <w:tcPr>
            <w:tcW w:w="1560" w:type="dxa"/>
            <w:noWrap/>
            <w:vAlign w:val="center"/>
            <w:hideMark/>
          </w:tcPr>
          <w:p w:rsidR="00525CAF" w:rsidRPr="00575E5C" w:rsidRDefault="00575E5C" w:rsidP="00B669A5">
            <w:pPr>
              <w:pStyle w:val="TableText0"/>
              <w:jc w:val="center"/>
              <w:rPr>
                <w:rFonts w:eastAsiaTheme="majorEastAsia" w:cstheme="majorBidi"/>
                <w:b/>
                <w:szCs w:val="28"/>
                <w:highlight w:val="black"/>
              </w:rPr>
            </w:pPr>
            <w:r>
              <w:rPr>
                <w:noProof/>
                <w:color w:val="000000"/>
                <w:highlight w:val="black"/>
              </w:rPr>
              <w:t>'''''''''' ''''''''''''' '''''''''''''</w:t>
            </w:r>
          </w:p>
        </w:tc>
      </w:tr>
      <w:tr w:rsidR="00EB3307" w:rsidRPr="00A35598" w:rsidTr="00B669A5">
        <w:trPr>
          <w:trHeight w:val="320"/>
        </w:trPr>
        <w:tc>
          <w:tcPr>
            <w:tcW w:w="8928" w:type="dxa"/>
            <w:gridSpan w:val="7"/>
            <w:noWrap/>
            <w:vAlign w:val="center"/>
            <w:hideMark/>
          </w:tcPr>
          <w:p w:rsidR="00525CAF" w:rsidRPr="00A35598" w:rsidRDefault="00525CAF" w:rsidP="00B669A5">
            <w:pPr>
              <w:pStyle w:val="TableText0"/>
              <w:rPr>
                <w:b/>
              </w:rPr>
            </w:pPr>
            <w:r w:rsidRPr="00A35598">
              <w:rPr>
                <w:b/>
              </w:rPr>
              <w:t>bDMARD-IR population, via placebo</w:t>
            </w:r>
          </w:p>
        </w:tc>
      </w:tr>
      <w:tr w:rsidR="00EB3307" w:rsidRPr="00A35598" w:rsidTr="00B669A5">
        <w:trPr>
          <w:trHeight w:val="300"/>
        </w:trPr>
        <w:tc>
          <w:tcPr>
            <w:tcW w:w="828" w:type="dxa"/>
            <w:noWrap/>
            <w:vAlign w:val="center"/>
            <w:hideMark/>
          </w:tcPr>
          <w:p w:rsidR="00525CAF" w:rsidRPr="00A35598" w:rsidRDefault="00525CAF" w:rsidP="00B669A5">
            <w:pPr>
              <w:pStyle w:val="TableText0"/>
            </w:pPr>
            <w:r w:rsidRPr="00A35598">
              <w:t>Bari</w:t>
            </w:r>
          </w:p>
        </w:tc>
        <w:tc>
          <w:tcPr>
            <w:tcW w:w="900" w:type="dxa"/>
            <w:noWrap/>
            <w:vAlign w:val="center"/>
            <w:hideMark/>
          </w:tcPr>
          <w:p w:rsidR="00525CAF" w:rsidRPr="00A35598" w:rsidRDefault="00525CAF" w:rsidP="00B669A5">
            <w:pPr>
              <w:pStyle w:val="TableText0"/>
            </w:pPr>
            <w:r w:rsidRPr="00A35598">
              <w:t>JADW</w:t>
            </w:r>
          </w:p>
        </w:tc>
        <w:tc>
          <w:tcPr>
            <w:tcW w:w="1260" w:type="dxa"/>
            <w:noWrap/>
            <w:vAlign w:val="center"/>
            <w:hideMark/>
          </w:tcPr>
          <w:p w:rsidR="00525CAF" w:rsidRPr="00575E5C" w:rsidRDefault="00575E5C" w:rsidP="00B669A5">
            <w:pPr>
              <w:pStyle w:val="TableText0"/>
              <w:jc w:val="center"/>
              <w:rPr>
                <w:rFonts w:eastAsiaTheme="majorEastAsia" w:cstheme="majorBidi"/>
                <w:b/>
                <w:szCs w:val="28"/>
                <w:highlight w:val="black"/>
              </w:rPr>
            </w:pPr>
            <w:r>
              <w:rPr>
                <w:noProof/>
                <w:color w:val="000000"/>
                <w:highlight w:val="black"/>
              </w:rPr>
              <w:t>'''''''''''''''' ''''''''''</w:t>
            </w:r>
          </w:p>
        </w:tc>
        <w:tc>
          <w:tcPr>
            <w:tcW w:w="1260" w:type="dxa"/>
            <w:noWrap/>
            <w:vAlign w:val="center"/>
            <w:hideMark/>
          </w:tcPr>
          <w:p w:rsidR="00525CAF" w:rsidRPr="00575E5C" w:rsidRDefault="00575E5C" w:rsidP="00B669A5">
            <w:pPr>
              <w:pStyle w:val="TableText0"/>
              <w:jc w:val="center"/>
              <w:rPr>
                <w:rFonts w:eastAsiaTheme="majorEastAsia" w:cstheme="majorBidi"/>
                <w:b/>
                <w:szCs w:val="28"/>
                <w:highlight w:val="black"/>
              </w:rPr>
            </w:pPr>
            <w:r>
              <w:rPr>
                <w:noProof/>
                <w:color w:val="000000"/>
                <w:highlight w:val="black"/>
              </w:rPr>
              <w:t>'''''''''''''''''' '''''''''</w:t>
            </w:r>
          </w:p>
        </w:tc>
        <w:tc>
          <w:tcPr>
            <w:tcW w:w="1560" w:type="dxa"/>
            <w:noWrap/>
            <w:vAlign w:val="center"/>
            <w:hideMark/>
          </w:tcPr>
          <w:p w:rsidR="00525CAF" w:rsidRPr="00575E5C" w:rsidRDefault="00575E5C" w:rsidP="00B669A5">
            <w:pPr>
              <w:pStyle w:val="TableText0"/>
              <w:jc w:val="center"/>
              <w:rPr>
                <w:b/>
                <w:highlight w:val="black"/>
              </w:rPr>
            </w:pPr>
            <w:r>
              <w:rPr>
                <w:b/>
                <w:noProof/>
                <w:color w:val="000000"/>
                <w:highlight w:val="black"/>
              </w:rPr>
              <w:t>''''''''' ''''''''''' '''''''''''</w:t>
            </w:r>
          </w:p>
        </w:tc>
        <w:tc>
          <w:tcPr>
            <w:tcW w:w="1560" w:type="dxa"/>
            <w:noWrap/>
            <w:vAlign w:val="center"/>
          </w:tcPr>
          <w:p w:rsidR="00525CAF" w:rsidRPr="00575E5C" w:rsidRDefault="00575E5C" w:rsidP="00B669A5">
            <w:pPr>
              <w:pStyle w:val="TableText0"/>
              <w:jc w:val="center"/>
              <w:rPr>
                <w:b/>
                <w:highlight w:val="black"/>
              </w:rPr>
            </w:pPr>
            <w:r>
              <w:rPr>
                <w:b/>
                <w:noProof/>
                <w:color w:val="000000"/>
                <w:highlight w:val="black"/>
              </w:rPr>
              <w:t>''''''''' '''''''''''' ''''''''''</w:t>
            </w:r>
          </w:p>
        </w:tc>
        <w:tc>
          <w:tcPr>
            <w:tcW w:w="1560" w:type="dxa"/>
            <w:noWrap/>
            <w:vAlign w:val="center"/>
            <w:hideMark/>
          </w:tcPr>
          <w:p w:rsidR="00525CAF" w:rsidRPr="00575E5C" w:rsidRDefault="00575E5C" w:rsidP="00B669A5">
            <w:pPr>
              <w:pStyle w:val="TableText0"/>
              <w:jc w:val="center"/>
              <w:rPr>
                <w:b/>
                <w:highlight w:val="black"/>
              </w:rPr>
            </w:pPr>
            <w:r>
              <w:rPr>
                <w:b/>
                <w:noProof/>
                <w:color w:val="000000"/>
                <w:highlight w:val="black"/>
              </w:rPr>
              <w:t>''''''''' '''''''''' '''''''''</w:t>
            </w:r>
          </w:p>
        </w:tc>
      </w:tr>
      <w:tr w:rsidR="00EB3307" w:rsidRPr="00A35598" w:rsidTr="00B669A5">
        <w:trPr>
          <w:trHeight w:val="300"/>
        </w:trPr>
        <w:tc>
          <w:tcPr>
            <w:tcW w:w="828" w:type="dxa"/>
            <w:noWrap/>
            <w:vAlign w:val="center"/>
            <w:hideMark/>
          </w:tcPr>
          <w:p w:rsidR="00525CAF" w:rsidRPr="00A35598" w:rsidRDefault="00525CAF" w:rsidP="00B669A5">
            <w:pPr>
              <w:pStyle w:val="TableText0"/>
            </w:pPr>
            <w:r w:rsidRPr="00A35598">
              <w:t>Tofa</w:t>
            </w:r>
          </w:p>
        </w:tc>
        <w:tc>
          <w:tcPr>
            <w:tcW w:w="900" w:type="dxa"/>
            <w:noWrap/>
            <w:vAlign w:val="center"/>
            <w:hideMark/>
          </w:tcPr>
          <w:p w:rsidR="00525CAF" w:rsidRPr="00A35598" w:rsidRDefault="00525CAF" w:rsidP="00B669A5">
            <w:pPr>
              <w:pStyle w:val="TableText0"/>
            </w:pPr>
            <w:r w:rsidRPr="00A35598">
              <w:t>1032</w:t>
            </w:r>
          </w:p>
        </w:tc>
        <w:tc>
          <w:tcPr>
            <w:tcW w:w="1260" w:type="dxa"/>
            <w:noWrap/>
            <w:vAlign w:val="center"/>
            <w:hideMark/>
          </w:tcPr>
          <w:p w:rsidR="00525CAF" w:rsidRPr="00575E5C" w:rsidRDefault="00575E5C" w:rsidP="00B669A5">
            <w:pPr>
              <w:pStyle w:val="TableText0"/>
              <w:jc w:val="center"/>
              <w:rPr>
                <w:rFonts w:eastAsiaTheme="majorEastAsia" w:cstheme="majorBidi"/>
                <w:b/>
                <w:szCs w:val="28"/>
                <w:highlight w:val="black"/>
              </w:rPr>
            </w:pPr>
            <w:r>
              <w:rPr>
                <w:noProof/>
                <w:color w:val="000000"/>
                <w:highlight w:val="black"/>
              </w:rPr>
              <w:t>'''''''''''''''' ''''''''''</w:t>
            </w:r>
          </w:p>
        </w:tc>
        <w:tc>
          <w:tcPr>
            <w:tcW w:w="1260" w:type="dxa"/>
            <w:noWrap/>
            <w:vAlign w:val="center"/>
            <w:hideMark/>
          </w:tcPr>
          <w:p w:rsidR="00525CAF" w:rsidRPr="00575E5C" w:rsidRDefault="00575E5C" w:rsidP="00B669A5">
            <w:pPr>
              <w:pStyle w:val="TableText0"/>
              <w:jc w:val="center"/>
              <w:rPr>
                <w:rFonts w:eastAsiaTheme="majorEastAsia" w:cstheme="majorBidi"/>
                <w:b/>
                <w:szCs w:val="28"/>
                <w:highlight w:val="black"/>
              </w:rPr>
            </w:pPr>
            <w:r>
              <w:rPr>
                <w:noProof/>
                <w:color w:val="000000"/>
                <w:highlight w:val="black"/>
              </w:rPr>
              <w:t>''''''''''''''''' ''''''''''</w:t>
            </w:r>
          </w:p>
        </w:tc>
        <w:tc>
          <w:tcPr>
            <w:tcW w:w="1560" w:type="dxa"/>
            <w:noWrap/>
            <w:vAlign w:val="center"/>
            <w:hideMark/>
          </w:tcPr>
          <w:p w:rsidR="00525CAF" w:rsidRPr="00575E5C" w:rsidRDefault="00575E5C" w:rsidP="00B669A5">
            <w:pPr>
              <w:pStyle w:val="TableText0"/>
              <w:jc w:val="center"/>
              <w:rPr>
                <w:b/>
                <w:highlight w:val="black"/>
              </w:rPr>
            </w:pPr>
            <w:r>
              <w:rPr>
                <w:b/>
                <w:noProof/>
                <w:color w:val="000000"/>
                <w:highlight w:val="black"/>
              </w:rPr>
              <w:t>'''''''''' '''''''''' '''''''''''</w:t>
            </w:r>
          </w:p>
        </w:tc>
        <w:tc>
          <w:tcPr>
            <w:tcW w:w="1560" w:type="dxa"/>
            <w:noWrap/>
            <w:vAlign w:val="center"/>
          </w:tcPr>
          <w:p w:rsidR="00525CAF" w:rsidRPr="00575E5C" w:rsidRDefault="00575E5C" w:rsidP="00B669A5">
            <w:pPr>
              <w:pStyle w:val="TableText0"/>
              <w:jc w:val="center"/>
              <w:rPr>
                <w:b/>
                <w:highlight w:val="black"/>
              </w:rPr>
            </w:pPr>
            <w:r>
              <w:rPr>
                <w:b/>
                <w:noProof/>
                <w:color w:val="000000"/>
                <w:highlight w:val="black"/>
              </w:rPr>
              <w:t>''''''''' '''''''' ''''''''''</w:t>
            </w:r>
          </w:p>
        </w:tc>
        <w:tc>
          <w:tcPr>
            <w:tcW w:w="1560" w:type="dxa"/>
            <w:noWrap/>
            <w:vAlign w:val="center"/>
            <w:hideMark/>
          </w:tcPr>
          <w:p w:rsidR="00525CAF" w:rsidRPr="00575E5C" w:rsidRDefault="00575E5C" w:rsidP="00B669A5">
            <w:pPr>
              <w:pStyle w:val="TableText0"/>
              <w:jc w:val="center"/>
              <w:rPr>
                <w:b/>
                <w:highlight w:val="black"/>
              </w:rPr>
            </w:pPr>
            <w:r>
              <w:rPr>
                <w:b/>
                <w:noProof/>
                <w:color w:val="000000"/>
                <w:highlight w:val="black"/>
              </w:rPr>
              <w:t>''''''''' '''''''''''' '''''''''</w:t>
            </w:r>
          </w:p>
        </w:tc>
      </w:tr>
      <w:tr w:rsidR="00EB3307" w:rsidRPr="00A35598" w:rsidTr="00B669A5">
        <w:trPr>
          <w:trHeight w:val="90"/>
        </w:trPr>
        <w:tc>
          <w:tcPr>
            <w:tcW w:w="4248" w:type="dxa"/>
            <w:gridSpan w:val="4"/>
            <w:noWrap/>
            <w:vAlign w:val="center"/>
            <w:hideMark/>
          </w:tcPr>
          <w:p w:rsidR="00525CAF" w:rsidRPr="00A35598" w:rsidRDefault="00525CAF" w:rsidP="00B669A5">
            <w:pPr>
              <w:pStyle w:val="TableText0"/>
            </w:pPr>
            <w:r w:rsidRPr="00A35598">
              <w:t>Bari vs Tofa (via PBO)</w:t>
            </w:r>
          </w:p>
        </w:tc>
        <w:tc>
          <w:tcPr>
            <w:tcW w:w="1560" w:type="dxa"/>
            <w:noWrap/>
            <w:vAlign w:val="center"/>
            <w:hideMark/>
          </w:tcPr>
          <w:p w:rsidR="00525CAF" w:rsidRPr="00575E5C" w:rsidRDefault="00575E5C" w:rsidP="00B669A5">
            <w:pPr>
              <w:pStyle w:val="TableText0"/>
              <w:jc w:val="center"/>
              <w:rPr>
                <w:rFonts w:eastAsiaTheme="majorEastAsia" w:cstheme="majorBidi"/>
                <w:b/>
                <w:szCs w:val="28"/>
                <w:highlight w:val="black"/>
              </w:rPr>
            </w:pPr>
            <w:r>
              <w:rPr>
                <w:noProof/>
                <w:color w:val="000000"/>
                <w:highlight w:val="black"/>
              </w:rPr>
              <w:t>'''''''''' '''''''''''''''' '''''''''''''</w:t>
            </w:r>
          </w:p>
        </w:tc>
        <w:tc>
          <w:tcPr>
            <w:tcW w:w="1560" w:type="dxa"/>
            <w:noWrap/>
            <w:vAlign w:val="center"/>
          </w:tcPr>
          <w:p w:rsidR="00525CAF" w:rsidRPr="00575E5C" w:rsidRDefault="00575E5C" w:rsidP="00B669A5">
            <w:pPr>
              <w:pStyle w:val="TableText0"/>
              <w:jc w:val="center"/>
              <w:rPr>
                <w:rFonts w:eastAsiaTheme="majorEastAsia" w:cstheme="majorBidi"/>
                <w:b/>
                <w:szCs w:val="28"/>
                <w:highlight w:val="black"/>
              </w:rPr>
            </w:pPr>
            <w:r>
              <w:rPr>
                <w:noProof/>
                <w:color w:val="000000"/>
                <w:highlight w:val="black"/>
              </w:rPr>
              <w:t>'''''''''' ''''''''''''' ''''''''''''</w:t>
            </w:r>
          </w:p>
        </w:tc>
        <w:tc>
          <w:tcPr>
            <w:tcW w:w="1560" w:type="dxa"/>
            <w:noWrap/>
            <w:vAlign w:val="center"/>
            <w:hideMark/>
          </w:tcPr>
          <w:p w:rsidR="00525CAF" w:rsidRPr="00575E5C" w:rsidRDefault="00575E5C" w:rsidP="00B669A5">
            <w:pPr>
              <w:pStyle w:val="TableText0"/>
              <w:jc w:val="center"/>
              <w:rPr>
                <w:rFonts w:eastAsiaTheme="majorEastAsia" w:cstheme="majorBidi"/>
                <w:b/>
                <w:szCs w:val="28"/>
                <w:highlight w:val="black"/>
              </w:rPr>
            </w:pPr>
            <w:r>
              <w:rPr>
                <w:noProof/>
                <w:color w:val="000000"/>
                <w:highlight w:val="black"/>
              </w:rPr>
              <w:t>''''''''''' '''''''''''''' '''''''''''</w:t>
            </w:r>
          </w:p>
        </w:tc>
      </w:tr>
    </w:tbl>
    <w:p w:rsidR="00525CAF" w:rsidRPr="00575E5C" w:rsidRDefault="00575E5C" w:rsidP="00525CAF">
      <w:pPr>
        <w:pStyle w:val="TableFooter"/>
        <w:rPr>
          <w:highlight w:val="black"/>
        </w:rPr>
      </w:pPr>
      <w:r>
        <w:rPr>
          <w:noProof/>
          <w:color w:val="000000"/>
          <w:highlight w:val="black"/>
        </w:rPr>
        <w:t>'''''''''''''''' '''''''''''' ''''''''''''''''''' ''''' '''''''' ''''''''''' ''''''''''''' '''''''''''''''''''''''''''''</w:t>
      </w:r>
    </w:p>
    <w:p w:rsidR="00525CAF" w:rsidRPr="00A35598" w:rsidRDefault="00525CAF" w:rsidP="00525CAF">
      <w:pPr>
        <w:pStyle w:val="TableFooter"/>
      </w:pPr>
      <w:r w:rsidRPr="00A35598">
        <w:t>Ada = adalimumab; Bari = baricitinib; bDMARD = biological disease modifying anti-rheumatic drug; cDMARD = conventional disease modifying anti-rheumatic drug; CI = confidence interval; IR = inadequate response; OR = odds ratio; PBO = placebo; RD = risk difference; RR = risk ratio; Tofa = tofacitinib</w:t>
      </w:r>
    </w:p>
    <w:p w:rsidR="00525CAF" w:rsidRPr="00A35598" w:rsidRDefault="00525CAF" w:rsidP="00525CAF">
      <w:pPr>
        <w:pStyle w:val="TableFooter"/>
      </w:pPr>
      <w:r w:rsidRPr="00A35598">
        <w:rPr>
          <w:rFonts w:eastAsia="Calibri"/>
        </w:rPr>
        <w:t>Bold typography indicates statistically significant differences</w:t>
      </w:r>
    </w:p>
    <w:p w:rsidR="00525CAF" w:rsidRPr="00A35598" w:rsidRDefault="00525CAF" w:rsidP="00525CAF">
      <w:pPr>
        <w:pStyle w:val="ListParagraph"/>
        <w:widowControl/>
        <w:numPr>
          <w:ilvl w:val="1"/>
          <w:numId w:val="14"/>
        </w:numPr>
        <w:spacing w:before="120" w:after="160"/>
        <w:contextualSpacing w:val="0"/>
        <w:rPr>
          <w:rFonts w:asciiTheme="minorHAnsi" w:hAnsiTheme="minorHAnsi"/>
          <w:sz w:val="28"/>
          <w:szCs w:val="24"/>
        </w:rPr>
      </w:pPr>
      <w:r w:rsidRPr="00A35598">
        <w:rPr>
          <w:rFonts w:asciiTheme="minorHAnsi" w:hAnsiTheme="minorHAnsi"/>
          <w:sz w:val="24"/>
        </w:rPr>
        <w:t xml:space="preserve">In the March 2015 consideration of tofacitinib for rheumatoid arthritis, the PBAC accepted that tofacitinib was non-inferior in terms of comparative efficacy to adalimumab using ACR outcome measures (Tofacitinib Public Summary Document, March 2015). </w:t>
      </w:r>
    </w:p>
    <w:p w:rsidR="005A3173" w:rsidRPr="00A35598" w:rsidRDefault="005A3173" w:rsidP="00937958">
      <w:pPr>
        <w:pStyle w:val="Heading2"/>
        <w:keepLines/>
        <w:spacing w:before="240" w:after="120"/>
        <w:rPr>
          <w:rFonts w:asciiTheme="minorHAnsi" w:eastAsiaTheme="majorEastAsia" w:hAnsiTheme="minorHAnsi" w:cstheme="majorBidi"/>
          <w:sz w:val="28"/>
          <w:szCs w:val="28"/>
          <w:lang w:eastAsia="en-US"/>
        </w:rPr>
      </w:pPr>
      <w:r w:rsidRPr="00A35598">
        <w:rPr>
          <w:rFonts w:asciiTheme="minorHAnsi" w:eastAsiaTheme="majorEastAsia" w:hAnsiTheme="minorHAnsi" w:cstheme="majorBidi"/>
          <w:sz w:val="28"/>
          <w:szCs w:val="28"/>
          <w:lang w:eastAsia="en-US"/>
        </w:rPr>
        <w:t>Comparative harms</w:t>
      </w:r>
    </w:p>
    <w:p w:rsidR="0058505D" w:rsidRPr="00A35598" w:rsidRDefault="0058505D" w:rsidP="0058505D">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A35598">
        <w:rPr>
          <w:rFonts w:asciiTheme="minorHAnsi" w:eastAsiaTheme="minorHAnsi" w:hAnsiTheme="minorHAnsi" w:cstheme="minorBidi"/>
          <w:snapToGrid/>
          <w:sz w:val="24"/>
          <w:szCs w:val="22"/>
        </w:rPr>
        <w:t>In July 2017, the PBAC considered that the sponsor’s claim of equivalent safety</w:t>
      </w:r>
      <w:r w:rsidR="0080271F" w:rsidRPr="00A35598">
        <w:rPr>
          <w:rFonts w:asciiTheme="minorHAnsi" w:eastAsiaTheme="minorHAnsi" w:hAnsiTheme="minorHAnsi" w:cstheme="minorBidi"/>
          <w:snapToGrid/>
          <w:sz w:val="24"/>
          <w:szCs w:val="22"/>
        </w:rPr>
        <w:t xml:space="preserve"> to adalimumab</w:t>
      </w:r>
      <w:r w:rsidRPr="00A35598">
        <w:rPr>
          <w:rFonts w:asciiTheme="minorHAnsi" w:eastAsiaTheme="minorHAnsi" w:hAnsiTheme="minorHAnsi" w:cstheme="minorBidi"/>
          <w:snapToGrid/>
          <w:sz w:val="24"/>
          <w:szCs w:val="22"/>
        </w:rPr>
        <w:t xml:space="preserve"> was not adequately supported by the data. In particular, the PBAC expressed concerns about the higher number of serious adverse events in the baricitinib group. </w:t>
      </w:r>
    </w:p>
    <w:p w:rsidR="00C32009" w:rsidRPr="00A35598" w:rsidRDefault="00C32009" w:rsidP="0058505D">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A35598">
        <w:rPr>
          <w:rFonts w:asciiTheme="minorHAnsi" w:eastAsiaTheme="minorHAnsi" w:hAnsiTheme="minorHAnsi" w:cstheme="minorBidi"/>
          <w:snapToGrid/>
          <w:sz w:val="24"/>
          <w:szCs w:val="22"/>
        </w:rPr>
        <w:t xml:space="preserve">The minor resubmission presented safety </w:t>
      </w:r>
      <w:r w:rsidR="00472713" w:rsidRPr="00A35598">
        <w:rPr>
          <w:rFonts w:asciiTheme="minorHAnsi" w:eastAsiaTheme="minorHAnsi" w:hAnsiTheme="minorHAnsi" w:cstheme="minorBidi"/>
          <w:snapToGrid/>
          <w:sz w:val="24"/>
          <w:szCs w:val="22"/>
        </w:rPr>
        <w:t xml:space="preserve">results </w:t>
      </w:r>
      <w:r w:rsidR="005A524E" w:rsidRPr="00A35598">
        <w:rPr>
          <w:rFonts w:asciiTheme="minorHAnsi" w:eastAsiaTheme="minorHAnsi" w:hAnsiTheme="minorHAnsi" w:cstheme="minorBidi"/>
          <w:snapToGrid/>
          <w:sz w:val="24"/>
          <w:szCs w:val="22"/>
        </w:rPr>
        <w:t>for</w:t>
      </w:r>
      <w:r w:rsidRPr="00A35598">
        <w:rPr>
          <w:rFonts w:asciiTheme="minorHAnsi" w:eastAsiaTheme="minorHAnsi" w:hAnsiTheme="minorHAnsi" w:cstheme="minorBidi"/>
          <w:snapToGrid/>
          <w:sz w:val="24"/>
          <w:szCs w:val="22"/>
        </w:rPr>
        <w:t xml:space="preserve"> baricitinib and tofacitinib</w:t>
      </w:r>
      <w:r w:rsidR="005A524E" w:rsidRPr="00A35598">
        <w:rPr>
          <w:rFonts w:asciiTheme="minorHAnsi" w:eastAsiaTheme="minorHAnsi" w:hAnsiTheme="minorHAnsi" w:cstheme="minorBidi"/>
          <w:snapToGrid/>
          <w:sz w:val="24"/>
          <w:szCs w:val="22"/>
        </w:rPr>
        <w:t xml:space="preserve">. Safety results were not compared by indirect comparisons due to potential differences in adverse event reporting and analysis between trials. </w:t>
      </w:r>
      <w:r w:rsidR="006D592B" w:rsidRPr="00A35598">
        <w:rPr>
          <w:rFonts w:asciiTheme="minorHAnsi" w:eastAsiaTheme="minorHAnsi" w:hAnsiTheme="minorHAnsi" w:cstheme="minorBidi"/>
          <w:snapToGrid/>
          <w:sz w:val="24"/>
          <w:szCs w:val="22"/>
        </w:rPr>
        <w:t>However, based on a review of the individual trial adverse event results and the meta-analysed results, t</w:t>
      </w:r>
      <w:r w:rsidR="005A524E" w:rsidRPr="00A35598">
        <w:rPr>
          <w:rFonts w:asciiTheme="minorHAnsi" w:eastAsiaTheme="minorHAnsi" w:hAnsiTheme="minorHAnsi" w:cstheme="minorBidi"/>
          <w:snapToGrid/>
          <w:sz w:val="24"/>
          <w:szCs w:val="22"/>
        </w:rPr>
        <w:t xml:space="preserve">he submission considered that there was no clinically meaningful difference in the safety profiles of baricitinib and tofacitinib. </w:t>
      </w:r>
    </w:p>
    <w:p w:rsidR="00C62CD7" w:rsidRPr="00A35598" w:rsidRDefault="00C62CD7" w:rsidP="0058505D">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A35598">
        <w:rPr>
          <w:rFonts w:asciiTheme="minorHAnsi" w:eastAsiaTheme="minorHAnsi" w:hAnsiTheme="minorHAnsi" w:cstheme="minorBidi"/>
          <w:snapToGrid/>
          <w:sz w:val="24"/>
          <w:szCs w:val="22"/>
        </w:rPr>
        <w:t>The pre-PBAC response made reference to the comparison between tofacitinib and adalimumab (Tofacitinib PSD; March 2015 PBAC meeting), in which tofacitinib showed a statistically significant difference in greater number of patients with serious adverse events. The pre-PBAC response claimed the results were in line with the comparison of serious adverse events rates between baricitinib and adalimumab, and asserted that the PBAC had previously accepted a similar comparative safety profile</w:t>
      </w:r>
      <w:r w:rsidR="00375E2C" w:rsidRPr="00A35598">
        <w:rPr>
          <w:rFonts w:asciiTheme="minorHAnsi" w:eastAsiaTheme="minorHAnsi" w:hAnsiTheme="minorHAnsi" w:cstheme="minorBidi"/>
          <w:snapToGrid/>
          <w:sz w:val="24"/>
          <w:szCs w:val="22"/>
        </w:rPr>
        <w:t xml:space="preserve"> for tofacitinib, which resulted in a </w:t>
      </w:r>
      <w:r w:rsidR="00AA0A04" w:rsidRPr="00A35598">
        <w:rPr>
          <w:rFonts w:asciiTheme="minorHAnsi" w:eastAsiaTheme="minorHAnsi" w:hAnsiTheme="minorHAnsi" w:cstheme="minorBidi"/>
          <w:snapToGrid/>
          <w:sz w:val="24"/>
          <w:szCs w:val="22"/>
        </w:rPr>
        <w:t xml:space="preserve">positive recommendation </w:t>
      </w:r>
      <w:r w:rsidR="00C01EE3">
        <w:rPr>
          <w:rFonts w:asciiTheme="minorHAnsi" w:eastAsiaTheme="minorHAnsi" w:hAnsiTheme="minorHAnsi" w:cstheme="minorBidi"/>
          <w:snapToGrid/>
          <w:sz w:val="24"/>
          <w:szCs w:val="22"/>
        </w:rPr>
        <w:t xml:space="preserve">for tofacitinib </w:t>
      </w:r>
      <w:r w:rsidR="00AA0A04" w:rsidRPr="00A35598">
        <w:rPr>
          <w:rFonts w:asciiTheme="minorHAnsi" w:eastAsiaTheme="minorHAnsi" w:hAnsiTheme="minorHAnsi" w:cstheme="minorBidi"/>
          <w:snapToGrid/>
          <w:sz w:val="24"/>
          <w:szCs w:val="22"/>
        </w:rPr>
        <w:t xml:space="preserve">based </w:t>
      </w:r>
      <w:r w:rsidR="00AA0A04">
        <w:rPr>
          <w:rFonts w:asciiTheme="minorHAnsi" w:eastAsiaTheme="minorHAnsi" w:hAnsiTheme="minorHAnsi" w:cstheme="minorBidi"/>
          <w:snapToGrid/>
          <w:sz w:val="24"/>
          <w:szCs w:val="22"/>
        </w:rPr>
        <w:t xml:space="preserve">on </w:t>
      </w:r>
      <w:r w:rsidR="00375E2C" w:rsidRPr="00A35598">
        <w:rPr>
          <w:rFonts w:asciiTheme="minorHAnsi" w:eastAsiaTheme="minorHAnsi" w:hAnsiTheme="minorHAnsi" w:cstheme="minorBidi"/>
          <w:snapToGrid/>
          <w:sz w:val="24"/>
          <w:szCs w:val="22"/>
        </w:rPr>
        <w:t>non-inferiority</w:t>
      </w:r>
      <w:r w:rsidR="00AA0A04">
        <w:rPr>
          <w:rFonts w:asciiTheme="minorHAnsi" w:eastAsiaTheme="minorHAnsi" w:hAnsiTheme="minorHAnsi" w:cstheme="minorBidi"/>
          <w:snapToGrid/>
          <w:sz w:val="24"/>
          <w:szCs w:val="22"/>
        </w:rPr>
        <w:t xml:space="preserve"> to adalimumab</w:t>
      </w:r>
      <w:r w:rsidR="00375E2C" w:rsidRPr="00A35598">
        <w:rPr>
          <w:rFonts w:asciiTheme="minorHAnsi" w:eastAsiaTheme="minorHAnsi" w:hAnsiTheme="minorHAnsi" w:cstheme="minorBidi"/>
          <w:snapToGrid/>
          <w:sz w:val="24"/>
          <w:szCs w:val="22"/>
        </w:rPr>
        <w:t>.</w:t>
      </w:r>
    </w:p>
    <w:p w:rsidR="003C2FB5" w:rsidRPr="00A35598" w:rsidRDefault="005A3173" w:rsidP="008306F3">
      <w:pPr>
        <w:pStyle w:val="Heading2"/>
        <w:keepLines/>
        <w:spacing w:before="240" w:after="120"/>
        <w:rPr>
          <w:rFonts w:asciiTheme="minorHAnsi" w:eastAsiaTheme="majorEastAsia" w:hAnsiTheme="minorHAnsi" w:cstheme="majorBidi"/>
          <w:sz w:val="28"/>
          <w:szCs w:val="28"/>
          <w:lang w:eastAsia="en-US"/>
        </w:rPr>
      </w:pPr>
      <w:r w:rsidRPr="00A35598">
        <w:rPr>
          <w:rFonts w:asciiTheme="minorHAnsi" w:eastAsiaTheme="majorEastAsia" w:hAnsiTheme="minorHAnsi" w:cstheme="majorBidi"/>
          <w:sz w:val="28"/>
          <w:szCs w:val="28"/>
          <w:lang w:eastAsia="en-US"/>
        </w:rPr>
        <w:t>Clinical claim</w:t>
      </w:r>
    </w:p>
    <w:p w:rsidR="00F57A6D" w:rsidRPr="00CB674E" w:rsidRDefault="00FF2801" w:rsidP="005A524E">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A35598">
        <w:rPr>
          <w:rFonts w:asciiTheme="minorHAnsi" w:hAnsiTheme="minorHAnsi"/>
          <w:sz w:val="24"/>
          <w:szCs w:val="24"/>
        </w:rPr>
        <w:t>The submission claimed</w:t>
      </w:r>
      <w:r w:rsidR="00BB7EC3" w:rsidRPr="00A35598">
        <w:rPr>
          <w:rFonts w:asciiTheme="minorHAnsi" w:hAnsiTheme="minorHAnsi"/>
          <w:sz w:val="24"/>
          <w:szCs w:val="24"/>
        </w:rPr>
        <w:t xml:space="preserve"> </w:t>
      </w:r>
      <w:r w:rsidR="005A524E" w:rsidRPr="00A35598">
        <w:rPr>
          <w:rFonts w:asciiTheme="minorHAnsi" w:hAnsiTheme="minorHAnsi"/>
          <w:sz w:val="24"/>
          <w:szCs w:val="24"/>
        </w:rPr>
        <w:t>non-inferior</w:t>
      </w:r>
      <w:r w:rsidR="00BB7EC3" w:rsidRPr="00A35598">
        <w:rPr>
          <w:rFonts w:asciiTheme="minorHAnsi" w:hAnsiTheme="minorHAnsi"/>
          <w:sz w:val="24"/>
          <w:szCs w:val="24"/>
        </w:rPr>
        <w:t xml:space="preserve"> comparative effectiveness and </w:t>
      </w:r>
      <w:r w:rsidR="005A524E" w:rsidRPr="00A35598">
        <w:rPr>
          <w:rFonts w:asciiTheme="minorHAnsi" w:hAnsiTheme="minorHAnsi"/>
          <w:sz w:val="24"/>
          <w:szCs w:val="24"/>
        </w:rPr>
        <w:t xml:space="preserve">equivalent </w:t>
      </w:r>
      <w:r w:rsidR="00BB7EC3" w:rsidRPr="00A35598">
        <w:rPr>
          <w:rFonts w:asciiTheme="minorHAnsi" w:hAnsiTheme="minorHAnsi"/>
          <w:sz w:val="24"/>
          <w:szCs w:val="24"/>
        </w:rPr>
        <w:t xml:space="preserve">safety of </w:t>
      </w:r>
      <w:r w:rsidR="005A524E" w:rsidRPr="00A35598">
        <w:rPr>
          <w:rFonts w:asciiTheme="minorHAnsi" w:hAnsiTheme="minorHAnsi"/>
          <w:sz w:val="24"/>
          <w:szCs w:val="24"/>
        </w:rPr>
        <w:t>baricitinib</w:t>
      </w:r>
      <w:r w:rsidR="00BB7EC3" w:rsidRPr="00A35598">
        <w:rPr>
          <w:rFonts w:asciiTheme="minorHAnsi" w:hAnsiTheme="minorHAnsi"/>
          <w:i/>
          <w:sz w:val="24"/>
          <w:szCs w:val="24"/>
        </w:rPr>
        <w:t xml:space="preserve"> </w:t>
      </w:r>
      <w:r w:rsidR="00BB7EC3" w:rsidRPr="00A35598">
        <w:rPr>
          <w:rFonts w:asciiTheme="minorHAnsi" w:hAnsiTheme="minorHAnsi"/>
          <w:sz w:val="24"/>
          <w:szCs w:val="24"/>
        </w:rPr>
        <w:t xml:space="preserve">compared with </w:t>
      </w:r>
      <w:r w:rsidR="005A524E" w:rsidRPr="00A35598">
        <w:rPr>
          <w:rFonts w:asciiTheme="minorHAnsi" w:hAnsiTheme="minorHAnsi"/>
          <w:sz w:val="24"/>
          <w:szCs w:val="24"/>
        </w:rPr>
        <w:t xml:space="preserve">tofacitinib. </w:t>
      </w:r>
    </w:p>
    <w:p w:rsidR="00200247" w:rsidRPr="00A35598" w:rsidRDefault="00200247" w:rsidP="00200247">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200247">
        <w:rPr>
          <w:rFonts w:asciiTheme="minorHAnsi" w:eastAsiaTheme="minorHAnsi" w:hAnsiTheme="minorHAnsi" w:cstheme="minorBidi"/>
          <w:snapToGrid/>
          <w:sz w:val="24"/>
          <w:szCs w:val="22"/>
        </w:rPr>
        <w:t>The PBAC decided to defer its discussion of this item pending the receipt of the TGA delegate’s overview</w:t>
      </w:r>
      <w:r>
        <w:rPr>
          <w:rFonts w:asciiTheme="minorHAnsi" w:eastAsiaTheme="minorHAnsi" w:hAnsiTheme="minorHAnsi" w:cstheme="minorBidi"/>
          <w:snapToGrid/>
          <w:sz w:val="24"/>
          <w:szCs w:val="22"/>
        </w:rPr>
        <w:t>.</w:t>
      </w:r>
    </w:p>
    <w:p w:rsidR="005A3173" w:rsidRPr="00A35598" w:rsidRDefault="005A3173" w:rsidP="00966D0D">
      <w:pPr>
        <w:pStyle w:val="Heading2"/>
        <w:keepLines/>
        <w:spacing w:before="240" w:after="120"/>
        <w:rPr>
          <w:rFonts w:asciiTheme="minorHAnsi" w:eastAsiaTheme="majorEastAsia" w:hAnsiTheme="minorHAnsi" w:cstheme="majorBidi"/>
          <w:sz w:val="28"/>
          <w:szCs w:val="28"/>
          <w:lang w:eastAsia="en-US"/>
        </w:rPr>
      </w:pPr>
      <w:r w:rsidRPr="00A35598">
        <w:rPr>
          <w:rFonts w:asciiTheme="minorHAnsi" w:eastAsiaTheme="majorEastAsia" w:hAnsiTheme="minorHAnsi" w:cstheme="majorBidi"/>
          <w:sz w:val="28"/>
          <w:szCs w:val="28"/>
          <w:lang w:eastAsia="en-US"/>
        </w:rPr>
        <w:t>Economic analysis</w:t>
      </w:r>
    </w:p>
    <w:p w:rsidR="00245200" w:rsidRPr="00A35598" w:rsidRDefault="009B0F67" w:rsidP="00245200">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A35598">
        <w:rPr>
          <w:rFonts w:asciiTheme="minorHAnsi" w:hAnsiTheme="minorHAnsi"/>
          <w:sz w:val="24"/>
          <w:szCs w:val="24"/>
        </w:rPr>
        <w:t xml:space="preserve">In the previous major submission considered by PBAC </w:t>
      </w:r>
      <w:r w:rsidR="00245200" w:rsidRPr="00A35598">
        <w:rPr>
          <w:rFonts w:asciiTheme="minorHAnsi" w:hAnsiTheme="minorHAnsi"/>
          <w:sz w:val="24"/>
          <w:szCs w:val="24"/>
        </w:rPr>
        <w:t>in July 2017</w:t>
      </w:r>
      <w:r w:rsidRPr="00A35598">
        <w:rPr>
          <w:rFonts w:asciiTheme="minorHAnsi" w:hAnsiTheme="minorHAnsi"/>
          <w:sz w:val="24"/>
          <w:szCs w:val="24"/>
        </w:rPr>
        <w:t xml:space="preserve">, the submission presented a </w:t>
      </w:r>
      <w:r w:rsidR="00245200" w:rsidRPr="00A35598">
        <w:rPr>
          <w:rFonts w:asciiTheme="minorHAnsi" w:hAnsiTheme="minorHAnsi"/>
          <w:sz w:val="24"/>
          <w:szCs w:val="24"/>
        </w:rPr>
        <w:t xml:space="preserve">cost-utility analysis based on the clinical claim of superior comparative effectiveness to adalimumab. The pre-PBAC response stated a willingness to accept listing on a cost-minimisation basis against tofacitinib. The PBAC accepted that a cost-minimisation against the least costly comparator might be a reasonable approach. </w:t>
      </w:r>
      <w:r w:rsidR="0080271F" w:rsidRPr="00A35598">
        <w:rPr>
          <w:rFonts w:asciiTheme="minorHAnsi" w:hAnsiTheme="minorHAnsi"/>
          <w:sz w:val="24"/>
          <w:szCs w:val="24"/>
        </w:rPr>
        <w:t xml:space="preserve">At the time of the July 2017 PBAC meetings, all </w:t>
      </w:r>
      <w:r w:rsidR="00245200" w:rsidRPr="00A35598">
        <w:rPr>
          <w:rFonts w:asciiTheme="minorHAnsi" w:hAnsiTheme="minorHAnsi"/>
          <w:sz w:val="24"/>
          <w:szCs w:val="24"/>
        </w:rPr>
        <w:t xml:space="preserve">bDMARDs </w:t>
      </w:r>
      <w:r w:rsidR="0080271F" w:rsidRPr="00A35598">
        <w:rPr>
          <w:rFonts w:asciiTheme="minorHAnsi" w:hAnsiTheme="minorHAnsi"/>
          <w:sz w:val="24"/>
          <w:szCs w:val="24"/>
        </w:rPr>
        <w:t xml:space="preserve">had </w:t>
      </w:r>
      <w:r w:rsidR="00245200" w:rsidRPr="00A35598">
        <w:rPr>
          <w:rFonts w:asciiTheme="minorHAnsi" w:hAnsiTheme="minorHAnsi"/>
          <w:sz w:val="24"/>
          <w:szCs w:val="24"/>
        </w:rPr>
        <w:t xml:space="preserve">the same effective ex-manufacturer price for rheumatoid arthritis. </w:t>
      </w:r>
    </w:p>
    <w:p w:rsidR="00B73C05" w:rsidRPr="00A35598" w:rsidRDefault="00245200" w:rsidP="0080271F">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A35598">
        <w:rPr>
          <w:rFonts w:asciiTheme="minorHAnsi" w:hAnsiTheme="minorHAnsi"/>
          <w:sz w:val="24"/>
          <w:szCs w:val="24"/>
        </w:rPr>
        <w:t xml:space="preserve">The PBAC further considered that it may be appropriate to consider an economic evaluation that took into consideration the likely inferior safety profile of baricitinib against other bDMARDs. If the claim of equivalent safety of baricitinib to tofacitinib is accepted by PBAC, a cost-minimisation against any bDMARD would be appropriate. </w:t>
      </w:r>
    </w:p>
    <w:p w:rsidR="00B73C05" w:rsidRPr="00A35598" w:rsidRDefault="00B73C05" w:rsidP="0080271F">
      <w:pPr>
        <w:pStyle w:val="ListParagraph"/>
        <w:widowControl/>
        <w:numPr>
          <w:ilvl w:val="1"/>
          <w:numId w:val="14"/>
        </w:numPr>
        <w:spacing w:after="120"/>
        <w:contextualSpacing w:val="0"/>
        <w:rPr>
          <w:rFonts w:asciiTheme="minorHAnsi" w:hAnsiTheme="minorHAnsi"/>
          <w:sz w:val="24"/>
          <w:szCs w:val="24"/>
        </w:rPr>
      </w:pPr>
      <w:r w:rsidRPr="00A35598">
        <w:rPr>
          <w:rFonts w:asciiTheme="minorHAnsi" w:hAnsiTheme="minorHAnsi"/>
          <w:sz w:val="24"/>
          <w:szCs w:val="24"/>
        </w:rPr>
        <w:t xml:space="preserve">In considering a cost-minimisation against the least costly bDMARD, the PBAC considered that more detail would be required to establish equi-effective doses, in particular about whether to incorporate the safety differences into the economic evaluation. </w:t>
      </w:r>
    </w:p>
    <w:p w:rsidR="00E550B5" w:rsidRPr="00A35598" w:rsidRDefault="00E550B5" w:rsidP="00E550B5">
      <w:pPr>
        <w:pStyle w:val="ListParagraph"/>
        <w:widowControl/>
        <w:numPr>
          <w:ilvl w:val="1"/>
          <w:numId w:val="14"/>
        </w:numPr>
        <w:spacing w:after="120"/>
        <w:contextualSpacing w:val="0"/>
        <w:rPr>
          <w:rFonts w:asciiTheme="minorHAnsi" w:hAnsiTheme="minorHAnsi"/>
          <w:sz w:val="24"/>
          <w:szCs w:val="24"/>
        </w:rPr>
      </w:pPr>
      <w:r w:rsidRPr="00A35598">
        <w:rPr>
          <w:rFonts w:asciiTheme="minorHAnsi" w:hAnsiTheme="minorHAnsi"/>
          <w:sz w:val="24"/>
          <w:szCs w:val="24"/>
        </w:rPr>
        <w:t xml:space="preserve">The resubmission estimated equi-effective doses for a cost-minimisation to be: </w:t>
      </w:r>
    </w:p>
    <w:p w:rsidR="00E550B5" w:rsidRPr="00A35598" w:rsidRDefault="00E550B5" w:rsidP="00E550B5">
      <w:pPr>
        <w:pStyle w:val="ListParagraph"/>
        <w:widowControl/>
        <w:spacing w:after="120"/>
        <w:contextualSpacing w:val="0"/>
        <w:rPr>
          <w:rFonts w:asciiTheme="minorHAnsi" w:hAnsiTheme="minorHAnsi"/>
          <w:sz w:val="24"/>
          <w:szCs w:val="24"/>
        </w:rPr>
      </w:pPr>
      <w:r w:rsidRPr="00A35598">
        <w:rPr>
          <w:rFonts w:asciiTheme="minorHAnsi" w:hAnsiTheme="minorHAnsi"/>
          <w:sz w:val="24"/>
          <w:szCs w:val="24"/>
        </w:rPr>
        <w:t xml:space="preserve">baricitinib 4 mg = tofacitinib 10 mg </w:t>
      </w:r>
    </w:p>
    <w:p w:rsidR="00200247" w:rsidRDefault="00575E5C" w:rsidP="00593548">
      <w:pPr>
        <w:pStyle w:val="ListParagraph"/>
        <w:widowControl/>
        <w:numPr>
          <w:ilvl w:val="1"/>
          <w:numId w:val="14"/>
        </w:numPr>
        <w:spacing w:after="120"/>
        <w:contextualSpacing w:val="0"/>
        <w:rPr>
          <w:rFonts w:asciiTheme="minorHAnsi" w:hAnsiTheme="minorHAnsi"/>
          <w:sz w:val="24"/>
          <w:szCs w:val="24"/>
        </w:rPr>
      </w:pPr>
      <w:r>
        <w:rPr>
          <w:rFonts w:asciiTheme="minorHAnsi" w:hAnsiTheme="minorHAnsi"/>
          <w:noProof/>
          <w:color w:val="000000"/>
          <w:sz w:val="24"/>
          <w:szCs w:val="24"/>
          <w:highlight w:val="black"/>
        </w:rPr>
        <w:t>''''''' ''''''''''' ''''''''''' '''''' ''''''''''''''''''' ''''''''''''''''''' ''' '''''''''''''''''' ''''''''''' ''''''''''''''''''' '''''''''' ''''''''''''''''' '''''' ''''' ''''' '''''''''''''''''' ''''''''''' '''''''''''''''''''' ''''' ''' ''''''''' '''''''''''</w:t>
      </w:r>
      <w:r>
        <w:rPr>
          <w:noProof/>
          <w:color w:val="000000"/>
          <w:highlight w:val="black"/>
        </w:rPr>
        <w:t xml:space="preserve"> </w:t>
      </w:r>
      <w:r>
        <w:rPr>
          <w:rFonts w:asciiTheme="minorHAnsi" w:hAnsiTheme="minorHAnsi"/>
          <w:noProof/>
          <w:color w:val="000000"/>
          <w:sz w:val="24"/>
          <w:szCs w:val="24"/>
          <w:highlight w:val="black"/>
        </w:rPr>
        <w:t>'''''' '''''' '''''''''''''''''''''''''</w:t>
      </w:r>
    </w:p>
    <w:p w:rsidR="00E550B5" w:rsidRPr="00A35598" w:rsidRDefault="00200247" w:rsidP="00200247">
      <w:pPr>
        <w:pStyle w:val="ListParagraph"/>
        <w:widowControl/>
        <w:numPr>
          <w:ilvl w:val="1"/>
          <w:numId w:val="14"/>
        </w:numPr>
        <w:spacing w:after="120"/>
        <w:contextualSpacing w:val="0"/>
        <w:rPr>
          <w:rFonts w:asciiTheme="minorHAnsi" w:hAnsiTheme="minorHAnsi"/>
          <w:sz w:val="24"/>
          <w:szCs w:val="24"/>
        </w:rPr>
      </w:pPr>
      <w:r w:rsidRPr="00200247">
        <w:rPr>
          <w:rFonts w:asciiTheme="minorHAnsi" w:hAnsiTheme="minorHAnsi"/>
          <w:sz w:val="24"/>
          <w:szCs w:val="24"/>
        </w:rPr>
        <w:t>The PBAC decided to defer its discussion of this item pending the receipt of the TGA delegate’s overview</w:t>
      </w:r>
    </w:p>
    <w:p w:rsidR="005A3173" w:rsidRPr="00A35598" w:rsidRDefault="005A3173" w:rsidP="008306F3">
      <w:pPr>
        <w:pStyle w:val="Heading2"/>
        <w:keepLines/>
        <w:spacing w:before="240" w:after="120"/>
        <w:rPr>
          <w:rFonts w:asciiTheme="minorHAnsi" w:eastAsiaTheme="majorEastAsia" w:hAnsiTheme="minorHAnsi" w:cstheme="majorBidi"/>
          <w:sz w:val="28"/>
          <w:szCs w:val="28"/>
          <w:lang w:eastAsia="en-US"/>
        </w:rPr>
      </w:pPr>
      <w:r w:rsidRPr="00A35598">
        <w:rPr>
          <w:rFonts w:asciiTheme="minorHAnsi" w:eastAsiaTheme="majorEastAsia" w:hAnsiTheme="minorHAnsi" w:cstheme="majorBidi"/>
          <w:sz w:val="28"/>
          <w:szCs w:val="28"/>
          <w:lang w:eastAsia="en-US"/>
        </w:rPr>
        <w:t>Estimated PBS usage &amp; financial implications</w:t>
      </w:r>
    </w:p>
    <w:p w:rsidR="00BA4C38" w:rsidRDefault="00FF2801" w:rsidP="00B73C05">
      <w:pPr>
        <w:pStyle w:val="ListParagraph"/>
        <w:widowControl/>
        <w:numPr>
          <w:ilvl w:val="1"/>
          <w:numId w:val="14"/>
        </w:numPr>
        <w:spacing w:after="120"/>
        <w:contextualSpacing w:val="0"/>
        <w:rPr>
          <w:rFonts w:asciiTheme="minorHAnsi" w:hAnsiTheme="minorHAnsi"/>
          <w:sz w:val="24"/>
          <w:szCs w:val="24"/>
        </w:rPr>
      </w:pPr>
      <w:r w:rsidRPr="00A35598">
        <w:rPr>
          <w:rFonts w:asciiTheme="minorHAnsi" w:hAnsiTheme="minorHAnsi"/>
          <w:sz w:val="24"/>
          <w:szCs w:val="24"/>
        </w:rPr>
        <w:t xml:space="preserve">The minor submission </w:t>
      </w:r>
      <w:r w:rsidR="00B73C05" w:rsidRPr="00A35598">
        <w:rPr>
          <w:rFonts w:asciiTheme="minorHAnsi" w:hAnsiTheme="minorHAnsi"/>
          <w:sz w:val="24"/>
          <w:szCs w:val="24"/>
        </w:rPr>
        <w:t xml:space="preserve">did not update </w:t>
      </w:r>
      <w:r w:rsidRPr="00A35598">
        <w:rPr>
          <w:rFonts w:asciiTheme="minorHAnsi" w:hAnsiTheme="minorHAnsi"/>
          <w:sz w:val="24"/>
          <w:szCs w:val="24"/>
        </w:rPr>
        <w:t>estimated</w:t>
      </w:r>
      <w:r w:rsidR="00C00DA7" w:rsidRPr="00A35598">
        <w:rPr>
          <w:rFonts w:asciiTheme="minorHAnsi" w:hAnsiTheme="minorHAnsi"/>
          <w:sz w:val="24"/>
          <w:szCs w:val="24"/>
        </w:rPr>
        <w:t xml:space="preserve"> </w:t>
      </w:r>
      <w:r w:rsidR="00B73C05" w:rsidRPr="00A35598">
        <w:rPr>
          <w:rFonts w:asciiTheme="minorHAnsi" w:hAnsiTheme="minorHAnsi"/>
          <w:sz w:val="24"/>
          <w:szCs w:val="24"/>
        </w:rPr>
        <w:t xml:space="preserve">PBS usage and </w:t>
      </w:r>
      <w:r w:rsidR="00C00DA7" w:rsidRPr="00A35598">
        <w:rPr>
          <w:rFonts w:asciiTheme="minorHAnsi" w:hAnsiTheme="minorHAnsi"/>
          <w:sz w:val="24"/>
          <w:szCs w:val="24"/>
        </w:rPr>
        <w:t>financial implications</w:t>
      </w:r>
      <w:r w:rsidR="00B73C05" w:rsidRPr="00A35598">
        <w:rPr>
          <w:rFonts w:asciiTheme="minorHAnsi" w:hAnsiTheme="minorHAnsi"/>
          <w:sz w:val="24"/>
          <w:szCs w:val="24"/>
        </w:rPr>
        <w:t xml:space="preserve">. If recommended for listing on the PBS on a cost-minimisation basis, there should be no net financial implication as baricitinib would substitute for other bDMARDs. </w:t>
      </w:r>
    </w:p>
    <w:p w:rsidR="00F64CC1" w:rsidRPr="00EA701F" w:rsidRDefault="00200247" w:rsidP="00EA701F">
      <w:pPr>
        <w:pStyle w:val="ListParagraph"/>
        <w:widowControl/>
        <w:numPr>
          <w:ilvl w:val="1"/>
          <w:numId w:val="14"/>
        </w:numPr>
        <w:spacing w:after="120"/>
        <w:contextualSpacing w:val="0"/>
        <w:rPr>
          <w:rFonts w:asciiTheme="minorHAnsi" w:hAnsiTheme="minorHAnsi"/>
          <w:sz w:val="24"/>
          <w:szCs w:val="24"/>
        </w:rPr>
      </w:pPr>
      <w:r w:rsidRPr="00200247">
        <w:rPr>
          <w:rFonts w:asciiTheme="minorHAnsi" w:hAnsiTheme="minorHAnsi"/>
          <w:sz w:val="24"/>
          <w:szCs w:val="24"/>
        </w:rPr>
        <w:t>The PBAC decided to defer its discussion of this item pending the receipt of the TGA delegate’s overview</w:t>
      </w:r>
      <w:r w:rsidR="00BA4C38" w:rsidRPr="00EA701F">
        <w:rPr>
          <w:rFonts w:asciiTheme="minorHAnsi" w:hAnsiTheme="minorHAnsi"/>
          <w:sz w:val="24"/>
          <w:szCs w:val="24"/>
        </w:rPr>
        <w:tab/>
      </w:r>
    </w:p>
    <w:p w:rsidR="003B63B6" w:rsidRPr="00A35598" w:rsidRDefault="003B63B6" w:rsidP="003B63B6">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sidRPr="00A35598">
        <w:rPr>
          <w:rFonts w:asciiTheme="minorHAnsi" w:hAnsiTheme="minorHAnsi"/>
          <w:sz w:val="32"/>
          <w:szCs w:val="32"/>
        </w:rPr>
        <w:t>PBAC Outcome</w:t>
      </w:r>
    </w:p>
    <w:p w:rsidR="00E3498D" w:rsidRPr="00D24BA5" w:rsidRDefault="00DC026C">
      <w:pPr>
        <w:pStyle w:val="ListParagraph"/>
        <w:widowControl/>
        <w:numPr>
          <w:ilvl w:val="1"/>
          <w:numId w:val="14"/>
        </w:numPr>
        <w:spacing w:after="120"/>
        <w:contextualSpacing w:val="0"/>
        <w:rPr>
          <w:rFonts w:asciiTheme="minorHAnsi" w:hAnsiTheme="minorHAnsi"/>
          <w:sz w:val="28"/>
          <w:szCs w:val="24"/>
        </w:rPr>
      </w:pPr>
      <w:r w:rsidRPr="00D24BA5">
        <w:rPr>
          <w:rFonts w:asciiTheme="minorHAnsi" w:hAnsiTheme="minorHAnsi"/>
          <w:sz w:val="24"/>
        </w:rPr>
        <w:t>The PBAC</w:t>
      </w:r>
      <w:r w:rsidR="00593548" w:rsidRPr="00D24BA5">
        <w:rPr>
          <w:rFonts w:asciiTheme="minorHAnsi" w:hAnsiTheme="minorHAnsi"/>
          <w:sz w:val="24"/>
        </w:rPr>
        <w:t xml:space="preserve"> decided to</w:t>
      </w:r>
      <w:r w:rsidRPr="00D24BA5">
        <w:rPr>
          <w:rFonts w:asciiTheme="minorHAnsi" w:hAnsiTheme="minorHAnsi"/>
          <w:sz w:val="24"/>
        </w:rPr>
        <w:t xml:space="preserve"> </w:t>
      </w:r>
      <w:r w:rsidR="0030575F" w:rsidRPr="00D24BA5">
        <w:rPr>
          <w:rFonts w:asciiTheme="minorHAnsi" w:hAnsiTheme="minorHAnsi"/>
          <w:sz w:val="24"/>
        </w:rPr>
        <w:t xml:space="preserve">defer its </w:t>
      </w:r>
      <w:r w:rsidR="00593548" w:rsidRPr="00D24BA5">
        <w:rPr>
          <w:rFonts w:asciiTheme="minorHAnsi" w:hAnsiTheme="minorHAnsi"/>
          <w:sz w:val="24"/>
        </w:rPr>
        <w:t>discussion of this item pending the receipt of the TGA delegate’s overview</w:t>
      </w:r>
      <w:r w:rsidR="00A35598" w:rsidRPr="00D24BA5">
        <w:rPr>
          <w:rFonts w:asciiTheme="minorHAnsi" w:hAnsiTheme="minorHAnsi"/>
          <w:sz w:val="24"/>
        </w:rPr>
        <w:t>,</w:t>
      </w:r>
      <w:r w:rsidR="00593548" w:rsidRPr="00D24BA5">
        <w:rPr>
          <w:rFonts w:asciiTheme="minorHAnsi" w:hAnsiTheme="minorHAnsi"/>
          <w:sz w:val="24"/>
        </w:rPr>
        <w:t xml:space="preserve"> </w:t>
      </w:r>
      <w:r w:rsidR="00A35598" w:rsidRPr="00D24BA5">
        <w:rPr>
          <w:rFonts w:asciiTheme="minorHAnsi" w:hAnsiTheme="minorHAnsi"/>
          <w:sz w:val="24"/>
        </w:rPr>
        <w:t>in the context of</w:t>
      </w:r>
      <w:r w:rsidR="00593548" w:rsidRPr="00D24BA5">
        <w:rPr>
          <w:rFonts w:asciiTheme="minorHAnsi" w:hAnsiTheme="minorHAnsi"/>
          <w:sz w:val="24"/>
        </w:rPr>
        <w:t xml:space="preserve"> </w:t>
      </w:r>
      <w:r w:rsidR="00A35598" w:rsidRPr="00D24BA5">
        <w:rPr>
          <w:rFonts w:asciiTheme="minorHAnsi" w:hAnsiTheme="minorHAnsi"/>
          <w:sz w:val="24"/>
        </w:rPr>
        <w:t xml:space="preserve">concerns about </w:t>
      </w:r>
      <w:r w:rsidRPr="00D24BA5">
        <w:rPr>
          <w:rFonts w:asciiTheme="minorHAnsi" w:hAnsiTheme="minorHAnsi"/>
          <w:sz w:val="24"/>
        </w:rPr>
        <w:t>the safety</w:t>
      </w:r>
      <w:r w:rsidR="00A35598" w:rsidRPr="00D24BA5">
        <w:rPr>
          <w:sz w:val="24"/>
        </w:rPr>
        <w:t xml:space="preserve"> </w:t>
      </w:r>
      <w:r w:rsidR="00A35598" w:rsidRPr="00D24BA5">
        <w:rPr>
          <w:rFonts w:asciiTheme="minorHAnsi" w:hAnsiTheme="minorHAnsi"/>
          <w:sz w:val="24"/>
        </w:rPr>
        <w:t xml:space="preserve">profile of baricitinib, particularly in relation to serious adverse events. </w:t>
      </w:r>
      <w:r w:rsidRPr="00D24BA5">
        <w:rPr>
          <w:rFonts w:asciiTheme="minorHAnsi" w:hAnsiTheme="minorHAnsi"/>
          <w:sz w:val="24"/>
        </w:rPr>
        <w:t xml:space="preserve"> </w:t>
      </w:r>
      <w:r w:rsidR="00A35598" w:rsidRPr="00D24BA5">
        <w:rPr>
          <w:rFonts w:asciiTheme="minorHAnsi" w:hAnsiTheme="minorHAnsi"/>
          <w:sz w:val="24"/>
        </w:rPr>
        <w:t>The Committee considered the outcomes of the TGA’s evaluation of safety were germane to the PBAC deliberations.</w:t>
      </w:r>
    </w:p>
    <w:p w:rsidR="000E00B8" w:rsidRPr="00A35598" w:rsidRDefault="000E00B8" w:rsidP="006534F2">
      <w:pPr>
        <w:pStyle w:val="ListParagraph"/>
        <w:widowControl/>
        <w:numPr>
          <w:ilvl w:val="1"/>
          <w:numId w:val="14"/>
        </w:numPr>
        <w:spacing w:after="120"/>
        <w:contextualSpacing w:val="0"/>
        <w:rPr>
          <w:rFonts w:asciiTheme="minorHAnsi" w:hAnsiTheme="minorHAnsi"/>
          <w:sz w:val="24"/>
          <w:szCs w:val="24"/>
        </w:rPr>
      </w:pPr>
      <w:r w:rsidRPr="00A35598">
        <w:rPr>
          <w:rFonts w:asciiTheme="minorHAnsi" w:hAnsiTheme="minorHAnsi"/>
          <w:sz w:val="24"/>
          <w:szCs w:val="24"/>
        </w:rPr>
        <w:t xml:space="preserve">The PBAC noted that this submission is </w:t>
      </w:r>
      <w:r w:rsidR="0030575F" w:rsidRPr="00A35598">
        <w:rPr>
          <w:rFonts w:asciiTheme="minorHAnsi" w:hAnsiTheme="minorHAnsi"/>
          <w:sz w:val="24"/>
          <w:szCs w:val="24"/>
        </w:rPr>
        <w:t xml:space="preserve">not </w:t>
      </w:r>
      <w:r w:rsidRPr="00A35598">
        <w:rPr>
          <w:rFonts w:asciiTheme="minorHAnsi" w:hAnsiTheme="minorHAnsi"/>
          <w:sz w:val="24"/>
          <w:szCs w:val="24"/>
        </w:rPr>
        <w:t>eligible for an Independent Review</w:t>
      </w:r>
      <w:r w:rsidR="0026397B" w:rsidRPr="00A35598">
        <w:rPr>
          <w:rFonts w:asciiTheme="minorHAnsi" w:hAnsiTheme="minorHAnsi"/>
          <w:sz w:val="24"/>
          <w:szCs w:val="24"/>
        </w:rPr>
        <w:t xml:space="preserve"> as it has been deferred</w:t>
      </w:r>
      <w:r w:rsidRPr="00A35598">
        <w:rPr>
          <w:rFonts w:asciiTheme="minorHAnsi" w:hAnsiTheme="minorHAnsi"/>
          <w:sz w:val="24"/>
          <w:szCs w:val="24"/>
        </w:rPr>
        <w:t>.</w:t>
      </w:r>
    </w:p>
    <w:p w:rsidR="003B63B6" w:rsidRPr="00A35598" w:rsidRDefault="003B63B6" w:rsidP="00400FD7">
      <w:pPr>
        <w:spacing w:after="120"/>
        <w:rPr>
          <w:rFonts w:asciiTheme="minorHAnsi" w:hAnsiTheme="minorHAnsi"/>
        </w:rPr>
      </w:pPr>
    </w:p>
    <w:p w:rsidR="000E00B8" w:rsidRPr="00A35598" w:rsidRDefault="000E00B8" w:rsidP="00400FD7">
      <w:pPr>
        <w:spacing w:after="120"/>
        <w:rPr>
          <w:rFonts w:asciiTheme="minorHAnsi" w:hAnsiTheme="minorHAnsi"/>
        </w:rPr>
      </w:pPr>
      <w:r w:rsidRPr="00A35598">
        <w:rPr>
          <w:rFonts w:asciiTheme="minorHAnsi" w:hAnsiTheme="minorHAnsi"/>
          <w:b/>
        </w:rPr>
        <w:t>Outcome:</w:t>
      </w:r>
    </w:p>
    <w:p w:rsidR="00926F9D" w:rsidRDefault="0030575F" w:rsidP="003A7398">
      <w:pPr>
        <w:spacing w:after="120"/>
        <w:rPr>
          <w:rFonts w:asciiTheme="minorHAnsi" w:hAnsiTheme="minorHAnsi"/>
        </w:rPr>
      </w:pPr>
      <w:r w:rsidRPr="00A35598">
        <w:rPr>
          <w:rFonts w:asciiTheme="minorHAnsi" w:hAnsiTheme="minorHAnsi"/>
        </w:rPr>
        <w:t>Deferred</w:t>
      </w:r>
    </w:p>
    <w:p w:rsidR="00926F9D" w:rsidRPr="00D24BA5" w:rsidRDefault="00926F9D" w:rsidP="00926F9D">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Pr>
          <w:rFonts w:asciiTheme="minorHAnsi" w:hAnsiTheme="minorHAnsi"/>
          <w:sz w:val="32"/>
          <w:szCs w:val="32"/>
        </w:rPr>
        <w:t>Context for Decision</w:t>
      </w:r>
    </w:p>
    <w:p w:rsidR="00926F9D" w:rsidRPr="00D24BA5" w:rsidRDefault="00926F9D" w:rsidP="00D24BA5">
      <w:pPr>
        <w:spacing w:after="120"/>
        <w:rPr>
          <w:rFonts w:asciiTheme="minorHAnsi" w:hAnsiTheme="minorHAnsi"/>
        </w:rPr>
      </w:pPr>
      <w:r w:rsidRPr="00D24BA5">
        <w:rPr>
          <w:rFonts w:ascii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1B0483" w:rsidRPr="00E41052" w:rsidRDefault="00926F9D" w:rsidP="00E41052">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Pr>
          <w:rFonts w:asciiTheme="minorHAnsi" w:hAnsiTheme="minorHAnsi"/>
          <w:sz w:val="32"/>
          <w:szCs w:val="32"/>
        </w:rPr>
        <w:t>Sponsor’s Comment</w:t>
      </w:r>
    </w:p>
    <w:p w:rsidR="001B0483" w:rsidRPr="00D24BA5" w:rsidRDefault="001B0483" w:rsidP="00D24BA5">
      <w:pPr>
        <w:jc w:val="both"/>
        <w:rPr>
          <w:rFonts w:asciiTheme="minorHAnsi" w:hAnsiTheme="minorHAnsi" w:cs="Arial"/>
          <w:snapToGrid w:val="0"/>
          <w:szCs w:val="20"/>
          <w:lang w:eastAsia="en-US"/>
        </w:rPr>
      </w:pPr>
      <w:r w:rsidRPr="00D24BA5">
        <w:rPr>
          <w:rFonts w:asciiTheme="minorHAnsi" w:hAnsiTheme="minorHAnsi" w:cs="Arial"/>
          <w:snapToGrid w:val="0"/>
          <w:szCs w:val="20"/>
          <w:lang w:eastAsia="en-US"/>
        </w:rPr>
        <w:t>The sponsor had no comment.</w:t>
      </w:r>
    </w:p>
    <w:p w:rsidR="00926F9D" w:rsidRPr="00926F9D" w:rsidRDefault="00926F9D" w:rsidP="00926F9D">
      <w:pPr>
        <w:rPr>
          <w:lang w:eastAsia="en-US"/>
        </w:rPr>
      </w:pPr>
    </w:p>
    <w:p w:rsidR="00926F9D" w:rsidRPr="003A7398" w:rsidRDefault="00926F9D" w:rsidP="003A7398">
      <w:pPr>
        <w:spacing w:after="120"/>
        <w:rPr>
          <w:rFonts w:asciiTheme="minorHAnsi" w:hAnsiTheme="minorHAnsi"/>
        </w:rPr>
      </w:pPr>
    </w:p>
    <w:sectPr w:rsidR="00926F9D" w:rsidRPr="003A7398" w:rsidSect="00B8064C">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09"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E5C" w:rsidRDefault="00575E5C">
      <w:r>
        <w:separator/>
      </w:r>
    </w:p>
    <w:p w:rsidR="00575E5C" w:rsidRDefault="00575E5C"/>
  </w:endnote>
  <w:endnote w:type="continuationSeparator" w:id="0">
    <w:p w:rsidR="00575E5C" w:rsidRDefault="00575E5C">
      <w:r>
        <w:continuationSeparator/>
      </w:r>
    </w:p>
    <w:p w:rsidR="00575E5C" w:rsidRDefault="00575E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roman"/>
    <w:notTrueType/>
    <w:pitch w:val="default"/>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80475" w:rsidTr="005A3173">
      <w:trPr>
        <w:trHeight w:val="151"/>
      </w:trPr>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80475" w:rsidRPr="005A3173" w:rsidRDefault="00F8047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r>
    <w:tr w:rsidR="00F80475" w:rsidTr="005A3173">
      <w:trPr>
        <w:trHeight w:val="150"/>
      </w:trPr>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0" w:type="auto"/>
          <w:vMerge/>
          <w:vAlign w:val="center"/>
          <w:hideMark/>
        </w:tcPr>
        <w:p w:rsidR="00F80475" w:rsidRPr="005A3173" w:rsidRDefault="00F80475" w:rsidP="005A3173">
          <w:pPr>
            <w:rPr>
              <w:rFonts w:ascii="Calibri" w:hAnsi="Calibri"/>
              <w:color w:val="365F91"/>
              <w:sz w:val="22"/>
              <w:szCs w:val="22"/>
            </w:rPr>
          </w:pPr>
        </w:p>
      </w:tc>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r>
  </w:tbl>
  <w:p w:rsidR="00F80475" w:rsidRDefault="00F80475"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80475" w:rsidRDefault="00F80475">
    <w:pPr>
      <w:pStyle w:val="Footer"/>
    </w:pPr>
  </w:p>
  <w:p w:rsidR="00F80475" w:rsidRDefault="00F8047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3464791"/>
      <w:docPartObj>
        <w:docPartGallery w:val="Page Numbers (Bottom of Page)"/>
        <w:docPartUnique/>
      </w:docPartObj>
    </w:sdtPr>
    <w:sdtEndPr>
      <w:rPr>
        <w:noProof/>
      </w:rPr>
    </w:sdtEndPr>
    <w:sdtContent>
      <w:p w:rsidR="00F80475" w:rsidRPr="003A7398" w:rsidRDefault="006C2036" w:rsidP="003A7398">
        <w:pPr>
          <w:pStyle w:val="Footer"/>
          <w:jc w:val="center"/>
        </w:pPr>
        <w:r w:rsidRPr="003A7398">
          <w:rPr>
            <w:rFonts w:asciiTheme="minorHAnsi" w:hAnsiTheme="minorHAnsi"/>
          </w:rPr>
          <w:fldChar w:fldCharType="begin"/>
        </w:r>
        <w:r w:rsidRPr="003A7398">
          <w:rPr>
            <w:rFonts w:asciiTheme="minorHAnsi" w:hAnsiTheme="minorHAnsi"/>
          </w:rPr>
          <w:instrText xml:space="preserve"> PAGE   \* MERGEFORMAT </w:instrText>
        </w:r>
        <w:r w:rsidRPr="003A7398">
          <w:rPr>
            <w:rFonts w:asciiTheme="minorHAnsi" w:hAnsiTheme="minorHAnsi"/>
          </w:rPr>
          <w:fldChar w:fldCharType="separate"/>
        </w:r>
        <w:r w:rsidR="00575E5C">
          <w:rPr>
            <w:rFonts w:asciiTheme="minorHAnsi" w:hAnsiTheme="minorHAnsi"/>
            <w:noProof/>
          </w:rPr>
          <w:t>1</w:t>
        </w:r>
        <w:r w:rsidRPr="003A7398">
          <w:rPr>
            <w:rFonts w:asciiTheme="minorHAnsi" w:hAnsiTheme="minorHAnsi"/>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F80475" w:rsidTr="005A3173">
      <w:trPr>
        <w:trHeight w:val="151"/>
      </w:trPr>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80475" w:rsidRPr="005A3173" w:rsidRDefault="00F8047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r>
    <w:tr w:rsidR="00F80475" w:rsidTr="005A3173">
      <w:trPr>
        <w:trHeight w:val="150"/>
      </w:trPr>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0" w:type="auto"/>
          <w:vMerge/>
          <w:vAlign w:val="center"/>
          <w:hideMark/>
        </w:tcPr>
        <w:p w:rsidR="00F80475" w:rsidRPr="005A3173" w:rsidRDefault="00F80475" w:rsidP="005A3173">
          <w:pPr>
            <w:rPr>
              <w:rFonts w:ascii="Calibri" w:hAnsi="Calibri"/>
              <w:color w:val="365F91"/>
              <w:sz w:val="22"/>
              <w:szCs w:val="22"/>
            </w:rPr>
          </w:pPr>
        </w:p>
      </w:tc>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80475" w:rsidTr="005A3173">
      <w:trPr>
        <w:trHeight w:val="151"/>
      </w:trPr>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80475" w:rsidRPr="005A3173" w:rsidRDefault="00F8047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r>
    <w:tr w:rsidR="00F80475" w:rsidTr="005A3173">
      <w:trPr>
        <w:trHeight w:val="150"/>
      </w:trPr>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0" w:type="auto"/>
          <w:vMerge/>
          <w:vAlign w:val="center"/>
          <w:hideMark/>
        </w:tcPr>
        <w:p w:rsidR="00F80475" w:rsidRPr="005A3173" w:rsidRDefault="00F80475" w:rsidP="005A3173">
          <w:pPr>
            <w:rPr>
              <w:rFonts w:ascii="Calibri" w:hAnsi="Calibri"/>
              <w:color w:val="365F91"/>
              <w:sz w:val="22"/>
              <w:szCs w:val="22"/>
            </w:rPr>
          </w:pPr>
        </w:p>
      </w:tc>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r>
  </w:tbl>
  <w:p w:rsidR="00F80475" w:rsidRPr="007C0F57" w:rsidRDefault="00F80475"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F80475" w:rsidRPr="007C0F57" w:rsidRDefault="00F80475" w:rsidP="007C0F57">
    <w:pPr>
      <w:pStyle w:val="Footer"/>
      <w:jc w:val="center"/>
      <w:rPr>
        <w:b/>
        <w:i/>
        <w:sz w:val="20"/>
        <w:szCs w:val="20"/>
      </w:rPr>
    </w:pPr>
    <w:r w:rsidRPr="007C0F57">
      <w:rPr>
        <w:b/>
        <w:i/>
        <w:sz w:val="20"/>
        <w:szCs w:val="20"/>
      </w:rPr>
      <w:t>Commercial-in-Confidence</w:t>
    </w:r>
  </w:p>
  <w:p w:rsidR="00F80475" w:rsidRDefault="00F8047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E5C" w:rsidRDefault="00575E5C">
      <w:r>
        <w:separator/>
      </w:r>
    </w:p>
    <w:p w:rsidR="00575E5C" w:rsidRDefault="00575E5C"/>
  </w:footnote>
  <w:footnote w:type="continuationSeparator" w:id="0">
    <w:p w:rsidR="00575E5C" w:rsidRDefault="00575E5C">
      <w:r>
        <w:continuationSeparator/>
      </w:r>
    </w:p>
    <w:p w:rsidR="00575E5C" w:rsidRDefault="00575E5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F80475" w:rsidRPr="008E0D90" w:rsidTr="00A06225">
      <w:trPr>
        <w:trHeight w:val="151"/>
      </w:trPr>
      <w:tc>
        <w:tcPr>
          <w:tcW w:w="2389" w:type="pct"/>
          <w:tcBorders>
            <w:top w:val="nil"/>
            <w:left w:val="nil"/>
            <w:bottom w:val="single" w:sz="4" w:space="0" w:color="4F81BD"/>
            <w:right w:val="nil"/>
          </w:tcBorders>
        </w:tcPr>
        <w:p w:rsidR="00F80475" w:rsidRPr="00A06225" w:rsidRDefault="00F80475">
          <w:pPr>
            <w:pStyle w:val="Header"/>
            <w:spacing w:line="276" w:lineRule="auto"/>
            <w:rPr>
              <w:rFonts w:ascii="Cambria" w:eastAsia="MS Gothic" w:hAnsi="Cambria"/>
              <w:b/>
              <w:bCs/>
              <w:color w:val="4F81BD"/>
            </w:rPr>
          </w:pPr>
        </w:p>
      </w:tc>
      <w:tc>
        <w:tcPr>
          <w:tcW w:w="333" w:type="pct"/>
          <w:vMerge w:val="restart"/>
          <w:noWrap/>
          <w:vAlign w:val="center"/>
          <w:hideMark/>
        </w:tcPr>
        <w:p w:rsidR="00F80475" w:rsidRPr="00A06225" w:rsidRDefault="00F80475"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F80475" w:rsidRPr="00A06225" w:rsidRDefault="00F80475">
          <w:pPr>
            <w:pStyle w:val="Header"/>
            <w:spacing w:line="276" w:lineRule="auto"/>
            <w:rPr>
              <w:rFonts w:ascii="Cambria" w:eastAsia="MS Gothic" w:hAnsi="Cambria"/>
              <w:b/>
              <w:bCs/>
              <w:color w:val="4F81BD"/>
            </w:rPr>
          </w:pPr>
        </w:p>
      </w:tc>
    </w:tr>
    <w:tr w:rsidR="00F80475" w:rsidRPr="008E0D90" w:rsidTr="00A06225">
      <w:trPr>
        <w:trHeight w:val="150"/>
      </w:trPr>
      <w:tc>
        <w:tcPr>
          <w:tcW w:w="2389" w:type="pct"/>
          <w:tcBorders>
            <w:top w:val="single" w:sz="4" w:space="0" w:color="4F81BD"/>
            <w:left w:val="nil"/>
            <w:bottom w:val="nil"/>
            <w:right w:val="nil"/>
          </w:tcBorders>
        </w:tcPr>
        <w:p w:rsidR="00F80475" w:rsidRPr="00A06225" w:rsidRDefault="00F80475">
          <w:pPr>
            <w:pStyle w:val="Header"/>
            <w:spacing w:line="276" w:lineRule="auto"/>
            <w:rPr>
              <w:rFonts w:ascii="Cambria" w:eastAsia="MS Gothic" w:hAnsi="Cambria"/>
              <w:b/>
              <w:bCs/>
              <w:color w:val="4F81BD"/>
            </w:rPr>
          </w:pPr>
        </w:p>
      </w:tc>
      <w:tc>
        <w:tcPr>
          <w:tcW w:w="0" w:type="auto"/>
          <w:vMerge/>
          <w:vAlign w:val="center"/>
          <w:hideMark/>
        </w:tcPr>
        <w:p w:rsidR="00F80475" w:rsidRPr="00A06225" w:rsidRDefault="00F80475">
          <w:pPr>
            <w:rPr>
              <w:rFonts w:ascii="Cambria" w:hAnsi="Cambria"/>
              <w:color w:val="4F81BD"/>
              <w:sz w:val="22"/>
              <w:szCs w:val="22"/>
            </w:rPr>
          </w:pPr>
        </w:p>
      </w:tc>
      <w:tc>
        <w:tcPr>
          <w:tcW w:w="2278" w:type="pct"/>
          <w:tcBorders>
            <w:top w:val="single" w:sz="4" w:space="0" w:color="4F81BD"/>
            <w:left w:val="nil"/>
            <w:bottom w:val="nil"/>
            <w:right w:val="nil"/>
          </w:tcBorders>
        </w:tcPr>
        <w:p w:rsidR="00F80475" w:rsidRPr="00A06225" w:rsidRDefault="00F80475">
          <w:pPr>
            <w:pStyle w:val="Header"/>
            <w:spacing w:line="276" w:lineRule="auto"/>
            <w:rPr>
              <w:rFonts w:ascii="Cambria" w:eastAsia="MS Gothic" w:hAnsi="Cambria"/>
              <w:b/>
              <w:bCs/>
              <w:color w:val="4F81BD"/>
            </w:rPr>
          </w:pPr>
        </w:p>
      </w:tc>
    </w:tr>
  </w:tbl>
  <w:p w:rsidR="00F80475" w:rsidRDefault="00F80475">
    <w:pPr>
      <w:pStyle w:val="Header"/>
    </w:pPr>
  </w:p>
  <w:p w:rsidR="00F80475" w:rsidRDefault="00F8047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475" w:rsidRDefault="00926F9D" w:rsidP="006C2036">
    <w:pPr>
      <w:pStyle w:val="Header"/>
      <w:jc w:val="center"/>
      <w:rPr>
        <w:rFonts w:asciiTheme="minorHAnsi" w:hAnsiTheme="minorHAnsi" w:cs="Arial"/>
        <w:i/>
      </w:rPr>
    </w:pPr>
    <w:r>
      <w:rPr>
        <w:rFonts w:asciiTheme="minorHAnsi" w:hAnsiTheme="minorHAnsi" w:cs="Arial"/>
        <w:i/>
      </w:rPr>
      <w:t>Public Summary Document</w:t>
    </w:r>
    <w:r w:rsidR="006C2036">
      <w:rPr>
        <w:rFonts w:asciiTheme="minorHAnsi" w:hAnsiTheme="minorHAnsi" w:cs="Arial"/>
        <w:i/>
      </w:rPr>
      <w:t xml:space="preserve"> – November 2017 PBAC Meeting</w:t>
    </w:r>
  </w:p>
  <w:p w:rsidR="006C2036" w:rsidRPr="006C2036" w:rsidRDefault="006C2036" w:rsidP="006C2036">
    <w:pPr>
      <w:pStyle w:val="Header"/>
      <w:jc w:val="center"/>
      <w:rPr>
        <w:rFonts w:asciiTheme="minorHAnsi" w:hAnsiTheme="minorHAnsi" w:cs="Arial"/>
        <w:i/>
        <w:noProof/>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E5C" w:rsidRDefault="00575E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3">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5">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7">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784D033C"/>
    <w:multiLevelType w:val="multilevel"/>
    <w:tmpl w:val="20E8AC4E"/>
    <w:lvl w:ilvl="0">
      <w:start w:val="1"/>
      <w:numFmt w:val="decimal"/>
      <w:pStyle w:val="PBACHeading1"/>
      <w:lvlText w:val="%1"/>
      <w:lvlJc w:val="left"/>
      <w:pPr>
        <w:ind w:left="3556" w:hanging="720"/>
      </w:pPr>
      <w:rPr>
        <w:rFonts w:hint="default"/>
        <w:b/>
      </w:rPr>
    </w:lvl>
    <w:lvl w:ilvl="1">
      <w:start w:val="1"/>
      <w:numFmt w:val="decimal"/>
      <w:lvlText w:val="%1.%2"/>
      <w:lvlJc w:val="left"/>
      <w:pPr>
        <w:ind w:left="720" w:hanging="720"/>
      </w:pPr>
      <w:rPr>
        <w:rFonts w:asciiTheme="minorHAnsi" w:hAnsiTheme="minorHAnsi" w:hint="default"/>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2"/>
  </w:num>
  <w:num w:numId="3">
    <w:abstractNumId w:val="4"/>
  </w:num>
  <w:num w:numId="4">
    <w:abstractNumId w:val="11"/>
  </w:num>
  <w:num w:numId="5">
    <w:abstractNumId w:val="12"/>
  </w:num>
  <w:num w:numId="6">
    <w:abstractNumId w:val="5"/>
  </w:num>
  <w:num w:numId="7">
    <w:abstractNumId w:val="10"/>
  </w:num>
  <w:num w:numId="8">
    <w:abstractNumId w:val="3"/>
  </w:num>
  <w:num w:numId="9">
    <w:abstractNumId w:val="9"/>
  </w:num>
  <w:num w:numId="10">
    <w:abstractNumId w:val="8"/>
  </w:num>
  <w:num w:numId="11">
    <w:abstractNumId w:val="7"/>
  </w:num>
  <w:num w:numId="12">
    <w:abstractNumId w:val="1"/>
  </w:num>
  <w:num w:numId="13">
    <w:abstractNumId w:val="0"/>
  </w:num>
  <w:num w:numId="1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335D"/>
    <w:rsid w:val="000233CF"/>
    <w:rsid w:val="0002464A"/>
    <w:rsid w:val="0003106B"/>
    <w:rsid w:val="000421A1"/>
    <w:rsid w:val="0004240E"/>
    <w:rsid w:val="00045E26"/>
    <w:rsid w:val="00047324"/>
    <w:rsid w:val="000514B5"/>
    <w:rsid w:val="00060E64"/>
    <w:rsid w:val="00066755"/>
    <w:rsid w:val="00077143"/>
    <w:rsid w:val="00082169"/>
    <w:rsid w:val="000969AD"/>
    <w:rsid w:val="000B558D"/>
    <w:rsid w:val="000C6996"/>
    <w:rsid w:val="000D23BA"/>
    <w:rsid w:val="000E00B8"/>
    <w:rsid w:val="000E681E"/>
    <w:rsid w:val="000F0003"/>
    <w:rsid w:val="000F4E6A"/>
    <w:rsid w:val="00104227"/>
    <w:rsid w:val="001065BD"/>
    <w:rsid w:val="001107BF"/>
    <w:rsid w:val="0012417C"/>
    <w:rsid w:val="00142395"/>
    <w:rsid w:val="00142714"/>
    <w:rsid w:val="001452ED"/>
    <w:rsid w:val="00163329"/>
    <w:rsid w:val="00164623"/>
    <w:rsid w:val="00165B64"/>
    <w:rsid w:val="00176EA1"/>
    <w:rsid w:val="001830CE"/>
    <w:rsid w:val="0018643B"/>
    <w:rsid w:val="00196307"/>
    <w:rsid w:val="001A33EA"/>
    <w:rsid w:val="001B017F"/>
    <w:rsid w:val="001B0483"/>
    <w:rsid w:val="001B2BBC"/>
    <w:rsid w:val="001B5129"/>
    <w:rsid w:val="001C1195"/>
    <w:rsid w:val="001E1260"/>
    <w:rsid w:val="001F1850"/>
    <w:rsid w:val="001F62E9"/>
    <w:rsid w:val="00200247"/>
    <w:rsid w:val="00203FAC"/>
    <w:rsid w:val="00213CFB"/>
    <w:rsid w:val="00217BE1"/>
    <w:rsid w:val="00245200"/>
    <w:rsid w:val="0026397B"/>
    <w:rsid w:val="00271BA1"/>
    <w:rsid w:val="00272572"/>
    <w:rsid w:val="002762FA"/>
    <w:rsid w:val="00277505"/>
    <w:rsid w:val="0029458F"/>
    <w:rsid w:val="002A104C"/>
    <w:rsid w:val="002A4960"/>
    <w:rsid w:val="002B1AE6"/>
    <w:rsid w:val="002B2DE8"/>
    <w:rsid w:val="002B30F8"/>
    <w:rsid w:val="002B5596"/>
    <w:rsid w:val="002C0E3B"/>
    <w:rsid w:val="002C2067"/>
    <w:rsid w:val="002C212F"/>
    <w:rsid w:val="002D4543"/>
    <w:rsid w:val="002E3153"/>
    <w:rsid w:val="002E72CA"/>
    <w:rsid w:val="00300AD6"/>
    <w:rsid w:val="00304BAB"/>
    <w:rsid w:val="0030575F"/>
    <w:rsid w:val="00317C6C"/>
    <w:rsid w:val="00326E79"/>
    <w:rsid w:val="0033518A"/>
    <w:rsid w:val="003367EF"/>
    <w:rsid w:val="00341AE4"/>
    <w:rsid w:val="00347050"/>
    <w:rsid w:val="00375E2C"/>
    <w:rsid w:val="003872CF"/>
    <w:rsid w:val="00395A72"/>
    <w:rsid w:val="0039782C"/>
    <w:rsid w:val="00397FB0"/>
    <w:rsid w:val="003A1891"/>
    <w:rsid w:val="003A5B4A"/>
    <w:rsid w:val="003A5EAB"/>
    <w:rsid w:val="003A7398"/>
    <w:rsid w:val="003A7C76"/>
    <w:rsid w:val="003B23C5"/>
    <w:rsid w:val="003B26E3"/>
    <w:rsid w:val="003B2A75"/>
    <w:rsid w:val="003B5F47"/>
    <w:rsid w:val="003B6124"/>
    <w:rsid w:val="003B63B6"/>
    <w:rsid w:val="003C2FB5"/>
    <w:rsid w:val="003C7B40"/>
    <w:rsid w:val="003D4AC4"/>
    <w:rsid w:val="003D63B7"/>
    <w:rsid w:val="003E468B"/>
    <w:rsid w:val="003F3228"/>
    <w:rsid w:val="003F5C8C"/>
    <w:rsid w:val="00400FD7"/>
    <w:rsid w:val="00423DA9"/>
    <w:rsid w:val="004252EC"/>
    <w:rsid w:val="004465BD"/>
    <w:rsid w:val="00454B33"/>
    <w:rsid w:val="00466ADA"/>
    <w:rsid w:val="00472713"/>
    <w:rsid w:val="00476245"/>
    <w:rsid w:val="00483035"/>
    <w:rsid w:val="00485940"/>
    <w:rsid w:val="004A2484"/>
    <w:rsid w:val="004A5A85"/>
    <w:rsid w:val="004A71D1"/>
    <w:rsid w:val="004B0ECF"/>
    <w:rsid w:val="004B5640"/>
    <w:rsid w:val="004B5E51"/>
    <w:rsid w:val="004C1BD7"/>
    <w:rsid w:val="004C31FE"/>
    <w:rsid w:val="004C3EF2"/>
    <w:rsid w:val="004C691D"/>
    <w:rsid w:val="004C6C07"/>
    <w:rsid w:val="004D4E6A"/>
    <w:rsid w:val="004D69CD"/>
    <w:rsid w:val="004E692D"/>
    <w:rsid w:val="00501554"/>
    <w:rsid w:val="00514CD7"/>
    <w:rsid w:val="00525CAF"/>
    <w:rsid w:val="005319B2"/>
    <w:rsid w:val="00532402"/>
    <w:rsid w:val="00532C74"/>
    <w:rsid w:val="00534E2E"/>
    <w:rsid w:val="00544552"/>
    <w:rsid w:val="00552F55"/>
    <w:rsid w:val="00575E5C"/>
    <w:rsid w:val="00577C4D"/>
    <w:rsid w:val="00581932"/>
    <w:rsid w:val="0058505D"/>
    <w:rsid w:val="00590F7F"/>
    <w:rsid w:val="00593548"/>
    <w:rsid w:val="005963BB"/>
    <w:rsid w:val="005A3173"/>
    <w:rsid w:val="005A3223"/>
    <w:rsid w:val="005A3DA3"/>
    <w:rsid w:val="005A524E"/>
    <w:rsid w:val="005A52C4"/>
    <w:rsid w:val="005D03AB"/>
    <w:rsid w:val="005D5017"/>
    <w:rsid w:val="005E1333"/>
    <w:rsid w:val="00601A91"/>
    <w:rsid w:val="00602BA3"/>
    <w:rsid w:val="00612E34"/>
    <w:rsid w:val="00614159"/>
    <w:rsid w:val="00614B5A"/>
    <w:rsid w:val="00617C00"/>
    <w:rsid w:val="006263BF"/>
    <w:rsid w:val="0062748A"/>
    <w:rsid w:val="00630A2C"/>
    <w:rsid w:val="00634AC4"/>
    <w:rsid w:val="0063682E"/>
    <w:rsid w:val="006436CD"/>
    <w:rsid w:val="00651169"/>
    <w:rsid w:val="006534F2"/>
    <w:rsid w:val="00653D69"/>
    <w:rsid w:val="006670BE"/>
    <w:rsid w:val="006678F0"/>
    <w:rsid w:val="00670A76"/>
    <w:rsid w:val="006711AA"/>
    <w:rsid w:val="00672B57"/>
    <w:rsid w:val="00675622"/>
    <w:rsid w:val="006906DB"/>
    <w:rsid w:val="0069136C"/>
    <w:rsid w:val="00691E6C"/>
    <w:rsid w:val="0069419C"/>
    <w:rsid w:val="00696129"/>
    <w:rsid w:val="00697CF2"/>
    <w:rsid w:val="006A12A5"/>
    <w:rsid w:val="006B0D94"/>
    <w:rsid w:val="006B485D"/>
    <w:rsid w:val="006C2036"/>
    <w:rsid w:val="006C708E"/>
    <w:rsid w:val="006D592B"/>
    <w:rsid w:val="006D6EC7"/>
    <w:rsid w:val="006F5125"/>
    <w:rsid w:val="00702B6F"/>
    <w:rsid w:val="0071340B"/>
    <w:rsid w:val="007174BB"/>
    <w:rsid w:val="0072025D"/>
    <w:rsid w:val="007353D3"/>
    <w:rsid w:val="007518AD"/>
    <w:rsid w:val="0076420C"/>
    <w:rsid w:val="007753C2"/>
    <w:rsid w:val="007838B8"/>
    <w:rsid w:val="007C0F57"/>
    <w:rsid w:val="007C40B6"/>
    <w:rsid w:val="007C729F"/>
    <w:rsid w:val="007D16F1"/>
    <w:rsid w:val="007D6CA5"/>
    <w:rsid w:val="007E1D28"/>
    <w:rsid w:val="007F2641"/>
    <w:rsid w:val="007F7C36"/>
    <w:rsid w:val="0080271F"/>
    <w:rsid w:val="00806796"/>
    <w:rsid w:val="0080786F"/>
    <w:rsid w:val="008151D6"/>
    <w:rsid w:val="00826F6D"/>
    <w:rsid w:val="008306F3"/>
    <w:rsid w:val="00856DDD"/>
    <w:rsid w:val="00863E68"/>
    <w:rsid w:val="00875CAC"/>
    <w:rsid w:val="00882085"/>
    <w:rsid w:val="00883188"/>
    <w:rsid w:val="00883E64"/>
    <w:rsid w:val="00885153"/>
    <w:rsid w:val="00893B24"/>
    <w:rsid w:val="0089400C"/>
    <w:rsid w:val="00897D58"/>
    <w:rsid w:val="00897F22"/>
    <w:rsid w:val="008A1956"/>
    <w:rsid w:val="008A4937"/>
    <w:rsid w:val="008A50F1"/>
    <w:rsid w:val="008D1B5C"/>
    <w:rsid w:val="008D3C82"/>
    <w:rsid w:val="008D447E"/>
    <w:rsid w:val="008D7A41"/>
    <w:rsid w:val="008E3680"/>
    <w:rsid w:val="008E5870"/>
    <w:rsid w:val="008F1434"/>
    <w:rsid w:val="008F7355"/>
    <w:rsid w:val="0090288E"/>
    <w:rsid w:val="00904FC0"/>
    <w:rsid w:val="009067B7"/>
    <w:rsid w:val="00916264"/>
    <w:rsid w:val="00926F9D"/>
    <w:rsid w:val="00930937"/>
    <w:rsid w:val="00932408"/>
    <w:rsid w:val="00933E6C"/>
    <w:rsid w:val="00937958"/>
    <w:rsid w:val="00942160"/>
    <w:rsid w:val="00943294"/>
    <w:rsid w:val="0095146F"/>
    <w:rsid w:val="009602C5"/>
    <w:rsid w:val="00962223"/>
    <w:rsid w:val="00966D0D"/>
    <w:rsid w:val="00974C21"/>
    <w:rsid w:val="009B0F67"/>
    <w:rsid w:val="009C703C"/>
    <w:rsid w:val="009D2709"/>
    <w:rsid w:val="009D3CAA"/>
    <w:rsid w:val="009F4E46"/>
    <w:rsid w:val="009F5B65"/>
    <w:rsid w:val="009F5F2E"/>
    <w:rsid w:val="00A06225"/>
    <w:rsid w:val="00A11A22"/>
    <w:rsid w:val="00A128E6"/>
    <w:rsid w:val="00A2043D"/>
    <w:rsid w:val="00A34E6C"/>
    <w:rsid w:val="00A35598"/>
    <w:rsid w:val="00A35992"/>
    <w:rsid w:val="00A37C8D"/>
    <w:rsid w:val="00A5273B"/>
    <w:rsid w:val="00A53A9D"/>
    <w:rsid w:val="00A55FEE"/>
    <w:rsid w:val="00A62C1A"/>
    <w:rsid w:val="00A6426D"/>
    <w:rsid w:val="00A665C1"/>
    <w:rsid w:val="00A70622"/>
    <w:rsid w:val="00A70977"/>
    <w:rsid w:val="00A77613"/>
    <w:rsid w:val="00A8390C"/>
    <w:rsid w:val="00A928BD"/>
    <w:rsid w:val="00AA0A04"/>
    <w:rsid w:val="00AA4D1C"/>
    <w:rsid w:val="00AA7CE0"/>
    <w:rsid w:val="00AC193C"/>
    <w:rsid w:val="00AC5206"/>
    <w:rsid w:val="00AE11A5"/>
    <w:rsid w:val="00AE13E2"/>
    <w:rsid w:val="00AE22D3"/>
    <w:rsid w:val="00AF62DF"/>
    <w:rsid w:val="00AF68CC"/>
    <w:rsid w:val="00B06B46"/>
    <w:rsid w:val="00B1059E"/>
    <w:rsid w:val="00B176C8"/>
    <w:rsid w:val="00B205AA"/>
    <w:rsid w:val="00B22E84"/>
    <w:rsid w:val="00B25F75"/>
    <w:rsid w:val="00B26B3F"/>
    <w:rsid w:val="00B43E90"/>
    <w:rsid w:val="00B467DC"/>
    <w:rsid w:val="00B56118"/>
    <w:rsid w:val="00B62080"/>
    <w:rsid w:val="00B6773F"/>
    <w:rsid w:val="00B73C05"/>
    <w:rsid w:val="00B801BA"/>
    <w:rsid w:val="00B8064C"/>
    <w:rsid w:val="00B84D5C"/>
    <w:rsid w:val="00BA4C38"/>
    <w:rsid w:val="00BB69F5"/>
    <w:rsid w:val="00BB7EC3"/>
    <w:rsid w:val="00BC4B9A"/>
    <w:rsid w:val="00BD450E"/>
    <w:rsid w:val="00BD784C"/>
    <w:rsid w:val="00BF4CB6"/>
    <w:rsid w:val="00C00DA7"/>
    <w:rsid w:val="00C01EE3"/>
    <w:rsid w:val="00C12768"/>
    <w:rsid w:val="00C27B58"/>
    <w:rsid w:val="00C32009"/>
    <w:rsid w:val="00C35996"/>
    <w:rsid w:val="00C4747E"/>
    <w:rsid w:val="00C5342C"/>
    <w:rsid w:val="00C603D4"/>
    <w:rsid w:val="00C6256A"/>
    <w:rsid w:val="00C62CD7"/>
    <w:rsid w:val="00C671A5"/>
    <w:rsid w:val="00C77891"/>
    <w:rsid w:val="00C91449"/>
    <w:rsid w:val="00C92D10"/>
    <w:rsid w:val="00CB674E"/>
    <w:rsid w:val="00CE10C4"/>
    <w:rsid w:val="00CE27B5"/>
    <w:rsid w:val="00D0321E"/>
    <w:rsid w:val="00D1455A"/>
    <w:rsid w:val="00D152B1"/>
    <w:rsid w:val="00D24BA5"/>
    <w:rsid w:val="00D31150"/>
    <w:rsid w:val="00D3138B"/>
    <w:rsid w:val="00D3280C"/>
    <w:rsid w:val="00D3406A"/>
    <w:rsid w:val="00D4572C"/>
    <w:rsid w:val="00D460AE"/>
    <w:rsid w:val="00D469B2"/>
    <w:rsid w:val="00D651E6"/>
    <w:rsid w:val="00D741EB"/>
    <w:rsid w:val="00D83605"/>
    <w:rsid w:val="00D84934"/>
    <w:rsid w:val="00D91271"/>
    <w:rsid w:val="00DA2CB5"/>
    <w:rsid w:val="00DA4BAC"/>
    <w:rsid w:val="00DA574C"/>
    <w:rsid w:val="00DC026C"/>
    <w:rsid w:val="00DE6D27"/>
    <w:rsid w:val="00DF217D"/>
    <w:rsid w:val="00DF26A7"/>
    <w:rsid w:val="00E15627"/>
    <w:rsid w:val="00E164B3"/>
    <w:rsid w:val="00E16910"/>
    <w:rsid w:val="00E3498D"/>
    <w:rsid w:val="00E41052"/>
    <w:rsid w:val="00E41251"/>
    <w:rsid w:val="00E41376"/>
    <w:rsid w:val="00E42BDB"/>
    <w:rsid w:val="00E550B5"/>
    <w:rsid w:val="00E57EEB"/>
    <w:rsid w:val="00E62D94"/>
    <w:rsid w:val="00E65E54"/>
    <w:rsid w:val="00E80155"/>
    <w:rsid w:val="00E848C0"/>
    <w:rsid w:val="00E91B96"/>
    <w:rsid w:val="00E941A1"/>
    <w:rsid w:val="00E95CE3"/>
    <w:rsid w:val="00EA2825"/>
    <w:rsid w:val="00EA701F"/>
    <w:rsid w:val="00EB0B63"/>
    <w:rsid w:val="00EB3307"/>
    <w:rsid w:val="00EB5088"/>
    <w:rsid w:val="00ED1644"/>
    <w:rsid w:val="00ED2583"/>
    <w:rsid w:val="00ED2593"/>
    <w:rsid w:val="00ED7D9C"/>
    <w:rsid w:val="00EF44A0"/>
    <w:rsid w:val="00EF4FED"/>
    <w:rsid w:val="00F050BD"/>
    <w:rsid w:val="00F05657"/>
    <w:rsid w:val="00F25578"/>
    <w:rsid w:val="00F258E5"/>
    <w:rsid w:val="00F300BC"/>
    <w:rsid w:val="00F30733"/>
    <w:rsid w:val="00F3334E"/>
    <w:rsid w:val="00F36CCB"/>
    <w:rsid w:val="00F374E5"/>
    <w:rsid w:val="00F43AF2"/>
    <w:rsid w:val="00F50EC4"/>
    <w:rsid w:val="00F550CF"/>
    <w:rsid w:val="00F57A6D"/>
    <w:rsid w:val="00F61E7D"/>
    <w:rsid w:val="00F638CC"/>
    <w:rsid w:val="00F64CC1"/>
    <w:rsid w:val="00F72317"/>
    <w:rsid w:val="00F80475"/>
    <w:rsid w:val="00F822ED"/>
    <w:rsid w:val="00F8247A"/>
    <w:rsid w:val="00F9629A"/>
    <w:rsid w:val="00F97EFC"/>
    <w:rsid w:val="00FA5883"/>
    <w:rsid w:val="00FA6055"/>
    <w:rsid w:val="00FB322F"/>
    <w:rsid w:val="00FB442F"/>
    <w:rsid w:val="00FC1929"/>
    <w:rsid w:val="00FC5B46"/>
    <w:rsid w:val="00FD67B6"/>
    <w:rsid w:val="00FD6D8E"/>
    <w:rsid w:val="00FD7657"/>
    <w:rsid w:val="00FE0E94"/>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14"/>
      </w:numPr>
      <w:ind w:left="720"/>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character" w:customStyle="1" w:styleId="TabletextChar">
    <w:name w:val="Table text Char"/>
    <w:link w:val="Tabletext"/>
    <w:uiPriority w:val="2"/>
    <w:rsid w:val="009D2709"/>
    <w:rPr>
      <w:rFonts w:ascii="Arial" w:hAnsi="Arial"/>
      <w:lang w:eastAsia="en-US"/>
    </w:rPr>
  </w:style>
  <w:style w:type="paragraph" w:customStyle="1" w:styleId="TableText0">
    <w:name w:val="Table Text"/>
    <w:basedOn w:val="Normal"/>
    <w:qFormat/>
    <w:rsid w:val="00525CAF"/>
    <w:pPr>
      <w:keepNext/>
      <w:spacing w:before="40" w:after="40"/>
    </w:pPr>
    <w:rPr>
      <w:rFonts w:ascii="Arial Narrow" w:eastAsiaTheme="minorHAnsi" w:hAnsi="Arial Narrow" w:cstheme="minorBidi"/>
      <w:sz w:val="20"/>
      <w:szCs w:val="22"/>
      <w:lang w:eastAsia="en-US"/>
    </w:rPr>
  </w:style>
  <w:style w:type="paragraph" w:customStyle="1" w:styleId="TableFooter">
    <w:name w:val="Table Footer"/>
    <w:basedOn w:val="Normal"/>
    <w:link w:val="TableFooterChar"/>
    <w:qFormat/>
    <w:rsid w:val="00525CAF"/>
    <w:pPr>
      <w:widowControl w:val="0"/>
      <w:spacing w:after="120"/>
      <w:contextualSpacing/>
      <w:jc w:val="both"/>
    </w:pPr>
    <w:rPr>
      <w:rFonts w:ascii="Arial Narrow" w:hAnsi="Arial Narrow" w:cs="Arial"/>
      <w:snapToGrid w:val="0"/>
      <w:sz w:val="18"/>
      <w:szCs w:val="20"/>
      <w:lang w:eastAsia="en-US"/>
    </w:rPr>
  </w:style>
  <w:style w:type="character" w:customStyle="1" w:styleId="TableFooterChar">
    <w:name w:val="Table Footer Char"/>
    <w:link w:val="TableFooter"/>
    <w:rsid w:val="00525CAF"/>
    <w:rPr>
      <w:rFonts w:ascii="Arial Narrow" w:hAnsi="Arial Narrow" w:cs="Arial"/>
      <w:snapToGrid w:val="0"/>
      <w:sz w:val="18"/>
      <w:lang w:eastAsia="en-US"/>
    </w:rPr>
  </w:style>
  <w:style w:type="paragraph" w:customStyle="1" w:styleId="TableHeader">
    <w:name w:val="Table Header"/>
    <w:basedOn w:val="Normal"/>
    <w:next w:val="Normal"/>
    <w:uiPriority w:val="3"/>
    <w:qFormat/>
    <w:rsid w:val="00525CAF"/>
    <w:pPr>
      <w:widowControl w:val="0"/>
      <w:jc w:val="both"/>
    </w:pPr>
    <w:rPr>
      <w:rFonts w:ascii="Arial Narrow" w:hAnsi="Arial Narrow" w:cs="Arial"/>
      <w:b/>
      <w:snapToGrid w:val="0"/>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14"/>
      </w:numPr>
      <w:ind w:left="720"/>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character" w:customStyle="1" w:styleId="TabletextChar">
    <w:name w:val="Table text Char"/>
    <w:link w:val="Tabletext"/>
    <w:uiPriority w:val="2"/>
    <w:rsid w:val="009D2709"/>
    <w:rPr>
      <w:rFonts w:ascii="Arial" w:hAnsi="Arial"/>
      <w:lang w:eastAsia="en-US"/>
    </w:rPr>
  </w:style>
  <w:style w:type="paragraph" w:customStyle="1" w:styleId="TableText0">
    <w:name w:val="Table Text"/>
    <w:basedOn w:val="Normal"/>
    <w:qFormat/>
    <w:rsid w:val="00525CAF"/>
    <w:pPr>
      <w:keepNext/>
      <w:spacing w:before="40" w:after="40"/>
    </w:pPr>
    <w:rPr>
      <w:rFonts w:ascii="Arial Narrow" w:eastAsiaTheme="minorHAnsi" w:hAnsi="Arial Narrow" w:cstheme="minorBidi"/>
      <w:sz w:val="20"/>
      <w:szCs w:val="22"/>
      <w:lang w:eastAsia="en-US"/>
    </w:rPr>
  </w:style>
  <w:style w:type="paragraph" w:customStyle="1" w:styleId="TableFooter">
    <w:name w:val="Table Footer"/>
    <w:basedOn w:val="Normal"/>
    <w:link w:val="TableFooterChar"/>
    <w:qFormat/>
    <w:rsid w:val="00525CAF"/>
    <w:pPr>
      <w:widowControl w:val="0"/>
      <w:spacing w:after="120"/>
      <w:contextualSpacing/>
      <w:jc w:val="both"/>
    </w:pPr>
    <w:rPr>
      <w:rFonts w:ascii="Arial Narrow" w:hAnsi="Arial Narrow" w:cs="Arial"/>
      <w:snapToGrid w:val="0"/>
      <w:sz w:val="18"/>
      <w:szCs w:val="20"/>
      <w:lang w:eastAsia="en-US"/>
    </w:rPr>
  </w:style>
  <w:style w:type="character" w:customStyle="1" w:styleId="TableFooterChar">
    <w:name w:val="Table Footer Char"/>
    <w:link w:val="TableFooter"/>
    <w:rsid w:val="00525CAF"/>
    <w:rPr>
      <w:rFonts w:ascii="Arial Narrow" w:hAnsi="Arial Narrow" w:cs="Arial"/>
      <w:snapToGrid w:val="0"/>
      <w:sz w:val="18"/>
      <w:lang w:eastAsia="en-US"/>
    </w:rPr>
  </w:style>
  <w:style w:type="paragraph" w:customStyle="1" w:styleId="TableHeader">
    <w:name w:val="Table Header"/>
    <w:basedOn w:val="Normal"/>
    <w:next w:val="Normal"/>
    <w:uiPriority w:val="3"/>
    <w:qFormat/>
    <w:rsid w:val="00525CAF"/>
    <w:pPr>
      <w:widowControl w:val="0"/>
      <w:jc w:val="both"/>
    </w:pPr>
    <w:rPr>
      <w:rFonts w:ascii="Arial Narrow" w:hAnsi="Arial Narrow" w:cs="Arial"/>
      <w:b/>
      <w:snapToGrid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B0F61-8253-48FE-9D7B-A1E21A0EB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1601</Words>
  <Characters>10118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2018-02-14T22:26:00Z</dcterms:created>
  <dcterms:modified xsi:type="dcterms:W3CDTF">2018-02-14T22:26:00Z</dcterms:modified>
</cp:coreProperties>
</file>