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5B4122" w:rsidP="005129D7">
      <w:pPr>
        <w:pStyle w:val="Title"/>
        <w:spacing w:after="120"/>
        <w:ind w:left="720" w:hanging="720"/>
        <w:rPr>
          <w:rFonts w:asciiTheme="minorHAnsi" w:hAnsiTheme="minorHAnsi"/>
          <w:sz w:val="36"/>
          <w:szCs w:val="36"/>
        </w:rPr>
      </w:pPr>
      <w:r>
        <w:rPr>
          <w:rFonts w:asciiTheme="minorHAnsi" w:hAnsiTheme="minorHAnsi"/>
          <w:sz w:val="36"/>
          <w:szCs w:val="36"/>
          <w:lang w:eastAsia="zh-CN"/>
        </w:rPr>
        <w:t>5.18</w:t>
      </w:r>
      <w:r w:rsidR="00771B94" w:rsidRPr="008B0B28">
        <w:rPr>
          <w:rFonts w:asciiTheme="minorHAnsi" w:hAnsiTheme="minorHAnsi"/>
          <w:sz w:val="36"/>
          <w:szCs w:val="36"/>
        </w:rPr>
        <w:tab/>
      </w:r>
      <w:r w:rsidR="00B93C86" w:rsidRPr="00BE03FC">
        <w:rPr>
          <w:rFonts w:asciiTheme="minorHAnsi" w:hAnsiTheme="minorHAnsi"/>
          <w:sz w:val="36"/>
          <w:szCs w:val="36"/>
        </w:rPr>
        <w:t>ARGININE</w:t>
      </w:r>
      <w:r w:rsidR="00B64497" w:rsidRPr="00BE03FC">
        <w:rPr>
          <w:rFonts w:asciiTheme="minorHAnsi" w:hAnsiTheme="minorHAnsi"/>
          <w:sz w:val="36"/>
          <w:szCs w:val="36"/>
        </w:rPr>
        <w:br/>
      </w:r>
      <w:r w:rsidR="00B93C86" w:rsidRPr="00BE03FC">
        <w:rPr>
          <w:rFonts w:asciiTheme="minorHAnsi" w:hAnsiTheme="minorHAnsi"/>
          <w:sz w:val="36"/>
          <w:szCs w:val="36"/>
        </w:rPr>
        <w:t>Tablet 500 mg</w:t>
      </w:r>
      <w:proofErr w:type="gramStart"/>
      <w:r w:rsidR="0004240E" w:rsidRPr="00BE03FC">
        <w:rPr>
          <w:rFonts w:asciiTheme="minorHAnsi" w:hAnsiTheme="minorHAnsi"/>
          <w:sz w:val="36"/>
          <w:szCs w:val="36"/>
        </w:rPr>
        <w:t>,</w:t>
      </w:r>
      <w:proofErr w:type="gramEnd"/>
      <w:r w:rsidR="00B64497" w:rsidRPr="00BE03FC">
        <w:rPr>
          <w:rFonts w:asciiTheme="minorHAnsi" w:hAnsiTheme="minorHAnsi"/>
          <w:b w:val="0"/>
          <w:sz w:val="36"/>
          <w:szCs w:val="36"/>
        </w:rPr>
        <w:br/>
      </w:r>
      <w:r w:rsidR="00B93C86" w:rsidRPr="00BE03FC">
        <w:rPr>
          <w:rFonts w:asciiTheme="minorHAnsi" w:hAnsiTheme="minorHAnsi"/>
          <w:sz w:val="36"/>
          <w:szCs w:val="36"/>
        </w:rPr>
        <w:t>Arginine Easy</w:t>
      </w:r>
      <w:r w:rsidR="0004240E" w:rsidRPr="00BE03FC">
        <w:rPr>
          <w:rFonts w:asciiTheme="minorHAnsi" w:hAnsiTheme="minorHAnsi"/>
          <w:sz w:val="36"/>
          <w:szCs w:val="36"/>
          <w:vertAlign w:val="superscript"/>
        </w:rPr>
        <w:t>®</w:t>
      </w:r>
      <w:r w:rsidR="00EF44A0" w:rsidRPr="00BE03FC">
        <w:rPr>
          <w:rFonts w:asciiTheme="minorHAnsi" w:hAnsiTheme="minorHAnsi"/>
          <w:sz w:val="36"/>
          <w:szCs w:val="36"/>
        </w:rPr>
        <w:t xml:space="preserve">, </w:t>
      </w:r>
      <w:proofErr w:type="spellStart"/>
      <w:r w:rsidR="00B93C86" w:rsidRPr="00BE03FC">
        <w:rPr>
          <w:rFonts w:asciiTheme="minorHAnsi" w:hAnsiTheme="minorHAnsi"/>
          <w:sz w:val="36"/>
          <w:szCs w:val="36"/>
        </w:rPr>
        <w:t>Orpharma</w:t>
      </w:r>
      <w:proofErr w:type="spellEnd"/>
      <w:r w:rsidR="00B93C86" w:rsidRPr="00BE03FC">
        <w:rPr>
          <w:rFonts w:asciiTheme="minorHAnsi" w:hAnsiTheme="minorHAnsi"/>
          <w:sz w:val="36"/>
          <w:szCs w:val="36"/>
        </w:rPr>
        <w:t xml:space="preserve"> Pty Ltd </w:t>
      </w:r>
    </w:p>
    <w:p w:rsidR="006A12A5" w:rsidRPr="00BE03FC" w:rsidRDefault="00CE10C4" w:rsidP="005129D7">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 xml:space="preserve">Purpose of </w:t>
      </w:r>
      <w:r w:rsidR="0004240E" w:rsidRPr="00BE03FC">
        <w:rPr>
          <w:rFonts w:asciiTheme="minorHAnsi" w:eastAsiaTheme="majorEastAsia" w:hAnsiTheme="minorHAnsi" w:cstheme="majorBidi"/>
          <w:sz w:val="32"/>
          <w:szCs w:val="28"/>
          <w:lang w:eastAsia="en-US"/>
        </w:rPr>
        <w:t>Application</w:t>
      </w:r>
    </w:p>
    <w:p w:rsidR="006A12A5" w:rsidRPr="00BE03FC" w:rsidRDefault="00EF44A0" w:rsidP="002D4D6B">
      <w:pPr>
        <w:pStyle w:val="ListParagraph"/>
        <w:numPr>
          <w:ilvl w:val="1"/>
          <w:numId w:val="2"/>
        </w:numPr>
        <w:spacing w:after="120"/>
        <w:contextualSpacing w:val="0"/>
        <w:jc w:val="both"/>
        <w:rPr>
          <w:rFonts w:asciiTheme="minorHAnsi" w:hAnsiTheme="minorHAnsi"/>
        </w:rPr>
      </w:pPr>
      <w:r w:rsidRPr="00BE03FC">
        <w:rPr>
          <w:rFonts w:asciiTheme="minorHAnsi" w:hAnsiTheme="minorHAnsi"/>
        </w:rPr>
        <w:t>The mi</w:t>
      </w:r>
      <w:r w:rsidR="002D4D6B" w:rsidRPr="00BE03FC">
        <w:rPr>
          <w:rFonts w:asciiTheme="minorHAnsi" w:hAnsiTheme="minorHAnsi"/>
        </w:rPr>
        <w:t xml:space="preserve">nor submission requested a Restricted Benefit listing for arginine for the </w:t>
      </w:r>
      <w:r w:rsidR="005E26D3" w:rsidRPr="00BE03FC">
        <w:rPr>
          <w:rFonts w:asciiTheme="minorHAnsi" w:hAnsiTheme="minorHAnsi"/>
        </w:rPr>
        <w:t xml:space="preserve">dietary management </w:t>
      </w:r>
      <w:r w:rsidR="002D4D6B" w:rsidRPr="00BE03FC">
        <w:rPr>
          <w:rFonts w:asciiTheme="minorHAnsi" w:hAnsiTheme="minorHAnsi"/>
        </w:rPr>
        <w:t>of urea cycle disorders (UCD).</w:t>
      </w:r>
    </w:p>
    <w:p w:rsidR="00C94810" w:rsidRPr="00BE03FC" w:rsidRDefault="00C94810" w:rsidP="005129D7">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Requested Listing</w:t>
      </w:r>
    </w:p>
    <w:p w:rsidR="002D5C51" w:rsidRPr="00BE03FC" w:rsidRDefault="00EF44A0" w:rsidP="00E616B9">
      <w:pPr>
        <w:pStyle w:val="ListParagraph"/>
        <w:numPr>
          <w:ilvl w:val="1"/>
          <w:numId w:val="2"/>
        </w:numPr>
        <w:spacing w:after="120"/>
        <w:contextualSpacing w:val="0"/>
        <w:jc w:val="both"/>
        <w:rPr>
          <w:rFonts w:asciiTheme="minorHAnsi" w:hAnsiTheme="minorHAnsi"/>
          <w:szCs w:val="22"/>
        </w:rPr>
      </w:pPr>
      <w:r w:rsidRPr="00BE03FC">
        <w:rPr>
          <w:rFonts w:asciiTheme="minorHAnsi" w:hAnsiTheme="minorHAnsi"/>
          <w:szCs w:val="22"/>
        </w:rPr>
        <w:t xml:space="preserve">The submission </w:t>
      </w:r>
      <w:r w:rsidR="00FF2801" w:rsidRPr="00BE03FC">
        <w:rPr>
          <w:rFonts w:asciiTheme="minorHAnsi" w:hAnsiTheme="minorHAnsi"/>
          <w:szCs w:val="22"/>
        </w:rPr>
        <w:t>requested</w:t>
      </w:r>
      <w:r w:rsidRPr="00BE03FC">
        <w:rPr>
          <w:rFonts w:asciiTheme="minorHAnsi" w:hAnsiTheme="minorHAnsi"/>
          <w:szCs w:val="22"/>
        </w:rPr>
        <w:t xml:space="preserve"> the following </w:t>
      </w:r>
      <w:r w:rsidR="0076420C" w:rsidRPr="00BE03FC">
        <w:rPr>
          <w:rFonts w:asciiTheme="minorHAnsi" w:hAnsiTheme="minorHAnsi"/>
          <w:szCs w:val="22"/>
        </w:rPr>
        <w:t xml:space="preserve">new </w:t>
      </w:r>
      <w:r w:rsidRPr="00BE03FC">
        <w:rPr>
          <w:rFonts w:asciiTheme="minorHAnsi" w:hAnsiTheme="minorHAnsi"/>
          <w:szCs w:val="22"/>
        </w:rPr>
        <w:t>listing</w:t>
      </w:r>
      <w:r w:rsidR="00AC464A" w:rsidRPr="00BE03FC">
        <w:rPr>
          <w:rFonts w:asciiTheme="minorHAnsi" w:hAnsiTheme="minorHAnsi"/>
          <w:szCs w:val="22"/>
        </w:rPr>
        <w:t>.</w:t>
      </w:r>
      <w:r w:rsidRPr="00BE03FC">
        <w:rPr>
          <w:rFonts w:asciiTheme="minorHAnsi" w:hAnsiTheme="minorHAnsi"/>
          <w:szCs w:val="22"/>
        </w:rPr>
        <w:t xml:space="preserve"> </w:t>
      </w:r>
    </w:p>
    <w:p w:rsidR="002D5C51" w:rsidRDefault="003E131D" w:rsidP="00E616B9">
      <w:pPr>
        <w:pStyle w:val="ListParagraph"/>
        <w:numPr>
          <w:ilvl w:val="1"/>
          <w:numId w:val="2"/>
        </w:numPr>
        <w:spacing w:after="120"/>
        <w:contextualSpacing w:val="0"/>
        <w:jc w:val="both"/>
        <w:rPr>
          <w:rFonts w:asciiTheme="minorHAnsi" w:hAnsiTheme="minorHAnsi"/>
          <w:szCs w:val="22"/>
        </w:rPr>
      </w:pPr>
      <w:r w:rsidRPr="00BE03FC">
        <w:rPr>
          <w:rFonts w:asciiTheme="minorHAnsi" w:hAnsiTheme="minorHAnsi"/>
          <w:szCs w:val="22"/>
        </w:rPr>
        <w:t>S</w:t>
      </w:r>
      <w:r w:rsidR="002D5C51" w:rsidRPr="00BE03FC">
        <w:rPr>
          <w:rFonts w:asciiTheme="minorHAnsi" w:hAnsiTheme="minorHAnsi"/>
          <w:szCs w:val="22"/>
        </w:rPr>
        <w:t>uggestions by the Secretariat are shown</w:t>
      </w:r>
      <w:r w:rsidR="00AC464A" w:rsidRPr="00BE03FC">
        <w:rPr>
          <w:rFonts w:asciiTheme="minorHAnsi" w:hAnsiTheme="minorHAnsi"/>
          <w:szCs w:val="22"/>
        </w:rPr>
        <w:t xml:space="preserve"> in italics and deletions are shown in strikethrough</w:t>
      </w:r>
      <w:r w:rsidR="002D5C51" w:rsidRPr="00BE03FC">
        <w:rPr>
          <w:rFonts w:asciiTheme="minorHAnsi" w:hAnsiTheme="minorHAnsi"/>
          <w:szCs w:val="22"/>
        </w:rPr>
        <w:t xml:space="preserve"> in the proposed restriction. </w:t>
      </w:r>
    </w:p>
    <w:tbl>
      <w:tblPr>
        <w:tblW w:w="4920" w:type="pct"/>
        <w:tblLook w:val="0000" w:firstRow="0" w:lastRow="0" w:firstColumn="0" w:lastColumn="0" w:noHBand="0" w:noVBand="0"/>
      </w:tblPr>
      <w:tblGrid>
        <w:gridCol w:w="1964"/>
        <w:gridCol w:w="1393"/>
        <w:gridCol w:w="758"/>
        <w:gridCol w:w="908"/>
        <w:gridCol w:w="1646"/>
        <w:gridCol w:w="819"/>
        <w:gridCol w:w="1591"/>
        <w:gridCol w:w="15"/>
      </w:tblGrid>
      <w:tr w:rsidR="00826F6D" w:rsidRPr="00BE03FC" w:rsidTr="000568A2">
        <w:trPr>
          <w:cantSplit/>
          <w:trHeight w:val="471"/>
        </w:trPr>
        <w:tc>
          <w:tcPr>
            <w:tcW w:w="1846" w:type="pct"/>
            <w:gridSpan w:val="2"/>
            <w:tcBorders>
              <w:bottom w:val="single" w:sz="4" w:space="0" w:color="auto"/>
            </w:tcBorders>
          </w:tcPr>
          <w:p w:rsidR="00826F6D" w:rsidRPr="00BE03FC" w:rsidRDefault="00826F6D" w:rsidP="00C27B58">
            <w:pPr>
              <w:keepNext/>
              <w:ind w:left="-108"/>
              <w:jc w:val="both"/>
              <w:rPr>
                <w:rFonts w:ascii="Arial Narrow" w:hAnsi="Arial Narrow" w:cs="Arial"/>
                <w:b/>
                <w:sz w:val="20"/>
                <w:szCs w:val="20"/>
              </w:rPr>
            </w:pPr>
            <w:r w:rsidRPr="00BE03FC">
              <w:rPr>
                <w:rFonts w:ascii="Arial Narrow" w:hAnsi="Arial Narrow" w:cs="Arial"/>
                <w:b/>
                <w:sz w:val="20"/>
                <w:szCs w:val="20"/>
              </w:rPr>
              <w:t>Name, Restriction,</w:t>
            </w:r>
          </w:p>
          <w:p w:rsidR="00826F6D" w:rsidRPr="00BE03FC" w:rsidRDefault="00826F6D" w:rsidP="00C27B58">
            <w:pPr>
              <w:keepNext/>
              <w:ind w:left="-108"/>
              <w:jc w:val="both"/>
              <w:rPr>
                <w:rFonts w:ascii="Arial Narrow" w:hAnsi="Arial Narrow" w:cs="Arial"/>
                <w:b/>
                <w:sz w:val="20"/>
                <w:szCs w:val="20"/>
              </w:rPr>
            </w:pPr>
            <w:r w:rsidRPr="00BE03FC">
              <w:rPr>
                <w:rFonts w:ascii="Arial Narrow" w:hAnsi="Arial Narrow" w:cs="Arial"/>
                <w:b/>
                <w:sz w:val="20"/>
                <w:szCs w:val="20"/>
              </w:rPr>
              <w:t>Manner of administration and form</w:t>
            </w:r>
          </w:p>
        </w:tc>
        <w:tc>
          <w:tcPr>
            <w:tcW w:w="417" w:type="pct"/>
            <w:tcBorders>
              <w:bottom w:val="single" w:sz="4" w:space="0" w:color="auto"/>
            </w:tcBorders>
          </w:tcPr>
          <w:p w:rsidR="00826F6D" w:rsidRPr="00BE03FC" w:rsidRDefault="00826F6D" w:rsidP="00C27B58">
            <w:pPr>
              <w:keepNext/>
              <w:ind w:left="-108"/>
              <w:jc w:val="both"/>
              <w:rPr>
                <w:rFonts w:ascii="Arial Narrow" w:hAnsi="Arial Narrow" w:cs="Arial"/>
                <w:b/>
                <w:sz w:val="20"/>
                <w:szCs w:val="20"/>
              </w:rPr>
            </w:pPr>
            <w:r w:rsidRPr="00BE03FC">
              <w:rPr>
                <w:rFonts w:ascii="Arial Narrow" w:hAnsi="Arial Narrow" w:cs="Arial"/>
                <w:b/>
                <w:sz w:val="20"/>
                <w:szCs w:val="20"/>
              </w:rPr>
              <w:t>Max.</w:t>
            </w:r>
          </w:p>
          <w:p w:rsidR="00826F6D" w:rsidRPr="00BE03FC" w:rsidRDefault="00826F6D" w:rsidP="00C27B58">
            <w:pPr>
              <w:keepNext/>
              <w:ind w:left="-108"/>
              <w:jc w:val="both"/>
              <w:rPr>
                <w:rFonts w:ascii="Arial Narrow" w:hAnsi="Arial Narrow" w:cs="Arial"/>
                <w:b/>
                <w:sz w:val="20"/>
                <w:szCs w:val="20"/>
              </w:rPr>
            </w:pPr>
            <w:proofErr w:type="spellStart"/>
            <w:r w:rsidRPr="00BE03FC">
              <w:rPr>
                <w:rFonts w:ascii="Arial Narrow" w:hAnsi="Arial Narrow" w:cs="Arial"/>
                <w:b/>
                <w:sz w:val="20"/>
                <w:szCs w:val="20"/>
              </w:rPr>
              <w:t>Qty</w:t>
            </w:r>
            <w:proofErr w:type="spellEnd"/>
          </w:p>
        </w:tc>
        <w:tc>
          <w:tcPr>
            <w:tcW w:w="499" w:type="pct"/>
            <w:tcBorders>
              <w:bottom w:val="single" w:sz="4" w:space="0" w:color="auto"/>
            </w:tcBorders>
          </w:tcPr>
          <w:p w:rsidR="00826F6D" w:rsidRPr="00BE03FC" w:rsidRDefault="00826F6D" w:rsidP="00C27B58">
            <w:pPr>
              <w:keepNext/>
              <w:ind w:left="-108"/>
              <w:jc w:val="both"/>
              <w:rPr>
                <w:rFonts w:ascii="Arial Narrow" w:hAnsi="Arial Narrow" w:cs="Arial"/>
                <w:b/>
                <w:sz w:val="20"/>
                <w:szCs w:val="20"/>
              </w:rPr>
            </w:pPr>
            <w:r w:rsidRPr="00BE03FC">
              <w:rPr>
                <w:rFonts w:ascii="Arial Narrow" w:hAnsi="Arial Narrow" w:cs="Arial"/>
                <w:b/>
                <w:sz w:val="20"/>
                <w:szCs w:val="20"/>
              </w:rPr>
              <w:t>№.of</w:t>
            </w:r>
          </w:p>
          <w:p w:rsidR="00826F6D" w:rsidRPr="00BE03FC" w:rsidRDefault="00826F6D" w:rsidP="00C27B58">
            <w:pPr>
              <w:keepNext/>
              <w:ind w:left="-108"/>
              <w:jc w:val="both"/>
              <w:rPr>
                <w:rFonts w:ascii="Arial Narrow" w:hAnsi="Arial Narrow" w:cs="Arial"/>
                <w:b/>
                <w:sz w:val="20"/>
                <w:szCs w:val="20"/>
              </w:rPr>
            </w:pPr>
            <w:proofErr w:type="spellStart"/>
            <w:r w:rsidRPr="00BE03FC">
              <w:rPr>
                <w:rFonts w:ascii="Arial Narrow" w:hAnsi="Arial Narrow" w:cs="Arial"/>
                <w:b/>
                <w:sz w:val="20"/>
                <w:szCs w:val="20"/>
              </w:rPr>
              <w:t>Rpts</w:t>
            </w:r>
            <w:proofErr w:type="spellEnd"/>
          </w:p>
        </w:tc>
        <w:tc>
          <w:tcPr>
            <w:tcW w:w="905" w:type="pct"/>
            <w:tcBorders>
              <w:bottom w:val="single" w:sz="4" w:space="0" w:color="auto"/>
            </w:tcBorders>
          </w:tcPr>
          <w:p w:rsidR="00826F6D" w:rsidRPr="00BE03FC" w:rsidRDefault="00826F6D" w:rsidP="00C27B58">
            <w:pPr>
              <w:keepNext/>
              <w:ind w:left="-108"/>
              <w:jc w:val="both"/>
              <w:rPr>
                <w:rFonts w:ascii="Arial Narrow" w:hAnsi="Arial Narrow" w:cs="Arial"/>
                <w:b/>
                <w:sz w:val="20"/>
                <w:szCs w:val="20"/>
              </w:rPr>
            </w:pPr>
            <w:r w:rsidRPr="00BE03FC">
              <w:rPr>
                <w:rFonts w:ascii="Arial Narrow" w:hAnsi="Arial Narrow" w:cs="Arial"/>
                <w:b/>
                <w:sz w:val="20"/>
                <w:szCs w:val="20"/>
              </w:rPr>
              <w:t xml:space="preserve">Dispensed Price for Max. </w:t>
            </w:r>
            <w:proofErr w:type="spellStart"/>
            <w:r w:rsidRPr="00BE03FC">
              <w:rPr>
                <w:rFonts w:ascii="Arial Narrow" w:hAnsi="Arial Narrow" w:cs="Arial"/>
                <w:b/>
                <w:sz w:val="20"/>
                <w:szCs w:val="20"/>
              </w:rPr>
              <w:t>Qty</w:t>
            </w:r>
            <w:proofErr w:type="spellEnd"/>
          </w:p>
        </w:tc>
        <w:tc>
          <w:tcPr>
            <w:tcW w:w="1333" w:type="pct"/>
            <w:gridSpan w:val="3"/>
            <w:tcBorders>
              <w:bottom w:val="single" w:sz="4" w:space="0" w:color="auto"/>
            </w:tcBorders>
          </w:tcPr>
          <w:p w:rsidR="00826F6D" w:rsidRPr="00BE03FC" w:rsidRDefault="00826F6D" w:rsidP="00C27B58">
            <w:pPr>
              <w:keepNext/>
              <w:jc w:val="both"/>
              <w:rPr>
                <w:rFonts w:ascii="Arial Narrow" w:hAnsi="Arial Narrow" w:cs="Arial"/>
                <w:b/>
                <w:sz w:val="20"/>
                <w:szCs w:val="20"/>
              </w:rPr>
            </w:pPr>
            <w:r w:rsidRPr="00BE03FC">
              <w:rPr>
                <w:rFonts w:ascii="Arial Narrow" w:hAnsi="Arial Narrow" w:cs="Arial"/>
                <w:b/>
                <w:sz w:val="20"/>
                <w:szCs w:val="20"/>
              </w:rPr>
              <w:t>Proprietary Name and Manufacturer</w:t>
            </w:r>
          </w:p>
        </w:tc>
      </w:tr>
      <w:tr w:rsidR="004341D7" w:rsidRPr="00BE03FC" w:rsidTr="000568A2">
        <w:trPr>
          <w:cantSplit/>
          <w:trHeight w:val="577"/>
        </w:trPr>
        <w:tc>
          <w:tcPr>
            <w:tcW w:w="1846" w:type="pct"/>
            <w:gridSpan w:val="2"/>
          </w:tcPr>
          <w:p w:rsidR="002D4D6B" w:rsidRPr="00BE03FC" w:rsidRDefault="002D4D6B" w:rsidP="00C27B58">
            <w:pPr>
              <w:keepNext/>
              <w:ind w:left="-108"/>
              <w:jc w:val="both"/>
              <w:rPr>
                <w:rFonts w:ascii="Arial Narrow" w:hAnsi="Arial Narrow" w:cs="Arial"/>
                <w:smallCaps/>
                <w:sz w:val="20"/>
                <w:szCs w:val="20"/>
              </w:rPr>
            </w:pPr>
            <w:r w:rsidRPr="00BE03FC">
              <w:rPr>
                <w:rFonts w:ascii="Arial Narrow" w:hAnsi="Arial Narrow" w:cs="Arial"/>
                <w:smallCaps/>
                <w:sz w:val="20"/>
                <w:szCs w:val="20"/>
              </w:rPr>
              <w:t>ARGININE</w:t>
            </w:r>
          </w:p>
          <w:p w:rsidR="00826F6D" w:rsidRPr="00BE03FC" w:rsidRDefault="002D4D6B" w:rsidP="00C27B58">
            <w:pPr>
              <w:keepNext/>
              <w:ind w:left="-108"/>
              <w:jc w:val="both"/>
              <w:rPr>
                <w:rFonts w:ascii="Arial Narrow" w:hAnsi="Arial Narrow" w:cs="Arial"/>
                <w:sz w:val="20"/>
                <w:szCs w:val="20"/>
              </w:rPr>
            </w:pPr>
            <w:r w:rsidRPr="00BE03FC">
              <w:rPr>
                <w:rFonts w:ascii="Arial Narrow" w:hAnsi="Arial Narrow" w:cs="Arial"/>
                <w:sz w:val="20"/>
                <w:szCs w:val="20"/>
              </w:rPr>
              <w:t>arginine 500 mg tablet, 300</w:t>
            </w:r>
          </w:p>
        </w:tc>
        <w:tc>
          <w:tcPr>
            <w:tcW w:w="417" w:type="pct"/>
          </w:tcPr>
          <w:p w:rsidR="00826F6D" w:rsidRPr="00BE03FC" w:rsidRDefault="00826F6D" w:rsidP="00C27B58">
            <w:pPr>
              <w:keepNext/>
              <w:ind w:left="-108"/>
              <w:jc w:val="both"/>
              <w:rPr>
                <w:rFonts w:ascii="Arial Narrow" w:hAnsi="Arial Narrow" w:cs="Arial"/>
                <w:sz w:val="20"/>
                <w:szCs w:val="20"/>
              </w:rPr>
            </w:pPr>
          </w:p>
          <w:p w:rsidR="00826F6D" w:rsidRPr="00BE03FC" w:rsidRDefault="002D4D6B" w:rsidP="00C27B58">
            <w:pPr>
              <w:keepNext/>
              <w:ind w:left="-108"/>
              <w:jc w:val="both"/>
              <w:rPr>
                <w:rFonts w:ascii="Arial Narrow" w:hAnsi="Arial Narrow" w:cs="Arial"/>
                <w:sz w:val="20"/>
                <w:szCs w:val="20"/>
              </w:rPr>
            </w:pPr>
            <w:r w:rsidRPr="00BE03FC">
              <w:rPr>
                <w:rFonts w:ascii="Arial Narrow" w:hAnsi="Arial Narrow" w:cs="Arial"/>
                <w:sz w:val="20"/>
                <w:szCs w:val="20"/>
              </w:rPr>
              <w:t>1</w:t>
            </w:r>
          </w:p>
        </w:tc>
        <w:tc>
          <w:tcPr>
            <w:tcW w:w="499" w:type="pct"/>
          </w:tcPr>
          <w:p w:rsidR="00826F6D" w:rsidRPr="00BE03FC" w:rsidRDefault="00826F6D" w:rsidP="00C27B58">
            <w:pPr>
              <w:keepNext/>
              <w:ind w:left="-108"/>
              <w:jc w:val="both"/>
              <w:rPr>
                <w:rFonts w:ascii="Arial Narrow" w:hAnsi="Arial Narrow" w:cs="Arial"/>
                <w:sz w:val="20"/>
                <w:szCs w:val="20"/>
              </w:rPr>
            </w:pPr>
          </w:p>
          <w:p w:rsidR="00826F6D" w:rsidRPr="00BE03FC" w:rsidRDefault="002D4D6B" w:rsidP="00C27B58">
            <w:pPr>
              <w:keepNext/>
              <w:ind w:left="-108"/>
              <w:jc w:val="both"/>
              <w:rPr>
                <w:rFonts w:ascii="Arial Narrow" w:hAnsi="Arial Narrow" w:cs="Arial"/>
                <w:sz w:val="20"/>
                <w:szCs w:val="20"/>
              </w:rPr>
            </w:pPr>
            <w:r w:rsidRPr="00BE03FC">
              <w:rPr>
                <w:rFonts w:ascii="Arial Narrow" w:hAnsi="Arial Narrow" w:cs="Arial"/>
                <w:sz w:val="20"/>
                <w:szCs w:val="20"/>
              </w:rPr>
              <w:t>5</w:t>
            </w:r>
          </w:p>
        </w:tc>
        <w:tc>
          <w:tcPr>
            <w:tcW w:w="905" w:type="pct"/>
          </w:tcPr>
          <w:p w:rsidR="00826F6D" w:rsidRPr="00BE03FC" w:rsidRDefault="00826F6D" w:rsidP="00C27B58">
            <w:pPr>
              <w:keepNext/>
              <w:ind w:left="-108"/>
              <w:jc w:val="both"/>
              <w:rPr>
                <w:rFonts w:ascii="Arial Narrow" w:hAnsi="Arial Narrow" w:cs="Arial"/>
                <w:sz w:val="20"/>
                <w:szCs w:val="20"/>
              </w:rPr>
            </w:pPr>
          </w:p>
          <w:p w:rsidR="00B25B1B" w:rsidRPr="00B25B1B" w:rsidRDefault="00CC5121" w:rsidP="00B25B1B">
            <w:pPr>
              <w:keepNext/>
              <w:ind w:left="-108"/>
              <w:jc w:val="both"/>
              <w:rPr>
                <w:rFonts w:ascii="Arial Narrow" w:hAnsi="Arial Narrow" w:cs="Arial"/>
                <w:strike/>
                <w:sz w:val="20"/>
                <w:szCs w:val="20"/>
              </w:rPr>
            </w:pPr>
            <w:r w:rsidRPr="00BE03FC">
              <w:rPr>
                <w:rFonts w:ascii="Arial Narrow" w:hAnsi="Arial Narrow" w:cs="Arial"/>
                <w:strike/>
                <w:sz w:val="20"/>
                <w:szCs w:val="20"/>
              </w:rPr>
              <w:t>$</w:t>
            </w:r>
            <w:r w:rsidR="00E43DAC">
              <w:rPr>
                <w:rFonts w:ascii="Arial Narrow" w:hAnsi="Arial Narrow" w:cs="Arial"/>
                <w:strike/>
                <w:noProof/>
                <w:color w:val="000000"/>
                <w:sz w:val="20"/>
                <w:szCs w:val="20"/>
                <w:highlight w:val="black"/>
              </w:rPr>
              <w:t>'''''''''''''''''''''''</w:t>
            </w:r>
          </w:p>
          <w:p w:rsidR="00826F6D" w:rsidRPr="00BE03FC" w:rsidRDefault="00B25B1B" w:rsidP="00B25B1B">
            <w:pPr>
              <w:keepNext/>
              <w:ind w:left="-108"/>
              <w:jc w:val="both"/>
              <w:rPr>
                <w:rFonts w:ascii="Arial Narrow" w:hAnsi="Arial Narrow" w:cs="Arial"/>
                <w:i/>
                <w:sz w:val="20"/>
                <w:szCs w:val="20"/>
              </w:rPr>
            </w:pPr>
            <w:r w:rsidRPr="00B25B1B">
              <w:rPr>
                <w:rFonts w:ascii="Arial Narrow" w:hAnsi="Arial Narrow" w:cs="Arial"/>
                <w:i/>
                <w:strike/>
                <w:sz w:val="20"/>
                <w:szCs w:val="20"/>
              </w:rPr>
              <w:t>$</w:t>
            </w:r>
            <w:r w:rsidR="00E43DAC">
              <w:rPr>
                <w:rFonts w:ascii="Arial Narrow" w:hAnsi="Arial Narrow" w:cs="Arial"/>
                <w:i/>
                <w:strike/>
                <w:noProof/>
                <w:color w:val="000000"/>
                <w:sz w:val="20"/>
                <w:szCs w:val="20"/>
                <w:highlight w:val="black"/>
              </w:rPr>
              <w:t>'''''''''''''''''''''</w:t>
            </w:r>
            <w:r w:rsidRPr="00B25B1B">
              <w:rPr>
                <w:rFonts w:ascii="Arial Narrow" w:hAnsi="Arial Narrow" w:cs="Arial"/>
                <w:i/>
                <w:strike/>
                <w:sz w:val="20"/>
                <w:szCs w:val="20"/>
              </w:rPr>
              <w:t>*</w:t>
            </w:r>
          </w:p>
        </w:tc>
        <w:tc>
          <w:tcPr>
            <w:tcW w:w="450" w:type="pct"/>
          </w:tcPr>
          <w:p w:rsidR="00C27B58" w:rsidRPr="00BE03FC" w:rsidRDefault="00C27B58" w:rsidP="00C27B58">
            <w:pPr>
              <w:keepNext/>
              <w:jc w:val="both"/>
              <w:rPr>
                <w:rFonts w:ascii="Arial Narrow" w:hAnsi="Arial Narrow" w:cs="Arial"/>
                <w:sz w:val="20"/>
                <w:szCs w:val="20"/>
              </w:rPr>
            </w:pPr>
          </w:p>
          <w:p w:rsidR="00826F6D" w:rsidRPr="00BE03FC" w:rsidRDefault="002D4D6B" w:rsidP="00C27B58">
            <w:pPr>
              <w:keepNext/>
              <w:jc w:val="both"/>
              <w:rPr>
                <w:rFonts w:ascii="Arial Narrow" w:hAnsi="Arial Narrow" w:cs="Arial"/>
                <w:sz w:val="20"/>
                <w:szCs w:val="20"/>
              </w:rPr>
            </w:pPr>
            <w:r w:rsidRPr="00BE03FC">
              <w:rPr>
                <w:rFonts w:ascii="Arial Narrow" w:hAnsi="Arial Narrow" w:cs="Arial"/>
                <w:sz w:val="20"/>
                <w:szCs w:val="20"/>
              </w:rPr>
              <w:t>Arginine Easy</w:t>
            </w:r>
          </w:p>
        </w:tc>
        <w:tc>
          <w:tcPr>
            <w:tcW w:w="883" w:type="pct"/>
            <w:gridSpan w:val="2"/>
          </w:tcPr>
          <w:p w:rsidR="00C27B58" w:rsidRPr="00BE03FC" w:rsidRDefault="00C27B58" w:rsidP="00C27B58">
            <w:pPr>
              <w:keepNext/>
              <w:jc w:val="both"/>
              <w:rPr>
                <w:rFonts w:ascii="Arial Narrow" w:hAnsi="Arial Narrow" w:cs="Arial"/>
                <w:sz w:val="20"/>
                <w:szCs w:val="20"/>
              </w:rPr>
            </w:pPr>
          </w:p>
          <w:p w:rsidR="00826F6D" w:rsidRPr="00BE03FC" w:rsidRDefault="002D4D6B" w:rsidP="00C27B58">
            <w:pPr>
              <w:keepNext/>
              <w:jc w:val="both"/>
              <w:rPr>
                <w:rFonts w:ascii="Arial Narrow" w:hAnsi="Arial Narrow" w:cs="Arial"/>
                <w:sz w:val="20"/>
                <w:szCs w:val="20"/>
              </w:rPr>
            </w:pPr>
            <w:proofErr w:type="spellStart"/>
            <w:r w:rsidRPr="00BE03FC">
              <w:rPr>
                <w:rFonts w:ascii="Arial Narrow" w:hAnsi="Arial Narrow" w:cs="Arial"/>
                <w:sz w:val="20"/>
                <w:szCs w:val="20"/>
              </w:rPr>
              <w:t>Orphama</w:t>
            </w:r>
            <w:proofErr w:type="spellEnd"/>
            <w:r w:rsidRPr="00BE03FC">
              <w:rPr>
                <w:rFonts w:ascii="Arial Narrow" w:hAnsi="Arial Narrow" w:cs="Arial"/>
                <w:sz w:val="20"/>
                <w:szCs w:val="20"/>
              </w:rPr>
              <w:t xml:space="preserve"> Pty Ltd </w:t>
            </w:r>
          </w:p>
        </w:tc>
      </w:tr>
      <w:tr w:rsidR="00826F6D" w:rsidRPr="00BE03FC" w:rsidTr="00AC464A">
        <w:trPr>
          <w:gridAfter w:val="1"/>
          <w:wAfter w:w="8" w:type="pct"/>
          <w:cantSplit/>
          <w:trHeight w:val="360"/>
        </w:trPr>
        <w:tc>
          <w:tcPr>
            <w:tcW w:w="4992" w:type="pct"/>
            <w:gridSpan w:val="7"/>
            <w:tcBorders>
              <w:bottom w:val="single" w:sz="4" w:space="0" w:color="auto"/>
            </w:tcBorders>
          </w:tcPr>
          <w:p w:rsidR="00826F6D" w:rsidRPr="00BE03FC" w:rsidRDefault="004928FC" w:rsidP="004928FC">
            <w:pPr>
              <w:jc w:val="both"/>
              <w:rPr>
                <w:rFonts w:ascii="Arial Narrow" w:hAnsi="Arial Narrow" w:cs="Arial"/>
                <w:sz w:val="20"/>
                <w:szCs w:val="20"/>
              </w:rPr>
            </w:pPr>
            <w:r w:rsidRPr="00BE03FC">
              <w:rPr>
                <w:rFonts w:ascii="Arial Narrow" w:hAnsi="Arial Narrow" w:cs="Arial"/>
                <w:sz w:val="20"/>
                <w:szCs w:val="20"/>
              </w:rPr>
              <w:t>*corrected DPMQ</w:t>
            </w: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 xml:space="preserve">Category / </w:t>
            </w:r>
          </w:p>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Program</w:t>
            </w: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t>GENERAL – General Schedule (Code GE)</w:t>
            </w:r>
          </w:p>
          <w:p w:rsidR="00826F6D" w:rsidRPr="00BE03FC" w:rsidRDefault="00826F6D" w:rsidP="00C27B58">
            <w:pPr>
              <w:rPr>
                <w:rFonts w:ascii="Arial Narrow" w:hAnsi="Arial Narrow" w:cs="Arial"/>
                <w:sz w:val="20"/>
                <w:szCs w:val="20"/>
              </w:rPr>
            </w:pP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Prescriber type:</w:t>
            </w: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Check1"/>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 xml:space="preserve">Dental  </w:t>
            </w:r>
            <w:r w:rsidR="002D4D6B" w:rsidRPr="00BE03FC">
              <w:rPr>
                <w:rFonts w:ascii="Arial Narrow" w:hAnsi="Arial Narrow" w:cs="Arial"/>
                <w:sz w:val="20"/>
                <w:szCs w:val="20"/>
              </w:rPr>
              <w:fldChar w:fldCharType="begin">
                <w:ffData>
                  <w:name w:val=""/>
                  <w:enabled/>
                  <w:calcOnExit w:val="0"/>
                  <w:checkBox>
                    <w:sizeAuto/>
                    <w:default w:val="1"/>
                  </w:checkBox>
                </w:ffData>
              </w:fldChar>
            </w:r>
            <w:r w:rsidR="002D4D6B"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002D4D6B" w:rsidRPr="00BE03FC">
              <w:rPr>
                <w:rFonts w:ascii="Arial Narrow" w:hAnsi="Arial Narrow" w:cs="Arial"/>
                <w:sz w:val="20"/>
                <w:szCs w:val="20"/>
              </w:rPr>
              <w:fldChar w:fldCharType="end"/>
            </w:r>
            <w:r w:rsidRPr="00BE03FC">
              <w:rPr>
                <w:rFonts w:ascii="Arial Narrow" w:hAnsi="Arial Narrow" w:cs="Arial"/>
                <w:sz w:val="20"/>
                <w:szCs w:val="20"/>
              </w:rPr>
              <w:t xml:space="preserve">Medical Practitioners  </w:t>
            </w:r>
            <w:r w:rsidR="002D4D6B" w:rsidRPr="00BE03FC">
              <w:rPr>
                <w:rFonts w:ascii="Arial Narrow" w:hAnsi="Arial Narrow" w:cs="Arial"/>
                <w:sz w:val="20"/>
                <w:szCs w:val="20"/>
              </w:rPr>
              <w:fldChar w:fldCharType="begin">
                <w:ffData>
                  <w:name w:val="Check3"/>
                  <w:enabled/>
                  <w:calcOnExit w:val="0"/>
                  <w:checkBox>
                    <w:sizeAuto/>
                    <w:default w:val="1"/>
                  </w:checkBox>
                </w:ffData>
              </w:fldChar>
            </w:r>
            <w:r w:rsidR="002D4D6B" w:rsidRPr="00BE03FC">
              <w:rPr>
                <w:rFonts w:ascii="Arial Narrow" w:hAnsi="Arial Narrow" w:cs="Arial"/>
                <w:sz w:val="20"/>
                <w:szCs w:val="20"/>
              </w:rPr>
              <w:instrText xml:space="preserve"> </w:instrText>
            </w:r>
            <w:bookmarkStart w:id="0" w:name="Check3"/>
            <w:r w:rsidR="002D4D6B" w:rsidRPr="00BE03FC">
              <w:rPr>
                <w:rFonts w:ascii="Arial Narrow" w:hAnsi="Arial Narrow" w:cs="Arial"/>
                <w:sz w:val="20"/>
                <w:szCs w:val="20"/>
              </w:rPr>
              <w:instrText xml:space="preserve">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002D4D6B" w:rsidRPr="00BE03FC">
              <w:rPr>
                <w:rFonts w:ascii="Arial Narrow" w:hAnsi="Arial Narrow" w:cs="Arial"/>
                <w:sz w:val="20"/>
                <w:szCs w:val="20"/>
              </w:rPr>
              <w:fldChar w:fldCharType="end"/>
            </w:r>
            <w:bookmarkEnd w:id="0"/>
            <w:r w:rsidRPr="00BE03FC">
              <w:rPr>
                <w:rFonts w:ascii="Arial Narrow" w:hAnsi="Arial Narrow" w:cs="Arial"/>
                <w:sz w:val="20"/>
                <w:szCs w:val="20"/>
              </w:rPr>
              <w:t xml:space="preserve">Nurse practitioners  </w:t>
            </w:r>
            <w:r w:rsidRPr="00BE03FC">
              <w:rPr>
                <w:rFonts w:ascii="Arial Narrow" w:hAnsi="Arial Narrow" w:cs="Arial"/>
                <w:sz w:val="20"/>
                <w:szCs w:val="20"/>
              </w:rPr>
              <w:fldChar w:fldCharType="begin">
                <w:ffData>
                  <w:name w:val=""/>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Optometrists</w:t>
            </w:r>
          </w:p>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Check5"/>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Midwives</w:t>
            </w: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Condition:</w:t>
            </w: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AC464A" w:rsidP="00C27B58">
            <w:pPr>
              <w:rPr>
                <w:rFonts w:ascii="Arial Narrow" w:hAnsi="Arial Narrow" w:cs="Arial"/>
                <w:sz w:val="20"/>
                <w:szCs w:val="20"/>
              </w:rPr>
            </w:pPr>
            <w:r w:rsidRPr="00BE03FC">
              <w:rPr>
                <w:rFonts w:ascii="Arial Narrow" w:hAnsi="Arial Narrow" w:cs="Arial"/>
                <w:sz w:val="20"/>
                <w:szCs w:val="20"/>
              </w:rPr>
              <w:t>Urea cycle disorders</w:t>
            </w: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PBS Indication:</w:t>
            </w: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AC464A" w:rsidP="00C27B58">
            <w:pPr>
              <w:rPr>
                <w:rFonts w:ascii="Arial Narrow" w:hAnsi="Arial Narrow" w:cs="Arial"/>
                <w:sz w:val="20"/>
                <w:szCs w:val="20"/>
              </w:rPr>
            </w:pPr>
            <w:r w:rsidRPr="00BE03FC">
              <w:rPr>
                <w:rFonts w:ascii="Arial Narrow" w:hAnsi="Arial Narrow" w:cs="Arial"/>
                <w:sz w:val="20"/>
                <w:szCs w:val="20"/>
              </w:rPr>
              <w:t>Urea cycle disorders</w:t>
            </w: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Restriction Level / Method:</w:t>
            </w:r>
          </w:p>
          <w:p w:rsidR="00826F6D" w:rsidRPr="00BE03FC" w:rsidRDefault="00826F6D" w:rsidP="00C27B58">
            <w:pPr>
              <w:rPr>
                <w:rFonts w:ascii="Arial Narrow" w:hAnsi="Arial Narrow" w:cs="Arial"/>
                <w:sz w:val="20"/>
                <w:szCs w:val="20"/>
              </w:rPr>
            </w:pP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AC464A" w:rsidP="00C27B58">
            <w:pPr>
              <w:rPr>
                <w:rFonts w:ascii="Arial Narrow" w:hAnsi="Arial Narrow" w:cs="Arial"/>
                <w:sz w:val="20"/>
                <w:szCs w:val="20"/>
              </w:rPr>
            </w:pPr>
            <w:r w:rsidRPr="00BE03FC">
              <w:rPr>
                <w:rFonts w:ascii="Arial Narrow" w:hAnsi="Arial Narrow" w:cs="Arial"/>
                <w:sz w:val="20"/>
                <w:szCs w:val="20"/>
              </w:rPr>
              <w:fldChar w:fldCharType="begin">
                <w:ffData>
                  <w:name w:val="Check1"/>
                  <w:enabled/>
                  <w:calcOnExit w:val="0"/>
                  <w:checkBox>
                    <w:sizeAuto/>
                    <w:default w:val="1"/>
                  </w:checkBox>
                </w:ffData>
              </w:fldChar>
            </w:r>
            <w:r w:rsidRPr="00BE03FC">
              <w:rPr>
                <w:rFonts w:ascii="Arial Narrow" w:hAnsi="Arial Narrow" w:cs="Arial"/>
                <w:sz w:val="20"/>
                <w:szCs w:val="20"/>
              </w:rPr>
              <w:instrText xml:space="preserve"> </w:instrText>
            </w:r>
            <w:bookmarkStart w:id="1" w:name="Check1"/>
            <w:r w:rsidRPr="00BE03FC">
              <w:rPr>
                <w:rFonts w:ascii="Arial Narrow" w:hAnsi="Arial Narrow" w:cs="Arial"/>
                <w:sz w:val="20"/>
                <w:szCs w:val="20"/>
              </w:rPr>
              <w:instrText xml:space="preserve">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bookmarkEnd w:id="1"/>
            <w:r w:rsidR="00826F6D" w:rsidRPr="00BE03FC">
              <w:rPr>
                <w:rFonts w:ascii="Arial Narrow" w:hAnsi="Arial Narrow" w:cs="Arial"/>
                <w:sz w:val="20"/>
                <w:szCs w:val="20"/>
              </w:rPr>
              <w:t>Restricted benefit</w:t>
            </w:r>
          </w:p>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Authority Required - In Writing</w:t>
            </w:r>
          </w:p>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Check3"/>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Authority Required - Telephone</w:t>
            </w:r>
          </w:p>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Authority Required – Emergency</w:t>
            </w:r>
          </w:p>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Check5"/>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Authority Required - Electronic</w:t>
            </w:r>
          </w:p>
          <w:p w:rsidR="00826F6D" w:rsidRPr="00BE03FC" w:rsidRDefault="00826F6D" w:rsidP="00C27B58">
            <w:pPr>
              <w:rPr>
                <w:rFonts w:ascii="Arial Narrow" w:hAnsi="Arial Narrow" w:cs="Arial"/>
                <w:sz w:val="20"/>
                <w:szCs w:val="20"/>
              </w:rPr>
            </w:pPr>
            <w:r w:rsidRPr="00BE03FC">
              <w:rPr>
                <w:rFonts w:ascii="Arial Narrow" w:hAnsi="Arial Narrow" w:cs="Arial"/>
                <w:sz w:val="20"/>
                <w:szCs w:val="20"/>
              </w:rPr>
              <w:fldChar w:fldCharType="begin">
                <w:ffData>
                  <w:name w:val="Check5"/>
                  <w:enabled/>
                  <w:calcOnExit w:val="0"/>
                  <w:checkBox>
                    <w:sizeAuto/>
                    <w:default w:val="0"/>
                  </w:checkBox>
                </w:ffData>
              </w:fldChar>
            </w:r>
            <w:r w:rsidRPr="00BE03FC">
              <w:rPr>
                <w:rFonts w:ascii="Arial Narrow" w:hAnsi="Arial Narrow" w:cs="Arial"/>
                <w:sz w:val="20"/>
                <w:szCs w:val="20"/>
              </w:rPr>
              <w:instrText xml:space="preserve"> FORMCHECKBOX </w:instrText>
            </w:r>
            <w:r w:rsidR="00225D7F">
              <w:rPr>
                <w:rFonts w:ascii="Arial Narrow" w:hAnsi="Arial Narrow" w:cs="Arial"/>
                <w:sz w:val="20"/>
                <w:szCs w:val="20"/>
              </w:rPr>
            </w:r>
            <w:r w:rsidR="00225D7F">
              <w:rPr>
                <w:rFonts w:ascii="Arial Narrow" w:hAnsi="Arial Narrow" w:cs="Arial"/>
                <w:sz w:val="20"/>
                <w:szCs w:val="20"/>
              </w:rPr>
              <w:fldChar w:fldCharType="separate"/>
            </w:r>
            <w:r w:rsidRPr="00BE03FC">
              <w:rPr>
                <w:rFonts w:ascii="Arial Narrow" w:hAnsi="Arial Narrow" w:cs="Arial"/>
                <w:sz w:val="20"/>
                <w:szCs w:val="20"/>
              </w:rPr>
              <w:fldChar w:fldCharType="end"/>
            </w:r>
            <w:r w:rsidRPr="00BE03FC">
              <w:rPr>
                <w:rFonts w:ascii="Arial Narrow" w:hAnsi="Arial Narrow" w:cs="Arial"/>
                <w:sz w:val="20"/>
                <w:szCs w:val="20"/>
              </w:rPr>
              <w:t>Streamlined</w:t>
            </w: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Administrative Advice</w:t>
            </w:r>
          </w:p>
          <w:p w:rsidR="00826F6D" w:rsidRPr="00BE03FC" w:rsidRDefault="00826F6D" w:rsidP="00C27B58">
            <w:pPr>
              <w:jc w:val="both"/>
              <w:rPr>
                <w:rFonts w:ascii="Arial Narrow" w:hAnsi="Arial Narrow" w:cs="Arial"/>
                <w:i/>
                <w:sz w:val="20"/>
                <w:szCs w:val="20"/>
              </w:rPr>
            </w:pPr>
          </w:p>
          <w:p w:rsidR="00826F6D" w:rsidRPr="00BE03FC" w:rsidRDefault="00826F6D" w:rsidP="00C27B58">
            <w:pPr>
              <w:jc w:val="both"/>
              <w:rPr>
                <w:rFonts w:ascii="Arial Narrow" w:hAnsi="Arial Narrow" w:cs="Arial"/>
                <w:i/>
                <w:sz w:val="20"/>
                <w:szCs w:val="20"/>
              </w:rPr>
            </w:pP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AC464A" w:rsidP="00C27B58">
            <w:pPr>
              <w:rPr>
                <w:rFonts w:ascii="Arial Narrow" w:hAnsi="Arial Narrow" w:cs="Arial"/>
                <w:i/>
                <w:sz w:val="20"/>
                <w:szCs w:val="20"/>
              </w:rPr>
            </w:pPr>
            <w:r w:rsidRPr="00BE03FC">
              <w:rPr>
                <w:rFonts w:ascii="Arial Narrow" w:hAnsi="Arial Narrow" w:cs="Arial"/>
                <w:i/>
                <w:sz w:val="20"/>
                <w:szCs w:val="20"/>
              </w:rPr>
              <w:t>Arginine is not indicated for the treatment of arginase deficiency and other inborn errors of protein metabolism.</w:t>
            </w:r>
          </w:p>
        </w:tc>
      </w:tr>
      <w:tr w:rsidR="00826F6D" w:rsidRPr="00BE03FC" w:rsidTr="000568A2">
        <w:trPr>
          <w:gridAfter w:val="1"/>
          <w:wAfter w:w="8"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BE03FC" w:rsidRDefault="00826F6D" w:rsidP="00C27B58">
            <w:pPr>
              <w:jc w:val="both"/>
              <w:rPr>
                <w:rFonts w:ascii="Arial Narrow" w:hAnsi="Arial Narrow" w:cs="Arial"/>
                <w:b/>
                <w:sz w:val="20"/>
                <w:szCs w:val="20"/>
              </w:rPr>
            </w:pPr>
            <w:r w:rsidRPr="00BE03FC">
              <w:rPr>
                <w:rFonts w:ascii="Arial Narrow" w:hAnsi="Arial Narrow" w:cs="Arial"/>
                <w:b/>
                <w:sz w:val="20"/>
                <w:szCs w:val="20"/>
              </w:rPr>
              <w:t>Cautions</w:t>
            </w:r>
          </w:p>
          <w:p w:rsidR="00826F6D" w:rsidRPr="00BE03FC" w:rsidRDefault="00826F6D" w:rsidP="00AC464A">
            <w:pPr>
              <w:jc w:val="both"/>
              <w:rPr>
                <w:rFonts w:ascii="Arial Narrow" w:hAnsi="Arial Narrow" w:cs="Arial"/>
                <w:i/>
                <w:sz w:val="20"/>
                <w:szCs w:val="20"/>
              </w:rPr>
            </w:pPr>
          </w:p>
        </w:tc>
        <w:tc>
          <w:tcPr>
            <w:tcW w:w="3912" w:type="pct"/>
            <w:gridSpan w:val="6"/>
            <w:tcBorders>
              <w:top w:val="single" w:sz="4" w:space="0" w:color="auto"/>
              <w:left w:val="single" w:sz="4" w:space="0" w:color="auto"/>
              <w:bottom w:val="single" w:sz="4" w:space="0" w:color="auto"/>
              <w:right w:val="single" w:sz="4" w:space="0" w:color="auto"/>
            </w:tcBorders>
          </w:tcPr>
          <w:p w:rsidR="00826F6D" w:rsidRPr="00BE03FC" w:rsidRDefault="00AC464A" w:rsidP="00C27B58">
            <w:pPr>
              <w:rPr>
                <w:rFonts w:ascii="Arial Narrow" w:hAnsi="Arial Narrow" w:cs="Arial"/>
                <w:strike/>
                <w:sz w:val="20"/>
                <w:szCs w:val="20"/>
              </w:rPr>
            </w:pPr>
            <w:r w:rsidRPr="00BE03FC">
              <w:rPr>
                <w:rFonts w:ascii="Arial Narrow" w:hAnsi="Arial Narrow" w:cs="Arial"/>
                <w:strike/>
                <w:sz w:val="20"/>
                <w:szCs w:val="20"/>
              </w:rPr>
              <w:t>Arginine is not indicated for the treatment of arginase deficiency and other inborn errors of protein metabolism.</w:t>
            </w:r>
          </w:p>
        </w:tc>
      </w:tr>
    </w:tbl>
    <w:p w:rsidR="00C94810" w:rsidRPr="00BE03FC" w:rsidRDefault="00C94810" w:rsidP="005129D7">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Background</w:t>
      </w:r>
    </w:p>
    <w:p w:rsidR="00704DE3" w:rsidRPr="00BE03FC" w:rsidRDefault="00704DE3" w:rsidP="00203B36">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The sponsor of </w:t>
      </w:r>
      <w:r w:rsidR="00F33E4C" w:rsidRPr="00BE03FC">
        <w:rPr>
          <w:rFonts w:asciiTheme="minorHAnsi" w:hAnsiTheme="minorHAnsi"/>
        </w:rPr>
        <w:t>Arginine Easy®</w:t>
      </w:r>
      <w:r w:rsidRPr="00BE03FC">
        <w:rPr>
          <w:rFonts w:asciiTheme="minorHAnsi" w:hAnsiTheme="minorHAnsi"/>
        </w:rPr>
        <w:t xml:space="preserve"> confirms that it meets the requirements for foods that have medical purposes as set out under </w:t>
      </w:r>
      <w:r w:rsidRPr="00BE03FC">
        <w:rPr>
          <w:rFonts w:asciiTheme="minorHAnsi" w:hAnsiTheme="minorHAnsi"/>
          <w:i/>
        </w:rPr>
        <w:t>The Australia New Zealand Food Standards Code — Standard 2.9.5: Food for Special Medical Purposes</w:t>
      </w:r>
      <w:r w:rsidR="000116D2" w:rsidRPr="00BE03FC">
        <w:rPr>
          <w:rFonts w:asciiTheme="minorHAnsi" w:hAnsiTheme="minorHAnsi"/>
        </w:rPr>
        <w:t>.</w:t>
      </w:r>
      <w:r w:rsidR="00B4566B" w:rsidRPr="00BE03FC">
        <w:rPr>
          <w:rFonts w:asciiTheme="minorHAnsi" w:hAnsiTheme="minorHAnsi"/>
        </w:rPr>
        <w:t xml:space="preserve"> The </w:t>
      </w:r>
      <w:r w:rsidR="004B510C" w:rsidRPr="00BE03FC">
        <w:rPr>
          <w:rFonts w:asciiTheme="minorHAnsi" w:hAnsiTheme="minorHAnsi"/>
        </w:rPr>
        <w:t>PBAC noted</w:t>
      </w:r>
      <w:r w:rsidR="00B4566B" w:rsidRPr="00BE03FC">
        <w:rPr>
          <w:rFonts w:asciiTheme="minorHAnsi" w:hAnsiTheme="minorHAnsi"/>
        </w:rPr>
        <w:t xml:space="preserve"> that it is possible that this product is not a food that has a medical purpose but is a </w:t>
      </w:r>
      <w:r w:rsidR="00692AB0" w:rsidRPr="00BE03FC">
        <w:rPr>
          <w:rFonts w:asciiTheme="minorHAnsi" w:hAnsiTheme="minorHAnsi"/>
        </w:rPr>
        <w:t xml:space="preserve">therapeutic good </w:t>
      </w:r>
      <w:r w:rsidR="00B4566B" w:rsidRPr="00BE03FC">
        <w:rPr>
          <w:rFonts w:asciiTheme="minorHAnsi" w:hAnsiTheme="minorHAnsi"/>
        </w:rPr>
        <w:t xml:space="preserve">and should be registered with the TGA.  The Sponsor </w:t>
      </w:r>
      <w:r w:rsidR="004B510C" w:rsidRPr="00BE03FC">
        <w:rPr>
          <w:rFonts w:asciiTheme="minorHAnsi" w:hAnsiTheme="minorHAnsi"/>
        </w:rPr>
        <w:t xml:space="preserve">was </w:t>
      </w:r>
      <w:r w:rsidR="00B4566B" w:rsidRPr="00BE03FC">
        <w:rPr>
          <w:rFonts w:asciiTheme="minorHAnsi" w:hAnsiTheme="minorHAnsi"/>
        </w:rPr>
        <w:t xml:space="preserve">requested to address </w:t>
      </w:r>
      <w:r w:rsidR="004B510C" w:rsidRPr="00BE03FC">
        <w:rPr>
          <w:rFonts w:asciiTheme="minorHAnsi" w:hAnsiTheme="minorHAnsi"/>
        </w:rPr>
        <w:t>this</w:t>
      </w:r>
      <w:r w:rsidR="00B4566B" w:rsidRPr="00BE03FC">
        <w:rPr>
          <w:rFonts w:asciiTheme="minorHAnsi" w:hAnsiTheme="minorHAnsi"/>
        </w:rPr>
        <w:t xml:space="preserve"> issue as to why this product should be regulated under the </w:t>
      </w:r>
      <w:proofErr w:type="spellStart"/>
      <w:r w:rsidR="00B4566B" w:rsidRPr="00BE03FC">
        <w:rPr>
          <w:rFonts w:asciiTheme="minorHAnsi" w:hAnsiTheme="minorHAnsi"/>
          <w:u w:val="single"/>
        </w:rPr>
        <w:lastRenderedPageBreak/>
        <w:t>The</w:t>
      </w:r>
      <w:proofErr w:type="spellEnd"/>
      <w:r w:rsidR="00B4566B" w:rsidRPr="00BE03FC">
        <w:rPr>
          <w:rFonts w:asciiTheme="minorHAnsi" w:hAnsiTheme="minorHAnsi"/>
          <w:u w:val="single"/>
        </w:rPr>
        <w:t xml:space="preserve"> Australia New Zealand Food Standards Code — Standard 2.9.5: Food for Special Medical Purposes</w:t>
      </w:r>
      <w:r w:rsidR="00B4566B" w:rsidRPr="00BE03FC">
        <w:rPr>
          <w:rFonts w:asciiTheme="minorHAnsi" w:hAnsiTheme="minorHAnsi"/>
        </w:rPr>
        <w:t xml:space="preserve"> and not </w:t>
      </w:r>
      <w:r w:rsidR="00692AB0" w:rsidRPr="00BE03FC">
        <w:rPr>
          <w:rFonts w:asciiTheme="minorHAnsi" w:hAnsiTheme="minorHAnsi"/>
        </w:rPr>
        <w:t xml:space="preserve">by </w:t>
      </w:r>
      <w:r w:rsidR="00B4566B" w:rsidRPr="00BE03FC">
        <w:rPr>
          <w:rFonts w:asciiTheme="minorHAnsi" w:hAnsiTheme="minorHAnsi"/>
        </w:rPr>
        <w:t>the TGA.</w:t>
      </w:r>
    </w:p>
    <w:p w:rsidR="000116D2" w:rsidRPr="00BE03FC" w:rsidRDefault="000116D2" w:rsidP="000116D2">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Arginine Easy® has not been previously considered by the PBAC. </w:t>
      </w:r>
    </w:p>
    <w:p w:rsidR="00FE1CBC" w:rsidRPr="00BE03FC" w:rsidRDefault="00FE1CBC" w:rsidP="00FE1CBC">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The minor submission indicated </w:t>
      </w:r>
      <w:r w:rsidR="009213D8" w:rsidRPr="00BE03FC">
        <w:rPr>
          <w:rFonts w:asciiTheme="minorHAnsi" w:hAnsiTheme="minorHAnsi"/>
        </w:rPr>
        <w:t>that Arginine</w:t>
      </w:r>
      <w:r w:rsidRPr="00BE03FC">
        <w:rPr>
          <w:rFonts w:asciiTheme="minorHAnsi" w:hAnsiTheme="minorHAnsi"/>
        </w:rPr>
        <w:t xml:space="preserve"> Easy® tablets may be more convenient for older children and adult patients </w:t>
      </w:r>
      <w:r w:rsidR="009213D8" w:rsidRPr="00BE03FC">
        <w:rPr>
          <w:rFonts w:asciiTheme="minorHAnsi" w:hAnsiTheme="minorHAnsi"/>
        </w:rPr>
        <w:t xml:space="preserve">compared with the currently listed powder forms of arginine. </w:t>
      </w:r>
    </w:p>
    <w:p w:rsidR="009213D8" w:rsidRPr="00BE03FC" w:rsidRDefault="009213D8" w:rsidP="009213D8">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The minor submission also noted that Arginine Easy® are uncoated to allow for crushing and administration via nasogastric tubes. </w:t>
      </w:r>
    </w:p>
    <w:p w:rsidR="0032679B" w:rsidRPr="00BE03FC" w:rsidRDefault="0032679B" w:rsidP="009213D8">
      <w:pPr>
        <w:pStyle w:val="ListParagraph"/>
        <w:numPr>
          <w:ilvl w:val="1"/>
          <w:numId w:val="2"/>
        </w:numPr>
        <w:spacing w:after="120"/>
        <w:contextualSpacing w:val="0"/>
        <w:jc w:val="both"/>
        <w:rPr>
          <w:rFonts w:asciiTheme="minorHAnsi" w:hAnsiTheme="minorHAnsi"/>
        </w:rPr>
      </w:pPr>
      <w:r w:rsidRPr="00BE03FC">
        <w:rPr>
          <w:rFonts w:asciiTheme="minorHAnsi" w:hAnsiTheme="minorHAnsi"/>
        </w:rPr>
        <w:t>Arginine 500</w:t>
      </w:r>
      <w:r w:rsidR="004D77BF" w:rsidRPr="00BE03FC">
        <w:rPr>
          <w:rFonts w:asciiTheme="minorHAnsi" w:hAnsiTheme="minorHAnsi"/>
        </w:rPr>
        <w:t>®</w:t>
      </w:r>
      <w:r w:rsidRPr="00BE03FC">
        <w:rPr>
          <w:rFonts w:asciiTheme="minorHAnsi" w:hAnsiTheme="minorHAnsi"/>
        </w:rPr>
        <w:t xml:space="preserve"> was recommended for listing by the PBAC at its March 2009 meeting and was the first arginine supplement recommended for listing by the PBAC. Currently, there are three different arginine supplements listed on the PBS (Arginine 500</w:t>
      </w:r>
      <w:r w:rsidR="004D77BF" w:rsidRPr="00BE03FC">
        <w:rPr>
          <w:rFonts w:asciiTheme="minorHAnsi" w:hAnsiTheme="minorHAnsi"/>
        </w:rPr>
        <w:t>®</w:t>
      </w:r>
      <w:r w:rsidRPr="00BE03FC">
        <w:rPr>
          <w:rFonts w:asciiTheme="minorHAnsi" w:hAnsiTheme="minorHAnsi"/>
        </w:rPr>
        <w:t>, Arginine 2000</w:t>
      </w:r>
      <w:r w:rsidR="004D77BF" w:rsidRPr="00BE03FC">
        <w:rPr>
          <w:rFonts w:asciiTheme="minorHAnsi" w:hAnsiTheme="minorHAnsi"/>
        </w:rPr>
        <w:t>®</w:t>
      </w:r>
      <w:r w:rsidRPr="00BE03FC">
        <w:rPr>
          <w:rFonts w:asciiTheme="minorHAnsi" w:hAnsiTheme="minorHAnsi"/>
        </w:rPr>
        <w:t xml:space="preserve"> and Arginine 5000</w:t>
      </w:r>
      <w:r w:rsidR="004D77BF" w:rsidRPr="00BE03FC">
        <w:rPr>
          <w:rFonts w:asciiTheme="minorHAnsi" w:hAnsiTheme="minorHAnsi"/>
        </w:rPr>
        <w:t>®</w:t>
      </w:r>
      <w:r w:rsidRPr="00BE03FC">
        <w:rPr>
          <w:rFonts w:asciiTheme="minorHAnsi" w:hAnsiTheme="minorHAnsi"/>
        </w:rPr>
        <w:t xml:space="preserve">) all in powder form. </w:t>
      </w:r>
    </w:p>
    <w:p w:rsidR="00CD4453" w:rsidRPr="00BE03FC" w:rsidRDefault="00CD4453" w:rsidP="00CD4453">
      <w:pPr>
        <w:pStyle w:val="ListParagraph"/>
        <w:spacing w:after="120"/>
        <w:contextualSpacing w:val="0"/>
        <w:jc w:val="both"/>
        <w:rPr>
          <w:rFonts w:asciiTheme="minorHAnsi" w:hAnsiTheme="minorHAnsi"/>
        </w:rPr>
      </w:pPr>
      <w:r w:rsidRPr="00BE03FC">
        <w:rPr>
          <w:rFonts w:ascii="Calibri" w:hAnsi="Calibri"/>
          <w:i/>
          <w:szCs w:val="22"/>
        </w:rPr>
        <w:t xml:space="preserve">For more detail on PBAC’s view, see section </w:t>
      </w:r>
      <w:r w:rsidR="00B17A63" w:rsidRPr="00BE03FC">
        <w:rPr>
          <w:rFonts w:ascii="Calibri" w:hAnsi="Calibri"/>
          <w:i/>
          <w:szCs w:val="22"/>
        </w:rPr>
        <w:t>6</w:t>
      </w:r>
      <w:r w:rsidRPr="00BE03FC">
        <w:rPr>
          <w:rFonts w:ascii="Calibri" w:hAnsi="Calibri"/>
          <w:i/>
          <w:szCs w:val="22"/>
        </w:rPr>
        <w:t xml:space="preserve"> PBAC outcome</w:t>
      </w:r>
    </w:p>
    <w:p w:rsidR="005A3173" w:rsidRPr="00BE03FC" w:rsidRDefault="005A3173" w:rsidP="005129D7">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Comparator</w:t>
      </w:r>
    </w:p>
    <w:p w:rsidR="00C35996" w:rsidRPr="00BE03FC" w:rsidRDefault="00FF2801" w:rsidP="00564A3D">
      <w:pPr>
        <w:pStyle w:val="ListParagraph"/>
        <w:numPr>
          <w:ilvl w:val="1"/>
          <w:numId w:val="2"/>
        </w:numPr>
        <w:spacing w:after="120"/>
        <w:contextualSpacing w:val="0"/>
        <w:jc w:val="both"/>
        <w:rPr>
          <w:rFonts w:asciiTheme="minorHAnsi" w:hAnsiTheme="minorHAnsi"/>
        </w:rPr>
      </w:pPr>
      <w:r w:rsidRPr="00BE03FC">
        <w:rPr>
          <w:rFonts w:asciiTheme="minorHAnsi" w:hAnsiTheme="minorHAnsi"/>
        </w:rPr>
        <w:t>The minor submission nominated</w:t>
      </w:r>
      <w:r w:rsidR="000116D2" w:rsidRPr="00BE03FC">
        <w:rPr>
          <w:rFonts w:asciiTheme="minorHAnsi" w:hAnsiTheme="minorHAnsi"/>
          <w:b/>
        </w:rPr>
        <w:t xml:space="preserve"> </w:t>
      </w:r>
      <w:r w:rsidR="001F45B8" w:rsidRPr="00BE03FC">
        <w:rPr>
          <w:rFonts w:asciiTheme="minorHAnsi" w:hAnsiTheme="minorHAnsi"/>
        </w:rPr>
        <w:t>Arginine 500</w:t>
      </w:r>
      <w:r w:rsidR="00564A3D" w:rsidRPr="00BE03FC">
        <w:rPr>
          <w:rFonts w:asciiTheme="minorHAnsi" w:hAnsiTheme="minorHAnsi"/>
        </w:rPr>
        <w:t>®</w:t>
      </w:r>
      <w:r w:rsidR="001F45B8" w:rsidRPr="00BE03FC">
        <w:rPr>
          <w:rFonts w:asciiTheme="minorHAnsi" w:hAnsiTheme="minorHAnsi"/>
        </w:rPr>
        <w:t xml:space="preserve"> as the main comparator.</w:t>
      </w:r>
    </w:p>
    <w:p w:rsidR="008A1956" w:rsidRPr="00BE03FC" w:rsidRDefault="001F45B8" w:rsidP="00063976">
      <w:pPr>
        <w:pStyle w:val="ListParagraph"/>
        <w:numPr>
          <w:ilvl w:val="1"/>
          <w:numId w:val="2"/>
        </w:numPr>
        <w:spacing w:after="120"/>
        <w:contextualSpacing w:val="0"/>
        <w:jc w:val="both"/>
        <w:rPr>
          <w:rFonts w:asciiTheme="minorHAnsi" w:hAnsiTheme="minorHAnsi"/>
        </w:rPr>
      </w:pPr>
      <w:r w:rsidRPr="00BE03FC">
        <w:rPr>
          <w:rFonts w:asciiTheme="minorHAnsi" w:hAnsiTheme="minorHAnsi"/>
        </w:rPr>
        <w:t>The minor submission noted that Arginine Easy® contains a lower amount of energy (16.8 kilojoules per tablet compared with 63 kilojoules per sachet of Arginine 500</w:t>
      </w:r>
      <w:r w:rsidR="004D77BF" w:rsidRPr="00BE03FC">
        <w:rPr>
          <w:rFonts w:asciiTheme="minorHAnsi" w:hAnsiTheme="minorHAnsi"/>
        </w:rPr>
        <w:t>®</w:t>
      </w:r>
      <w:r w:rsidRPr="00BE03FC">
        <w:rPr>
          <w:rFonts w:asciiTheme="minorHAnsi" w:hAnsiTheme="minorHAnsi"/>
        </w:rPr>
        <w:t>) and carbohydrate (</w:t>
      </w:r>
      <w:r w:rsidR="00063976" w:rsidRPr="00BE03FC">
        <w:rPr>
          <w:rFonts w:asciiTheme="minorHAnsi" w:hAnsiTheme="minorHAnsi"/>
        </w:rPr>
        <w:t>0 grams per tablet compared with 3.3 grams per sachet of Arginine 500</w:t>
      </w:r>
      <w:r w:rsidR="004D77BF" w:rsidRPr="00BE03FC">
        <w:rPr>
          <w:rFonts w:asciiTheme="minorHAnsi" w:hAnsiTheme="minorHAnsi"/>
        </w:rPr>
        <w:t>®</w:t>
      </w:r>
      <w:r w:rsidR="00063976" w:rsidRPr="00BE03FC">
        <w:rPr>
          <w:rFonts w:asciiTheme="minorHAnsi" w:hAnsiTheme="minorHAnsi"/>
        </w:rPr>
        <w:t xml:space="preserve">). The minor submission stated that Arginine Easy® may be beneficial to patients wanting to minimise energy intake. </w:t>
      </w:r>
    </w:p>
    <w:p w:rsidR="00BB7EC3" w:rsidRPr="00BE03FC" w:rsidRDefault="008D7A41" w:rsidP="005129D7">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C</w:t>
      </w:r>
      <w:r w:rsidR="00D84934" w:rsidRPr="00BE03FC">
        <w:rPr>
          <w:rFonts w:asciiTheme="minorHAnsi" w:eastAsiaTheme="majorEastAsia" w:hAnsiTheme="minorHAnsi" w:cstheme="majorBidi"/>
          <w:sz w:val="32"/>
          <w:szCs w:val="28"/>
          <w:lang w:eastAsia="en-US"/>
        </w:rPr>
        <w:t>onsideration of the evidence</w:t>
      </w:r>
    </w:p>
    <w:p w:rsidR="00B17A63" w:rsidRPr="00BE03FC" w:rsidRDefault="00B17A63" w:rsidP="005129D7">
      <w:pPr>
        <w:pStyle w:val="Heading2"/>
        <w:keepLines/>
        <w:spacing w:before="120" w:after="120"/>
        <w:rPr>
          <w:rFonts w:asciiTheme="minorHAnsi" w:eastAsiaTheme="majorEastAsia" w:hAnsiTheme="minorHAnsi" w:cstheme="majorBidi"/>
          <w:sz w:val="28"/>
          <w:szCs w:val="28"/>
          <w:lang w:eastAsia="en-US"/>
        </w:rPr>
      </w:pPr>
      <w:r w:rsidRPr="00BE03FC">
        <w:rPr>
          <w:rFonts w:asciiTheme="minorHAnsi" w:eastAsiaTheme="majorEastAsia" w:hAnsiTheme="minorHAnsi" w:cstheme="majorBidi"/>
          <w:sz w:val="28"/>
          <w:szCs w:val="28"/>
          <w:lang w:eastAsia="en-US"/>
        </w:rPr>
        <w:t xml:space="preserve">Sponsor hearing </w:t>
      </w:r>
    </w:p>
    <w:p w:rsidR="00B17A63" w:rsidRPr="00BE03FC" w:rsidRDefault="00B17A63" w:rsidP="00B17A63">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There was no hearing for this item as it was a minor submission. </w:t>
      </w:r>
    </w:p>
    <w:p w:rsidR="00B17A63" w:rsidRPr="00BE03FC" w:rsidRDefault="00B17A63" w:rsidP="005129D7">
      <w:pPr>
        <w:pStyle w:val="Heading2"/>
        <w:keepLines/>
        <w:spacing w:before="120" w:after="120"/>
        <w:rPr>
          <w:rFonts w:asciiTheme="minorHAnsi" w:eastAsiaTheme="majorEastAsia" w:hAnsiTheme="minorHAnsi" w:cstheme="majorBidi"/>
          <w:sz w:val="28"/>
          <w:szCs w:val="28"/>
          <w:lang w:eastAsia="en-US"/>
        </w:rPr>
      </w:pPr>
      <w:r w:rsidRPr="00BE03FC">
        <w:rPr>
          <w:rFonts w:asciiTheme="minorHAnsi" w:eastAsiaTheme="majorEastAsia" w:hAnsiTheme="minorHAnsi" w:cstheme="majorBidi"/>
          <w:sz w:val="28"/>
          <w:szCs w:val="28"/>
          <w:lang w:eastAsia="en-US"/>
        </w:rPr>
        <w:t>Consumer comments</w:t>
      </w:r>
    </w:p>
    <w:p w:rsidR="00B17A63" w:rsidRPr="00BE03FC" w:rsidRDefault="00B17A63" w:rsidP="00B17A63">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The PBAC noted that no consumer comments were received for this item. </w:t>
      </w:r>
    </w:p>
    <w:p w:rsidR="00D84934" w:rsidRPr="00BE03FC" w:rsidRDefault="00D84934" w:rsidP="005129D7">
      <w:pPr>
        <w:pStyle w:val="Heading2"/>
        <w:keepLines/>
        <w:spacing w:before="120" w:after="120"/>
        <w:rPr>
          <w:rFonts w:asciiTheme="minorHAnsi" w:eastAsiaTheme="majorEastAsia" w:hAnsiTheme="minorHAnsi" w:cstheme="majorBidi"/>
          <w:sz w:val="28"/>
          <w:szCs w:val="28"/>
          <w:lang w:eastAsia="en-US"/>
        </w:rPr>
      </w:pPr>
      <w:r w:rsidRPr="00BE03FC">
        <w:rPr>
          <w:rFonts w:asciiTheme="minorHAnsi" w:eastAsiaTheme="majorEastAsia" w:hAnsiTheme="minorHAnsi" w:cstheme="majorBidi"/>
          <w:sz w:val="28"/>
          <w:szCs w:val="28"/>
          <w:lang w:eastAsia="en-US"/>
        </w:rPr>
        <w:t>Clinical trials</w:t>
      </w:r>
    </w:p>
    <w:p w:rsidR="0076420C" w:rsidRPr="00BE03FC" w:rsidRDefault="0076420C" w:rsidP="00A8691F">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As a minor submission, no clinical trials </w:t>
      </w:r>
      <w:r w:rsidR="00FF2801" w:rsidRPr="00BE03FC">
        <w:rPr>
          <w:rFonts w:asciiTheme="minorHAnsi" w:hAnsiTheme="minorHAnsi"/>
        </w:rPr>
        <w:t>were</w:t>
      </w:r>
      <w:r w:rsidRPr="00BE03FC">
        <w:rPr>
          <w:rFonts w:asciiTheme="minorHAnsi" w:hAnsiTheme="minorHAnsi"/>
        </w:rPr>
        <w:t xml:space="preserve"> presented in the submission.</w:t>
      </w:r>
    </w:p>
    <w:p w:rsidR="004A1C9F" w:rsidRPr="00BE03FC" w:rsidRDefault="004A1C9F" w:rsidP="00A8691F">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In consideration of the submission, the Nutritional Products Working Party (NPWP) noted that: </w:t>
      </w:r>
    </w:p>
    <w:p w:rsidR="004A1C9F" w:rsidRPr="00BE03FC" w:rsidRDefault="004A1C9F" w:rsidP="0011092F">
      <w:pPr>
        <w:pStyle w:val="ListParagraph"/>
        <w:numPr>
          <w:ilvl w:val="0"/>
          <w:numId w:val="23"/>
        </w:numPr>
        <w:spacing w:after="120"/>
        <w:contextualSpacing w:val="0"/>
        <w:jc w:val="both"/>
        <w:rPr>
          <w:rFonts w:asciiTheme="minorHAnsi" w:hAnsiTheme="minorHAnsi"/>
        </w:rPr>
      </w:pPr>
      <w:r w:rsidRPr="00BE03FC">
        <w:rPr>
          <w:rFonts w:asciiTheme="minorHAnsi" w:hAnsiTheme="minorHAnsi"/>
        </w:rPr>
        <w:t xml:space="preserve">The sponsor </w:t>
      </w:r>
      <w:r w:rsidR="0011092F" w:rsidRPr="00BE03FC">
        <w:rPr>
          <w:rFonts w:asciiTheme="minorHAnsi" w:hAnsiTheme="minorHAnsi"/>
        </w:rPr>
        <w:t>provided a suitable comparison against the requirements for foods that have medical purposes as set out under The Australia New Zealand Food Standards Code — Standard 2.9.5: Food for Special Medical Purposes.</w:t>
      </w:r>
    </w:p>
    <w:p w:rsidR="00A078DB" w:rsidRPr="00BE03FC" w:rsidRDefault="00A078DB" w:rsidP="00A078DB">
      <w:pPr>
        <w:pStyle w:val="ListParagraph"/>
        <w:numPr>
          <w:ilvl w:val="0"/>
          <w:numId w:val="23"/>
        </w:numPr>
        <w:spacing w:after="120"/>
        <w:contextualSpacing w:val="0"/>
        <w:jc w:val="both"/>
        <w:rPr>
          <w:rFonts w:asciiTheme="minorHAnsi" w:hAnsiTheme="minorHAnsi"/>
        </w:rPr>
      </w:pPr>
      <w:r w:rsidRPr="00BE03FC">
        <w:rPr>
          <w:rFonts w:asciiTheme="minorHAnsi" w:hAnsiTheme="minorHAnsi"/>
        </w:rPr>
        <w:t xml:space="preserve">The sponsor’s proposed comparator Arginine 500® was appropriate. The NPWP also considered that Arginine 2000® and 5000® were also relevant comparators. </w:t>
      </w:r>
    </w:p>
    <w:p w:rsidR="0011092F" w:rsidRPr="00BE03FC" w:rsidRDefault="0011092F" w:rsidP="0011092F">
      <w:pPr>
        <w:pStyle w:val="ListParagraph"/>
        <w:numPr>
          <w:ilvl w:val="0"/>
          <w:numId w:val="23"/>
        </w:numPr>
        <w:spacing w:after="120"/>
        <w:contextualSpacing w:val="0"/>
        <w:jc w:val="both"/>
        <w:rPr>
          <w:rFonts w:asciiTheme="minorHAnsi" w:hAnsiTheme="minorHAnsi"/>
        </w:rPr>
      </w:pPr>
      <w:r w:rsidRPr="00BE03FC">
        <w:rPr>
          <w:rFonts w:asciiTheme="minorHAnsi" w:hAnsiTheme="minorHAnsi"/>
        </w:rPr>
        <w:lastRenderedPageBreak/>
        <w:t>One Arginine Easy® tablet contained a lower amount of energy than one sachet of Arginine 500® and considered that the tablet form of arginine may be more convenient for some patients.</w:t>
      </w:r>
    </w:p>
    <w:p w:rsidR="0011092F" w:rsidRPr="00BE03FC" w:rsidRDefault="0011092F" w:rsidP="0011092F">
      <w:pPr>
        <w:pStyle w:val="ListParagraph"/>
        <w:numPr>
          <w:ilvl w:val="0"/>
          <w:numId w:val="23"/>
        </w:numPr>
        <w:spacing w:after="120"/>
        <w:contextualSpacing w:val="0"/>
        <w:jc w:val="both"/>
        <w:rPr>
          <w:rFonts w:asciiTheme="minorHAnsi" w:hAnsiTheme="minorHAnsi"/>
        </w:rPr>
      </w:pPr>
      <w:r w:rsidRPr="00BE03FC">
        <w:rPr>
          <w:rFonts w:asciiTheme="minorHAnsi" w:hAnsiTheme="minorHAnsi"/>
        </w:rPr>
        <w:t>There is a higher amount of protein equivalent in one tablet of Arginine Easy® (0.9 g) compared with one sachet of Arginine 500® (0.4 g). The NPWP noted that the submission did not contain a clinical justification for the higher protein equivalent concentration compared to Arginine 500®. The NPWP was concerned that the high</w:t>
      </w:r>
      <w:r w:rsidR="00A57A5D" w:rsidRPr="00BE03FC">
        <w:rPr>
          <w:rFonts w:asciiTheme="minorHAnsi" w:hAnsiTheme="minorHAnsi"/>
        </w:rPr>
        <w:t xml:space="preserve"> amount of protein</w:t>
      </w:r>
      <w:r w:rsidRPr="00BE03FC">
        <w:rPr>
          <w:rFonts w:asciiTheme="minorHAnsi" w:hAnsiTheme="minorHAnsi"/>
        </w:rPr>
        <w:t xml:space="preserve"> equivalen</w:t>
      </w:r>
      <w:r w:rsidR="00A57A5D" w:rsidRPr="00BE03FC">
        <w:rPr>
          <w:rFonts w:asciiTheme="minorHAnsi" w:hAnsiTheme="minorHAnsi"/>
        </w:rPr>
        <w:t>t</w:t>
      </w:r>
      <w:r w:rsidRPr="00BE03FC">
        <w:rPr>
          <w:rFonts w:asciiTheme="minorHAnsi" w:hAnsiTheme="minorHAnsi"/>
        </w:rPr>
        <w:t xml:space="preserve"> may prove detrimental to patients on highly restricted protein diets and may result in protein overload or the removal of other sources of protein from the diet.</w:t>
      </w:r>
    </w:p>
    <w:p w:rsidR="0011092F" w:rsidRPr="00BE03FC" w:rsidRDefault="0011092F" w:rsidP="003B1B4E">
      <w:pPr>
        <w:pStyle w:val="ListParagraph"/>
        <w:numPr>
          <w:ilvl w:val="1"/>
          <w:numId w:val="2"/>
        </w:numPr>
        <w:spacing w:after="120"/>
        <w:contextualSpacing w:val="0"/>
        <w:jc w:val="both"/>
        <w:rPr>
          <w:rFonts w:asciiTheme="minorHAnsi" w:hAnsiTheme="minorHAnsi"/>
        </w:rPr>
      </w:pPr>
      <w:r w:rsidRPr="003B1B4E">
        <w:rPr>
          <w:rFonts w:asciiTheme="minorHAnsi" w:hAnsiTheme="minorHAnsi"/>
        </w:rPr>
        <w:t xml:space="preserve">The NPWP did not support the request to list Arginine Easy® for the </w:t>
      </w:r>
      <w:r w:rsidR="00C31677" w:rsidRPr="003B1B4E">
        <w:rPr>
          <w:rFonts w:asciiTheme="minorHAnsi" w:hAnsiTheme="minorHAnsi"/>
        </w:rPr>
        <w:t>dietary management</w:t>
      </w:r>
      <w:r w:rsidRPr="003B1B4E">
        <w:rPr>
          <w:rFonts w:asciiTheme="minorHAnsi" w:hAnsiTheme="minorHAnsi"/>
        </w:rPr>
        <w:t xml:space="preserve"> of urea cycle disorders. The NPWP noted that the sponsor did not compare the total protein content between Arginine Easy® and its comparator in the submission. Based on the nutritional content data provided in the submission attachments, the NPWP noted that Arginine Easy® contains 0.9 g protein per tablet, which is a significant increase in total protein content over the comparator especially for patients with urea cycle disorders who are on a restrictive diet. The NPWP has requested that the sponsor provide a response on the clinical evidence to support this increase in total protein over the comparator. </w:t>
      </w:r>
    </w:p>
    <w:p w:rsidR="005A3173" w:rsidRPr="00BE03FC" w:rsidRDefault="005A3173" w:rsidP="005129D7">
      <w:pPr>
        <w:pStyle w:val="Heading2"/>
        <w:keepLines/>
        <w:tabs>
          <w:tab w:val="right" w:pos="9026"/>
        </w:tabs>
        <w:spacing w:before="120" w:after="120"/>
        <w:rPr>
          <w:rFonts w:asciiTheme="minorHAnsi" w:eastAsiaTheme="majorEastAsia" w:hAnsiTheme="minorHAnsi" w:cstheme="majorBidi"/>
          <w:sz w:val="28"/>
          <w:szCs w:val="28"/>
          <w:lang w:eastAsia="en-US"/>
        </w:rPr>
      </w:pPr>
      <w:r w:rsidRPr="00BE03FC">
        <w:rPr>
          <w:rFonts w:asciiTheme="minorHAnsi" w:eastAsiaTheme="majorEastAsia" w:hAnsiTheme="minorHAnsi" w:cstheme="majorBidi"/>
          <w:sz w:val="28"/>
          <w:szCs w:val="28"/>
          <w:lang w:eastAsia="en-US"/>
        </w:rPr>
        <w:t>Estimated PBS usage &amp; financial implications</w:t>
      </w:r>
      <w:r w:rsidR="00E616B9" w:rsidRPr="00BE03FC">
        <w:rPr>
          <w:rFonts w:asciiTheme="minorHAnsi" w:eastAsiaTheme="majorEastAsia" w:hAnsiTheme="minorHAnsi" w:cstheme="majorBidi"/>
          <w:sz w:val="28"/>
          <w:szCs w:val="28"/>
          <w:lang w:eastAsia="en-US"/>
        </w:rPr>
        <w:tab/>
      </w:r>
    </w:p>
    <w:p w:rsidR="00BB7EC3" w:rsidRPr="00BE03FC" w:rsidRDefault="00CE3FC5" w:rsidP="0039302B">
      <w:pPr>
        <w:pStyle w:val="ListParagraph"/>
        <w:numPr>
          <w:ilvl w:val="1"/>
          <w:numId w:val="2"/>
        </w:numPr>
        <w:spacing w:after="120"/>
        <w:contextualSpacing w:val="0"/>
        <w:jc w:val="both"/>
        <w:rPr>
          <w:rFonts w:asciiTheme="minorHAnsi" w:hAnsiTheme="minorHAnsi"/>
          <w:i/>
        </w:rPr>
      </w:pPr>
      <w:r w:rsidRPr="00BE03FC">
        <w:rPr>
          <w:rFonts w:asciiTheme="minorHAnsi" w:hAnsiTheme="minorHAnsi"/>
        </w:rPr>
        <w:t xml:space="preserve">The minor </w:t>
      </w:r>
      <w:r w:rsidR="00981CCF">
        <w:rPr>
          <w:rFonts w:asciiTheme="minorHAnsi" w:hAnsiTheme="minorHAnsi"/>
        </w:rPr>
        <w:t xml:space="preserve">submission proposed an AEMP of </w:t>
      </w:r>
      <w:r w:rsidR="00B25B1B" w:rsidRPr="00B25B1B">
        <w:rPr>
          <w:rFonts w:asciiTheme="minorHAnsi" w:hAnsiTheme="minorHAnsi"/>
        </w:rPr>
        <w:t>$</w:t>
      </w:r>
      <w:r w:rsidR="00E43DAC">
        <w:rPr>
          <w:rFonts w:asciiTheme="minorHAnsi" w:hAnsiTheme="minorHAnsi"/>
          <w:noProof/>
          <w:color w:val="000000"/>
          <w:highlight w:val="black"/>
        </w:rPr>
        <w:t>'''''''''''''''''</w:t>
      </w:r>
      <w:r w:rsidR="00B25B1B" w:rsidRPr="00B25B1B">
        <w:rPr>
          <w:rFonts w:asciiTheme="minorHAnsi" w:hAnsiTheme="minorHAnsi"/>
        </w:rPr>
        <w:t xml:space="preserve"> </w:t>
      </w:r>
      <w:r w:rsidRPr="00BE03FC">
        <w:rPr>
          <w:rFonts w:asciiTheme="minorHAnsi" w:hAnsiTheme="minorHAnsi"/>
        </w:rPr>
        <w:t>per pack based on an equivalent cost per gram of arginine compared with Arginine 500</w:t>
      </w:r>
      <w:r w:rsidR="004D77BF" w:rsidRPr="00BE03FC">
        <w:rPr>
          <w:rFonts w:asciiTheme="minorHAnsi" w:hAnsiTheme="minorHAnsi"/>
        </w:rPr>
        <w:t>®</w:t>
      </w:r>
      <w:r w:rsidR="009A4AC0" w:rsidRPr="00BE03FC">
        <w:rPr>
          <w:rFonts w:asciiTheme="minorHAnsi" w:hAnsiTheme="minorHAnsi"/>
        </w:rPr>
        <w:t>. The minor submis</w:t>
      </w:r>
      <w:r w:rsidR="00981CCF">
        <w:rPr>
          <w:rFonts w:asciiTheme="minorHAnsi" w:hAnsiTheme="minorHAnsi"/>
        </w:rPr>
        <w:t xml:space="preserve">sion calculated the DPMQ to be </w:t>
      </w:r>
      <w:r w:rsidR="00B25B1B" w:rsidRPr="00B25B1B">
        <w:rPr>
          <w:rFonts w:asciiTheme="minorHAnsi" w:hAnsiTheme="minorHAnsi"/>
        </w:rPr>
        <w:t>$</w:t>
      </w:r>
      <w:r w:rsidR="00E43DAC">
        <w:rPr>
          <w:rFonts w:asciiTheme="minorHAnsi" w:hAnsiTheme="minorHAnsi"/>
          <w:noProof/>
          <w:color w:val="000000"/>
          <w:highlight w:val="black"/>
        </w:rPr>
        <w:t>'''''''''''''''</w:t>
      </w:r>
      <w:r w:rsidR="009A4AC0" w:rsidRPr="00BE03FC">
        <w:rPr>
          <w:rFonts w:asciiTheme="minorHAnsi" w:hAnsiTheme="minorHAnsi"/>
        </w:rPr>
        <w:t xml:space="preserve">. The </w:t>
      </w:r>
      <w:r w:rsidR="00CD4453" w:rsidRPr="00BE03FC">
        <w:rPr>
          <w:rFonts w:asciiTheme="minorHAnsi" w:hAnsiTheme="minorHAnsi"/>
        </w:rPr>
        <w:t xml:space="preserve">Department </w:t>
      </w:r>
      <w:r w:rsidR="009A4AC0" w:rsidRPr="00BE03FC">
        <w:rPr>
          <w:rFonts w:asciiTheme="minorHAnsi" w:hAnsiTheme="minorHAnsi"/>
        </w:rPr>
        <w:t xml:space="preserve">noted that this was </w:t>
      </w:r>
      <w:r w:rsidR="0073091B" w:rsidRPr="00BE03FC">
        <w:rPr>
          <w:rFonts w:asciiTheme="minorHAnsi" w:hAnsiTheme="minorHAnsi"/>
        </w:rPr>
        <w:t xml:space="preserve">not </w:t>
      </w:r>
      <w:r w:rsidR="009A4AC0" w:rsidRPr="00BE03FC">
        <w:rPr>
          <w:rFonts w:asciiTheme="minorHAnsi" w:hAnsiTheme="minorHAnsi"/>
        </w:rPr>
        <w:t xml:space="preserve">correct </w:t>
      </w:r>
      <w:r w:rsidR="000568A2" w:rsidRPr="00BE03FC">
        <w:rPr>
          <w:rFonts w:asciiTheme="minorHAnsi" w:hAnsiTheme="minorHAnsi"/>
        </w:rPr>
        <w:t>as superseded</w:t>
      </w:r>
      <w:r w:rsidR="0073091B" w:rsidRPr="00BE03FC">
        <w:rPr>
          <w:rFonts w:asciiTheme="minorHAnsi" w:hAnsiTheme="minorHAnsi"/>
        </w:rPr>
        <w:t xml:space="preserve"> </w:t>
      </w:r>
      <w:r w:rsidR="009A4AC0" w:rsidRPr="00BE03FC">
        <w:rPr>
          <w:rFonts w:asciiTheme="minorHAnsi" w:hAnsiTheme="minorHAnsi"/>
        </w:rPr>
        <w:t>mark-up fees were used in the calculation</w:t>
      </w:r>
      <w:r w:rsidR="004D77BF" w:rsidRPr="00BE03FC">
        <w:rPr>
          <w:rFonts w:asciiTheme="minorHAnsi" w:hAnsiTheme="minorHAnsi"/>
        </w:rPr>
        <w:t>,</w:t>
      </w:r>
      <w:r w:rsidR="009A4AC0" w:rsidRPr="00BE03FC">
        <w:rPr>
          <w:rFonts w:asciiTheme="minorHAnsi" w:hAnsiTheme="minorHAnsi"/>
        </w:rPr>
        <w:t xml:space="preserve"> </w:t>
      </w:r>
      <w:r w:rsidR="0073091B" w:rsidRPr="00BE03FC">
        <w:rPr>
          <w:rFonts w:asciiTheme="minorHAnsi" w:hAnsiTheme="minorHAnsi"/>
        </w:rPr>
        <w:t>use of</w:t>
      </w:r>
      <w:r w:rsidR="009A4AC0" w:rsidRPr="00BE03FC">
        <w:rPr>
          <w:rFonts w:asciiTheme="minorHAnsi" w:hAnsiTheme="minorHAnsi"/>
        </w:rPr>
        <w:t xml:space="preserve"> the</w:t>
      </w:r>
      <w:r w:rsidR="0073091B" w:rsidRPr="00BE03FC">
        <w:rPr>
          <w:rFonts w:asciiTheme="minorHAnsi" w:hAnsiTheme="minorHAnsi"/>
        </w:rPr>
        <w:t xml:space="preserve"> current fees resulted in a</w:t>
      </w:r>
      <w:r w:rsidR="009A4AC0" w:rsidRPr="00BE03FC">
        <w:rPr>
          <w:rFonts w:asciiTheme="minorHAnsi" w:hAnsiTheme="minorHAnsi"/>
        </w:rPr>
        <w:t xml:space="preserve"> correct</w:t>
      </w:r>
      <w:r w:rsidR="0073091B" w:rsidRPr="00BE03FC">
        <w:rPr>
          <w:rFonts w:asciiTheme="minorHAnsi" w:hAnsiTheme="minorHAnsi"/>
        </w:rPr>
        <w:t>ed</w:t>
      </w:r>
      <w:r w:rsidR="009A4AC0" w:rsidRPr="00BE03FC">
        <w:rPr>
          <w:rFonts w:asciiTheme="minorHAnsi" w:hAnsiTheme="minorHAnsi"/>
        </w:rPr>
        <w:t xml:space="preserve"> DPMQ </w:t>
      </w:r>
      <w:r w:rsidR="0073091B" w:rsidRPr="00BE03FC">
        <w:rPr>
          <w:rFonts w:asciiTheme="minorHAnsi" w:hAnsiTheme="minorHAnsi"/>
        </w:rPr>
        <w:t>of</w:t>
      </w:r>
      <w:r w:rsidR="009A4AC0" w:rsidRPr="00BE03FC">
        <w:rPr>
          <w:rFonts w:asciiTheme="minorHAnsi" w:hAnsiTheme="minorHAnsi"/>
        </w:rPr>
        <w:t xml:space="preserve"> </w:t>
      </w:r>
      <w:r w:rsidR="00B25B1B" w:rsidRPr="00B25B1B">
        <w:rPr>
          <w:rFonts w:asciiTheme="minorHAnsi" w:hAnsiTheme="minorHAnsi"/>
        </w:rPr>
        <w:t>$</w:t>
      </w:r>
      <w:r w:rsidR="00E43DAC">
        <w:rPr>
          <w:rFonts w:asciiTheme="minorHAnsi" w:hAnsiTheme="minorHAnsi"/>
          <w:noProof/>
          <w:color w:val="000000"/>
          <w:highlight w:val="black"/>
        </w:rPr>
        <w:t>'''''''''''''''</w:t>
      </w:r>
      <w:r w:rsidR="00891C15" w:rsidRPr="00BE03FC">
        <w:rPr>
          <w:rFonts w:asciiTheme="minorHAnsi" w:hAnsiTheme="minorHAnsi"/>
        </w:rPr>
        <w:t>.</w:t>
      </w:r>
    </w:p>
    <w:p w:rsidR="00336991" w:rsidRPr="00BE03FC" w:rsidRDefault="00336991" w:rsidP="0073091B">
      <w:pPr>
        <w:pStyle w:val="ListParagraph"/>
        <w:numPr>
          <w:ilvl w:val="1"/>
          <w:numId w:val="2"/>
        </w:numPr>
        <w:spacing w:after="120"/>
        <w:contextualSpacing w:val="0"/>
        <w:jc w:val="both"/>
        <w:rPr>
          <w:rFonts w:asciiTheme="minorHAnsi" w:hAnsiTheme="minorHAnsi"/>
        </w:rPr>
      </w:pPr>
      <w:r w:rsidRPr="00BE03FC">
        <w:rPr>
          <w:rFonts w:asciiTheme="minorHAnsi" w:hAnsiTheme="minorHAnsi"/>
        </w:rPr>
        <w:t xml:space="preserve">The submission stated that the listing of </w:t>
      </w:r>
      <w:r w:rsidR="009213D8" w:rsidRPr="00BE03FC">
        <w:rPr>
          <w:rFonts w:asciiTheme="minorHAnsi" w:hAnsiTheme="minorHAnsi"/>
        </w:rPr>
        <w:t xml:space="preserve">Arginine Easy® </w:t>
      </w:r>
      <w:r w:rsidRPr="00BE03FC">
        <w:rPr>
          <w:rFonts w:asciiTheme="minorHAnsi" w:hAnsiTheme="minorHAnsi"/>
        </w:rPr>
        <w:t>is expected to be cost neutral to the PBS as</w:t>
      </w:r>
      <w:r w:rsidR="00F35391" w:rsidRPr="00BE03FC">
        <w:rPr>
          <w:rFonts w:asciiTheme="minorHAnsi" w:hAnsiTheme="minorHAnsi"/>
        </w:rPr>
        <w:t xml:space="preserve"> it is a substitute for the current PBS listed Arginine 500</w:t>
      </w:r>
      <w:r w:rsidR="004D77BF" w:rsidRPr="00BE03FC">
        <w:rPr>
          <w:rFonts w:asciiTheme="minorHAnsi" w:hAnsiTheme="minorHAnsi"/>
        </w:rPr>
        <w:t>®</w:t>
      </w:r>
      <w:r w:rsidR="009213D8" w:rsidRPr="00BE03FC">
        <w:rPr>
          <w:rFonts w:asciiTheme="minorHAnsi" w:hAnsiTheme="minorHAnsi"/>
        </w:rPr>
        <w:t xml:space="preserve"> </w:t>
      </w:r>
      <w:r w:rsidR="00F35391" w:rsidRPr="00BE03FC">
        <w:rPr>
          <w:rFonts w:asciiTheme="minorHAnsi" w:hAnsiTheme="minorHAnsi"/>
        </w:rPr>
        <w:t>and priced</w:t>
      </w:r>
      <w:r w:rsidR="009213D8" w:rsidRPr="00BE03FC">
        <w:rPr>
          <w:rFonts w:asciiTheme="minorHAnsi" w:hAnsiTheme="minorHAnsi"/>
        </w:rPr>
        <w:t xml:space="preserve"> at the same </w:t>
      </w:r>
      <w:r w:rsidR="00F35391" w:rsidRPr="00BE03FC">
        <w:rPr>
          <w:rFonts w:asciiTheme="minorHAnsi" w:hAnsiTheme="minorHAnsi"/>
        </w:rPr>
        <w:t xml:space="preserve">cost per gram of arginine. </w:t>
      </w:r>
      <w:r w:rsidR="00BE03FC" w:rsidRPr="00BE03FC">
        <w:rPr>
          <w:rFonts w:asciiTheme="minorHAnsi" w:hAnsiTheme="minorHAnsi"/>
        </w:rPr>
        <w:t>However,</w:t>
      </w:r>
      <w:r w:rsidR="007B678A" w:rsidRPr="00BE03FC">
        <w:rPr>
          <w:rFonts w:asciiTheme="minorHAnsi" w:hAnsiTheme="minorHAnsi"/>
        </w:rPr>
        <w:t xml:space="preserve"> the Secretariat notes that the increased maximum quantity per </w:t>
      </w:r>
      <w:r w:rsidR="004D77BF" w:rsidRPr="00BE03FC">
        <w:rPr>
          <w:rFonts w:asciiTheme="minorHAnsi" w:hAnsiTheme="minorHAnsi"/>
        </w:rPr>
        <w:t>prescription</w:t>
      </w:r>
      <w:r w:rsidR="007B678A" w:rsidRPr="00BE03FC">
        <w:rPr>
          <w:rFonts w:asciiTheme="minorHAnsi" w:hAnsiTheme="minorHAnsi"/>
        </w:rPr>
        <w:t xml:space="preserve"> would result in a </w:t>
      </w:r>
      <w:r w:rsidR="004D77BF" w:rsidRPr="00BE03FC">
        <w:rPr>
          <w:rFonts w:asciiTheme="minorHAnsi" w:hAnsiTheme="minorHAnsi"/>
        </w:rPr>
        <w:t>small</w:t>
      </w:r>
      <w:r w:rsidR="007B678A" w:rsidRPr="00BE03FC">
        <w:rPr>
          <w:rFonts w:asciiTheme="minorHAnsi" w:hAnsiTheme="minorHAnsi"/>
        </w:rPr>
        <w:t xml:space="preserve"> cost to the PBS </w:t>
      </w:r>
      <w:r w:rsidR="000568A2" w:rsidRPr="00BE03FC">
        <w:rPr>
          <w:rFonts w:asciiTheme="minorHAnsi" w:hAnsiTheme="minorHAnsi"/>
        </w:rPr>
        <w:t>from substitution</w:t>
      </w:r>
      <w:r w:rsidR="007B678A" w:rsidRPr="00BE03FC">
        <w:rPr>
          <w:rFonts w:asciiTheme="minorHAnsi" w:hAnsiTheme="minorHAnsi"/>
        </w:rPr>
        <w:t xml:space="preserve"> of Arginine 500</w:t>
      </w:r>
      <w:r w:rsidR="004D77BF" w:rsidRPr="00BE03FC">
        <w:rPr>
          <w:rFonts w:asciiTheme="minorHAnsi" w:hAnsiTheme="minorHAnsi"/>
        </w:rPr>
        <w:t>®</w:t>
      </w:r>
      <w:r w:rsidR="007B678A" w:rsidRPr="00BE03FC">
        <w:rPr>
          <w:rFonts w:asciiTheme="minorHAnsi" w:hAnsiTheme="minorHAnsi"/>
        </w:rPr>
        <w:t xml:space="preserve"> due to a lower patient co-payment contribution.  Substitution for the both </w:t>
      </w:r>
      <w:r w:rsidR="0073091B" w:rsidRPr="00BE03FC">
        <w:rPr>
          <w:rFonts w:asciiTheme="minorHAnsi" w:hAnsiTheme="minorHAnsi"/>
        </w:rPr>
        <w:t>Arginine 2000</w:t>
      </w:r>
      <w:r w:rsidR="004D77BF" w:rsidRPr="00BE03FC">
        <w:rPr>
          <w:rFonts w:asciiTheme="minorHAnsi" w:hAnsiTheme="minorHAnsi"/>
        </w:rPr>
        <w:t>®</w:t>
      </w:r>
      <w:r w:rsidR="0073091B" w:rsidRPr="00BE03FC">
        <w:rPr>
          <w:rFonts w:asciiTheme="minorHAnsi" w:hAnsiTheme="minorHAnsi"/>
        </w:rPr>
        <w:t xml:space="preserve"> and Arginine 5000</w:t>
      </w:r>
      <w:r w:rsidR="004D77BF" w:rsidRPr="00BE03FC">
        <w:rPr>
          <w:rFonts w:asciiTheme="minorHAnsi" w:hAnsiTheme="minorHAnsi"/>
        </w:rPr>
        <w:t>®</w:t>
      </w:r>
      <w:r w:rsidR="0073091B" w:rsidRPr="00BE03FC">
        <w:rPr>
          <w:rFonts w:asciiTheme="minorHAnsi" w:hAnsiTheme="minorHAnsi"/>
        </w:rPr>
        <w:t xml:space="preserve"> is also possible</w:t>
      </w:r>
      <w:r w:rsidR="004D77BF" w:rsidRPr="00BE03FC">
        <w:rPr>
          <w:rFonts w:asciiTheme="minorHAnsi" w:hAnsiTheme="minorHAnsi"/>
        </w:rPr>
        <w:t>.</w:t>
      </w:r>
      <w:r w:rsidR="0073091B" w:rsidRPr="00BE03FC">
        <w:rPr>
          <w:rFonts w:asciiTheme="minorHAnsi" w:hAnsiTheme="minorHAnsi"/>
        </w:rPr>
        <w:t xml:space="preserve"> </w:t>
      </w:r>
      <w:r w:rsidR="004D77BF" w:rsidRPr="00BE03FC">
        <w:rPr>
          <w:rFonts w:asciiTheme="minorHAnsi" w:hAnsiTheme="minorHAnsi"/>
        </w:rPr>
        <w:t>This</w:t>
      </w:r>
      <w:r w:rsidR="0073091B" w:rsidRPr="00BE03FC">
        <w:rPr>
          <w:rFonts w:asciiTheme="minorHAnsi" w:hAnsiTheme="minorHAnsi"/>
        </w:rPr>
        <w:t xml:space="preserve"> would </w:t>
      </w:r>
      <w:r w:rsidR="0024704F" w:rsidRPr="00BE03FC">
        <w:rPr>
          <w:rFonts w:asciiTheme="minorHAnsi" w:hAnsiTheme="minorHAnsi"/>
        </w:rPr>
        <w:t>result in an increase in the cost to the PBS as the Arginine 2000® and Arginine 5000® tablets have a lower price per gram arginine than Arginine 500®.</w:t>
      </w:r>
    </w:p>
    <w:p w:rsidR="00564A3D" w:rsidRPr="00BE03FC" w:rsidRDefault="00564A3D" w:rsidP="00564A3D">
      <w:pPr>
        <w:pStyle w:val="ListParagraph"/>
        <w:spacing w:after="120"/>
        <w:contextualSpacing w:val="0"/>
        <w:jc w:val="both"/>
        <w:rPr>
          <w:rFonts w:asciiTheme="minorHAnsi" w:hAnsiTheme="minorHAnsi"/>
        </w:rPr>
      </w:pPr>
      <w:r w:rsidRPr="00BE03FC">
        <w:rPr>
          <w:rFonts w:ascii="Calibri" w:hAnsi="Calibri"/>
          <w:i/>
          <w:szCs w:val="22"/>
        </w:rPr>
        <w:t>For more detail on PBAC’s view, see section 6 PBAC outcome</w:t>
      </w:r>
    </w:p>
    <w:p w:rsidR="00B17A63" w:rsidRPr="00BE03FC" w:rsidRDefault="00B17A63" w:rsidP="005129D7">
      <w:pPr>
        <w:pStyle w:val="Heading1"/>
        <w:keepLines/>
        <w:numPr>
          <w:ilvl w:val="0"/>
          <w:numId w:val="2"/>
        </w:numPr>
        <w:spacing w:before="240" w:after="120"/>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 xml:space="preserve">PBAC Outcome </w:t>
      </w:r>
    </w:p>
    <w:p w:rsidR="00B17A63" w:rsidRPr="00BE03FC" w:rsidRDefault="00D35202" w:rsidP="00B17A63">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The PBAC decided to defer its decision on whether to recommend the listing of arginine for the dietary m</w:t>
      </w:r>
      <w:r w:rsidR="005E26D3" w:rsidRPr="00BE03FC">
        <w:rPr>
          <w:rFonts w:asciiTheme="minorHAnsi" w:eastAsiaTheme="majorEastAsia" w:hAnsiTheme="minorHAnsi"/>
          <w:lang w:eastAsia="en-US"/>
        </w:rPr>
        <w:t xml:space="preserve">anagement of urea cycle disorders. The PBAC considered there was a lack of clinical justification for the higher protein content compared to the comparator. The PBAC also noted </w:t>
      </w:r>
      <w:r w:rsidR="00364974" w:rsidRPr="00BE03FC">
        <w:rPr>
          <w:rFonts w:asciiTheme="minorHAnsi" w:eastAsiaTheme="majorEastAsia" w:hAnsiTheme="minorHAnsi"/>
          <w:lang w:eastAsia="en-US"/>
        </w:rPr>
        <w:t>that the product may come under the d</w:t>
      </w:r>
      <w:r w:rsidR="00D41BB6" w:rsidRPr="00BE03FC">
        <w:rPr>
          <w:rFonts w:asciiTheme="minorHAnsi" w:eastAsiaTheme="majorEastAsia" w:hAnsiTheme="minorHAnsi"/>
          <w:lang w:eastAsia="en-US"/>
        </w:rPr>
        <w:t xml:space="preserve">efinition of a therapeutic good in the </w:t>
      </w:r>
      <w:r w:rsidR="00D41BB6" w:rsidRPr="00BE03FC">
        <w:rPr>
          <w:rFonts w:asciiTheme="minorHAnsi" w:eastAsiaTheme="majorEastAsia" w:hAnsiTheme="minorHAnsi"/>
          <w:i/>
          <w:lang w:eastAsia="en-US"/>
        </w:rPr>
        <w:t>Therapeutic Goods Act 1989</w:t>
      </w:r>
      <w:r w:rsidR="00D41BB6" w:rsidRPr="00BE03FC">
        <w:rPr>
          <w:rFonts w:asciiTheme="minorHAnsi" w:eastAsiaTheme="majorEastAsia" w:hAnsiTheme="minorHAnsi"/>
          <w:lang w:eastAsia="en-US"/>
        </w:rPr>
        <w:t xml:space="preserve"> and may </w:t>
      </w:r>
      <w:r w:rsidR="00D41BB6" w:rsidRPr="00BE03FC">
        <w:rPr>
          <w:rFonts w:asciiTheme="minorHAnsi" w:eastAsiaTheme="majorEastAsia" w:hAnsiTheme="minorHAnsi"/>
          <w:lang w:eastAsia="en-US"/>
        </w:rPr>
        <w:lastRenderedPageBreak/>
        <w:t xml:space="preserve">therefore be required to be registered with the TGA. </w:t>
      </w:r>
      <w:r w:rsidR="00FD0683" w:rsidRPr="00BE03FC">
        <w:rPr>
          <w:rFonts w:asciiTheme="minorHAnsi" w:eastAsiaTheme="majorEastAsia" w:hAnsiTheme="minorHAnsi"/>
          <w:lang w:eastAsia="en-US"/>
        </w:rPr>
        <w:t xml:space="preserve">The PBAC noted that the pre-PBAC response from the sponsor attempted to address these issues and </w:t>
      </w:r>
      <w:r w:rsidR="00BE03FC">
        <w:rPr>
          <w:rFonts w:asciiTheme="minorHAnsi" w:eastAsiaTheme="majorEastAsia" w:hAnsiTheme="minorHAnsi"/>
          <w:lang w:eastAsia="en-US"/>
        </w:rPr>
        <w:t xml:space="preserve">noted </w:t>
      </w:r>
      <w:r w:rsidR="00FD0683" w:rsidRPr="00BE03FC">
        <w:rPr>
          <w:rFonts w:asciiTheme="minorHAnsi" w:eastAsiaTheme="majorEastAsia" w:hAnsiTheme="minorHAnsi"/>
          <w:lang w:eastAsia="en-US"/>
        </w:rPr>
        <w:t xml:space="preserve">that the response should be considered by the Nutritional Products Working Party (NPWP) before finalising its decision. </w:t>
      </w:r>
    </w:p>
    <w:p w:rsidR="00E507BC" w:rsidRPr="00BE03FC" w:rsidRDefault="00E507BC" w:rsidP="00B17A63">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 xml:space="preserve">The PBAC noted that the NPWP supported the decision of deferral on the listing of the product to allow the sponsor to provide justification for the issues raised above. </w:t>
      </w:r>
    </w:p>
    <w:p w:rsidR="0048161A" w:rsidRPr="00BE03FC" w:rsidRDefault="0048161A" w:rsidP="0048161A">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The PBAC considered that the sponsor’s proposed comparator, Arginine 500®</w:t>
      </w:r>
      <w:r w:rsidR="00E507BC" w:rsidRPr="00BE03FC">
        <w:rPr>
          <w:rFonts w:asciiTheme="minorHAnsi" w:eastAsiaTheme="majorEastAsia" w:hAnsiTheme="minorHAnsi"/>
          <w:lang w:eastAsia="en-US"/>
        </w:rPr>
        <w:t xml:space="preserve"> </w:t>
      </w:r>
      <w:r w:rsidRPr="00BE03FC">
        <w:rPr>
          <w:rFonts w:asciiTheme="minorHAnsi" w:eastAsiaTheme="majorEastAsia" w:hAnsiTheme="minorHAnsi"/>
          <w:lang w:eastAsia="en-US"/>
        </w:rPr>
        <w:t>was appropriate however the PBAC considered that Arginine 2000® and 5000® were also relevant comparators.</w:t>
      </w:r>
    </w:p>
    <w:p w:rsidR="00E507BC" w:rsidRPr="00BE03FC" w:rsidRDefault="00E507BC" w:rsidP="00E507BC">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 xml:space="preserve">The PBAC noted that one tablet of Arginine Easy® tablet contained a lower amount of energy than one sachet of Arginine 500® and agreed with the NPWP that the tablet form of arginine may be more convenient for some patients. </w:t>
      </w:r>
    </w:p>
    <w:p w:rsidR="00034448" w:rsidRPr="00BE03FC" w:rsidRDefault="00034448" w:rsidP="00034448">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 xml:space="preserve">The PBAC noted the higher amount of protein equivalent in one tablet of Arginine Easy® (0.9 g) compared with one sachet of Arginine 500® (0.4 g) and considered that this may be detrimental to patients on highly restrictive protein diets. </w:t>
      </w:r>
    </w:p>
    <w:p w:rsidR="00034448" w:rsidRPr="00BE03FC" w:rsidRDefault="00034448" w:rsidP="00E507BC">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 xml:space="preserve">The PBAC considered that input from the NPWP on the pre-PBAC response from the sponsor was required to assess whether the response adequately addressed the issues raised. </w:t>
      </w:r>
    </w:p>
    <w:p w:rsidR="00FD0683" w:rsidRPr="00BE03FC" w:rsidRDefault="00FD0683" w:rsidP="00B17A63">
      <w:pPr>
        <w:pStyle w:val="ListParagraph"/>
        <w:numPr>
          <w:ilvl w:val="1"/>
          <w:numId w:val="2"/>
        </w:numPr>
        <w:spacing w:after="120"/>
        <w:contextualSpacing w:val="0"/>
        <w:jc w:val="both"/>
        <w:rPr>
          <w:rFonts w:asciiTheme="minorHAnsi" w:eastAsiaTheme="majorEastAsia" w:hAnsiTheme="minorHAnsi"/>
          <w:lang w:eastAsia="en-US"/>
        </w:rPr>
      </w:pPr>
      <w:r w:rsidRPr="00BE03FC">
        <w:rPr>
          <w:rFonts w:asciiTheme="minorHAnsi" w:eastAsiaTheme="majorEastAsia" w:hAnsiTheme="minorHAnsi"/>
          <w:lang w:eastAsia="en-US"/>
        </w:rPr>
        <w:t>The PBAC noted that this submission is not eligible for Independent Review as it has been deferred for further discussion.</w:t>
      </w:r>
      <w:r w:rsidR="00A078DB" w:rsidRPr="00BE03FC">
        <w:rPr>
          <w:rFonts w:asciiTheme="minorHAnsi" w:eastAsiaTheme="majorEastAsia" w:hAnsiTheme="minorHAnsi"/>
          <w:lang w:eastAsia="en-US"/>
        </w:rPr>
        <w:t xml:space="preserve">  </w:t>
      </w:r>
    </w:p>
    <w:p w:rsidR="00B17A63" w:rsidRPr="00BE03FC" w:rsidRDefault="00B17A63" w:rsidP="00B17A63">
      <w:pPr>
        <w:jc w:val="both"/>
        <w:rPr>
          <w:rFonts w:asciiTheme="minorHAnsi" w:hAnsiTheme="minorHAnsi" w:cs="Arial"/>
          <w:b/>
          <w:bCs/>
          <w:snapToGrid w:val="0"/>
        </w:rPr>
      </w:pPr>
      <w:r w:rsidRPr="00BE03FC">
        <w:rPr>
          <w:rFonts w:asciiTheme="minorHAnsi" w:hAnsiTheme="minorHAnsi" w:cs="Arial"/>
          <w:b/>
          <w:bCs/>
          <w:snapToGrid w:val="0"/>
        </w:rPr>
        <w:t>Outcome:</w:t>
      </w:r>
    </w:p>
    <w:p w:rsidR="00B17A63" w:rsidRPr="00BE03FC" w:rsidRDefault="00B17A63" w:rsidP="00B17A63">
      <w:pPr>
        <w:jc w:val="both"/>
        <w:rPr>
          <w:rFonts w:asciiTheme="minorHAnsi" w:hAnsiTheme="minorHAnsi" w:cs="Arial"/>
          <w:bCs/>
          <w:snapToGrid w:val="0"/>
        </w:rPr>
      </w:pPr>
      <w:r w:rsidRPr="00BE03FC">
        <w:rPr>
          <w:rFonts w:asciiTheme="minorHAnsi" w:hAnsiTheme="minorHAnsi" w:cs="Arial"/>
          <w:bCs/>
          <w:snapToGrid w:val="0"/>
        </w:rPr>
        <w:t xml:space="preserve">Deferred </w:t>
      </w:r>
    </w:p>
    <w:p w:rsidR="00701573" w:rsidRPr="00160454" w:rsidRDefault="00701573" w:rsidP="00701573">
      <w:pPr>
        <w:keepNext/>
        <w:keepLines/>
        <w:numPr>
          <w:ilvl w:val="0"/>
          <w:numId w:val="2"/>
        </w:numPr>
        <w:spacing w:before="240" w:after="120"/>
        <w:ind w:left="709" w:hanging="709"/>
        <w:outlineLvl w:val="0"/>
        <w:rPr>
          <w:rFonts w:ascii="Calibri" w:hAnsi="Calibri"/>
          <w:b/>
          <w:sz w:val="32"/>
          <w:szCs w:val="32"/>
          <w:lang w:eastAsia="en-US"/>
        </w:rPr>
      </w:pPr>
      <w:r w:rsidRPr="00160454">
        <w:rPr>
          <w:rFonts w:ascii="Calibri" w:hAnsi="Calibri"/>
          <w:b/>
          <w:sz w:val="32"/>
          <w:szCs w:val="32"/>
          <w:lang w:eastAsia="en-US"/>
        </w:rPr>
        <w:t>Context for Decision</w:t>
      </w:r>
    </w:p>
    <w:p w:rsidR="00701573" w:rsidRPr="00160454" w:rsidRDefault="00701573" w:rsidP="00701573">
      <w:pPr>
        <w:spacing w:before="120" w:after="120"/>
        <w:rPr>
          <w:rFonts w:ascii="Calibri" w:eastAsia="Calibri" w:hAnsi="Calibri" w:cs="Arial"/>
          <w:szCs w:val="22"/>
          <w:lang w:eastAsia="en-US"/>
        </w:rPr>
      </w:pPr>
      <w:r w:rsidRPr="00160454">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01573" w:rsidRPr="00160454" w:rsidRDefault="00701573" w:rsidP="00701573">
      <w:pPr>
        <w:keepNext/>
        <w:keepLines/>
        <w:numPr>
          <w:ilvl w:val="0"/>
          <w:numId w:val="2"/>
        </w:numPr>
        <w:spacing w:before="240" w:after="120"/>
        <w:ind w:left="709" w:hanging="709"/>
        <w:outlineLvl w:val="0"/>
        <w:rPr>
          <w:rFonts w:ascii="Calibri" w:hAnsi="Calibri"/>
          <w:b/>
          <w:sz w:val="32"/>
          <w:szCs w:val="32"/>
          <w:lang w:eastAsia="en-US"/>
        </w:rPr>
      </w:pPr>
      <w:r w:rsidRPr="00160454">
        <w:rPr>
          <w:rFonts w:ascii="Calibri" w:hAnsi="Calibri"/>
          <w:b/>
          <w:sz w:val="32"/>
          <w:szCs w:val="32"/>
          <w:lang w:eastAsia="en-US"/>
        </w:rPr>
        <w:t>Sponsor’s Comment</w:t>
      </w:r>
    </w:p>
    <w:p w:rsidR="005129D7" w:rsidRPr="00225D7F" w:rsidRDefault="00701573" w:rsidP="00225D7F">
      <w:pPr>
        <w:spacing w:before="120" w:after="160"/>
        <w:jc w:val="both"/>
        <w:rPr>
          <w:rFonts w:ascii="Calibri" w:eastAsia="Calibri" w:hAnsi="Calibri" w:cs="Arial"/>
          <w:snapToGrid w:val="0"/>
          <w:szCs w:val="20"/>
          <w:lang w:eastAsia="en-US"/>
        </w:rPr>
      </w:pPr>
      <w:r w:rsidRPr="00816A48">
        <w:rPr>
          <w:rFonts w:ascii="Calibri" w:eastAsia="Calibri" w:hAnsi="Calibri" w:cs="Arial"/>
          <w:snapToGrid w:val="0"/>
          <w:szCs w:val="20"/>
          <w:lang w:eastAsia="en-US"/>
        </w:rPr>
        <w:t xml:space="preserve">The Sponsor will continue to work with the PBAC and the Nutritional Products Working Party to address the matters </w:t>
      </w:r>
      <w:proofErr w:type="gramStart"/>
      <w:r w:rsidRPr="00816A48">
        <w:rPr>
          <w:rFonts w:ascii="Calibri" w:eastAsia="Calibri" w:hAnsi="Calibri" w:cs="Arial"/>
          <w:snapToGrid w:val="0"/>
          <w:szCs w:val="20"/>
          <w:lang w:eastAsia="en-US"/>
        </w:rPr>
        <w:t>raised</w:t>
      </w:r>
      <w:proofErr w:type="gramEnd"/>
      <w:r w:rsidRPr="00816A48">
        <w:rPr>
          <w:rFonts w:ascii="Calibri" w:eastAsia="Calibri" w:hAnsi="Calibri" w:cs="Arial"/>
          <w:snapToGrid w:val="0"/>
          <w:szCs w:val="20"/>
          <w:lang w:eastAsia="en-US"/>
        </w:rPr>
        <w:t xml:space="preserve"> in the pre-PBAC advice.</w:t>
      </w:r>
      <w:r w:rsidR="005129D7">
        <w:rPr>
          <w:rFonts w:asciiTheme="minorHAnsi" w:hAnsiTheme="minorHAnsi" w:cs="Arial"/>
          <w:bCs/>
          <w:snapToGrid w:val="0"/>
          <w:color w:val="FF0000"/>
          <w:sz w:val="22"/>
          <w:szCs w:val="22"/>
        </w:rPr>
        <w:br w:type="page"/>
      </w:r>
    </w:p>
    <w:p w:rsidR="00771B94" w:rsidRPr="002C74BE" w:rsidRDefault="00771B94" w:rsidP="002C74BE">
      <w:pPr>
        <w:pStyle w:val="Title"/>
        <w:spacing w:before="120" w:after="240"/>
        <w:ind w:left="720" w:hanging="720"/>
        <w:contextualSpacing w:val="0"/>
        <w:rPr>
          <w:rFonts w:asciiTheme="minorHAnsi" w:hAnsiTheme="minorHAnsi" w:cs="Arial"/>
          <w:bCs/>
          <w:snapToGrid w:val="0"/>
          <w:color w:val="FF0000"/>
          <w:sz w:val="24"/>
          <w:szCs w:val="24"/>
        </w:rPr>
      </w:pPr>
      <w:r w:rsidRPr="002C74BE">
        <w:rPr>
          <w:rFonts w:asciiTheme="minorHAnsi" w:hAnsiTheme="minorHAnsi" w:cs="Arial"/>
          <w:bCs/>
          <w:snapToGrid w:val="0"/>
          <w:color w:val="FF0000"/>
          <w:sz w:val="24"/>
          <w:szCs w:val="24"/>
        </w:rPr>
        <w:lastRenderedPageBreak/>
        <w:t>Addendum to the November 2017 PBAC Minutes:</w:t>
      </w:r>
    </w:p>
    <w:p w:rsidR="00BE7D21" w:rsidRPr="00BE7D21" w:rsidRDefault="00771B94" w:rsidP="00BE7D21">
      <w:pPr>
        <w:pStyle w:val="Title"/>
        <w:spacing w:before="120" w:after="160"/>
        <w:ind w:left="720" w:hanging="720"/>
        <w:rPr>
          <w:rFonts w:asciiTheme="minorHAnsi" w:hAnsiTheme="minorHAnsi"/>
          <w:sz w:val="36"/>
          <w:szCs w:val="36"/>
        </w:rPr>
      </w:pPr>
      <w:r>
        <w:rPr>
          <w:rFonts w:asciiTheme="minorHAnsi" w:hAnsiTheme="minorHAnsi"/>
          <w:sz w:val="36"/>
          <w:szCs w:val="36"/>
        </w:rPr>
        <w:t>4.03</w:t>
      </w:r>
      <w:r w:rsidRPr="00BE03FC">
        <w:rPr>
          <w:rFonts w:asciiTheme="minorHAnsi" w:hAnsiTheme="minorHAnsi"/>
          <w:sz w:val="36"/>
          <w:szCs w:val="36"/>
        </w:rPr>
        <w:tab/>
        <w:t>ARGININE</w:t>
      </w:r>
      <w:r w:rsidRPr="00BE03FC">
        <w:rPr>
          <w:rFonts w:asciiTheme="minorHAnsi" w:hAnsiTheme="minorHAnsi"/>
          <w:sz w:val="36"/>
          <w:szCs w:val="36"/>
        </w:rPr>
        <w:br/>
        <w:t>Tablet 500 mg</w:t>
      </w:r>
      <w:proofErr w:type="gramStart"/>
      <w:r w:rsidRPr="00BE03FC">
        <w:rPr>
          <w:rFonts w:asciiTheme="minorHAnsi" w:hAnsiTheme="minorHAnsi"/>
          <w:sz w:val="36"/>
          <w:szCs w:val="36"/>
        </w:rPr>
        <w:t>,</w:t>
      </w:r>
      <w:proofErr w:type="gramEnd"/>
      <w:r w:rsidRPr="00BE03FC">
        <w:rPr>
          <w:rFonts w:asciiTheme="minorHAnsi" w:hAnsiTheme="minorHAnsi"/>
          <w:b w:val="0"/>
          <w:sz w:val="36"/>
          <w:szCs w:val="36"/>
        </w:rPr>
        <w:br/>
      </w:r>
      <w:r w:rsidRPr="00BE03FC">
        <w:rPr>
          <w:rFonts w:asciiTheme="minorHAnsi" w:hAnsiTheme="minorHAnsi"/>
          <w:sz w:val="36"/>
          <w:szCs w:val="36"/>
        </w:rPr>
        <w:t>Arginine Easy</w:t>
      </w:r>
      <w:r w:rsidRPr="00BE03FC">
        <w:rPr>
          <w:rFonts w:asciiTheme="minorHAnsi" w:hAnsiTheme="minorHAnsi"/>
          <w:sz w:val="36"/>
          <w:szCs w:val="36"/>
          <w:vertAlign w:val="superscript"/>
        </w:rPr>
        <w:t>®</w:t>
      </w:r>
      <w:r w:rsidRPr="00BE03FC">
        <w:rPr>
          <w:rFonts w:asciiTheme="minorHAnsi" w:hAnsiTheme="minorHAnsi"/>
          <w:sz w:val="36"/>
          <w:szCs w:val="36"/>
        </w:rPr>
        <w:t xml:space="preserve">, </w:t>
      </w:r>
      <w:proofErr w:type="spellStart"/>
      <w:r w:rsidRPr="00BE03FC">
        <w:rPr>
          <w:rFonts w:asciiTheme="minorHAnsi" w:hAnsiTheme="minorHAnsi"/>
          <w:sz w:val="36"/>
          <w:szCs w:val="36"/>
        </w:rPr>
        <w:t>Orpharma</w:t>
      </w:r>
      <w:proofErr w:type="spellEnd"/>
      <w:r w:rsidRPr="00BE03FC">
        <w:rPr>
          <w:rFonts w:asciiTheme="minorHAnsi" w:hAnsiTheme="minorHAnsi"/>
          <w:sz w:val="36"/>
          <w:szCs w:val="36"/>
        </w:rPr>
        <w:t xml:space="preserve"> Pty Ltd </w:t>
      </w:r>
    </w:p>
    <w:p w:rsidR="00BE7D21" w:rsidRPr="00BE7D21" w:rsidRDefault="009625AA" w:rsidP="005129D7">
      <w:pPr>
        <w:pStyle w:val="Heading1"/>
        <w:keepLines/>
        <w:numPr>
          <w:ilvl w:val="0"/>
          <w:numId w:val="30"/>
        </w:numPr>
        <w:spacing w:before="240" w:after="120"/>
        <w:contextualSpacing w:val="0"/>
        <w:rPr>
          <w:rFonts w:asciiTheme="minorHAnsi" w:eastAsiaTheme="majorEastAsia" w:hAnsiTheme="minorHAnsi" w:cstheme="majorBidi"/>
          <w:sz w:val="32"/>
          <w:szCs w:val="28"/>
          <w:lang w:eastAsia="en-US"/>
        </w:rPr>
      </w:pPr>
      <w:r w:rsidRPr="00BE03FC">
        <w:rPr>
          <w:rFonts w:asciiTheme="minorHAnsi" w:eastAsiaTheme="majorEastAsia" w:hAnsiTheme="minorHAnsi" w:cstheme="majorBidi"/>
          <w:sz w:val="32"/>
          <w:szCs w:val="28"/>
          <w:lang w:eastAsia="en-US"/>
        </w:rPr>
        <w:t xml:space="preserve">Purpose of </w:t>
      </w:r>
      <w:r>
        <w:rPr>
          <w:rFonts w:asciiTheme="minorHAnsi" w:eastAsiaTheme="majorEastAsia" w:hAnsiTheme="minorHAnsi" w:cstheme="majorBidi"/>
          <w:sz w:val="32"/>
          <w:szCs w:val="28"/>
          <w:lang w:eastAsia="en-US"/>
        </w:rPr>
        <w:t>reconsideration</w:t>
      </w:r>
    </w:p>
    <w:p w:rsidR="00771B94" w:rsidRDefault="00771B94" w:rsidP="009B19A7">
      <w:pPr>
        <w:pStyle w:val="ListParagraph"/>
        <w:numPr>
          <w:ilvl w:val="1"/>
          <w:numId w:val="30"/>
        </w:numPr>
        <w:spacing w:after="120"/>
        <w:contextualSpacing w:val="0"/>
        <w:jc w:val="both"/>
        <w:rPr>
          <w:rFonts w:asciiTheme="minorHAnsi" w:eastAsiaTheme="majorEastAsia" w:hAnsiTheme="minorHAnsi"/>
          <w:lang w:eastAsia="en-US"/>
        </w:rPr>
      </w:pPr>
      <w:r>
        <w:rPr>
          <w:rFonts w:asciiTheme="minorHAnsi" w:eastAsiaTheme="majorEastAsia" w:hAnsiTheme="minorHAnsi"/>
          <w:lang w:eastAsia="en-US"/>
        </w:rPr>
        <w:t>At the November 2017 PBAC meeting, the PBAC noted the NPWP advice and considered there were numerous issues raised by the NPWP, which the sponsor responded to in its Pre-PBAC response. The Committee decided to defer their decision on Arginine Easy to allow for consideration of the Pre-PBAC response by the NPWP.</w:t>
      </w:r>
    </w:p>
    <w:p w:rsidR="00771B94" w:rsidRPr="00464157" w:rsidRDefault="00771B94" w:rsidP="009B19A7">
      <w:pPr>
        <w:pStyle w:val="ListParagraph"/>
        <w:numPr>
          <w:ilvl w:val="1"/>
          <w:numId w:val="30"/>
        </w:numPr>
        <w:spacing w:after="120"/>
        <w:contextualSpacing w:val="0"/>
        <w:jc w:val="both"/>
        <w:rPr>
          <w:rFonts w:asciiTheme="minorHAnsi" w:eastAsiaTheme="majorEastAsia" w:hAnsiTheme="minorHAnsi"/>
          <w:lang w:eastAsia="en-US"/>
        </w:rPr>
      </w:pPr>
      <w:r w:rsidRPr="00464157">
        <w:rPr>
          <w:rFonts w:asciiTheme="minorHAnsi" w:eastAsiaTheme="majorEastAsia" w:hAnsiTheme="minorHAnsi"/>
          <w:lang w:eastAsia="en-US"/>
        </w:rPr>
        <w:t>A summ</w:t>
      </w:r>
      <w:r w:rsidR="00592730" w:rsidRPr="00464157">
        <w:rPr>
          <w:rFonts w:asciiTheme="minorHAnsi" w:eastAsiaTheme="majorEastAsia" w:hAnsiTheme="minorHAnsi"/>
          <w:lang w:eastAsia="en-US"/>
        </w:rPr>
        <w:t>ary of the issues raised during the previous consideration of Arginine Easy</w:t>
      </w:r>
      <w:r w:rsidRPr="00464157">
        <w:rPr>
          <w:rFonts w:asciiTheme="minorHAnsi" w:eastAsiaTheme="majorEastAsia" w:hAnsiTheme="minorHAnsi"/>
          <w:lang w:eastAsia="en-US"/>
        </w:rPr>
        <w:t xml:space="preserve"> </w:t>
      </w:r>
      <w:bookmarkStart w:id="2" w:name="_GoBack"/>
      <w:bookmarkEnd w:id="2"/>
      <w:r w:rsidRPr="00464157">
        <w:rPr>
          <w:rFonts w:asciiTheme="minorHAnsi" w:eastAsiaTheme="majorEastAsia" w:hAnsiTheme="minorHAnsi"/>
          <w:lang w:eastAsia="en-US"/>
        </w:rPr>
        <w:t>and the sponsor</w:t>
      </w:r>
      <w:r w:rsidR="009625AA" w:rsidRPr="00464157">
        <w:rPr>
          <w:rFonts w:asciiTheme="minorHAnsi" w:eastAsiaTheme="majorEastAsia" w:hAnsiTheme="minorHAnsi"/>
          <w:lang w:eastAsia="en-US"/>
        </w:rPr>
        <w:t>’s</w:t>
      </w:r>
      <w:r w:rsidRPr="00464157">
        <w:rPr>
          <w:rFonts w:asciiTheme="minorHAnsi" w:eastAsiaTheme="majorEastAsia" w:hAnsiTheme="minorHAnsi"/>
          <w:lang w:eastAsia="en-US"/>
        </w:rPr>
        <w:t xml:space="preserve"> response</w:t>
      </w:r>
      <w:r w:rsidR="00592730" w:rsidRPr="00464157">
        <w:rPr>
          <w:rFonts w:asciiTheme="minorHAnsi" w:eastAsiaTheme="majorEastAsia" w:hAnsiTheme="minorHAnsi"/>
          <w:lang w:eastAsia="en-US"/>
        </w:rPr>
        <w:t xml:space="preserve"> are</w:t>
      </w:r>
      <w:r w:rsidRPr="00464157">
        <w:rPr>
          <w:rFonts w:asciiTheme="minorHAnsi" w:eastAsiaTheme="majorEastAsia" w:hAnsiTheme="minorHAnsi"/>
          <w:lang w:eastAsia="en-US"/>
        </w:rPr>
        <w:t xml:space="preserve"> presented in the table below.</w:t>
      </w:r>
    </w:p>
    <w:p w:rsidR="003B1B4E" w:rsidRPr="003B1B4E" w:rsidRDefault="003B1B4E" w:rsidP="005129D7">
      <w:pPr>
        <w:pStyle w:val="Caption"/>
        <w:keepNext/>
        <w:spacing w:before="120" w:after="0"/>
        <w:rPr>
          <w:color w:val="auto"/>
        </w:rPr>
      </w:pPr>
      <w:proofErr w:type="gramStart"/>
      <w:r w:rsidRPr="00D72A6D">
        <w:rPr>
          <w:color w:val="auto"/>
        </w:rPr>
        <w:lastRenderedPageBreak/>
        <w:t xml:space="preserve">Table </w:t>
      </w:r>
      <w:r w:rsidRPr="00D72A6D">
        <w:rPr>
          <w:noProof/>
          <w:color w:val="auto"/>
        </w:rPr>
        <w:t>1</w:t>
      </w:r>
      <w:r w:rsidRPr="00D72A6D">
        <w:rPr>
          <w:color w:val="auto"/>
        </w:rPr>
        <w:t>.</w:t>
      </w:r>
      <w:proofErr w:type="gramEnd"/>
      <w:r w:rsidRPr="00D72A6D">
        <w:rPr>
          <w:color w:val="auto"/>
        </w:rPr>
        <w:t xml:space="preserve"> Issues </w:t>
      </w:r>
      <w:proofErr w:type="gramStart"/>
      <w:r w:rsidRPr="00D72A6D">
        <w:rPr>
          <w:color w:val="auto"/>
        </w:rPr>
        <w:t>raised</w:t>
      </w:r>
      <w:proofErr w:type="gramEnd"/>
      <w:r w:rsidRPr="00D72A6D">
        <w:rPr>
          <w:color w:val="auto"/>
        </w:rPr>
        <w:t xml:space="preserve"> during the previous PBAC consideration</w:t>
      </w:r>
    </w:p>
    <w:tbl>
      <w:tblPr>
        <w:tblStyle w:val="TableGrid"/>
        <w:tblW w:w="5000" w:type="pct"/>
        <w:tblLook w:val="04A0" w:firstRow="1" w:lastRow="0" w:firstColumn="1" w:lastColumn="0" w:noHBand="0" w:noVBand="1"/>
      </w:tblPr>
      <w:tblGrid>
        <w:gridCol w:w="2092"/>
        <w:gridCol w:w="2529"/>
        <w:gridCol w:w="2859"/>
        <w:gridCol w:w="1762"/>
      </w:tblGrid>
      <w:tr w:rsidR="00771B94" w:rsidTr="005129D7">
        <w:tc>
          <w:tcPr>
            <w:tcW w:w="1132" w:type="pct"/>
          </w:tcPr>
          <w:p w:rsidR="00771B94" w:rsidRPr="003E77D0" w:rsidRDefault="00771B94" w:rsidP="005129D7">
            <w:pPr>
              <w:keepNext/>
              <w:spacing w:after="120"/>
              <w:jc w:val="both"/>
              <w:rPr>
                <w:rFonts w:ascii="Arial Narrow" w:eastAsiaTheme="majorEastAsia" w:hAnsi="Arial Narrow"/>
                <w:b/>
                <w:sz w:val="20"/>
                <w:szCs w:val="20"/>
                <w:lang w:eastAsia="en-US"/>
              </w:rPr>
            </w:pPr>
            <w:r w:rsidRPr="003E77D0">
              <w:rPr>
                <w:rFonts w:ascii="Arial Narrow" w:eastAsiaTheme="majorEastAsia" w:hAnsi="Arial Narrow"/>
                <w:b/>
                <w:sz w:val="20"/>
                <w:szCs w:val="20"/>
                <w:lang w:eastAsia="en-US"/>
              </w:rPr>
              <w:t>Issue</w:t>
            </w:r>
            <w:r w:rsidR="003E77D0">
              <w:rPr>
                <w:rFonts w:ascii="Arial Narrow" w:eastAsiaTheme="majorEastAsia" w:hAnsi="Arial Narrow"/>
                <w:b/>
                <w:sz w:val="20"/>
                <w:szCs w:val="20"/>
                <w:lang w:eastAsia="en-US"/>
              </w:rPr>
              <w:t xml:space="preserve"> responded to in Pre-PBAC response</w:t>
            </w:r>
          </w:p>
        </w:tc>
        <w:tc>
          <w:tcPr>
            <w:tcW w:w="1368" w:type="pct"/>
          </w:tcPr>
          <w:p w:rsidR="00771B94" w:rsidRPr="003E77D0" w:rsidRDefault="00771B94" w:rsidP="005129D7">
            <w:pPr>
              <w:keepNext/>
              <w:spacing w:after="120"/>
              <w:jc w:val="both"/>
              <w:rPr>
                <w:rFonts w:ascii="Arial Narrow" w:eastAsiaTheme="majorEastAsia" w:hAnsi="Arial Narrow"/>
                <w:b/>
                <w:sz w:val="20"/>
                <w:szCs w:val="20"/>
                <w:lang w:eastAsia="en-US"/>
              </w:rPr>
            </w:pPr>
            <w:r w:rsidRPr="003E77D0">
              <w:rPr>
                <w:rFonts w:ascii="Arial Narrow" w:eastAsiaTheme="majorEastAsia" w:hAnsi="Arial Narrow"/>
                <w:b/>
                <w:sz w:val="20"/>
                <w:szCs w:val="20"/>
                <w:lang w:eastAsia="en-US"/>
              </w:rPr>
              <w:t>NPWP Comment</w:t>
            </w:r>
          </w:p>
        </w:tc>
        <w:tc>
          <w:tcPr>
            <w:tcW w:w="1547" w:type="pct"/>
          </w:tcPr>
          <w:p w:rsidR="00771B94" w:rsidRPr="003E77D0" w:rsidRDefault="00771B94" w:rsidP="005129D7">
            <w:pPr>
              <w:keepNext/>
              <w:spacing w:after="120"/>
              <w:jc w:val="both"/>
              <w:rPr>
                <w:rFonts w:ascii="Arial Narrow" w:eastAsiaTheme="majorEastAsia" w:hAnsi="Arial Narrow"/>
                <w:b/>
                <w:sz w:val="20"/>
                <w:szCs w:val="20"/>
                <w:lang w:eastAsia="en-US"/>
              </w:rPr>
            </w:pPr>
            <w:r w:rsidRPr="003E77D0">
              <w:rPr>
                <w:rFonts w:ascii="Arial Narrow" w:eastAsiaTheme="majorEastAsia" w:hAnsi="Arial Narrow"/>
                <w:b/>
                <w:sz w:val="20"/>
                <w:szCs w:val="20"/>
                <w:lang w:eastAsia="en-US"/>
              </w:rPr>
              <w:t>Pre-PBAC Response</w:t>
            </w:r>
          </w:p>
        </w:tc>
        <w:tc>
          <w:tcPr>
            <w:tcW w:w="953" w:type="pct"/>
          </w:tcPr>
          <w:p w:rsidR="00771B94" w:rsidRPr="003E77D0" w:rsidRDefault="00771B94" w:rsidP="005129D7">
            <w:pPr>
              <w:keepNext/>
              <w:spacing w:after="120"/>
              <w:jc w:val="both"/>
              <w:rPr>
                <w:rFonts w:ascii="Arial Narrow" w:eastAsiaTheme="majorEastAsia" w:hAnsi="Arial Narrow"/>
                <w:b/>
                <w:sz w:val="20"/>
                <w:szCs w:val="20"/>
                <w:lang w:eastAsia="en-US"/>
              </w:rPr>
            </w:pPr>
            <w:r w:rsidRPr="003E77D0">
              <w:rPr>
                <w:rFonts w:ascii="Arial Narrow" w:eastAsiaTheme="majorEastAsia" w:hAnsi="Arial Narrow"/>
                <w:b/>
                <w:sz w:val="20"/>
                <w:szCs w:val="20"/>
                <w:lang w:eastAsia="en-US"/>
              </w:rPr>
              <w:t>PBAC Comments</w:t>
            </w:r>
          </w:p>
        </w:tc>
      </w:tr>
      <w:tr w:rsidR="00771B94" w:rsidTr="005129D7">
        <w:tc>
          <w:tcPr>
            <w:tcW w:w="1132" w:type="pct"/>
          </w:tcPr>
          <w:p w:rsidR="00771B94" w:rsidRPr="003E77D0" w:rsidRDefault="00771B94" w:rsidP="005129D7">
            <w:pPr>
              <w:keepNext/>
              <w:spacing w:after="120"/>
              <w:rPr>
                <w:rFonts w:ascii="Arial Narrow" w:eastAsiaTheme="majorEastAsia" w:hAnsi="Arial Narrow"/>
                <w:sz w:val="20"/>
                <w:szCs w:val="20"/>
                <w:lang w:eastAsia="en-US"/>
              </w:rPr>
            </w:pPr>
            <w:r w:rsidRPr="003E77D0">
              <w:rPr>
                <w:rFonts w:ascii="Arial Narrow" w:eastAsiaTheme="majorEastAsia" w:hAnsi="Arial Narrow"/>
                <w:sz w:val="20"/>
                <w:szCs w:val="20"/>
                <w:lang w:eastAsia="en-US"/>
              </w:rPr>
              <w:t>Quantity of protein equivalent with comparator(s)</w:t>
            </w:r>
          </w:p>
        </w:tc>
        <w:tc>
          <w:tcPr>
            <w:tcW w:w="1368" w:type="pct"/>
          </w:tcPr>
          <w:p w:rsidR="00771B94" w:rsidRPr="003E77D0" w:rsidRDefault="003E77D0" w:rsidP="005129D7">
            <w:pPr>
              <w:keepNext/>
              <w:spacing w:after="120"/>
              <w:rPr>
                <w:rFonts w:ascii="Arial Narrow" w:eastAsiaTheme="majorEastAsia" w:hAnsi="Arial Narrow"/>
                <w:sz w:val="20"/>
                <w:szCs w:val="20"/>
                <w:lang w:eastAsia="en-US"/>
              </w:rPr>
            </w:pPr>
            <w:r w:rsidRPr="003E77D0">
              <w:rPr>
                <w:rFonts w:ascii="Arial Narrow" w:eastAsiaTheme="majorEastAsia" w:hAnsi="Arial Narrow"/>
                <w:sz w:val="20"/>
                <w:szCs w:val="20"/>
                <w:lang w:eastAsia="en-US"/>
              </w:rPr>
              <w:t>The NPWP noted that Arginine Easy contains a significantly higher</w:t>
            </w:r>
            <w:r>
              <w:rPr>
                <w:rFonts w:ascii="Arial Narrow" w:eastAsiaTheme="majorEastAsia" w:hAnsi="Arial Narrow"/>
                <w:sz w:val="20"/>
                <w:szCs w:val="20"/>
                <w:lang w:eastAsia="en-US"/>
              </w:rPr>
              <w:t xml:space="preserve"> amount of protein equivalent </w:t>
            </w:r>
            <w:r w:rsidR="00AE62C2">
              <w:rPr>
                <w:rFonts w:ascii="Arial Narrow" w:eastAsiaTheme="majorEastAsia" w:hAnsi="Arial Narrow"/>
                <w:sz w:val="20"/>
                <w:szCs w:val="20"/>
                <w:lang w:eastAsia="en-US"/>
              </w:rPr>
              <w:t xml:space="preserve">per 500 mg arginine </w:t>
            </w:r>
            <w:r>
              <w:rPr>
                <w:rFonts w:ascii="Arial Narrow" w:eastAsiaTheme="majorEastAsia" w:hAnsi="Arial Narrow"/>
                <w:sz w:val="20"/>
                <w:szCs w:val="20"/>
                <w:lang w:eastAsia="en-US"/>
              </w:rPr>
              <w:t xml:space="preserve">(0.9g) than the comparator (0.4g), which is not clinically justified, especially for patients with urea cycle disorders who are also on protein restrictive diets.  </w:t>
            </w:r>
          </w:p>
        </w:tc>
        <w:tc>
          <w:tcPr>
            <w:tcW w:w="1547" w:type="pct"/>
          </w:tcPr>
          <w:p w:rsidR="00771B94" w:rsidRDefault="003E77D0"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The sponsor provided clinical advice from a clinician in Sweden noting that for a 50kg patient, protein supplementation would be safe in a range of 5-15 arginine tablets per day.</w:t>
            </w:r>
          </w:p>
          <w:p w:rsidR="003E77D0" w:rsidRPr="003E77D0" w:rsidRDefault="003E77D0"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 xml:space="preserve">The tables in the Pre-PBAC response claim that even at the maximal dose of arginine (at mean weight), the intake of protein provided  by Arginine Easy would not exceed ~50% of the recommended daily protein intake in any age/gender group. </w:t>
            </w:r>
          </w:p>
        </w:tc>
        <w:tc>
          <w:tcPr>
            <w:tcW w:w="953" w:type="pct"/>
          </w:tcPr>
          <w:p w:rsidR="00771B94" w:rsidRPr="003E77D0" w:rsidRDefault="003E77D0"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The PBAC considered the input of the NPWP would be informative on the Pre-PBAC response to this issue.</w:t>
            </w:r>
          </w:p>
        </w:tc>
      </w:tr>
      <w:tr w:rsidR="00771B94" w:rsidTr="005129D7">
        <w:tc>
          <w:tcPr>
            <w:tcW w:w="1132" w:type="pct"/>
          </w:tcPr>
          <w:p w:rsidR="00771B94" w:rsidRPr="003E77D0" w:rsidRDefault="00771B94" w:rsidP="005129D7">
            <w:pPr>
              <w:keepNext/>
              <w:spacing w:after="120"/>
              <w:rPr>
                <w:rFonts w:ascii="Arial Narrow" w:eastAsiaTheme="majorEastAsia" w:hAnsi="Arial Narrow"/>
                <w:sz w:val="20"/>
                <w:szCs w:val="20"/>
                <w:lang w:eastAsia="en-US"/>
              </w:rPr>
            </w:pPr>
            <w:r w:rsidRPr="003E77D0">
              <w:rPr>
                <w:rFonts w:ascii="Arial Narrow" w:eastAsiaTheme="majorEastAsia" w:hAnsi="Arial Narrow"/>
                <w:sz w:val="20"/>
                <w:szCs w:val="20"/>
                <w:lang w:eastAsia="en-US"/>
              </w:rPr>
              <w:t>Requested maximum quantities</w:t>
            </w:r>
            <w:r w:rsidR="003E77D0">
              <w:rPr>
                <w:rFonts w:ascii="Arial Narrow" w:eastAsiaTheme="majorEastAsia" w:hAnsi="Arial Narrow"/>
                <w:sz w:val="20"/>
                <w:szCs w:val="20"/>
                <w:lang w:eastAsia="en-US"/>
              </w:rPr>
              <w:t xml:space="preserve"> (Minor OVR 2.4)</w:t>
            </w:r>
          </w:p>
        </w:tc>
        <w:tc>
          <w:tcPr>
            <w:tcW w:w="1368" w:type="pct"/>
          </w:tcPr>
          <w:p w:rsidR="00771B94" w:rsidRPr="003E77D0" w:rsidRDefault="003E77D0"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N/A</w:t>
            </w:r>
          </w:p>
        </w:tc>
        <w:tc>
          <w:tcPr>
            <w:tcW w:w="1547" w:type="pct"/>
          </w:tcPr>
          <w:p w:rsidR="00771B94" w:rsidRDefault="003E77D0"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 xml:space="preserve">The sponsor </w:t>
            </w:r>
            <w:r w:rsidR="008327E8">
              <w:rPr>
                <w:rFonts w:ascii="Arial Narrow" w:eastAsiaTheme="majorEastAsia" w:hAnsi="Arial Narrow"/>
                <w:sz w:val="20"/>
                <w:szCs w:val="20"/>
                <w:lang w:eastAsia="en-US"/>
              </w:rPr>
              <w:t>argued that arginine may be administered in doses of 100 mg/kg/day up to a maximal daily dose of 6 g/day, and that therefore a pack size of 300 is appropriate as it would provide a one month supply for most patients.</w:t>
            </w:r>
          </w:p>
          <w:p w:rsidR="008327E8" w:rsidRPr="003E77D0" w:rsidRDefault="008327E8"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The Pre-PBAC response did not address whether this may represent an over-supply for patients using smaller quantities of arginine.</w:t>
            </w:r>
          </w:p>
        </w:tc>
        <w:tc>
          <w:tcPr>
            <w:tcW w:w="953" w:type="pct"/>
          </w:tcPr>
          <w:p w:rsidR="00771B94" w:rsidRPr="003E77D0" w:rsidRDefault="003E77D0"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N/A</w:t>
            </w:r>
          </w:p>
        </w:tc>
      </w:tr>
      <w:tr w:rsidR="00771B94" w:rsidTr="005129D7">
        <w:tc>
          <w:tcPr>
            <w:tcW w:w="1132" w:type="pct"/>
          </w:tcPr>
          <w:p w:rsidR="00771B94" w:rsidRPr="003E77D0" w:rsidRDefault="003E77D0" w:rsidP="005129D7">
            <w:pPr>
              <w:keepNext/>
              <w:spacing w:after="120"/>
              <w:rPr>
                <w:rFonts w:ascii="Arial Narrow" w:eastAsiaTheme="majorEastAsia" w:hAnsi="Arial Narrow"/>
                <w:sz w:val="20"/>
                <w:szCs w:val="20"/>
                <w:lang w:eastAsia="en-US"/>
              </w:rPr>
            </w:pPr>
            <w:r w:rsidRPr="003E77D0">
              <w:rPr>
                <w:rFonts w:ascii="Arial Narrow" w:eastAsiaTheme="majorEastAsia" w:hAnsi="Arial Narrow"/>
                <w:sz w:val="20"/>
                <w:szCs w:val="20"/>
                <w:lang w:eastAsia="en-US"/>
              </w:rPr>
              <w:t>Food standards regulation</w:t>
            </w:r>
          </w:p>
        </w:tc>
        <w:tc>
          <w:tcPr>
            <w:tcW w:w="1368" w:type="pct"/>
          </w:tcPr>
          <w:p w:rsidR="00771B94" w:rsidRPr="003E77D0" w:rsidRDefault="008327E8"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 xml:space="preserve">The NPWP considered the </w:t>
            </w:r>
            <w:r w:rsidRPr="008327E8">
              <w:rPr>
                <w:rFonts w:ascii="Arial Narrow" w:eastAsiaTheme="majorEastAsia" w:hAnsi="Arial Narrow"/>
                <w:sz w:val="20"/>
                <w:szCs w:val="20"/>
                <w:lang w:eastAsia="en-US"/>
              </w:rPr>
              <w:t>sponsor provided a suitable comparison against the requirements for foods that have medical purposes as set out under The Australia New Zealand Food Standards Code — Standard 2.9.5: Food for Special Medical Purposes</w:t>
            </w:r>
            <w:r>
              <w:rPr>
                <w:rFonts w:ascii="Arial Narrow" w:eastAsiaTheme="majorEastAsia" w:hAnsi="Arial Narrow"/>
                <w:sz w:val="20"/>
                <w:szCs w:val="20"/>
                <w:lang w:eastAsia="en-US"/>
              </w:rPr>
              <w:t>.</w:t>
            </w:r>
          </w:p>
        </w:tc>
        <w:tc>
          <w:tcPr>
            <w:tcW w:w="1547" w:type="pct"/>
          </w:tcPr>
          <w:p w:rsidR="00771B94" w:rsidRPr="003E77D0" w:rsidRDefault="008327E8"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The sponsor noted that the TGA Food-Medicine Interface Guidance Tool (FMIGT) was consulted in formulating the submission, and argued that Arginine Easy does not make therapeutic claims and the product is proposed to be used in the dietary management of urea cycle disorders and other inherited metabolic diseases.</w:t>
            </w:r>
          </w:p>
        </w:tc>
        <w:tc>
          <w:tcPr>
            <w:tcW w:w="953" w:type="pct"/>
          </w:tcPr>
          <w:p w:rsidR="00771B94" w:rsidRPr="008327E8" w:rsidRDefault="008327E8" w:rsidP="005129D7">
            <w:pPr>
              <w:keepNext/>
              <w:spacing w:after="120"/>
              <w:rPr>
                <w:rFonts w:ascii="Arial Narrow" w:eastAsiaTheme="majorEastAsia" w:hAnsi="Arial Narrow"/>
                <w:sz w:val="20"/>
                <w:szCs w:val="20"/>
                <w:lang w:eastAsia="en-US"/>
              </w:rPr>
            </w:pPr>
            <w:r>
              <w:rPr>
                <w:rFonts w:ascii="Arial Narrow" w:eastAsiaTheme="majorEastAsia" w:hAnsi="Arial Narrow"/>
                <w:sz w:val="20"/>
                <w:szCs w:val="20"/>
                <w:lang w:eastAsia="en-US"/>
              </w:rPr>
              <w:t xml:space="preserve">The PBAC considered that Arginine Easy tablets may come under the definition of a therapeutic good under the </w:t>
            </w:r>
            <w:r>
              <w:rPr>
                <w:rFonts w:ascii="Arial Narrow" w:eastAsiaTheme="majorEastAsia" w:hAnsi="Arial Narrow"/>
                <w:i/>
                <w:sz w:val="20"/>
                <w:szCs w:val="20"/>
                <w:lang w:eastAsia="en-US"/>
              </w:rPr>
              <w:t>Therapeutic Goods Act 1989</w:t>
            </w:r>
            <w:r>
              <w:rPr>
                <w:rFonts w:ascii="Arial Narrow" w:eastAsiaTheme="majorEastAsia" w:hAnsi="Arial Narrow"/>
                <w:sz w:val="20"/>
                <w:szCs w:val="20"/>
                <w:lang w:eastAsia="en-US"/>
              </w:rPr>
              <w:t>.</w:t>
            </w:r>
          </w:p>
        </w:tc>
      </w:tr>
    </w:tbl>
    <w:p w:rsidR="005021CF" w:rsidRPr="00D169EE" w:rsidRDefault="005021CF" w:rsidP="005021CF">
      <w:pPr>
        <w:pStyle w:val="ListParagraph"/>
        <w:ind w:left="709"/>
        <w:rPr>
          <w:rFonts w:asciiTheme="minorHAnsi" w:hAnsiTheme="minorHAnsi"/>
          <w:i/>
        </w:rPr>
      </w:pPr>
      <w:r w:rsidRPr="00894E17">
        <w:rPr>
          <w:rFonts w:asciiTheme="minorHAnsi" w:hAnsiTheme="minorHAnsi"/>
          <w:i/>
        </w:rPr>
        <w:t>For more deta</w:t>
      </w:r>
      <w:r w:rsidR="0019171F">
        <w:rPr>
          <w:rFonts w:asciiTheme="minorHAnsi" w:hAnsiTheme="minorHAnsi"/>
          <w:i/>
        </w:rPr>
        <w:t>il on PBAC’s view, see section 9</w:t>
      </w:r>
      <w:r w:rsidRPr="00894E17">
        <w:rPr>
          <w:rFonts w:asciiTheme="minorHAnsi" w:hAnsiTheme="minorHAnsi"/>
          <w:i/>
        </w:rPr>
        <w:t xml:space="preserve"> PBAC outcome.</w:t>
      </w:r>
    </w:p>
    <w:p w:rsidR="005021CF" w:rsidRPr="00BE03FC" w:rsidRDefault="005021CF" w:rsidP="005129D7">
      <w:pPr>
        <w:pStyle w:val="Heading1"/>
        <w:keepLines/>
        <w:numPr>
          <w:ilvl w:val="0"/>
          <w:numId w:val="30"/>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NPWP Consideration</w:t>
      </w:r>
    </w:p>
    <w:p w:rsidR="005021CF" w:rsidRPr="005021CF" w:rsidRDefault="005021CF" w:rsidP="009B19A7">
      <w:pPr>
        <w:pStyle w:val="ListParagraph"/>
        <w:numPr>
          <w:ilvl w:val="1"/>
          <w:numId w:val="30"/>
        </w:numPr>
        <w:spacing w:after="120"/>
        <w:contextualSpacing w:val="0"/>
        <w:jc w:val="both"/>
        <w:rPr>
          <w:rFonts w:asciiTheme="minorHAnsi" w:eastAsiaTheme="majorEastAsia" w:hAnsiTheme="minorHAnsi"/>
          <w:lang w:eastAsia="en-US"/>
        </w:rPr>
      </w:pPr>
      <w:r>
        <w:rPr>
          <w:rFonts w:asciiTheme="minorHAnsi" w:hAnsiTheme="minorHAnsi"/>
        </w:rPr>
        <w:t>The Nutritional Products Working Party (NPWP) noted the sponsor of Arginine Easy</w:t>
      </w:r>
      <w:r>
        <w:rPr>
          <w:rFonts w:ascii="Calibri" w:hAnsi="Calibri" w:cs="Calibri"/>
        </w:rPr>
        <w:t xml:space="preserve">® </w:t>
      </w:r>
      <w:r w:rsidRPr="005021CF">
        <w:rPr>
          <w:rFonts w:ascii="Calibri" w:hAnsi="Calibri" w:cs="Calibri"/>
        </w:rPr>
        <w:t>attempted to address the high protein content in Arginine EASY® by presenting clinical advice from a Swedish Clinician. The pre-PBAC response claimed that for a 50kg patient, protein supplementation would be safe in a range of 5-15 arginine tablets per day.</w:t>
      </w:r>
    </w:p>
    <w:p w:rsidR="005021CF" w:rsidRDefault="005021CF" w:rsidP="009B19A7">
      <w:pPr>
        <w:pStyle w:val="ListParagraph"/>
        <w:numPr>
          <w:ilvl w:val="1"/>
          <w:numId w:val="30"/>
        </w:numPr>
        <w:spacing w:after="120"/>
        <w:contextualSpacing w:val="0"/>
        <w:jc w:val="both"/>
        <w:rPr>
          <w:rFonts w:asciiTheme="minorHAnsi" w:eastAsiaTheme="majorEastAsia" w:hAnsiTheme="minorHAnsi"/>
          <w:lang w:eastAsia="en-US"/>
        </w:rPr>
      </w:pPr>
      <w:r>
        <w:rPr>
          <w:rFonts w:asciiTheme="minorHAnsi" w:eastAsiaTheme="majorEastAsia" w:hAnsiTheme="minorHAnsi"/>
          <w:lang w:eastAsia="en-US"/>
        </w:rPr>
        <w:t xml:space="preserve">The </w:t>
      </w:r>
      <w:r w:rsidRPr="005021CF">
        <w:rPr>
          <w:rFonts w:asciiTheme="minorHAnsi" w:eastAsiaTheme="majorEastAsia" w:hAnsiTheme="minorHAnsi"/>
          <w:lang w:eastAsia="en-US"/>
        </w:rPr>
        <w:t>NPWP noted that the additional protein source of the product came from L-aspartate, which was not recorded in the nutritional information table on the product label nor anywhere on the product data sheet.</w:t>
      </w:r>
    </w:p>
    <w:p w:rsidR="005021CF" w:rsidRPr="005021CF" w:rsidRDefault="005021CF" w:rsidP="009B19A7">
      <w:pPr>
        <w:pStyle w:val="ListParagraph"/>
        <w:numPr>
          <w:ilvl w:val="1"/>
          <w:numId w:val="30"/>
        </w:numPr>
        <w:spacing w:after="120"/>
        <w:contextualSpacing w:val="0"/>
        <w:jc w:val="both"/>
        <w:rPr>
          <w:rFonts w:asciiTheme="minorHAnsi" w:eastAsiaTheme="majorEastAsia" w:hAnsiTheme="minorHAnsi"/>
          <w:lang w:eastAsia="en-US"/>
        </w:rPr>
      </w:pPr>
      <w:r>
        <w:rPr>
          <w:rFonts w:asciiTheme="minorHAnsi" w:eastAsiaTheme="majorEastAsia" w:hAnsiTheme="minorHAnsi"/>
          <w:lang w:eastAsia="en-US"/>
        </w:rPr>
        <w:lastRenderedPageBreak/>
        <w:t xml:space="preserve">The </w:t>
      </w:r>
      <w:r w:rsidRPr="005021CF">
        <w:rPr>
          <w:rFonts w:asciiTheme="minorHAnsi" w:eastAsiaTheme="majorEastAsia" w:hAnsiTheme="minorHAnsi"/>
          <w:lang w:eastAsia="en-US"/>
        </w:rPr>
        <w:t>NPWP considered that the product could potentially contribute up to 20% of protein dietary requirement of patients with urea cycle disorders, which was not clinically justified. The NPWP remained concerned with the high protein equivalence in the product and reiterated that the protein content of the product may prove detrimental to patients on highly restricted protein diets and may result in protein overload or the removal of other sources of protein from the diet.</w:t>
      </w:r>
      <w:r>
        <w:rPr>
          <w:rFonts w:asciiTheme="minorHAnsi" w:eastAsiaTheme="majorEastAsia" w:hAnsiTheme="minorHAnsi"/>
          <w:lang w:eastAsia="en-US"/>
        </w:rPr>
        <w:t xml:space="preserve"> As such, the NPWP advised the PBAC that it did not support the listing of Arginine Easy</w:t>
      </w:r>
      <w:r>
        <w:rPr>
          <w:rFonts w:ascii="Calibri" w:hAnsi="Calibri" w:cs="Calibri"/>
        </w:rPr>
        <w:t>® for urea cycle disorders, and noted that other products for this condition were available and there was limited clinical need for this formulation of arginine.</w:t>
      </w:r>
    </w:p>
    <w:p w:rsidR="005021CF" w:rsidRPr="00894E17" w:rsidRDefault="005021CF" w:rsidP="009B19A7">
      <w:pPr>
        <w:widowControl w:val="0"/>
        <w:numPr>
          <w:ilvl w:val="0"/>
          <w:numId w:val="30"/>
        </w:numPr>
        <w:spacing w:before="240" w:after="120"/>
        <w:jc w:val="both"/>
        <w:outlineLvl w:val="0"/>
        <w:rPr>
          <w:rFonts w:asciiTheme="minorHAnsi" w:hAnsiTheme="minorHAnsi" w:cs="Arial"/>
          <w:b/>
          <w:bCs/>
          <w:snapToGrid w:val="0"/>
          <w:sz w:val="32"/>
        </w:rPr>
      </w:pPr>
      <w:r w:rsidRPr="00894E17">
        <w:rPr>
          <w:rFonts w:asciiTheme="minorHAnsi" w:hAnsiTheme="minorHAnsi" w:cs="Arial"/>
          <w:b/>
          <w:bCs/>
          <w:snapToGrid w:val="0"/>
          <w:sz w:val="32"/>
        </w:rPr>
        <w:t>PBAC Outcome</w:t>
      </w:r>
    </w:p>
    <w:p w:rsidR="005021CF" w:rsidRPr="00894E17" w:rsidRDefault="00894E17" w:rsidP="009B19A7">
      <w:pPr>
        <w:widowControl w:val="0"/>
        <w:numPr>
          <w:ilvl w:val="1"/>
          <w:numId w:val="30"/>
        </w:numPr>
        <w:spacing w:after="120"/>
        <w:jc w:val="both"/>
        <w:rPr>
          <w:rFonts w:asciiTheme="minorHAnsi" w:hAnsiTheme="minorHAnsi" w:cs="Arial"/>
          <w:bCs/>
          <w:snapToGrid w:val="0"/>
          <w:lang w:val="en-GB"/>
        </w:rPr>
      </w:pPr>
      <w:r w:rsidRPr="00894E17">
        <w:rPr>
          <w:rFonts w:asciiTheme="minorHAnsi" w:hAnsiTheme="minorHAnsi" w:cs="Arial"/>
          <w:bCs/>
          <w:snapToGrid w:val="0"/>
          <w:lang w:val="en-GB"/>
        </w:rPr>
        <w:t xml:space="preserve">The PBAC did not recommend the listing of arginine </w:t>
      </w:r>
      <w:r w:rsidR="00464157">
        <w:rPr>
          <w:rFonts w:asciiTheme="minorHAnsi" w:hAnsiTheme="minorHAnsi" w:cs="Arial"/>
          <w:bCs/>
          <w:snapToGrid w:val="0"/>
          <w:lang w:val="en-GB"/>
        </w:rPr>
        <w:t xml:space="preserve">500 mg </w:t>
      </w:r>
      <w:r w:rsidRPr="00894E17">
        <w:rPr>
          <w:rFonts w:asciiTheme="minorHAnsi" w:hAnsiTheme="minorHAnsi" w:cs="Arial"/>
          <w:bCs/>
          <w:snapToGrid w:val="0"/>
          <w:lang w:val="en-GB"/>
        </w:rPr>
        <w:t xml:space="preserve">tablets on the basis of </w:t>
      </w:r>
      <w:r w:rsidR="00464157">
        <w:rPr>
          <w:rFonts w:asciiTheme="minorHAnsi" w:hAnsiTheme="minorHAnsi" w:cs="Arial"/>
          <w:bCs/>
          <w:snapToGrid w:val="0"/>
          <w:lang w:val="en-GB"/>
        </w:rPr>
        <w:t xml:space="preserve">clinically </w:t>
      </w:r>
      <w:r w:rsidRPr="00894E17">
        <w:rPr>
          <w:rFonts w:asciiTheme="minorHAnsi" w:hAnsiTheme="minorHAnsi" w:cs="Arial"/>
          <w:bCs/>
          <w:snapToGrid w:val="0"/>
          <w:lang w:val="en-GB"/>
        </w:rPr>
        <w:t>inappropriate</w:t>
      </w:r>
      <w:r>
        <w:rPr>
          <w:rFonts w:asciiTheme="minorHAnsi" w:hAnsiTheme="minorHAnsi" w:cs="Arial"/>
          <w:bCs/>
          <w:snapToGrid w:val="0"/>
          <w:lang w:val="en-GB"/>
        </w:rPr>
        <w:t>ly high and undocumented</w:t>
      </w:r>
      <w:r w:rsidRPr="00894E17">
        <w:rPr>
          <w:rFonts w:asciiTheme="minorHAnsi" w:hAnsiTheme="minorHAnsi" w:cs="Arial"/>
          <w:bCs/>
          <w:snapToGrid w:val="0"/>
          <w:lang w:val="en-GB"/>
        </w:rPr>
        <w:t xml:space="preserve"> protein content in </w:t>
      </w:r>
      <w:r w:rsidR="00464157" w:rsidRPr="00894E17">
        <w:rPr>
          <w:rFonts w:asciiTheme="minorHAnsi" w:hAnsiTheme="minorHAnsi" w:cs="Arial"/>
          <w:bCs/>
          <w:snapToGrid w:val="0"/>
          <w:lang w:val="en-GB"/>
        </w:rPr>
        <w:t>th</w:t>
      </w:r>
      <w:r w:rsidR="00464157">
        <w:rPr>
          <w:rFonts w:asciiTheme="minorHAnsi" w:hAnsiTheme="minorHAnsi" w:cs="Arial"/>
          <w:bCs/>
          <w:snapToGrid w:val="0"/>
          <w:lang w:val="en-GB"/>
        </w:rPr>
        <w:t>e</w:t>
      </w:r>
      <w:r w:rsidR="00464157" w:rsidRPr="00894E17">
        <w:rPr>
          <w:rFonts w:asciiTheme="minorHAnsi" w:hAnsiTheme="minorHAnsi" w:cs="Arial"/>
          <w:bCs/>
          <w:snapToGrid w:val="0"/>
          <w:lang w:val="en-GB"/>
        </w:rPr>
        <w:t xml:space="preserve"> </w:t>
      </w:r>
      <w:r w:rsidRPr="00894E17">
        <w:rPr>
          <w:rFonts w:asciiTheme="minorHAnsi" w:hAnsiTheme="minorHAnsi" w:cs="Arial"/>
          <w:bCs/>
          <w:snapToGrid w:val="0"/>
          <w:lang w:val="en-GB"/>
        </w:rPr>
        <w:t xml:space="preserve">formulation and a lack of clinical need for </w:t>
      </w:r>
      <w:r w:rsidR="00464157">
        <w:rPr>
          <w:rFonts w:asciiTheme="minorHAnsi" w:hAnsiTheme="minorHAnsi" w:cs="Arial"/>
          <w:bCs/>
          <w:snapToGrid w:val="0"/>
          <w:lang w:val="en-GB"/>
        </w:rPr>
        <w:t xml:space="preserve">an </w:t>
      </w:r>
      <w:r w:rsidRPr="00894E17">
        <w:rPr>
          <w:rFonts w:asciiTheme="minorHAnsi" w:hAnsiTheme="minorHAnsi" w:cs="Arial"/>
          <w:bCs/>
          <w:snapToGrid w:val="0"/>
          <w:lang w:val="en-GB"/>
        </w:rPr>
        <w:t>additional formulation of arginine on the PBS.</w:t>
      </w:r>
    </w:p>
    <w:p w:rsidR="005021CF" w:rsidRPr="00894E17" w:rsidRDefault="00894E17" w:rsidP="009B19A7">
      <w:pPr>
        <w:widowControl w:val="0"/>
        <w:numPr>
          <w:ilvl w:val="1"/>
          <w:numId w:val="30"/>
        </w:numPr>
        <w:spacing w:after="120"/>
        <w:jc w:val="both"/>
        <w:rPr>
          <w:rFonts w:asciiTheme="minorHAnsi" w:hAnsiTheme="minorHAnsi" w:cs="Arial"/>
          <w:bCs/>
          <w:snapToGrid w:val="0"/>
          <w:lang w:val="en-GB"/>
        </w:rPr>
      </w:pPr>
      <w:r w:rsidRPr="00894E17">
        <w:rPr>
          <w:rFonts w:asciiTheme="minorHAnsi" w:hAnsiTheme="minorHAnsi" w:cs="Arial"/>
          <w:bCs/>
          <w:snapToGrid w:val="0"/>
          <w:lang w:val="en-GB"/>
        </w:rPr>
        <w:t xml:space="preserve">In reaching its </w:t>
      </w:r>
      <w:r>
        <w:rPr>
          <w:rFonts w:asciiTheme="minorHAnsi" w:hAnsiTheme="minorHAnsi" w:cs="Arial"/>
          <w:bCs/>
          <w:snapToGrid w:val="0"/>
          <w:lang w:val="en-GB"/>
        </w:rPr>
        <w:t>conclusions</w:t>
      </w:r>
      <w:r w:rsidRPr="00894E17">
        <w:rPr>
          <w:rFonts w:asciiTheme="minorHAnsi" w:hAnsiTheme="minorHAnsi" w:cs="Arial"/>
          <w:bCs/>
          <w:snapToGrid w:val="0"/>
          <w:lang w:val="en-GB"/>
        </w:rPr>
        <w:t xml:space="preserve">, the PBAC noted the advice of the Nutritional Products Working Party (NPWP), which stated that the high levels of protein in Arginine Easy, which may account for up to 20% of daily protein intake for some patients, was due to the presence of L-aspartate in the product, which was not present in the nutritional information table on the product label nor elsewhere on the product data sheet. The PBAC agreed with the NPWP that the high levels of protein in the product could be detrimental to patients on highly restricted protein diets and further complicate management of conditions which already require </w:t>
      </w:r>
      <w:r w:rsidR="00802F92">
        <w:rPr>
          <w:rFonts w:asciiTheme="minorHAnsi" w:hAnsiTheme="minorHAnsi" w:cs="Arial"/>
          <w:bCs/>
          <w:snapToGrid w:val="0"/>
          <w:lang w:val="en-GB"/>
        </w:rPr>
        <w:t>complex and restrictive dietary management.</w:t>
      </w:r>
    </w:p>
    <w:p w:rsidR="00894E17" w:rsidRPr="00894E17" w:rsidRDefault="00894E17" w:rsidP="009B19A7">
      <w:pPr>
        <w:widowControl w:val="0"/>
        <w:numPr>
          <w:ilvl w:val="1"/>
          <w:numId w:val="30"/>
        </w:numPr>
        <w:spacing w:after="120"/>
        <w:jc w:val="both"/>
        <w:rPr>
          <w:rFonts w:asciiTheme="minorHAnsi" w:hAnsiTheme="minorHAnsi" w:cs="Arial"/>
          <w:bCs/>
          <w:snapToGrid w:val="0"/>
          <w:lang w:val="en-GB"/>
        </w:rPr>
      </w:pPr>
      <w:r w:rsidRPr="00894E17">
        <w:rPr>
          <w:rFonts w:asciiTheme="minorHAnsi" w:hAnsiTheme="minorHAnsi" w:cs="Arial"/>
          <w:bCs/>
          <w:snapToGrid w:val="0"/>
          <w:lang w:val="en-GB"/>
        </w:rPr>
        <w:t xml:space="preserve">The PBAC noted that other arginine products which do not have similarly high levels of protein are currently listed on the PBS, and considered </w:t>
      </w:r>
      <w:r w:rsidR="00464157">
        <w:rPr>
          <w:rFonts w:asciiTheme="minorHAnsi" w:hAnsiTheme="minorHAnsi" w:cs="Arial"/>
          <w:bCs/>
          <w:snapToGrid w:val="0"/>
          <w:lang w:val="en-GB"/>
        </w:rPr>
        <w:t xml:space="preserve">that </w:t>
      </w:r>
      <w:r w:rsidRPr="00894E17">
        <w:rPr>
          <w:rFonts w:asciiTheme="minorHAnsi" w:hAnsiTheme="minorHAnsi" w:cs="Arial"/>
          <w:bCs/>
          <w:snapToGrid w:val="0"/>
          <w:lang w:val="en-GB"/>
        </w:rPr>
        <w:t>there was no clinical need for additional and less suitable arginine products on the PBS.</w:t>
      </w:r>
    </w:p>
    <w:p w:rsidR="005021CF" w:rsidRPr="00894E17" w:rsidRDefault="00894E17" w:rsidP="009B19A7">
      <w:pPr>
        <w:widowControl w:val="0"/>
        <w:numPr>
          <w:ilvl w:val="1"/>
          <w:numId w:val="30"/>
        </w:numPr>
        <w:spacing w:after="120"/>
        <w:jc w:val="both"/>
        <w:rPr>
          <w:rFonts w:asciiTheme="minorHAnsi" w:hAnsiTheme="minorHAnsi" w:cs="Arial"/>
          <w:bCs/>
          <w:snapToGrid w:val="0"/>
          <w:lang w:val="en-GB"/>
        </w:rPr>
      </w:pPr>
      <w:r w:rsidRPr="00894E17">
        <w:rPr>
          <w:rFonts w:asciiTheme="minorHAnsi" w:hAnsiTheme="minorHAnsi" w:cs="Arial"/>
          <w:bCs/>
          <w:snapToGrid w:val="0"/>
          <w:lang w:val="en-GB"/>
        </w:rPr>
        <w:t>The PBAC noted this submission is eligible for an Independent Review.</w:t>
      </w:r>
      <w:r w:rsidR="005021CF" w:rsidRPr="00894E17">
        <w:rPr>
          <w:rFonts w:asciiTheme="minorHAnsi" w:hAnsiTheme="minorHAnsi" w:cs="Arial"/>
          <w:bCs/>
          <w:snapToGrid w:val="0"/>
          <w:lang w:val="en-GB"/>
        </w:rPr>
        <w:t xml:space="preserve"> </w:t>
      </w:r>
    </w:p>
    <w:p w:rsidR="005021CF" w:rsidRPr="00802F92" w:rsidRDefault="005021CF" w:rsidP="00802F92">
      <w:pPr>
        <w:spacing w:before="240"/>
        <w:jc w:val="both"/>
        <w:rPr>
          <w:rFonts w:asciiTheme="minorHAnsi" w:hAnsiTheme="minorHAnsi" w:cs="Arial"/>
          <w:b/>
          <w:bCs/>
          <w:snapToGrid w:val="0"/>
          <w:lang w:val="en-GB"/>
        </w:rPr>
      </w:pPr>
      <w:r w:rsidRPr="00802F92">
        <w:rPr>
          <w:rFonts w:asciiTheme="minorHAnsi" w:hAnsiTheme="minorHAnsi" w:cs="Arial"/>
          <w:b/>
          <w:bCs/>
          <w:snapToGrid w:val="0"/>
          <w:lang w:val="en-GB"/>
        </w:rPr>
        <w:t>Outcome</w:t>
      </w:r>
      <w:proofErr w:type="gramStart"/>
      <w:r w:rsidRPr="00802F92">
        <w:rPr>
          <w:rFonts w:asciiTheme="minorHAnsi" w:hAnsiTheme="minorHAnsi" w:cs="Arial"/>
          <w:b/>
          <w:bCs/>
          <w:snapToGrid w:val="0"/>
          <w:lang w:val="en-GB"/>
        </w:rPr>
        <w:t>:</w:t>
      </w:r>
      <w:proofErr w:type="gramEnd"/>
      <w:r w:rsidR="00802F92" w:rsidRPr="00802F92">
        <w:rPr>
          <w:rFonts w:asciiTheme="minorHAnsi" w:hAnsiTheme="minorHAnsi" w:cs="Arial"/>
          <w:b/>
          <w:bCs/>
          <w:snapToGrid w:val="0"/>
          <w:lang w:val="en-GB"/>
        </w:rPr>
        <w:br/>
      </w:r>
      <w:r w:rsidR="00802F92" w:rsidRPr="00802F92">
        <w:rPr>
          <w:rFonts w:asciiTheme="minorHAnsi" w:hAnsiTheme="minorHAnsi" w:cs="Arial"/>
          <w:bCs/>
          <w:snapToGrid w:val="0"/>
          <w:lang w:val="en-GB"/>
        </w:rPr>
        <w:t xml:space="preserve">Rejected </w:t>
      </w:r>
    </w:p>
    <w:p w:rsidR="008E7A0D" w:rsidRPr="008E7A0D" w:rsidRDefault="008E7A0D" w:rsidP="005129D7">
      <w:pPr>
        <w:pStyle w:val="Heading1"/>
        <w:keepLines/>
        <w:numPr>
          <w:ilvl w:val="0"/>
          <w:numId w:val="30"/>
        </w:numPr>
        <w:spacing w:before="240" w:after="120"/>
        <w:ind w:left="709" w:hanging="709"/>
        <w:contextualSpacing w:val="0"/>
        <w:rPr>
          <w:rFonts w:asciiTheme="minorHAnsi" w:eastAsiaTheme="minorHAnsi" w:hAnsiTheme="minorHAnsi" w:cstheme="minorBidi"/>
          <w:sz w:val="32"/>
          <w:szCs w:val="22"/>
          <w:lang w:eastAsia="en-US"/>
        </w:rPr>
      </w:pPr>
      <w:r w:rsidRPr="008E7A0D">
        <w:rPr>
          <w:rFonts w:asciiTheme="minorHAnsi" w:eastAsiaTheme="minorHAnsi" w:hAnsiTheme="minorHAnsi" w:cstheme="minorBidi"/>
          <w:sz w:val="32"/>
          <w:szCs w:val="22"/>
          <w:lang w:eastAsia="en-US"/>
        </w:rPr>
        <w:t>Context for Decision</w:t>
      </w:r>
    </w:p>
    <w:p w:rsidR="007B1C32" w:rsidRPr="007B1C32" w:rsidRDefault="007B1C32" w:rsidP="007B1C32">
      <w:pPr>
        <w:spacing w:line="276" w:lineRule="auto"/>
        <w:ind w:left="426"/>
        <w:jc w:val="both"/>
        <w:rPr>
          <w:rFonts w:asciiTheme="minorHAnsi" w:eastAsiaTheme="minorHAnsi" w:hAnsiTheme="minorHAnsi" w:cs="Arial"/>
          <w:szCs w:val="22"/>
          <w:lang w:eastAsia="en-US"/>
        </w:rPr>
      </w:pPr>
      <w:r w:rsidRPr="007B1C32">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B1C32" w:rsidRPr="007B1C32" w:rsidRDefault="007B1C32" w:rsidP="005129D7">
      <w:pPr>
        <w:pStyle w:val="Heading1"/>
        <w:keepLines/>
        <w:numPr>
          <w:ilvl w:val="0"/>
          <w:numId w:val="30"/>
        </w:numPr>
        <w:spacing w:before="240" w:after="120"/>
        <w:ind w:left="709" w:hanging="709"/>
        <w:contextualSpacing w:val="0"/>
        <w:rPr>
          <w:rFonts w:asciiTheme="minorHAnsi" w:eastAsiaTheme="minorHAnsi" w:hAnsiTheme="minorHAnsi" w:cstheme="minorBidi"/>
          <w:sz w:val="32"/>
          <w:szCs w:val="22"/>
          <w:lang w:eastAsia="en-US"/>
        </w:rPr>
      </w:pPr>
      <w:r w:rsidRPr="007B1C32">
        <w:rPr>
          <w:rFonts w:asciiTheme="minorHAnsi" w:hAnsiTheme="minorHAnsi" w:cs="Arial"/>
          <w:bCs/>
          <w:snapToGrid w:val="0"/>
          <w:sz w:val="32"/>
        </w:rPr>
        <w:t>Sponsor’s Comment</w:t>
      </w:r>
    </w:p>
    <w:p w:rsidR="000A1C6F" w:rsidRPr="005129D7" w:rsidRDefault="007B1C32" w:rsidP="005129D7">
      <w:pPr>
        <w:spacing w:after="120" w:line="276" w:lineRule="auto"/>
        <w:ind w:left="426"/>
        <w:jc w:val="both"/>
        <w:rPr>
          <w:rFonts w:asciiTheme="minorHAnsi" w:eastAsiaTheme="minorHAnsi" w:hAnsiTheme="minorHAnsi" w:cs="Arial"/>
          <w:bCs/>
          <w:szCs w:val="22"/>
          <w:lang w:eastAsia="en-US"/>
        </w:rPr>
      </w:pPr>
      <w:r w:rsidRPr="007B1C32">
        <w:rPr>
          <w:rFonts w:asciiTheme="minorHAnsi" w:eastAsiaTheme="minorHAnsi" w:hAnsiTheme="minorHAnsi" w:cs="Arial"/>
          <w:bCs/>
          <w:szCs w:val="22"/>
          <w:lang w:eastAsia="en-US"/>
        </w:rPr>
        <w:t>The sponsor had no comment.</w:t>
      </w:r>
    </w:p>
    <w:sectPr w:rsidR="000A1C6F" w:rsidRPr="005129D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DAC" w:rsidRDefault="00E43DAC">
      <w:r>
        <w:separator/>
      </w:r>
    </w:p>
    <w:p w:rsidR="00E43DAC" w:rsidRDefault="00E43DAC"/>
    <w:p w:rsidR="00E43DAC" w:rsidRDefault="00E43DAC"/>
  </w:endnote>
  <w:endnote w:type="continuationSeparator" w:id="0">
    <w:p w:rsidR="00E43DAC" w:rsidRDefault="00E43DAC">
      <w:r>
        <w:continuationSeparator/>
      </w:r>
    </w:p>
    <w:p w:rsidR="00E43DAC" w:rsidRDefault="00E43DAC"/>
    <w:p w:rsidR="00E43DAC" w:rsidRDefault="00E43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CF" w:rsidRPr="00D169EE" w:rsidRDefault="005021CF" w:rsidP="005021CF">
    <w:pPr>
      <w:pStyle w:val="Footer"/>
      <w:ind w:left="360"/>
      <w:jc w:val="center"/>
      <w:rPr>
        <w:rFonts w:asciiTheme="minorHAnsi" w:hAnsiTheme="minorHAnsi" w:cs="Arial"/>
      </w:rP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225D7F">
      <w:rPr>
        <w:rFonts w:asciiTheme="minorHAnsi" w:hAnsiTheme="minorHAnsi" w:cs="Arial"/>
        <w:noProof/>
      </w:rPr>
      <w:t>3</w:t>
    </w:r>
    <w:r w:rsidRPr="00D169EE">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DAC" w:rsidRDefault="00E43DAC">
      <w:r>
        <w:separator/>
      </w:r>
    </w:p>
    <w:p w:rsidR="00E43DAC" w:rsidRDefault="00E43DAC"/>
    <w:p w:rsidR="00E43DAC" w:rsidRDefault="00E43DAC"/>
  </w:footnote>
  <w:footnote w:type="continuationSeparator" w:id="0">
    <w:p w:rsidR="00E43DAC" w:rsidRDefault="00E43DAC">
      <w:r>
        <w:continuationSeparator/>
      </w:r>
    </w:p>
    <w:p w:rsidR="00E43DAC" w:rsidRDefault="00E43DAC"/>
    <w:p w:rsidR="00E43DAC" w:rsidRDefault="00E43D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CF" w:rsidRPr="00F90A91" w:rsidRDefault="0098434F" w:rsidP="005021CF">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E91603">
      <w:rPr>
        <w:rFonts w:asciiTheme="minorHAnsi" w:hAnsiTheme="minorHAnsi" w:cs="Arial"/>
        <w:i/>
        <w:color w:val="808080"/>
        <w:sz w:val="22"/>
      </w:rPr>
      <w:t xml:space="preserve"> </w:t>
    </w:r>
    <w:r w:rsidR="005021CF" w:rsidRPr="00F90A91">
      <w:rPr>
        <w:rFonts w:asciiTheme="minorHAnsi" w:hAnsiTheme="minorHAnsi" w:cs="Arial"/>
        <w:i/>
        <w:color w:val="808080"/>
        <w:sz w:val="22"/>
      </w:rPr>
      <w:t xml:space="preserve">– </w:t>
    </w:r>
    <w:r w:rsidR="00FF7462">
      <w:rPr>
        <w:rFonts w:asciiTheme="minorHAnsi" w:hAnsiTheme="minorHAnsi" w:cs="Arial"/>
        <w:i/>
        <w:color w:val="808080"/>
        <w:sz w:val="22"/>
      </w:rPr>
      <w:t>November 2017</w:t>
    </w:r>
    <w:r w:rsidR="005021CF" w:rsidRPr="00F90A91">
      <w:rPr>
        <w:rFonts w:asciiTheme="minorHAnsi" w:hAnsiTheme="minorHAnsi" w:cs="Arial"/>
        <w:i/>
        <w:color w:val="808080"/>
        <w:sz w:val="22"/>
      </w:rPr>
      <w:t xml:space="preserve"> PBAC Meeting</w:t>
    </w: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DAC" w:rsidRDefault="00E43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711A42"/>
    <w:multiLevelType w:val="hybridMultilevel"/>
    <w:tmpl w:val="FA763B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8B47E60"/>
    <w:multiLevelType w:val="multilevel"/>
    <w:tmpl w:val="280477C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0746CCB"/>
    <w:multiLevelType w:val="multilevel"/>
    <w:tmpl w:val="280477C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1C12440"/>
    <w:multiLevelType w:val="multilevel"/>
    <w:tmpl w:val="280477C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784D033C"/>
    <w:multiLevelType w:val="multilevel"/>
    <w:tmpl w:val="280477C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8"/>
  </w:num>
  <w:num w:numId="3">
    <w:abstractNumId w:val="3"/>
  </w:num>
  <w:num w:numId="4">
    <w:abstractNumId w:val="26"/>
  </w:num>
  <w:num w:numId="5">
    <w:abstractNumId w:val="4"/>
  </w:num>
  <w:num w:numId="6">
    <w:abstractNumId w:val="10"/>
  </w:num>
  <w:num w:numId="7">
    <w:abstractNumId w:val="22"/>
  </w:num>
  <w:num w:numId="8">
    <w:abstractNumId w:val="14"/>
  </w:num>
  <w:num w:numId="9">
    <w:abstractNumId w:val="27"/>
  </w:num>
  <w:num w:numId="10">
    <w:abstractNumId w:val="25"/>
  </w:num>
  <w:num w:numId="11">
    <w:abstractNumId w:val="15"/>
  </w:num>
  <w:num w:numId="12">
    <w:abstractNumId w:val="18"/>
  </w:num>
  <w:num w:numId="13">
    <w:abstractNumId w:val="5"/>
  </w:num>
  <w:num w:numId="14">
    <w:abstractNumId w:val="2"/>
  </w:num>
  <w:num w:numId="15">
    <w:abstractNumId w:val="0"/>
  </w:num>
  <w:num w:numId="16">
    <w:abstractNumId w:val="11"/>
  </w:num>
  <w:num w:numId="17">
    <w:abstractNumId w:val="20"/>
  </w:num>
  <w:num w:numId="18">
    <w:abstractNumId w:val="7"/>
  </w:num>
  <w:num w:numId="19">
    <w:abstractNumId w:val="17"/>
  </w:num>
  <w:num w:numId="20">
    <w:abstractNumId w:val="12"/>
  </w:num>
  <w:num w:numId="21">
    <w:abstractNumId w:val="29"/>
  </w:num>
  <w:num w:numId="22">
    <w:abstractNumId w:val="13"/>
  </w:num>
  <w:num w:numId="23">
    <w:abstractNumId w:val="6"/>
  </w:num>
  <w:num w:numId="24">
    <w:abstractNumId w:val="23"/>
  </w:num>
  <w:num w:numId="25">
    <w:abstractNumId w:val="16"/>
  </w:num>
  <w:num w:numId="26">
    <w:abstractNumId w:val="24"/>
  </w:num>
  <w:num w:numId="27">
    <w:abstractNumId w:val="1"/>
  </w:num>
  <w:num w:numId="28">
    <w:abstractNumId w:val="9"/>
  </w:num>
  <w:num w:numId="29">
    <w:abstractNumId w:val="21"/>
  </w:num>
  <w:num w:numId="3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6D2"/>
    <w:rsid w:val="000153FE"/>
    <w:rsid w:val="0002464A"/>
    <w:rsid w:val="0003106B"/>
    <w:rsid w:val="0003116E"/>
    <w:rsid w:val="00033B89"/>
    <w:rsid w:val="00034448"/>
    <w:rsid w:val="000421A1"/>
    <w:rsid w:val="0004240E"/>
    <w:rsid w:val="00045E26"/>
    <w:rsid w:val="000514B5"/>
    <w:rsid w:val="0005154F"/>
    <w:rsid w:val="000568A2"/>
    <w:rsid w:val="00060E64"/>
    <w:rsid w:val="00063976"/>
    <w:rsid w:val="0006402F"/>
    <w:rsid w:val="00066755"/>
    <w:rsid w:val="00067955"/>
    <w:rsid w:val="00067964"/>
    <w:rsid w:val="000969AD"/>
    <w:rsid w:val="00096ECB"/>
    <w:rsid w:val="000A1C6F"/>
    <w:rsid w:val="000B558D"/>
    <w:rsid w:val="000C6996"/>
    <w:rsid w:val="000D23BA"/>
    <w:rsid w:val="000D6C7C"/>
    <w:rsid w:val="000E681E"/>
    <w:rsid w:val="000F4A8C"/>
    <w:rsid w:val="000F4E6A"/>
    <w:rsid w:val="001107BF"/>
    <w:rsid w:val="0011092F"/>
    <w:rsid w:val="00116E34"/>
    <w:rsid w:val="0012417C"/>
    <w:rsid w:val="00142395"/>
    <w:rsid w:val="00142714"/>
    <w:rsid w:val="001452ED"/>
    <w:rsid w:val="0016410F"/>
    <w:rsid w:val="00171C36"/>
    <w:rsid w:val="001816BA"/>
    <w:rsid w:val="001830CE"/>
    <w:rsid w:val="00187CF9"/>
    <w:rsid w:val="0019171F"/>
    <w:rsid w:val="0019206A"/>
    <w:rsid w:val="00196307"/>
    <w:rsid w:val="001966A4"/>
    <w:rsid w:val="001B017F"/>
    <w:rsid w:val="001B5129"/>
    <w:rsid w:val="001C1195"/>
    <w:rsid w:val="001C38F1"/>
    <w:rsid w:val="001F45B8"/>
    <w:rsid w:val="00203B36"/>
    <w:rsid w:val="00213CFB"/>
    <w:rsid w:val="00225D7F"/>
    <w:rsid w:val="00234B51"/>
    <w:rsid w:val="00246651"/>
    <w:rsid w:val="0024704F"/>
    <w:rsid w:val="00271BA1"/>
    <w:rsid w:val="00276661"/>
    <w:rsid w:val="00277505"/>
    <w:rsid w:val="0029458F"/>
    <w:rsid w:val="002A104C"/>
    <w:rsid w:val="002A3DCB"/>
    <w:rsid w:val="002A4960"/>
    <w:rsid w:val="002B1AE6"/>
    <w:rsid w:val="002B30F8"/>
    <w:rsid w:val="002C14A4"/>
    <w:rsid w:val="002C212F"/>
    <w:rsid w:val="002C27FA"/>
    <w:rsid w:val="002C74BE"/>
    <w:rsid w:val="002D4D6B"/>
    <w:rsid w:val="002D5C51"/>
    <w:rsid w:val="002E3153"/>
    <w:rsid w:val="002E72CA"/>
    <w:rsid w:val="0032679B"/>
    <w:rsid w:val="00326E79"/>
    <w:rsid w:val="003367EF"/>
    <w:rsid w:val="00336991"/>
    <w:rsid w:val="00341AE4"/>
    <w:rsid w:val="00364974"/>
    <w:rsid w:val="00377334"/>
    <w:rsid w:val="003872CF"/>
    <w:rsid w:val="0039302B"/>
    <w:rsid w:val="0039782C"/>
    <w:rsid w:val="003A596A"/>
    <w:rsid w:val="003A5B4A"/>
    <w:rsid w:val="003A5FCF"/>
    <w:rsid w:val="003B1B4E"/>
    <w:rsid w:val="003B23C5"/>
    <w:rsid w:val="003B2A75"/>
    <w:rsid w:val="003D4AC4"/>
    <w:rsid w:val="003D5669"/>
    <w:rsid w:val="003D63B7"/>
    <w:rsid w:val="003E131D"/>
    <w:rsid w:val="003E468B"/>
    <w:rsid w:val="003E77D0"/>
    <w:rsid w:val="003F5C8C"/>
    <w:rsid w:val="004341D7"/>
    <w:rsid w:val="00437468"/>
    <w:rsid w:val="00444BAC"/>
    <w:rsid w:val="004465BD"/>
    <w:rsid w:val="00460D8C"/>
    <w:rsid w:val="00464157"/>
    <w:rsid w:val="00466ADA"/>
    <w:rsid w:val="00476245"/>
    <w:rsid w:val="0048161A"/>
    <w:rsid w:val="00485940"/>
    <w:rsid w:val="004928FC"/>
    <w:rsid w:val="0049407A"/>
    <w:rsid w:val="004A08DA"/>
    <w:rsid w:val="004A1C9F"/>
    <w:rsid w:val="004A578B"/>
    <w:rsid w:val="004A5A85"/>
    <w:rsid w:val="004B510C"/>
    <w:rsid w:val="004B5640"/>
    <w:rsid w:val="004B630E"/>
    <w:rsid w:val="004C1BD7"/>
    <w:rsid w:val="004C691D"/>
    <w:rsid w:val="004D6B10"/>
    <w:rsid w:val="004D77BF"/>
    <w:rsid w:val="004E692D"/>
    <w:rsid w:val="00501554"/>
    <w:rsid w:val="005021CF"/>
    <w:rsid w:val="005129D7"/>
    <w:rsid w:val="00514CD7"/>
    <w:rsid w:val="00514E2E"/>
    <w:rsid w:val="005319B2"/>
    <w:rsid w:val="00532C74"/>
    <w:rsid w:val="00534E2E"/>
    <w:rsid w:val="00544552"/>
    <w:rsid w:val="00547FCB"/>
    <w:rsid w:val="00555C0D"/>
    <w:rsid w:val="00564A3D"/>
    <w:rsid w:val="00571C26"/>
    <w:rsid w:val="00572388"/>
    <w:rsid w:val="00581932"/>
    <w:rsid w:val="00581C01"/>
    <w:rsid w:val="00591733"/>
    <w:rsid w:val="00592730"/>
    <w:rsid w:val="005963BB"/>
    <w:rsid w:val="005A3173"/>
    <w:rsid w:val="005A3223"/>
    <w:rsid w:val="005A39D7"/>
    <w:rsid w:val="005A3DA3"/>
    <w:rsid w:val="005A52C4"/>
    <w:rsid w:val="005B2207"/>
    <w:rsid w:val="005B4122"/>
    <w:rsid w:val="005C3125"/>
    <w:rsid w:val="005D03AB"/>
    <w:rsid w:val="005D5017"/>
    <w:rsid w:val="005E26D3"/>
    <w:rsid w:val="00601A91"/>
    <w:rsid w:val="00602BA3"/>
    <w:rsid w:val="00614159"/>
    <w:rsid w:val="00617C00"/>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B0"/>
    <w:rsid w:val="00692ACF"/>
    <w:rsid w:val="006A12A5"/>
    <w:rsid w:val="006A37C1"/>
    <w:rsid w:val="006A5504"/>
    <w:rsid w:val="006A7812"/>
    <w:rsid w:val="006B0D94"/>
    <w:rsid w:val="006B485D"/>
    <w:rsid w:val="006C708E"/>
    <w:rsid w:val="006D22A0"/>
    <w:rsid w:val="006D6EC7"/>
    <w:rsid w:val="006F5125"/>
    <w:rsid w:val="006F6BA6"/>
    <w:rsid w:val="00701573"/>
    <w:rsid w:val="00704DE3"/>
    <w:rsid w:val="00713A79"/>
    <w:rsid w:val="007174BB"/>
    <w:rsid w:val="00730056"/>
    <w:rsid w:val="0073091B"/>
    <w:rsid w:val="007378D1"/>
    <w:rsid w:val="007461DB"/>
    <w:rsid w:val="0076420C"/>
    <w:rsid w:val="00771B94"/>
    <w:rsid w:val="007753C2"/>
    <w:rsid w:val="007838B8"/>
    <w:rsid w:val="00791BDB"/>
    <w:rsid w:val="007A2B91"/>
    <w:rsid w:val="007B1C32"/>
    <w:rsid w:val="007B678A"/>
    <w:rsid w:val="007C065B"/>
    <w:rsid w:val="007C0F57"/>
    <w:rsid w:val="007C40B6"/>
    <w:rsid w:val="007C729F"/>
    <w:rsid w:val="007D176C"/>
    <w:rsid w:val="007E1D28"/>
    <w:rsid w:val="007F2641"/>
    <w:rsid w:val="007F7C36"/>
    <w:rsid w:val="00802F92"/>
    <w:rsid w:val="00806796"/>
    <w:rsid w:val="00820094"/>
    <w:rsid w:val="00826F6D"/>
    <w:rsid w:val="008327E8"/>
    <w:rsid w:val="0085453C"/>
    <w:rsid w:val="00855E8F"/>
    <w:rsid w:val="00856DDD"/>
    <w:rsid w:val="00863E68"/>
    <w:rsid w:val="00873C89"/>
    <w:rsid w:val="00873DDE"/>
    <w:rsid w:val="00882085"/>
    <w:rsid w:val="00883188"/>
    <w:rsid w:val="00891C15"/>
    <w:rsid w:val="00894E17"/>
    <w:rsid w:val="00897D58"/>
    <w:rsid w:val="008A1956"/>
    <w:rsid w:val="008A4937"/>
    <w:rsid w:val="008B58E0"/>
    <w:rsid w:val="008C2E00"/>
    <w:rsid w:val="008C4C93"/>
    <w:rsid w:val="008D3C82"/>
    <w:rsid w:val="008D447E"/>
    <w:rsid w:val="008D7A41"/>
    <w:rsid w:val="008E3680"/>
    <w:rsid w:val="008E5870"/>
    <w:rsid w:val="008E5C53"/>
    <w:rsid w:val="008E7A0D"/>
    <w:rsid w:val="008F1434"/>
    <w:rsid w:val="008F7355"/>
    <w:rsid w:val="009067B7"/>
    <w:rsid w:val="009213D8"/>
    <w:rsid w:val="00930937"/>
    <w:rsid w:val="00933E6C"/>
    <w:rsid w:val="00942160"/>
    <w:rsid w:val="00946C55"/>
    <w:rsid w:val="009602C5"/>
    <w:rsid w:val="009625AA"/>
    <w:rsid w:val="00964C23"/>
    <w:rsid w:val="00974C21"/>
    <w:rsid w:val="00981CCF"/>
    <w:rsid w:val="0098434F"/>
    <w:rsid w:val="009A2679"/>
    <w:rsid w:val="009A4AC0"/>
    <w:rsid w:val="009B03E9"/>
    <w:rsid w:val="009B0644"/>
    <w:rsid w:val="009B0F67"/>
    <w:rsid w:val="009B19A7"/>
    <w:rsid w:val="009C703C"/>
    <w:rsid w:val="009D3CAA"/>
    <w:rsid w:val="009D7D40"/>
    <w:rsid w:val="009F4E46"/>
    <w:rsid w:val="009F5B65"/>
    <w:rsid w:val="009F5F2E"/>
    <w:rsid w:val="00A06225"/>
    <w:rsid w:val="00A078DB"/>
    <w:rsid w:val="00A128E6"/>
    <w:rsid w:val="00A15C90"/>
    <w:rsid w:val="00A21683"/>
    <w:rsid w:val="00A3715D"/>
    <w:rsid w:val="00A37C8D"/>
    <w:rsid w:val="00A44BDF"/>
    <w:rsid w:val="00A51804"/>
    <w:rsid w:val="00A5273B"/>
    <w:rsid w:val="00A53A9D"/>
    <w:rsid w:val="00A55FEE"/>
    <w:rsid w:val="00A57A5D"/>
    <w:rsid w:val="00A62C1A"/>
    <w:rsid w:val="00A6426D"/>
    <w:rsid w:val="00A70622"/>
    <w:rsid w:val="00A70977"/>
    <w:rsid w:val="00A8390C"/>
    <w:rsid w:val="00A8691F"/>
    <w:rsid w:val="00A928BD"/>
    <w:rsid w:val="00AA4D1C"/>
    <w:rsid w:val="00AB1F97"/>
    <w:rsid w:val="00AC287D"/>
    <w:rsid w:val="00AC464A"/>
    <w:rsid w:val="00AC4AA5"/>
    <w:rsid w:val="00AC5206"/>
    <w:rsid w:val="00AD0F90"/>
    <w:rsid w:val="00AD47BA"/>
    <w:rsid w:val="00AE11A5"/>
    <w:rsid w:val="00AE13E2"/>
    <w:rsid w:val="00AE62C2"/>
    <w:rsid w:val="00AF68CC"/>
    <w:rsid w:val="00AF7112"/>
    <w:rsid w:val="00B04F96"/>
    <w:rsid w:val="00B1697E"/>
    <w:rsid w:val="00B17A63"/>
    <w:rsid w:val="00B205AA"/>
    <w:rsid w:val="00B22E84"/>
    <w:rsid w:val="00B25B1B"/>
    <w:rsid w:val="00B25F75"/>
    <w:rsid w:val="00B27E3A"/>
    <w:rsid w:val="00B43B7E"/>
    <w:rsid w:val="00B43E90"/>
    <w:rsid w:val="00B4566B"/>
    <w:rsid w:val="00B56118"/>
    <w:rsid w:val="00B64497"/>
    <w:rsid w:val="00B6773F"/>
    <w:rsid w:val="00B801BA"/>
    <w:rsid w:val="00B858B3"/>
    <w:rsid w:val="00B93C86"/>
    <w:rsid w:val="00BB69F5"/>
    <w:rsid w:val="00BB7EC3"/>
    <w:rsid w:val="00BC4B9A"/>
    <w:rsid w:val="00BD589B"/>
    <w:rsid w:val="00BD784C"/>
    <w:rsid w:val="00BE03FC"/>
    <w:rsid w:val="00BE4594"/>
    <w:rsid w:val="00BE5ABB"/>
    <w:rsid w:val="00BE7D21"/>
    <w:rsid w:val="00BF4CB6"/>
    <w:rsid w:val="00C00DA7"/>
    <w:rsid w:val="00C06339"/>
    <w:rsid w:val="00C12768"/>
    <w:rsid w:val="00C2468E"/>
    <w:rsid w:val="00C27B58"/>
    <w:rsid w:val="00C31677"/>
    <w:rsid w:val="00C35996"/>
    <w:rsid w:val="00C372D1"/>
    <w:rsid w:val="00C5342C"/>
    <w:rsid w:val="00C6256A"/>
    <w:rsid w:val="00C63EC2"/>
    <w:rsid w:val="00C7792B"/>
    <w:rsid w:val="00C91449"/>
    <w:rsid w:val="00C92D10"/>
    <w:rsid w:val="00C94810"/>
    <w:rsid w:val="00CA08D1"/>
    <w:rsid w:val="00CA3B47"/>
    <w:rsid w:val="00CC5121"/>
    <w:rsid w:val="00CD1FFC"/>
    <w:rsid w:val="00CD4453"/>
    <w:rsid w:val="00CE10C4"/>
    <w:rsid w:val="00CE27B5"/>
    <w:rsid w:val="00CE3FC5"/>
    <w:rsid w:val="00CE508D"/>
    <w:rsid w:val="00D0321E"/>
    <w:rsid w:val="00D046D8"/>
    <w:rsid w:val="00D1058D"/>
    <w:rsid w:val="00D1455A"/>
    <w:rsid w:val="00D20A5A"/>
    <w:rsid w:val="00D3280C"/>
    <w:rsid w:val="00D3406A"/>
    <w:rsid w:val="00D35202"/>
    <w:rsid w:val="00D41BB6"/>
    <w:rsid w:val="00D469B2"/>
    <w:rsid w:val="00D72A6D"/>
    <w:rsid w:val="00D741EB"/>
    <w:rsid w:val="00D84934"/>
    <w:rsid w:val="00D91271"/>
    <w:rsid w:val="00D9160A"/>
    <w:rsid w:val="00DA2CB5"/>
    <w:rsid w:val="00DA4BAC"/>
    <w:rsid w:val="00DE6D27"/>
    <w:rsid w:val="00DF217D"/>
    <w:rsid w:val="00DF26A7"/>
    <w:rsid w:val="00E07E6D"/>
    <w:rsid w:val="00E164B3"/>
    <w:rsid w:val="00E16910"/>
    <w:rsid w:val="00E4183E"/>
    <w:rsid w:val="00E43DAC"/>
    <w:rsid w:val="00E507BC"/>
    <w:rsid w:val="00E616B9"/>
    <w:rsid w:val="00E65E54"/>
    <w:rsid w:val="00E72ED6"/>
    <w:rsid w:val="00E80155"/>
    <w:rsid w:val="00E848C0"/>
    <w:rsid w:val="00E91603"/>
    <w:rsid w:val="00E91B96"/>
    <w:rsid w:val="00E941A1"/>
    <w:rsid w:val="00E95CE3"/>
    <w:rsid w:val="00EA2825"/>
    <w:rsid w:val="00EB2E81"/>
    <w:rsid w:val="00EB5088"/>
    <w:rsid w:val="00EC7083"/>
    <w:rsid w:val="00ED1644"/>
    <w:rsid w:val="00EF44A0"/>
    <w:rsid w:val="00EF454C"/>
    <w:rsid w:val="00EF4FED"/>
    <w:rsid w:val="00F020E1"/>
    <w:rsid w:val="00F050BD"/>
    <w:rsid w:val="00F05657"/>
    <w:rsid w:val="00F1240E"/>
    <w:rsid w:val="00F22606"/>
    <w:rsid w:val="00F243F5"/>
    <w:rsid w:val="00F25578"/>
    <w:rsid w:val="00F258E5"/>
    <w:rsid w:val="00F300BC"/>
    <w:rsid w:val="00F3334E"/>
    <w:rsid w:val="00F33E4C"/>
    <w:rsid w:val="00F35391"/>
    <w:rsid w:val="00F45BFC"/>
    <w:rsid w:val="00F50EC4"/>
    <w:rsid w:val="00F51D56"/>
    <w:rsid w:val="00F57A6D"/>
    <w:rsid w:val="00F638CC"/>
    <w:rsid w:val="00F64CC1"/>
    <w:rsid w:val="00F8247A"/>
    <w:rsid w:val="00F9629A"/>
    <w:rsid w:val="00FA5883"/>
    <w:rsid w:val="00FA6055"/>
    <w:rsid w:val="00FA7361"/>
    <w:rsid w:val="00FB322F"/>
    <w:rsid w:val="00FB442F"/>
    <w:rsid w:val="00FB52F3"/>
    <w:rsid w:val="00FC1929"/>
    <w:rsid w:val="00FC5B46"/>
    <w:rsid w:val="00FD0683"/>
    <w:rsid w:val="00FE1CBC"/>
    <w:rsid w:val="00FF00BD"/>
    <w:rsid w:val="00FF1ED4"/>
    <w:rsid w:val="00FF2801"/>
    <w:rsid w:val="00FF304E"/>
    <w:rsid w:val="00FF7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02F92"/>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paragraph" w:styleId="Caption">
    <w:name w:val="caption"/>
    <w:basedOn w:val="Normal"/>
    <w:next w:val="Normal"/>
    <w:unhideWhenUsed/>
    <w:qFormat/>
    <w:rsid w:val="003B1B4E"/>
    <w:pPr>
      <w:spacing w:after="200"/>
    </w:pPr>
    <w:rPr>
      <w:b/>
      <w:bCs/>
      <w:color w:val="4F81BD" w:themeColor="accent1"/>
      <w:sz w:val="18"/>
      <w:szCs w:val="18"/>
    </w:rPr>
  </w:style>
  <w:style w:type="character" w:customStyle="1" w:styleId="ListParagraphChar">
    <w:name w:val="List Paragraph Char"/>
    <w:aliases w:val="BulletPoints Char"/>
    <w:basedOn w:val="DefaultParagraphFont"/>
    <w:link w:val="ListParagraph"/>
    <w:uiPriority w:val="72"/>
    <w:rsid w:val="005021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02F92"/>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85453C"/>
    <w:rPr>
      <w:rFonts w:ascii="Arial" w:hAnsi="Arial"/>
      <w:b/>
      <w:i/>
      <w:sz w:val="22"/>
      <w:szCs w:val="24"/>
    </w:rPr>
  </w:style>
  <w:style w:type="paragraph" w:styleId="Caption">
    <w:name w:val="caption"/>
    <w:basedOn w:val="Normal"/>
    <w:next w:val="Normal"/>
    <w:unhideWhenUsed/>
    <w:qFormat/>
    <w:rsid w:val="003B1B4E"/>
    <w:pPr>
      <w:spacing w:after="200"/>
    </w:pPr>
    <w:rPr>
      <w:b/>
      <w:bCs/>
      <w:color w:val="4F81BD" w:themeColor="accent1"/>
      <w:sz w:val="18"/>
      <w:szCs w:val="18"/>
    </w:rPr>
  </w:style>
  <w:style w:type="character" w:customStyle="1" w:styleId="ListParagraphChar">
    <w:name w:val="List Paragraph Char"/>
    <w:aliases w:val="BulletPoints Char"/>
    <w:basedOn w:val="DefaultParagraphFont"/>
    <w:link w:val="ListParagraph"/>
    <w:uiPriority w:val="72"/>
    <w:rsid w:val="00502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A6F0-F0FC-4EC6-A339-7235DD69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2364</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2018-06-18T04:46:00Z</dcterms:created>
  <dcterms:modified xsi:type="dcterms:W3CDTF">2018-06-21T04:30:00Z</dcterms:modified>
</cp:coreProperties>
</file>