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2B" w:rsidRDefault="0073283B" w:rsidP="0012382B">
      <w:pPr>
        <w:pStyle w:val="Title"/>
        <w:spacing w:after="0"/>
        <w:ind w:left="720" w:hanging="720"/>
        <w:rPr>
          <w:rFonts w:asciiTheme="minorHAnsi" w:hAnsiTheme="minorHAnsi"/>
          <w:sz w:val="36"/>
          <w:szCs w:val="36"/>
        </w:rPr>
      </w:pPr>
      <w:r>
        <w:rPr>
          <w:rFonts w:asciiTheme="minorHAnsi" w:hAnsiTheme="minorHAnsi"/>
          <w:sz w:val="36"/>
          <w:szCs w:val="36"/>
          <w:lang w:eastAsia="zh-CN"/>
        </w:rPr>
        <w:t>5.17</w:t>
      </w:r>
      <w:r w:rsidR="008720EF" w:rsidRPr="008B0B28">
        <w:rPr>
          <w:rFonts w:asciiTheme="minorHAnsi" w:hAnsiTheme="minorHAnsi"/>
          <w:sz w:val="36"/>
          <w:szCs w:val="36"/>
        </w:rPr>
        <w:tab/>
      </w:r>
      <w:r w:rsidR="00146BB4">
        <w:rPr>
          <w:rFonts w:asciiTheme="minorHAnsi" w:hAnsiTheme="minorHAnsi"/>
          <w:sz w:val="36"/>
          <w:szCs w:val="36"/>
        </w:rPr>
        <w:t>AMINO ACID FORMULA WITH VITAMINS, MINERALS AND LONG CHAIN POLYUNSATURATED FATTY ACIDS, WITHOUT PHENYLALANINE</w:t>
      </w:r>
      <w:r w:rsidR="00146BB4" w:rsidRPr="00AC4AA5">
        <w:rPr>
          <w:rFonts w:asciiTheme="minorHAnsi" w:hAnsiTheme="minorHAnsi"/>
          <w:sz w:val="36"/>
          <w:szCs w:val="36"/>
        </w:rPr>
        <w:br/>
      </w:r>
      <w:r w:rsidR="00146BB4">
        <w:rPr>
          <w:rFonts w:asciiTheme="minorHAnsi" w:hAnsiTheme="minorHAnsi"/>
          <w:sz w:val="36"/>
          <w:szCs w:val="36"/>
        </w:rPr>
        <w:t>Oral powder</w:t>
      </w:r>
      <w:r w:rsidR="0004240E" w:rsidRPr="00AC4AA5">
        <w:rPr>
          <w:rFonts w:asciiTheme="minorHAnsi" w:hAnsiTheme="minorHAnsi"/>
          <w:sz w:val="36"/>
          <w:szCs w:val="36"/>
        </w:rPr>
        <w:t xml:space="preserve"> </w:t>
      </w:r>
      <w:r w:rsidR="000366B9">
        <w:rPr>
          <w:rFonts w:asciiTheme="minorHAnsi" w:hAnsiTheme="minorHAnsi"/>
          <w:sz w:val="36"/>
          <w:szCs w:val="36"/>
        </w:rPr>
        <w:t xml:space="preserve">400 g </w:t>
      </w:r>
      <w:r w:rsidR="00BE5ABB" w:rsidRPr="00AC4AA5">
        <w:rPr>
          <w:rFonts w:asciiTheme="minorHAnsi" w:hAnsiTheme="minorHAnsi"/>
          <w:sz w:val="36"/>
          <w:szCs w:val="36"/>
        </w:rPr>
        <w:t>(</w:t>
      </w:r>
      <w:r w:rsidR="00830D39">
        <w:rPr>
          <w:rFonts w:asciiTheme="minorHAnsi" w:hAnsiTheme="minorHAnsi"/>
          <w:sz w:val="36"/>
          <w:szCs w:val="36"/>
        </w:rPr>
        <w:t>PKU Start</w:t>
      </w:r>
      <w:r w:rsidR="00BE5ABB" w:rsidRPr="00AC4AA5">
        <w:rPr>
          <w:rFonts w:asciiTheme="minorHAnsi" w:hAnsiTheme="minorHAnsi"/>
          <w:sz w:val="36"/>
          <w:szCs w:val="36"/>
        </w:rPr>
        <w:t>)</w:t>
      </w:r>
      <w:proofErr w:type="gramStart"/>
      <w:r w:rsidR="0004240E" w:rsidRPr="00AC4AA5">
        <w:rPr>
          <w:rFonts w:asciiTheme="minorHAnsi" w:hAnsiTheme="minorHAnsi"/>
          <w:sz w:val="36"/>
          <w:szCs w:val="36"/>
        </w:rPr>
        <w:t>,</w:t>
      </w:r>
      <w:proofErr w:type="gramEnd"/>
      <w:r w:rsidR="00B64497" w:rsidRPr="00AC4AA5">
        <w:rPr>
          <w:rFonts w:asciiTheme="minorHAnsi" w:hAnsiTheme="minorHAnsi"/>
          <w:b w:val="0"/>
          <w:sz w:val="36"/>
          <w:szCs w:val="36"/>
        </w:rPr>
        <w:br/>
      </w:r>
      <w:r w:rsidR="00830D39">
        <w:rPr>
          <w:rFonts w:asciiTheme="minorHAnsi" w:hAnsiTheme="minorHAnsi"/>
          <w:sz w:val="36"/>
          <w:szCs w:val="36"/>
        </w:rPr>
        <w:t>PKU Start</w:t>
      </w:r>
      <w:r w:rsidR="0004240E" w:rsidRPr="00AC4AA5">
        <w:rPr>
          <w:rFonts w:asciiTheme="minorHAnsi" w:hAnsiTheme="minorHAnsi"/>
          <w:sz w:val="36"/>
          <w:szCs w:val="36"/>
          <w:vertAlign w:val="superscript"/>
        </w:rPr>
        <w:t>®</w:t>
      </w:r>
      <w:r w:rsidR="00EF44A0" w:rsidRPr="00AC4AA5">
        <w:rPr>
          <w:rFonts w:asciiTheme="minorHAnsi" w:hAnsiTheme="minorHAnsi"/>
          <w:sz w:val="36"/>
          <w:szCs w:val="36"/>
        </w:rPr>
        <w:t xml:space="preserve">, </w:t>
      </w:r>
    </w:p>
    <w:p w:rsidR="00C27B58" w:rsidRPr="0012382B" w:rsidRDefault="00830D39" w:rsidP="0012382B">
      <w:pPr>
        <w:pStyle w:val="BodyText2"/>
        <w:ind w:firstLine="709"/>
        <w:rPr>
          <w:rFonts w:asciiTheme="minorHAnsi" w:hAnsiTheme="minorHAnsi" w:cstheme="minorHAnsi"/>
          <w:b/>
          <w:sz w:val="36"/>
        </w:rPr>
      </w:pPr>
      <w:r w:rsidRPr="0012382B">
        <w:rPr>
          <w:rFonts w:asciiTheme="minorHAnsi" w:hAnsiTheme="minorHAnsi" w:cstheme="minorHAnsi"/>
          <w:b/>
          <w:sz w:val="36"/>
        </w:rPr>
        <w:t>Vitaflo Australia Pty Ltd</w:t>
      </w:r>
    </w:p>
    <w:p w:rsidR="006A12A5" w:rsidRPr="000D6C7C" w:rsidRDefault="00CE10C4" w:rsidP="00D22AD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360C59" w:rsidRDefault="00EF44A0" w:rsidP="00E616B9">
      <w:pPr>
        <w:pStyle w:val="ListParagraph"/>
        <w:numPr>
          <w:ilvl w:val="1"/>
          <w:numId w:val="2"/>
        </w:numPr>
        <w:spacing w:after="120"/>
        <w:contextualSpacing w:val="0"/>
        <w:jc w:val="both"/>
        <w:rPr>
          <w:rFonts w:asciiTheme="minorHAnsi" w:hAnsiTheme="minorHAnsi"/>
          <w:b/>
        </w:rPr>
      </w:pPr>
      <w:r w:rsidRPr="00360C59">
        <w:rPr>
          <w:rFonts w:asciiTheme="minorHAnsi" w:hAnsiTheme="minorHAnsi"/>
        </w:rPr>
        <w:t>The mi</w:t>
      </w:r>
      <w:r w:rsidR="00FF2801" w:rsidRPr="00360C59">
        <w:rPr>
          <w:rFonts w:asciiTheme="minorHAnsi" w:hAnsiTheme="minorHAnsi"/>
        </w:rPr>
        <w:t>nor submission requested</w:t>
      </w:r>
      <w:r w:rsidR="00146BB4" w:rsidRPr="00360C59">
        <w:rPr>
          <w:rFonts w:asciiTheme="minorHAnsi" w:hAnsiTheme="minorHAnsi"/>
        </w:rPr>
        <w:t xml:space="preserve"> a</w:t>
      </w:r>
      <w:r w:rsidR="00830D39" w:rsidRPr="00360C59">
        <w:rPr>
          <w:rFonts w:asciiTheme="minorHAnsi" w:hAnsiTheme="minorHAnsi"/>
        </w:rPr>
        <w:t xml:space="preserve"> Restricted Benefit l</w:t>
      </w:r>
      <w:r w:rsidRPr="00360C59">
        <w:rPr>
          <w:rFonts w:asciiTheme="minorHAnsi" w:hAnsiTheme="minorHAnsi"/>
        </w:rPr>
        <w:t>isting</w:t>
      </w:r>
      <w:r w:rsidR="00830D39" w:rsidRPr="00360C59">
        <w:rPr>
          <w:rFonts w:asciiTheme="minorHAnsi" w:hAnsiTheme="minorHAnsi"/>
        </w:rPr>
        <w:t xml:space="preserve"> for a new form of amino acid formula with </w:t>
      </w:r>
      <w:proofErr w:type="gramStart"/>
      <w:r w:rsidR="00830D39" w:rsidRPr="00360C59">
        <w:rPr>
          <w:rFonts w:asciiTheme="minorHAnsi" w:hAnsiTheme="minorHAnsi"/>
        </w:rPr>
        <w:t>vitamins,</w:t>
      </w:r>
      <w:proofErr w:type="gramEnd"/>
      <w:r w:rsidR="00830D39" w:rsidRPr="00360C59">
        <w:rPr>
          <w:rFonts w:asciiTheme="minorHAnsi" w:hAnsiTheme="minorHAnsi"/>
        </w:rPr>
        <w:t xml:space="preserve"> minerals and long chain polyunsaturated fatty acids without phenylalanine for the </w:t>
      </w:r>
      <w:r w:rsidR="00146BB4" w:rsidRPr="00360C59">
        <w:rPr>
          <w:rFonts w:asciiTheme="minorHAnsi" w:hAnsiTheme="minorHAnsi"/>
        </w:rPr>
        <w:t xml:space="preserve">dietary management </w:t>
      </w:r>
      <w:r w:rsidR="00830D39" w:rsidRPr="00360C59">
        <w:rPr>
          <w:rFonts w:asciiTheme="minorHAnsi" w:hAnsiTheme="minorHAnsi"/>
        </w:rPr>
        <w:t>of phenylketonuria</w:t>
      </w:r>
      <w:r w:rsidR="003E0177" w:rsidRPr="00360C59">
        <w:rPr>
          <w:rFonts w:asciiTheme="minorHAnsi" w:hAnsiTheme="minorHAnsi"/>
        </w:rPr>
        <w:t xml:space="preserve"> (PKU)</w:t>
      </w:r>
      <w:r w:rsidR="006033C1">
        <w:rPr>
          <w:rFonts w:asciiTheme="minorHAnsi" w:hAnsiTheme="minorHAnsi"/>
        </w:rPr>
        <w:t>.</w:t>
      </w:r>
    </w:p>
    <w:p w:rsidR="00C94810" w:rsidRPr="00791BDB" w:rsidRDefault="00C94810" w:rsidP="00D22AD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D5C51" w:rsidRPr="009B03E9" w:rsidRDefault="00EF44A0" w:rsidP="00F927FE">
      <w:pPr>
        <w:pStyle w:val="ListParagraph"/>
        <w:numPr>
          <w:ilvl w:val="1"/>
          <w:numId w:val="2"/>
        </w:numPr>
        <w:spacing w:before="120" w:after="160"/>
        <w:contextualSpacing w:val="0"/>
        <w:jc w:val="both"/>
        <w:rPr>
          <w:rFonts w:asciiTheme="minorHAnsi" w:hAnsiTheme="minorHAns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the following </w:t>
      </w:r>
      <w:r w:rsidR="0076420C" w:rsidRPr="009B03E9">
        <w:rPr>
          <w:rFonts w:asciiTheme="minorHAnsi" w:hAnsiTheme="minorHAnsi"/>
          <w:szCs w:val="22"/>
        </w:rPr>
        <w:t xml:space="preserve">new </w:t>
      </w:r>
      <w:r w:rsidRPr="009B03E9">
        <w:rPr>
          <w:rFonts w:asciiTheme="minorHAnsi" w:hAnsiTheme="minorHAnsi"/>
          <w:szCs w:val="22"/>
        </w:rPr>
        <w:t>listing</w:t>
      </w:r>
      <w:r w:rsidR="00826F6D" w:rsidRPr="009B03E9">
        <w:rPr>
          <w:rFonts w:asciiTheme="minorHAnsi" w:hAnsiTheme="minorHAnsi"/>
          <w:szCs w:val="22"/>
        </w:rPr>
        <w:t>:</w:t>
      </w:r>
    </w:p>
    <w:p w:rsidR="00826F6D" w:rsidRPr="005A39D7" w:rsidRDefault="00826F6D" w:rsidP="00C27B58">
      <w:pPr>
        <w:pStyle w:val="NoSpacing"/>
        <w:rPr>
          <w:rFonts w:asciiTheme="minorHAnsi" w:hAnsiTheme="minorHAnsi"/>
        </w:rPr>
      </w:pPr>
    </w:p>
    <w:tbl>
      <w:tblPr>
        <w:tblW w:w="4920" w:type="pct"/>
        <w:tblLook w:val="0000" w:firstRow="0" w:lastRow="0" w:firstColumn="0" w:lastColumn="0" w:noHBand="0" w:noVBand="0"/>
      </w:tblPr>
      <w:tblGrid>
        <w:gridCol w:w="1982"/>
        <w:gridCol w:w="1410"/>
        <w:gridCol w:w="775"/>
        <w:gridCol w:w="924"/>
        <w:gridCol w:w="1662"/>
        <w:gridCol w:w="715"/>
        <w:gridCol w:w="1602"/>
        <w:gridCol w:w="24"/>
      </w:tblGrid>
      <w:tr w:rsidR="00826F6D" w:rsidRPr="005A39D7" w:rsidTr="00B858B3">
        <w:trPr>
          <w:cantSplit/>
          <w:trHeight w:val="471"/>
        </w:trPr>
        <w:tc>
          <w:tcPr>
            <w:tcW w:w="1865" w:type="pct"/>
            <w:gridSpan w:val="2"/>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Name, Restriction,</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26"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Max.</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Qty</w:t>
            </w:r>
          </w:p>
        </w:tc>
        <w:tc>
          <w:tcPr>
            <w:tcW w:w="508"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№.of</w:t>
            </w:r>
          </w:p>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Rpts</w:t>
            </w:r>
          </w:p>
        </w:tc>
        <w:tc>
          <w:tcPr>
            <w:tcW w:w="914" w:type="pct"/>
            <w:tcBorders>
              <w:bottom w:val="single" w:sz="4" w:space="0" w:color="auto"/>
            </w:tcBorders>
          </w:tcPr>
          <w:p w:rsidR="00826F6D" w:rsidRPr="005A39D7" w:rsidRDefault="00826F6D" w:rsidP="00C27B58">
            <w:pPr>
              <w:keepNext/>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287" w:type="pct"/>
            <w:gridSpan w:val="3"/>
            <w:tcBorders>
              <w:bottom w:val="single" w:sz="4" w:space="0" w:color="auto"/>
            </w:tcBorders>
          </w:tcPr>
          <w:p w:rsidR="00826F6D" w:rsidRPr="005A39D7" w:rsidRDefault="00826F6D" w:rsidP="00C27B58">
            <w:pPr>
              <w:keepNext/>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4341D7" w:rsidRPr="005A39D7" w:rsidTr="007D7978">
        <w:trPr>
          <w:cantSplit/>
          <w:trHeight w:val="577"/>
        </w:trPr>
        <w:tc>
          <w:tcPr>
            <w:tcW w:w="1865" w:type="pct"/>
            <w:gridSpan w:val="2"/>
          </w:tcPr>
          <w:p w:rsidR="00826F6D" w:rsidRPr="005A39D7" w:rsidRDefault="00830D39" w:rsidP="00C27B58">
            <w:pPr>
              <w:keepNext/>
              <w:ind w:left="-108"/>
              <w:jc w:val="both"/>
              <w:rPr>
                <w:rFonts w:ascii="Arial Narrow" w:hAnsi="Arial Narrow" w:cs="Arial"/>
                <w:sz w:val="20"/>
                <w:szCs w:val="20"/>
              </w:rPr>
            </w:pPr>
            <w:r>
              <w:rPr>
                <w:rFonts w:ascii="Arial Narrow" w:hAnsi="Arial Narrow" w:cs="Arial"/>
                <w:smallCaps/>
                <w:sz w:val="20"/>
                <w:szCs w:val="20"/>
              </w:rPr>
              <w:t>amino acid formula with vitamins, minerals and long chain polyunsaturated fatty acids without phenylalanine</w:t>
            </w:r>
            <w:r w:rsidR="00826F6D" w:rsidRPr="005A39D7">
              <w:rPr>
                <w:rFonts w:ascii="Arial Narrow" w:hAnsi="Arial Narrow" w:cs="Arial"/>
                <w:smallCaps/>
                <w:sz w:val="20"/>
                <w:szCs w:val="20"/>
              </w:rPr>
              <w:t xml:space="preserve"> </w:t>
            </w:r>
          </w:p>
          <w:p w:rsidR="00826F6D" w:rsidRPr="005A39D7" w:rsidRDefault="00830D39" w:rsidP="00C27B58">
            <w:pPr>
              <w:keepNext/>
              <w:ind w:left="-108"/>
              <w:jc w:val="both"/>
              <w:rPr>
                <w:rFonts w:ascii="Arial Narrow" w:hAnsi="Arial Narrow" w:cs="Arial"/>
                <w:sz w:val="20"/>
                <w:szCs w:val="20"/>
              </w:rPr>
            </w:pPr>
            <w:r>
              <w:rPr>
                <w:rFonts w:ascii="Arial Narrow" w:hAnsi="Arial Narrow" w:cs="Arial"/>
                <w:sz w:val="20"/>
                <w:szCs w:val="20"/>
              </w:rPr>
              <w:t>powder for oral liquid, 400 g</w:t>
            </w:r>
          </w:p>
        </w:tc>
        <w:tc>
          <w:tcPr>
            <w:tcW w:w="426" w:type="pct"/>
          </w:tcPr>
          <w:p w:rsidR="00826F6D" w:rsidRPr="005A39D7" w:rsidRDefault="00826F6D" w:rsidP="00C27B58">
            <w:pPr>
              <w:keepNext/>
              <w:ind w:left="-108"/>
              <w:jc w:val="both"/>
              <w:rPr>
                <w:rFonts w:ascii="Arial Narrow" w:hAnsi="Arial Narrow" w:cs="Arial"/>
                <w:sz w:val="20"/>
                <w:szCs w:val="20"/>
              </w:rPr>
            </w:pPr>
          </w:p>
          <w:p w:rsidR="00826F6D" w:rsidRPr="005A39D7" w:rsidRDefault="007D7978" w:rsidP="00C27B58">
            <w:pPr>
              <w:keepNext/>
              <w:ind w:left="-108"/>
              <w:jc w:val="both"/>
              <w:rPr>
                <w:rFonts w:ascii="Arial Narrow" w:hAnsi="Arial Narrow" w:cs="Arial"/>
                <w:sz w:val="20"/>
                <w:szCs w:val="20"/>
              </w:rPr>
            </w:pPr>
            <w:r>
              <w:rPr>
                <w:rFonts w:ascii="Arial Narrow" w:hAnsi="Arial Narrow" w:cs="Arial"/>
                <w:sz w:val="20"/>
                <w:szCs w:val="20"/>
              </w:rPr>
              <w:t>8</w:t>
            </w:r>
          </w:p>
        </w:tc>
        <w:tc>
          <w:tcPr>
            <w:tcW w:w="508" w:type="pct"/>
          </w:tcPr>
          <w:p w:rsidR="00826F6D" w:rsidRPr="005A39D7" w:rsidRDefault="00826F6D" w:rsidP="00C27B58">
            <w:pPr>
              <w:keepNext/>
              <w:ind w:left="-108"/>
              <w:jc w:val="both"/>
              <w:rPr>
                <w:rFonts w:ascii="Arial Narrow" w:hAnsi="Arial Narrow" w:cs="Arial"/>
                <w:sz w:val="20"/>
                <w:szCs w:val="20"/>
              </w:rPr>
            </w:pPr>
          </w:p>
          <w:p w:rsidR="00826F6D" w:rsidRPr="005A39D7" w:rsidRDefault="007D7978" w:rsidP="00C27B58">
            <w:pPr>
              <w:keepNext/>
              <w:ind w:left="-108"/>
              <w:jc w:val="both"/>
              <w:rPr>
                <w:rFonts w:ascii="Arial Narrow" w:hAnsi="Arial Narrow" w:cs="Arial"/>
                <w:sz w:val="20"/>
                <w:szCs w:val="20"/>
              </w:rPr>
            </w:pPr>
            <w:r>
              <w:rPr>
                <w:rFonts w:ascii="Arial Narrow" w:hAnsi="Arial Narrow" w:cs="Arial"/>
                <w:sz w:val="20"/>
                <w:szCs w:val="20"/>
              </w:rPr>
              <w:t>5</w:t>
            </w:r>
          </w:p>
        </w:tc>
        <w:tc>
          <w:tcPr>
            <w:tcW w:w="914" w:type="pct"/>
          </w:tcPr>
          <w:p w:rsidR="00826F6D" w:rsidRPr="005A39D7" w:rsidRDefault="00826F6D" w:rsidP="00C27B58">
            <w:pPr>
              <w:keepNext/>
              <w:ind w:left="-108"/>
              <w:jc w:val="both"/>
              <w:rPr>
                <w:rFonts w:ascii="Arial Narrow" w:hAnsi="Arial Narrow" w:cs="Arial"/>
                <w:sz w:val="20"/>
                <w:szCs w:val="20"/>
              </w:rPr>
            </w:pPr>
          </w:p>
          <w:p w:rsidR="00826F6D" w:rsidRPr="005A39D7" w:rsidRDefault="00826F6D" w:rsidP="00C27B58">
            <w:pPr>
              <w:keepNext/>
              <w:ind w:left="-108"/>
              <w:jc w:val="both"/>
              <w:rPr>
                <w:rFonts w:ascii="Arial Narrow" w:hAnsi="Arial Narrow" w:cs="Arial"/>
                <w:sz w:val="20"/>
                <w:szCs w:val="20"/>
              </w:rPr>
            </w:pPr>
            <w:r w:rsidRPr="005A39D7">
              <w:rPr>
                <w:rFonts w:ascii="Arial Narrow" w:hAnsi="Arial Narrow" w:cs="Arial"/>
                <w:sz w:val="20"/>
                <w:szCs w:val="20"/>
              </w:rPr>
              <w:t>$</w:t>
            </w:r>
            <w:r w:rsidR="00FD0741" w:rsidRPr="00B41421">
              <w:rPr>
                <w:rFonts w:ascii="Arial Narrow" w:hAnsi="Arial Narrow" w:cs="Arial"/>
                <w:sz w:val="20"/>
                <w:szCs w:val="20"/>
              </w:rPr>
              <w:t>722.75</w:t>
            </w:r>
            <w:r w:rsidR="00FD0741">
              <w:rPr>
                <w:rFonts w:ascii="Arial Narrow" w:hAnsi="Arial Narrow" w:cs="Arial"/>
                <w:sz w:val="20"/>
                <w:szCs w:val="20"/>
              </w:rPr>
              <w:t>*</w:t>
            </w:r>
          </w:p>
        </w:tc>
        <w:tc>
          <w:tcPr>
            <w:tcW w:w="393" w:type="pct"/>
          </w:tcPr>
          <w:p w:rsidR="00C27B58" w:rsidRPr="005A39D7" w:rsidRDefault="00C27B58" w:rsidP="00C27B58">
            <w:pPr>
              <w:keepNext/>
              <w:jc w:val="both"/>
              <w:rPr>
                <w:rFonts w:ascii="Arial Narrow" w:hAnsi="Arial Narrow" w:cs="Arial"/>
                <w:sz w:val="20"/>
                <w:szCs w:val="20"/>
              </w:rPr>
            </w:pPr>
          </w:p>
          <w:p w:rsidR="00826F6D" w:rsidRPr="005A39D7" w:rsidRDefault="00146BB4" w:rsidP="00C27B58">
            <w:pPr>
              <w:keepNext/>
              <w:jc w:val="both"/>
              <w:rPr>
                <w:rFonts w:ascii="Arial Narrow" w:hAnsi="Arial Narrow" w:cs="Arial"/>
                <w:sz w:val="20"/>
                <w:szCs w:val="20"/>
              </w:rPr>
            </w:pPr>
            <w:r>
              <w:rPr>
                <w:rFonts w:ascii="Arial Narrow" w:hAnsi="Arial Narrow" w:cs="Arial"/>
                <w:sz w:val="20"/>
                <w:szCs w:val="20"/>
              </w:rPr>
              <w:t>PKU Start</w:t>
            </w:r>
          </w:p>
        </w:tc>
        <w:tc>
          <w:tcPr>
            <w:tcW w:w="894" w:type="pct"/>
            <w:gridSpan w:val="2"/>
          </w:tcPr>
          <w:p w:rsidR="00C27B58" w:rsidRPr="005A39D7" w:rsidRDefault="00C27B58" w:rsidP="00C27B58">
            <w:pPr>
              <w:keepNext/>
              <w:jc w:val="both"/>
              <w:rPr>
                <w:rFonts w:ascii="Arial Narrow" w:hAnsi="Arial Narrow" w:cs="Arial"/>
                <w:sz w:val="20"/>
                <w:szCs w:val="20"/>
              </w:rPr>
            </w:pPr>
          </w:p>
          <w:p w:rsidR="00826F6D" w:rsidRPr="005A39D7" w:rsidRDefault="00146BB4" w:rsidP="00C27B58">
            <w:pPr>
              <w:keepNext/>
              <w:jc w:val="both"/>
              <w:rPr>
                <w:rFonts w:ascii="Arial Narrow" w:hAnsi="Arial Narrow" w:cs="Arial"/>
                <w:sz w:val="20"/>
                <w:szCs w:val="20"/>
              </w:rPr>
            </w:pPr>
            <w:r>
              <w:rPr>
                <w:rFonts w:ascii="Arial Narrow" w:hAnsi="Arial Narrow" w:cs="Arial"/>
                <w:sz w:val="20"/>
                <w:szCs w:val="20"/>
              </w:rPr>
              <w:t xml:space="preserve">Vitaflo Australia Pty Ltd </w:t>
            </w:r>
          </w:p>
        </w:tc>
      </w:tr>
      <w:tr w:rsidR="00826F6D" w:rsidRPr="005A39D7" w:rsidTr="00B858B3">
        <w:trPr>
          <w:gridAfter w:val="1"/>
          <w:wAfter w:w="13" w:type="pct"/>
          <w:cantSplit/>
          <w:trHeight w:val="360"/>
        </w:trPr>
        <w:tc>
          <w:tcPr>
            <w:tcW w:w="4987" w:type="pct"/>
            <w:gridSpan w:val="7"/>
            <w:tcBorders>
              <w:bottom w:val="single" w:sz="4" w:space="0" w:color="auto"/>
            </w:tcBorders>
          </w:tcPr>
          <w:p w:rsidR="00826F6D" w:rsidRPr="005A39D7" w:rsidRDefault="00FD0741" w:rsidP="00C27B58">
            <w:pPr>
              <w:jc w:val="both"/>
              <w:rPr>
                <w:rFonts w:ascii="Arial Narrow" w:hAnsi="Arial Narrow" w:cs="Arial"/>
                <w:sz w:val="20"/>
                <w:szCs w:val="20"/>
              </w:rPr>
            </w:pPr>
            <w:r>
              <w:rPr>
                <w:rFonts w:ascii="Arial Narrow" w:hAnsi="Arial Narrow" w:cs="Arial"/>
                <w:sz w:val="20"/>
                <w:szCs w:val="20"/>
              </w:rPr>
              <w:t>*calculated by the Department</w:t>
            </w:r>
          </w:p>
        </w:tc>
      </w:tr>
      <w:tr w:rsidR="00826F6D" w:rsidRPr="005A39D7" w:rsidTr="00B858B3">
        <w:trPr>
          <w:gridAfter w:val="1"/>
          <w:wAfter w:w="13"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 xml:space="preserve">Category / </w:t>
            </w:r>
          </w:p>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Program</w:t>
            </w:r>
          </w:p>
        </w:tc>
        <w:tc>
          <w:tcPr>
            <w:tcW w:w="3897"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t>GENERAL – General Schedule (Code GE)</w:t>
            </w:r>
          </w:p>
          <w:p w:rsidR="00826F6D" w:rsidRPr="005A39D7" w:rsidRDefault="00826F6D" w:rsidP="00C27B58">
            <w:pPr>
              <w:rPr>
                <w:rFonts w:ascii="Arial Narrow" w:hAnsi="Arial Narrow" w:cs="Arial"/>
                <w:sz w:val="20"/>
                <w:szCs w:val="20"/>
              </w:rPr>
            </w:pPr>
          </w:p>
        </w:tc>
      </w:tr>
      <w:tr w:rsidR="00826F6D" w:rsidRPr="005A39D7" w:rsidTr="00B858B3">
        <w:trPr>
          <w:gridAfter w:val="1"/>
          <w:wAfter w:w="13"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Prescriber type:</w:t>
            </w:r>
          </w:p>
        </w:tc>
        <w:tc>
          <w:tcPr>
            <w:tcW w:w="3897" w:type="pct"/>
            <w:gridSpan w:val="6"/>
            <w:tcBorders>
              <w:top w:val="single" w:sz="4" w:space="0" w:color="auto"/>
              <w:left w:val="single" w:sz="4" w:space="0" w:color="auto"/>
              <w:bottom w:val="single" w:sz="4" w:space="0" w:color="auto"/>
              <w:right w:val="single" w:sz="4" w:space="0" w:color="auto"/>
            </w:tcBorders>
          </w:tcPr>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sidR="007D7978">
              <w:rPr>
                <w:rFonts w:ascii="Arial Narrow" w:hAnsi="Arial Narrow" w:cs="Arial"/>
                <w:sz w:val="20"/>
                <w:szCs w:val="20"/>
              </w:rPr>
              <w:fldChar w:fldCharType="begin">
                <w:ffData>
                  <w:name w:val=""/>
                  <w:enabled/>
                  <w:calcOnExit w:val="0"/>
                  <w:checkBox>
                    <w:sizeAuto/>
                    <w:default w:val="1"/>
                  </w:checkBox>
                </w:ffData>
              </w:fldChar>
            </w:r>
            <w:r w:rsidR="007D7978">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007D7978">
              <w:rPr>
                <w:rFonts w:ascii="Arial Narrow" w:hAnsi="Arial Narrow" w:cs="Arial"/>
                <w:sz w:val="20"/>
                <w:szCs w:val="20"/>
              </w:rPr>
              <w:fldChar w:fldCharType="end"/>
            </w:r>
            <w:r w:rsidRPr="005A39D7">
              <w:rPr>
                <w:rFonts w:ascii="Arial Narrow" w:hAnsi="Arial Narrow" w:cs="Arial"/>
                <w:sz w:val="20"/>
                <w:szCs w:val="20"/>
              </w:rPr>
              <w:t xml:space="preserve">Medical Practitioners  </w:t>
            </w:r>
            <w:r w:rsidR="007D7978">
              <w:rPr>
                <w:rFonts w:ascii="Arial Narrow" w:hAnsi="Arial Narrow" w:cs="Arial"/>
                <w:sz w:val="20"/>
                <w:szCs w:val="20"/>
              </w:rPr>
              <w:fldChar w:fldCharType="begin">
                <w:ffData>
                  <w:name w:val="Check3"/>
                  <w:enabled/>
                  <w:calcOnExit w:val="0"/>
                  <w:checkBox>
                    <w:sizeAuto/>
                    <w:default w:val="1"/>
                  </w:checkBox>
                </w:ffData>
              </w:fldChar>
            </w:r>
            <w:bookmarkStart w:id="0" w:name="Check3"/>
            <w:r w:rsidR="007D7978">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007D7978">
              <w:rPr>
                <w:rFonts w:ascii="Arial Narrow" w:hAnsi="Arial Narrow" w:cs="Arial"/>
                <w:sz w:val="20"/>
                <w:szCs w:val="20"/>
              </w:rPr>
              <w:fldChar w:fldCharType="end"/>
            </w:r>
            <w:bookmarkEnd w:id="0"/>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826F6D" w:rsidRPr="005A39D7" w:rsidRDefault="00826F6D" w:rsidP="00C27B58">
            <w:pPr>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826F6D" w:rsidRPr="005A39D7" w:rsidTr="00B858B3">
        <w:trPr>
          <w:gridAfter w:val="1"/>
          <w:wAfter w:w="13"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Condition:</w:t>
            </w:r>
          </w:p>
        </w:tc>
        <w:tc>
          <w:tcPr>
            <w:tcW w:w="3897" w:type="pct"/>
            <w:gridSpan w:val="6"/>
            <w:tcBorders>
              <w:top w:val="single" w:sz="4" w:space="0" w:color="auto"/>
              <w:left w:val="single" w:sz="4" w:space="0" w:color="auto"/>
              <w:bottom w:val="single" w:sz="4" w:space="0" w:color="auto"/>
              <w:right w:val="single" w:sz="4" w:space="0" w:color="auto"/>
            </w:tcBorders>
          </w:tcPr>
          <w:p w:rsidR="00826F6D" w:rsidRPr="005A39D7" w:rsidRDefault="007D7978"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B858B3">
        <w:trPr>
          <w:gridAfter w:val="1"/>
          <w:wAfter w:w="13"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PBS Indication:</w:t>
            </w:r>
          </w:p>
        </w:tc>
        <w:tc>
          <w:tcPr>
            <w:tcW w:w="3897" w:type="pct"/>
            <w:gridSpan w:val="6"/>
            <w:tcBorders>
              <w:top w:val="single" w:sz="4" w:space="0" w:color="auto"/>
              <w:left w:val="single" w:sz="4" w:space="0" w:color="auto"/>
              <w:bottom w:val="single" w:sz="4" w:space="0" w:color="auto"/>
              <w:right w:val="single" w:sz="4" w:space="0" w:color="auto"/>
            </w:tcBorders>
          </w:tcPr>
          <w:p w:rsidR="00826F6D" w:rsidRPr="005A39D7" w:rsidRDefault="007D7978" w:rsidP="00C27B58">
            <w:pPr>
              <w:rPr>
                <w:rFonts w:ascii="Arial Narrow" w:hAnsi="Arial Narrow" w:cs="Arial"/>
                <w:sz w:val="20"/>
                <w:szCs w:val="20"/>
              </w:rPr>
            </w:pPr>
            <w:r>
              <w:rPr>
                <w:rFonts w:ascii="Arial Narrow" w:hAnsi="Arial Narrow" w:cs="Arial"/>
                <w:sz w:val="20"/>
                <w:szCs w:val="20"/>
              </w:rPr>
              <w:t>Phenylketonuria</w:t>
            </w:r>
          </w:p>
        </w:tc>
      </w:tr>
      <w:tr w:rsidR="00826F6D" w:rsidRPr="005A39D7" w:rsidTr="00B858B3">
        <w:trPr>
          <w:gridAfter w:val="1"/>
          <w:wAfter w:w="13" w:type="pct"/>
          <w:cantSplit/>
          <w:trHeight w:val="360"/>
        </w:trPr>
        <w:tc>
          <w:tcPr>
            <w:tcW w:w="1090" w:type="pct"/>
            <w:tcBorders>
              <w:top w:val="single" w:sz="4" w:space="0" w:color="auto"/>
              <w:left w:val="single" w:sz="4" w:space="0" w:color="auto"/>
              <w:bottom w:val="single" w:sz="4" w:space="0" w:color="auto"/>
              <w:right w:val="single" w:sz="4" w:space="0" w:color="auto"/>
            </w:tcBorders>
          </w:tcPr>
          <w:p w:rsidR="00826F6D" w:rsidRPr="005A39D7" w:rsidRDefault="00826F6D" w:rsidP="00C27B58">
            <w:pPr>
              <w:jc w:val="both"/>
              <w:rPr>
                <w:rFonts w:ascii="Arial Narrow" w:hAnsi="Arial Narrow" w:cs="Arial"/>
                <w:b/>
                <w:sz w:val="20"/>
                <w:szCs w:val="20"/>
              </w:rPr>
            </w:pPr>
            <w:r w:rsidRPr="005A39D7">
              <w:rPr>
                <w:rFonts w:ascii="Arial Narrow" w:hAnsi="Arial Narrow" w:cs="Arial"/>
                <w:b/>
                <w:sz w:val="20"/>
                <w:szCs w:val="20"/>
              </w:rPr>
              <w:t>Restriction Level / Method:</w:t>
            </w:r>
          </w:p>
          <w:p w:rsidR="00826F6D" w:rsidRPr="005A39D7" w:rsidRDefault="00826F6D" w:rsidP="00C27B58">
            <w:pPr>
              <w:rPr>
                <w:rFonts w:ascii="Arial Narrow" w:hAnsi="Arial Narrow" w:cs="Arial"/>
                <w:sz w:val="20"/>
                <w:szCs w:val="20"/>
              </w:rPr>
            </w:pPr>
          </w:p>
        </w:tc>
        <w:tc>
          <w:tcPr>
            <w:tcW w:w="3897" w:type="pct"/>
            <w:gridSpan w:val="6"/>
            <w:tcBorders>
              <w:top w:val="single" w:sz="4" w:space="0" w:color="auto"/>
              <w:left w:val="single" w:sz="4" w:space="0" w:color="auto"/>
              <w:bottom w:val="single" w:sz="4" w:space="0" w:color="auto"/>
              <w:right w:val="single" w:sz="4" w:space="0" w:color="auto"/>
            </w:tcBorders>
          </w:tcPr>
          <w:p w:rsidR="00826F6D" w:rsidRPr="005A39D7" w:rsidRDefault="007D7978"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5A39D7">
              <w:rPr>
                <w:rFonts w:ascii="Arial Narrow" w:hAnsi="Arial Narrow" w:cs="Arial"/>
                <w:sz w:val="20"/>
                <w:szCs w:val="20"/>
              </w:rPr>
              <w:t>Restricted benefit</w:t>
            </w:r>
          </w:p>
          <w:p w:rsidR="00826F6D" w:rsidRPr="005A39D7" w:rsidRDefault="00826F6D" w:rsidP="00C27B58">
            <w:pPr>
              <w:rPr>
                <w:rFonts w:ascii="Arial Narrow" w:hAnsi="Arial Narrow" w:cs="Arial"/>
                <w:sz w:val="20"/>
                <w:szCs w:val="20"/>
              </w:rPr>
            </w:pPr>
          </w:p>
        </w:tc>
      </w:tr>
    </w:tbl>
    <w:p w:rsidR="00C94810" w:rsidRPr="00791BDB" w:rsidRDefault="00C94810" w:rsidP="00D22AD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045561" w:rsidRPr="00E80E1F" w:rsidRDefault="00704DE3" w:rsidP="00F927FE">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The sponsor of </w:t>
      </w:r>
      <w:r w:rsidR="00A92420">
        <w:rPr>
          <w:rFonts w:asciiTheme="minorHAnsi" w:hAnsiTheme="minorHAnsi"/>
        </w:rPr>
        <w:t>PKU Start</w:t>
      </w:r>
      <w:r w:rsidRPr="00AC4AA5">
        <w:rPr>
          <w:rFonts w:asciiTheme="minorHAnsi" w:hAnsiTheme="minorHAnsi"/>
        </w:rPr>
        <w:t xml:space="preserve"> confirm</w:t>
      </w:r>
      <w:r w:rsidR="004D261E">
        <w:rPr>
          <w:rFonts w:asciiTheme="minorHAnsi" w:hAnsiTheme="minorHAnsi"/>
        </w:rPr>
        <w:t>ed</w:t>
      </w:r>
      <w:r w:rsidRPr="00AC4AA5">
        <w:rPr>
          <w:rFonts w:asciiTheme="minorHAnsi" w:hAnsiTheme="minorHAnsi"/>
        </w:rPr>
        <w:t xml:space="preserve"> that it meets the requirements for foods that have medical purposes as set out under </w:t>
      </w:r>
      <w:r w:rsidRPr="00AC4AA5">
        <w:rPr>
          <w:rFonts w:asciiTheme="minorHAnsi" w:hAnsiTheme="minorHAnsi"/>
          <w:i/>
        </w:rPr>
        <w:t>The Australia New Zealand Food Standards Code — Standard 2.9.5: Food for Special Medical Purposes</w:t>
      </w:r>
      <w:r w:rsidR="005734CB">
        <w:rPr>
          <w:rFonts w:asciiTheme="minorHAnsi" w:hAnsiTheme="minorHAnsi"/>
          <w:i/>
        </w:rPr>
        <w:t>.</w:t>
      </w:r>
    </w:p>
    <w:p w:rsidR="00704DE3" w:rsidRPr="00925717" w:rsidRDefault="005053A3" w:rsidP="00F927FE">
      <w:pPr>
        <w:pStyle w:val="ListParagraph"/>
        <w:numPr>
          <w:ilvl w:val="1"/>
          <w:numId w:val="2"/>
        </w:numPr>
        <w:spacing w:before="120" w:after="160"/>
        <w:contextualSpacing w:val="0"/>
        <w:jc w:val="both"/>
        <w:rPr>
          <w:rFonts w:asciiTheme="minorHAnsi" w:hAnsiTheme="minorHAnsi"/>
        </w:rPr>
      </w:pPr>
      <w:r>
        <w:rPr>
          <w:rFonts w:asciiTheme="minorHAnsi" w:hAnsiTheme="minorHAnsi"/>
        </w:rPr>
        <w:t>The sponsor also confirm</w:t>
      </w:r>
      <w:r w:rsidR="00035438">
        <w:rPr>
          <w:rFonts w:asciiTheme="minorHAnsi" w:hAnsiTheme="minorHAnsi"/>
        </w:rPr>
        <w:t>ed</w:t>
      </w:r>
      <w:r>
        <w:rPr>
          <w:rFonts w:asciiTheme="minorHAnsi" w:hAnsiTheme="minorHAnsi"/>
        </w:rPr>
        <w:t xml:space="preserve"> that it complies with </w:t>
      </w:r>
      <w:r w:rsidRPr="00925717">
        <w:rPr>
          <w:rFonts w:asciiTheme="minorHAnsi" w:hAnsiTheme="minorHAnsi"/>
          <w:i/>
        </w:rPr>
        <w:t>Standard 2.9.1</w:t>
      </w:r>
      <w:r w:rsidR="007C3687">
        <w:rPr>
          <w:rFonts w:asciiTheme="minorHAnsi" w:hAnsiTheme="minorHAnsi"/>
          <w:i/>
        </w:rPr>
        <w:t>:</w:t>
      </w:r>
      <w:r w:rsidRPr="00925717">
        <w:rPr>
          <w:rFonts w:asciiTheme="minorHAnsi" w:hAnsiTheme="minorHAnsi"/>
          <w:i/>
        </w:rPr>
        <w:t xml:space="preserve"> Infant Formula Products for specific dietary use</w:t>
      </w:r>
      <w:r w:rsidRPr="005053A3">
        <w:rPr>
          <w:rFonts w:asciiTheme="minorHAnsi" w:hAnsiTheme="minorHAnsi"/>
        </w:rPr>
        <w:t>.</w:t>
      </w:r>
    </w:p>
    <w:p w:rsidR="00B200D4" w:rsidRPr="003C7EEA" w:rsidRDefault="00A75FFC" w:rsidP="00F927FE">
      <w:pPr>
        <w:pStyle w:val="ListParagraph"/>
        <w:numPr>
          <w:ilvl w:val="1"/>
          <w:numId w:val="2"/>
        </w:numPr>
        <w:spacing w:before="120" w:after="160"/>
        <w:contextualSpacing w:val="0"/>
        <w:jc w:val="both"/>
        <w:rPr>
          <w:rFonts w:asciiTheme="minorHAnsi" w:hAnsiTheme="minorHAnsi"/>
        </w:rPr>
      </w:pPr>
      <w:r w:rsidRPr="003C7EEA">
        <w:rPr>
          <w:rFonts w:asciiTheme="minorHAnsi" w:hAnsiTheme="minorHAnsi"/>
        </w:rPr>
        <w:lastRenderedPageBreak/>
        <w:t xml:space="preserve">The </w:t>
      </w:r>
      <w:r>
        <w:rPr>
          <w:rFonts w:asciiTheme="minorHAnsi" w:hAnsiTheme="minorHAnsi"/>
        </w:rPr>
        <w:t xml:space="preserve">submission </w:t>
      </w:r>
      <w:r w:rsidR="0087153B" w:rsidRPr="003C7EEA">
        <w:rPr>
          <w:rFonts w:asciiTheme="minorHAnsi" w:hAnsiTheme="minorHAnsi"/>
        </w:rPr>
        <w:t>note</w:t>
      </w:r>
      <w:r w:rsidR="004D261E">
        <w:rPr>
          <w:rFonts w:asciiTheme="minorHAnsi" w:hAnsiTheme="minorHAnsi"/>
        </w:rPr>
        <w:t>d</w:t>
      </w:r>
      <w:r w:rsidR="00B200D4" w:rsidRPr="003C7EEA">
        <w:rPr>
          <w:rFonts w:asciiTheme="minorHAnsi" w:hAnsiTheme="minorHAnsi"/>
        </w:rPr>
        <w:t xml:space="preserve"> that PKU Start contains choline</w:t>
      </w:r>
      <w:r w:rsidR="006716F2" w:rsidRPr="003C7EEA">
        <w:rPr>
          <w:rFonts w:asciiTheme="minorHAnsi" w:hAnsiTheme="minorHAnsi"/>
        </w:rPr>
        <w:t xml:space="preserve"> (7.3 mg/100kj)</w:t>
      </w:r>
      <w:r w:rsidR="00B200D4" w:rsidRPr="003C7EEA">
        <w:rPr>
          <w:rFonts w:asciiTheme="minorHAnsi" w:hAnsiTheme="minorHAnsi"/>
        </w:rPr>
        <w:t xml:space="preserve"> that is 2.8% higher than the maximum permitted amount</w:t>
      </w:r>
      <w:r w:rsidR="006716F2" w:rsidRPr="003C7EEA">
        <w:rPr>
          <w:rFonts w:asciiTheme="minorHAnsi" w:hAnsiTheme="minorHAnsi"/>
        </w:rPr>
        <w:t xml:space="preserve"> for the Standard 2.9.1</w:t>
      </w:r>
      <w:r w:rsidR="00B200D4" w:rsidRPr="003C7EEA">
        <w:rPr>
          <w:rFonts w:asciiTheme="minorHAnsi" w:hAnsiTheme="minorHAnsi"/>
        </w:rPr>
        <w:t xml:space="preserve">. </w:t>
      </w:r>
      <w:r w:rsidR="00E80E1F" w:rsidRPr="003C7EEA">
        <w:rPr>
          <w:rFonts w:asciiTheme="minorHAnsi" w:hAnsiTheme="minorHAnsi"/>
        </w:rPr>
        <w:t>The submission claimed that the slightly higher amount of choline</w:t>
      </w:r>
      <w:r w:rsidR="006033C1">
        <w:rPr>
          <w:rFonts w:asciiTheme="minorHAnsi" w:hAnsiTheme="minorHAnsi"/>
        </w:rPr>
        <w:t xml:space="preserve"> is not detrimental to infants.</w:t>
      </w:r>
    </w:p>
    <w:p w:rsidR="006A2306" w:rsidRDefault="00E80E1F" w:rsidP="00F927FE">
      <w:pPr>
        <w:pStyle w:val="ListParagraph"/>
        <w:numPr>
          <w:ilvl w:val="1"/>
          <w:numId w:val="2"/>
        </w:numPr>
        <w:spacing w:before="120" w:after="160"/>
        <w:contextualSpacing w:val="0"/>
        <w:jc w:val="both"/>
        <w:rPr>
          <w:rFonts w:asciiTheme="minorHAnsi" w:hAnsiTheme="minorHAnsi"/>
        </w:rPr>
      </w:pPr>
      <w:r w:rsidRPr="003C7EEA">
        <w:rPr>
          <w:rFonts w:asciiTheme="minorHAnsi" w:hAnsiTheme="minorHAnsi"/>
        </w:rPr>
        <w:t xml:space="preserve">The </w:t>
      </w:r>
      <w:r w:rsidR="00A75FFC">
        <w:rPr>
          <w:rFonts w:asciiTheme="minorHAnsi" w:hAnsiTheme="minorHAnsi"/>
        </w:rPr>
        <w:t xml:space="preserve">submission </w:t>
      </w:r>
      <w:r w:rsidR="008D180C" w:rsidRPr="003C7EEA">
        <w:rPr>
          <w:rFonts w:asciiTheme="minorHAnsi" w:hAnsiTheme="minorHAnsi"/>
        </w:rPr>
        <w:t>note</w:t>
      </w:r>
      <w:r w:rsidR="008D180C">
        <w:rPr>
          <w:rFonts w:asciiTheme="minorHAnsi" w:hAnsiTheme="minorHAnsi"/>
        </w:rPr>
        <w:t>d</w:t>
      </w:r>
      <w:r w:rsidR="008D180C" w:rsidRPr="003C7EEA">
        <w:rPr>
          <w:rFonts w:asciiTheme="minorHAnsi" w:hAnsiTheme="minorHAnsi"/>
        </w:rPr>
        <w:t xml:space="preserve"> </w:t>
      </w:r>
      <w:r w:rsidRPr="003C7EEA">
        <w:rPr>
          <w:rFonts w:asciiTheme="minorHAnsi" w:hAnsiTheme="minorHAnsi"/>
        </w:rPr>
        <w:t xml:space="preserve">that PKU Start provides 70% of iron requirements for infants aged 7-12 months. The submission claimed that </w:t>
      </w:r>
      <w:r w:rsidR="00E902DB" w:rsidRPr="003C7EEA">
        <w:rPr>
          <w:rFonts w:asciiTheme="minorHAnsi" w:hAnsiTheme="minorHAnsi"/>
        </w:rPr>
        <w:t xml:space="preserve">infants in this age group would usually be taking a second stage protein substitute. The submission claimed that PKU Start in combination with a second stage protein substitute would be sufficient to meet iron </w:t>
      </w:r>
      <w:r w:rsidR="006033C1">
        <w:rPr>
          <w:rFonts w:asciiTheme="minorHAnsi" w:hAnsiTheme="minorHAnsi"/>
        </w:rPr>
        <w:t>requirements in this age group.</w:t>
      </w:r>
    </w:p>
    <w:p w:rsidR="00326E79" w:rsidRDefault="005E4A28" w:rsidP="00F927FE">
      <w:pPr>
        <w:pStyle w:val="ListParagraph"/>
        <w:numPr>
          <w:ilvl w:val="1"/>
          <w:numId w:val="2"/>
        </w:numPr>
        <w:spacing w:before="120" w:after="160"/>
        <w:contextualSpacing w:val="0"/>
        <w:jc w:val="both"/>
        <w:rPr>
          <w:rFonts w:asciiTheme="minorHAnsi" w:hAnsiTheme="minorHAnsi"/>
        </w:rPr>
      </w:pPr>
      <w:r>
        <w:rPr>
          <w:rFonts w:asciiTheme="minorHAnsi" w:hAnsiTheme="minorHAnsi"/>
        </w:rPr>
        <w:t>PKU Start has not been previously considered by the PBAC.</w:t>
      </w:r>
    </w:p>
    <w:p w:rsidR="00CC3A40" w:rsidRPr="00CC3A40" w:rsidRDefault="00CC3A40" w:rsidP="00325D11">
      <w:pPr>
        <w:ind w:firstLine="709"/>
        <w:jc w:val="both"/>
        <w:rPr>
          <w:rFonts w:asciiTheme="minorHAnsi" w:hAnsiTheme="minorHAnsi"/>
          <w:i/>
        </w:rPr>
      </w:pPr>
      <w:r w:rsidRPr="00A75FFC">
        <w:rPr>
          <w:rFonts w:asciiTheme="minorHAnsi" w:hAnsiTheme="minorHAnsi"/>
          <w:i/>
        </w:rPr>
        <w:t>For more detail on PBAC’s view, see section 6 PBAC outcome.</w:t>
      </w:r>
    </w:p>
    <w:p w:rsidR="005A3173" w:rsidRPr="00791BDB" w:rsidRDefault="005A3173" w:rsidP="00D22AD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Comparator</w:t>
      </w:r>
    </w:p>
    <w:p w:rsidR="00C35996" w:rsidRPr="00E80E1F" w:rsidRDefault="00FF2801" w:rsidP="00F927FE">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minor submission nominated</w:t>
      </w:r>
      <w:r w:rsidR="003566C7">
        <w:rPr>
          <w:rFonts w:asciiTheme="minorHAnsi" w:hAnsiTheme="minorHAnsi"/>
        </w:rPr>
        <w:t xml:space="preserve"> PKU </w:t>
      </w:r>
      <w:proofErr w:type="spellStart"/>
      <w:r w:rsidR="003566C7">
        <w:rPr>
          <w:rFonts w:asciiTheme="minorHAnsi" w:hAnsiTheme="minorHAnsi"/>
        </w:rPr>
        <w:t>Anamix</w:t>
      </w:r>
      <w:proofErr w:type="spellEnd"/>
      <w:r w:rsidR="003566C7">
        <w:rPr>
          <w:rFonts w:asciiTheme="minorHAnsi" w:hAnsiTheme="minorHAnsi"/>
        </w:rPr>
        <w:t xml:space="preserve"> </w:t>
      </w:r>
      <w:r w:rsidR="00E35573">
        <w:rPr>
          <w:rFonts w:asciiTheme="minorHAnsi" w:hAnsiTheme="minorHAnsi"/>
        </w:rPr>
        <w:t>I</w:t>
      </w:r>
      <w:r w:rsidR="003566C7">
        <w:rPr>
          <w:rFonts w:asciiTheme="minorHAnsi" w:hAnsiTheme="minorHAnsi"/>
        </w:rPr>
        <w:t xml:space="preserve">nfant as </w:t>
      </w:r>
      <w:r w:rsidR="00E35573">
        <w:rPr>
          <w:rFonts w:asciiTheme="minorHAnsi" w:hAnsiTheme="minorHAnsi"/>
        </w:rPr>
        <w:t>the</w:t>
      </w:r>
      <w:r w:rsidR="003566C7">
        <w:rPr>
          <w:rFonts w:asciiTheme="minorHAnsi" w:hAnsiTheme="minorHAnsi"/>
        </w:rPr>
        <w:t xml:space="preserve"> comparator</w:t>
      </w:r>
      <w:r w:rsidR="00E35573">
        <w:rPr>
          <w:rFonts w:asciiTheme="minorHAnsi" w:hAnsiTheme="minorHAnsi"/>
        </w:rPr>
        <w:t>, as it is an oral powdered protein substitute for infants with PKU</w:t>
      </w:r>
      <w:r w:rsidR="003566C7">
        <w:rPr>
          <w:rFonts w:asciiTheme="minorHAnsi" w:hAnsiTheme="minorHAnsi"/>
        </w:rPr>
        <w:t xml:space="preserve">. </w:t>
      </w:r>
      <w:r w:rsidR="00E35573">
        <w:rPr>
          <w:rFonts w:asciiTheme="minorHAnsi" w:hAnsiTheme="minorHAnsi"/>
        </w:rPr>
        <w:t>The Sponsor requested to list PKU Start on a cost</w:t>
      </w:r>
      <w:r w:rsidR="00E902DB">
        <w:rPr>
          <w:rFonts w:asciiTheme="minorHAnsi" w:hAnsiTheme="minorHAnsi"/>
        </w:rPr>
        <w:t>-</w:t>
      </w:r>
      <w:r w:rsidR="00E35573">
        <w:rPr>
          <w:rFonts w:asciiTheme="minorHAnsi" w:hAnsiTheme="minorHAnsi"/>
        </w:rPr>
        <w:t xml:space="preserve">minimisation basis per gram of protein of PKU </w:t>
      </w:r>
      <w:proofErr w:type="spellStart"/>
      <w:r w:rsidR="00E35573">
        <w:rPr>
          <w:rFonts w:asciiTheme="minorHAnsi" w:hAnsiTheme="minorHAnsi"/>
        </w:rPr>
        <w:t>Anamix</w:t>
      </w:r>
      <w:proofErr w:type="spellEnd"/>
      <w:r w:rsidR="00E35573">
        <w:rPr>
          <w:rFonts w:asciiTheme="minorHAnsi" w:hAnsiTheme="minorHAnsi"/>
        </w:rPr>
        <w:t xml:space="preserve"> Infant</w:t>
      </w:r>
      <w:r w:rsidR="00E902DB">
        <w:rPr>
          <w:rFonts w:asciiTheme="minorHAnsi" w:hAnsiTheme="minorHAnsi"/>
        </w:rPr>
        <w:t>.</w:t>
      </w:r>
      <w:r w:rsidR="00E35573">
        <w:rPr>
          <w:rFonts w:asciiTheme="minorHAnsi" w:hAnsiTheme="minorHAnsi"/>
        </w:rPr>
        <w:t xml:space="preserve"> </w:t>
      </w:r>
    </w:p>
    <w:p w:rsidR="003566C7" w:rsidRDefault="00EE3DF2" w:rsidP="00F927FE">
      <w:pPr>
        <w:pStyle w:val="ListParagraph"/>
        <w:numPr>
          <w:ilvl w:val="1"/>
          <w:numId w:val="2"/>
        </w:numPr>
        <w:spacing w:before="120" w:after="160"/>
        <w:contextualSpacing w:val="0"/>
        <w:jc w:val="both"/>
        <w:rPr>
          <w:rFonts w:asciiTheme="minorHAnsi" w:hAnsiTheme="minorHAnsi"/>
        </w:rPr>
      </w:pPr>
      <w:r>
        <w:rPr>
          <w:rFonts w:asciiTheme="minorHAnsi" w:hAnsiTheme="minorHAnsi"/>
        </w:rPr>
        <w:t>The s</w:t>
      </w:r>
      <w:r w:rsidR="003566C7">
        <w:rPr>
          <w:rFonts w:asciiTheme="minorHAnsi" w:hAnsiTheme="minorHAnsi"/>
        </w:rPr>
        <w:t xml:space="preserve">ponsor </w:t>
      </w:r>
      <w:r>
        <w:rPr>
          <w:rFonts w:asciiTheme="minorHAnsi" w:hAnsiTheme="minorHAnsi"/>
        </w:rPr>
        <w:t>claim</w:t>
      </w:r>
      <w:r w:rsidR="009A4DDB">
        <w:rPr>
          <w:rFonts w:asciiTheme="minorHAnsi" w:hAnsiTheme="minorHAnsi"/>
        </w:rPr>
        <w:t>ed</w:t>
      </w:r>
      <w:r w:rsidR="003566C7">
        <w:rPr>
          <w:rFonts w:asciiTheme="minorHAnsi" w:hAnsiTheme="minorHAnsi"/>
        </w:rPr>
        <w:t xml:space="preserve"> that</w:t>
      </w:r>
      <w:r w:rsidR="009A4DDB">
        <w:rPr>
          <w:rFonts w:asciiTheme="minorHAnsi" w:hAnsiTheme="minorHAnsi"/>
        </w:rPr>
        <w:t xml:space="preserve"> while</w:t>
      </w:r>
      <w:r w:rsidR="003566C7">
        <w:rPr>
          <w:rFonts w:asciiTheme="minorHAnsi" w:hAnsiTheme="minorHAnsi"/>
        </w:rPr>
        <w:t xml:space="preserve"> PKU Baby (PBS Cod</w:t>
      </w:r>
      <w:r w:rsidR="009A4DDB">
        <w:rPr>
          <w:rFonts w:asciiTheme="minorHAnsi" w:hAnsiTheme="minorHAnsi"/>
        </w:rPr>
        <w:t>e</w:t>
      </w:r>
      <w:r w:rsidR="003566C7">
        <w:rPr>
          <w:rFonts w:asciiTheme="minorHAnsi" w:hAnsiTheme="minorHAnsi"/>
        </w:rPr>
        <w:t xml:space="preserve"> 10822N) is a</w:t>
      </w:r>
      <w:r w:rsidR="009A4DDB">
        <w:rPr>
          <w:rFonts w:asciiTheme="minorHAnsi" w:hAnsiTheme="minorHAnsi"/>
        </w:rPr>
        <w:t>nother</w:t>
      </w:r>
      <w:r w:rsidR="003566C7">
        <w:rPr>
          <w:rFonts w:asciiTheme="minorHAnsi" w:hAnsiTheme="minorHAnsi"/>
        </w:rPr>
        <w:t xml:space="preserve"> similar product</w:t>
      </w:r>
      <w:r w:rsidR="009A4DDB">
        <w:rPr>
          <w:rFonts w:asciiTheme="minorHAnsi" w:hAnsiTheme="minorHAnsi"/>
        </w:rPr>
        <w:t>,</w:t>
      </w:r>
      <w:r w:rsidR="003566C7">
        <w:rPr>
          <w:rFonts w:asciiTheme="minorHAnsi" w:hAnsiTheme="minorHAnsi"/>
        </w:rPr>
        <w:t xml:space="preserve"> </w:t>
      </w:r>
      <w:r w:rsidR="009A4DDB">
        <w:rPr>
          <w:rFonts w:asciiTheme="minorHAnsi" w:hAnsiTheme="minorHAnsi"/>
        </w:rPr>
        <w:t>it</w:t>
      </w:r>
      <w:r w:rsidR="003566C7">
        <w:rPr>
          <w:rFonts w:asciiTheme="minorHAnsi" w:hAnsiTheme="minorHAnsi"/>
        </w:rPr>
        <w:t xml:space="preserve"> </w:t>
      </w:r>
      <w:r>
        <w:rPr>
          <w:rFonts w:asciiTheme="minorHAnsi" w:hAnsiTheme="minorHAnsi"/>
        </w:rPr>
        <w:t>is presented in liquid</w:t>
      </w:r>
      <w:r w:rsidR="009A4DDB">
        <w:rPr>
          <w:rFonts w:asciiTheme="minorHAnsi" w:hAnsiTheme="minorHAnsi"/>
        </w:rPr>
        <w:t xml:space="preserve"> form</w:t>
      </w:r>
      <w:r w:rsidR="007C3687">
        <w:rPr>
          <w:rFonts w:asciiTheme="minorHAnsi" w:hAnsiTheme="minorHAnsi"/>
        </w:rPr>
        <w:t xml:space="preserve"> and therefore not a true comparator</w:t>
      </w:r>
      <w:r w:rsidR="009A4DDB">
        <w:rPr>
          <w:rFonts w:asciiTheme="minorHAnsi" w:hAnsiTheme="minorHAnsi"/>
        </w:rPr>
        <w:t>.</w:t>
      </w:r>
    </w:p>
    <w:p w:rsidR="00E35573" w:rsidRDefault="00E35573" w:rsidP="00F927FE">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PKU Baby was listed as a Restricted Benefit for PKU on cost-minimisation basis against PKU </w:t>
      </w:r>
      <w:proofErr w:type="spellStart"/>
      <w:r>
        <w:rPr>
          <w:rFonts w:asciiTheme="minorHAnsi" w:hAnsiTheme="minorHAnsi"/>
        </w:rPr>
        <w:t>Anamix</w:t>
      </w:r>
      <w:proofErr w:type="spellEnd"/>
      <w:r>
        <w:rPr>
          <w:rFonts w:asciiTheme="minorHAnsi" w:hAnsiTheme="minorHAnsi"/>
        </w:rPr>
        <w:t xml:space="preserve"> Infant at an equivalent price per gram of protein at the March 2016 PBAC meeting</w:t>
      </w:r>
      <w:r w:rsidR="00090A25">
        <w:rPr>
          <w:rFonts w:asciiTheme="minorHAnsi" w:hAnsiTheme="minorHAnsi"/>
        </w:rPr>
        <w:t>.</w:t>
      </w:r>
    </w:p>
    <w:p w:rsidR="00F927FE" w:rsidRPr="00F927FE" w:rsidRDefault="00090A25" w:rsidP="00F927FE">
      <w:pPr>
        <w:pStyle w:val="ListParagraph"/>
        <w:numPr>
          <w:ilvl w:val="1"/>
          <w:numId w:val="2"/>
        </w:numPr>
        <w:spacing w:before="120" w:after="160"/>
        <w:contextualSpacing w:val="0"/>
        <w:rPr>
          <w:rFonts w:asciiTheme="minorHAnsi" w:hAnsiTheme="minorHAnsi"/>
        </w:rPr>
      </w:pPr>
      <w:r w:rsidRPr="00090A25">
        <w:rPr>
          <w:rFonts w:asciiTheme="minorHAnsi" w:hAnsiTheme="minorHAnsi"/>
        </w:rPr>
        <w:t xml:space="preserve">PKU Start contains 57.2 g protein per 400 g, which is higher than PKU </w:t>
      </w:r>
      <w:proofErr w:type="spellStart"/>
      <w:r w:rsidRPr="00090A25">
        <w:rPr>
          <w:rFonts w:asciiTheme="minorHAnsi" w:hAnsiTheme="minorHAnsi"/>
        </w:rPr>
        <w:t>Anamix</w:t>
      </w:r>
      <w:proofErr w:type="spellEnd"/>
      <w:r w:rsidR="00DE0CE7">
        <w:rPr>
          <w:rFonts w:asciiTheme="minorHAnsi" w:hAnsiTheme="minorHAnsi"/>
        </w:rPr>
        <w:t xml:space="preserve"> Infant</w:t>
      </w:r>
      <w:r w:rsidR="008D180C">
        <w:rPr>
          <w:rFonts w:asciiTheme="minorHAnsi" w:hAnsiTheme="minorHAnsi"/>
        </w:rPr>
        <w:t xml:space="preserve"> </w:t>
      </w:r>
      <w:r>
        <w:rPr>
          <w:rFonts w:asciiTheme="minorHAnsi" w:hAnsiTheme="minorHAnsi"/>
        </w:rPr>
        <w:t>(</w:t>
      </w:r>
      <w:r w:rsidRPr="00090A25">
        <w:rPr>
          <w:rFonts w:asciiTheme="minorHAnsi" w:hAnsiTheme="minorHAnsi"/>
        </w:rPr>
        <w:t>52.4 g protein per 400 g</w:t>
      </w:r>
      <w:r>
        <w:rPr>
          <w:rFonts w:asciiTheme="minorHAnsi" w:hAnsiTheme="minorHAnsi"/>
        </w:rPr>
        <w:t>)</w:t>
      </w:r>
      <w:r w:rsidR="006033C1">
        <w:rPr>
          <w:rFonts w:asciiTheme="minorHAnsi" w:hAnsiTheme="minorHAnsi"/>
        </w:rPr>
        <w:t>.</w:t>
      </w:r>
    </w:p>
    <w:p w:rsidR="008A517F" w:rsidRPr="004A702F" w:rsidRDefault="00876F32" w:rsidP="00F927FE">
      <w:pPr>
        <w:pStyle w:val="ListParagraph"/>
        <w:numPr>
          <w:ilvl w:val="1"/>
          <w:numId w:val="2"/>
        </w:numPr>
        <w:spacing w:before="120" w:after="160"/>
        <w:contextualSpacing w:val="0"/>
        <w:jc w:val="both"/>
        <w:rPr>
          <w:rFonts w:asciiTheme="minorHAnsi" w:hAnsiTheme="minorHAnsi"/>
        </w:rPr>
      </w:pPr>
      <w:r w:rsidRPr="00090A25">
        <w:rPr>
          <w:rFonts w:asciiTheme="minorHAnsi" w:hAnsiTheme="minorHAnsi"/>
        </w:rPr>
        <w:t>PKU Start contain</w:t>
      </w:r>
      <w:r w:rsidR="00B200D4" w:rsidRPr="00090A25">
        <w:rPr>
          <w:rFonts w:asciiTheme="minorHAnsi" w:hAnsiTheme="minorHAnsi"/>
        </w:rPr>
        <w:t>s</w:t>
      </w:r>
      <w:r w:rsidR="00090A25">
        <w:rPr>
          <w:rFonts w:asciiTheme="minorHAnsi" w:hAnsiTheme="minorHAnsi"/>
        </w:rPr>
        <w:t xml:space="preserve"> 40% more</w:t>
      </w:r>
      <w:r w:rsidRPr="00090A25">
        <w:rPr>
          <w:rFonts w:asciiTheme="minorHAnsi" w:hAnsiTheme="minorHAnsi"/>
        </w:rPr>
        <w:t xml:space="preserve"> </w:t>
      </w:r>
      <w:r w:rsidR="00F369D6" w:rsidRPr="004A702F">
        <w:rPr>
          <w:rFonts w:asciiTheme="minorHAnsi" w:hAnsiTheme="minorHAnsi"/>
        </w:rPr>
        <w:t>docosahexaenoic acid (</w:t>
      </w:r>
      <w:r w:rsidRPr="00090A25">
        <w:rPr>
          <w:rFonts w:asciiTheme="minorHAnsi" w:hAnsiTheme="minorHAnsi"/>
        </w:rPr>
        <w:t>DHA</w:t>
      </w:r>
      <w:r w:rsidR="00F369D6" w:rsidRPr="004A702F">
        <w:rPr>
          <w:rFonts w:asciiTheme="minorHAnsi" w:hAnsiTheme="minorHAnsi"/>
        </w:rPr>
        <w:t>, 0.014 g/100 mL)</w:t>
      </w:r>
      <w:r w:rsidRPr="00090A25">
        <w:rPr>
          <w:rFonts w:asciiTheme="minorHAnsi" w:hAnsiTheme="minorHAnsi"/>
        </w:rPr>
        <w:t xml:space="preserve"> than </w:t>
      </w:r>
      <w:r w:rsidR="002B18C5" w:rsidRPr="00090A25">
        <w:rPr>
          <w:rFonts w:asciiTheme="minorHAnsi" w:hAnsiTheme="minorHAnsi"/>
        </w:rPr>
        <w:t xml:space="preserve">the nominated comparator, PKU </w:t>
      </w:r>
      <w:proofErr w:type="spellStart"/>
      <w:r w:rsidR="002B18C5" w:rsidRPr="00090A25">
        <w:rPr>
          <w:rFonts w:asciiTheme="minorHAnsi" w:hAnsiTheme="minorHAnsi"/>
        </w:rPr>
        <w:t>Anamix</w:t>
      </w:r>
      <w:proofErr w:type="spellEnd"/>
      <w:r w:rsidR="00F369D6" w:rsidRPr="00DE0CE7">
        <w:rPr>
          <w:rFonts w:asciiTheme="minorHAnsi" w:hAnsiTheme="minorHAnsi"/>
        </w:rPr>
        <w:t xml:space="preserve"> (0.01 /100 mL)</w:t>
      </w:r>
      <w:r w:rsidR="002B18C5" w:rsidRPr="00090A25">
        <w:rPr>
          <w:rFonts w:asciiTheme="minorHAnsi" w:hAnsiTheme="minorHAnsi"/>
        </w:rPr>
        <w:t xml:space="preserve">. It also has higher content </w:t>
      </w:r>
      <w:r w:rsidR="007C3687">
        <w:rPr>
          <w:rFonts w:asciiTheme="minorHAnsi" w:hAnsiTheme="minorHAnsi"/>
        </w:rPr>
        <w:t>of</w:t>
      </w:r>
      <w:r w:rsidR="002B18C5" w:rsidRPr="00090A25">
        <w:rPr>
          <w:rFonts w:asciiTheme="minorHAnsi" w:hAnsiTheme="minorHAnsi"/>
        </w:rPr>
        <w:t xml:space="preserve"> most water-soluble vitamins; including folic acid</w:t>
      </w:r>
      <w:r w:rsidR="007C3687">
        <w:rPr>
          <w:rFonts w:asciiTheme="minorHAnsi" w:hAnsiTheme="minorHAnsi"/>
        </w:rPr>
        <w:t xml:space="preserve"> than the comparator</w:t>
      </w:r>
      <w:r w:rsidR="006033C1">
        <w:rPr>
          <w:rFonts w:asciiTheme="minorHAnsi" w:hAnsiTheme="minorHAnsi"/>
        </w:rPr>
        <w:t>.</w:t>
      </w:r>
    </w:p>
    <w:p w:rsidR="009924FB" w:rsidRDefault="0087153B" w:rsidP="00F927FE">
      <w:pPr>
        <w:pStyle w:val="ListParagraph"/>
        <w:numPr>
          <w:ilvl w:val="1"/>
          <w:numId w:val="2"/>
        </w:numPr>
        <w:spacing w:before="120" w:after="160"/>
        <w:contextualSpacing w:val="0"/>
        <w:jc w:val="both"/>
        <w:rPr>
          <w:rFonts w:asciiTheme="minorHAnsi" w:hAnsiTheme="minorHAnsi"/>
        </w:rPr>
      </w:pPr>
      <w:r>
        <w:rPr>
          <w:rFonts w:asciiTheme="minorHAnsi" w:hAnsiTheme="minorHAnsi"/>
        </w:rPr>
        <w:t>I</w:t>
      </w:r>
      <w:r w:rsidR="002B18C5" w:rsidRPr="00DE0CE7">
        <w:rPr>
          <w:rFonts w:asciiTheme="minorHAnsi" w:hAnsiTheme="minorHAnsi"/>
        </w:rPr>
        <w:t>ron, manganese and chromi</w:t>
      </w:r>
      <w:r w:rsidR="00065526" w:rsidRPr="00DE0CE7">
        <w:rPr>
          <w:rFonts w:asciiTheme="minorHAnsi" w:hAnsiTheme="minorHAnsi"/>
        </w:rPr>
        <w:t xml:space="preserve">um </w:t>
      </w:r>
      <w:r w:rsidR="008A517F" w:rsidRPr="00DE0CE7">
        <w:rPr>
          <w:rFonts w:asciiTheme="minorHAnsi" w:hAnsiTheme="minorHAnsi"/>
        </w:rPr>
        <w:t xml:space="preserve">in PKU Start </w:t>
      </w:r>
      <w:r w:rsidR="00065526" w:rsidRPr="00DE0CE7">
        <w:rPr>
          <w:rFonts w:asciiTheme="minorHAnsi" w:hAnsiTheme="minorHAnsi"/>
        </w:rPr>
        <w:t xml:space="preserve">are also higher than </w:t>
      </w:r>
      <w:r w:rsidR="00F369D6" w:rsidRPr="00DE0CE7">
        <w:rPr>
          <w:rFonts w:asciiTheme="minorHAnsi" w:hAnsiTheme="minorHAnsi"/>
        </w:rPr>
        <w:t>nutrient reference values (</w:t>
      </w:r>
      <w:r w:rsidR="00065526" w:rsidRPr="00DE0CE7">
        <w:rPr>
          <w:rFonts w:asciiTheme="minorHAnsi" w:hAnsiTheme="minorHAnsi"/>
        </w:rPr>
        <w:t>NRVs</w:t>
      </w:r>
      <w:r w:rsidR="00F369D6" w:rsidRPr="00DE0CE7">
        <w:rPr>
          <w:rFonts w:asciiTheme="minorHAnsi" w:hAnsiTheme="minorHAnsi"/>
        </w:rPr>
        <w:t>)</w:t>
      </w:r>
      <w:r w:rsidR="00065526" w:rsidRPr="00DE0CE7">
        <w:rPr>
          <w:rFonts w:asciiTheme="minorHAnsi" w:hAnsiTheme="minorHAnsi"/>
        </w:rPr>
        <w:t xml:space="preserve"> f</w:t>
      </w:r>
      <w:r w:rsidR="002B18C5" w:rsidRPr="00DE0CE7">
        <w:rPr>
          <w:rFonts w:asciiTheme="minorHAnsi" w:hAnsiTheme="minorHAnsi"/>
        </w:rPr>
        <w:t>o</w:t>
      </w:r>
      <w:r w:rsidR="00065526" w:rsidRPr="00DE0CE7">
        <w:rPr>
          <w:rFonts w:asciiTheme="minorHAnsi" w:hAnsiTheme="minorHAnsi"/>
        </w:rPr>
        <w:t>r</w:t>
      </w:r>
      <w:r w:rsidR="002B18C5" w:rsidRPr="00DE0CE7">
        <w:rPr>
          <w:rFonts w:asciiTheme="minorHAnsi" w:hAnsiTheme="minorHAnsi"/>
        </w:rPr>
        <w:t xml:space="preserve"> the 0</w:t>
      </w:r>
      <w:r w:rsidR="00F369D6" w:rsidRPr="00DE0CE7">
        <w:t> </w:t>
      </w:r>
      <w:r w:rsidR="00F369D6" w:rsidRPr="00DE0CE7">
        <w:rPr>
          <w:rFonts w:asciiTheme="minorHAnsi" w:hAnsiTheme="minorHAnsi"/>
        </w:rPr>
        <w:t>to </w:t>
      </w:r>
      <w:r w:rsidR="002B18C5" w:rsidRPr="00DE0CE7">
        <w:rPr>
          <w:rFonts w:asciiTheme="minorHAnsi" w:hAnsiTheme="minorHAnsi"/>
        </w:rPr>
        <w:t>6</w:t>
      </w:r>
      <w:r w:rsidR="00F369D6" w:rsidRPr="00DE0CE7">
        <w:rPr>
          <w:rFonts w:asciiTheme="minorHAnsi" w:hAnsiTheme="minorHAnsi"/>
        </w:rPr>
        <w:t> </w:t>
      </w:r>
      <w:r w:rsidR="002B18C5" w:rsidRPr="00DE0CE7">
        <w:rPr>
          <w:rFonts w:asciiTheme="minorHAnsi" w:hAnsiTheme="minorHAnsi"/>
        </w:rPr>
        <w:t>months age group.</w:t>
      </w:r>
    </w:p>
    <w:p w:rsidR="00CC3A40" w:rsidRPr="00CC3A40" w:rsidRDefault="00CC3A40" w:rsidP="00325D11">
      <w:pPr>
        <w:spacing w:before="120" w:after="160"/>
        <w:ind w:firstLine="709"/>
        <w:jc w:val="both"/>
        <w:rPr>
          <w:rFonts w:asciiTheme="minorHAnsi" w:hAnsiTheme="minorHAnsi"/>
        </w:rPr>
      </w:pPr>
      <w:r w:rsidRPr="00A75FFC">
        <w:rPr>
          <w:rFonts w:asciiTheme="minorHAnsi" w:hAnsiTheme="minorHAnsi"/>
          <w:i/>
        </w:rPr>
        <w:t>For more detail on PBAC’s view, see section 6 PBAC outcome.</w:t>
      </w:r>
    </w:p>
    <w:p w:rsidR="00BB7EC3" w:rsidRPr="00A8691F" w:rsidRDefault="008D7A41" w:rsidP="00D22AD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85453C">
        <w:rPr>
          <w:rFonts w:asciiTheme="minorHAnsi" w:eastAsiaTheme="majorEastAsia" w:hAnsiTheme="minorHAnsi" w:cstheme="majorBidi"/>
          <w:sz w:val="32"/>
          <w:szCs w:val="28"/>
          <w:lang w:eastAsia="en-US"/>
        </w:rPr>
        <w:t>C</w:t>
      </w:r>
      <w:r w:rsidR="00D84934" w:rsidRPr="0085453C">
        <w:rPr>
          <w:rFonts w:asciiTheme="minorHAnsi" w:eastAsiaTheme="majorEastAsia" w:hAnsiTheme="minorHAnsi" w:cstheme="majorBidi"/>
          <w:sz w:val="32"/>
          <w:szCs w:val="28"/>
          <w:lang w:eastAsia="en-US"/>
        </w:rPr>
        <w:t>onsideration of the evidence</w:t>
      </w:r>
    </w:p>
    <w:p w:rsidR="00991CB4" w:rsidRPr="00234B51" w:rsidRDefault="00991CB4" w:rsidP="00991CB4">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991CB4" w:rsidRPr="00991CB4" w:rsidRDefault="00991CB4" w:rsidP="00991CB4">
      <w:pPr>
        <w:pStyle w:val="ListParagraph"/>
        <w:numPr>
          <w:ilvl w:val="1"/>
          <w:numId w:val="2"/>
        </w:numPr>
        <w:spacing w:before="120" w:after="160"/>
        <w:contextualSpacing w:val="0"/>
        <w:jc w:val="both"/>
        <w:rPr>
          <w:rFonts w:asciiTheme="minorHAnsi" w:hAnsiTheme="minorHAnsi"/>
        </w:rPr>
      </w:pPr>
      <w:r>
        <w:rPr>
          <w:rFonts w:asciiTheme="minorHAnsi" w:hAnsiTheme="minorHAnsi"/>
        </w:rPr>
        <w:t>There was no hearing for this ite</w:t>
      </w:r>
      <w:r w:rsidR="006033C1">
        <w:rPr>
          <w:rFonts w:asciiTheme="minorHAnsi" w:hAnsiTheme="minorHAnsi"/>
        </w:rPr>
        <w:t>m as it was a minor submission.</w:t>
      </w:r>
    </w:p>
    <w:p w:rsidR="00991CB4" w:rsidRPr="00234B51" w:rsidRDefault="00991CB4" w:rsidP="00991CB4">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991CB4" w:rsidRPr="00991CB4" w:rsidRDefault="00991CB4" w:rsidP="00991CB4">
      <w:pPr>
        <w:pStyle w:val="ListParagraph"/>
        <w:numPr>
          <w:ilvl w:val="1"/>
          <w:numId w:val="2"/>
        </w:numPr>
        <w:spacing w:before="120" w:after="160"/>
        <w:contextualSpacing w:val="0"/>
        <w:jc w:val="both"/>
        <w:rPr>
          <w:rFonts w:asciiTheme="minorHAnsi" w:hAnsiTheme="minorHAnsi"/>
        </w:rPr>
      </w:pPr>
      <w:r>
        <w:rPr>
          <w:rFonts w:asciiTheme="minorHAnsi" w:hAnsiTheme="minorHAnsi"/>
        </w:rPr>
        <w:t>Th</w:t>
      </w:r>
      <w:r w:rsidR="00E5793E">
        <w:rPr>
          <w:rFonts w:asciiTheme="minorHAnsi" w:hAnsiTheme="minorHAnsi"/>
        </w:rPr>
        <w:t>e PBAC noted that no consumer commen</w:t>
      </w:r>
      <w:r w:rsidR="006033C1">
        <w:rPr>
          <w:rFonts w:asciiTheme="minorHAnsi" w:hAnsiTheme="minorHAnsi"/>
        </w:rPr>
        <w:t>ts were received for this item.</w:t>
      </w:r>
    </w:p>
    <w:p w:rsidR="00D84934" w:rsidRPr="00234B51" w:rsidRDefault="00D84934" w:rsidP="00234B51">
      <w:pPr>
        <w:pStyle w:val="Heading2"/>
        <w:keepLine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lastRenderedPageBreak/>
        <w:t>Clinical trials</w:t>
      </w:r>
    </w:p>
    <w:p w:rsidR="0076420C" w:rsidRDefault="0076420C" w:rsidP="00F927FE">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As a minor submission, no clinical trials </w:t>
      </w:r>
      <w:r w:rsidR="00FF2801" w:rsidRPr="00AC4AA5">
        <w:rPr>
          <w:rFonts w:asciiTheme="minorHAnsi" w:hAnsiTheme="minorHAnsi"/>
        </w:rPr>
        <w:t>were</w:t>
      </w:r>
      <w:r w:rsidRPr="00AC4AA5">
        <w:rPr>
          <w:rFonts w:asciiTheme="minorHAnsi" w:hAnsiTheme="minorHAnsi"/>
        </w:rPr>
        <w:t xml:space="preserve"> presented in the submission.</w:t>
      </w:r>
    </w:p>
    <w:p w:rsidR="004A537B" w:rsidRDefault="008D180C" w:rsidP="004A537B">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In consideration of the submission, the Nutritional Products </w:t>
      </w:r>
      <w:r w:rsidR="00E145F9">
        <w:rPr>
          <w:rFonts w:asciiTheme="minorHAnsi" w:hAnsiTheme="minorHAnsi"/>
        </w:rPr>
        <w:t>Working Party (NPWP) noted</w:t>
      </w:r>
      <w:r w:rsidRPr="008D180C">
        <w:rPr>
          <w:rFonts w:asciiTheme="minorHAnsi" w:hAnsiTheme="minorHAnsi"/>
        </w:rPr>
        <w:t xml:space="preserve"> that</w:t>
      </w:r>
      <w:r w:rsidR="004A537B">
        <w:rPr>
          <w:rFonts w:asciiTheme="minorHAnsi" w:hAnsiTheme="minorHAnsi"/>
        </w:rPr>
        <w:t>:</w:t>
      </w:r>
      <w:r w:rsidRPr="008D180C">
        <w:rPr>
          <w:rFonts w:asciiTheme="minorHAnsi" w:hAnsiTheme="minorHAnsi"/>
        </w:rPr>
        <w:t xml:space="preserve"> </w:t>
      </w:r>
    </w:p>
    <w:p w:rsidR="00FA5CBB" w:rsidRDefault="00FA5CBB" w:rsidP="004A537B">
      <w:pPr>
        <w:pStyle w:val="ListParagraph"/>
        <w:numPr>
          <w:ilvl w:val="0"/>
          <w:numId w:val="26"/>
        </w:numPr>
        <w:spacing w:before="120" w:after="160"/>
        <w:contextualSpacing w:val="0"/>
        <w:jc w:val="both"/>
        <w:rPr>
          <w:rFonts w:asciiTheme="minorHAnsi" w:hAnsiTheme="minorHAnsi"/>
        </w:rPr>
      </w:pPr>
      <w:r>
        <w:rPr>
          <w:rFonts w:asciiTheme="minorHAnsi" w:hAnsiTheme="minorHAnsi"/>
        </w:rPr>
        <w:t xml:space="preserve">The sponsor provided a suitable comparison against the requirements of </w:t>
      </w:r>
      <w:r w:rsidRPr="00FA5CBB">
        <w:rPr>
          <w:rFonts w:asciiTheme="minorHAnsi" w:hAnsiTheme="minorHAnsi"/>
          <w:i/>
        </w:rPr>
        <w:t xml:space="preserve">The Australia New Zealand Food Standards Code – Standard 2.9.5: Food for Special Medical Purposes. </w:t>
      </w:r>
    </w:p>
    <w:p w:rsidR="008D180C" w:rsidRDefault="008D180C" w:rsidP="004A537B">
      <w:pPr>
        <w:pStyle w:val="ListParagraph"/>
        <w:numPr>
          <w:ilvl w:val="0"/>
          <w:numId w:val="26"/>
        </w:numPr>
        <w:spacing w:before="120" w:after="160"/>
        <w:contextualSpacing w:val="0"/>
        <w:jc w:val="both"/>
        <w:rPr>
          <w:rFonts w:asciiTheme="minorHAnsi" w:hAnsiTheme="minorHAnsi"/>
        </w:rPr>
      </w:pPr>
      <w:r w:rsidRPr="008D180C">
        <w:rPr>
          <w:rFonts w:asciiTheme="minorHAnsi" w:hAnsiTheme="minorHAnsi"/>
        </w:rPr>
        <w:t xml:space="preserve">PKU Start® provides 70% of iron requirements for infants aged 7-12 months. The submission claimed that infants in this age group would usually be taking a second stage protein substitute and that PKU Start in combination with a second stage protein substitute would be sufficient to meet iron requirements in this age group. </w:t>
      </w:r>
      <w:r w:rsidR="004A537B">
        <w:rPr>
          <w:rFonts w:asciiTheme="minorHAnsi" w:hAnsiTheme="minorHAnsi"/>
        </w:rPr>
        <w:t>However, the</w:t>
      </w:r>
      <w:r w:rsidRPr="004A537B">
        <w:rPr>
          <w:rFonts w:asciiTheme="minorHAnsi" w:hAnsiTheme="minorHAnsi"/>
        </w:rPr>
        <w:t xml:space="preserve"> NPWP noted that a second stage protein supplement in infants with PKU is generally started later in Australia and that</w:t>
      </w:r>
      <w:r w:rsidR="004A537B">
        <w:rPr>
          <w:rFonts w:asciiTheme="minorHAnsi" w:hAnsiTheme="minorHAnsi"/>
        </w:rPr>
        <w:t xml:space="preserve"> considered that</w:t>
      </w:r>
      <w:r w:rsidRPr="004A537B">
        <w:rPr>
          <w:rFonts w:asciiTheme="minorHAnsi" w:hAnsiTheme="minorHAnsi"/>
        </w:rPr>
        <w:t xml:space="preserve"> the reduced iron content in PKU Start® may cause iron deficiency in this age group.</w:t>
      </w:r>
    </w:p>
    <w:p w:rsidR="008D180C" w:rsidRDefault="001C49BB" w:rsidP="004A537B">
      <w:pPr>
        <w:pStyle w:val="ListParagraph"/>
        <w:numPr>
          <w:ilvl w:val="1"/>
          <w:numId w:val="2"/>
        </w:numPr>
        <w:spacing w:before="120" w:after="160"/>
        <w:contextualSpacing w:val="0"/>
        <w:jc w:val="both"/>
        <w:rPr>
          <w:rFonts w:asciiTheme="minorHAnsi" w:hAnsiTheme="minorHAnsi"/>
        </w:rPr>
      </w:pPr>
      <w:r w:rsidRPr="004A537B">
        <w:rPr>
          <w:rFonts w:asciiTheme="minorHAnsi" w:hAnsiTheme="minorHAnsi"/>
        </w:rPr>
        <w:t xml:space="preserve">The PBAC noted that the NPWP did not support the proposed listing. </w:t>
      </w:r>
      <w:r w:rsidR="008D180C" w:rsidRPr="004A537B">
        <w:rPr>
          <w:rFonts w:asciiTheme="minorHAnsi" w:hAnsiTheme="minorHAnsi"/>
        </w:rPr>
        <w:t>The NPWP considered that the sponsor should provide a clinical justification for the low iron level in PKU Start®, before any possible recommendation</w:t>
      </w:r>
      <w:r w:rsidR="006033C1">
        <w:rPr>
          <w:rFonts w:asciiTheme="minorHAnsi" w:hAnsiTheme="minorHAnsi"/>
        </w:rPr>
        <w:t xml:space="preserve"> to list could be made to PBAC.</w:t>
      </w:r>
    </w:p>
    <w:p w:rsidR="005A3173" w:rsidRPr="00234B51" w:rsidRDefault="005A3173" w:rsidP="00D22AD1">
      <w:pPr>
        <w:pStyle w:val="Heading2"/>
        <w:keepLines/>
        <w:tabs>
          <w:tab w:val="right" w:pos="9026"/>
        </w:tab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t>Estimated PBS usage &amp; financial implications</w:t>
      </w:r>
    </w:p>
    <w:p w:rsidR="00DE0CE7" w:rsidRPr="00DE0CE7" w:rsidRDefault="00DA0F46" w:rsidP="00F927FE">
      <w:pPr>
        <w:pStyle w:val="ListParagraph"/>
        <w:numPr>
          <w:ilvl w:val="1"/>
          <w:numId w:val="2"/>
        </w:numPr>
        <w:spacing w:before="120" w:after="160"/>
        <w:contextualSpacing w:val="0"/>
        <w:jc w:val="both"/>
        <w:rPr>
          <w:rFonts w:asciiTheme="minorHAnsi" w:hAnsiTheme="minorHAnsi"/>
          <w:i/>
        </w:rPr>
      </w:pPr>
      <w:r w:rsidRPr="00DA0F46">
        <w:rPr>
          <w:rFonts w:asciiTheme="minorHAnsi" w:hAnsiTheme="minorHAnsi"/>
        </w:rPr>
        <w:t>The submission</w:t>
      </w:r>
      <w:r>
        <w:rPr>
          <w:rFonts w:asciiTheme="minorHAnsi" w:hAnsiTheme="minorHAnsi"/>
          <w:i/>
        </w:rPr>
        <w:t xml:space="preserve"> </w:t>
      </w:r>
      <w:r w:rsidRPr="00DA0F46">
        <w:rPr>
          <w:rFonts w:asciiTheme="minorHAnsi" w:hAnsiTheme="minorHAnsi"/>
        </w:rPr>
        <w:t>proposed</w:t>
      </w:r>
      <w:r>
        <w:rPr>
          <w:rFonts w:asciiTheme="minorHAnsi" w:hAnsiTheme="minorHAnsi"/>
          <w:i/>
        </w:rPr>
        <w:t xml:space="preserve"> </w:t>
      </w:r>
      <w:r w:rsidRPr="00DA0F46">
        <w:rPr>
          <w:rFonts w:asciiTheme="minorHAnsi" w:hAnsiTheme="minorHAnsi"/>
        </w:rPr>
        <w:t xml:space="preserve">that </w:t>
      </w:r>
      <w:r>
        <w:rPr>
          <w:rFonts w:asciiTheme="minorHAnsi" w:hAnsiTheme="minorHAnsi"/>
        </w:rPr>
        <w:t xml:space="preserve">PKU Start be cost-minimised to PKU </w:t>
      </w:r>
      <w:proofErr w:type="spellStart"/>
      <w:r>
        <w:rPr>
          <w:rFonts w:asciiTheme="minorHAnsi" w:hAnsiTheme="minorHAnsi"/>
        </w:rPr>
        <w:t>Anamix</w:t>
      </w:r>
      <w:proofErr w:type="spellEnd"/>
      <w:r>
        <w:rPr>
          <w:rFonts w:asciiTheme="minorHAnsi" w:hAnsiTheme="minorHAnsi"/>
        </w:rPr>
        <w:t xml:space="preserve"> Infant at an equivalent price per gram of protein equivalent (PE) as PKU </w:t>
      </w:r>
      <w:proofErr w:type="spellStart"/>
      <w:r>
        <w:rPr>
          <w:rFonts w:asciiTheme="minorHAnsi" w:hAnsiTheme="minorHAnsi"/>
        </w:rPr>
        <w:t>Anamix</w:t>
      </w:r>
      <w:proofErr w:type="spellEnd"/>
      <w:r>
        <w:rPr>
          <w:rFonts w:asciiTheme="minorHAnsi" w:hAnsiTheme="minorHAnsi"/>
        </w:rPr>
        <w:t xml:space="preserve"> Infant. The minor submission calculated the AEMP per can to be $80.65 based on the cost of $1.41 per gram of PE.</w:t>
      </w:r>
    </w:p>
    <w:p w:rsidR="00DA0F46" w:rsidRDefault="00DE0CE7" w:rsidP="00F927FE">
      <w:pPr>
        <w:pStyle w:val="ListParagraph"/>
        <w:numPr>
          <w:ilvl w:val="1"/>
          <w:numId w:val="2"/>
        </w:numPr>
        <w:spacing w:before="120" w:after="160"/>
        <w:contextualSpacing w:val="0"/>
        <w:jc w:val="both"/>
        <w:rPr>
          <w:rFonts w:asciiTheme="minorHAnsi" w:hAnsiTheme="minorHAnsi"/>
        </w:rPr>
      </w:pPr>
      <w:r w:rsidRPr="003C7EEA">
        <w:rPr>
          <w:rFonts w:asciiTheme="minorHAnsi" w:hAnsiTheme="minorHAnsi"/>
        </w:rPr>
        <w:t xml:space="preserve">The submission claimed that the listing of PKU Start is expected to be cost neutral to the PBS as it would only replace the utilisation of its comparator, PKU </w:t>
      </w:r>
      <w:proofErr w:type="spellStart"/>
      <w:r w:rsidRPr="003C7EEA">
        <w:rPr>
          <w:rFonts w:asciiTheme="minorHAnsi" w:hAnsiTheme="minorHAnsi"/>
        </w:rPr>
        <w:t>Anamix</w:t>
      </w:r>
      <w:proofErr w:type="spellEnd"/>
      <w:r w:rsidRPr="003C7EEA">
        <w:rPr>
          <w:rFonts w:asciiTheme="minorHAnsi" w:hAnsiTheme="minorHAnsi"/>
        </w:rPr>
        <w:t xml:space="preserve"> Infant. </w:t>
      </w:r>
      <w:r w:rsidR="006933EF" w:rsidRPr="003C7EEA">
        <w:rPr>
          <w:rFonts w:asciiTheme="minorHAnsi" w:hAnsiTheme="minorHAnsi"/>
        </w:rPr>
        <w:t>However, the</w:t>
      </w:r>
      <w:r w:rsidR="0087153B" w:rsidRPr="003C7EEA">
        <w:rPr>
          <w:rFonts w:asciiTheme="minorHAnsi" w:hAnsiTheme="minorHAnsi"/>
        </w:rPr>
        <w:t xml:space="preserve"> </w:t>
      </w:r>
      <w:r w:rsidR="00FA5CBB">
        <w:rPr>
          <w:rFonts w:asciiTheme="minorHAnsi" w:hAnsiTheme="minorHAnsi"/>
        </w:rPr>
        <w:t>Department</w:t>
      </w:r>
      <w:r w:rsidR="001C49BB" w:rsidRPr="003C7EEA">
        <w:rPr>
          <w:rFonts w:asciiTheme="minorHAnsi" w:hAnsiTheme="minorHAnsi"/>
        </w:rPr>
        <w:t xml:space="preserve"> </w:t>
      </w:r>
      <w:r w:rsidR="0087153B" w:rsidRPr="003C7EEA">
        <w:rPr>
          <w:rFonts w:asciiTheme="minorHAnsi" w:hAnsiTheme="minorHAnsi"/>
        </w:rPr>
        <w:t>note</w:t>
      </w:r>
      <w:r w:rsidR="001C49BB">
        <w:rPr>
          <w:rFonts w:asciiTheme="minorHAnsi" w:hAnsiTheme="minorHAnsi"/>
        </w:rPr>
        <w:t>d</w:t>
      </w:r>
      <w:r w:rsidRPr="003C7EEA">
        <w:rPr>
          <w:rFonts w:asciiTheme="minorHAnsi" w:hAnsiTheme="minorHAnsi"/>
        </w:rPr>
        <w:t xml:space="preserve"> that the listing of PKU Start would result in a small cost to the PBS </w:t>
      </w:r>
      <w:r w:rsidR="007C3687" w:rsidRPr="003C7EEA">
        <w:rPr>
          <w:rFonts w:asciiTheme="minorHAnsi" w:hAnsiTheme="minorHAnsi"/>
        </w:rPr>
        <w:t>from direct substitution</w:t>
      </w:r>
      <w:r w:rsidR="0087153B" w:rsidRPr="003C7EEA">
        <w:rPr>
          <w:rFonts w:asciiTheme="minorHAnsi" w:hAnsiTheme="minorHAnsi"/>
        </w:rPr>
        <w:t>,</w:t>
      </w:r>
      <w:r w:rsidR="007C3687" w:rsidRPr="003C7EEA">
        <w:rPr>
          <w:rFonts w:asciiTheme="minorHAnsi" w:hAnsiTheme="minorHAnsi"/>
        </w:rPr>
        <w:t xml:space="preserve"> </w:t>
      </w:r>
      <w:r w:rsidRPr="003C7EEA">
        <w:rPr>
          <w:rFonts w:asciiTheme="minorHAnsi" w:hAnsiTheme="minorHAnsi"/>
        </w:rPr>
        <w:t xml:space="preserve">due to the higher protein content compared with PKU </w:t>
      </w:r>
      <w:proofErr w:type="spellStart"/>
      <w:r w:rsidRPr="003C7EEA">
        <w:rPr>
          <w:rFonts w:asciiTheme="minorHAnsi" w:hAnsiTheme="minorHAnsi"/>
        </w:rPr>
        <w:t>Anamix</w:t>
      </w:r>
      <w:proofErr w:type="spellEnd"/>
      <w:r w:rsidRPr="003C7EEA">
        <w:rPr>
          <w:rFonts w:asciiTheme="minorHAnsi" w:hAnsiTheme="minorHAnsi"/>
        </w:rPr>
        <w:t xml:space="preserve"> Infant.</w:t>
      </w:r>
    </w:p>
    <w:p w:rsidR="00CC3A40" w:rsidRPr="003C7EEA" w:rsidRDefault="00CC3A40" w:rsidP="00CC3A40">
      <w:pPr>
        <w:pStyle w:val="ListParagraph"/>
        <w:spacing w:before="120" w:after="160"/>
        <w:contextualSpacing w:val="0"/>
        <w:jc w:val="both"/>
        <w:rPr>
          <w:rFonts w:asciiTheme="minorHAnsi" w:hAnsiTheme="minorHAnsi"/>
        </w:rPr>
      </w:pPr>
      <w:r w:rsidRPr="00FA5CBB">
        <w:rPr>
          <w:rFonts w:asciiTheme="minorHAnsi" w:hAnsiTheme="minorHAnsi"/>
          <w:i/>
        </w:rPr>
        <w:t>For more detail on PBAC’s view, see section 6 PBAC outcome.</w:t>
      </w:r>
    </w:p>
    <w:p w:rsidR="00E5793E" w:rsidRPr="00A8691F" w:rsidRDefault="00E5793E" w:rsidP="00E5793E">
      <w:pPr>
        <w:pStyle w:val="Heading1"/>
        <w:keepLines/>
        <w:numPr>
          <w:ilvl w:val="0"/>
          <w:numId w:val="2"/>
        </w:numPr>
        <w:spacing w:before="24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 xml:space="preserve">PBAC Outcome </w:t>
      </w:r>
    </w:p>
    <w:p w:rsidR="00441823" w:rsidRDefault="00F94373" w:rsidP="00C80725">
      <w:pPr>
        <w:pStyle w:val="ListParagraph"/>
        <w:numPr>
          <w:ilvl w:val="1"/>
          <w:numId w:val="2"/>
        </w:numPr>
        <w:spacing w:before="120" w:after="120"/>
        <w:contextualSpacing w:val="0"/>
        <w:jc w:val="both"/>
        <w:rPr>
          <w:rFonts w:asciiTheme="minorHAnsi" w:hAnsiTheme="minorHAnsi"/>
        </w:rPr>
      </w:pPr>
      <w:r>
        <w:rPr>
          <w:rFonts w:asciiTheme="minorHAnsi" w:hAnsiTheme="minorHAnsi"/>
        </w:rPr>
        <w:t>The PBAC decided to defer its decision on whether to r</w:t>
      </w:r>
      <w:r w:rsidR="00260F37" w:rsidRPr="004D261E">
        <w:rPr>
          <w:rFonts w:asciiTheme="minorHAnsi" w:hAnsiTheme="minorHAnsi"/>
        </w:rPr>
        <w:t xml:space="preserve">ecommend </w:t>
      </w:r>
      <w:r w:rsidR="00FA5CBB">
        <w:rPr>
          <w:rFonts w:asciiTheme="minorHAnsi" w:hAnsiTheme="minorHAnsi"/>
        </w:rPr>
        <w:t>the</w:t>
      </w:r>
      <w:r>
        <w:rPr>
          <w:rFonts w:asciiTheme="minorHAnsi" w:hAnsiTheme="minorHAnsi"/>
        </w:rPr>
        <w:t xml:space="preserve"> listing of amino acid formula with vitamins, minerals and long chain polysaturated fatty acids, without phenylalanine</w:t>
      </w:r>
      <w:r w:rsidRPr="00F94373">
        <w:rPr>
          <w:rFonts w:asciiTheme="minorHAnsi" w:hAnsiTheme="minorHAnsi"/>
        </w:rPr>
        <w:t xml:space="preserve"> </w:t>
      </w:r>
      <w:r>
        <w:rPr>
          <w:rFonts w:asciiTheme="minorHAnsi" w:hAnsiTheme="minorHAnsi"/>
        </w:rPr>
        <w:t xml:space="preserve">for the dietary management of PKU. The PBAC considered there was a lack of clinical justification for the low iron level of the product </w:t>
      </w:r>
      <w:r w:rsidR="00492BA1">
        <w:rPr>
          <w:rFonts w:asciiTheme="minorHAnsi" w:hAnsiTheme="minorHAnsi"/>
        </w:rPr>
        <w:t xml:space="preserve">in the submission but noted </w:t>
      </w:r>
      <w:r w:rsidR="004365DB">
        <w:rPr>
          <w:rFonts w:asciiTheme="minorHAnsi" w:hAnsiTheme="minorHAnsi"/>
        </w:rPr>
        <w:t xml:space="preserve">that the sponsor provided a </w:t>
      </w:r>
      <w:r w:rsidR="00492BA1">
        <w:rPr>
          <w:rFonts w:asciiTheme="minorHAnsi" w:hAnsiTheme="minorHAnsi"/>
        </w:rPr>
        <w:t xml:space="preserve">pre-PBAC response </w:t>
      </w:r>
      <w:r w:rsidR="004365DB">
        <w:rPr>
          <w:rFonts w:asciiTheme="minorHAnsi" w:hAnsiTheme="minorHAnsi"/>
        </w:rPr>
        <w:t xml:space="preserve">attempting to </w:t>
      </w:r>
      <w:r w:rsidR="004365DB">
        <w:rPr>
          <w:rFonts w:asciiTheme="minorHAnsi" w:hAnsiTheme="minorHAnsi"/>
        </w:rPr>
        <w:lastRenderedPageBreak/>
        <w:t>address this issue</w:t>
      </w:r>
      <w:r w:rsidR="00492BA1">
        <w:rPr>
          <w:rFonts w:asciiTheme="minorHAnsi" w:hAnsiTheme="minorHAnsi"/>
        </w:rPr>
        <w:t xml:space="preserve"> and considered that </w:t>
      </w:r>
      <w:r w:rsidR="00FA5CBB">
        <w:rPr>
          <w:rFonts w:asciiTheme="minorHAnsi" w:hAnsiTheme="minorHAnsi"/>
        </w:rPr>
        <w:t>the response</w:t>
      </w:r>
      <w:r w:rsidR="00492BA1">
        <w:rPr>
          <w:rFonts w:asciiTheme="minorHAnsi" w:hAnsiTheme="minorHAnsi"/>
        </w:rPr>
        <w:t xml:space="preserve"> should be considered by the Nutr</w:t>
      </w:r>
      <w:r w:rsidR="00260F37">
        <w:rPr>
          <w:rFonts w:asciiTheme="minorHAnsi" w:hAnsiTheme="minorHAnsi"/>
        </w:rPr>
        <w:t>i</w:t>
      </w:r>
      <w:r w:rsidR="00492BA1">
        <w:rPr>
          <w:rFonts w:asciiTheme="minorHAnsi" w:hAnsiTheme="minorHAnsi"/>
        </w:rPr>
        <w:t xml:space="preserve">tional Products Working Party (NPWP) </w:t>
      </w:r>
      <w:r w:rsidR="006033C1">
        <w:rPr>
          <w:rFonts w:asciiTheme="minorHAnsi" w:hAnsiTheme="minorHAnsi"/>
        </w:rPr>
        <w:t>before finalising its decision.</w:t>
      </w:r>
    </w:p>
    <w:p w:rsidR="00AA4887" w:rsidRDefault="00AA4887" w:rsidP="00C80725">
      <w:pPr>
        <w:pStyle w:val="ListParagraph"/>
        <w:numPr>
          <w:ilvl w:val="1"/>
          <w:numId w:val="2"/>
        </w:numPr>
        <w:spacing w:before="120" w:after="120"/>
        <w:contextualSpacing w:val="0"/>
        <w:jc w:val="both"/>
        <w:rPr>
          <w:rFonts w:asciiTheme="minorHAnsi" w:hAnsiTheme="minorHAnsi"/>
        </w:rPr>
      </w:pPr>
      <w:r w:rsidRPr="00FA5CBB">
        <w:rPr>
          <w:rFonts w:asciiTheme="minorHAnsi" w:hAnsiTheme="minorHAnsi"/>
        </w:rPr>
        <w:t>The PBAC noted that the product provides only 70% of iron requirements for infants aged 7-12 months.</w:t>
      </w:r>
    </w:p>
    <w:p w:rsidR="00260F37" w:rsidRDefault="00260F37" w:rsidP="00C807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PBAC noted that the NPWP supported the decision of deferral on the listing of the product on the PBS to allow the sponsor to provide further clinical justification on </w:t>
      </w:r>
      <w:r w:rsidR="00B44DB3">
        <w:rPr>
          <w:rFonts w:asciiTheme="minorHAnsi" w:hAnsiTheme="minorHAnsi"/>
        </w:rPr>
        <w:t>the product’s</w:t>
      </w:r>
      <w:r>
        <w:rPr>
          <w:rFonts w:asciiTheme="minorHAnsi" w:hAnsiTheme="minorHAnsi"/>
        </w:rPr>
        <w:t xml:space="preserve"> iron content.</w:t>
      </w:r>
    </w:p>
    <w:p w:rsidR="00AA4887" w:rsidRPr="00E343A7" w:rsidRDefault="00AA4887" w:rsidP="009A0382">
      <w:pPr>
        <w:pStyle w:val="ListParagraph"/>
        <w:numPr>
          <w:ilvl w:val="1"/>
          <w:numId w:val="2"/>
        </w:numPr>
        <w:spacing w:after="120"/>
        <w:contextualSpacing w:val="0"/>
        <w:rPr>
          <w:rFonts w:asciiTheme="minorHAnsi" w:hAnsiTheme="minorHAnsi" w:cs="Arial"/>
          <w:bCs/>
          <w:snapToGrid w:val="0"/>
          <w:lang w:eastAsia="en-US"/>
        </w:rPr>
      </w:pPr>
      <w:r w:rsidRPr="00E343A7">
        <w:rPr>
          <w:rFonts w:asciiTheme="minorHAnsi" w:hAnsiTheme="minorHAnsi" w:cs="Arial"/>
          <w:bCs/>
          <w:snapToGrid w:val="0"/>
          <w:lang w:eastAsia="en-US"/>
        </w:rPr>
        <w:t xml:space="preserve">The PBAC noted the pre-PBAC response from the sponsor and </w:t>
      </w:r>
      <w:r w:rsidR="00DE1655">
        <w:rPr>
          <w:rFonts w:asciiTheme="minorHAnsi" w:hAnsiTheme="minorHAnsi" w:cs="Arial"/>
          <w:bCs/>
          <w:snapToGrid w:val="0"/>
          <w:lang w:eastAsia="en-US"/>
        </w:rPr>
        <w:t>considered that input f</w:t>
      </w:r>
      <w:r w:rsidRPr="00E343A7">
        <w:rPr>
          <w:rFonts w:asciiTheme="minorHAnsi" w:hAnsiTheme="minorHAnsi" w:cs="Arial"/>
          <w:bCs/>
          <w:snapToGrid w:val="0"/>
          <w:lang w:eastAsia="en-US"/>
        </w:rPr>
        <w:t>r</w:t>
      </w:r>
      <w:r w:rsidR="00DE1655">
        <w:rPr>
          <w:rFonts w:asciiTheme="minorHAnsi" w:hAnsiTheme="minorHAnsi" w:cs="Arial"/>
          <w:bCs/>
          <w:snapToGrid w:val="0"/>
          <w:lang w:eastAsia="en-US"/>
        </w:rPr>
        <w:t>o</w:t>
      </w:r>
      <w:r w:rsidRPr="00E343A7">
        <w:rPr>
          <w:rFonts w:asciiTheme="minorHAnsi" w:hAnsiTheme="minorHAnsi" w:cs="Arial"/>
          <w:bCs/>
          <w:snapToGrid w:val="0"/>
          <w:lang w:eastAsia="en-US"/>
        </w:rPr>
        <w:t>m the NPWP was required to assess whether the response adequately justified their claims.</w:t>
      </w:r>
    </w:p>
    <w:p w:rsidR="00AA4887" w:rsidRPr="00E343A7" w:rsidRDefault="00AA4887" w:rsidP="009A0382">
      <w:pPr>
        <w:pStyle w:val="ListParagraph"/>
        <w:numPr>
          <w:ilvl w:val="1"/>
          <w:numId w:val="2"/>
        </w:numPr>
        <w:spacing w:after="120"/>
        <w:contextualSpacing w:val="0"/>
        <w:rPr>
          <w:rFonts w:asciiTheme="minorHAnsi" w:hAnsiTheme="minorHAnsi" w:cs="Arial"/>
          <w:bCs/>
          <w:snapToGrid w:val="0"/>
          <w:lang w:eastAsia="en-US"/>
        </w:rPr>
      </w:pPr>
      <w:r w:rsidRPr="00E343A7">
        <w:rPr>
          <w:rFonts w:asciiTheme="minorHAnsi" w:hAnsiTheme="minorHAnsi" w:cs="Arial"/>
          <w:bCs/>
          <w:snapToGrid w:val="0"/>
          <w:lang w:eastAsia="en-US"/>
        </w:rPr>
        <w:t>The PBAC noted that this submission is not eligible for an Independent Review as it has been deferred for further discussion.</w:t>
      </w:r>
    </w:p>
    <w:p w:rsidR="00516504" w:rsidRPr="00FA5CBB" w:rsidRDefault="00516504" w:rsidP="00516504">
      <w:pPr>
        <w:spacing w:before="240"/>
        <w:jc w:val="both"/>
        <w:rPr>
          <w:rFonts w:asciiTheme="minorHAnsi" w:hAnsiTheme="minorHAnsi" w:cs="Arial"/>
          <w:b/>
          <w:bCs/>
          <w:snapToGrid w:val="0"/>
          <w:lang w:val="en-GB"/>
        </w:rPr>
      </w:pPr>
      <w:r w:rsidRPr="00FA5CBB">
        <w:rPr>
          <w:rFonts w:asciiTheme="minorHAnsi" w:hAnsiTheme="minorHAnsi" w:cs="Arial"/>
          <w:b/>
          <w:bCs/>
          <w:snapToGrid w:val="0"/>
          <w:lang w:val="en-GB"/>
        </w:rPr>
        <w:t>Outcome:</w:t>
      </w:r>
    </w:p>
    <w:p w:rsidR="00516504" w:rsidRPr="00FA5CBB" w:rsidRDefault="003F5A98" w:rsidP="00516504">
      <w:pPr>
        <w:jc w:val="both"/>
        <w:rPr>
          <w:rFonts w:asciiTheme="minorHAnsi" w:hAnsiTheme="minorHAnsi" w:cs="Arial"/>
          <w:bCs/>
          <w:snapToGrid w:val="0"/>
          <w:lang w:val="en-GB"/>
        </w:rPr>
      </w:pPr>
      <w:r w:rsidRPr="00FA5CBB">
        <w:rPr>
          <w:rFonts w:asciiTheme="minorHAnsi" w:hAnsiTheme="minorHAnsi" w:cs="Arial"/>
          <w:bCs/>
          <w:snapToGrid w:val="0"/>
          <w:lang w:val="en-GB"/>
        </w:rPr>
        <w:t>Deferred</w:t>
      </w:r>
    </w:p>
    <w:p w:rsidR="00C20E0F" w:rsidRPr="001A16D5" w:rsidRDefault="00C20E0F" w:rsidP="00C20E0F">
      <w:pPr>
        <w:keepNext/>
        <w:keepLines/>
        <w:numPr>
          <w:ilvl w:val="0"/>
          <w:numId w:val="2"/>
        </w:numPr>
        <w:spacing w:before="240" w:after="120"/>
        <w:ind w:left="709" w:hanging="709"/>
        <w:outlineLvl w:val="0"/>
        <w:rPr>
          <w:rFonts w:ascii="Calibri" w:hAnsi="Calibri"/>
          <w:b/>
          <w:sz w:val="32"/>
          <w:szCs w:val="32"/>
          <w:lang w:eastAsia="en-US"/>
        </w:rPr>
      </w:pPr>
      <w:r w:rsidRPr="001A16D5">
        <w:rPr>
          <w:rFonts w:ascii="Calibri" w:hAnsi="Calibri"/>
          <w:b/>
          <w:sz w:val="32"/>
          <w:szCs w:val="32"/>
          <w:lang w:eastAsia="en-US"/>
        </w:rPr>
        <w:t>Context for Decision</w:t>
      </w:r>
    </w:p>
    <w:p w:rsidR="00C20E0F" w:rsidRPr="001A16D5" w:rsidRDefault="00C20E0F" w:rsidP="00C20E0F">
      <w:pPr>
        <w:spacing w:before="120" w:after="120"/>
        <w:rPr>
          <w:rFonts w:ascii="Calibri" w:eastAsia="Calibri" w:hAnsi="Calibri" w:cs="Arial"/>
          <w:szCs w:val="22"/>
          <w:lang w:eastAsia="en-US"/>
        </w:rPr>
      </w:pPr>
      <w:r w:rsidRPr="001A16D5">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20E0F" w:rsidRPr="00743C99" w:rsidRDefault="00C20E0F" w:rsidP="00C20E0F">
      <w:pPr>
        <w:keepNext/>
        <w:keepLines/>
        <w:numPr>
          <w:ilvl w:val="0"/>
          <w:numId w:val="2"/>
        </w:numPr>
        <w:spacing w:before="240" w:after="120"/>
        <w:ind w:left="709" w:hanging="709"/>
        <w:outlineLvl w:val="0"/>
        <w:rPr>
          <w:rFonts w:ascii="Calibri" w:hAnsi="Calibri"/>
          <w:b/>
          <w:sz w:val="32"/>
          <w:szCs w:val="32"/>
          <w:lang w:eastAsia="en-US"/>
        </w:rPr>
      </w:pPr>
      <w:r w:rsidRPr="001A16D5">
        <w:rPr>
          <w:rFonts w:ascii="Calibri" w:hAnsi="Calibri"/>
          <w:b/>
          <w:sz w:val="32"/>
          <w:szCs w:val="32"/>
          <w:lang w:eastAsia="en-US"/>
        </w:rPr>
        <w:t>Sponsor’s Comment</w:t>
      </w:r>
    </w:p>
    <w:p w:rsidR="006033C1" w:rsidRDefault="00C20E0F" w:rsidP="00611562">
      <w:pPr>
        <w:spacing w:before="120" w:after="160"/>
        <w:jc w:val="both"/>
        <w:rPr>
          <w:rFonts w:ascii="Calibri" w:eastAsia="Calibri" w:hAnsi="Calibri" w:cs="Arial"/>
          <w:snapToGrid w:val="0"/>
          <w:szCs w:val="20"/>
          <w:lang w:eastAsia="en-US"/>
        </w:rPr>
      </w:pPr>
      <w:r w:rsidRPr="001A16D5">
        <w:rPr>
          <w:rFonts w:ascii="Calibri" w:eastAsia="Calibri" w:hAnsi="Calibri" w:cs="Arial"/>
          <w:snapToGrid w:val="0"/>
          <w:szCs w:val="20"/>
          <w:lang w:eastAsia="en-US"/>
        </w:rPr>
        <w:t>The sponsor had no comment</w:t>
      </w:r>
      <w:r w:rsidR="006033C1">
        <w:rPr>
          <w:rFonts w:ascii="Calibri" w:eastAsia="Calibri" w:hAnsi="Calibri" w:cs="Arial"/>
          <w:snapToGrid w:val="0"/>
          <w:szCs w:val="20"/>
          <w:lang w:eastAsia="en-US"/>
        </w:rPr>
        <w:t>.</w:t>
      </w:r>
    </w:p>
    <w:p w:rsidR="00B815C8" w:rsidRPr="00611562" w:rsidRDefault="00B815C8" w:rsidP="00611562">
      <w:pPr>
        <w:spacing w:before="120" w:after="160"/>
        <w:jc w:val="both"/>
        <w:rPr>
          <w:rFonts w:ascii="Calibri" w:eastAsia="Calibri" w:hAnsi="Calibri" w:cs="Arial"/>
          <w:snapToGrid w:val="0"/>
          <w:szCs w:val="20"/>
          <w:lang w:eastAsia="en-US"/>
        </w:rPr>
      </w:pPr>
      <w:r>
        <w:rPr>
          <w:rFonts w:asciiTheme="minorHAnsi" w:hAnsiTheme="minorHAnsi"/>
        </w:rPr>
        <w:br w:type="page"/>
      </w:r>
    </w:p>
    <w:p w:rsidR="00B815C8" w:rsidRPr="008E324F" w:rsidRDefault="00B815C8" w:rsidP="00B815C8">
      <w:pPr>
        <w:widowControl w:val="0"/>
        <w:jc w:val="both"/>
        <w:rPr>
          <w:rFonts w:ascii="Arial" w:hAnsi="Arial" w:cs="Arial"/>
          <w:b/>
          <w:bCs/>
          <w:snapToGrid w:val="0"/>
          <w:sz w:val="22"/>
          <w:szCs w:val="22"/>
        </w:rPr>
      </w:pPr>
      <w:r w:rsidRPr="00C8568D">
        <w:rPr>
          <w:rFonts w:ascii="Arial" w:hAnsi="Arial" w:cs="Arial"/>
          <w:b/>
          <w:bCs/>
          <w:snapToGrid w:val="0"/>
          <w:color w:val="FF0000"/>
          <w:sz w:val="22"/>
          <w:szCs w:val="22"/>
        </w:rPr>
        <w:lastRenderedPageBreak/>
        <w:t>Addendum</w:t>
      </w:r>
      <w:r>
        <w:rPr>
          <w:rFonts w:ascii="Arial" w:hAnsi="Arial" w:cs="Arial"/>
          <w:b/>
          <w:bCs/>
          <w:snapToGrid w:val="0"/>
          <w:color w:val="FF0000"/>
          <w:sz w:val="22"/>
          <w:szCs w:val="22"/>
        </w:rPr>
        <w:t xml:space="preserve"> to the</w:t>
      </w:r>
      <w:r w:rsidRPr="00C8568D">
        <w:rPr>
          <w:rFonts w:ascii="Arial" w:hAnsi="Arial" w:cs="Arial"/>
          <w:b/>
          <w:bCs/>
          <w:snapToGrid w:val="0"/>
          <w:color w:val="FF0000"/>
          <w:sz w:val="22"/>
          <w:szCs w:val="22"/>
        </w:rPr>
        <w:t xml:space="preserve"> </w:t>
      </w:r>
      <w:r>
        <w:rPr>
          <w:rFonts w:ascii="Arial" w:hAnsi="Arial" w:cs="Arial"/>
          <w:b/>
          <w:bCs/>
          <w:snapToGrid w:val="0"/>
          <w:color w:val="FF0000"/>
          <w:sz w:val="22"/>
          <w:szCs w:val="22"/>
        </w:rPr>
        <w:t xml:space="preserve">November </w:t>
      </w:r>
      <w:r w:rsidRPr="00C8568D">
        <w:rPr>
          <w:rFonts w:ascii="Arial" w:hAnsi="Arial" w:cs="Arial"/>
          <w:b/>
          <w:bCs/>
          <w:snapToGrid w:val="0"/>
          <w:color w:val="FF0000"/>
          <w:sz w:val="22"/>
          <w:szCs w:val="22"/>
        </w:rPr>
        <w:t>201</w:t>
      </w:r>
      <w:r>
        <w:rPr>
          <w:rFonts w:ascii="Arial" w:hAnsi="Arial" w:cs="Arial"/>
          <w:b/>
          <w:bCs/>
          <w:snapToGrid w:val="0"/>
          <w:color w:val="FF0000"/>
          <w:sz w:val="22"/>
          <w:szCs w:val="22"/>
        </w:rPr>
        <w:t>7</w:t>
      </w:r>
      <w:r w:rsidRPr="00C8568D">
        <w:rPr>
          <w:rFonts w:ascii="Arial" w:hAnsi="Arial" w:cs="Arial"/>
          <w:b/>
          <w:bCs/>
          <w:snapToGrid w:val="0"/>
          <w:color w:val="FF0000"/>
          <w:sz w:val="22"/>
          <w:szCs w:val="22"/>
        </w:rPr>
        <w:t xml:space="preserve"> PBAC Minutes:</w:t>
      </w:r>
    </w:p>
    <w:p w:rsidR="00671A32" w:rsidRDefault="00671A32" w:rsidP="00F64CC1">
      <w:pPr>
        <w:jc w:val="both"/>
        <w:rPr>
          <w:rFonts w:asciiTheme="minorHAnsi" w:hAnsiTheme="minorHAnsi"/>
        </w:rPr>
      </w:pPr>
    </w:p>
    <w:p w:rsidR="00B815C8" w:rsidRDefault="00B815C8" w:rsidP="00B815C8">
      <w:pPr>
        <w:pStyle w:val="Title"/>
        <w:spacing w:before="120" w:after="160"/>
        <w:ind w:left="851" w:hanging="851"/>
        <w:rPr>
          <w:rFonts w:asciiTheme="minorHAnsi" w:hAnsiTheme="minorHAnsi"/>
          <w:sz w:val="36"/>
          <w:szCs w:val="36"/>
        </w:rPr>
      </w:pPr>
      <w:r>
        <w:rPr>
          <w:rFonts w:asciiTheme="minorHAnsi" w:hAnsiTheme="minorHAnsi"/>
          <w:sz w:val="36"/>
          <w:szCs w:val="36"/>
        </w:rPr>
        <w:t>4.01</w:t>
      </w:r>
      <w:r>
        <w:rPr>
          <w:rFonts w:asciiTheme="minorHAnsi" w:hAnsiTheme="minorHAnsi"/>
          <w:sz w:val="36"/>
          <w:szCs w:val="36"/>
        </w:rPr>
        <w:tab/>
        <w:t>AMINO ACID FORMULA WITH VITAMINS, MINERALS AND LONG CHAIN POLYUNSATURATED FATTY ACIDS, WITHOUT PHENYLALANINE</w:t>
      </w:r>
      <w:r w:rsidRPr="00AC4AA5">
        <w:rPr>
          <w:rFonts w:asciiTheme="minorHAnsi" w:hAnsiTheme="minorHAnsi"/>
          <w:sz w:val="36"/>
          <w:szCs w:val="36"/>
        </w:rPr>
        <w:br/>
      </w:r>
      <w:r>
        <w:rPr>
          <w:rFonts w:asciiTheme="minorHAnsi" w:hAnsiTheme="minorHAnsi"/>
          <w:sz w:val="36"/>
          <w:szCs w:val="36"/>
        </w:rPr>
        <w:t>Oral powder</w:t>
      </w:r>
      <w:r w:rsidRPr="00AC4AA5">
        <w:rPr>
          <w:rFonts w:asciiTheme="minorHAnsi" w:hAnsiTheme="minorHAnsi"/>
          <w:sz w:val="36"/>
          <w:szCs w:val="36"/>
        </w:rPr>
        <w:t xml:space="preserve"> </w:t>
      </w:r>
      <w:r>
        <w:rPr>
          <w:rFonts w:asciiTheme="minorHAnsi" w:hAnsiTheme="minorHAnsi"/>
          <w:sz w:val="36"/>
          <w:szCs w:val="36"/>
        </w:rPr>
        <w:t xml:space="preserve">400 g </w:t>
      </w:r>
      <w:r w:rsidRPr="00AC4AA5">
        <w:rPr>
          <w:rFonts w:asciiTheme="minorHAnsi" w:hAnsiTheme="minorHAnsi"/>
          <w:sz w:val="36"/>
          <w:szCs w:val="36"/>
        </w:rPr>
        <w:t>(</w:t>
      </w:r>
      <w:r>
        <w:rPr>
          <w:rFonts w:asciiTheme="minorHAnsi" w:hAnsiTheme="minorHAnsi"/>
          <w:sz w:val="36"/>
          <w:szCs w:val="36"/>
        </w:rPr>
        <w:t>PKU Start</w:t>
      </w:r>
      <w:r w:rsidRPr="00AC4AA5">
        <w:rPr>
          <w:rFonts w:asciiTheme="minorHAnsi" w:hAnsiTheme="minorHAnsi"/>
          <w:sz w:val="36"/>
          <w:szCs w:val="36"/>
        </w:rPr>
        <w:t>)</w:t>
      </w:r>
      <w:proofErr w:type="gramStart"/>
      <w:r w:rsidRPr="00AC4AA5">
        <w:rPr>
          <w:rFonts w:asciiTheme="minorHAnsi" w:hAnsiTheme="minorHAnsi"/>
          <w:sz w:val="36"/>
          <w:szCs w:val="36"/>
        </w:rPr>
        <w:t>,</w:t>
      </w:r>
      <w:proofErr w:type="gramEnd"/>
      <w:r w:rsidRPr="00AC4AA5">
        <w:rPr>
          <w:rFonts w:asciiTheme="minorHAnsi" w:hAnsiTheme="minorHAnsi"/>
          <w:b w:val="0"/>
          <w:sz w:val="36"/>
          <w:szCs w:val="36"/>
        </w:rPr>
        <w:br/>
      </w:r>
      <w:r>
        <w:rPr>
          <w:rFonts w:asciiTheme="minorHAnsi" w:hAnsiTheme="minorHAnsi"/>
          <w:sz w:val="36"/>
          <w:szCs w:val="36"/>
        </w:rPr>
        <w:t>PKU Start</w:t>
      </w:r>
      <w:r w:rsidRPr="00AC4AA5">
        <w:rPr>
          <w:rFonts w:asciiTheme="minorHAnsi" w:hAnsiTheme="minorHAnsi"/>
          <w:sz w:val="36"/>
          <w:szCs w:val="36"/>
          <w:vertAlign w:val="superscript"/>
        </w:rPr>
        <w:t>®</w:t>
      </w:r>
      <w:r w:rsidRPr="00AC4AA5">
        <w:rPr>
          <w:rFonts w:asciiTheme="minorHAnsi" w:hAnsiTheme="minorHAnsi"/>
          <w:sz w:val="36"/>
          <w:szCs w:val="36"/>
        </w:rPr>
        <w:t xml:space="preserve">, </w:t>
      </w:r>
      <w:r>
        <w:rPr>
          <w:rFonts w:asciiTheme="minorHAnsi" w:hAnsiTheme="minorHAnsi"/>
          <w:sz w:val="36"/>
          <w:szCs w:val="36"/>
        </w:rPr>
        <w:t>Vitaflo Australia Pty Ltd</w:t>
      </w:r>
    </w:p>
    <w:p w:rsidR="00E16357" w:rsidRPr="009C6D00" w:rsidRDefault="00E16357" w:rsidP="00E16357">
      <w:pPr>
        <w:pStyle w:val="Heading1"/>
        <w:keepLines/>
        <w:numPr>
          <w:ilvl w:val="0"/>
          <w:numId w:val="31"/>
        </w:numPr>
        <w:spacing w:before="400" w:after="120"/>
        <w:contextualSpacing w:val="0"/>
        <w:rPr>
          <w:rFonts w:asciiTheme="minorHAnsi" w:eastAsiaTheme="majorEastAsia" w:hAnsiTheme="minorHAnsi" w:cstheme="majorBidi"/>
          <w:sz w:val="32"/>
          <w:szCs w:val="28"/>
          <w:lang w:eastAsia="en-US"/>
        </w:rPr>
      </w:pPr>
      <w:r w:rsidRPr="008C50E4">
        <w:rPr>
          <w:rFonts w:asciiTheme="minorHAnsi" w:eastAsiaTheme="majorEastAsia" w:hAnsiTheme="minorHAnsi" w:cstheme="majorBidi"/>
          <w:sz w:val="32"/>
          <w:szCs w:val="28"/>
          <w:lang w:eastAsia="en-US"/>
        </w:rPr>
        <w:t>Background</w:t>
      </w:r>
    </w:p>
    <w:p w:rsidR="00B815C8" w:rsidRDefault="00B815C8" w:rsidP="00B815C8">
      <w:pPr>
        <w:rPr>
          <w:rFonts w:ascii="Calibri" w:hAnsi="Calibri" w:cs="Calibri"/>
        </w:rPr>
      </w:pPr>
      <w:r w:rsidRPr="00C8568D">
        <w:rPr>
          <w:rFonts w:asciiTheme="minorHAnsi" w:hAnsiTheme="minorHAnsi"/>
        </w:rPr>
        <w:t xml:space="preserve">At the </w:t>
      </w:r>
      <w:r>
        <w:rPr>
          <w:rFonts w:asciiTheme="minorHAnsi" w:hAnsiTheme="minorHAnsi"/>
        </w:rPr>
        <w:t>November 2017</w:t>
      </w:r>
      <w:r w:rsidRPr="00C8568D">
        <w:rPr>
          <w:rFonts w:asciiTheme="minorHAnsi" w:hAnsiTheme="minorHAnsi"/>
        </w:rPr>
        <w:t xml:space="preserve"> PBAC meeting, </w:t>
      </w:r>
      <w:r>
        <w:rPr>
          <w:rFonts w:asciiTheme="minorHAnsi" w:hAnsiTheme="minorHAnsi" w:cs="Arial"/>
          <w:bCs/>
          <w:snapToGrid w:val="0"/>
          <w:lang w:eastAsia="en-US"/>
        </w:rPr>
        <w:t>t</w:t>
      </w:r>
      <w:r w:rsidRPr="00E343A7">
        <w:rPr>
          <w:rFonts w:asciiTheme="minorHAnsi" w:hAnsiTheme="minorHAnsi" w:cs="Arial"/>
          <w:bCs/>
          <w:snapToGrid w:val="0"/>
          <w:lang w:eastAsia="en-US"/>
        </w:rPr>
        <w:t>he PBAC</w:t>
      </w:r>
      <w:r>
        <w:rPr>
          <w:rFonts w:asciiTheme="minorHAnsi" w:hAnsiTheme="minorHAnsi" w:cs="Arial"/>
          <w:bCs/>
          <w:snapToGrid w:val="0"/>
          <w:lang w:eastAsia="en-US"/>
        </w:rPr>
        <w:t xml:space="preserve"> noted the NPWP advice and</w:t>
      </w:r>
      <w:r w:rsidRPr="00E343A7">
        <w:rPr>
          <w:rFonts w:asciiTheme="minorHAnsi" w:hAnsiTheme="minorHAnsi" w:cs="Arial"/>
          <w:bCs/>
          <w:snapToGrid w:val="0"/>
          <w:lang w:eastAsia="en-US"/>
        </w:rPr>
        <w:t xml:space="preserve"> considered </w:t>
      </w:r>
      <w:r w:rsidR="005736F0">
        <w:rPr>
          <w:rFonts w:asciiTheme="minorHAnsi" w:hAnsiTheme="minorHAnsi" w:cs="Arial"/>
          <w:bCs/>
          <w:snapToGrid w:val="0"/>
          <w:lang w:eastAsia="en-US"/>
        </w:rPr>
        <w:t xml:space="preserve">that </w:t>
      </w:r>
      <w:r w:rsidRPr="00E343A7">
        <w:rPr>
          <w:rFonts w:asciiTheme="minorHAnsi" w:hAnsiTheme="minorHAnsi" w:cs="Arial"/>
          <w:bCs/>
          <w:snapToGrid w:val="0"/>
          <w:lang w:eastAsia="en-US"/>
        </w:rPr>
        <w:t xml:space="preserve">there was a lack of clinical </w:t>
      </w:r>
      <w:r>
        <w:rPr>
          <w:rFonts w:asciiTheme="minorHAnsi" w:hAnsiTheme="minorHAnsi" w:cs="Arial"/>
          <w:bCs/>
          <w:snapToGrid w:val="0"/>
          <w:lang w:eastAsia="en-US"/>
        </w:rPr>
        <w:t xml:space="preserve">justification for the low iron level in PKU Start. However, the committee </w:t>
      </w:r>
      <w:r w:rsidRPr="00E343A7">
        <w:rPr>
          <w:rFonts w:asciiTheme="minorHAnsi" w:hAnsiTheme="minorHAnsi" w:cs="Arial"/>
          <w:bCs/>
          <w:snapToGrid w:val="0"/>
          <w:lang w:eastAsia="en-US"/>
        </w:rPr>
        <w:t xml:space="preserve">noted the pre-PBAC response from the sponsor and </w:t>
      </w:r>
      <w:r>
        <w:rPr>
          <w:rFonts w:asciiTheme="minorHAnsi" w:hAnsiTheme="minorHAnsi" w:cs="Arial"/>
          <w:bCs/>
          <w:snapToGrid w:val="0"/>
          <w:lang w:eastAsia="en-US"/>
        </w:rPr>
        <w:t xml:space="preserve">decided to defer their decision </w:t>
      </w:r>
      <w:r>
        <w:rPr>
          <w:rFonts w:ascii="Calibri" w:hAnsi="Calibri" w:cs="Calibri"/>
        </w:rPr>
        <w:t>on PKU Start to allow for consideration of the pre-PBAC response by the NPWP.</w:t>
      </w:r>
    </w:p>
    <w:p w:rsidR="008D6744" w:rsidRPr="00525B39" w:rsidRDefault="008D6744" w:rsidP="008D6744">
      <w:pPr>
        <w:widowControl w:val="0"/>
        <w:spacing w:before="24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Sponsor hearing</w:t>
      </w:r>
    </w:p>
    <w:p w:rsidR="008D6744" w:rsidRPr="00525B39" w:rsidRDefault="008D6744" w:rsidP="00E16357">
      <w:pPr>
        <w:widowControl w:val="0"/>
        <w:numPr>
          <w:ilvl w:val="1"/>
          <w:numId w:val="31"/>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 as it was a minor sub</w:t>
      </w:r>
      <w:r w:rsidR="00E66AAD">
        <w:rPr>
          <w:rFonts w:asciiTheme="minorHAnsi" w:hAnsiTheme="minorHAnsi" w:cs="Arial"/>
          <w:bCs/>
          <w:snapToGrid w:val="0"/>
        </w:rPr>
        <w:t>mission.</w:t>
      </w:r>
    </w:p>
    <w:p w:rsidR="008D6744" w:rsidRPr="00525B39" w:rsidRDefault="008D6744" w:rsidP="008D6744">
      <w:pPr>
        <w:widowControl w:val="0"/>
        <w:spacing w:before="24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8D6744" w:rsidRPr="00525B39" w:rsidRDefault="008D6744" w:rsidP="00E16357">
      <w:pPr>
        <w:widowControl w:val="0"/>
        <w:numPr>
          <w:ilvl w:val="1"/>
          <w:numId w:val="31"/>
        </w:numPr>
        <w:spacing w:after="120"/>
        <w:jc w:val="both"/>
        <w:rPr>
          <w:rFonts w:asciiTheme="minorHAnsi" w:hAnsiTheme="minorHAnsi" w:cs="Arial"/>
          <w:bCs/>
          <w:snapToGrid w:val="0"/>
        </w:rPr>
      </w:pPr>
      <w:r w:rsidRPr="00525B39">
        <w:rPr>
          <w:rFonts w:asciiTheme="minorHAnsi" w:hAnsiTheme="minorHAnsi" w:cs="Arial"/>
          <w:bCs/>
          <w:snapToGrid w:val="0"/>
        </w:rPr>
        <w:t>The PBAC noted that no consumer comments were received for this item.</w:t>
      </w:r>
    </w:p>
    <w:p w:rsidR="00E16357" w:rsidRPr="008C50E4" w:rsidRDefault="00E16357" w:rsidP="00DD531F">
      <w:pPr>
        <w:pStyle w:val="Heading1"/>
        <w:keepLines/>
        <w:numPr>
          <w:ilvl w:val="0"/>
          <w:numId w:val="31"/>
        </w:numPr>
        <w:spacing w:before="40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p>
    <w:p w:rsidR="00DD531F" w:rsidRDefault="00E16357" w:rsidP="00DD531F">
      <w:pPr>
        <w:pStyle w:val="ListParagraph"/>
        <w:numPr>
          <w:ilvl w:val="1"/>
          <w:numId w:val="31"/>
        </w:numPr>
        <w:spacing w:after="120"/>
        <w:contextualSpacing w:val="0"/>
        <w:jc w:val="both"/>
        <w:rPr>
          <w:rFonts w:ascii="Calibri" w:hAnsi="Calibri" w:cs="Calibri"/>
        </w:rPr>
      </w:pPr>
      <w:r>
        <w:rPr>
          <w:rFonts w:asciiTheme="minorHAnsi" w:eastAsiaTheme="minorHAnsi" w:hAnsiTheme="minorHAnsi" w:cstheme="minorBidi"/>
          <w:lang w:eastAsia="en-US"/>
        </w:rPr>
        <w:t xml:space="preserve">The Nutritional Products Working Party (NPWP) </w:t>
      </w:r>
      <w:r w:rsidRPr="00F84193">
        <w:rPr>
          <w:rFonts w:ascii="Calibri" w:hAnsi="Calibri" w:cs="Calibri"/>
        </w:rPr>
        <w:t xml:space="preserve">noted that the </w:t>
      </w:r>
      <w:r>
        <w:rPr>
          <w:rFonts w:ascii="Calibri" w:hAnsi="Calibri" w:cs="Calibri"/>
        </w:rPr>
        <w:t xml:space="preserve">pre-PBAC response </w:t>
      </w:r>
      <w:r w:rsidR="00DD531F">
        <w:rPr>
          <w:rFonts w:ascii="Calibri" w:hAnsi="Calibri" w:cs="Calibri"/>
        </w:rPr>
        <w:t>from the November 2017 PBAC meeting. In the response, the NPWP noted</w:t>
      </w:r>
      <w:r w:rsidR="00DD531F" w:rsidRPr="00DD531F">
        <w:rPr>
          <w:rFonts w:ascii="Calibri" w:hAnsi="Calibri" w:cs="Calibri"/>
        </w:rPr>
        <w:t xml:space="preserve"> that PKU Baby®, as one of the appropriate comparators contains the same level of iron as PKU Start®. </w:t>
      </w:r>
    </w:p>
    <w:p w:rsidR="00DD531F" w:rsidRPr="00A91974" w:rsidRDefault="00DD531F" w:rsidP="00A91974">
      <w:pPr>
        <w:pStyle w:val="ListParagraph"/>
        <w:numPr>
          <w:ilvl w:val="1"/>
          <w:numId w:val="31"/>
        </w:numPr>
        <w:spacing w:after="120"/>
        <w:contextualSpacing w:val="0"/>
        <w:jc w:val="both"/>
        <w:rPr>
          <w:rFonts w:asciiTheme="minorHAnsi" w:eastAsiaTheme="minorHAnsi" w:hAnsiTheme="minorHAnsi" w:cstheme="minorBidi"/>
          <w:lang w:eastAsia="en-US"/>
        </w:rPr>
      </w:pPr>
      <w:r w:rsidRPr="00A91974">
        <w:rPr>
          <w:rFonts w:asciiTheme="minorHAnsi" w:eastAsiaTheme="minorHAnsi" w:hAnsiTheme="minorHAnsi" w:cstheme="minorBidi"/>
          <w:lang w:eastAsia="en-US"/>
        </w:rPr>
        <w:t>During its consideration, the NPWP noted the low iron level in both PKU Baby® and PKU Start®. The NPWP also acknowledged the limited options of PKU products for infants in the Australian market.</w:t>
      </w:r>
    </w:p>
    <w:p w:rsidR="00DD531F" w:rsidRPr="00A91974" w:rsidRDefault="00DD531F" w:rsidP="00A91974">
      <w:pPr>
        <w:pStyle w:val="ListParagraph"/>
        <w:numPr>
          <w:ilvl w:val="1"/>
          <w:numId w:val="31"/>
        </w:numPr>
        <w:spacing w:after="120"/>
        <w:contextualSpacing w:val="0"/>
        <w:jc w:val="both"/>
        <w:rPr>
          <w:rFonts w:asciiTheme="minorHAnsi" w:eastAsiaTheme="minorHAnsi" w:hAnsiTheme="minorHAnsi" w:cstheme="minorBidi"/>
          <w:lang w:eastAsia="en-US"/>
        </w:rPr>
      </w:pPr>
      <w:r w:rsidRPr="00DD531F">
        <w:rPr>
          <w:rFonts w:asciiTheme="minorHAnsi" w:eastAsiaTheme="minorHAnsi" w:hAnsiTheme="minorHAnsi" w:cstheme="minorBidi"/>
          <w:lang w:eastAsia="en-US"/>
        </w:rPr>
        <w:t xml:space="preserve">The NPWP </w:t>
      </w:r>
      <w:r w:rsidRPr="00A91974">
        <w:rPr>
          <w:rFonts w:asciiTheme="minorHAnsi" w:eastAsiaTheme="minorHAnsi" w:hAnsiTheme="minorHAnsi" w:cstheme="minorBidi"/>
          <w:lang w:eastAsia="en-US"/>
        </w:rPr>
        <w:t xml:space="preserve">supported the Restricted Benefit listing of PKU Start®, </w:t>
      </w:r>
      <w:r w:rsidR="00083CED">
        <w:rPr>
          <w:rFonts w:asciiTheme="minorHAnsi" w:eastAsiaTheme="minorHAnsi" w:hAnsiTheme="minorHAnsi" w:cstheme="minorBidi"/>
          <w:lang w:eastAsia="en-US"/>
        </w:rPr>
        <w:t xml:space="preserve">on the basis of a similar level of iron in the listed comparator, </w:t>
      </w:r>
      <w:r w:rsidRPr="00A91974">
        <w:rPr>
          <w:rFonts w:asciiTheme="minorHAnsi" w:eastAsiaTheme="minorHAnsi" w:hAnsiTheme="minorHAnsi" w:cstheme="minorBidi"/>
          <w:lang w:eastAsia="en-US"/>
        </w:rPr>
        <w:t>but remained concerned at the insufficient level of iron in both PKU Start® and PKU Baby®. The NPWP advised that the Department should write to the relevant professional organisation (i.e. the Australian Society for Inborn Errors of Metabolism) and provide appropriate information on the need to provide another source of iron to infants prescribed both PKU Baby® and PKU Start®. If listing is recommendation at the March 2018 PBAC meeting, the NPWP also suggested that an additional note should be included in the Administrative Advice to advise relevant prescribers that PKU Start® contains sub-</w:t>
      </w:r>
      <w:r w:rsidRPr="00A91974">
        <w:rPr>
          <w:rFonts w:asciiTheme="minorHAnsi" w:eastAsiaTheme="minorHAnsi" w:hAnsiTheme="minorHAnsi" w:cstheme="minorBidi"/>
          <w:lang w:eastAsia="en-US"/>
        </w:rPr>
        <w:lastRenderedPageBreak/>
        <w:t>optimal iron for infants aged 7-12 months and that this should also flow on to the</w:t>
      </w:r>
      <w:r w:rsidR="006033C1">
        <w:rPr>
          <w:rFonts w:asciiTheme="minorHAnsi" w:eastAsiaTheme="minorHAnsi" w:hAnsiTheme="minorHAnsi" w:cstheme="minorBidi"/>
          <w:lang w:eastAsia="en-US"/>
        </w:rPr>
        <w:t xml:space="preserve"> current listing for PKU Baby®.</w:t>
      </w:r>
    </w:p>
    <w:p w:rsidR="008D6744" w:rsidRPr="003A7A08" w:rsidRDefault="008D6744" w:rsidP="003A7A08">
      <w:pPr>
        <w:pStyle w:val="Heading1"/>
        <w:keepLines/>
        <w:numPr>
          <w:ilvl w:val="0"/>
          <w:numId w:val="31"/>
        </w:numPr>
        <w:spacing w:before="400" w:after="120"/>
        <w:contextualSpacing w:val="0"/>
        <w:rPr>
          <w:rFonts w:asciiTheme="minorHAnsi" w:eastAsiaTheme="majorEastAsia" w:hAnsiTheme="minorHAnsi" w:cstheme="majorBidi"/>
          <w:sz w:val="32"/>
          <w:szCs w:val="28"/>
          <w:lang w:eastAsia="en-US"/>
        </w:rPr>
      </w:pPr>
      <w:r w:rsidRPr="003A7A08">
        <w:rPr>
          <w:rFonts w:asciiTheme="minorHAnsi" w:eastAsiaTheme="majorEastAsia" w:hAnsiTheme="minorHAnsi" w:cstheme="majorBidi"/>
          <w:sz w:val="32"/>
          <w:szCs w:val="28"/>
          <w:lang w:eastAsia="en-US"/>
        </w:rPr>
        <w:t>PBAC Outcome</w:t>
      </w:r>
    </w:p>
    <w:p w:rsidR="00E66AAD" w:rsidRDefault="00E66AAD" w:rsidP="00083CED">
      <w:pPr>
        <w:pStyle w:val="ListParagraph"/>
        <w:numPr>
          <w:ilvl w:val="1"/>
          <w:numId w:val="31"/>
        </w:numPr>
        <w:spacing w:before="120" w:after="120"/>
        <w:contextualSpacing w:val="0"/>
        <w:jc w:val="both"/>
        <w:rPr>
          <w:rFonts w:asciiTheme="minorHAnsi" w:hAnsiTheme="minorHAnsi"/>
        </w:rPr>
      </w:pPr>
      <w:r>
        <w:rPr>
          <w:rFonts w:asciiTheme="minorHAnsi" w:hAnsiTheme="minorHAnsi"/>
        </w:rPr>
        <w:t>The PBAC decided to defer its decision on whether to r</w:t>
      </w:r>
      <w:r w:rsidRPr="004D261E">
        <w:rPr>
          <w:rFonts w:asciiTheme="minorHAnsi" w:hAnsiTheme="minorHAnsi"/>
        </w:rPr>
        <w:t xml:space="preserve">ecommend </w:t>
      </w:r>
      <w:r>
        <w:rPr>
          <w:rFonts w:asciiTheme="minorHAnsi" w:hAnsiTheme="minorHAnsi"/>
        </w:rPr>
        <w:t>the listing of amino acid formula with vitamins, minerals and long chain polysaturated fatty acids, without phenylalanine</w:t>
      </w:r>
      <w:r w:rsidRPr="00F94373">
        <w:rPr>
          <w:rFonts w:asciiTheme="minorHAnsi" w:hAnsiTheme="minorHAnsi"/>
        </w:rPr>
        <w:t xml:space="preserve"> </w:t>
      </w:r>
      <w:r>
        <w:rPr>
          <w:rFonts w:asciiTheme="minorHAnsi" w:hAnsiTheme="minorHAnsi"/>
        </w:rPr>
        <w:t xml:space="preserve">for the dietary management of </w:t>
      </w:r>
      <w:r w:rsidR="00083CED" w:rsidRPr="00083CED">
        <w:rPr>
          <w:rFonts w:asciiTheme="minorHAnsi" w:hAnsiTheme="minorHAnsi"/>
        </w:rPr>
        <w:t xml:space="preserve">Phenylketonuria </w:t>
      </w:r>
      <w:r w:rsidR="00083CED">
        <w:rPr>
          <w:rFonts w:asciiTheme="minorHAnsi" w:hAnsiTheme="minorHAnsi"/>
        </w:rPr>
        <w:t>(</w:t>
      </w:r>
      <w:r>
        <w:rPr>
          <w:rFonts w:asciiTheme="minorHAnsi" w:hAnsiTheme="minorHAnsi"/>
        </w:rPr>
        <w:t>PKU</w:t>
      </w:r>
      <w:r w:rsidR="00083CED">
        <w:rPr>
          <w:rFonts w:asciiTheme="minorHAnsi" w:hAnsiTheme="minorHAnsi"/>
        </w:rPr>
        <w:t>)</w:t>
      </w:r>
      <w:r w:rsidR="000C0833">
        <w:rPr>
          <w:rFonts w:asciiTheme="minorHAnsi" w:hAnsiTheme="minorHAnsi"/>
        </w:rPr>
        <w:t xml:space="preserve"> due to the </w:t>
      </w:r>
      <w:r w:rsidR="00E16357">
        <w:rPr>
          <w:rFonts w:asciiTheme="minorHAnsi" w:hAnsiTheme="minorHAnsi"/>
        </w:rPr>
        <w:t xml:space="preserve">concerns </w:t>
      </w:r>
      <w:r w:rsidR="00BC36B0">
        <w:rPr>
          <w:rFonts w:asciiTheme="minorHAnsi" w:hAnsiTheme="minorHAnsi"/>
        </w:rPr>
        <w:t>on the insufficient iron level</w:t>
      </w:r>
      <w:r w:rsidR="00E16357">
        <w:rPr>
          <w:rFonts w:asciiTheme="minorHAnsi" w:hAnsiTheme="minorHAnsi"/>
        </w:rPr>
        <w:t>. The PBAC request</w:t>
      </w:r>
      <w:r w:rsidR="004D287D">
        <w:rPr>
          <w:rFonts w:asciiTheme="minorHAnsi" w:hAnsiTheme="minorHAnsi"/>
        </w:rPr>
        <w:t>ed advice from the Austra</w:t>
      </w:r>
      <w:r w:rsidR="00E16357">
        <w:rPr>
          <w:rFonts w:asciiTheme="minorHAnsi" w:hAnsiTheme="minorHAnsi"/>
        </w:rPr>
        <w:t>lasian</w:t>
      </w:r>
      <w:r w:rsidR="004D287D">
        <w:rPr>
          <w:rFonts w:asciiTheme="minorHAnsi" w:hAnsiTheme="minorHAnsi"/>
        </w:rPr>
        <w:t xml:space="preserve"> Society </w:t>
      </w:r>
      <w:r w:rsidR="00E16357">
        <w:rPr>
          <w:rFonts w:asciiTheme="minorHAnsi" w:hAnsiTheme="minorHAnsi"/>
        </w:rPr>
        <w:t>for Inborn Errors of Metabolism regarding the clinical need for the requested listing. Th</w:t>
      </w:r>
      <w:r w:rsidR="00083CED">
        <w:rPr>
          <w:rFonts w:asciiTheme="minorHAnsi" w:hAnsiTheme="minorHAnsi"/>
        </w:rPr>
        <w:t>e PBAC considered that this</w:t>
      </w:r>
      <w:r w:rsidR="00E16357">
        <w:rPr>
          <w:rFonts w:asciiTheme="minorHAnsi" w:hAnsiTheme="minorHAnsi"/>
        </w:rPr>
        <w:t xml:space="preserve"> advice should be considered by the Nutritional Products Working Party (NPWP) </w:t>
      </w:r>
      <w:r w:rsidR="00BC36B0">
        <w:rPr>
          <w:rFonts w:asciiTheme="minorHAnsi" w:hAnsiTheme="minorHAnsi"/>
        </w:rPr>
        <w:t xml:space="preserve">prior to the PBAC </w:t>
      </w:r>
      <w:r w:rsidR="00E16357">
        <w:rPr>
          <w:rFonts w:asciiTheme="minorHAnsi" w:hAnsiTheme="minorHAnsi"/>
        </w:rPr>
        <w:t>finalising its decision.</w:t>
      </w:r>
    </w:p>
    <w:p w:rsidR="00E66AAD" w:rsidRDefault="00E66AAD" w:rsidP="00BC36B0">
      <w:pPr>
        <w:pStyle w:val="ListParagraph"/>
        <w:numPr>
          <w:ilvl w:val="1"/>
          <w:numId w:val="31"/>
        </w:numPr>
        <w:spacing w:before="120" w:after="120"/>
        <w:contextualSpacing w:val="0"/>
        <w:jc w:val="both"/>
        <w:rPr>
          <w:rFonts w:asciiTheme="minorHAnsi" w:hAnsiTheme="minorHAnsi"/>
        </w:rPr>
      </w:pPr>
      <w:r>
        <w:rPr>
          <w:rFonts w:asciiTheme="minorHAnsi" w:hAnsiTheme="minorHAnsi"/>
        </w:rPr>
        <w:t xml:space="preserve">The PBAC noted that the Nutritional Products Working Party (NPWP) considered the pre-PBAC response from the sponsor </w:t>
      </w:r>
      <w:r w:rsidR="00083CED">
        <w:rPr>
          <w:rFonts w:asciiTheme="minorHAnsi" w:hAnsiTheme="minorHAnsi"/>
        </w:rPr>
        <w:t>for</w:t>
      </w:r>
      <w:r w:rsidR="00BC36B0">
        <w:rPr>
          <w:rFonts w:asciiTheme="minorHAnsi" w:hAnsiTheme="minorHAnsi"/>
        </w:rPr>
        <w:t xml:space="preserve"> the</w:t>
      </w:r>
      <w:r>
        <w:rPr>
          <w:rFonts w:asciiTheme="minorHAnsi" w:hAnsiTheme="minorHAnsi"/>
        </w:rPr>
        <w:t xml:space="preserve"> November 2017 meeting</w:t>
      </w:r>
      <w:r w:rsidR="00083CED">
        <w:rPr>
          <w:rFonts w:asciiTheme="minorHAnsi" w:hAnsiTheme="minorHAnsi"/>
        </w:rPr>
        <w:t xml:space="preserve"> submission and provided further advice to it</w:t>
      </w:r>
      <w:r>
        <w:rPr>
          <w:rFonts w:asciiTheme="minorHAnsi" w:hAnsiTheme="minorHAnsi"/>
        </w:rPr>
        <w:t xml:space="preserve">. The </w:t>
      </w:r>
      <w:r w:rsidR="00083CED">
        <w:rPr>
          <w:rFonts w:asciiTheme="minorHAnsi" w:hAnsiTheme="minorHAnsi"/>
        </w:rPr>
        <w:t>NPWP</w:t>
      </w:r>
      <w:r w:rsidR="00BC36B0">
        <w:rPr>
          <w:rFonts w:asciiTheme="minorHAnsi" w:hAnsiTheme="minorHAnsi"/>
        </w:rPr>
        <w:t xml:space="preserve"> advised that there </w:t>
      </w:r>
      <w:r w:rsidR="00083CED">
        <w:rPr>
          <w:rFonts w:asciiTheme="minorHAnsi" w:hAnsiTheme="minorHAnsi"/>
        </w:rPr>
        <w:t>remained</w:t>
      </w:r>
      <w:r w:rsidR="00BC36B0">
        <w:rPr>
          <w:rFonts w:asciiTheme="minorHAnsi" w:hAnsiTheme="minorHAnsi"/>
        </w:rPr>
        <w:t xml:space="preserve"> significant</w:t>
      </w:r>
      <w:r>
        <w:rPr>
          <w:rFonts w:asciiTheme="minorHAnsi" w:hAnsiTheme="minorHAnsi"/>
        </w:rPr>
        <w:t xml:space="preserve"> concerns at the insufficient level of iron in both PKU Start® and one of its nominated comparators,</w:t>
      </w:r>
      <w:r w:rsidRPr="00E66AAD">
        <w:rPr>
          <w:rFonts w:asciiTheme="minorHAnsi" w:hAnsiTheme="minorHAnsi"/>
        </w:rPr>
        <w:t xml:space="preserve"> </w:t>
      </w:r>
      <w:r>
        <w:rPr>
          <w:rFonts w:asciiTheme="minorHAnsi" w:hAnsiTheme="minorHAnsi"/>
        </w:rPr>
        <w:t>PKU Baby®.</w:t>
      </w:r>
    </w:p>
    <w:p w:rsidR="004D287D" w:rsidRDefault="00E66AAD">
      <w:pPr>
        <w:pStyle w:val="ListParagraph"/>
        <w:numPr>
          <w:ilvl w:val="1"/>
          <w:numId w:val="31"/>
        </w:numPr>
        <w:spacing w:before="120" w:after="120"/>
        <w:contextualSpacing w:val="0"/>
        <w:jc w:val="both"/>
        <w:rPr>
          <w:rFonts w:asciiTheme="minorHAnsi" w:hAnsiTheme="minorHAnsi"/>
        </w:rPr>
      </w:pPr>
      <w:r>
        <w:rPr>
          <w:rFonts w:asciiTheme="minorHAnsi" w:hAnsiTheme="minorHAnsi"/>
        </w:rPr>
        <w:t>The PBAC requested</w:t>
      </w:r>
      <w:r w:rsidR="00A81F3D">
        <w:rPr>
          <w:rFonts w:asciiTheme="minorHAnsi" w:hAnsiTheme="minorHAnsi"/>
        </w:rPr>
        <w:t xml:space="preserve"> that</w:t>
      </w:r>
      <w:r>
        <w:rPr>
          <w:rFonts w:asciiTheme="minorHAnsi" w:hAnsiTheme="minorHAnsi"/>
        </w:rPr>
        <w:t xml:space="preserve"> the Department </w:t>
      </w:r>
      <w:r w:rsidR="004D287D">
        <w:rPr>
          <w:rFonts w:asciiTheme="minorHAnsi" w:hAnsiTheme="minorHAnsi"/>
        </w:rPr>
        <w:t xml:space="preserve">seek advice from the </w:t>
      </w:r>
      <w:r w:rsidR="00E16357">
        <w:rPr>
          <w:rFonts w:asciiTheme="minorHAnsi" w:hAnsiTheme="minorHAnsi"/>
        </w:rPr>
        <w:t>Australasian</w:t>
      </w:r>
      <w:r w:rsidR="004D287D">
        <w:rPr>
          <w:rFonts w:asciiTheme="minorHAnsi" w:hAnsiTheme="minorHAnsi"/>
        </w:rPr>
        <w:t xml:space="preserve"> Society for Inborn Errors of Metabolism regarding whether there is a clinical need to retain the current listing for PKU Baby® and for a new listing for PKU Start® on the PBS. </w:t>
      </w:r>
      <w:r w:rsidR="00A81F3D">
        <w:rPr>
          <w:rFonts w:asciiTheme="minorHAnsi" w:hAnsiTheme="minorHAnsi"/>
        </w:rPr>
        <w:t>I</w:t>
      </w:r>
      <w:r w:rsidR="004D287D">
        <w:rPr>
          <w:rFonts w:asciiTheme="minorHAnsi" w:hAnsiTheme="minorHAnsi"/>
        </w:rPr>
        <w:t>nput regarding to the matter</w:t>
      </w:r>
      <w:r w:rsidR="00A81F3D">
        <w:rPr>
          <w:rFonts w:asciiTheme="minorHAnsi" w:hAnsiTheme="minorHAnsi"/>
        </w:rPr>
        <w:t xml:space="preserve"> from the Society and the </w:t>
      </w:r>
      <w:r w:rsidR="0083292F">
        <w:rPr>
          <w:rFonts w:asciiTheme="minorHAnsi" w:hAnsiTheme="minorHAnsi"/>
        </w:rPr>
        <w:t>sponsors</w:t>
      </w:r>
      <w:r w:rsidR="00A81F3D">
        <w:rPr>
          <w:rFonts w:asciiTheme="minorHAnsi" w:hAnsiTheme="minorHAnsi"/>
        </w:rPr>
        <w:t xml:space="preserve"> of PKU Start® and PKU Baby® are expected before </w:t>
      </w:r>
      <w:r w:rsidR="00BC36B0">
        <w:rPr>
          <w:rFonts w:asciiTheme="minorHAnsi" w:hAnsiTheme="minorHAnsi"/>
        </w:rPr>
        <w:t xml:space="preserve">the next </w:t>
      </w:r>
      <w:r w:rsidR="00A81F3D">
        <w:rPr>
          <w:rFonts w:asciiTheme="minorHAnsi" w:hAnsiTheme="minorHAnsi"/>
        </w:rPr>
        <w:t xml:space="preserve">NPWP and </w:t>
      </w:r>
      <w:r w:rsidR="00BC36B0">
        <w:rPr>
          <w:rFonts w:asciiTheme="minorHAnsi" w:hAnsiTheme="minorHAnsi"/>
        </w:rPr>
        <w:t>PBAC meeting</w:t>
      </w:r>
      <w:r w:rsidR="004D287D">
        <w:rPr>
          <w:rFonts w:asciiTheme="minorHAnsi" w:hAnsiTheme="minorHAnsi"/>
        </w:rPr>
        <w:t>.</w:t>
      </w:r>
    </w:p>
    <w:p w:rsidR="004D287D" w:rsidRPr="00E343A7" w:rsidRDefault="004D287D">
      <w:pPr>
        <w:pStyle w:val="ListParagraph"/>
        <w:numPr>
          <w:ilvl w:val="1"/>
          <w:numId w:val="31"/>
        </w:numPr>
        <w:spacing w:after="120"/>
        <w:contextualSpacing w:val="0"/>
        <w:rPr>
          <w:rFonts w:asciiTheme="minorHAnsi" w:hAnsiTheme="minorHAnsi" w:cs="Arial"/>
          <w:bCs/>
          <w:snapToGrid w:val="0"/>
          <w:lang w:eastAsia="en-US"/>
        </w:rPr>
      </w:pPr>
      <w:r w:rsidRPr="00E343A7">
        <w:rPr>
          <w:rFonts w:asciiTheme="minorHAnsi" w:hAnsiTheme="minorHAnsi" w:cs="Arial"/>
          <w:bCs/>
          <w:snapToGrid w:val="0"/>
          <w:lang w:eastAsia="en-US"/>
        </w:rPr>
        <w:t>The PBAC noted that this submission is not eligible for an Independent Review as it has been deferred for further discussion.</w:t>
      </w:r>
    </w:p>
    <w:p w:rsidR="008D6744" w:rsidRPr="00525B39" w:rsidRDefault="008D6744" w:rsidP="008D6744">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2E4454" w:rsidRPr="00611562" w:rsidRDefault="008D6744" w:rsidP="00B41421">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Deferred </w:t>
      </w:r>
    </w:p>
    <w:p w:rsidR="00592708" w:rsidRPr="003A7A08" w:rsidRDefault="00592708" w:rsidP="003A7A08">
      <w:pPr>
        <w:pStyle w:val="Heading1"/>
        <w:keepLines/>
        <w:numPr>
          <w:ilvl w:val="0"/>
          <w:numId w:val="31"/>
        </w:numPr>
        <w:spacing w:before="400" w:after="120"/>
        <w:contextualSpacing w:val="0"/>
        <w:rPr>
          <w:rFonts w:asciiTheme="minorHAnsi" w:eastAsiaTheme="majorEastAsia" w:hAnsiTheme="minorHAnsi" w:cstheme="majorBidi"/>
          <w:sz w:val="32"/>
          <w:szCs w:val="28"/>
          <w:lang w:eastAsia="en-US"/>
        </w:rPr>
      </w:pPr>
      <w:r w:rsidRPr="003A7A08">
        <w:rPr>
          <w:rFonts w:asciiTheme="minorHAnsi" w:eastAsiaTheme="majorEastAsia" w:hAnsiTheme="minorHAnsi" w:cstheme="majorBidi"/>
          <w:sz w:val="32"/>
          <w:szCs w:val="28"/>
          <w:lang w:eastAsia="en-US"/>
        </w:rPr>
        <w:t>Context for Decision</w:t>
      </w:r>
    </w:p>
    <w:p w:rsidR="00592708" w:rsidRPr="00C07617" w:rsidRDefault="00592708" w:rsidP="002E4454">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92708" w:rsidRDefault="00592708" w:rsidP="003A7A08">
      <w:pPr>
        <w:pStyle w:val="Heading1"/>
        <w:keepLines/>
        <w:numPr>
          <w:ilvl w:val="0"/>
          <w:numId w:val="31"/>
        </w:numPr>
        <w:spacing w:before="400" w:after="120"/>
        <w:contextualSpacing w:val="0"/>
        <w:rPr>
          <w:rFonts w:asciiTheme="minorHAnsi" w:hAnsiTheme="minorHAnsi"/>
          <w:b w:val="0"/>
          <w:sz w:val="32"/>
        </w:rPr>
      </w:pPr>
      <w:r w:rsidRPr="00C07617">
        <w:rPr>
          <w:rFonts w:asciiTheme="minorHAnsi" w:hAnsiTheme="minorHAnsi"/>
          <w:sz w:val="32"/>
        </w:rPr>
        <w:t xml:space="preserve"> </w:t>
      </w:r>
      <w:r w:rsidRPr="003A7A08">
        <w:rPr>
          <w:rFonts w:asciiTheme="minorHAnsi" w:eastAsiaTheme="majorEastAsia" w:hAnsiTheme="minorHAnsi" w:cstheme="majorBidi"/>
          <w:sz w:val="32"/>
          <w:szCs w:val="28"/>
          <w:lang w:eastAsia="en-US"/>
        </w:rPr>
        <w:t>Sponsor’s Comment</w:t>
      </w:r>
    </w:p>
    <w:p w:rsidR="007B032E" w:rsidRDefault="007B032E" w:rsidP="007B032E">
      <w:pPr>
        <w:spacing w:after="120"/>
        <w:rPr>
          <w:rFonts w:asciiTheme="minorHAnsi" w:hAnsiTheme="minorHAnsi"/>
        </w:rPr>
      </w:pPr>
      <w:r>
        <w:rPr>
          <w:rFonts w:asciiTheme="minorHAnsi" w:hAnsiTheme="minorHAnsi"/>
        </w:rPr>
        <w:t xml:space="preserve">The sponsor wishes to emphasise that PKU Start® is not designed to be fed as a sole source of nutrition to infants with PKU and that supplemental intake from breast milk or standard </w:t>
      </w:r>
      <w:r>
        <w:rPr>
          <w:rFonts w:asciiTheme="minorHAnsi" w:hAnsiTheme="minorHAnsi"/>
        </w:rPr>
        <w:lastRenderedPageBreak/>
        <w:t>infant formula is provided for infants from birth. From six months onwards a second stage protein substitute, solid food and/or standard infant formula is standard clinical practice in the dietary management of infants with PKU and this practice ensures all nutritional requirements are met, including iron.</w:t>
      </w:r>
    </w:p>
    <w:p w:rsidR="008D6744" w:rsidRDefault="007B032E" w:rsidP="00611562">
      <w:pPr>
        <w:rPr>
          <w:rFonts w:asciiTheme="minorHAnsi" w:hAnsiTheme="minorHAnsi"/>
        </w:rPr>
      </w:pPr>
      <w:r>
        <w:rPr>
          <w:rFonts w:asciiTheme="minorHAnsi" w:hAnsiTheme="minorHAnsi"/>
        </w:rPr>
        <w:t>In summary, Vitaflo Australia Pty Ltd acknowledges the support for the Restricted Benefit Listing of PKU Start® by the PBAC and the NPWP and is confident of its’ clinical appropriateness and its’ clinic</w:t>
      </w:r>
      <w:r w:rsidR="006033C1">
        <w:rPr>
          <w:rFonts w:asciiTheme="minorHAnsi" w:hAnsiTheme="minorHAnsi"/>
        </w:rPr>
        <w:t>al need in Australia.</w:t>
      </w:r>
    </w:p>
    <w:p w:rsidR="00B90226" w:rsidRDefault="00B90226" w:rsidP="00611562">
      <w:pPr>
        <w:rPr>
          <w:rFonts w:asciiTheme="minorHAnsi" w:hAnsiTheme="minorHAnsi"/>
        </w:rPr>
      </w:pPr>
    </w:p>
    <w:p w:rsidR="00B90226" w:rsidRPr="00512612" w:rsidRDefault="00B90226" w:rsidP="00512612">
      <w:pPr>
        <w:widowControl w:val="0"/>
        <w:jc w:val="both"/>
        <w:rPr>
          <w:rFonts w:ascii="Arial" w:hAnsi="Arial" w:cs="Arial"/>
          <w:b/>
          <w:bCs/>
          <w:snapToGrid w:val="0"/>
          <w:color w:val="FF0000"/>
          <w:sz w:val="22"/>
          <w:szCs w:val="22"/>
        </w:rPr>
      </w:pPr>
      <w:r w:rsidRPr="00512612">
        <w:rPr>
          <w:rFonts w:ascii="Arial" w:hAnsi="Arial" w:cs="Arial"/>
          <w:b/>
          <w:bCs/>
          <w:snapToGrid w:val="0"/>
          <w:color w:val="FF0000"/>
          <w:sz w:val="22"/>
          <w:szCs w:val="22"/>
        </w:rPr>
        <w:t>Addendum to the November 2017 and March 2018 PBAC Minutes:</w:t>
      </w:r>
    </w:p>
    <w:p w:rsidR="00B90226" w:rsidRPr="005C0B99" w:rsidRDefault="00B90226" w:rsidP="00B90226">
      <w:pPr>
        <w:widowControl w:val="0"/>
        <w:jc w:val="both"/>
        <w:rPr>
          <w:rFonts w:asciiTheme="minorHAnsi" w:hAnsiTheme="minorHAnsi" w:cs="Arial"/>
          <w:b/>
          <w:bCs/>
          <w:snapToGrid w:val="0"/>
        </w:rPr>
      </w:pPr>
    </w:p>
    <w:p w:rsidR="00B90226" w:rsidRPr="005C0B99" w:rsidRDefault="00B90226" w:rsidP="00B90226">
      <w:pPr>
        <w:pStyle w:val="Title"/>
        <w:spacing w:before="120" w:after="160"/>
        <w:ind w:left="851" w:hanging="851"/>
        <w:rPr>
          <w:rFonts w:asciiTheme="minorHAnsi" w:hAnsiTheme="minorHAnsi"/>
          <w:sz w:val="36"/>
          <w:szCs w:val="36"/>
        </w:rPr>
      </w:pPr>
      <w:r w:rsidRPr="005C0B99">
        <w:rPr>
          <w:rFonts w:asciiTheme="minorHAnsi" w:hAnsiTheme="minorHAnsi"/>
          <w:sz w:val="36"/>
          <w:szCs w:val="36"/>
        </w:rPr>
        <w:t>3.01</w:t>
      </w:r>
      <w:r w:rsidRPr="005C0B99">
        <w:rPr>
          <w:rFonts w:asciiTheme="minorHAnsi" w:hAnsiTheme="minorHAnsi"/>
          <w:sz w:val="36"/>
          <w:szCs w:val="36"/>
        </w:rPr>
        <w:tab/>
        <w:t>AMINO ACID FORMULA WITH VITAMINS, MINERALS AND LONG CHAIN POLYUNSATURATED FATTY ACIDS, WITHOUT PHENYLALANINE</w:t>
      </w:r>
      <w:r w:rsidRPr="005C0B99">
        <w:rPr>
          <w:rFonts w:asciiTheme="minorHAnsi" w:hAnsiTheme="minorHAnsi"/>
          <w:sz w:val="36"/>
          <w:szCs w:val="36"/>
        </w:rPr>
        <w:br/>
        <w:t>Oral powder 400 g (PKU Start),</w:t>
      </w:r>
      <w:r w:rsidRPr="005C0B99">
        <w:rPr>
          <w:rFonts w:asciiTheme="minorHAnsi" w:hAnsiTheme="minorHAnsi"/>
          <w:b w:val="0"/>
          <w:sz w:val="36"/>
          <w:szCs w:val="36"/>
        </w:rPr>
        <w:br/>
      </w:r>
      <w:r w:rsidRPr="005C0B99">
        <w:rPr>
          <w:rFonts w:asciiTheme="minorHAnsi" w:hAnsiTheme="minorHAnsi"/>
          <w:sz w:val="36"/>
          <w:szCs w:val="36"/>
        </w:rPr>
        <w:t>PKU Start</w:t>
      </w:r>
      <w:r w:rsidRPr="005C0B99">
        <w:rPr>
          <w:rFonts w:asciiTheme="minorHAnsi" w:hAnsiTheme="minorHAnsi"/>
          <w:sz w:val="36"/>
          <w:szCs w:val="36"/>
          <w:vertAlign w:val="superscript"/>
        </w:rPr>
        <w:t>®</w:t>
      </w:r>
      <w:r w:rsidRPr="005C0B99">
        <w:rPr>
          <w:rFonts w:asciiTheme="minorHAnsi" w:hAnsiTheme="minorHAnsi"/>
          <w:sz w:val="36"/>
          <w:szCs w:val="36"/>
        </w:rPr>
        <w:t>, Vitaflo Australia Pty Ltd</w:t>
      </w:r>
      <w:r w:rsidRPr="005C0B99">
        <w:rPr>
          <w:rFonts w:asciiTheme="minorHAnsi" w:hAnsiTheme="minorHAnsi"/>
          <w:sz w:val="36"/>
          <w:szCs w:val="36"/>
        </w:rPr>
        <w:br/>
      </w:r>
      <w:r w:rsidRPr="005C0B99">
        <w:rPr>
          <w:rFonts w:asciiTheme="minorHAnsi" w:hAnsiTheme="minorHAnsi"/>
          <w:sz w:val="36"/>
          <w:szCs w:val="36"/>
        </w:rPr>
        <w:br/>
        <w:t>AMINO ACID FORMULA WITH FAT, CARBOHYDRATE, VITAMINS, MINERALS AND LONG CHAIN POLYUNSATURATED FATTY ACIDS WITHOUT PHENYLALANINE AND SUPPLEMENTED WITH DOCOSAHEXAENOIC ACID</w:t>
      </w:r>
      <w:r w:rsidRPr="005C0B99">
        <w:rPr>
          <w:rFonts w:asciiTheme="minorHAnsi" w:hAnsiTheme="minorHAnsi"/>
          <w:sz w:val="36"/>
          <w:szCs w:val="36"/>
        </w:rPr>
        <w:br/>
        <w:t>Oral liquid 500 mL, 20 (PKU Baby),</w:t>
      </w:r>
      <w:r w:rsidRPr="005C0B99">
        <w:rPr>
          <w:rFonts w:asciiTheme="minorHAnsi" w:hAnsiTheme="minorHAnsi"/>
          <w:sz w:val="36"/>
          <w:szCs w:val="36"/>
        </w:rPr>
        <w:br/>
        <w:t>PK</w:t>
      </w:r>
      <w:r>
        <w:rPr>
          <w:rFonts w:asciiTheme="minorHAnsi" w:hAnsiTheme="minorHAnsi"/>
          <w:sz w:val="36"/>
          <w:szCs w:val="36"/>
        </w:rPr>
        <w:t>U</w:t>
      </w:r>
      <w:r w:rsidRPr="005C0B99">
        <w:rPr>
          <w:rFonts w:asciiTheme="minorHAnsi" w:hAnsiTheme="minorHAnsi"/>
          <w:sz w:val="36"/>
          <w:szCs w:val="36"/>
        </w:rPr>
        <w:t xml:space="preserve"> Baby</w:t>
      </w:r>
      <w:r w:rsidRPr="005C0B99">
        <w:rPr>
          <w:rFonts w:asciiTheme="minorHAnsi" w:hAnsiTheme="minorHAnsi"/>
          <w:sz w:val="36"/>
          <w:szCs w:val="36"/>
          <w:vertAlign w:val="superscript"/>
        </w:rPr>
        <w:t>®</w:t>
      </w:r>
      <w:r w:rsidRPr="005C0B99">
        <w:rPr>
          <w:rFonts w:asciiTheme="minorHAnsi" w:hAnsiTheme="minorHAnsi"/>
          <w:sz w:val="36"/>
          <w:szCs w:val="36"/>
        </w:rPr>
        <w:t>, Orpharma Pty Ltd</w:t>
      </w:r>
    </w:p>
    <w:p w:rsidR="00B90226" w:rsidRPr="005C0B99" w:rsidRDefault="00B90226" w:rsidP="00B90226">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sidRPr="005C0B99">
        <w:rPr>
          <w:rFonts w:asciiTheme="minorHAnsi" w:eastAsiaTheme="majorEastAsia" w:hAnsiTheme="minorHAnsi" w:cstheme="majorBidi"/>
          <w:sz w:val="32"/>
          <w:szCs w:val="28"/>
          <w:lang w:eastAsia="en-US"/>
        </w:rPr>
        <w:t>Background</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At its March 2018 meeting, the PBAC decided to defer its decision on whether to recommend the listing of amino acid formula with vitamins, minerals and long chain polysaturated fatty acids, without phenylalanine (PKU Start®) for the dietary management of Phenylketonuria (PKU) due to the concerns on the insufficient iron level. The PBAC requested advice from the Australasian Society for Inborn Errors of Metabolism regarding the clinical need for the requested listing and the clinical need to retain the current listing for PKU Baby®, a nominated comparator to PKU Start®. The PBAC considered that the Nutritional Products Working Party (NPWP) </w:t>
      </w:r>
      <w:r>
        <w:rPr>
          <w:rFonts w:asciiTheme="minorHAnsi" w:hAnsiTheme="minorHAnsi"/>
        </w:rPr>
        <w:t xml:space="preserve">should review </w:t>
      </w:r>
      <w:r w:rsidRPr="005C0B99">
        <w:rPr>
          <w:rFonts w:asciiTheme="minorHAnsi" w:hAnsiTheme="minorHAnsi"/>
        </w:rPr>
        <w:t>this advice prior to th</w:t>
      </w:r>
      <w:r w:rsidR="000F6B30">
        <w:rPr>
          <w:rFonts w:asciiTheme="minorHAnsi" w:hAnsiTheme="minorHAnsi"/>
        </w:rPr>
        <w:t>e PBAC finalising its decision.</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lastRenderedPageBreak/>
        <w:t>No response was received from the Australasian Society for Inborn Errors of Metabolism; however, the Sponsor(s) of PKU Start® and PKU Baby® were invited to respond to the NPWP and PBAC concerns regarding the iron content of their products. The NPWP considered these responses at its May 2018 meeting and provided advice to the PBAC (detailed below).</w:t>
      </w:r>
    </w:p>
    <w:p w:rsidR="00B90226" w:rsidRPr="005C0B99" w:rsidRDefault="00B90226" w:rsidP="00B90226">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sidRPr="005C0B99">
        <w:rPr>
          <w:rFonts w:asciiTheme="minorHAnsi" w:eastAsiaTheme="majorEastAsia" w:hAnsiTheme="minorHAnsi" w:cstheme="majorBidi"/>
          <w:sz w:val="32"/>
          <w:szCs w:val="28"/>
          <w:lang w:eastAsia="en-US"/>
        </w:rPr>
        <w:t>Sponsor responses</w:t>
      </w:r>
    </w:p>
    <w:p w:rsidR="00B90226" w:rsidRPr="005C0B99" w:rsidRDefault="00B90226" w:rsidP="00B90226">
      <w:pPr>
        <w:pStyle w:val="Heading2"/>
        <w:keepLines/>
        <w:spacing w:before="240" w:after="120"/>
        <w:rPr>
          <w:rFonts w:asciiTheme="minorHAnsi" w:eastAsiaTheme="majorEastAsia" w:hAnsiTheme="minorHAnsi" w:cstheme="majorBidi"/>
          <w:sz w:val="28"/>
          <w:szCs w:val="28"/>
          <w:lang w:eastAsia="en-US"/>
        </w:rPr>
      </w:pPr>
      <w:r w:rsidRPr="005C0B99">
        <w:rPr>
          <w:rFonts w:asciiTheme="minorHAnsi" w:eastAsiaTheme="majorEastAsia" w:hAnsiTheme="minorHAnsi" w:cstheme="majorBidi"/>
          <w:sz w:val="28"/>
          <w:szCs w:val="28"/>
          <w:lang w:eastAsia="en-US"/>
        </w:rPr>
        <w:t>Vitaflo Australia Pty Ltd (PKU Start</w:t>
      </w:r>
      <w:r w:rsidRPr="005C0B99">
        <w:rPr>
          <w:rFonts w:asciiTheme="minorHAnsi" w:hAnsiTheme="minorHAnsi"/>
          <w:sz w:val="28"/>
          <w:szCs w:val="28"/>
          <w:vertAlign w:val="superscript"/>
        </w:rPr>
        <w:t>®</w:t>
      </w:r>
      <w:r w:rsidRPr="005C0B99">
        <w:rPr>
          <w:rFonts w:asciiTheme="minorHAnsi" w:eastAsiaTheme="majorEastAsia" w:hAnsiTheme="minorHAnsi" w:cstheme="majorBidi"/>
          <w:sz w:val="28"/>
          <w:szCs w:val="28"/>
          <w:lang w:eastAsia="en-US"/>
        </w:rPr>
        <w:t>)</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sponsor noted that PKU Start® complies with all requirements for foods for special medical purposes per the Food Standards Australia and New Zealand (FSANZ) Food Standards Code – Standards 2.9.5 (Foods for Special Medical Purposes) and 2.9.1 (Infant Formula Products for Specific Dietary Use). The sponsor argued that PKU </w:t>
      </w:r>
      <w:proofErr w:type="spellStart"/>
      <w:r w:rsidRPr="005C0B99">
        <w:rPr>
          <w:rFonts w:asciiTheme="minorHAnsi" w:hAnsiTheme="minorHAnsi"/>
        </w:rPr>
        <w:t>Anamix</w:t>
      </w:r>
      <w:proofErr w:type="spellEnd"/>
      <w:r w:rsidRPr="005C0B99">
        <w:rPr>
          <w:rFonts w:asciiTheme="minorHAnsi" w:hAnsiTheme="minorHAnsi"/>
        </w:rPr>
        <w:t xml:space="preserve"> Infant® is primarily the product of choice in dietary management of infant phenylketonuria (PKU) and key opinion leaders have expressed the need for availability of an alternative supply of</w:t>
      </w:r>
      <w:r w:rsidR="006033C1">
        <w:rPr>
          <w:rFonts w:asciiTheme="minorHAnsi" w:hAnsiTheme="minorHAnsi"/>
        </w:rPr>
        <w:t xml:space="preserve"> a powdered PKU infant formula.</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sponsor acknowledged that without other sources of nutritional intake, PKU Start® provides 70% of the recommended daily intake (RDI) of iron, however argued the product is not designed to be the only source of nutrition </w:t>
      </w:r>
      <w:r>
        <w:rPr>
          <w:rFonts w:asciiTheme="minorHAnsi" w:hAnsiTheme="minorHAnsi"/>
        </w:rPr>
        <w:t xml:space="preserve">for </w:t>
      </w:r>
      <w:r w:rsidRPr="005C0B99">
        <w:rPr>
          <w:rFonts w:asciiTheme="minorHAnsi" w:hAnsiTheme="minorHAnsi"/>
        </w:rPr>
        <w:t xml:space="preserve">an infant with PKU and that it is not standard clinical practice to do so. The sponsor contended that, when used as part of dietary management for infant PKU, in the </w:t>
      </w:r>
      <w:r>
        <w:rPr>
          <w:rFonts w:asciiTheme="minorHAnsi" w:hAnsiTheme="minorHAnsi"/>
        </w:rPr>
        <w:t xml:space="preserve">recommended </w:t>
      </w:r>
      <w:r w:rsidRPr="005C0B99">
        <w:rPr>
          <w:rFonts w:asciiTheme="minorHAnsi" w:hAnsiTheme="minorHAnsi"/>
        </w:rPr>
        <w:t>manner, iron r</w:t>
      </w:r>
      <w:r w:rsidR="006033C1">
        <w:rPr>
          <w:rFonts w:asciiTheme="minorHAnsi" w:hAnsiTheme="minorHAnsi"/>
        </w:rPr>
        <w:t>equirements are adequately met.</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sponsor also argued that when PKU Start® is used in combination with a second-stage protein substitute, such as PKU Gel®, infant iron requirements are also met. The sponsor further argued that at approximately 6 months’ </w:t>
      </w:r>
      <w:r>
        <w:rPr>
          <w:rFonts w:asciiTheme="minorHAnsi" w:hAnsiTheme="minorHAnsi"/>
        </w:rPr>
        <w:t xml:space="preserve">of </w:t>
      </w:r>
      <w:r w:rsidRPr="005C0B99">
        <w:rPr>
          <w:rFonts w:asciiTheme="minorHAnsi" w:hAnsiTheme="minorHAnsi"/>
        </w:rPr>
        <w:t>age, infants would start to transition to such second-stage protein substitutes and/or solid food whilst reducing their use of PKU infant formulas, and that as such, iron intake requirements would be adequately met as patients transi</w:t>
      </w:r>
      <w:r w:rsidR="006033C1">
        <w:rPr>
          <w:rFonts w:asciiTheme="minorHAnsi" w:hAnsiTheme="minorHAnsi"/>
        </w:rPr>
        <w:t>tioned to later-stage products.</w:t>
      </w:r>
    </w:p>
    <w:p w:rsidR="00B90226" w:rsidRPr="005C0B99" w:rsidRDefault="00B90226" w:rsidP="00B90226">
      <w:pPr>
        <w:pStyle w:val="Heading2"/>
        <w:keepLines/>
        <w:spacing w:before="240" w:after="120"/>
        <w:rPr>
          <w:rFonts w:asciiTheme="minorHAnsi" w:eastAsiaTheme="majorEastAsia" w:hAnsiTheme="minorHAnsi" w:cstheme="majorBidi"/>
          <w:sz w:val="28"/>
          <w:szCs w:val="28"/>
          <w:lang w:eastAsia="en-US"/>
        </w:rPr>
      </w:pPr>
      <w:r w:rsidRPr="005C0B99">
        <w:rPr>
          <w:rFonts w:asciiTheme="minorHAnsi" w:eastAsiaTheme="majorEastAsia" w:hAnsiTheme="minorHAnsi" w:cstheme="majorBidi"/>
          <w:sz w:val="28"/>
          <w:szCs w:val="28"/>
          <w:lang w:eastAsia="en-US"/>
        </w:rPr>
        <w:t>Orpharma Pty Ltd (PKU Baby</w:t>
      </w:r>
      <w:r w:rsidRPr="005C0B99">
        <w:rPr>
          <w:rFonts w:asciiTheme="minorHAnsi" w:hAnsiTheme="minorHAnsi"/>
          <w:sz w:val="28"/>
          <w:szCs w:val="28"/>
          <w:vertAlign w:val="superscript"/>
        </w:rPr>
        <w:t>®</w:t>
      </w:r>
      <w:r w:rsidRPr="005C0B99">
        <w:rPr>
          <w:rFonts w:asciiTheme="minorHAnsi" w:eastAsiaTheme="majorEastAsia" w:hAnsiTheme="minorHAnsi" w:cstheme="majorBidi"/>
          <w:sz w:val="28"/>
          <w:szCs w:val="28"/>
          <w:lang w:eastAsia="en-US"/>
        </w:rPr>
        <w:t>)</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The sponsor argued that PKU Baby® provides a nutritionally sound treatment option for infants from birth to 12 months’ age, and contended that PKU infants are encouraged to be breastfed or given standard infant formula that provides additional sources of iron in addition to PKU infant formula.</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For infants aged 7-12 months’, the sponsor argued that these patients receive iron from additional dietary sources, following the introduction of a second-stage protein substitute (such as PKU Gel® or PKU Go®) and/or an iron-fortified baby cereal as solid food is commenced. The sponsor noted the previous NPWP advice that a second-stage protein supplement is generally started later in Australia (paragraph 5.4 above refers)</w:t>
      </w:r>
      <w:r>
        <w:rPr>
          <w:rFonts w:asciiTheme="minorHAnsi" w:hAnsiTheme="minorHAnsi"/>
        </w:rPr>
        <w:t xml:space="preserve">. They </w:t>
      </w:r>
      <w:r w:rsidRPr="005C0B99">
        <w:rPr>
          <w:rFonts w:asciiTheme="minorHAnsi" w:hAnsiTheme="minorHAnsi"/>
        </w:rPr>
        <w:t xml:space="preserve">argued that the exact starting age of these supplements may </w:t>
      </w:r>
      <w:r w:rsidRPr="005C0B99">
        <w:rPr>
          <w:rFonts w:asciiTheme="minorHAnsi" w:hAnsiTheme="minorHAnsi"/>
        </w:rPr>
        <w:lastRenderedPageBreak/>
        <w:t>vary in clinical practice, depending on the dietitian involved, and argued that from 6 months’ onwards, infant PKU formulas are progressively reduced, and as second-stage supplementation or solid food is introduced, sufficient iron is received from PKU Baby® as this is supp</w:t>
      </w:r>
      <w:r w:rsidR="006033C1">
        <w:rPr>
          <w:rFonts w:asciiTheme="minorHAnsi" w:hAnsiTheme="minorHAnsi"/>
        </w:rPr>
        <w:t>lemented by additional sources.</w:t>
      </w:r>
    </w:p>
    <w:p w:rsidR="00B90226" w:rsidRPr="005C0B99" w:rsidRDefault="00B90226" w:rsidP="00B90226">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sidRPr="005C0B99">
        <w:rPr>
          <w:rFonts w:asciiTheme="minorHAnsi" w:eastAsiaTheme="majorEastAsia" w:hAnsiTheme="minorHAnsi" w:cstheme="majorBidi"/>
          <w:sz w:val="32"/>
          <w:szCs w:val="28"/>
          <w:lang w:eastAsia="en-US"/>
        </w:rPr>
        <w:t>NPWP Consideration</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Nutritional Products Working Party (NPWP) </w:t>
      </w:r>
      <w:r>
        <w:rPr>
          <w:rFonts w:asciiTheme="minorHAnsi" w:hAnsiTheme="minorHAnsi"/>
        </w:rPr>
        <w:t xml:space="preserve">reviewed </w:t>
      </w:r>
      <w:r w:rsidRPr="005C0B99">
        <w:rPr>
          <w:rFonts w:asciiTheme="minorHAnsi" w:hAnsiTheme="minorHAnsi"/>
        </w:rPr>
        <w:t xml:space="preserve">the sponsor responses to its concerns regarding the iron content of </w:t>
      </w:r>
      <w:r>
        <w:rPr>
          <w:rFonts w:asciiTheme="minorHAnsi" w:hAnsiTheme="minorHAnsi"/>
        </w:rPr>
        <w:t xml:space="preserve">PKU Start® </w:t>
      </w:r>
      <w:r w:rsidRPr="005C0B99">
        <w:rPr>
          <w:rFonts w:asciiTheme="minorHAnsi" w:hAnsiTheme="minorHAnsi"/>
        </w:rPr>
        <w:t>and PKU Baby</w:t>
      </w:r>
      <w:r>
        <w:rPr>
          <w:rFonts w:asciiTheme="minorHAnsi" w:hAnsiTheme="minorHAnsi"/>
        </w:rPr>
        <w:t xml:space="preserve">®. They </w:t>
      </w:r>
      <w:r w:rsidRPr="005C0B99">
        <w:rPr>
          <w:rFonts w:asciiTheme="minorHAnsi" w:hAnsiTheme="minorHAnsi"/>
        </w:rPr>
        <w:t>considered that there remains a high clinical need to retain PKU products on the PBS and to have a range of alternative baby and infant PKU formulas available to address the risk of shortage of one or more products.</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NPWP did not accept the argument(s) put forward by the sponsors regarding the use of second-stage protein supplements with higher iron intake in the 6-12 month age range, as the timing of </w:t>
      </w:r>
      <w:r>
        <w:rPr>
          <w:rFonts w:asciiTheme="minorHAnsi" w:hAnsiTheme="minorHAnsi"/>
        </w:rPr>
        <w:t xml:space="preserve">their introduction </w:t>
      </w:r>
      <w:r w:rsidRPr="005C0B99">
        <w:rPr>
          <w:rFonts w:asciiTheme="minorHAnsi" w:hAnsiTheme="minorHAnsi"/>
        </w:rPr>
        <w:t>was generally later in Australia than in other jurisdictions, such as the United Kingdom.</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However, owing to the clinical need to ensure supply of PKU Baby® and infant formulas, the NPWP was supportive of retaining the current listing of PKU Baby® and the new listing of PKU Start®. The NPWP advised that a cautionary note should be added to the current PBS restriction for PKU Baby</w:t>
      </w:r>
      <w:r>
        <w:rPr>
          <w:rFonts w:asciiTheme="minorHAnsi" w:hAnsiTheme="minorHAnsi"/>
        </w:rPr>
        <w:t>®</w:t>
      </w:r>
      <w:r w:rsidRPr="005C0B99">
        <w:rPr>
          <w:rFonts w:asciiTheme="minorHAnsi" w:hAnsiTheme="minorHAnsi"/>
        </w:rPr>
        <w:t xml:space="preserve"> (and applied to a listing of PKU Start®) to inform prescribers of the below RDI level of iron in these products.</w:t>
      </w:r>
      <w:r w:rsidR="000074AC">
        <w:rPr>
          <w:rFonts w:asciiTheme="minorHAnsi" w:hAnsiTheme="minorHAnsi"/>
        </w:rPr>
        <w:t xml:space="preserve"> </w:t>
      </w:r>
    </w:p>
    <w:p w:rsidR="00B90226" w:rsidRPr="005C0B99" w:rsidRDefault="00B90226" w:rsidP="00B90226">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sidRPr="005C0B99">
        <w:rPr>
          <w:rFonts w:asciiTheme="minorHAnsi" w:eastAsiaTheme="majorEastAsia" w:hAnsiTheme="minorHAnsi" w:cstheme="majorBidi"/>
          <w:sz w:val="32"/>
          <w:szCs w:val="28"/>
          <w:lang w:eastAsia="en-US"/>
        </w:rPr>
        <w:t>PBAC Outcome</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The PBAC recommended the Restricted Benefit listing of PKU Start</w:t>
      </w:r>
      <w:r w:rsidRPr="005C0B99">
        <w:rPr>
          <w:rFonts w:ascii="Calibri" w:hAnsi="Calibri" w:cs="Calibri"/>
        </w:rPr>
        <w:t>®</w:t>
      </w:r>
      <w:r w:rsidRPr="005C0B99">
        <w:rPr>
          <w:rFonts w:asciiTheme="minorHAnsi" w:hAnsiTheme="minorHAnsi"/>
        </w:rPr>
        <w:t xml:space="preserve"> for the dietary management of phenylketonuria (PKU) on a cost-minimisation basis with PKU </w:t>
      </w:r>
      <w:proofErr w:type="spellStart"/>
      <w:r w:rsidRPr="005C0B99">
        <w:rPr>
          <w:rFonts w:asciiTheme="minorHAnsi" w:hAnsiTheme="minorHAnsi"/>
        </w:rPr>
        <w:t>Anamix</w:t>
      </w:r>
      <w:proofErr w:type="spellEnd"/>
      <w:r>
        <w:rPr>
          <w:rFonts w:asciiTheme="minorHAnsi" w:hAnsiTheme="minorHAnsi"/>
        </w:rPr>
        <w:t xml:space="preserve"> Infant</w:t>
      </w:r>
      <w:r w:rsidRPr="005C0B99">
        <w:rPr>
          <w:rFonts w:ascii="Calibri" w:hAnsi="Calibri" w:cs="Calibri"/>
        </w:rPr>
        <w:t>®</w:t>
      </w:r>
      <w:r w:rsidRPr="005C0B99">
        <w:rPr>
          <w:rFonts w:asciiTheme="minorHAnsi" w:hAnsiTheme="minorHAnsi"/>
        </w:rPr>
        <w:t>, at an equivalent price per gram of protein equivalent. In making this recommendation, the PBAC noted that PKU Baby</w:t>
      </w:r>
      <w:r w:rsidRPr="005C0B99">
        <w:rPr>
          <w:rFonts w:ascii="Calibri" w:hAnsi="Calibri" w:cs="Calibri"/>
        </w:rPr>
        <w:t>®</w:t>
      </w:r>
      <w:r w:rsidRPr="005C0B99">
        <w:rPr>
          <w:rFonts w:asciiTheme="minorHAnsi" w:hAnsiTheme="minorHAnsi"/>
        </w:rPr>
        <w:t xml:space="preserve"> was also listed on this basis.</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The PBAC also recommended the retention of PKU Baby</w:t>
      </w:r>
      <w:r w:rsidRPr="005C0B99">
        <w:rPr>
          <w:rFonts w:ascii="Calibri" w:hAnsi="Calibri" w:cs="Calibri"/>
        </w:rPr>
        <w:t>®</w:t>
      </w:r>
      <w:r w:rsidRPr="005C0B99">
        <w:rPr>
          <w:rFonts w:asciiTheme="minorHAnsi" w:hAnsiTheme="minorHAnsi"/>
        </w:rPr>
        <w:t xml:space="preserve"> on the PBS.</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PBAC recommended the </w:t>
      </w:r>
      <w:proofErr w:type="spellStart"/>
      <w:r w:rsidRPr="005C0B99">
        <w:rPr>
          <w:rFonts w:asciiTheme="minorHAnsi" w:hAnsiTheme="minorHAnsi"/>
        </w:rPr>
        <w:t>equi</w:t>
      </w:r>
      <w:proofErr w:type="spellEnd"/>
      <w:r w:rsidRPr="005C0B99">
        <w:rPr>
          <w:rFonts w:asciiTheme="minorHAnsi" w:hAnsiTheme="minorHAnsi"/>
        </w:rPr>
        <w:t>-effective doses were one gram of protein in PKU Start</w:t>
      </w:r>
      <w:r w:rsidRPr="005C0B99">
        <w:rPr>
          <w:rFonts w:ascii="Calibri" w:hAnsi="Calibri" w:cs="Calibri"/>
        </w:rPr>
        <w:t>®</w:t>
      </w:r>
      <w:r w:rsidRPr="005C0B99">
        <w:rPr>
          <w:rFonts w:asciiTheme="minorHAnsi" w:hAnsiTheme="minorHAnsi"/>
        </w:rPr>
        <w:t xml:space="preserve"> is equivalent to one gram of protein in PKU </w:t>
      </w:r>
      <w:proofErr w:type="spellStart"/>
      <w:r w:rsidRPr="005C0B99">
        <w:rPr>
          <w:rFonts w:asciiTheme="minorHAnsi" w:hAnsiTheme="minorHAnsi"/>
        </w:rPr>
        <w:t>Anamix</w:t>
      </w:r>
      <w:proofErr w:type="spellEnd"/>
      <w:r w:rsidRPr="005C0B99">
        <w:rPr>
          <w:rFonts w:asciiTheme="minorHAnsi" w:hAnsiTheme="minorHAnsi"/>
        </w:rPr>
        <w:t xml:space="preserve"> Infant</w:t>
      </w:r>
      <w:r>
        <w:rPr>
          <w:rFonts w:asciiTheme="minorHAnsi" w:hAnsiTheme="minorHAnsi"/>
        </w:rPr>
        <w:t>®</w:t>
      </w:r>
      <w:r w:rsidRPr="005C0B99">
        <w:rPr>
          <w:rFonts w:asciiTheme="minorHAnsi" w:hAnsiTheme="minorHAnsi"/>
        </w:rPr>
        <w:t>.</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 xml:space="preserve">The PBAC did not accept the arguments </w:t>
      </w:r>
      <w:r>
        <w:rPr>
          <w:rFonts w:asciiTheme="minorHAnsi" w:hAnsiTheme="minorHAnsi"/>
        </w:rPr>
        <w:t xml:space="preserve">by </w:t>
      </w:r>
      <w:r w:rsidRPr="005C0B99">
        <w:rPr>
          <w:rFonts w:asciiTheme="minorHAnsi" w:hAnsiTheme="minorHAnsi"/>
        </w:rPr>
        <w:t>the sponsor(s) of either PKU Start</w:t>
      </w:r>
      <w:r w:rsidRPr="005C0B99">
        <w:rPr>
          <w:rFonts w:ascii="Calibri" w:hAnsi="Calibri" w:cs="Calibri"/>
        </w:rPr>
        <w:t>®</w:t>
      </w:r>
      <w:r w:rsidRPr="005C0B99">
        <w:rPr>
          <w:rFonts w:asciiTheme="minorHAnsi" w:hAnsiTheme="minorHAnsi"/>
        </w:rPr>
        <w:t xml:space="preserve"> or PKU Baby</w:t>
      </w:r>
      <w:r w:rsidRPr="005C0B99">
        <w:rPr>
          <w:rFonts w:ascii="Calibri" w:hAnsi="Calibri" w:cs="Calibri"/>
        </w:rPr>
        <w:t>®</w:t>
      </w:r>
      <w:r w:rsidRPr="005C0B99">
        <w:rPr>
          <w:rFonts w:asciiTheme="minorHAnsi" w:hAnsiTheme="minorHAnsi"/>
        </w:rPr>
        <w:t xml:space="preserve"> concerning the timing of initiation of a second stage protein supplement in Australia, and agreed that both products provided an iron level below recommended daily intake (RDI) for that age group.</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However, the PBAC also agreed with the NPWP that there was a clinical need to ensure ongoing availability of infant PKU products on the PBS, and to ensure the availability of multiple brands in case of a shortage of these products.</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On balance, the PBAC considered that due to the clinical need it was appropriate to recommend the listing of PKU Start</w:t>
      </w:r>
      <w:r w:rsidRPr="005C0B99">
        <w:rPr>
          <w:rFonts w:ascii="Calibri" w:hAnsi="Calibri" w:cs="Calibri"/>
        </w:rPr>
        <w:t>®</w:t>
      </w:r>
      <w:r w:rsidRPr="005C0B99">
        <w:rPr>
          <w:rFonts w:asciiTheme="minorHAnsi" w:hAnsiTheme="minorHAnsi"/>
        </w:rPr>
        <w:t xml:space="preserve"> for PKU</w:t>
      </w:r>
      <w:r>
        <w:rPr>
          <w:rFonts w:asciiTheme="minorHAnsi" w:hAnsiTheme="minorHAnsi"/>
        </w:rPr>
        <w:t>. H</w:t>
      </w:r>
      <w:r w:rsidRPr="005C0B99">
        <w:rPr>
          <w:rFonts w:asciiTheme="minorHAnsi" w:hAnsiTheme="minorHAnsi"/>
        </w:rPr>
        <w:t>owever</w:t>
      </w:r>
      <w:r>
        <w:rPr>
          <w:rFonts w:asciiTheme="minorHAnsi" w:hAnsiTheme="minorHAnsi"/>
        </w:rPr>
        <w:t xml:space="preserve">, they </w:t>
      </w:r>
      <w:r w:rsidRPr="005C0B99">
        <w:rPr>
          <w:rFonts w:asciiTheme="minorHAnsi" w:hAnsiTheme="minorHAnsi"/>
        </w:rPr>
        <w:t xml:space="preserve">agreed with the NPWP </w:t>
      </w:r>
      <w:r w:rsidRPr="005C0B99">
        <w:rPr>
          <w:rFonts w:asciiTheme="minorHAnsi" w:hAnsiTheme="minorHAnsi"/>
        </w:rPr>
        <w:lastRenderedPageBreak/>
        <w:t>that an administrative note regarding the sub-RDI level of iron was appropriate to ensure prescribers were aware that iron intake from other sources would be required for infants being treated with PKU Start</w:t>
      </w:r>
      <w:r w:rsidRPr="005C0B99">
        <w:rPr>
          <w:rFonts w:ascii="Calibri" w:hAnsi="Calibri" w:cs="Calibri"/>
        </w:rPr>
        <w:t>®</w:t>
      </w:r>
      <w:r w:rsidRPr="005C0B99">
        <w:rPr>
          <w:rFonts w:asciiTheme="minorHAnsi" w:hAnsiTheme="minorHAnsi"/>
        </w:rPr>
        <w:t>. The PBAC also recommended the same administrative note be applied to the current listing of PKU Baby</w:t>
      </w:r>
      <w:r w:rsidRPr="005C0B99">
        <w:rPr>
          <w:rFonts w:ascii="Calibri" w:hAnsi="Calibri" w:cs="Calibri"/>
        </w:rPr>
        <w:t>®</w:t>
      </w:r>
      <w:r w:rsidRPr="005C0B99">
        <w:rPr>
          <w:rFonts w:asciiTheme="minorHAnsi" w:hAnsiTheme="minorHAnsi"/>
        </w:rPr>
        <w:t xml:space="preserve"> for the same reason</w:t>
      </w:r>
      <w:r w:rsidRPr="005C0B99">
        <w:rPr>
          <w:rFonts w:ascii="Calibri" w:hAnsi="Calibri" w:cs="Calibri"/>
        </w:rPr>
        <w:t>.</w:t>
      </w:r>
    </w:p>
    <w:p w:rsidR="00B90226" w:rsidRPr="005C0B99" w:rsidRDefault="00B90226" w:rsidP="00B90226">
      <w:pPr>
        <w:pStyle w:val="ListParagraph"/>
        <w:numPr>
          <w:ilvl w:val="1"/>
          <w:numId w:val="32"/>
        </w:numPr>
        <w:spacing w:before="120" w:after="120"/>
        <w:contextualSpacing w:val="0"/>
        <w:jc w:val="both"/>
        <w:rPr>
          <w:rFonts w:asciiTheme="minorHAnsi" w:hAnsiTheme="minorHAnsi"/>
        </w:rPr>
      </w:pPr>
      <w:r w:rsidRPr="005C0B99">
        <w:rPr>
          <w:rFonts w:asciiTheme="minorHAnsi" w:hAnsiTheme="minorHAnsi"/>
        </w:rPr>
        <w:t>The PBAC advised that similar to its previous recommendations for infant PKU products, PKU Start</w:t>
      </w:r>
      <w:r w:rsidRPr="005C0B99">
        <w:rPr>
          <w:rFonts w:ascii="Calibri" w:hAnsi="Calibri" w:cs="Calibri"/>
        </w:rPr>
        <w:t>®</w:t>
      </w:r>
      <w:r w:rsidRPr="005C0B99">
        <w:rPr>
          <w:rFonts w:asciiTheme="minorHAnsi" w:hAnsiTheme="minorHAnsi"/>
        </w:rPr>
        <w:t xml:space="preserve"> should not be treated as interchangeable on an individual patient basis with any other drugs.</w:t>
      </w:r>
    </w:p>
    <w:p w:rsidR="00B90226" w:rsidRPr="005C0B99" w:rsidRDefault="00B90226" w:rsidP="00B90226">
      <w:pPr>
        <w:widowControl w:val="0"/>
        <w:numPr>
          <w:ilvl w:val="1"/>
          <w:numId w:val="32"/>
        </w:numPr>
        <w:spacing w:after="120"/>
        <w:jc w:val="both"/>
        <w:rPr>
          <w:rFonts w:asciiTheme="minorHAnsi" w:hAnsiTheme="minorHAnsi"/>
          <w:bCs/>
        </w:rPr>
      </w:pPr>
      <w:r w:rsidRPr="005C0B99">
        <w:rPr>
          <w:rFonts w:asciiTheme="minorHAnsi" w:hAnsiTheme="minorHAnsi"/>
          <w:bCs/>
        </w:rPr>
        <w:t>The PBAC advised that the PKU Start</w:t>
      </w:r>
      <w:r w:rsidRPr="005C0B99">
        <w:rPr>
          <w:rFonts w:ascii="Calibri" w:hAnsi="Calibri" w:cs="Calibri"/>
        </w:rPr>
        <w:t>®</w:t>
      </w:r>
      <w:r w:rsidRPr="005C0B99">
        <w:rPr>
          <w:rFonts w:asciiTheme="minorHAnsi" w:hAnsiTheme="minorHAnsi"/>
          <w:bCs/>
        </w:rPr>
        <w:t xml:space="preserve"> brand of amino acid formula is suitable for prescribing by nurse practitioners, similar to the existing listings of PKU Baby</w:t>
      </w:r>
      <w:r w:rsidRPr="005C0B99">
        <w:rPr>
          <w:rFonts w:ascii="Calibri" w:hAnsi="Calibri" w:cs="Calibri"/>
        </w:rPr>
        <w:t>®</w:t>
      </w:r>
      <w:r w:rsidRPr="005C0B99">
        <w:rPr>
          <w:rFonts w:asciiTheme="minorHAnsi" w:hAnsiTheme="minorHAnsi"/>
          <w:bCs/>
        </w:rPr>
        <w:t xml:space="preserve"> and PKU </w:t>
      </w:r>
      <w:proofErr w:type="spellStart"/>
      <w:r w:rsidRPr="005C0B99">
        <w:rPr>
          <w:rFonts w:asciiTheme="minorHAnsi" w:hAnsiTheme="minorHAnsi"/>
          <w:bCs/>
        </w:rPr>
        <w:t>Anamix</w:t>
      </w:r>
      <w:proofErr w:type="spellEnd"/>
      <w:r w:rsidRPr="005C0B99">
        <w:rPr>
          <w:rFonts w:asciiTheme="minorHAnsi" w:hAnsiTheme="minorHAnsi"/>
          <w:bCs/>
        </w:rPr>
        <w:t xml:space="preserve"> Infant</w:t>
      </w:r>
      <w:r>
        <w:rPr>
          <w:rFonts w:asciiTheme="minorHAnsi" w:hAnsiTheme="minorHAnsi"/>
          <w:bCs/>
        </w:rPr>
        <w:t>®</w:t>
      </w:r>
      <w:r w:rsidRPr="005C0B99">
        <w:rPr>
          <w:rFonts w:asciiTheme="minorHAnsi" w:hAnsiTheme="minorHAnsi"/>
          <w:bCs/>
        </w:rPr>
        <w:t>.</w:t>
      </w:r>
    </w:p>
    <w:p w:rsidR="00B90226" w:rsidRPr="005C0B99" w:rsidRDefault="00B90226" w:rsidP="00B90226">
      <w:pPr>
        <w:widowControl w:val="0"/>
        <w:numPr>
          <w:ilvl w:val="1"/>
          <w:numId w:val="32"/>
        </w:numPr>
        <w:spacing w:after="120"/>
        <w:jc w:val="both"/>
        <w:rPr>
          <w:rFonts w:asciiTheme="minorHAnsi" w:hAnsiTheme="minorHAnsi"/>
          <w:bCs/>
        </w:rPr>
      </w:pPr>
      <w:r w:rsidRPr="005C0B99">
        <w:rPr>
          <w:rFonts w:asciiTheme="minorHAnsi" w:hAnsiTheme="minorHAnsi"/>
          <w:bCs/>
        </w:rPr>
        <w:t>The PBAC recommended that the Early Supply Rule should not apply as it has been the PBAC’s view that ge</w:t>
      </w:r>
      <w:r w:rsidR="006033C1">
        <w:rPr>
          <w:rFonts w:asciiTheme="minorHAnsi" w:hAnsiTheme="minorHAnsi"/>
          <w:bCs/>
        </w:rPr>
        <w:t>neral nutrients be exempt.</w:t>
      </w:r>
    </w:p>
    <w:p w:rsidR="00B90226" w:rsidRPr="000074AC" w:rsidRDefault="00B90226" w:rsidP="000074AC">
      <w:pPr>
        <w:widowControl w:val="0"/>
        <w:numPr>
          <w:ilvl w:val="1"/>
          <w:numId w:val="32"/>
        </w:numPr>
        <w:spacing w:after="120"/>
        <w:jc w:val="both"/>
        <w:rPr>
          <w:rFonts w:asciiTheme="minorHAnsi" w:hAnsiTheme="minorHAnsi"/>
          <w:b/>
          <w:bCs/>
        </w:rPr>
      </w:pPr>
      <w:r w:rsidRPr="005C0B99">
        <w:rPr>
          <w:rFonts w:asciiTheme="minorHAnsi" w:hAnsiTheme="minorHAnsi"/>
          <w:bCs/>
        </w:rPr>
        <w:t>The PBAC noted that this submission is not eligible for an Independent Review as it received a positive recommendation.</w:t>
      </w:r>
    </w:p>
    <w:p w:rsidR="00B90226" w:rsidRPr="005C0B99" w:rsidRDefault="00B90226" w:rsidP="00B90226">
      <w:pPr>
        <w:widowControl w:val="0"/>
        <w:spacing w:after="120"/>
        <w:jc w:val="both"/>
        <w:rPr>
          <w:rFonts w:asciiTheme="minorHAnsi" w:hAnsiTheme="minorHAnsi"/>
          <w:bCs/>
        </w:rPr>
      </w:pPr>
      <w:r w:rsidRPr="005C0B99">
        <w:rPr>
          <w:rFonts w:asciiTheme="minorHAnsi" w:hAnsiTheme="minorHAnsi"/>
          <w:b/>
          <w:bCs/>
        </w:rPr>
        <w:t>Outcome</w:t>
      </w:r>
      <w:proofErr w:type="gramStart"/>
      <w:r w:rsidRPr="005C0B99">
        <w:rPr>
          <w:rFonts w:asciiTheme="minorHAnsi" w:hAnsiTheme="minorHAnsi"/>
          <w:b/>
          <w:bCs/>
        </w:rPr>
        <w:t>:</w:t>
      </w:r>
      <w:bookmarkStart w:id="2" w:name="_GoBack"/>
      <w:bookmarkEnd w:id="2"/>
      <w:proofErr w:type="gramEnd"/>
      <w:r w:rsidRPr="005C0B99">
        <w:rPr>
          <w:rFonts w:asciiTheme="minorHAnsi" w:hAnsiTheme="minorHAnsi"/>
          <w:b/>
          <w:bCs/>
        </w:rPr>
        <w:br/>
      </w:r>
      <w:r w:rsidRPr="005C0B99">
        <w:rPr>
          <w:rFonts w:asciiTheme="minorHAnsi" w:hAnsiTheme="minorHAnsi"/>
          <w:bCs/>
        </w:rPr>
        <w:t>PKU Start</w:t>
      </w:r>
      <w:r w:rsidRPr="005C0B99">
        <w:rPr>
          <w:rFonts w:ascii="Calibri" w:hAnsi="Calibri" w:cs="Calibri"/>
        </w:rPr>
        <w:t>®</w:t>
      </w:r>
      <w:r w:rsidRPr="005C0B99">
        <w:rPr>
          <w:rFonts w:asciiTheme="minorHAnsi" w:hAnsiTheme="minorHAnsi"/>
          <w:bCs/>
        </w:rPr>
        <w:t xml:space="preserve"> brand – New listing – Recommended</w:t>
      </w:r>
    </w:p>
    <w:p w:rsidR="00B90226" w:rsidRPr="000074AC" w:rsidRDefault="00B90226" w:rsidP="000074AC">
      <w:pPr>
        <w:widowControl w:val="0"/>
        <w:spacing w:after="120"/>
        <w:jc w:val="both"/>
        <w:rPr>
          <w:rFonts w:asciiTheme="minorHAnsi" w:hAnsiTheme="minorHAnsi"/>
          <w:b/>
          <w:bCs/>
        </w:rPr>
      </w:pPr>
      <w:r w:rsidRPr="005C0B99">
        <w:rPr>
          <w:rFonts w:asciiTheme="minorHAnsi" w:hAnsiTheme="minorHAnsi"/>
          <w:bCs/>
        </w:rPr>
        <w:t>PKU Baby</w:t>
      </w:r>
      <w:r w:rsidRPr="005C0B99">
        <w:rPr>
          <w:rFonts w:ascii="Calibri" w:hAnsi="Calibri" w:cs="Calibri"/>
        </w:rPr>
        <w:t>®</w:t>
      </w:r>
      <w:r w:rsidRPr="005C0B99">
        <w:rPr>
          <w:rFonts w:asciiTheme="minorHAnsi" w:hAnsiTheme="minorHAnsi"/>
          <w:bCs/>
        </w:rPr>
        <w:t xml:space="preserve"> brand – amend listing - Recommended</w:t>
      </w:r>
    </w:p>
    <w:p w:rsidR="00B90226" w:rsidRPr="005C0B99" w:rsidRDefault="00B90226" w:rsidP="00B90226">
      <w:pPr>
        <w:rPr>
          <w:rFonts w:asciiTheme="minorHAnsi" w:hAnsiTheme="minorHAnsi"/>
          <w:bCs/>
          <w:highlight w:val="yellow"/>
        </w:rPr>
      </w:pPr>
      <w:r>
        <w:rPr>
          <w:rFonts w:asciiTheme="minorHAnsi" w:hAnsiTheme="minorHAnsi"/>
          <w:bCs/>
          <w:highlight w:val="yellow"/>
        </w:rPr>
        <w:br w:type="page"/>
      </w:r>
    </w:p>
    <w:p w:rsidR="003A7A08" w:rsidRPr="005C0B99" w:rsidRDefault="003A7A08" w:rsidP="003A7A08">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lastRenderedPageBreak/>
        <w:t>Rec</w:t>
      </w:r>
      <w:r w:rsidR="006033C1">
        <w:rPr>
          <w:rFonts w:asciiTheme="minorHAnsi" w:eastAsiaTheme="majorEastAsia" w:hAnsiTheme="minorHAnsi" w:cstheme="majorBidi"/>
          <w:sz w:val="32"/>
          <w:szCs w:val="28"/>
          <w:lang w:eastAsia="en-US"/>
        </w:rPr>
        <w:t>ommended listing</w:t>
      </w:r>
    </w:p>
    <w:p w:rsidR="00B90226" w:rsidRPr="005C0B99" w:rsidRDefault="00B90226" w:rsidP="00B90226">
      <w:pPr>
        <w:widowControl w:val="0"/>
        <w:numPr>
          <w:ilvl w:val="1"/>
          <w:numId w:val="32"/>
        </w:numPr>
        <w:spacing w:after="120"/>
        <w:jc w:val="both"/>
        <w:rPr>
          <w:rFonts w:asciiTheme="minorHAnsi" w:hAnsiTheme="minorHAnsi"/>
          <w:b/>
          <w:bCs/>
        </w:rPr>
      </w:pPr>
      <w:r w:rsidRPr="005C0B99">
        <w:rPr>
          <w:rFonts w:asciiTheme="minorHAnsi" w:hAnsiTheme="minorHAnsi"/>
          <w:bCs/>
        </w:rPr>
        <w:t>Add new item:</w:t>
      </w:r>
    </w:p>
    <w:tbl>
      <w:tblPr>
        <w:tblW w:w="4920" w:type="pct"/>
        <w:tblLook w:val="0000" w:firstRow="0" w:lastRow="0" w:firstColumn="0" w:lastColumn="0" w:noHBand="0" w:noVBand="0"/>
      </w:tblPr>
      <w:tblGrid>
        <w:gridCol w:w="1980"/>
        <w:gridCol w:w="1530"/>
        <w:gridCol w:w="849"/>
        <w:gridCol w:w="729"/>
        <w:gridCol w:w="262"/>
        <w:gridCol w:w="1277"/>
        <w:gridCol w:w="2443"/>
        <w:gridCol w:w="24"/>
      </w:tblGrid>
      <w:tr w:rsidR="00B90226" w:rsidRPr="005C0B99" w:rsidTr="00680088">
        <w:trPr>
          <w:cantSplit/>
          <w:trHeight w:val="471"/>
        </w:trPr>
        <w:tc>
          <w:tcPr>
            <w:tcW w:w="1930" w:type="pct"/>
            <w:gridSpan w:val="2"/>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Name, Restriction,</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Manner of administration and form</w:t>
            </w:r>
          </w:p>
        </w:tc>
        <w:tc>
          <w:tcPr>
            <w:tcW w:w="467"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Max.</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Qty</w:t>
            </w:r>
          </w:p>
        </w:tc>
        <w:tc>
          <w:tcPr>
            <w:tcW w:w="401"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№.of</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Rpts</w:t>
            </w:r>
          </w:p>
        </w:tc>
        <w:tc>
          <w:tcPr>
            <w:tcW w:w="144"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p>
        </w:tc>
        <w:tc>
          <w:tcPr>
            <w:tcW w:w="2059" w:type="pct"/>
            <w:gridSpan w:val="3"/>
            <w:tcBorders>
              <w:bottom w:val="single" w:sz="4" w:space="0" w:color="auto"/>
            </w:tcBorders>
          </w:tcPr>
          <w:p w:rsidR="00B90226" w:rsidRPr="005C0B99" w:rsidRDefault="00B90226" w:rsidP="00680088">
            <w:pPr>
              <w:keepNext/>
              <w:jc w:val="both"/>
              <w:rPr>
                <w:rFonts w:ascii="Arial Narrow" w:hAnsi="Arial Narrow" w:cs="Arial"/>
                <w:b/>
                <w:sz w:val="20"/>
                <w:szCs w:val="20"/>
              </w:rPr>
            </w:pPr>
            <w:r w:rsidRPr="005C0B99">
              <w:rPr>
                <w:rFonts w:ascii="Arial Narrow" w:hAnsi="Arial Narrow" w:cs="Arial"/>
                <w:b/>
                <w:sz w:val="20"/>
                <w:szCs w:val="20"/>
              </w:rPr>
              <w:t>Proprietary Name and Manufacturer</w:t>
            </w:r>
          </w:p>
        </w:tc>
      </w:tr>
      <w:tr w:rsidR="00B90226" w:rsidRPr="005C0B99" w:rsidTr="00680088">
        <w:trPr>
          <w:cantSplit/>
          <w:trHeight w:val="577"/>
        </w:trPr>
        <w:tc>
          <w:tcPr>
            <w:tcW w:w="1930" w:type="pct"/>
            <w:gridSpan w:val="2"/>
          </w:tcPr>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mallCaps/>
                <w:sz w:val="20"/>
                <w:szCs w:val="20"/>
              </w:rPr>
              <w:t xml:space="preserve">amino acid formula with vitamins, minerals and long chain polyunsaturated fatty acids without phenylalanine </w:t>
            </w: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powder for oral liquid, 400 g</w:t>
            </w:r>
          </w:p>
        </w:tc>
        <w:tc>
          <w:tcPr>
            <w:tcW w:w="467" w:type="pct"/>
          </w:tcPr>
          <w:p w:rsidR="00B90226" w:rsidRPr="005C0B99" w:rsidRDefault="00B90226" w:rsidP="00680088">
            <w:pPr>
              <w:keepNext/>
              <w:ind w:left="-108"/>
              <w:jc w:val="both"/>
              <w:rPr>
                <w:rFonts w:ascii="Arial Narrow" w:hAnsi="Arial Narrow" w:cs="Arial"/>
                <w:sz w:val="20"/>
                <w:szCs w:val="20"/>
              </w:rPr>
            </w:pP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8</w:t>
            </w:r>
          </w:p>
        </w:tc>
        <w:tc>
          <w:tcPr>
            <w:tcW w:w="401" w:type="pct"/>
          </w:tcPr>
          <w:p w:rsidR="00B90226" w:rsidRPr="005C0B99" w:rsidRDefault="00B90226" w:rsidP="00680088">
            <w:pPr>
              <w:keepNext/>
              <w:ind w:left="-108"/>
              <w:jc w:val="both"/>
              <w:rPr>
                <w:rFonts w:ascii="Arial Narrow" w:hAnsi="Arial Narrow" w:cs="Arial"/>
                <w:sz w:val="20"/>
                <w:szCs w:val="20"/>
              </w:rPr>
            </w:pP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5</w:t>
            </w:r>
          </w:p>
        </w:tc>
        <w:tc>
          <w:tcPr>
            <w:tcW w:w="144" w:type="pct"/>
          </w:tcPr>
          <w:p w:rsidR="00B90226" w:rsidRPr="005C0B99" w:rsidRDefault="00B90226" w:rsidP="00680088">
            <w:pPr>
              <w:keepNext/>
              <w:ind w:left="-108"/>
              <w:jc w:val="both"/>
              <w:rPr>
                <w:rFonts w:ascii="Arial Narrow" w:hAnsi="Arial Narrow" w:cs="Arial"/>
                <w:sz w:val="20"/>
                <w:szCs w:val="20"/>
              </w:rPr>
            </w:pPr>
          </w:p>
        </w:tc>
        <w:tc>
          <w:tcPr>
            <w:tcW w:w="702" w:type="pct"/>
          </w:tcPr>
          <w:p w:rsidR="00B90226" w:rsidRPr="005C0B99" w:rsidRDefault="00B90226" w:rsidP="00680088">
            <w:pPr>
              <w:keepNext/>
              <w:jc w:val="both"/>
              <w:rPr>
                <w:rFonts w:ascii="Arial Narrow" w:hAnsi="Arial Narrow" w:cs="Arial"/>
                <w:sz w:val="20"/>
                <w:szCs w:val="20"/>
              </w:rPr>
            </w:pPr>
          </w:p>
          <w:p w:rsidR="00B90226" w:rsidRPr="005C0B99" w:rsidRDefault="00B90226" w:rsidP="00680088">
            <w:pPr>
              <w:keepNext/>
              <w:jc w:val="both"/>
              <w:rPr>
                <w:rFonts w:ascii="Arial Narrow" w:hAnsi="Arial Narrow" w:cs="Arial"/>
                <w:sz w:val="20"/>
                <w:szCs w:val="20"/>
              </w:rPr>
            </w:pPr>
            <w:r w:rsidRPr="005C0B99">
              <w:rPr>
                <w:rFonts w:ascii="Arial Narrow" w:hAnsi="Arial Narrow" w:cs="Arial"/>
                <w:sz w:val="20"/>
                <w:szCs w:val="20"/>
              </w:rPr>
              <w:t>PKU Start</w:t>
            </w:r>
            <w:r>
              <w:rPr>
                <w:rFonts w:asciiTheme="minorHAnsi" w:hAnsiTheme="minorHAnsi"/>
              </w:rPr>
              <w:t>®</w:t>
            </w:r>
          </w:p>
        </w:tc>
        <w:tc>
          <w:tcPr>
            <w:tcW w:w="1356" w:type="pct"/>
            <w:gridSpan w:val="2"/>
          </w:tcPr>
          <w:p w:rsidR="00B90226" w:rsidRPr="005C0B99" w:rsidRDefault="00B90226" w:rsidP="00680088">
            <w:pPr>
              <w:keepNext/>
              <w:jc w:val="both"/>
              <w:rPr>
                <w:rFonts w:ascii="Arial Narrow" w:hAnsi="Arial Narrow" w:cs="Arial"/>
                <w:sz w:val="20"/>
                <w:szCs w:val="20"/>
              </w:rPr>
            </w:pPr>
          </w:p>
          <w:p w:rsidR="00B90226" w:rsidRPr="005C0B99" w:rsidRDefault="00B90226" w:rsidP="00680088">
            <w:pPr>
              <w:keepNext/>
              <w:jc w:val="both"/>
              <w:rPr>
                <w:rFonts w:ascii="Arial Narrow" w:hAnsi="Arial Narrow" w:cs="Arial"/>
                <w:sz w:val="20"/>
                <w:szCs w:val="20"/>
              </w:rPr>
            </w:pPr>
            <w:r w:rsidRPr="005C0B99">
              <w:rPr>
                <w:rFonts w:ascii="Arial Narrow" w:hAnsi="Arial Narrow" w:cs="Arial"/>
                <w:sz w:val="20"/>
                <w:szCs w:val="20"/>
              </w:rPr>
              <w:t xml:space="preserve">Vitaflo Australia Pty Ltd </w:t>
            </w:r>
          </w:p>
        </w:tc>
      </w:tr>
      <w:tr w:rsidR="00B90226" w:rsidRPr="005C0B99" w:rsidTr="00680088">
        <w:trPr>
          <w:gridAfter w:val="1"/>
          <w:wAfter w:w="13" w:type="pct"/>
          <w:cantSplit/>
          <w:trHeight w:val="360"/>
        </w:trPr>
        <w:tc>
          <w:tcPr>
            <w:tcW w:w="4987" w:type="pct"/>
            <w:gridSpan w:val="7"/>
            <w:tcBorders>
              <w:bottom w:val="single" w:sz="4" w:space="0" w:color="auto"/>
            </w:tcBorders>
          </w:tcPr>
          <w:p w:rsidR="00B90226" w:rsidRPr="005C0B99" w:rsidRDefault="00B90226" w:rsidP="00680088">
            <w:pPr>
              <w:jc w:val="both"/>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 xml:space="preserve">Category / </w:t>
            </w:r>
          </w:p>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Program</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GENERAL – General Schedule (Code GE)</w:t>
            </w:r>
          </w:p>
          <w:p w:rsidR="00B90226" w:rsidRPr="005C0B99" w:rsidRDefault="00B90226" w:rsidP="00680088">
            <w:pPr>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Prescriber type:</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1"/>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Dental  </w:t>
            </w:r>
            <w:r w:rsidRPr="005C0B99">
              <w:rPr>
                <w:rFonts w:ascii="Arial Narrow" w:hAnsi="Arial Narrow" w:cs="Arial"/>
                <w:sz w:val="20"/>
                <w:szCs w:val="20"/>
              </w:rPr>
              <w:fldChar w:fldCharType="begin">
                <w:ffData>
                  <w:name w:val=""/>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Medical Practitioners  </w:t>
            </w:r>
            <w:r w:rsidRPr="005C0B99">
              <w:rPr>
                <w:rFonts w:ascii="Arial Narrow" w:hAnsi="Arial Narrow" w:cs="Arial"/>
                <w:sz w:val="20"/>
                <w:szCs w:val="20"/>
              </w:rPr>
              <w:fldChar w:fldCharType="begin">
                <w:ffData>
                  <w:name w:val="Check3"/>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Nurse practitioners  </w:t>
            </w:r>
            <w:r w:rsidRPr="005C0B99">
              <w:rPr>
                <w:rFonts w:ascii="Arial Narrow" w:hAnsi="Arial Narrow" w:cs="Arial"/>
                <w:sz w:val="20"/>
                <w:szCs w:val="20"/>
              </w:rPr>
              <w:fldChar w:fldCharType="begin">
                <w:ffData>
                  <w:name w:val=""/>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Optometrists</w:t>
            </w:r>
          </w:p>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5"/>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Midwives</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Condition:</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Phenylketonuria</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PBS Indication:</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Phenylketonuria</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Restriction Level / Method:</w:t>
            </w:r>
          </w:p>
          <w:p w:rsidR="00B90226" w:rsidRPr="005C0B99" w:rsidRDefault="00B90226" w:rsidP="00680088">
            <w:pPr>
              <w:rPr>
                <w:rFonts w:ascii="Arial Narrow" w:hAnsi="Arial Narrow" w:cs="Arial"/>
                <w:sz w:val="20"/>
                <w:szCs w:val="20"/>
              </w:rPr>
            </w:pP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1"/>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Restricted benefit</w:t>
            </w:r>
          </w:p>
          <w:p w:rsidR="00B90226" w:rsidRPr="005C0B99" w:rsidRDefault="00B90226" w:rsidP="00680088">
            <w:pPr>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Administrative advice</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i/>
                <w:sz w:val="20"/>
                <w:szCs w:val="20"/>
              </w:rPr>
            </w:pPr>
            <w:r w:rsidRPr="00B86435">
              <w:rPr>
                <w:rFonts w:ascii="Arial Narrow" w:hAnsi="Arial Narrow" w:cs="Arial"/>
                <w:i/>
                <w:sz w:val="20"/>
                <w:szCs w:val="20"/>
              </w:rPr>
              <w:t>The level of iron in this product is below the recom</w:t>
            </w:r>
            <w:r>
              <w:rPr>
                <w:rFonts w:ascii="Arial Narrow" w:hAnsi="Arial Narrow" w:cs="Arial"/>
                <w:i/>
                <w:sz w:val="20"/>
                <w:szCs w:val="20"/>
              </w:rPr>
              <w:t>mended daily intake (RDI)</w:t>
            </w:r>
            <w:r w:rsidRPr="00B86435">
              <w:rPr>
                <w:rFonts w:ascii="Arial Narrow" w:hAnsi="Arial Narrow" w:cs="Arial"/>
                <w:i/>
                <w:sz w:val="20"/>
                <w:szCs w:val="20"/>
              </w:rPr>
              <w:t xml:space="preserve"> for infants and should be supplemented by other sources where appropriate.</w:t>
            </w:r>
          </w:p>
        </w:tc>
      </w:tr>
    </w:tbl>
    <w:p w:rsidR="00B90226" w:rsidRPr="005C0B99" w:rsidRDefault="00B90226" w:rsidP="00B90226">
      <w:pPr>
        <w:widowControl w:val="0"/>
        <w:spacing w:after="120"/>
        <w:ind w:left="720"/>
        <w:jc w:val="both"/>
        <w:rPr>
          <w:rFonts w:asciiTheme="minorHAnsi" w:hAnsiTheme="minorHAnsi"/>
          <w:b/>
          <w:bCs/>
          <w:highlight w:val="yellow"/>
        </w:rPr>
      </w:pPr>
    </w:p>
    <w:p w:rsidR="00B90226" w:rsidRPr="005C0B99" w:rsidRDefault="00B90226" w:rsidP="00B90226">
      <w:pPr>
        <w:widowControl w:val="0"/>
        <w:numPr>
          <w:ilvl w:val="1"/>
          <w:numId w:val="32"/>
        </w:numPr>
        <w:spacing w:after="120"/>
        <w:jc w:val="both"/>
        <w:rPr>
          <w:rFonts w:asciiTheme="minorHAnsi" w:hAnsiTheme="minorHAnsi"/>
          <w:b/>
          <w:bCs/>
        </w:rPr>
      </w:pPr>
      <w:r w:rsidRPr="005C0B99">
        <w:rPr>
          <w:rFonts w:asciiTheme="minorHAnsi" w:hAnsiTheme="minorHAnsi"/>
          <w:bCs/>
        </w:rPr>
        <w:t>Amend existing listing as follows:</w:t>
      </w:r>
    </w:p>
    <w:tbl>
      <w:tblPr>
        <w:tblW w:w="4920" w:type="pct"/>
        <w:tblLook w:val="0000" w:firstRow="0" w:lastRow="0" w:firstColumn="0" w:lastColumn="0" w:noHBand="0" w:noVBand="0"/>
      </w:tblPr>
      <w:tblGrid>
        <w:gridCol w:w="1980"/>
        <w:gridCol w:w="1530"/>
        <w:gridCol w:w="849"/>
        <w:gridCol w:w="729"/>
        <w:gridCol w:w="262"/>
        <w:gridCol w:w="1277"/>
        <w:gridCol w:w="2443"/>
        <w:gridCol w:w="24"/>
      </w:tblGrid>
      <w:tr w:rsidR="00B90226" w:rsidRPr="005C0B99" w:rsidTr="00680088">
        <w:trPr>
          <w:cantSplit/>
          <w:trHeight w:val="471"/>
        </w:trPr>
        <w:tc>
          <w:tcPr>
            <w:tcW w:w="1930" w:type="pct"/>
            <w:gridSpan w:val="2"/>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Name, Restriction,</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Manner of administration and form</w:t>
            </w:r>
          </w:p>
        </w:tc>
        <w:tc>
          <w:tcPr>
            <w:tcW w:w="467"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Max.</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Qty</w:t>
            </w:r>
          </w:p>
        </w:tc>
        <w:tc>
          <w:tcPr>
            <w:tcW w:w="401"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№.of</w:t>
            </w:r>
          </w:p>
          <w:p w:rsidR="00B90226" w:rsidRPr="005C0B99" w:rsidRDefault="00B90226" w:rsidP="00680088">
            <w:pPr>
              <w:keepNext/>
              <w:ind w:left="-108"/>
              <w:jc w:val="both"/>
              <w:rPr>
                <w:rFonts w:ascii="Arial Narrow" w:hAnsi="Arial Narrow" w:cs="Arial"/>
                <w:b/>
                <w:sz w:val="20"/>
                <w:szCs w:val="20"/>
              </w:rPr>
            </w:pPr>
            <w:r w:rsidRPr="005C0B99">
              <w:rPr>
                <w:rFonts w:ascii="Arial Narrow" w:hAnsi="Arial Narrow" w:cs="Arial"/>
                <w:b/>
                <w:sz w:val="20"/>
                <w:szCs w:val="20"/>
              </w:rPr>
              <w:t>Rpts</w:t>
            </w:r>
          </w:p>
        </w:tc>
        <w:tc>
          <w:tcPr>
            <w:tcW w:w="144" w:type="pct"/>
            <w:tcBorders>
              <w:bottom w:val="single" w:sz="4" w:space="0" w:color="auto"/>
            </w:tcBorders>
          </w:tcPr>
          <w:p w:rsidR="00B90226" w:rsidRPr="005C0B99" w:rsidRDefault="00B90226" w:rsidP="00680088">
            <w:pPr>
              <w:keepNext/>
              <w:ind w:left="-108"/>
              <w:jc w:val="both"/>
              <w:rPr>
                <w:rFonts w:ascii="Arial Narrow" w:hAnsi="Arial Narrow" w:cs="Arial"/>
                <w:b/>
                <w:sz w:val="20"/>
                <w:szCs w:val="20"/>
              </w:rPr>
            </w:pPr>
          </w:p>
        </w:tc>
        <w:tc>
          <w:tcPr>
            <w:tcW w:w="2059" w:type="pct"/>
            <w:gridSpan w:val="3"/>
            <w:tcBorders>
              <w:bottom w:val="single" w:sz="4" w:space="0" w:color="auto"/>
            </w:tcBorders>
          </w:tcPr>
          <w:p w:rsidR="00B90226" w:rsidRPr="005C0B99" w:rsidRDefault="00B90226" w:rsidP="00680088">
            <w:pPr>
              <w:keepNext/>
              <w:jc w:val="both"/>
              <w:rPr>
                <w:rFonts w:ascii="Arial Narrow" w:hAnsi="Arial Narrow" w:cs="Arial"/>
                <w:b/>
                <w:sz w:val="20"/>
                <w:szCs w:val="20"/>
              </w:rPr>
            </w:pPr>
            <w:r w:rsidRPr="005C0B99">
              <w:rPr>
                <w:rFonts w:ascii="Arial Narrow" w:hAnsi="Arial Narrow" w:cs="Arial"/>
                <w:b/>
                <w:sz w:val="20"/>
                <w:szCs w:val="20"/>
              </w:rPr>
              <w:t>Proprietary Name and Manufacturer</w:t>
            </w:r>
          </w:p>
        </w:tc>
      </w:tr>
      <w:tr w:rsidR="00B90226" w:rsidRPr="005C0B99" w:rsidTr="00680088">
        <w:trPr>
          <w:cantSplit/>
          <w:trHeight w:val="577"/>
        </w:trPr>
        <w:tc>
          <w:tcPr>
            <w:tcW w:w="1930" w:type="pct"/>
            <w:gridSpan w:val="2"/>
          </w:tcPr>
          <w:p w:rsidR="00B90226" w:rsidRPr="005C0B99" w:rsidRDefault="00B90226" w:rsidP="00680088">
            <w:pPr>
              <w:keepNext/>
              <w:ind w:left="-108"/>
              <w:jc w:val="both"/>
              <w:rPr>
                <w:rFonts w:ascii="Arial Narrow" w:hAnsi="Arial Narrow" w:cs="Arial"/>
                <w:smallCaps/>
                <w:sz w:val="20"/>
                <w:szCs w:val="20"/>
              </w:rPr>
            </w:pPr>
            <w:r w:rsidRPr="005C0B99">
              <w:rPr>
                <w:rFonts w:ascii="Arial Narrow" w:hAnsi="Arial Narrow" w:cs="Arial"/>
                <w:smallCaps/>
                <w:sz w:val="20"/>
                <w:szCs w:val="20"/>
              </w:rPr>
              <w:t>amino acid formula with fat, carbohydrate, vitamins, minerals and long chain polyunsaturated fatty acids without phenylalanine and supplemented with docosahexaenoic acid</w:t>
            </w: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oral liquid, 20 x 500 mL bottles</w:t>
            </w:r>
          </w:p>
        </w:tc>
        <w:tc>
          <w:tcPr>
            <w:tcW w:w="467" w:type="pct"/>
          </w:tcPr>
          <w:p w:rsidR="00B90226" w:rsidRPr="005C0B99" w:rsidRDefault="00B90226" w:rsidP="00680088">
            <w:pPr>
              <w:keepNext/>
              <w:ind w:left="-108"/>
              <w:jc w:val="both"/>
              <w:rPr>
                <w:rFonts w:ascii="Arial Narrow" w:hAnsi="Arial Narrow" w:cs="Arial"/>
                <w:sz w:val="20"/>
                <w:szCs w:val="20"/>
              </w:rPr>
            </w:pP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2</w:t>
            </w:r>
          </w:p>
        </w:tc>
        <w:tc>
          <w:tcPr>
            <w:tcW w:w="401" w:type="pct"/>
          </w:tcPr>
          <w:p w:rsidR="00B90226" w:rsidRPr="005C0B99" w:rsidRDefault="00B90226" w:rsidP="00680088">
            <w:pPr>
              <w:keepNext/>
              <w:ind w:left="-108"/>
              <w:jc w:val="both"/>
              <w:rPr>
                <w:rFonts w:ascii="Arial Narrow" w:hAnsi="Arial Narrow" w:cs="Arial"/>
                <w:sz w:val="20"/>
                <w:szCs w:val="20"/>
              </w:rPr>
            </w:pPr>
          </w:p>
          <w:p w:rsidR="00B90226" w:rsidRPr="005C0B99" w:rsidRDefault="00B90226" w:rsidP="00680088">
            <w:pPr>
              <w:keepNext/>
              <w:ind w:left="-108"/>
              <w:jc w:val="both"/>
              <w:rPr>
                <w:rFonts w:ascii="Arial Narrow" w:hAnsi="Arial Narrow" w:cs="Arial"/>
                <w:sz w:val="20"/>
                <w:szCs w:val="20"/>
              </w:rPr>
            </w:pPr>
            <w:r w:rsidRPr="005C0B99">
              <w:rPr>
                <w:rFonts w:ascii="Arial Narrow" w:hAnsi="Arial Narrow" w:cs="Arial"/>
                <w:sz w:val="20"/>
                <w:szCs w:val="20"/>
              </w:rPr>
              <w:t>5</w:t>
            </w:r>
          </w:p>
        </w:tc>
        <w:tc>
          <w:tcPr>
            <w:tcW w:w="144" w:type="pct"/>
          </w:tcPr>
          <w:p w:rsidR="00B90226" w:rsidRPr="005C0B99" w:rsidRDefault="00B90226" w:rsidP="00680088">
            <w:pPr>
              <w:keepNext/>
              <w:ind w:left="-108"/>
              <w:jc w:val="both"/>
              <w:rPr>
                <w:rFonts w:ascii="Arial Narrow" w:hAnsi="Arial Narrow" w:cs="Arial"/>
                <w:sz w:val="20"/>
                <w:szCs w:val="20"/>
              </w:rPr>
            </w:pPr>
          </w:p>
        </w:tc>
        <w:tc>
          <w:tcPr>
            <w:tcW w:w="702" w:type="pct"/>
          </w:tcPr>
          <w:p w:rsidR="00B90226" w:rsidRPr="005C0B99" w:rsidRDefault="00B90226" w:rsidP="00680088">
            <w:pPr>
              <w:keepNext/>
              <w:jc w:val="both"/>
              <w:rPr>
                <w:rFonts w:ascii="Arial Narrow" w:hAnsi="Arial Narrow" w:cs="Arial"/>
                <w:sz w:val="20"/>
                <w:szCs w:val="20"/>
              </w:rPr>
            </w:pPr>
          </w:p>
          <w:p w:rsidR="00B90226" w:rsidRPr="005C0B99" w:rsidRDefault="00B90226" w:rsidP="00680088">
            <w:pPr>
              <w:keepNext/>
              <w:jc w:val="both"/>
              <w:rPr>
                <w:rFonts w:ascii="Arial Narrow" w:hAnsi="Arial Narrow" w:cs="Arial"/>
                <w:sz w:val="20"/>
                <w:szCs w:val="20"/>
              </w:rPr>
            </w:pPr>
            <w:r w:rsidRPr="005C0B99">
              <w:rPr>
                <w:rFonts w:ascii="Arial Narrow" w:hAnsi="Arial Narrow" w:cs="Arial"/>
                <w:sz w:val="20"/>
                <w:szCs w:val="20"/>
              </w:rPr>
              <w:t>PKU Baby</w:t>
            </w:r>
            <w:r>
              <w:rPr>
                <w:rFonts w:asciiTheme="minorHAnsi" w:hAnsiTheme="minorHAnsi"/>
              </w:rPr>
              <w:t>®</w:t>
            </w:r>
          </w:p>
        </w:tc>
        <w:tc>
          <w:tcPr>
            <w:tcW w:w="1356" w:type="pct"/>
            <w:gridSpan w:val="2"/>
          </w:tcPr>
          <w:p w:rsidR="00B90226" w:rsidRPr="005C0B99" w:rsidRDefault="00B90226" w:rsidP="00680088">
            <w:pPr>
              <w:keepNext/>
              <w:jc w:val="both"/>
              <w:rPr>
                <w:rFonts w:ascii="Arial Narrow" w:hAnsi="Arial Narrow" w:cs="Arial"/>
                <w:sz w:val="20"/>
                <w:szCs w:val="20"/>
              </w:rPr>
            </w:pPr>
          </w:p>
          <w:p w:rsidR="00B90226" w:rsidRPr="005C0B99" w:rsidRDefault="00B90226" w:rsidP="00680088">
            <w:pPr>
              <w:keepNext/>
              <w:jc w:val="both"/>
              <w:rPr>
                <w:rFonts w:ascii="Arial Narrow" w:hAnsi="Arial Narrow" w:cs="Arial"/>
                <w:sz w:val="20"/>
                <w:szCs w:val="20"/>
              </w:rPr>
            </w:pPr>
            <w:r w:rsidRPr="005C0B99">
              <w:rPr>
                <w:rFonts w:ascii="Arial Narrow" w:hAnsi="Arial Narrow" w:cs="Arial"/>
                <w:sz w:val="20"/>
                <w:szCs w:val="20"/>
              </w:rPr>
              <w:t xml:space="preserve">Orpharma Pty Ltd </w:t>
            </w:r>
          </w:p>
        </w:tc>
      </w:tr>
      <w:tr w:rsidR="00B90226" w:rsidRPr="005C0B99" w:rsidTr="00680088">
        <w:trPr>
          <w:gridAfter w:val="1"/>
          <w:wAfter w:w="13" w:type="pct"/>
          <w:cantSplit/>
          <w:trHeight w:val="360"/>
        </w:trPr>
        <w:tc>
          <w:tcPr>
            <w:tcW w:w="4987" w:type="pct"/>
            <w:gridSpan w:val="7"/>
            <w:tcBorders>
              <w:bottom w:val="single" w:sz="4" w:space="0" w:color="auto"/>
            </w:tcBorders>
          </w:tcPr>
          <w:p w:rsidR="00B90226" w:rsidRPr="005C0B99" w:rsidRDefault="00B90226" w:rsidP="00680088">
            <w:pPr>
              <w:jc w:val="both"/>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 xml:space="preserve">Category / </w:t>
            </w:r>
          </w:p>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Program</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GENERAL – General Schedule (Code GE)</w:t>
            </w:r>
          </w:p>
          <w:p w:rsidR="00B90226" w:rsidRPr="005C0B99" w:rsidRDefault="00B90226" w:rsidP="00680088">
            <w:pPr>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Prescriber type:</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1"/>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Dental  </w:t>
            </w:r>
            <w:r w:rsidRPr="005C0B99">
              <w:rPr>
                <w:rFonts w:ascii="Arial Narrow" w:hAnsi="Arial Narrow" w:cs="Arial"/>
                <w:sz w:val="20"/>
                <w:szCs w:val="20"/>
              </w:rPr>
              <w:fldChar w:fldCharType="begin">
                <w:ffData>
                  <w:name w:val=""/>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Medical Practitioners  </w:t>
            </w:r>
            <w:r w:rsidRPr="005C0B99">
              <w:rPr>
                <w:rFonts w:ascii="Arial Narrow" w:hAnsi="Arial Narrow" w:cs="Arial"/>
                <w:sz w:val="20"/>
                <w:szCs w:val="20"/>
              </w:rPr>
              <w:fldChar w:fldCharType="begin">
                <w:ffData>
                  <w:name w:val="Check3"/>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 xml:space="preserve">Nurse practitioners  </w:t>
            </w:r>
            <w:r w:rsidRPr="005C0B99">
              <w:rPr>
                <w:rFonts w:ascii="Arial Narrow" w:hAnsi="Arial Narrow" w:cs="Arial"/>
                <w:sz w:val="20"/>
                <w:szCs w:val="20"/>
              </w:rPr>
              <w:fldChar w:fldCharType="begin">
                <w:ffData>
                  <w:name w:val=""/>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Optometrists</w:t>
            </w:r>
          </w:p>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5"/>
                  <w:enabled/>
                  <w:calcOnExit w:val="0"/>
                  <w:checkBox>
                    <w:sizeAuto/>
                    <w:default w:val="0"/>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Midwives</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Condition:</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Phenylketonuria</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PBS Indication:</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t>Phenylketonuria</w:t>
            </w: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Restriction Level / Method:</w:t>
            </w:r>
          </w:p>
          <w:p w:rsidR="00B90226" w:rsidRPr="005C0B99" w:rsidRDefault="00B90226" w:rsidP="00680088">
            <w:pPr>
              <w:rPr>
                <w:rFonts w:ascii="Arial Narrow" w:hAnsi="Arial Narrow" w:cs="Arial"/>
                <w:sz w:val="20"/>
                <w:szCs w:val="20"/>
              </w:rPr>
            </w:pP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sz w:val="20"/>
                <w:szCs w:val="20"/>
              </w:rPr>
            </w:pPr>
            <w:r w:rsidRPr="005C0B99">
              <w:rPr>
                <w:rFonts w:ascii="Arial Narrow" w:hAnsi="Arial Narrow" w:cs="Arial"/>
                <w:sz w:val="20"/>
                <w:szCs w:val="20"/>
              </w:rPr>
              <w:fldChar w:fldCharType="begin">
                <w:ffData>
                  <w:name w:val="Check1"/>
                  <w:enabled/>
                  <w:calcOnExit w:val="0"/>
                  <w:checkBox>
                    <w:sizeAuto/>
                    <w:default w:val="1"/>
                  </w:checkBox>
                </w:ffData>
              </w:fldChar>
            </w:r>
            <w:r w:rsidRPr="005C0B99">
              <w:rPr>
                <w:rFonts w:ascii="Arial Narrow" w:hAnsi="Arial Narrow" w:cs="Arial"/>
                <w:sz w:val="20"/>
                <w:szCs w:val="20"/>
              </w:rPr>
              <w:instrText xml:space="preserve"> FORMCHECKBOX </w:instrText>
            </w:r>
            <w:r w:rsidR="006033C1">
              <w:rPr>
                <w:rFonts w:ascii="Arial Narrow" w:hAnsi="Arial Narrow" w:cs="Arial"/>
                <w:sz w:val="20"/>
                <w:szCs w:val="20"/>
              </w:rPr>
            </w:r>
            <w:r w:rsidR="006033C1">
              <w:rPr>
                <w:rFonts w:ascii="Arial Narrow" w:hAnsi="Arial Narrow" w:cs="Arial"/>
                <w:sz w:val="20"/>
                <w:szCs w:val="20"/>
              </w:rPr>
              <w:fldChar w:fldCharType="separate"/>
            </w:r>
            <w:r w:rsidRPr="005C0B99">
              <w:rPr>
                <w:rFonts w:ascii="Arial Narrow" w:hAnsi="Arial Narrow" w:cs="Arial"/>
                <w:sz w:val="20"/>
                <w:szCs w:val="20"/>
              </w:rPr>
              <w:fldChar w:fldCharType="end"/>
            </w:r>
            <w:r w:rsidRPr="005C0B99">
              <w:rPr>
                <w:rFonts w:ascii="Arial Narrow" w:hAnsi="Arial Narrow" w:cs="Arial"/>
                <w:sz w:val="20"/>
                <w:szCs w:val="20"/>
              </w:rPr>
              <w:t>Restricted benefit</w:t>
            </w:r>
          </w:p>
          <w:p w:rsidR="00B90226" w:rsidRPr="005C0B99" w:rsidRDefault="00B90226" w:rsidP="00680088">
            <w:pPr>
              <w:rPr>
                <w:rFonts w:ascii="Arial Narrow" w:hAnsi="Arial Narrow" w:cs="Arial"/>
                <w:sz w:val="20"/>
                <w:szCs w:val="20"/>
              </w:rPr>
            </w:pPr>
          </w:p>
        </w:tc>
      </w:tr>
      <w:tr w:rsidR="00B90226" w:rsidRPr="005C0B99" w:rsidTr="00680088">
        <w:trPr>
          <w:gridAfter w:val="1"/>
          <w:wAfter w:w="13"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B90226" w:rsidRPr="005C0B99" w:rsidRDefault="00B90226" w:rsidP="00680088">
            <w:pPr>
              <w:jc w:val="both"/>
              <w:rPr>
                <w:rFonts w:ascii="Arial Narrow" w:hAnsi="Arial Narrow" w:cs="Arial"/>
                <w:b/>
                <w:sz w:val="20"/>
                <w:szCs w:val="20"/>
              </w:rPr>
            </w:pPr>
            <w:r w:rsidRPr="005C0B99">
              <w:rPr>
                <w:rFonts w:ascii="Arial Narrow" w:hAnsi="Arial Narrow" w:cs="Arial"/>
                <w:b/>
                <w:sz w:val="20"/>
                <w:szCs w:val="20"/>
              </w:rPr>
              <w:t>Administrative advice</w:t>
            </w:r>
          </w:p>
        </w:tc>
        <w:tc>
          <w:tcPr>
            <w:tcW w:w="3898" w:type="pct"/>
            <w:gridSpan w:val="6"/>
            <w:tcBorders>
              <w:top w:val="single" w:sz="4" w:space="0" w:color="auto"/>
              <w:left w:val="single" w:sz="4" w:space="0" w:color="auto"/>
              <w:bottom w:val="single" w:sz="4" w:space="0" w:color="auto"/>
              <w:right w:val="single" w:sz="4" w:space="0" w:color="auto"/>
            </w:tcBorders>
          </w:tcPr>
          <w:p w:rsidR="00B90226" w:rsidRPr="005C0B99" w:rsidRDefault="00B90226" w:rsidP="00680088">
            <w:pPr>
              <w:rPr>
                <w:rFonts w:ascii="Arial Narrow" w:hAnsi="Arial Narrow" w:cs="Arial"/>
                <w:i/>
                <w:sz w:val="20"/>
                <w:szCs w:val="20"/>
              </w:rPr>
            </w:pPr>
            <w:r w:rsidRPr="00B86435">
              <w:rPr>
                <w:rFonts w:ascii="Arial Narrow" w:hAnsi="Arial Narrow" w:cs="Arial"/>
                <w:i/>
                <w:sz w:val="20"/>
                <w:szCs w:val="20"/>
              </w:rPr>
              <w:t>The level of iron in this product is below the recommended daily intake (RDI) for infants and should be supplemented by other sources where appropriate.</w:t>
            </w:r>
          </w:p>
        </w:tc>
      </w:tr>
    </w:tbl>
    <w:p w:rsidR="00B90226" w:rsidRPr="005C0B99" w:rsidRDefault="00B90226" w:rsidP="00B90226"/>
    <w:p w:rsidR="003A7A08" w:rsidRPr="005C0B99" w:rsidRDefault="003A7A08" w:rsidP="003A7A08">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lastRenderedPageBreak/>
        <w:t>Context for Decision</w:t>
      </w:r>
    </w:p>
    <w:p w:rsidR="003A7A08" w:rsidRDefault="003A7A08" w:rsidP="003A7A08">
      <w:pPr>
        <w:rPr>
          <w:rFonts w:asciiTheme="minorHAnsi" w:hAnsiTheme="minorHAnsi"/>
        </w:rPr>
      </w:pPr>
      <w:r w:rsidRPr="003A7A08">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A7A08" w:rsidRPr="005C0B99" w:rsidRDefault="003A7A08" w:rsidP="003A7A08">
      <w:pPr>
        <w:pStyle w:val="Heading1"/>
        <w:keepLines/>
        <w:numPr>
          <w:ilvl w:val="0"/>
          <w:numId w:val="32"/>
        </w:numPr>
        <w:spacing w:before="400" w:after="120"/>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Sponsor’s Comment</w:t>
      </w:r>
    </w:p>
    <w:p w:rsidR="00B90226" w:rsidRPr="003A7A08" w:rsidRDefault="003A7A08" w:rsidP="003A7A08">
      <w:pPr>
        <w:rPr>
          <w:rFonts w:asciiTheme="minorHAnsi" w:hAnsiTheme="minorHAnsi"/>
        </w:rPr>
      </w:pPr>
      <w:r w:rsidRPr="003A7A08">
        <w:rPr>
          <w:rFonts w:asciiTheme="minorHAnsi" w:hAnsiTheme="minorHAnsi"/>
        </w:rPr>
        <w:t>The sponsor had no comment.</w:t>
      </w:r>
    </w:p>
    <w:sectPr w:rsidR="00B90226" w:rsidRPr="003A7A0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7D" w:rsidRDefault="0009587D">
      <w:r>
        <w:separator/>
      </w:r>
    </w:p>
    <w:p w:rsidR="0009587D" w:rsidRDefault="0009587D"/>
    <w:p w:rsidR="0009587D" w:rsidRDefault="0009587D"/>
  </w:endnote>
  <w:endnote w:type="continuationSeparator" w:id="0">
    <w:p w:rsidR="0009587D" w:rsidRDefault="0009587D">
      <w:r>
        <w:continuationSeparator/>
      </w:r>
    </w:p>
    <w:p w:rsidR="0009587D" w:rsidRDefault="0009587D"/>
    <w:p w:rsidR="0009587D" w:rsidRDefault="00095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59" w:rsidRDefault="00360C59" w:rsidP="00360C59">
    <w:pPr>
      <w:pStyle w:val="Footer"/>
      <w:ind w:left="360"/>
      <w:jc w:val="center"/>
      <w:rPr>
        <w:rFonts w:ascii="Calibri" w:hAnsi="Calibri" w:cs="Arial"/>
        <w:b/>
        <w:sz w:val="20"/>
      </w:rPr>
    </w:pPr>
  </w:p>
  <w:p w:rsidR="00360C59" w:rsidRPr="00F90A91" w:rsidRDefault="00360C59" w:rsidP="00360C59">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6033C1">
      <w:rPr>
        <w:rFonts w:ascii="Calibri" w:hAnsi="Calibri" w:cs="Arial"/>
        <w:b/>
        <w:noProof/>
        <w:sz w:val="20"/>
      </w:rPr>
      <w:t>12</w:t>
    </w:r>
    <w:r w:rsidRPr="00F90A91">
      <w:rPr>
        <w:rFonts w:ascii="Calibri" w:hAnsi="Calibri" w:cs="Arial"/>
        <w:b/>
        <w:noProof/>
        <w:sz w:val="20"/>
      </w:rPr>
      <w:fldChar w:fldCharType="end"/>
    </w:r>
  </w:p>
  <w:p w:rsidR="00E4183E" w:rsidRPr="004F749B" w:rsidRDefault="00E4183E" w:rsidP="004F7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7D" w:rsidRDefault="0009587D">
      <w:r>
        <w:separator/>
      </w:r>
    </w:p>
    <w:p w:rsidR="0009587D" w:rsidRDefault="0009587D"/>
    <w:p w:rsidR="0009587D" w:rsidRDefault="0009587D"/>
  </w:footnote>
  <w:footnote w:type="continuationSeparator" w:id="0">
    <w:p w:rsidR="0009587D" w:rsidRDefault="0009587D">
      <w:r>
        <w:continuationSeparator/>
      </w:r>
    </w:p>
    <w:p w:rsidR="0009587D" w:rsidRDefault="0009587D"/>
    <w:p w:rsidR="0009587D" w:rsidRDefault="000958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59" w:rsidRPr="00F90A91" w:rsidRDefault="00577CE0" w:rsidP="00360C59">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E66AAD">
      <w:rPr>
        <w:rFonts w:asciiTheme="minorHAnsi" w:hAnsiTheme="minorHAnsi" w:cs="Arial"/>
        <w:i/>
        <w:color w:val="808080"/>
        <w:sz w:val="22"/>
      </w:rPr>
      <w:t xml:space="preserve"> </w:t>
    </w:r>
    <w:r w:rsidR="00360C59" w:rsidRPr="00F90A91">
      <w:rPr>
        <w:rFonts w:asciiTheme="minorHAnsi" w:hAnsiTheme="minorHAnsi" w:cs="Arial"/>
        <w:i/>
        <w:color w:val="808080"/>
        <w:sz w:val="22"/>
      </w:rPr>
      <w:t xml:space="preserve">– </w:t>
    </w:r>
    <w:r w:rsidR="00297014" w:rsidRPr="00297014">
      <w:rPr>
        <w:rFonts w:asciiTheme="minorHAnsi" w:hAnsiTheme="minorHAnsi" w:cs="Arial"/>
        <w:i/>
        <w:color w:val="808080"/>
        <w:sz w:val="22"/>
      </w:rPr>
      <w:t>November 2017</w:t>
    </w:r>
    <w:r w:rsidR="00360C59" w:rsidRPr="00297014">
      <w:rPr>
        <w:rFonts w:asciiTheme="minorHAnsi" w:hAnsiTheme="minorHAnsi" w:cs="Arial"/>
        <w:i/>
        <w:color w:val="808080"/>
        <w:sz w:val="22"/>
      </w:rPr>
      <w:t xml:space="preserve"> PBAC Meeting</w:t>
    </w:r>
  </w:p>
  <w:p w:rsidR="00360C59" w:rsidRPr="00360C59" w:rsidRDefault="00360C59" w:rsidP="00360C59">
    <w:pPr>
      <w:pStyle w:val="Header"/>
      <w:ind w:left="360"/>
      <w:jc w:val="center"/>
      <w:rPr>
        <w:rFonts w:asciiTheme="minorHAnsi" w:hAnsiTheme="minorHAnsi"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9216225"/>
    <w:multiLevelType w:val="hybridMultilevel"/>
    <w:tmpl w:val="DED4254C"/>
    <w:lvl w:ilvl="0" w:tplc="5FC20BA6">
      <w:start w:val="1"/>
      <w:numFmt w:val="bullet"/>
      <w:lvlText w:val="•"/>
      <w:lvlJc w:val="left"/>
      <w:pPr>
        <w:tabs>
          <w:tab w:val="num" w:pos="720"/>
        </w:tabs>
        <w:ind w:left="720" w:hanging="360"/>
      </w:pPr>
      <w:rPr>
        <w:rFonts w:ascii="Arial" w:hAnsi="Arial" w:hint="default"/>
      </w:rPr>
    </w:lvl>
    <w:lvl w:ilvl="1" w:tplc="4DE83300">
      <w:start w:val="1"/>
      <w:numFmt w:val="bullet"/>
      <w:lvlText w:val="•"/>
      <w:lvlJc w:val="left"/>
      <w:pPr>
        <w:tabs>
          <w:tab w:val="num" w:pos="1440"/>
        </w:tabs>
        <w:ind w:left="1440" w:hanging="360"/>
      </w:pPr>
      <w:rPr>
        <w:rFonts w:ascii="Arial" w:hAnsi="Arial" w:hint="default"/>
      </w:rPr>
    </w:lvl>
    <w:lvl w:ilvl="2" w:tplc="D2DA9BF6" w:tentative="1">
      <w:start w:val="1"/>
      <w:numFmt w:val="bullet"/>
      <w:lvlText w:val="•"/>
      <w:lvlJc w:val="left"/>
      <w:pPr>
        <w:tabs>
          <w:tab w:val="num" w:pos="2160"/>
        </w:tabs>
        <w:ind w:left="2160" w:hanging="360"/>
      </w:pPr>
      <w:rPr>
        <w:rFonts w:ascii="Arial" w:hAnsi="Arial" w:hint="default"/>
      </w:rPr>
    </w:lvl>
    <w:lvl w:ilvl="3" w:tplc="BB424F0A" w:tentative="1">
      <w:start w:val="1"/>
      <w:numFmt w:val="bullet"/>
      <w:lvlText w:val="•"/>
      <w:lvlJc w:val="left"/>
      <w:pPr>
        <w:tabs>
          <w:tab w:val="num" w:pos="2880"/>
        </w:tabs>
        <w:ind w:left="2880" w:hanging="360"/>
      </w:pPr>
      <w:rPr>
        <w:rFonts w:ascii="Arial" w:hAnsi="Arial" w:hint="default"/>
      </w:rPr>
    </w:lvl>
    <w:lvl w:ilvl="4" w:tplc="BD4A465A" w:tentative="1">
      <w:start w:val="1"/>
      <w:numFmt w:val="bullet"/>
      <w:lvlText w:val="•"/>
      <w:lvlJc w:val="left"/>
      <w:pPr>
        <w:tabs>
          <w:tab w:val="num" w:pos="3600"/>
        </w:tabs>
        <w:ind w:left="3600" w:hanging="360"/>
      </w:pPr>
      <w:rPr>
        <w:rFonts w:ascii="Arial" w:hAnsi="Arial" w:hint="default"/>
      </w:rPr>
    </w:lvl>
    <w:lvl w:ilvl="5" w:tplc="75C450CE" w:tentative="1">
      <w:start w:val="1"/>
      <w:numFmt w:val="bullet"/>
      <w:lvlText w:val="•"/>
      <w:lvlJc w:val="left"/>
      <w:pPr>
        <w:tabs>
          <w:tab w:val="num" w:pos="4320"/>
        </w:tabs>
        <w:ind w:left="4320" w:hanging="360"/>
      </w:pPr>
      <w:rPr>
        <w:rFonts w:ascii="Arial" w:hAnsi="Arial" w:hint="default"/>
      </w:rPr>
    </w:lvl>
    <w:lvl w:ilvl="6" w:tplc="67D017E2" w:tentative="1">
      <w:start w:val="1"/>
      <w:numFmt w:val="bullet"/>
      <w:lvlText w:val="•"/>
      <w:lvlJc w:val="left"/>
      <w:pPr>
        <w:tabs>
          <w:tab w:val="num" w:pos="5040"/>
        </w:tabs>
        <w:ind w:left="5040" w:hanging="360"/>
      </w:pPr>
      <w:rPr>
        <w:rFonts w:ascii="Arial" w:hAnsi="Arial" w:hint="default"/>
      </w:rPr>
    </w:lvl>
    <w:lvl w:ilvl="7" w:tplc="A120F068" w:tentative="1">
      <w:start w:val="1"/>
      <w:numFmt w:val="bullet"/>
      <w:lvlText w:val="•"/>
      <w:lvlJc w:val="left"/>
      <w:pPr>
        <w:tabs>
          <w:tab w:val="num" w:pos="5760"/>
        </w:tabs>
        <w:ind w:left="5760" w:hanging="360"/>
      </w:pPr>
      <w:rPr>
        <w:rFonts w:ascii="Arial" w:hAnsi="Arial" w:hint="default"/>
      </w:rPr>
    </w:lvl>
    <w:lvl w:ilvl="8" w:tplc="446AFE58" w:tentative="1">
      <w:start w:val="1"/>
      <w:numFmt w:val="bullet"/>
      <w:lvlText w:val="•"/>
      <w:lvlJc w:val="left"/>
      <w:pPr>
        <w:tabs>
          <w:tab w:val="num" w:pos="6480"/>
        </w:tabs>
        <w:ind w:left="6480" w:hanging="360"/>
      </w:pPr>
      <w:rPr>
        <w:rFonts w:ascii="Arial" w:hAnsi="Arial"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18C32D1"/>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1A759A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4A630EE6"/>
    <w:multiLevelType w:val="hybridMultilevel"/>
    <w:tmpl w:val="808264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B6A6429"/>
    <w:multiLevelType w:val="multilevel"/>
    <w:tmpl w:val="380A304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9C3FEB"/>
    <w:multiLevelType w:val="multilevel"/>
    <w:tmpl w:val="9B708A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68BB105D"/>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0"/>
  </w:num>
  <w:num w:numId="3">
    <w:abstractNumId w:val="3"/>
  </w:num>
  <w:num w:numId="4">
    <w:abstractNumId w:val="28"/>
  </w:num>
  <w:num w:numId="5">
    <w:abstractNumId w:val="5"/>
  </w:num>
  <w:num w:numId="6">
    <w:abstractNumId w:val="11"/>
  </w:num>
  <w:num w:numId="7">
    <w:abstractNumId w:val="23"/>
  </w:num>
  <w:num w:numId="8">
    <w:abstractNumId w:val="15"/>
  </w:num>
  <w:num w:numId="9">
    <w:abstractNumId w:val="29"/>
  </w:num>
  <w:num w:numId="10">
    <w:abstractNumId w:val="26"/>
  </w:num>
  <w:num w:numId="11">
    <w:abstractNumId w:val="16"/>
  </w:num>
  <w:num w:numId="12">
    <w:abstractNumId w:val="18"/>
  </w:num>
  <w:num w:numId="13">
    <w:abstractNumId w:val="6"/>
  </w:num>
  <w:num w:numId="14">
    <w:abstractNumId w:val="2"/>
  </w:num>
  <w:num w:numId="15">
    <w:abstractNumId w:val="0"/>
  </w:num>
  <w:num w:numId="16">
    <w:abstractNumId w:val="12"/>
  </w:num>
  <w:num w:numId="17">
    <w:abstractNumId w:val="20"/>
  </w:num>
  <w:num w:numId="18">
    <w:abstractNumId w:val="7"/>
  </w:num>
  <w:num w:numId="19">
    <w:abstractNumId w:val="17"/>
  </w:num>
  <w:num w:numId="20">
    <w:abstractNumId w:val="13"/>
  </w:num>
  <w:num w:numId="21">
    <w:abstractNumId w:val="31"/>
  </w:num>
  <w:num w:numId="22">
    <w:abstractNumId w:val="14"/>
  </w:num>
  <w:num w:numId="23">
    <w:abstractNumId w:val="25"/>
  </w:num>
  <w:num w:numId="24">
    <w:abstractNumId w:val="24"/>
  </w:num>
  <w:num w:numId="25">
    <w:abstractNumId w:val="4"/>
  </w:num>
  <w:num w:numId="26">
    <w:abstractNumId w:val="21"/>
  </w:num>
  <w:num w:numId="27">
    <w:abstractNumId w:val="1"/>
  </w:num>
  <w:num w:numId="28">
    <w:abstractNumId w:val="10"/>
  </w:num>
  <w:num w:numId="29">
    <w:abstractNumId w:val="19"/>
  </w:num>
  <w:num w:numId="30">
    <w:abstractNumId w:val="27"/>
  </w:num>
  <w:num w:numId="31">
    <w:abstractNumId w:val="9"/>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4AC"/>
    <w:rsid w:val="0002464A"/>
    <w:rsid w:val="0003106B"/>
    <w:rsid w:val="0003116E"/>
    <w:rsid w:val="00035438"/>
    <w:rsid w:val="000366B9"/>
    <w:rsid w:val="000421A1"/>
    <w:rsid w:val="0004240E"/>
    <w:rsid w:val="00045561"/>
    <w:rsid w:val="00045E26"/>
    <w:rsid w:val="000514B5"/>
    <w:rsid w:val="0005154F"/>
    <w:rsid w:val="00060E64"/>
    <w:rsid w:val="00065526"/>
    <w:rsid w:val="00065533"/>
    <w:rsid w:val="00066755"/>
    <w:rsid w:val="00067955"/>
    <w:rsid w:val="00067964"/>
    <w:rsid w:val="00083CED"/>
    <w:rsid w:val="00090A25"/>
    <w:rsid w:val="000916D7"/>
    <w:rsid w:val="0009587D"/>
    <w:rsid w:val="000969AD"/>
    <w:rsid w:val="00096ECB"/>
    <w:rsid w:val="000B558D"/>
    <w:rsid w:val="000C0833"/>
    <w:rsid w:val="000C6996"/>
    <w:rsid w:val="000C7B1B"/>
    <w:rsid w:val="000D23BA"/>
    <w:rsid w:val="000D6C7C"/>
    <w:rsid w:val="000E385F"/>
    <w:rsid w:val="000E681E"/>
    <w:rsid w:val="000E6998"/>
    <w:rsid w:val="000F4E6A"/>
    <w:rsid w:val="000F6B30"/>
    <w:rsid w:val="00100CD9"/>
    <w:rsid w:val="00106CBD"/>
    <w:rsid w:val="00107A44"/>
    <w:rsid w:val="001107BF"/>
    <w:rsid w:val="001151C2"/>
    <w:rsid w:val="00116E34"/>
    <w:rsid w:val="0012382B"/>
    <w:rsid w:val="0012417C"/>
    <w:rsid w:val="00142395"/>
    <w:rsid w:val="00142714"/>
    <w:rsid w:val="001452ED"/>
    <w:rsid w:val="00146BB4"/>
    <w:rsid w:val="0016410F"/>
    <w:rsid w:val="00171C36"/>
    <w:rsid w:val="001830CE"/>
    <w:rsid w:val="00187CF9"/>
    <w:rsid w:val="00196307"/>
    <w:rsid w:val="001B017F"/>
    <w:rsid w:val="001B5129"/>
    <w:rsid w:val="001C1195"/>
    <w:rsid w:val="001C49BB"/>
    <w:rsid w:val="001D4DC3"/>
    <w:rsid w:val="00201705"/>
    <w:rsid w:val="00203299"/>
    <w:rsid w:val="00203B36"/>
    <w:rsid w:val="00213CFB"/>
    <w:rsid w:val="00234B51"/>
    <w:rsid w:val="00245725"/>
    <w:rsid w:val="00260F37"/>
    <w:rsid w:val="00271BA1"/>
    <w:rsid w:val="00277505"/>
    <w:rsid w:val="0029458F"/>
    <w:rsid w:val="00295A48"/>
    <w:rsid w:val="00297014"/>
    <w:rsid w:val="002A104C"/>
    <w:rsid w:val="002A4960"/>
    <w:rsid w:val="002B18C5"/>
    <w:rsid w:val="002B1AE6"/>
    <w:rsid w:val="002B30F8"/>
    <w:rsid w:val="002C14A4"/>
    <w:rsid w:val="002C212F"/>
    <w:rsid w:val="002C5AD1"/>
    <w:rsid w:val="002D5C51"/>
    <w:rsid w:val="002E308F"/>
    <w:rsid w:val="002E3153"/>
    <w:rsid w:val="002E4454"/>
    <w:rsid w:val="002E72CA"/>
    <w:rsid w:val="00325D11"/>
    <w:rsid w:val="00326E79"/>
    <w:rsid w:val="003367EF"/>
    <w:rsid w:val="00336991"/>
    <w:rsid w:val="00341AE4"/>
    <w:rsid w:val="003566C7"/>
    <w:rsid w:val="00360C59"/>
    <w:rsid w:val="003740A7"/>
    <w:rsid w:val="00377334"/>
    <w:rsid w:val="003872CF"/>
    <w:rsid w:val="0039302B"/>
    <w:rsid w:val="0039782C"/>
    <w:rsid w:val="003A596A"/>
    <w:rsid w:val="003A5B4A"/>
    <w:rsid w:val="003A5FCF"/>
    <w:rsid w:val="003A7A08"/>
    <w:rsid w:val="003B23C5"/>
    <w:rsid w:val="003B2A75"/>
    <w:rsid w:val="003C6E6F"/>
    <w:rsid w:val="003C7EEA"/>
    <w:rsid w:val="003D4AC4"/>
    <w:rsid w:val="003D63B7"/>
    <w:rsid w:val="003E0177"/>
    <w:rsid w:val="003E468B"/>
    <w:rsid w:val="003F5A98"/>
    <w:rsid w:val="003F5C8C"/>
    <w:rsid w:val="004341D7"/>
    <w:rsid w:val="004365DB"/>
    <w:rsid w:val="00437468"/>
    <w:rsid w:val="00441823"/>
    <w:rsid w:val="00443401"/>
    <w:rsid w:val="004465BD"/>
    <w:rsid w:val="0045055A"/>
    <w:rsid w:val="00466ADA"/>
    <w:rsid w:val="00476245"/>
    <w:rsid w:val="00485940"/>
    <w:rsid w:val="00492BA1"/>
    <w:rsid w:val="0049407A"/>
    <w:rsid w:val="004A08DA"/>
    <w:rsid w:val="004A36AE"/>
    <w:rsid w:val="004A537B"/>
    <w:rsid w:val="004A578B"/>
    <w:rsid w:val="004A5A85"/>
    <w:rsid w:val="004A702F"/>
    <w:rsid w:val="004B5640"/>
    <w:rsid w:val="004C1BD7"/>
    <w:rsid w:val="004C691D"/>
    <w:rsid w:val="004D261E"/>
    <w:rsid w:val="004D287D"/>
    <w:rsid w:val="004D53E8"/>
    <w:rsid w:val="004E692D"/>
    <w:rsid w:val="004F2BBF"/>
    <w:rsid w:val="004F749B"/>
    <w:rsid w:val="00501554"/>
    <w:rsid w:val="005053A3"/>
    <w:rsid w:val="00512612"/>
    <w:rsid w:val="00514CD7"/>
    <w:rsid w:val="00516504"/>
    <w:rsid w:val="005319B2"/>
    <w:rsid w:val="00532C74"/>
    <w:rsid w:val="00534E2E"/>
    <w:rsid w:val="00544552"/>
    <w:rsid w:val="00547FCB"/>
    <w:rsid w:val="00567B86"/>
    <w:rsid w:val="005734CB"/>
    <w:rsid w:val="005736F0"/>
    <w:rsid w:val="00577CE0"/>
    <w:rsid w:val="00581932"/>
    <w:rsid w:val="00591733"/>
    <w:rsid w:val="00592708"/>
    <w:rsid w:val="005963BB"/>
    <w:rsid w:val="005A3173"/>
    <w:rsid w:val="005A3223"/>
    <w:rsid w:val="005A39D7"/>
    <w:rsid w:val="005A3DA3"/>
    <w:rsid w:val="005A52C4"/>
    <w:rsid w:val="005B2207"/>
    <w:rsid w:val="005C5FD0"/>
    <w:rsid w:val="005D03AB"/>
    <w:rsid w:val="005D5017"/>
    <w:rsid w:val="005E4A28"/>
    <w:rsid w:val="005E4A9A"/>
    <w:rsid w:val="00601A91"/>
    <w:rsid w:val="00602BA3"/>
    <w:rsid w:val="006033C1"/>
    <w:rsid w:val="0061096A"/>
    <w:rsid w:val="00611562"/>
    <w:rsid w:val="00614159"/>
    <w:rsid w:val="00616A69"/>
    <w:rsid w:val="00617C00"/>
    <w:rsid w:val="00620DB4"/>
    <w:rsid w:val="006263BF"/>
    <w:rsid w:val="0062748A"/>
    <w:rsid w:val="00630A2C"/>
    <w:rsid w:val="00635B9A"/>
    <w:rsid w:val="00651169"/>
    <w:rsid w:val="00653D69"/>
    <w:rsid w:val="00670A76"/>
    <w:rsid w:val="006711AA"/>
    <w:rsid w:val="006716F2"/>
    <w:rsid w:val="00671A32"/>
    <w:rsid w:val="00672B57"/>
    <w:rsid w:val="00675622"/>
    <w:rsid w:val="00680B43"/>
    <w:rsid w:val="00680E9E"/>
    <w:rsid w:val="006856CD"/>
    <w:rsid w:val="006906DB"/>
    <w:rsid w:val="00692ACF"/>
    <w:rsid w:val="006933EF"/>
    <w:rsid w:val="006A12A5"/>
    <w:rsid w:val="006A2306"/>
    <w:rsid w:val="006A37C1"/>
    <w:rsid w:val="006A7812"/>
    <w:rsid w:val="006B0D94"/>
    <w:rsid w:val="006B485D"/>
    <w:rsid w:val="006C708E"/>
    <w:rsid w:val="006D22A0"/>
    <w:rsid w:val="006D6508"/>
    <w:rsid w:val="006D6EC7"/>
    <w:rsid w:val="006F5125"/>
    <w:rsid w:val="006F684A"/>
    <w:rsid w:val="00704DE3"/>
    <w:rsid w:val="00713A79"/>
    <w:rsid w:val="00713EF0"/>
    <w:rsid w:val="007174BB"/>
    <w:rsid w:val="00730056"/>
    <w:rsid w:val="0073283B"/>
    <w:rsid w:val="007378D1"/>
    <w:rsid w:val="00743F62"/>
    <w:rsid w:val="007461DB"/>
    <w:rsid w:val="0076420C"/>
    <w:rsid w:val="007753C2"/>
    <w:rsid w:val="007838B8"/>
    <w:rsid w:val="00791BDB"/>
    <w:rsid w:val="007A1687"/>
    <w:rsid w:val="007A2B91"/>
    <w:rsid w:val="007B032E"/>
    <w:rsid w:val="007C065B"/>
    <w:rsid w:val="007C0F57"/>
    <w:rsid w:val="007C3687"/>
    <w:rsid w:val="007C40B6"/>
    <w:rsid w:val="007C729F"/>
    <w:rsid w:val="007D7978"/>
    <w:rsid w:val="007E1D28"/>
    <w:rsid w:val="007F2641"/>
    <w:rsid w:val="007F7C36"/>
    <w:rsid w:val="00806796"/>
    <w:rsid w:val="00826F6D"/>
    <w:rsid w:val="00830D39"/>
    <w:rsid w:val="0083292F"/>
    <w:rsid w:val="008515AB"/>
    <w:rsid w:val="0085453C"/>
    <w:rsid w:val="00856DDD"/>
    <w:rsid w:val="00863E68"/>
    <w:rsid w:val="0087153B"/>
    <w:rsid w:val="008720EF"/>
    <w:rsid w:val="00873C89"/>
    <w:rsid w:val="00876F32"/>
    <w:rsid w:val="00882085"/>
    <w:rsid w:val="00883188"/>
    <w:rsid w:val="00890464"/>
    <w:rsid w:val="00894C01"/>
    <w:rsid w:val="00895242"/>
    <w:rsid w:val="00897D58"/>
    <w:rsid w:val="008A0413"/>
    <w:rsid w:val="008A1956"/>
    <w:rsid w:val="008A4937"/>
    <w:rsid w:val="008A517F"/>
    <w:rsid w:val="008B58E0"/>
    <w:rsid w:val="008C0566"/>
    <w:rsid w:val="008C0B1D"/>
    <w:rsid w:val="008C2E00"/>
    <w:rsid w:val="008C4C93"/>
    <w:rsid w:val="008D180C"/>
    <w:rsid w:val="008D3C82"/>
    <w:rsid w:val="008D447E"/>
    <w:rsid w:val="008D6744"/>
    <w:rsid w:val="008D7A41"/>
    <w:rsid w:val="008E3680"/>
    <w:rsid w:val="008E5870"/>
    <w:rsid w:val="008F1434"/>
    <w:rsid w:val="008F7355"/>
    <w:rsid w:val="009067B7"/>
    <w:rsid w:val="00925717"/>
    <w:rsid w:val="00925F81"/>
    <w:rsid w:val="00930937"/>
    <w:rsid w:val="00933E6C"/>
    <w:rsid w:val="00942160"/>
    <w:rsid w:val="00946C55"/>
    <w:rsid w:val="009602C5"/>
    <w:rsid w:val="00964C23"/>
    <w:rsid w:val="00974C21"/>
    <w:rsid w:val="0098513E"/>
    <w:rsid w:val="00991CB4"/>
    <w:rsid w:val="009924FB"/>
    <w:rsid w:val="009A0382"/>
    <w:rsid w:val="009A4DDB"/>
    <w:rsid w:val="009B03E9"/>
    <w:rsid w:val="009B0F67"/>
    <w:rsid w:val="009B3820"/>
    <w:rsid w:val="009B3E44"/>
    <w:rsid w:val="009C703C"/>
    <w:rsid w:val="009D3CAA"/>
    <w:rsid w:val="009D4001"/>
    <w:rsid w:val="009F4E46"/>
    <w:rsid w:val="009F5B65"/>
    <w:rsid w:val="009F5F2E"/>
    <w:rsid w:val="00A06225"/>
    <w:rsid w:val="00A128E6"/>
    <w:rsid w:val="00A15C90"/>
    <w:rsid w:val="00A17CFA"/>
    <w:rsid w:val="00A21683"/>
    <w:rsid w:val="00A3715D"/>
    <w:rsid w:val="00A37C8D"/>
    <w:rsid w:val="00A445ED"/>
    <w:rsid w:val="00A4538E"/>
    <w:rsid w:val="00A51804"/>
    <w:rsid w:val="00A5273B"/>
    <w:rsid w:val="00A53A9D"/>
    <w:rsid w:val="00A55FEE"/>
    <w:rsid w:val="00A62C1A"/>
    <w:rsid w:val="00A63212"/>
    <w:rsid w:val="00A6426D"/>
    <w:rsid w:val="00A70622"/>
    <w:rsid w:val="00A70977"/>
    <w:rsid w:val="00A75FFC"/>
    <w:rsid w:val="00A765A7"/>
    <w:rsid w:val="00A81F3D"/>
    <w:rsid w:val="00A8390C"/>
    <w:rsid w:val="00A8691F"/>
    <w:rsid w:val="00A91974"/>
    <w:rsid w:val="00A92420"/>
    <w:rsid w:val="00A928BD"/>
    <w:rsid w:val="00A938D6"/>
    <w:rsid w:val="00AA4887"/>
    <w:rsid w:val="00AA4D1C"/>
    <w:rsid w:val="00AB1F97"/>
    <w:rsid w:val="00AB50E9"/>
    <w:rsid w:val="00AC4AA5"/>
    <w:rsid w:val="00AC5206"/>
    <w:rsid w:val="00AE11A5"/>
    <w:rsid w:val="00AE13E2"/>
    <w:rsid w:val="00AE2AD0"/>
    <w:rsid w:val="00AF68CC"/>
    <w:rsid w:val="00B07C0E"/>
    <w:rsid w:val="00B200D4"/>
    <w:rsid w:val="00B205AA"/>
    <w:rsid w:val="00B22E84"/>
    <w:rsid w:val="00B25F75"/>
    <w:rsid w:val="00B41421"/>
    <w:rsid w:val="00B43B7E"/>
    <w:rsid w:val="00B43E90"/>
    <w:rsid w:val="00B44DB3"/>
    <w:rsid w:val="00B56118"/>
    <w:rsid w:val="00B64497"/>
    <w:rsid w:val="00B6773F"/>
    <w:rsid w:val="00B801BA"/>
    <w:rsid w:val="00B815C8"/>
    <w:rsid w:val="00B858B3"/>
    <w:rsid w:val="00B90226"/>
    <w:rsid w:val="00BB69F5"/>
    <w:rsid w:val="00BB7EC3"/>
    <w:rsid w:val="00BC36B0"/>
    <w:rsid w:val="00BC4B9A"/>
    <w:rsid w:val="00BD2BB1"/>
    <w:rsid w:val="00BD589B"/>
    <w:rsid w:val="00BD7631"/>
    <w:rsid w:val="00BD784C"/>
    <w:rsid w:val="00BE4594"/>
    <w:rsid w:val="00BE5ABB"/>
    <w:rsid w:val="00BF4CB6"/>
    <w:rsid w:val="00C00DA7"/>
    <w:rsid w:val="00C06339"/>
    <w:rsid w:val="00C12768"/>
    <w:rsid w:val="00C20E0F"/>
    <w:rsid w:val="00C21224"/>
    <w:rsid w:val="00C23791"/>
    <w:rsid w:val="00C27B58"/>
    <w:rsid w:val="00C35996"/>
    <w:rsid w:val="00C5342C"/>
    <w:rsid w:val="00C6256A"/>
    <w:rsid w:val="00C76CED"/>
    <w:rsid w:val="00C7792B"/>
    <w:rsid w:val="00C80725"/>
    <w:rsid w:val="00C82163"/>
    <w:rsid w:val="00C91449"/>
    <w:rsid w:val="00C91C38"/>
    <w:rsid w:val="00C92D10"/>
    <w:rsid w:val="00C94810"/>
    <w:rsid w:val="00CA08D1"/>
    <w:rsid w:val="00CA3B47"/>
    <w:rsid w:val="00CC3A40"/>
    <w:rsid w:val="00CD1FFC"/>
    <w:rsid w:val="00CE10C4"/>
    <w:rsid w:val="00CE27B5"/>
    <w:rsid w:val="00CE508D"/>
    <w:rsid w:val="00D0321E"/>
    <w:rsid w:val="00D037D7"/>
    <w:rsid w:val="00D046D8"/>
    <w:rsid w:val="00D0487A"/>
    <w:rsid w:val="00D11B0D"/>
    <w:rsid w:val="00D1455A"/>
    <w:rsid w:val="00D22AD1"/>
    <w:rsid w:val="00D3280C"/>
    <w:rsid w:val="00D3406A"/>
    <w:rsid w:val="00D469B2"/>
    <w:rsid w:val="00D741EB"/>
    <w:rsid w:val="00D84934"/>
    <w:rsid w:val="00D90D98"/>
    <w:rsid w:val="00D91271"/>
    <w:rsid w:val="00D9160A"/>
    <w:rsid w:val="00D91ED1"/>
    <w:rsid w:val="00DA0F46"/>
    <w:rsid w:val="00DA2CB5"/>
    <w:rsid w:val="00DA4BAC"/>
    <w:rsid w:val="00DB0953"/>
    <w:rsid w:val="00DD531F"/>
    <w:rsid w:val="00DD6065"/>
    <w:rsid w:val="00DE0CE7"/>
    <w:rsid w:val="00DE1655"/>
    <w:rsid w:val="00DE6D27"/>
    <w:rsid w:val="00DF217D"/>
    <w:rsid w:val="00DF26A7"/>
    <w:rsid w:val="00E07E6D"/>
    <w:rsid w:val="00E145F9"/>
    <w:rsid w:val="00E16357"/>
    <w:rsid w:val="00E164B3"/>
    <w:rsid w:val="00E16910"/>
    <w:rsid w:val="00E24DDE"/>
    <w:rsid w:val="00E35573"/>
    <w:rsid w:val="00E374A2"/>
    <w:rsid w:val="00E41119"/>
    <w:rsid w:val="00E4183E"/>
    <w:rsid w:val="00E5793E"/>
    <w:rsid w:val="00E616B9"/>
    <w:rsid w:val="00E65E54"/>
    <w:rsid w:val="00E66AAD"/>
    <w:rsid w:val="00E72ED6"/>
    <w:rsid w:val="00E80155"/>
    <w:rsid w:val="00E80E1F"/>
    <w:rsid w:val="00E848C0"/>
    <w:rsid w:val="00E902DB"/>
    <w:rsid w:val="00E91B96"/>
    <w:rsid w:val="00E924EE"/>
    <w:rsid w:val="00E941A1"/>
    <w:rsid w:val="00E95CE3"/>
    <w:rsid w:val="00EA2825"/>
    <w:rsid w:val="00EB2E81"/>
    <w:rsid w:val="00EB5088"/>
    <w:rsid w:val="00ED0AB6"/>
    <w:rsid w:val="00ED1644"/>
    <w:rsid w:val="00EE3DF2"/>
    <w:rsid w:val="00EF44A0"/>
    <w:rsid w:val="00EF4FED"/>
    <w:rsid w:val="00F020E1"/>
    <w:rsid w:val="00F050BD"/>
    <w:rsid w:val="00F05657"/>
    <w:rsid w:val="00F22606"/>
    <w:rsid w:val="00F243F5"/>
    <w:rsid w:val="00F25578"/>
    <w:rsid w:val="00F258E5"/>
    <w:rsid w:val="00F300BC"/>
    <w:rsid w:val="00F3334E"/>
    <w:rsid w:val="00F369D6"/>
    <w:rsid w:val="00F45BFC"/>
    <w:rsid w:val="00F50EC4"/>
    <w:rsid w:val="00F51D56"/>
    <w:rsid w:val="00F551EA"/>
    <w:rsid w:val="00F57A6D"/>
    <w:rsid w:val="00F638CC"/>
    <w:rsid w:val="00F64CC1"/>
    <w:rsid w:val="00F8247A"/>
    <w:rsid w:val="00F927FE"/>
    <w:rsid w:val="00F92879"/>
    <w:rsid w:val="00F94373"/>
    <w:rsid w:val="00F95A8C"/>
    <w:rsid w:val="00F9629A"/>
    <w:rsid w:val="00FA5883"/>
    <w:rsid w:val="00FA5CBB"/>
    <w:rsid w:val="00FA6055"/>
    <w:rsid w:val="00FA7361"/>
    <w:rsid w:val="00FB1EB7"/>
    <w:rsid w:val="00FB322F"/>
    <w:rsid w:val="00FB442F"/>
    <w:rsid w:val="00FB52F3"/>
    <w:rsid w:val="00FC1929"/>
    <w:rsid w:val="00FC5B46"/>
    <w:rsid w:val="00FD0741"/>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85453C"/>
    <w:rPr>
      <w:rFonts w:ascii="Arial" w:hAnsi="Arial"/>
      <w:b/>
      <w:i/>
      <w:sz w:val="22"/>
      <w:szCs w:val="24"/>
    </w:rPr>
  </w:style>
  <w:style w:type="paragraph" w:customStyle="1" w:styleId="PBSnormal">
    <w:name w:val="PBS normal"/>
    <w:basedOn w:val="Normal"/>
    <w:link w:val="PBSnormalChar"/>
    <w:qFormat/>
    <w:rsid w:val="00F92879"/>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F92879"/>
    <w:rPr>
      <w:rFonts w:ascii="Arial" w:hAnsi="Arial"/>
      <w:sz w:val="22"/>
    </w:rPr>
  </w:style>
  <w:style w:type="paragraph" w:styleId="Caption">
    <w:name w:val="caption"/>
    <w:aliases w:val="CSR Caption"/>
    <w:basedOn w:val="Normal"/>
    <w:next w:val="Normal"/>
    <w:link w:val="CaptionChar"/>
    <w:uiPriority w:val="35"/>
    <w:qFormat/>
    <w:rsid w:val="0045055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45055A"/>
    <w:rPr>
      <w:rFonts w:ascii="Arial" w:hAnsi="Arial"/>
      <w:b/>
      <w:bCs/>
    </w:rPr>
  </w:style>
  <w:style w:type="character" w:customStyle="1" w:styleId="ListParagraphChar">
    <w:name w:val="List Paragraph Char"/>
    <w:aliases w:val="BulletPoints Char,Numbered para Char"/>
    <w:link w:val="ListParagraph"/>
    <w:uiPriority w:val="72"/>
    <w:rsid w:val="005165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85453C"/>
    <w:rPr>
      <w:rFonts w:ascii="Arial" w:hAnsi="Arial"/>
      <w:b/>
      <w:i/>
      <w:sz w:val="22"/>
      <w:szCs w:val="24"/>
    </w:rPr>
  </w:style>
  <w:style w:type="paragraph" w:customStyle="1" w:styleId="PBSnormal">
    <w:name w:val="PBS normal"/>
    <w:basedOn w:val="Normal"/>
    <w:link w:val="PBSnormalChar"/>
    <w:qFormat/>
    <w:rsid w:val="00F92879"/>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F92879"/>
    <w:rPr>
      <w:rFonts w:ascii="Arial" w:hAnsi="Arial"/>
      <w:sz w:val="22"/>
    </w:rPr>
  </w:style>
  <w:style w:type="paragraph" w:styleId="Caption">
    <w:name w:val="caption"/>
    <w:aliases w:val="CSR Caption"/>
    <w:basedOn w:val="Normal"/>
    <w:next w:val="Normal"/>
    <w:link w:val="CaptionChar"/>
    <w:uiPriority w:val="35"/>
    <w:qFormat/>
    <w:rsid w:val="0045055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45055A"/>
    <w:rPr>
      <w:rFonts w:ascii="Arial" w:hAnsi="Arial"/>
      <w:b/>
      <w:bCs/>
    </w:rPr>
  </w:style>
  <w:style w:type="character" w:customStyle="1" w:styleId="ListParagraphChar">
    <w:name w:val="List Paragraph Char"/>
    <w:aliases w:val="BulletPoints Char,Numbered para Char"/>
    <w:link w:val="ListParagraph"/>
    <w:uiPriority w:val="72"/>
    <w:rsid w:val="005165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04774909">
      <w:bodyDiv w:val="1"/>
      <w:marLeft w:val="0"/>
      <w:marRight w:val="0"/>
      <w:marTop w:val="0"/>
      <w:marBottom w:val="0"/>
      <w:divBdr>
        <w:top w:val="none" w:sz="0" w:space="0" w:color="auto"/>
        <w:left w:val="none" w:sz="0" w:space="0" w:color="auto"/>
        <w:bottom w:val="none" w:sz="0" w:space="0" w:color="auto"/>
        <w:right w:val="none" w:sz="0" w:space="0" w:color="auto"/>
      </w:divBdr>
    </w:div>
    <w:div w:id="1411122482">
      <w:bodyDiv w:val="1"/>
      <w:marLeft w:val="0"/>
      <w:marRight w:val="0"/>
      <w:marTop w:val="0"/>
      <w:marBottom w:val="0"/>
      <w:divBdr>
        <w:top w:val="none" w:sz="0" w:space="0" w:color="auto"/>
        <w:left w:val="none" w:sz="0" w:space="0" w:color="auto"/>
        <w:bottom w:val="none" w:sz="0" w:space="0" w:color="auto"/>
        <w:right w:val="none" w:sz="0" w:space="0" w:color="auto"/>
      </w:divBdr>
      <w:divsChild>
        <w:div w:id="123355643">
          <w:marLeft w:val="547"/>
          <w:marRight w:val="0"/>
          <w:marTop w:val="115"/>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7B81-9F40-40D9-B680-F8A8A148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3463</Words>
  <Characters>18247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2018-08-03T02:58:00Z</dcterms:created>
  <dcterms:modified xsi:type="dcterms:W3CDTF">2018-10-14T03:03:00Z</dcterms:modified>
</cp:coreProperties>
</file>