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7F3" w:rsidRPr="007A2258" w:rsidRDefault="009D469C" w:rsidP="00803EBD">
      <w:pPr>
        <w:ind w:left="1418" w:hanging="1418"/>
        <w:outlineLvl w:val="0"/>
        <w:rPr>
          <w:sz w:val="36"/>
          <w:szCs w:val="36"/>
        </w:rPr>
      </w:pPr>
      <w:bookmarkStart w:id="0" w:name="_GoBack"/>
      <w:bookmarkEnd w:id="0"/>
      <w:r w:rsidRPr="007A2258">
        <w:rPr>
          <w:b/>
          <w:sz w:val="36"/>
          <w:szCs w:val="36"/>
        </w:rPr>
        <w:t>7.08</w:t>
      </w:r>
      <w:r w:rsidR="00C317F3" w:rsidRPr="007A2258">
        <w:rPr>
          <w:b/>
          <w:sz w:val="36"/>
          <w:szCs w:val="36"/>
        </w:rPr>
        <w:tab/>
      </w:r>
      <w:r w:rsidRPr="007A2258">
        <w:rPr>
          <w:b/>
          <w:sz w:val="36"/>
          <w:szCs w:val="36"/>
        </w:rPr>
        <w:t>TENOFOVIR with EMTRICITABINE</w:t>
      </w:r>
      <w:r w:rsidR="00BA19AA" w:rsidRPr="007A2258">
        <w:rPr>
          <w:b/>
          <w:sz w:val="36"/>
          <w:szCs w:val="36"/>
        </w:rPr>
        <w:t xml:space="preserve">, </w:t>
      </w:r>
      <w:r w:rsidRPr="007A2258">
        <w:rPr>
          <w:b/>
          <w:sz w:val="36"/>
          <w:szCs w:val="36"/>
        </w:rPr>
        <w:br/>
      </w:r>
      <w:r w:rsidRPr="007A2258">
        <w:rPr>
          <w:rFonts w:ascii="Calibri" w:eastAsia="Calibri" w:hAnsi="Calibri"/>
          <w:b/>
          <w:sz w:val="36"/>
          <w:szCs w:val="36"/>
        </w:rPr>
        <w:t>Tablet containing tenofovir disoproxil fumarate 300 mg with emtricitabine 200 mg</w:t>
      </w:r>
      <w:r w:rsidR="00BA19AA" w:rsidRPr="007A2258">
        <w:rPr>
          <w:rFonts w:ascii="Calibri" w:eastAsia="Calibri" w:hAnsi="Calibri"/>
          <w:b/>
          <w:sz w:val="36"/>
          <w:szCs w:val="36"/>
        </w:rPr>
        <w:t xml:space="preserve">, </w:t>
      </w:r>
      <w:r w:rsidR="00D25F99" w:rsidRPr="007A2258">
        <w:rPr>
          <w:rFonts w:ascii="Calibri" w:eastAsia="Calibri" w:hAnsi="Calibri"/>
          <w:b/>
          <w:sz w:val="36"/>
          <w:szCs w:val="36"/>
        </w:rPr>
        <w:br/>
        <w:t xml:space="preserve">TRUVADA ®, </w:t>
      </w:r>
      <w:r w:rsidRPr="007A2258">
        <w:rPr>
          <w:rFonts w:ascii="Calibri" w:eastAsia="Calibri" w:hAnsi="Calibri"/>
          <w:b/>
          <w:sz w:val="36"/>
          <w:szCs w:val="36"/>
        </w:rPr>
        <w:br/>
      </w:r>
      <w:r w:rsidR="00D25F99" w:rsidRPr="007A2258">
        <w:rPr>
          <w:rFonts w:ascii="Calibri" w:eastAsia="Calibri" w:hAnsi="Calibri"/>
          <w:b/>
          <w:sz w:val="36"/>
          <w:szCs w:val="36"/>
        </w:rPr>
        <w:t>Gilead Sciences Pty Ltd</w:t>
      </w:r>
    </w:p>
    <w:p w:rsidR="009730F1" w:rsidRPr="007A2258" w:rsidRDefault="009730F1" w:rsidP="007A2258">
      <w:pPr>
        <w:pStyle w:val="Heading1"/>
        <w:numPr>
          <w:ilvl w:val="0"/>
          <w:numId w:val="23"/>
        </w:numPr>
        <w:ind w:left="709" w:hanging="709"/>
      </w:pPr>
      <w:bookmarkStart w:id="1" w:name="_Toc480411347"/>
      <w:bookmarkStart w:id="2" w:name="_Toc482191209"/>
      <w:r w:rsidRPr="007A2258">
        <w:t>Purpose of Application</w:t>
      </w:r>
      <w:bookmarkEnd w:id="1"/>
      <w:bookmarkEnd w:id="2"/>
    </w:p>
    <w:p w:rsidR="00D25F99" w:rsidRPr="007A2258" w:rsidRDefault="00D25F99" w:rsidP="007A2258">
      <w:pPr>
        <w:pStyle w:val="ListParagraph"/>
        <w:numPr>
          <w:ilvl w:val="1"/>
          <w:numId w:val="23"/>
        </w:numPr>
        <w:jc w:val="both"/>
      </w:pPr>
      <w:r w:rsidRPr="007A2258">
        <w:t>A resubmission to request a Section 85 (General Schedule) Streamlined listing for tenofovir disoproxil fumarate 300 mg/emtricitabine 200 mg (TDF/FTC) for use as pre</w:t>
      </w:r>
      <w:r w:rsidRPr="007A2258">
        <w:noBreakHyphen/>
        <w:t xml:space="preserve">exposure prophylaxis (PrEP) against HIV-1 in adults at medium to high risk of infection. The first submission was considered by the PBAC in July 2016. </w:t>
      </w:r>
    </w:p>
    <w:p w:rsidR="00904455" w:rsidRDefault="00904455" w:rsidP="00904455">
      <w:pPr>
        <w:pStyle w:val="Caption"/>
      </w:pPr>
      <w:r>
        <w:t xml:space="preserve">Table </w:t>
      </w:r>
      <w:r w:rsidR="004F50B1">
        <w:rPr>
          <w:noProof/>
        </w:rPr>
        <w:t>1</w:t>
      </w:r>
      <w:r w:rsidRPr="00886FF2">
        <w:t>: Key components of the clinical issues addressed by the submission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ey components of the clinical issues addressed by the submission"/>
      </w:tblPr>
      <w:tblGrid>
        <w:gridCol w:w="1696"/>
        <w:gridCol w:w="7320"/>
      </w:tblGrid>
      <w:tr w:rsidR="0017720E" w:rsidRPr="007A2258" w:rsidTr="00984441">
        <w:trPr>
          <w:cnfStyle w:val="100000000000" w:firstRow="1" w:lastRow="0" w:firstColumn="0" w:lastColumn="0" w:oddVBand="0" w:evenVBand="0" w:oddHBand="0" w:evenHBand="0" w:firstRowFirstColumn="0" w:firstRowLastColumn="0" w:lastRowFirstColumn="0" w:lastRowLastColumn="0"/>
          <w:cantSplit/>
          <w:tblHeader/>
        </w:trPr>
        <w:tc>
          <w:tcPr>
            <w:tcW w:w="1696" w:type="dxa"/>
            <w:shd w:val="clear" w:color="auto" w:fill="auto"/>
          </w:tcPr>
          <w:p w:rsidR="0017720E" w:rsidRPr="007A2258" w:rsidRDefault="0017720E">
            <w:pPr>
              <w:pStyle w:val="TableText"/>
            </w:pPr>
            <w:r w:rsidRPr="007A2258">
              <w:t>Component</w:t>
            </w:r>
          </w:p>
        </w:tc>
        <w:tc>
          <w:tcPr>
            <w:tcW w:w="7320" w:type="dxa"/>
            <w:shd w:val="clear" w:color="auto" w:fill="auto"/>
          </w:tcPr>
          <w:p w:rsidR="0017720E" w:rsidRPr="007A2258" w:rsidRDefault="0017720E">
            <w:pPr>
              <w:pStyle w:val="TableText"/>
            </w:pPr>
            <w:r w:rsidRPr="007A2258">
              <w:t>Description</w:t>
            </w:r>
          </w:p>
        </w:tc>
      </w:tr>
      <w:tr w:rsidR="00D25F99" w:rsidRPr="007A2258" w:rsidTr="00984441">
        <w:trPr>
          <w:cantSplit/>
        </w:trPr>
        <w:tc>
          <w:tcPr>
            <w:tcW w:w="1696" w:type="dxa"/>
            <w:shd w:val="clear" w:color="auto" w:fill="auto"/>
          </w:tcPr>
          <w:p w:rsidR="00D25F99" w:rsidRPr="007A2258" w:rsidRDefault="00D25F99" w:rsidP="0095170D">
            <w:pPr>
              <w:pStyle w:val="TableText"/>
            </w:pPr>
            <w:r w:rsidRPr="007A2258">
              <w:t>Population</w:t>
            </w:r>
          </w:p>
        </w:tc>
        <w:tc>
          <w:tcPr>
            <w:tcW w:w="7320" w:type="dxa"/>
            <w:shd w:val="clear" w:color="auto" w:fill="auto"/>
          </w:tcPr>
          <w:p w:rsidR="00D25F99" w:rsidRPr="007A2258" w:rsidRDefault="00D25F99" w:rsidP="0095170D">
            <w:pPr>
              <w:pStyle w:val="TableText"/>
            </w:pPr>
            <w:r w:rsidRPr="007A2258">
              <w:t>Adults at medium to high risk of HIV</w:t>
            </w:r>
            <w:r w:rsidRPr="007A2258">
              <w:noBreakHyphen/>
              <w:t>1infection</w:t>
            </w:r>
          </w:p>
        </w:tc>
      </w:tr>
      <w:tr w:rsidR="00D25F99" w:rsidRPr="007A2258" w:rsidTr="00984441">
        <w:trPr>
          <w:cantSplit/>
        </w:trPr>
        <w:tc>
          <w:tcPr>
            <w:tcW w:w="1696" w:type="dxa"/>
            <w:shd w:val="clear" w:color="auto" w:fill="auto"/>
          </w:tcPr>
          <w:p w:rsidR="00D25F99" w:rsidRPr="007A2258" w:rsidRDefault="00D25F99" w:rsidP="0095170D">
            <w:pPr>
              <w:pStyle w:val="TableText"/>
            </w:pPr>
            <w:r w:rsidRPr="007A2258">
              <w:t>Intervention</w:t>
            </w:r>
          </w:p>
        </w:tc>
        <w:tc>
          <w:tcPr>
            <w:tcW w:w="7320" w:type="dxa"/>
            <w:shd w:val="clear" w:color="auto" w:fill="auto"/>
          </w:tcPr>
          <w:p w:rsidR="00D25F99" w:rsidRPr="007A2258" w:rsidRDefault="00D25F99" w:rsidP="0095170D">
            <w:pPr>
              <w:pStyle w:val="TableText"/>
            </w:pPr>
            <w:r w:rsidRPr="007A2258">
              <w:t xml:space="preserve">Pre-exposure prophylaxis using TDF/FTC, one tablet, once daily with standard of care (SOC) </w:t>
            </w:r>
          </w:p>
        </w:tc>
      </w:tr>
      <w:tr w:rsidR="00D25F99" w:rsidRPr="007A2258" w:rsidTr="00984441">
        <w:trPr>
          <w:cantSplit/>
        </w:trPr>
        <w:tc>
          <w:tcPr>
            <w:tcW w:w="1696" w:type="dxa"/>
            <w:shd w:val="clear" w:color="auto" w:fill="auto"/>
          </w:tcPr>
          <w:p w:rsidR="00D25F99" w:rsidRPr="007A2258" w:rsidRDefault="00D25F99" w:rsidP="0095170D">
            <w:pPr>
              <w:pStyle w:val="TableText"/>
            </w:pPr>
            <w:r w:rsidRPr="007A2258">
              <w:t>Comparator</w:t>
            </w:r>
          </w:p>
        </w:tc>
        <w:tc>
          <w:tcPr>
            <w:tcW w:w="7320" w:type="dxa"/>
            <w:shd w:val="clear" w:color="auto" w:fill="auto"/>
          </w:tcPr>
          <w:p w:rsidR="00D25F99" w:rsidRPr="007A2258" w:rsidRDefault="00D25F99" w:rsidP="0095170D">
            <w:pPr>
              <w:pStyle w:val="TableText"/>
            </w:pPr>
            <w:r w:rsidRPr="007A2258">
              <w:t>SOC alone, comprising HIV testing and safe</w:t>
            </w:r>
            <w:r w:rsidR="00CD2820" w:rsidRPr="007A2258">
              <w:t>r</w:t>
            </w:r>
            <w:r w:rsidRPr="007A2258">
              <w:t xml:space="preserve"> sex practices</w:t>
            </w:r>
          </w:p>
        </w:tc>
      </w:tr>
      <w:tr w:rsidR="00D25F99" w:rsidRPr="007A2258" w:rsidTr="00984441">
        <w:trPr>
          <w:cantSplit/>
        </w:trPr>
        <w:tc>
          <w:tcPr>
            <w:tcW w:w="1696" w:type="dxa"/>
            <w:shd w:val="clear" w:color="auto" w:fill="auto"/>
          </w:tcPr>
          <w:p w:rsidR="00D25F99" w:rsidRPr="007A2258" w:rsidRDefault="00D25F99" w:rsidP="0095170D">
            <w:pPr>
              <w:pStyle w:val="TableText"/>
            </w:pPr>
            <w:r w:rsidRPr="007A2258">
              <w:t>Outcomes</w:t>
            </w:r>
          </w:p>
        </w:tc>
        <w:tc>
          <w:tcPr>
            <w:tcW w:w="7320" w:type="dxa"/>
            <w:shd w:val="clear" w:color="auto" w:fill="auto"/>
          </w:tcPr>
          <w:p w:rsidR="00D25F99" w:rsidRPr="007A2258" w:rsidRDefault="00D25F99" w:rsidP="0095170D">
            <w:pPr>
              <w:pStyle w:val="TableText"/>
            </w:pPr>
            <w:r w:rsidRPr="007A2258">
              <w:t>HIV incidence and safety</w:t>
            </w:r>
          </w:p>
        </w:tc>
      </w:tr>
      <w:tr w:rsidR="00D25F99" w:rsidRPr="007A2258" w:rsidTr="00984441">
        <w:trPr>
          <w:cantSplit/>
        </w:trPr>
        <w:tc>
          <w:tcPr>
            <w:tcW w:w="1696" w:type="dxa"/>
            <w:shd w:val="clear" w:color="auto" w:fill="auto"/>
          </w:tcPr>
          <w:p w:rsidR="00D25F99" w:rsidRPr="007A2258" w:rsidRDefault="00D25F99" w:rsidP="0095170D">
            <w:pPr>
              <w:pStyle w:val="TableText"/>
            </w:pPr>
            <w:r w:rsidRPr="007A2258">
              <w:t>Clinical claim</w:t>
            </w:r>
          </w:p>
        </w:tc>
        <w:tc>
          <w:tcPr>
            <w:tcW w:w="7320" w:type="dxa"/>
            <w:shd w:val="clear" w:color="auto" w:fill="auto"/>
          </w:tcPr>
          <w:p w:rsidR="00D25F99" w:rsidRPr="007A2258" w:rsidRDefault="00D25F99" w:rsidP="0095170D">
            <w:pPr>
              <w:pStyle w:val="TableText"/>
            </w:pPr>
            <w:r w:rsidRPr="007A2258">
              <w:t>TDF/FTC + SOC is more effective than SOC alone at reducing HIV infections with similar safety</w:t>
            </w:r>
          </w:p>
        </w:tc>
      </w:tr>
    </w:tbl>
    <w:p w:rsidR="00D25F99" w:rsidRPr="007A2258" w:rsidRDefault="00D25F99" w:rsidP="00D25F99">
      <w:pPr>
        <w:widowControl w:val="0"/>
        <w:spacing w:before="0" w:after="120"/>
        <w:contextualSpacing/>
        <w:jc w:val="both"/>
        <w:rPr>
          <w:rFonts w:ascii="Arial Narrow" w:eastAsia="Times New Roman" w:hAnsi="Arial Narrow" w:cs="Arial"/>
          <w:snapToGrid w:val="0"/>
          <w:sz w:val="18"/>
          <w:szCs w:val="20"/>
        </w:rPr>
      </w:pPr>
      <w:r w:rsidRPr="007A2258">
        <w:rPr>
          <w:rFonts w:ascii="Arial Narrow" w:eastAsia="Times New Roman" w:hAnsi="Arial Narrow" w:cs="Arial"/>
          <w:snapToGrid w:val="0"/>
          <w:sz w:val="18"/>
          <w:szCs w:val="20"/>
        </w:rPr>
        <w:t xml:space="preserve">Abbreviations: SOC, standard of care; TDF/FTC, tenofovir disoproxil fumarate/emtricitabine </w:t>
      </w:r>
    </w:p>
    <w:p w:rsidR="0017720E" w:rsidRPr="007A2258" w:rsidRDefault="00D25F99" w:rsidP="00D25F99">
      <w:pPr>
        <w:widowControl w:val="0"/>
        <w:spacing w:before="0" w:after="120"/>
        <w:contextualSpacing/>
        <w:jc w:val="both"/>
        <w:rPr>
          <w:rFonts w:ascii="Arial Narrow" w:eastAsia="Times New Roman" w:hAnsi="Arial Narrow" w:cs="Arial"/>
          <w:snapToGrid w:val="0"/>
          <w:sz w:val="18"/>
          <w:szCs w:val="20"/>
        </w:rPr>
      </w:pPr>
      <w:r w:rsidRPr="007A2258">
        <w:rPr>
          <w:rFonts w:ascii="Arial Narrow" w:eastAsia="Times New Roman" w:hAnsi="Arial Narrow" w:cs="Arial"/>
          <w:snapToGrid w:val="0"/>
          <w:sz w:val="18"/>
          <w:szCs w:val="20"/>
        </w:rPr>
        <w:t>Source: compiled during the evaluation</w:t>
      </w:r>
    </w:p>
    <w:p w:rsidR="009730F1" w:rsidRPr="007A2258" w:rsidRDefault="009730F1" w:rsidP="007A2258">
      <w:pPr>
        <w:pStyle w:val="Heading1"/>
        <w:numPr>
          <w:ilvl w:val="0"/>
          <w:numId w:val="23"/>
        </w:numPr>
        <w:ind w:left="709" w:hanging="709"/>
      </w:pPr>
      <w:bookmarkStart w:id="3" w:name="_Toc480411348"/>
      <w:bookmarkStart w:id="4" w:name="_Toc482191210"/>
      <w:r w:rsidRPr="007A2258">
        <w:t>Requested listing</w:t>
      </w:r>
      <w:bookmarkEnd w:id="3"/>
      <w:bookmarkEnd w:id="4"/>
    </w:p>
    <w:p w:rsidR="00C317F3" w:rsidRPr="007A2258" w:rsidRDefault="00D25F99" w:rsidP="007A2258">
      <w:pPr>
        <w:pStyle w:val="ListParagraph"/>
        <w:numPr>
          <w:ilvl w:val="1"/>
          <w:numId w:val="23"/>
        </w:numPr>
        <w:jc w:val="both"/>
      </w:pPr>
      <w:r w:rsidRPr="007A2258">
        <w:t>Details of the proposed listing are provided in the following table</w:t>
      </w:r>
      <w:r w:rsidR="00EB6428" w:rsidRPr="007A2258">
        <w:t>.</w:t>
      </w:r>
    </w:p>
    <w:tbl>
      <w:tblPr>
        <w:tblW w:w="5010" w:type="pct"/>
        <w:tblCellMar>
          <w:left w:w="28" w:type="dxa"/>
          <w:right w:w="28" w:type="dxa"/>
        </w:tblCellMar>
        <w:tblLook w:val="0000" w:firstRow="0" w:lastRow="0" w:firstColumn="0" w:lastColumn="0" w:noHBand="0" w:noVBand="0"/>
      </w:tblPr>
      <w:tblGrid>
        <w:gridCol w:w="10"/>
        <w:gridCol w:w="1938"/>
        <w:gridCol w:w="1343"/>
        <w:gridCol w:w="733"/>
        <w:gridCol w:w="892"/>
        <w:gridCol w:w="1625"/>
        <w:gridCol w:w="961"/>
        <w:gridCol w:w="1598"/>
      </w:tblGrid>
      <w:tr w:rsidR="00C317F3" w:rsidRPr="007A2258" w:rsidTr="00D25F99">
        <w:trPr>
          <w:cantSplit/>
          <w:trHeight w:val="463"/>
        </w:trPr>
        <w:tc>
          <w:tcPr>
            <w:tcW w:w="1808" w:type="pct"/>
            <w:gridSpan w:val="3"/>
            <w:tcBorders>
              <w:bottom w:val="single" w:sz="4" w:space="0" w:color="auto"/>
            </w:tcBorders>
            <w:vAlign w:val="center"/>
          </w:tcPr>
          <w:p w:rsidR="00C317F3" w:rsidRPr="007A2258" w:rsidRDefault="00C317F3" w:rsidP="0095170D">
            <w:pPr>
              <w:pStyle w:val="TableText"/>
              <w:rPr>
                <w:b/>
              </w:rPr>
            </w:pPr>
            <w:r w:rsidRPr="007A2258">
              <w:rPr>
                <w:b/>
              </w:rPr>
              <w:lastRenderedPageBreak/>
              <w:t>Name, Restriction,</w:t>
            </w:r>
          </w:p>
          <w:p w:rsidR="00C317F3" w:rsidRPr="007A2258" w:rsidRDefault="00C317F3" w:rsidP="0095170D">
            <w:pPr>
              <w:pStyle w:val="TableText"/>
              <w:rPr>
                <w:b/>
              </w:rPr>
            </w:pPr>
            <w:r w:rsidRPr="007A2258">
              <w:rPr>
                <w:b/>
              </w:rPr>
              <w:t>Manner of administration and form</w:t>
            </w:r>
          </w:p>
        </w:tc>
        <w:tc>
          <w:tcPr>
            <w:tcW w:w="403" w:type="pct"/>
            <w:tcBorders>
              <w:bottom w:val="single" w:sz="4" w:space="0" w:color="auto"/>
            </w:tcBorders>
            <w:vAlign w:val="center"/>
          </w:tcPr>
          <w:p w:rsidR="00C317F3" w:rsidRPr="007A2258" w:rsidRDefault="00C317F3" w:rsidP="0095170D">
            <w:pPr>
              <w:pStyle w:val="TableText"/>
              <w:rPr>
                <w:b/>
              </w:rPr>
            </w:pPr>
            <w:r w:rsidRPr="007A2258">
              <w:rPr>
                <w:b/>
              </w:rPr>
              <w:t>Max.</w:t>
            </w:r>
          </w:p>
          <w:p w:rsidR="00C317F3" w:rsidRPr="007A2258" w:rsidRDefault="00C317F3" w:rsidP="00852BAC">
            <w:pPr>
              <w:pStyle w:val="TableText"/>
              <w:rPr>
                <w:b/>
              </w:rPr>
            </w:pPr>
            <w:r w:rsidRPr="007A2258">
              <w:rPr>
                <w:b/>
              </w:rPr>
              <w:t>Qty</w:t>
            </w:r>
            <w:r w:rsidR="00791DE1" w:rsidRPr="007A2258">
              <w:rPr>
                <w:b/>
              </w:rPr>
              <w:t xml:space="preserve"> </w:t>
            </w:r>
          </w:p>
        </w:tc>
        <w:tc>
          <w:tcPr>
            <w:tcW w:w="490" w:type="pct"/>
            <w:tcBorders>
              <w:bottom w:val="single" w:sz="4" w:space="0" w:color="auto"/>
            </w:tcBorders>
            <w:vAlign w:val="center"/>
          </w:tcPr>
          <w:p w:rsidR="00C317F3" w:rsidRPr="007A2258" w:rsidRDefault="00C317F3" w:rsidP="0095170D">
            <w:pPr>
              <w:pStyle w:val="TableText"/>
              <w:rPr>
                <w:b/>
              </w:rPr>
            </w:pPr>
            <w:r w:rsidRPr="007A2258">
              <w:rPr>
                <w:b/>
              </w:rPr>
              <w:t>№.of</w:t>
            </w:r>
          </w:p>
          <w:p w:rsidR="00C317F3" w:rsidRPr="007A2258" w:rsidRDefault="00C317F3" w:rsidP="00C846BE">
            <w:pPr>
              <w:pStyle w:val="TableText"/>
              <w:rPr>
                <w:b/>
              </w:rPr>
            </w:pPr>
            <w:r w:rsidRPr="007A2258">
              <w:rPr>
                <w:b/>
              </w:rPr>
              <w:t>Rpts</w:t>
            </w:r>
          </w:p>
        </w:tc>
        <w:tc>
          <w:tcPr>
            <w:tcW w:w="893" w:type="pct"/>
            <w:tcBorders>
              <w:bottom w:val="single" w:sz="4" w:space="0" w:color="auto"/>
            </w:tcBorders>
            <w:vAlign w:val="center"/>
          </w:tcPr>
          <w:p w:rsidR="00C317F3" w:rsidRPr="007A2258" w:rsidRDefault="00C317F3" w:rsidP="000A3751">
            <w:pPr>
              <w:pStyle w:val="TableText"/>
              <w:rPr>
                <w:b/>
              </w:rPr>
            </w:pPr>
            <w:r w:rsidRPr="007A2258">
              <w:rPr>
                <w:b/>
              </w:rPr>
              <w:t>Dispensed Price for Max. Qty</w:t>
            </w:r>
            <w:r w:rsidR="00790910" w:rsidRPr="007A2258">
              <w:rPr>
                <w:b/>
              </w:rPr>
              <w:t xml:space="preserve"> </w:t>
            </w:r>
          </w:p>
        </w:tc>
        <w:tc>
          <w:tcPr>
            <w:tcW w:w="1406" w:type="pct"/>
            <w:gridSpan w:val="2"/>
            <w:tcBorders>
              <w:bottom w:val="single" w:sz="4" w:space="0" w:color="auto"/>
            </w:tcBorders>
            <w:vAlign w:val="center"/>
          </w:tcPr>
          <w:p w:rsidR="00C317F3" w:rsidRPr="007A2258" w:rsidRDefault="00C317F3" w:rsidP="00C846BE">
            <w:pPr>
              <w:pStyle w:val="TableText"/>
              <w:rPr>
                <w:b/>
                <w:lang w:val="fr-FR"/>
              </w:rPr>
            </w:pPr>
            <w:r w:rsidRPr="007A2258">
              <w:rPr>
                <w:b/>
              </w:rPr>
              <w:t>Proprietary Name and Manufacturer</w:t>
            </w:r>
          </w:p>
        </w:tc>
      </w:tr>
      <w:tr w:rsidR="00D25F99" w:rsidRPr="007A2258" w:rsidTr="00D25F99">
        <w:trPr>
          <w:cantSplit/>
          <w:trHeight w:val="567"/>
        </w:trPr>
        <w:tc>
          <w:tcPr>
            <w:tcW w:w="1808" w:type="pct"/>
            <w:gridSpan w:val="3"/>
            <w:vAlign w:val="center"/>
          </w:tcPr>
          <w:p w:rsidR="00D25F99" w:rsidRPr="007A2258" w:rsidRDefault="00D25F99" w:rsidP="00920F57">
            <w:pPr>
              <w:keepNext/>
              <w:spacing w:before="40" w:after="40"/>
              <w:rPr>
                <w:rFonts w:ascii="Arial Narrow" w:eastAsia="Calibri" w:hAnsi="Arial Narrow"/>
                <w:smallCaps/>
                <w:sz w:val="20"/>
              </w:rPr>
            </w:pPr>
            <w:r w:rsidRPr="007A2258">
              <w:rPr>
                <w:rFonts w:ascii="Arial Narrow" w:eastAsia="Calibri" w:hAnsi="Arial Narrow"/>
                <w:smallCaps/>
                <w:sz w:val="20"/>
              </w:rPr>
              <w:t>TENOFOVIR DISOPROXIL FUMARATE 300 MG + EMTRICITABINE 200 MG</w:t>
            </w:r>
          </w:p>
          <w:p w:rsidR="00D25F99" w:rsidRPr="007A2258" w:rsidRDefault="00D25F99" w:rsidP="0095170D">
            <w:pPr>
              <w:pStyle w:val="TableText"/>
            </w:pPr>
            <w:r w:rsidRPr="007A2258">
              <w:rPr>
                <w:rFonts w:eastAsia="Calibri"/>
              </w:rPr>
              <w:t>ORAL TABLET, 30</w:t>
            </w:r>
          </w:p>
        </w:tc>
        <w:tc>
          <w:tcPr>
            <w:tcW w:w="403" w:type="pct"/>
            <w:vAlign w:val="center"/>
          </w:tcPr>
          <w:p w:rsidR="00D25F99" w:rsidRPr="007A2258" w:rsidRDefault="00D25F99" w:rsidP="00920F57">
            <w:pPr>
              <w:keepNext/>
              <w:spacing w:before="40" w:after="40"/>
              <w:rPr>
                <w:rFonts w:ascii="Arial Narrow" w:eastAsia="Calibri" w:hAnsi="Arial Narrow"/>
                <w:sz w:val="20"/>
              </w:rPr>
            </w:pPr>
          </w:p>
          <w:p w:rsidR="00D25F99" w:rsidRPr="007A2258" w:rsidRDefault="00D25F99" w:rsidP="0095170D">
            <w:pPr>
              <w:pStyle w:val="TableText"/>
            </w:pPr>
            <w:r w:rsidRPr="007A2258">
              <w:rPr>
                <w:rFonts w:eastAsia="Calibri"/>
              </w:rPr>
              <w:t>1</w:t>
            </w:r>
          </w:p>
        </w:tc>
        <w:tc>
          <w:tcPr>
            <w:tcW w:w="490" w:type="pct"/>
            <w:vAlign w:val="center"/>
          </w:tcPr>
          <w:p w:rsidR="00D25F99" w:rsidRPr="007A2258" w:rsidRDefault="00D25F99" w:rsidP="00920F57">
            <w:pPr>
              <w:keepNext/>
              <w:spacing w:before="40" w:after="40"/>
              <w:rPr>
                <w:rFonts w:ascii="Arial Narrow" w:eastAsia="Calibri" w:hAnsi="Arial Narrow"/>
                <w:sz w:val="20"/>
              </w:rPr>
            </w:pPr>
          </w:p>
          <w:p w:rsidR="00D25F99" w:rsidRPr="007A2258" w:rsidRDefault="00D25F99" w:rsidP="0095170D">
            <w:pPr>
              <w:pStyle w:val="TableText"/>
            </w:pPr>
            <w:r w:rsidRPr="007A2258">
              <w:rPr>
                <w:rFonts w:eastAsia="Calibri"/>
              </w:rPr>
              <w:t>2</w:t>
            </w:r>
          </w:p>
        </w:tc>
        <w:tc>
          <w:tcPr>
            <w:tcW w:w="893" w:type="pct"/>
            <w:vAlign w:val="center"/>
          </w:tcPr>
          <w:p w:rsidR="00D25F99" w:rsidRPr="007A2258" w:rsidRDefault="00D25F99" w:rsidP="00920F57">
            <w:pPr>
              <w:keepNext/>
              <w:spacing w:before="40" w:after="40"/>
              <w:rPr>
                <w:rFonts w:ascii="Arial Narrow" w:eastAsia="Calibri" w:hAnsi="Arial Narrow"/>
                <w:sz w:val="20"/>
              </w:rPr>
            </w:pPr>
          </w:p>
          <w:p w:rsidR="00D25F99" w:rsidRPr="007A2258" w:rsidRDefault="00D25F99" w:rsidP="00090963">
            <w:pPr>
              <w:pStyle w:val="TableText"/>
            </w:pPr>
            <w:r w:rsidRPr="007A2258">
              <w:rPr>
                <w:rFonts w:eastAsia="Calibri"/>
              </w:rPr>
              <w:t>$</w:t>
            </w:r>
            <w:r w:rsidR="004E43C3">
              <w:rPr>
                <w:rFonts w:eastAsia="Calibri"/>
                <w:noProof/>
                <w:color w:val="000000"/>
                <w:highlight w:val="black"/>
              </w:rPr>
              <w:t>''''''''''''''''</w:t>
            </w:r>
          </w:p>
        </w:tc>
        <w:tc>
          <w:tcPr>
            <w:tcW w:w="528" w:type="pct"/>
            <w:vAlign w:val="center"/>
          </w:tcPr>
          <w:p w:rsidR="00D25F99" w:rsidRPr="007A2258" w:rsidRDefault="00D25F99" w:rsidP="00C846BE">
            <w:pPr>
              <w:pStyle w:val="TableText"/>
            </w:pPr>
            <w:r w:rsidRPr="007A2258">
              <w:rPr>
                <w:rFonts w:eastAsia="Calibri"/>
              </w:rPr>
              <w:t>TRUVADA®</w:t>
            </w:r>
          </w:p>
        </w:tc>
        <w:tc>
          <w:tcPr>
            <w:tcW w:w="878" w:type="pct"/>
            <w:vAlign w:val="center"/>
          </w:tcPr>
          <w:p w:rsidR="00D25F99" w:rsidRPr="007A2258" w:rsidRDefault="00D25F99" w:rsidP="00C846BE">
            <w:pPr>
              <w:pStyle w:val="TableText"/>
            </w:pPr>
            <w:r w:rsidRPr="007A2258">
              <w:rPr>
                <w:rFonts w:eastAsia="Calibri"/>
              </w:rPr>
              <w:t>Gilead Sciences PTY LTD</w:t>
            </w:r>
          </w:p>
        </w:tc>
      </w:tr>
      <w:tr w:rsidR="00D25F99" w:rsidRPr="007A2258" w:rsidTr="00D25F99">
        <w:tblPrEx>
          <w:tblCellMar>
            <w:left w:w="108" w:type="dxa"/>
            <w:right w:w="108" w:type="dxa"/>
          </w:tblCellMar>
        </w:tblPrEx>
        <w:trPr>
          <w:gridBefore w:val="1"/>
          <w:wBefore w:w="5" w:type="pct"/>
          <w:cantSplit/>
          <w:trHeight w:val="360"/>
        </w:trPr>
        <w:tc>
          <w:tcPr>
            <w:tcW w:w="1065" w:type="pct"/>
            <w:tcBorders>
              <w:top w:val="single" w:sz="4" w:space="0" w:color="auto"/>
              <w:left w:val="single" w:sz="4" w:space="0" w:color="auto"/>
              <w:bottom w:val="single" w:sz="4" w:space="0" w:color="auto"/>
              <w:right w:val="single" w:sz="4" w:space="0" w:color="auto"/>
            </w:tcBorders>
          </w:tcPr>
          <w:p w:rsidR="00D25F99" w:rsidRPr="007A2258" w:rsidRDefault="00D25F99" w:rsidP="0095170D">
            <w:pPr>
              <w:pStyle w:val="TableText"/>
            </w:pPr>
            <w:r w:rsidRPr="007A2258">
              <w:rPr>
                <w:rFonts w:eastAsia="Calibri"/>
              </w:rPr>
              <w:t>Category / Program:</w:t>
            </w:r>
          </w:p>
        </w:tc>
        <w:tc>
          <w:tcPr>
            <w:tcW w:w="3930" w:type="pct"/>
            <w:gridSpan w:val="6"/>
            <w:tcBorders>
              <w:top w:val="single" w:sz="4" w:space="0" w:color="auto"/>
              <w:left w:val="single" w:sz="4" w:space="0" w:color="auto"/>
              <w:bottom w:val="single" w:sz="4" w:space="0" w:color="auto"/>
              <w:right w:val="single" w:sz="4" w:space="0" w:color="auto"/>
            </w:tcBorders>
          </w:tcPr>
          <w:p w:rsidR="00D25F99" w:rsidRPr="007A2258" w:rsidRDefault="00D25F99" w:rsidP="0095170D">
            <w:pPr>
              <w:pStyle w:val="TableText"/>
            </w:pPr>
            <w:r w:rsidRPr="007A2258">
              <w:rPr>
                <w:rFonts w:eastAsia="Calibri"/>
              </w:rPr>
              <w:t>General Schedule</w:t>
            </w:r>
          </w:p>
        </w:tc>
      </w:tr>
      <w:tr w:rsidR="00D25F99" w:rsidRPr="007A2258" w:rsidTr="00D25F99">
        <w:tblPrEx>
          <w:tblCellMar>
            <w:left w:w="108" w:type="dxa"/>
            <w:right w:w="108" w:type="dxa"/>
          </w:tblCellMar>
        </w:tblPrEx>
        <w:trPr>
          <w:gridBefore w:val="1"/>
          <w:wBefore w:w="5" w:type="pct"/>
          <w:cantSplit/>
          <w:trHeight w:val="360"/>
        </w:trPr>
        <w:tc>
          <w:tcPr>
            <w:tcW w:w="1065" w:type="pct"/>
            <w:tcBorders>
              <w:top w:val="single" w:sz="4" w:space="0" w:color="auto"/>
              <w:left w:val="single" w:sz="4" w:space="0" w:color="auto"/>
              <w:bottom w:val="single" w:sz="4" w:space="0" w:color="auto"/>
              <w:right w:val="single" w:sz="4" w:space="0" w:color="auto"/>
            </w:tcBorders>
          </w:tcPr>
          <w:p w:rsidR="00D25F99" w:rsidRPr="007A2258" w:rsidRDefault="00D25F99" w:rsidP="00791DE1">
            <w:pPr>
              <w:pStyle w:val="TableText"/>
              <w:rPr>
                <w:rFonts w:ascii="Times" w:eastAsia="Times New Roman" w:hAnsi="Times" w:cs="Times New Roman"/>
                <w:szCs w:val="20"/>
                <w:lang w:val="en-US"/>
              </w:rPr>
            </w:pPr>
            <w:r w:rsidRPr="007A2258">
              <w:rPr>
                <w:rFonts w:eastAsia="Calibri"/>
              </w:rPr>
              <w:t>PBS Indication:</w:t>
            </w:r>
          </w:p>
        </w:tc>
        <w:tc>
          <w:tcPr>
            <w:tcW w:w="3930" w:type="pct"/>
            <w:gridSpan w:val="6"/>
            <w:tcBorders>
              <w:top w:val="single" w:sz="4" w:space="0" w:color="auto"/>
              <w:left w:val="single" w:sz="4" w:space="0" w:color="auto"/>
              <w:bottom w:val="single" w:sz="4" w:space="0" w:color="auto"/>
              <w:right w:val="single" w:sz="4" w:space="0" w:color="auto"/>
            </w:tcBorders>
          </w:tcPr>
          <w:p w:rsidR="00D25F99" w:rsidRPr="007A2258" w:rsidRDefault="00D25F99" w:rsidP="00791DE1">
            <w:pPr>
              <w:pStyle w:val="TableText"/>
            </w:pPr>
            <w:r w:rsidRPr="007A2258">
              <w:rPr>
                <w:rFonts w:eastAsia="Calibri"/>
              </w:rPr>
              <w:t>Pre-exposure prophylaxis against HIV in adults at medium to high risk of infection</w:t>
            </w:r>
          </w:p>
        </w:tc>
      </w:tr>
      <w:tr w:rsidR="00D25F99" w:rsidRPr="007A2258" w:rsidTr="00D25F99">
        <w:tblPrEx>
          <w:tblCellMar>
            <w:left w:w="108" w:type="dxa"/>
            <w:right w:w="108" w:type="dxa"/>
          </w:tblCellMar>
        </w:tblPrEx>
        <w:trPr>
          <w:gridBefore w:val="1"/>
          <w:wBefore w:w="5" w:type="pct"/>
          <w:cantSplit/>
          <w:trHeight w:val="360"/>
        </w:trPr>
        <w:tc>
          <w:tcPr>
            <w:tcW w:w="1065" w:type="pct"/>
            <w:tcBorders>
              <w:top w:val="single" w:sz="4" w:space="0" w:color="auto"/>
              <w:left w:val="single" w:sz="4" w:space="0" w:color="auto"/>
              <w:bottom w:val="single" w:sz="4" w:space="0" w:color="auto"/>
              <w:right w:val="single" w:sz="4" w:space="0" w:color="auto"/>
            </w:tcBorders>
          </w:tcPr>
          <w:p w:rsidR="00D25F99" w:rsidRPr="007A2258" w:rsidRDefault="00D25F99" w:rsidP="00791DE1">
            <w:pPr>
              <w:pStyle w:val="TableText"/>
            </w:pPr>
            <w:r w:rsidRPr="007A2258">
              <w:rPr>
                <w:rFonts w:eastAsia="Calibri"/>
              </w:rPr>
              <w:t>Restriction:</w:t>
            </w:r>
          </w:p>
        </w:tc>
        <w:tc>
          <w:tcPr>
            <w:tcW w:w="3930" w:type="pct"/>
            <w:gridSpan w:val="6"/>
            <w:tcBorders>
              <w:top w:val="single" w:sz="4" w:space="0" w:color="auto"/>
              <w:left w:val="single" w:sz="4" w:space="0" w:color="auto"/>
              <w:bottom w:val="single" w:sz="4" w:space="0" w:color="auto"/>
              <w:right w:val="single" w:sz="4" w:space="0" w:color="auto"/>
            </w:tcBorders>
          </w:tcPr>
          <w:p w:rsidR="00D25F99" w:rsidRPr="007A2258" w:rsidRDefault="00D25F99" w:rsidP="00791DE1">
            <w:pPr>
              <w:pStyle w:val="TableText"/>
            </w:pPr>
            <w:r w:rsidRPr="007A2258">
              <w:rPr>
                <w:rFonts w:eastAsia="Calibri"/>
              </w:rPr>
              <w:t>Streamlined</w:t>
            </w:r>
          </w:p>
        </w:tc>
      </w:tr>
      <w:tr w:rsidR="00D25F99" w:rsidRPr="007A2258" w:rsidTr="00D25F99">
        <w:tblPrEx>
          <w:tblCellMar>
            <w:left w:w="108" w:type="dxa"/>
            <w:right w:w="108" w:type="dxa"/>
          </w:tblCellMar>
        </w:tblPrEx>
        <w:trPr>
          <w:gridBefore w:val="1"/>
          <w:wBefore w:w="5" w:type="pct"/>
          <w:cantSplit/>
          <w:trHeight w:val="360"/>
        </w:trPr>
        <w:tc>
          <w:tcPr>
            <w:tcW w:w="1065" w:type="pct"/>
            <w:tcBorders>
              <w:top w:val="single" w:sz="4" w:space="0" w:color="auto"/>
              <w:left w:val="single" w:sz="4" w:space="0" w:color="auto"/>
              <w:bottom w:val="single" w:sz="4" w:space="0" w:color="auto"/>
              <w:right w:val="single" w:sz="4" w:space="0" w:color="auto"/>
            </w:tcBorders>
          </w:tcPr>
          <w:p w:rsidR="00D25F99" w:rsidRPr="007A2258" w:rsidRDefault="00D25F99" w:rsidP="00791DE1">
            <w:pPr>
              <w:pStyle w:val="TableText"/>
            </w:pPr>
            <w:r w:rsidRPr="007A2258">
              <w:rPr>
                <w:rFonts w:eastAsia="Calibri"/>
              </w:rPr>
              <w:t>Treatment criteria:</w:t>
            </w:r>
          </w:p>
        </w:tc>
        <w:tc>
          <w:tcPr>
            <w:tcW w:w="3930" w:type="pct"/>
            <w:gridSpan w:val="6"/>
            <w:tcBorders>
              <w:top w:val="single" w:sz="4" w:space="0" w:color="auto"/>
              <w:left w:val="single" w:sz="4" w:space="0" w:color="auto"/>
              <w:bottom w:val="single" w:sz="4" w:space="0" w:color="auto"/>
              <w:right w:val="single" w:sz="4" w:space="0" w:color="auto"/>
            </w:tcBorders>
          </w:tcPr>
          <w:p w:rsidR="00D25F99" w:rsidRPr="007A2258" w:rsidRDefault="00D25F99" w:rsidP="00791DE1">
            <w:pPr>
              <w:pStyle w:val="TableText"/>
            </w:pPr>
            <w:r w:rsidRPr="007A2258">
              <w:rPr>
                <w:rFonts w:eastAsia="Calibri"/>
              </w:rPr>
              <w:t>Must be treated by a prescriber who is registered with a PrEP Prescriber Program</w:t>
            </w:r>
          </w:p>
        </w:tc>
      </w:tr>
      <w:tr w:rsidR="00D25F99" w:rsidRPr="007A2258" w:rsidTr="00D25F99">
        <w:tblPrEx>
          <w:tblCellMar>
            <w:left w:w="108" w:type="dxa"/>
            <w:right w:w="108" w:type="dxa"/>
          </w:tblCellMar>
        </w:tblPrEx>
        <w:trPr>
          <w:gridBefore w:val="1"/>
          <w:wBefore w:w="5" w:type="pct"/>
          <w:cantSplit/>
          <w:trHeight w:val="360"/>
        </w:trPr>
        <w:tc>
          <w:tcPr>
            <w:tcW w:w="1065" w:type="pct"/>
            <w:tcBorders>
              <w:top w:val="single" w:sz="4" w:space="0" w:color="auto"/>
              <w:left w:val="single" w:sz="4" w:space="0" w:color="auto"/>
              <w:bottom w:val="single" w:sz="4" w:space="0" w:color="auto"/>
              <w:right w:val="single" w:sz="4" w:space="0" w:color="auto"/>
            </w:tcBorders>
          </w:tcPr>
          <w:p w:rsidR="00D25F99" w:rsidRPr="007A2258" w:rsidRDefault="00D25F99" w:rsidP="00791DE1">
            <w:pPr>
              <w:pStyle w:val="TableText"/>
              <w:rPr>
                <w:rFonts w:ascii="Times" w:eastAsia="Times New Roman" w:hAnsi="Times" w:cs="Times New Roman"/>
                <w:szCs w:val="20"/>
                <w:lang w:val="en-US"/>
              </w:rPr>
            </w:pPr>
            <w:r w:rsidRPr="007A2258">
              <w:rPr>
                <w:rFonts w:eastAsia="Calibri"/>
              </w:rPr>
              <w:t>Clinical criteria:</w:t>
            </w:r>
          </w:p>
        </w:tc>
        <w:tc>
          <w:tcPr>
            <w:tcW w:w="3930" w:type="pct"/>
            <w:gridSpan w:val="6"/>
            <w:tcBorders>
              <w:top w:val="single" w:sz="4" w:space="0" w:color="auto"/>
              <w:left w:val="single" w:sz="4" w:space="0" w:color="auto"/>
              <w:bottom w:val="single" w:sz="4" w:space="0" w:color="auto"/>
              <w:right w:val="single" w:sz="4" w:space="0" w:color="auto"/>
            </w:tcBorders>
          </w:tcPr>
          <w:p w:rsidR="00D25F99" w:rsidRPr="007A2258" w:rsidRDefault="00D25F99" w:rsidP="00920F57">
            <w:pPr>
              <w:rPr>
                <w:rFonts w:ascii="Arial Narrow" w:hAnsi="Arial Narrow"/>
                <w:sz w:val="20"/>
              </w:rPr>
            </w:pPr>
            <w:r w:rsidRPr="007A2258">
              <w:rPr>
                <w:rFonts w:ascii="Arial Narrow" w:hAnsi="Arial Narrow"/>
                <w:sz w:val="20"/>
              </w:rPr>
              <w:t xml:space="preserve">Patient must be at medium to high risk of HIV infection, as defined by updated Australian Society for HIV Medicine Guidelines.  </w:t>
            </w:r>
          </w:p>
          <w:p w:rsidR="00D25F99" w:rsidRPr="007A2258" w:rsidRDefault="00D25F99" w:rsidP="00920F57">
            <w:pPr>
              <w:rPr>
                <w:rFonts w:ascii="Arial Narrow" w:hAnsi="Arial Narrow"/>
                <w:sz w:val="20"/>
              </w:rPr>
            </w:pPr>
            <w:r w:rsidRPr="007A2258">
              <w:rPr>
                <w:rFonts w:ascii="Arial Narrow" w:hAnsi="Arial Narrow"/>
                <w:sz w:val="20"/>
              </w:rPr>
              <w:t>AND</w:t>
            </w:r>
          </w:p>
          <w:p w:rsidR="00D25F99" w:rsidRPr="007A2258" w:rsidRDefault="00D25F99" w:rsidP="00920F57">
            <w:pPr>
              <w:rPr>
                <w:rFonts w:ascii="Arial Narrow" w:hAnsi="Arial Narrow"/>
                <w:sz w:val="20"/>
              </w:rPr>
            </w:pPr>
            <w:r w:rsidRPr="007A2258">
              <w:rPr>
                <w:rFonts w:ascii="Arial Narrow" w:hAnsi="Arial Narrow"/>
                <w:sz w:val="20"/>
              </w:rPr>
              <w:t>Patient must return a negative HIV test prior to initiating treatment</w:t>
            </w:r>
          </w:p>
          <w:p w:rsidR="00D25F99" w:rsidRPr="007A2258" w:rsidRDefault="00D25F99" w:rsidP="00920F57">
            <w:pPr>
              <w:rPr>
                <w:rFonts w:ascii="Arial Narrow" w:hAnsi="Arial Narrow"/>
                <w:sz w:val="20"/>
              </w:rPr>
            </w:pPr>
            <w:r w:rsidRPr="007A2258">
              <w:rPr>
                <w:rFonts w:ascii="Arial Narrow" w:hAnsi="Arial Narrow"/>
                <w:sz w:val="20"/>
              </w:rPr>
              <w:t>AND</w:t>
            </w:r>
          </w:p>
          <w:p w:rsidR="00D25F99" w:rsidRPr="007A2258" w:rsidRDefault="00D25F99" w:rsidP="00791DE1">
            <w:pPr>
              <w:pStyle w:val="TableText"/>
            </w:pPr>
            <w:r w:rsidRPr="007A2258">
              <w:t>Patient must continue to return negative HIV tests at 3 monthly intervals throughout treatment.</w:t>
            </w:r>
          </w:p>
        </w:tc>
      </w:tr>
      <w:tr w:rsidR="00D25F99" w:rsidRPr="007A2258" w:rsidTr="00D25F99">
        <w:tblPrEx>
          <w:tblCellMar>
            <w:left w:w="108" w:type="dxa"/>
            <w:right w:w="108" w:type="dxa"/>
          </w:tblCellMar>
        </w:tblPrEx>
        <w:trPr>
          <w:gridBefore w:val="1"/>
          <w:wBefore w:w="5" w:type="pct"/>
          <w:cantSplit/>
          <w:trHeight w:val="360"/>
        </w:trPr>
        <w:tc>
          <w:tcPr>
            <w:tcW w:w="1065" w:type="pct"/>
            <w:tcBorders>
              <w:top w:val="single" w:sz="4" w:space="0" w:color="auto"/>
              <w:left w:val="single" w:sz="4" w:space="0" w:color="auto"/>
              <w:bottom w:val="single" w:sz="4" w:space="0" w:color="auto"/>
              <w:right w:val="single" w:sz="4" w:space="0" w:color="auto"/>
            </w:tcBorders>
          </w:tcPr>
          <w:p w:rsidR="00D25F99" w:rsidRPr="007A2258" w:rsidRDefault="00D25F99" w:rsidP="00791DE1">
            <w:pPr>
              <w:pStyle w:val="TableText"/>
              <w:rPr>
                <w:rFonts w:ascii="Times" w:eastAsia="Times New Roman" w:hAnsi="Times" w:cs="Times New Roman"/>
                <w:szCs w:val="20"/>
                <w:lang w:val="en-US"/>
              </w:rPr>
            </w:pPr>
            <w:r w:rsidRPr="007A2258">
              <w:rPr>
                <w:rFonts w:eastAsia="Calibri"/>
              </w:rPr>
              <w:t>Population criteria:</w:t>
            </w:r>
          </w:p>
        </w:tc>
        <w:tc>
          <w:tcPr>
            <w:tcW w:w="3930" w:type="pct"/>
            <w:gridSpan w:val="6"/>
            <w:tcBorders>
              <w:top w:val="single" w:sz="4" w:space="0" w:color="auto"/>
              <w:left w:val="single" w:sz="4" w:space="0" w:color="auto"/>
              <w:bottom w:val="single" w:sz="4" w:space="0" w:color="auto"/>
              <w:right w:val="single" w:sz="4" w:space="0" w:color="auto"/>
            </w:tcBorders>
          </w:tcPr>
          <w:p w:rsidR="00D25F99" w:rsidRPr="007A2258" w:rsidRDefault="00D25F99" w:rsidP="00791DE1">
            <w:pPr>
              <w:pStyle w:val="TableText"/>
            </w:pPr>
            <w:r w:rsidRPr="007A2258">
              <w:rPr>
                <w:rFonts w:eastAsia="Calibri"/>
              </w:rPr>
              <w:t>Patient must be 18 years or older</w:t>
            </w:r>
          </w:p>
        </w:tc>
      </w:tr>
      <w:tr w:rsidR="00D25F99" w:rsidRPr="007A2258" w:rsidTr="00D25F99">
        <w:tblPrEx>
          <w:tblCellMar>
            <w:left w:w="108" w:type="dxa"/>
            <w:right w:w="108" w:type="dxa"/>
          </w:tblCellMar>
        </w:tblPrEx>
        <w:trPr>
          <w:gridBefore w:val="1"/>
          <w:wBefore w:w="5" w:type="pct"/>
          <w:cantSplit/>
          <w:trHeight w:val="360"/>
        </w:trPr>
        <w:tc>
          <w:tcPr>
            <w:tcW w:w="1065" w:type="pct"/>
            <w:tcBorders>
              <w:top w:val="single" w:sz="4" w:space="0" w:color="auto"/>
              <w:left w:val="single" w:sz="4" w:space="0" w:color="auto"/>
              <w:bottom w:val="single" w:sz="4" w:space="0" w:color="auto"/>
              <w:right w:val="single" w:sz="4" w:space="0" w:color="auto"/>
            </w:tcBorders>
          </w:tcPr>
          <w:p w:rsidR="00D25F99" w:rsidRPr="007A2258" w:rsidRDefault="00D25F99" w:rsidP="00791DE1">
            <w:pPr>
              <w:pStyle w:val="TableText"/>
              <w:rPr>
                <w:rFonts w:ascii="Times" w:eastAsia="Times New Roman" w:hAnsi="Times" w:cs="Times New Roman"/>
                <w:szCs w:val="20"/>
                <w:lang w:val="en-US"/>
              </w:rPr>
            </w:pPr>
            <w:r w:rsidRPr="007A2258">
              <w:rPr>
                <w:rFonts w:eastAsia="Calibri"/>
              </w:rPr>
              <w:t>Category / Program:</w:t>
            </w:r>
          </w:p>
        </w:tc>
        <w:tc>
          <w:tcPr>
            <w:tcW w:w="3930" w:type="pct"/>
            <w:gridSpan w:val="6"/>
            <w:tcBorders>
              <w:top w:val="single" w:sz="4" w:space="0" w:color="auto"/>
              <w:left w:val="single" w:sz="4" w:space="0" w:color="auto"/>
              <w:bottom w:val="single" w:sz="4" w:space="0" w:color="auto"/>
              <w:right w:val="single" w:sz="4" w:space="0" w:color="auto"/>
            </w:tcBorders>
          </w:tcPr>
          <w:p w:rsidR="00D25F99" w:rsidRPr="007A2258" w:rsidRDefault="00D25F99" w:rsidP="00791DE1">
            <w:pPr>
              <w:pStyle w:val="TableText"/>
            </w:pPr>
            <w:r w:rsidRPr="007A2258">
              <w:rPr>
                <w:rFonts w:eastAsia="Calibri"/>
              </w:rPr>
              <w:t>General Schedule</w:t>
            </w:r>
          </w:p>
        </w:tc>
      </w:tr>
    </w:tbl>
    <w:p w:rsidR="00C317F3" w:rsidRPr="007A2258" w:rsidRDefault="00C317F3" w:rsidP="0095170D">
      <w:pPr>
        <w:pStyle w:val="ListParagraph"/>
        <w:spacing w:before="0" w:after="0"/>
        <w:jc w:val="both"/>
      </w:pPr>
    </w:p>
    <w:p w:rsidR="00D25F99" w:rsidRPr="007A2258" w:rsidRDefault="00D25F99" w:rsidP="007A2258">
      <w:pPr>
        <w:pStyle w:val="ListParagraph"/>
        <w:numPr>
          <w:ilvl w:val="1"/>
          <w:numId w:val="23"/>
        </w:numPr>
        <w:jc w:val="both"/>
      </w:pPr>
      <w:r w:rsidRPr="007A2258">
        <w:t>TDF/FTC was TGA registered for use ‘in combination with safer sex practices for pre exposure prophylaxis (PrEP) to reduce the risk of sexually acquired HIV-1 in adults at high risk’ on 6</w:t>
      </w:r>
      <w:r w:rsidRPr="007A2258">
        <w:rPr>
          <w:vertAlign w:val="superscript"/>
        </w:rPr>
        <w:t>th</w:t>
      </w:r>
      <w:r w:rsidR="00725DFA" w:rsidRPr="007A2258">
        <w:t xml:space="preserve"> </w:t>
      </w:r>
      <w:r w:rsidRPr="007A2258">
        <w:t xml:space="preserve">May 2016. </w:t>
      </w:r>
    </w:p>
    <w:p w:rsidR="00D25F99" w:rsidRPr="007A2258" w:rsidRDefault="00D25F99" w:rsidP="007A2258">
      <w:pPr>
        <w:pStyle w:val="ListParagraph"/>
        <w:numPr>
          <w:ilvl w:val="1"/>
          <w:numId w:val="23"/>
        </w:numPr>
        <w:jc w:val="both"/>
      </w:pPr>
      <w:r w:rsidRPr="007A2258">
        <w:t xml:space="preserve">The proposed restriction would allow for use in a broad population, in adults at ‘medium to high risk’ of HIV infection according the </w:t>
      </w:r>
      <w:r w:rsidR="00A60251" w:rsidRPr="0063466A">
        <w:t>Australasian Society for HIV, Viral Hepatitis and Sexual Health Medicine</w:t>
      </w:r>
      <w:r w:rsidR="00A60251" w:rsidRPr="007A2258">
        <w:t xml:space="preserve"> </w:t>
      </w:r>
      <w:r w:rsidR="00A60251">
        <w:t>(</w:t>
      </w:r>
      <w:r w:rsidRPr="007A2258">
        <w:t>ASHM</w:t>
      </w:r>
      <w:r w:rsidR="00A60251">
        <w:t>)</w:t>
      </w:r>
      <w:r w:rsidRPr="007A2258">
        <w:t xml:space="preserve"> Guidelines. This was a change from the July 2016 submission which proposed a ‘substantial risk of HIV infection’. The ASHM Guidelines also recommend use of PrEP in people who inject drugs to prevent HIV transmission associated with the sharing of injecting equipment. This is broader than the TGA registered indication (of preventing sexually acquired HIV-1). The proposal to include medium risk behaviour means that there was no longer a requirement to develop a risk calculator, as included in the July 2016 submission, to determine those who would reach the 3% “substantial risk” threshold.</w:t>
      </w:r>
    </w:p>
    <w:p w:rsidR="00D25F99" w:rsidRPr="007A2258" w:rsidRDefault="00D25F99" w:rsidP="007A2258">
      <w:pPr>
        <w:pStyle w:val="ListParagraph"/>
        <w:numPr>
          <w:ilvl w:val="1"/>
          <w:numId w:val="23"/>
        </w:numPr>
        <w:jc w:val="both"/>
      </w:pPr>
      <w:r w:rsidRPr="007A2258">
        <w:t xml:space="preserve">The requested basis for listing </w:t>
      </w:r>
      <w:r w:rsidR="00725DFA" w:rsidRPr="007A2258">
        <w:t>wa</w:t>
      </w:r>
      <w:r w:rsidRPr="007A2258">
        <w:t>s cost</w:t>
      </w:r>
      <w:r w:rsidR="00725DFA" w:rsidRPr="007A2258">
        <w:t>-</w:t>
      </w:r>
      <w:r w:rsidRPr="007A2258">
        <w:t>effectiveness of TDF/FTC + SOC compared to SOC alone.</w:t>
      </w:r>
    </w:p>
    <w:p w:rsidR="00D25F99" w:rsidRPr="007A2258" w:rsidRDefault="00D25F99" w:rsidP="007A2258">
      <w:pPr>
        <w:pStyle w:val="ListParagraph"/>
        <w:numPr>
          <w:ilvl w:val="1"/>
          <w:numId w:val="23"/>
        </w:numPr>
        <w:jc w:val="both"/>
      </w:pPr>
      <w:r w:rsidRPr="007A2258">
        <w:t>The recommended dose is one oral tablet, once daily. The treatment is ongoing for the life time of the participant</w:t>
      </w:r>
      <w:r w:rsidR="004D3828" w:rsidRPr="007A2258">
        <w:t xml:space="preserve"> as long as the participant is at </w:t>
      </w:r>
      <w:r w:rsidR="00CC7F19" w:rsidRPr="007A2258">
        <w:t xml:space="preserve">medium to </w:t>
      </w:r>
      <w:r w:rsidR="004D3828" w:rsidRPr="007A2258">
        <w:t>high risk of HIV infection</w:t>
      </w:r>
      <w:r w:rsidR="00CC7F19" w:rsidRPr="007A2258">
        <w:t xml:space="preserve"> according to the proposed restriction. </w:t>
      </w:r>
    </w:p>
    <w:p w:rsidR="006D23DA" w:rsidRDefault="002A4CD8" w:rsidP="007A2258">
      <w:pPr>
        <w:pStyle w:val="ListParagraph"/>
        <w:numPr>
          <w:ilvl w:val="1"/>
          <w:numId w:val="23"/>
        </w:numPr>
        <w:jc w:val="both"/>
      </w:pPr>
      <w:r w:rsidRPr="007A2258">
        <w:lastRenderedPageBreak/>
        <w:t>The proposed eligibility criteria rely on self-reported behaviour</w:t>
      </w:r>
      <w:r w:rsidR="005C28F5" w:rsidRPr="007A2258">
        <w:t xml:space="preserve"> (derived from the ASHM Guidelines</w:t>
      </w:r>
      <w:r w:rsidR="00A779FC" w:rsidRPr="007A2258">
        <w:t>, see Table 4 below</w:t>
      </w:r>
      <w:r w:rsidR="005C28F5" w:rsidRPr="007A2258">
        <w:t>)</w:t>
      </w:r>
      <w:r w:rsidRPr="007A2258">
        <w:t xml:space="preserve">, potentially complicating their use as the basis for a restriction tool. </w:t>
      </w:r>
    </w:p>
    <w:p w:rsidR="00CD7B5A" w:rsidRDefault="00E738F8" w:rsidP="007A2258">
      <w:pPr>
        <w:pStyle w:val="ListParagraph"/>
        <w:numPr>
          <w:ilvl w:val="1"/>
          <w:numId w:val="23"/>
        </w:numPr>
        <w:jc w:val="both"/>
      </w:pPr>
      <w:r>
        <w:t>The PBAC</w:t>
      </w:r>
      <w:r w:rsidR="00B448ED">
        <w:t xml:space="preserve"> noted, consistent with its advice</w:t>
      </w:r>
      <w:r w:rsidR="002E4CE1">
        <w:t xml:space="preserve"> from July 2016,</w:t>
      </w:r>
      <w:r>
        <w:t xml:space="preserve"> the</w:t>
      </w:r>
      <w:r w:rsidR="00126672">
        <w:t xml:space="preserve"> resubmission</w:t>
      </w:r>
      <w:r>
        <w:t xml:space="preserve"> </w:t>
      </w:r>
      <w:r w:rsidR="00126672">
        <w:t>proposed listing for</w:t>
      </w:r>
      <w:r>
        <w:t xml:space="preserve"> a broader population</w:t>
      </w:r>
      <w:r w:rsidR="002E4CE1">
        <w:t xml:space="preserve"> of individuals compared with t</w:t>
      </w:r>
      <w:r>
        <w:t xml:space="preserve">he </w:t>
      </w:r>
      <w:r w:rsidR="002E4CE1">
        <w:t>July 2016</w:t>
      </w:r>
      <w:r>
        <w:t xml:space="preserve"> submission</w:t>
      </w:r>
      <w:r w:rsidR="00126672">
        <w:t xml:space="preserve">. </w:t>
      </w:r>
      <w:r w:rsidR="00CD7B5A">
        <w:t>The PBAC considered</w:t>
      </w:r>
      <w:r w:rsidR="002E4CE1">
        <w:t xml:space="preserve"> it appropriate for the </w:t>
      </w:r>
      <w:r w:rsidR="00CD7B5A">
        <w:t xml:space="preserve">eligible population </w:t>
      </w:r>
      <w:r w:rsidR="00505BFC">
        <w:t>to include</w:t>
      </w:r>
      <w:r w:rsidR="002E4CE1">
        <w:t xml:space="preserve"> </w:t>
      </w:r>
      <w:r w:rsidR="00CD7B5A">
        <w:t xml:space="preserve">medium and high risk individuals as defined in </w:t>
      </w:r>
      <w:r w:rsidR="00CD7B5A" w:rsidRPr="00C369DC">
        <w:t>the ASHM Guidelines</w:t>
      </w:r>
      <w:r w:rsidR="002E4CE1">
        <w:t>,</w:t>
      </w:r>
      <w:r w:rsidR="00B75A5B">
        <w:t xml:space="preserve"> </w:t>
      </w:r>
      <w:r w:rsidR="00525325">
        <w:t>includ</w:t>
      </w:r>
      <w:r w:rsidR="002E4CE1">
        <w:t>ing</w:t>
      </w:r>
      <w:r w:rsidR="00525325">
        <w:t xml:space="preserve"> people who share injecting equipment</w:t>
      </w:r>
      <w:r w:rsidR="00B75A5B">
        <w:t xml:space="preserve">. The PBAC noted </w:t>
      </w:r>
      <w:r w:rsidR="00C369DC">
        <w:t xml:space="preserve">the </w:t>
      </w:r>
      <w:r w:rsidR="00B75A5B">
        <w:t xml:space="preserve">ASHM Guidelines </w:t>
      </w:r>
      <w:r w:rsidR="00C369DC">
        <w:t xml:space="preserve">provided with the submission were a draft version but </w:t>
      </w:r>
      <w:r w:rsidR="00126672">
        <w:t>that the</w:t>
      </w:r>
      <w:r w:rsidR="00C369DC">
        <w:t xml:space="preserve"> final</w:t>
      </w:r>
      <w:r w:rsidR="00126672">
        <w:t xml:space="preserve"> </w:t>
      </w:r>
      <w:r w:rsidR="00C369DC">
        <w:t xml:space="preserve">version </w:t>
      </w:r>
      <w:r w:rsidR="00B75A5B">
        <w:t>ha</w:t>
      </w:r>
      <w:r w:rsidR="00C369DC">
        <w:t>s</w:t>
      </w:r>
      <w:r w:rsidR="00126672">
        <w:t xml:space="preserve"> subsequently</w:t>
      </w:r>
      <w:r w:rsidR="00B75A5B">
        <w:t xml:space="preserve"> been published</w:t>
      </w:r>
      <w:r w:rsidR="00B75A5B">
        <w:rPr>
          <w:rStyle w:val="FootnoteReference"/>
        </w:rPr>
        <w:footnoteReference w:id="1"/>
      </w:r>
      <w:r w:rsidR="00B75A5B">
        <w:t>.</w:t>
      </w:r>
    </w:p>
    <w:p w:rsidR="00505BFC" w:rsidRPr="007A2258" w:rsidRDefault="00505BFC" w:rsidP="007A2258">
      <w:pPr>
        <w:pStyle w:val="ListParagraph"/>
        <w:numPr>
          <w:ilvl w:val="1"/>
          <w:numId w:val="23"/>
        </w:numPr>
        <w:jc w:val="both"/>
      </w:pPr>
      <w:r>
        <w:t xml:space="preserve">The PBAC </w:t>
      </w:r>
      <w:r w:rsidR="002D6105">
        <w:t>considered</w:t>
      </w:r>
      <w:r w:rsidR="00C369DC">
        <w:t xml:space="preserve"> that</w:t>
      </w:r>
      <w:r>
        <w:t xml:space="preserve"> TDF/FTC for PrEP should be listed as a General Schedule item </w:t>
      </w:r>
      <w:r w:rsidR="002D6105">
        <w:t xml:space="preserve">to ensure </w:t>
      </w:r>
      <w:r w:rsidR="00DE45A6">
        <w:t xml:space="preserve">widest access </w:t>
      </w:r>
      <w:r w:rsidR="002D6105">
        <w:t>and should include provision for nurse- practitioner prescribing</w:t>
      </w:r>
      <w:r>
        <w:t>.</w:t>
      </w:r>
    </w:p>
    <w:p w:rsidR="007A2258" w:rsidRPr="007A2258" w:rsidRDefault="007A2258" w:rsidP="007A2258">
      <w:pPr>
        <w:jc w:val="both"/>
        <w:rPr>
          <w:i/>
        </w:rPr>
      </w:pPr>
      <w:r w:rsidRPr="007A2258">
        <w:rPr>
          <w:i/>
        </w:rPr>
        <w:t>For more detail on PBAC’s view, see section 7 “PBAC outcome”</w:t>
      </w:r>
    </w:p>
    <w:p w:rsidR="00806171" w:rsidRPr="007A2258" w:rsidRDefault="00806171" w:rsidP="007A2258">
      <w:pPr>
        <w:pStyle w:val="Heading1"/>
        <w:numPr>
          <w:ilvl w:val="0"/>
          <w:numId w:val="23"/>
        </w:numPr>
        <w:ind w:left="709" w:hanging="709"/>
      </w:pPr>
      <w:bookmarkStart w:id="5" w:name="_Toc482191211"/>
      <w:r w:rsidRPr="007A2258">
        <w:t>Background</w:t>
      </w:r>
      <w:bookmarkEnd w:id="5"/>
    </w:p>
    <w:p w:rsidR="00D25F99" w:rsidRPr="007A2258" w:rsidRDefault="00D25F99" w:rsidP="007A2258">
      <w:pPr>
        <w:pStyle w:val="ListParagraph"/>
        <w:numPr>
          <w:ilvl w:val="1"/>
          <w:numId w:val="23"/>
        </w:numPr>
        <w:jc w:val="both"/>
      </w:pPr>
      <w:r w:rsidRPr="007A2258">
        <w:t xml:space="preserve">A major submission for TDF/FTC as PrEP was rejected at the July 2016 PBAC meeting. </w:t>
      </w:r>
    </w:p>
    <w:p w:rsidR="00D25F99" w:rsidRPr="007A2258" w:rsidRDefault="00D25F99" w:rsidP="007A2258">
      <w:pPr>
        <w:pStyle w:val="ListParagraph"/>
        <w:numPr>
          <w:ilvl w:val="1"/>
          <w:numId w:val="23"/>
        </w:numPr>
        <w:jc w:val="both"/>
      </w:pPr>
      <w:r w:rsidRPr="007A2258">
        <w:t xml:space="preserve">A summary of the key differences between the July 2016 submission and the current resubmission is provided in Table 2. </w:t>
      </w:r>
    </w:p>
    <w:p w:rsidR="00904455" w:rsidRDefault="00904455" w:rsidP="00904455">
      <w:pPr>
        <w:pStyle w:val="Caption"/>
      </w:pPr>
      <w:r>
        <w:t xml:space="preserve">Table </w:t>
      </w:r>
      <w:r w:rsidR="004F50B1">
        <w:rPr>
          <w:noProof/>
        </w:rPr>
        <w:t>2</w:t>
      </w:r>
      <w:r w:rsidRPr="004837A9">
        <w:t>: Summary of the July 2016 submission and the current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04"/>
        <w:gridCol w:w="3544"/>
        <w:gridCol w:w="4234"/>
      </w:tblGrid>
      <w:tr w:rsidR="00D25F99" w:rsidRPr="007A2258" w:rsidTr="001174D3">
        <w:trPr>
          <w:trHeight w:val="20"/>
          <w:tblHeader/>
        </w:trPr>
        <w:tc>
          <w:tcPr>
            <w:tcW w:w="718" w:type="pct"/>
            <w:shd w:val="clear" w:color="auto" w:fill="auto"/>
          </w:tcPr>
          <w:p w:rsidR="00D25F99" w:rsidRPr="007A2258" w:rsidRDefault="00D25F99" w:rsidP="00D25F99">
            <w:pPr>
              <w:keepNext/>
              <w:widowControl w:val="0"/>
              <w:spacing w:before="0" w:after="0"/>
              <w:jc w:val="center"/>
              <w:rPr>
                <w:rFonts w:ascii="Arial Narrow" w:eastAsia="Times New Roman" w:hAnsi="Arial Narrow" w:cs="Arial"/>
                <w:snapToGrid w:val="0"/>
                <w:sz w:val="20"/>
                <w:szCs w:val="20"/>
              </w:rPr>
            </w:pPr>
          </w:p>
        </w:tc>
        <w:tc>
          <w:tcPr>
            <w:tcW w:w="1951" w:type="pct"/>
            <w:shd w:val="clear" w:color="auto" w:fill="auto"/>
          </w:tcPr>
          <w:p w:rsidR="00D25F99" w:rsidRPr="007A2258" w:rsidRDefault="00D25F99" w:rsidP="00D25F99">
            <w:pPr>
              <w:keepNext/>
              <w:widowControl w:val="0"/>
              <w:spacing w:before="0" w:after="0"/>
              <w:jc w:val="center"/>
              <w:rPr>
                <w:rFonts w:ascii="Arial Narrow" w:eastAsia="Times New Roman" w:hAnsi="Arial Narrow" w:cs="Arial"/>
                <w:b/>
                <w:snapToGrid w:val="0"/>
                <w:sz w:val="20"/>
                <w:szCs w:val="20"/>
              </w:rPr>
            </w:pPr>
            <w:r w:rsidRPr="007A2258">
              <w:rPr>
                <w:rFonts w:ascii="Arial Narrow" w:eastAsia="Times New Roman" w:hAnsi="Arial Narrow" w:cs="Arial"/>
                <w:b/>
                <w:snapToGrid w:val="0"/>
                <w:sz w:val="20"/>
                <w:szCs w:val="20"/>
              </w:rPr>
              <w:t>July 2016 submission</w:t>
            </w:r>
          </w:p>
        </w:tc>
        <w:tc>
          <w:tcPr>
            <w:tcW w:w="2331" w:type="pct"/>
            <w:shd w:val="clear" w:color="auto" w:fill="auto"/>
          </w:tcPr>
          <w:p w:rsidR="00D25F99" w:rsidRPr="007A2258" w:rsidRDefault="00D25F99" w:rsidP="00D25F99">
            <w:pPr>
              <w:keepNext/>
              <w:widowControl w:val="0"/>
              <w:spacing w:before="0" w:after="0"/>
              <w:jc w:val="center"/>
              <w:rPr>
                <w:rFonts w:ascii="Arial Narrow" w:eastAsia="Times New Roman" w:hAnsi="Arial Narrow" w:cs="Arial"/>
                <w:b/>
                <w:snapToGrid w:val="0"/>
                <w:sz w:val="20"/>
                <w:szCs w:val="20"/>
              </w:rPr>
            </w:pPr>
            <w:r w:rsidRPr="007A2258">
              <w:rPr>
                <w:rFonts w:ascii="Arial Narrow" w:eastAsia="Times New Roman" w:hAnsi="Arial Narrow" w:cs="Arial"/>
                <w:b/>
                <w:snapToGrid w:val="0"/>
                <w:sz w:val="20"/>
                <w:szCs w:val="20"/>
              </w:rPr>
              <w:t>Current resubmission</w:t>
            </w:r>
          </w:p>
        </w:tc>
      </w:tr>
      <w:tr w:rsidR="00D25F99" w:rsidRPr="007A2258" w:rsidTr="00920F57">
        <w:trPr>
          <w:trHeight w:val="20"/>
        </w:trPr>
        <w:tc>
          <w:tcPr>
            <w:tcW w:w="718" w:type="pct"/>
            <w:shd w:val="clear" w:color="auto" w:fill="auto"/>
          </w:tcPr>
          <w:p w:rsidR="00D25F99" w:rsidRPr="007A2258" w:rsidRDefault="00D25F99" w:rsidP="00D25F99">
            <w:pPr>
              <w:widowControl w:val="0"/>
              <w:spacing w:before="0" w:after="0"/>
              <w:jc w:val="both"/>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Requested DPMQ</w:t>
            </w:r>
          </w:p>
        </w:tc>
        <w:tc>
          <w:tcPr>
            <w:tcW w:w="1951" w:type="pct"/>
            <w:shd w:val="clear" w:color="auto" w:fill="auto"/>
          </w:tcPr>
          <w:p w:rsidR="00D25F99" w:rsidRPr="007A2258" w:rsidRDefault="00D25F99" w:rsidP="00221A90">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Section 100 (30 tablets): $</w:t>
            </w:r>
            <w:r w:rsidR="004E43C3">
              <w:rPr>
                <w:rFonts w:ascii="Arial Narrow" w:eastAsia="Times New Roman" w:hAnsi="Arial Narrow" w:cs="Arial"/>
                <w:noProof/>
                <w:snapToGrid w:val="0"/>
                <w:color w:val="000000"/>
                <w:sz w:val="20"/>
                <w:szCs w:val="20"/>
                <w:highlight w:val="black"/>
              </w:rPr>
              <w:t>''''''''''''''''''</w:t>
            </w:r>
          </w:p>
        </w:tc>
        <w:tc>
          <w:tcPr>
            <w:tcW w:w="2331" w:type="pct"/>
            <w:shd w:val="clear" w:color="auto" w:fill="auto"/>
          </w:tcPr>
          <w:p w:rsidR="00D25F99" w:rsidRPr="007A2258" w:rsidRDefault="00C96968" w:rsidP="00221A90">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General Schedule </w:t>
            </w:r>
            <w:r w:rsidR="00D25F99" w:rsidRPr="007A2258">
              <w:rPr>
                <w:rFonts w:ascii="Arial Narrow" w:eastAsia="Times New Roman" w:hAnsi="Arial Narrow" w:cs="Arial"/>
                <w:snapToGrid w:val="0"/>
                <w:sz w:val="20"/>
                <w:szCs w:val="20"/>
              </w:rPr>
              <w:t xml:space="preserve"> (30 tablets): $</w:t>
            </w:r>
            <w:r w:rsidR="004E43C3">
              <w:rPr>
                <w:rFonts w:ascii="Arial Narrow" w:eastAsia="Times New Roman" w:hAnsi="Arial Narrow" w:cs="Arial"/>
                <w:noProof/>
                <w:snapToGrid w:val="0"/>
                <w:color w:val="000000"/>
                <w:sz w:val="20"/>
                <w:szCs w:val="20"/>
                <w:highlight w:val="black"/>
              </w:rPr>
              <w:t>'''''''''''''''</w:t>
            </w:r>
          </w:p>
        </w:tc>
      </w:tr>
      <w:tr w:rsidR="00D25F99" w:rsidRPr="007A2258" w:rsidTr="00920F57">
        <w:trPr>
          <w:trHeight w:val="20"/>
        </w:trPr>
        <w:tc>
          <w:tcPr>
            <w:tcW w:w="718" w:type="pct"/>
            <w:shd w:val="clear" w:color="auto" w:fill="auto"/>
          </w:tcPr>
          <w:p w:rsidR="00D25F99" w:rsidRPr="007A2258" w:rsidRDefault="00D25F99" w:rsidP="00D25F99">
            <w:pPr>
              <w:widowControl w:val="0"/>
              <w:spacing w:before="0" w:after="0"/>
              <w:jc w:val="both"/>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Requested PBS listing</w:t>
            </w:r>
          </w:p>
        </w:tc>
        <w:tc>
          <w:tcPr>
            <w:tcW w:w="1951" w:type="pct"/>
            <w:shd w:val="clear" w:color="auto" w:fill="auto"/>
          </w:tcPr>
          <w:p w:rsidR="00D25F99" w:rsidRPr="007A2258" w:rsidRDefault="00D25F99" w:rsidP="00D25F99">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To reduce the risk of sexually acquired HIV infection in adults at substantial risk of HIV infection.</w:t>
            </w:r>
          </w:p>
        </w:tc>
        <w:tc>
          <w:tcPr>
            <w:tcW w:w="2331" w:type="pct"/>
            <w:shd w:val="clear" w:color="auto" w:fill="auto"/>
          </w:tcPr>
          <w:p w:rsidR="00D25F99" w:rsidRPr="007A2258" w:rsidRDefault="00D25F99" w:rsidP="00C42EB1">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Pre-exposure prophylaxis against HIV in adults at medium to high risk of infection. This </w:t>
            </w:r>
            <w:r w:rsidR="00757439" w:rsidRPr="007A2258">
              <w:rPr>
                <w:rFonts w:ascii="Arial Narrow" w:eastAsia="Times New Roman" w:hAnsi="Arial Narrow" w:cs="Arial"/>
                <w:snapToGrid w:val="0"/>
                <w:sz w:val="20"/>
                <w:szCs w:val="20"/>
              </w:rPr>
              <w:t>wa</w:t>
            </w:r>
            <w:r w:rsidRPr="007A2258">
              <w:rPr>
                <w:rFonts w:ascii="Arial Narrow" w:eastAsia="Times New Roman" w:hAnsi="Arial Narrow" w:cs="Arial"/>
                <w:snapToGrid w:val="0"/>
                <w:sz w:val="20"/>
                <w:szCs w:val="20"/>
              </w:rPr>
              <w:t xml:space="preserve">s based on the updated ASHM guidelines. </w:t>
            </w:r>
          </w:p>
        </w:tc>
      </w:tr>
      <w:tr w:rsidR="00D25F99" w:rsidRPr="007A2258" w:rsidTr="00920F57">
        <w:trPr>
          <w:trHeight w:val="20"/>
        </w:trPr>
        <w:tc>
          <w:tcPr>
            <w:tcW w:w="718" w:type="pct"/>
            <w:shd w:val="clear" w:color="auto" w:fill="auto"/>
          </w:tcPr>
          <w:p w:rsidR="00D25F99" w:rsidRPr="007A2258" w:rsidRDefault="00D25F99" w:rsidP="00D25F99">
            <w:pPr>
              <w:widowControl w:val="0"/>
              <w:spacing w:before="0" w:after="0"/>
              <w:jc w:val="both"/>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Main comparator</w:t>
            </w:r>
          </w:p>
        </w:tc>
        <w:tc>
          <w:tcPr>
            <w:tcW w:w="1951" w:type="pct"/>
            <w:shd w:val="clear" w:color="auto" w:fill="auto"/>
          </w:tcPr>
          <w:p w:rsidR="00D25F99" w:rsidRPr="007A2258" w:rsidRDefault="00D25F99" w:rsidP="00D25F99">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Standard of care</w:t>
            </w:r>
          </w:p>
          <w:p w:rsidR="00D25F99" w:rsidRPr="007A2258" w:rsidRDefault="00D25F99" w:rsidP="00D25F99">
            <w:pPr>
              <w:widowControl w:val="0"/>
              <w:spacing w:before="0" w:after="0"/>
              <w:rPr>
                <w:rFonts w:ascii="Arial Narrow" w:eastAsia="Times New Roman" w:hAnsi="Arial Narrow" w:cs="Arial"/>
                <w:b/>
                <w:snapToGrid w:val="0"/>
                <w:sz w:val="20"/>
                <w:szCs w:val="20"/>
              </w:rPr>
            </w:pPr>
            <w:r w:rsidRPr="007A2258">
              <w:rPr>
                <w:rFonts w:ascii="Arial Narrow" w:eastAsia="Times New Roman" w:hAnsi="Arial Narrow" w:cs="Arial"/>
                <w:b/>
                <w:snapToGrid w:val="0"/>
                <w:sz w:val="20"/>
                <w:szCs w:val="20"/>
              </w:rPr>
              <w:t>PBAC comment: “</w:t>
            </w:r>
            <w:r w:rsidRPr="007A2258">
              <w:rPr>
                <w:rFonts w:ascii="Arial Narrow" w:eastAsia="Times New Roman" w:hAnsi="Arial Narrow" w:cs="Arial"/>
                <w:snapToGrid w:val="0"/>
                <w:sz w:val="20"/>
                <w:szCs w:val="20"/>
              </w:rPr>
              <w:t xml:space="preserve">The PBAC agreed this was the appropriate comparator, noting however that as Truvada is intended to be used in combination with, and not as a substitute for other methods to reduce the risk of HIV transmission, the appropriate comparison is therefore: ‘Truvada + SOC’ versus ‘SOC’“.[5.2 of July 2016 </w:t>
            </w:r>
            <w:r w:rsidR="00242A73">
              <w:rPr>
                <w:rFonts w:ascii="Arial Narrow" w:eastAsia="Times New Roman" w:hAnsi="Arial Narrow" w:cs="Arial"/>
                <w:snapToGrid w:val="0"/>
                <w:sz w:val="20"/>
                <w:szCs w:val="20"/>
              </w:rPr>
              <w:t>Public Summary Document (PSD)</w:t>
            </w:r>
            <w:r w:rsidRPr="007A2258">
              <w:rPr>
                <w:rFonts w:ascii="Arial Narrow" w:eastAsia="Times New Roman" w:hAnsi="Arial Narrow" w:cs="Arial"/>
                <w:snapToGrid w:val="0"/>
                <w:sz w:val="20"/>
                <w:szCs w:val="20"/>
              </w:rPr>
              <w:t>]</w:t>
            </w:r>
          </w:p>
        </w:tc>
        <w:tc>
          <w:tcPr>
            <w:tcW w:w="2331" w:type="pct"/>
            <w:shd w:val="clear" w:color="auto" w:fill="auto"/>
          </w:tcPr>
          <w:p w:rsidR="00D25F99" w:rsidRPr="007A2258" w:rsidRDefault="00D25F99" w:rsidP="00D25F99">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As per July 2016</w:t>
            </w:r>
          </w:p>
        </w:tc>
      </w:tr>
      <w:tr w:rsidR="00D25F99" w:rsidRPr="007A2258" w:rsidTr="00920F57">
        <w:trPr>
          <w:trHeight w:val="20"/>
        </w:trPr>
        <w:tc>
          <w:tcPr>
            <w:tcW w:w="718" w:type="pct"/>
            <w:shd w:val="clear" w:color="auto" w:fill="auto"/>
          </w:tcPr>
          <w:p w:rsidR="00D25F99" w:rsidRPr="007A2258" w:rsidRDefault="00D25F99" w:rsidP="00D25F99">
            <w:pPr>
              <w:widowControl w:val="0"/>
              <w:spacing w:before="0" w:after="0"/>
              <w:jc w:val="both"/>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Clinical evidence</w:t>
            </w:r>
          </w:p>
        </w:tc>
        <w:tc>
          <w:tcPr>
            <w:tcW w:w="1951" w:type="pct"/>
            <w:shd w:val="clear" w:color="auto" w:fill="auto"/>
          </w:tcPr>
          <w:p w:rsidR="00D25F99" w:rsidRPr="007A2258" w:rsidRDefault="00D25F99" w:rsidP="00D25F99">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Six head</w:t>
            </w:r>
            <w:r w:rsidRPr="007A2258">
              <w:rPr>
                <w:rFonts w:ascii="Arial Narrow" w:eastAsia="Times New Roman" w:hAnsi="Arial Narrow" w:cs="Arial"/>
                <w:snapToGrid w:val="0"/>
                <w:sz w:val="20"/>
                <w:szCs w:val="20"/>
              </w:rPr>
              <w:noBreakHyphen/>
              <w:t>to</w:t>
            </w:r>
            <w:r w:rsidRPr="007A2258">
              <w:rPr>
                <w:rFonts w:ascii="Arial Narrow" w:eastAsia="Times New Roman" w:hAnsi="Arial Narrow" w:cs="Arial"/>
                <w:snapToGrid w:val="0"/>
                <w:sz w:val="20"/>
                <w:szCs w:val="20"/>
              </w:rPr>
              <w:softHyphen/>
            </w:r>
            <w:r w:rsidR="00704E78" w:rsidRPr="007A2258">
              <w:rPr>
                <w:rFonts w:ascii="Arial Narrow" w:eastAsia="Times New Roman" w:hAnsi="Arial Narrow" w:cs="Arial"/>
                <w:snapToGrid w:val="0"/>
                <w:sz w:val="20"/>
                <w:szCs w:val="20"/>
              </w:rPr>
              <w:t>-</w:t>
            </w:r>
            <w:r w:rsidRPr="007A2258">
              <w:rPr>
                <w:rFonts w:ascii="Arial Narrow" w:eastAsia="Times New Roman" w:hAnsi="Arial Narrow" w:cs="Arial"/>
                <w:snapToGrid w:val="0"/>
                <w:sz w:val="20"/>
                <w:szCs w:val="20"/>
              </w:rPr>
              <w:t>head RCTs comparing daily TDF/FTC to placebo: iPrEx (n=2,441), Partners PrEP (n=3,154), TDF2 (n=1,216), PROUD (n=523), FEM-PrEP (n=2,056) and VOICE (n=2,002).</w:t>
            </w:r>
          </w:p>
        </w:tc>
        <w:tc>
          <w:tcPr>
            <w:tcW w:w="2331" w:type="pct"/>
            <w:shd w:val="clear" w:color="auto" w:fill="auto"/>
          </w:tcPr>
          <w:p w:rsidR="00D25F99" w:rsidRPr="007A2258" w:rsidRDefault="00D25F99" w:rsidP="00CA0BB3">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Two </w:t>
            </w:r>
            <w:r w:rsidR="004D3828" w:rsidRPr="007A2258">
              <w:rPr>
                <w:rFonts w:ascii="Arial Narrow" w:eastAsia="Times New Roman" w:hAnsi="Arial Narrow" w:cs="Arial"/>
                <w:snapToGrid w:val="0"/>
                <w:sz w:val="20"/>
                <w:szCs w:val="20"/>
              </w:rPr>
              <w:t>randomised</w:t>
            </w:r>
            <w:r w:rsidRPr="007A2258">
              <w:rPr>
                <w:rFonts w:ascii="Arial Narrow" w:eastAsia="Times New Roman" w:hAnsi="Arial Narrow" w:cs="Arial"/>
                <w:snapToGrid w:val="0"/>
                <w:sz w:val="20"/>
                <w:szCs w:val="20"/>
              </w:rPr>
              <w:t xml:space="preserve"> trials, IPERGAY (n=400) comparing intermittent TDF/FTC and placebo and ADAPT (n=357) comparing intermittent TDF/FTC and daily TDF/FTC. </w:t>
            </w:r>
            <w:r w:rsidR="004D3828" w:rsidRPr="007A2258">
              <w:rPr>
                <w:rFonts w:ascii="Arial Narrow" w:eastAsia="Times New Roman" w:hAnsi="Arial Narrow" w:cs="Arial"/>
                <w:snapToGrid w:val="0"/>
                <w:sz w:val="20"/>
                <w:szCs w:val="20"/>
              </w:rPr>
              <w:t xml:space="preserve">Five </w:t>
            </w:r>
            <w:r w:rsidRPr="007A2258">
              <w:rPr>
                <w:rFonts w:ascii="Arial Narrow" w:eastAsia="Times New Roman" w:hAnsi="Arial Narrow" w:cs="Arial"/>
                <w:snapToGrid w:val="0"/>
                <w:sz w:val="20"/>
                <w:szCs w:val="20"/>
              </w:rPr>
              <w:t>non randomised observation studies of TDF/FTC as PrEP. The resubmission did not represent the RCTs contained in the July 2016 submission.</w:t>
            </w:r>
            <w:r w:rsidR="00C64CA0" w:rsidRPr="007A2258">
              <w:rPr>
                <w:rFonts w:ascii="Arial Narrow" w:eastAsia="Times New Roman" w:hAnsi="Arial Narrow" w:cs="Arial"/>
                <w:snapToGrid w:val="0"/>
                <w:sz w:val="20"/>
                <w:szCs w:val="20"/>
              </w:rPr>
              <w:t xml:space="preserve"> </w:t>
            </w:r>
            <w:r w:rsidR="00CA0BB3" w:rsidRPr="007A2258">
              <w:rPr>
                <w:rFonts w:ascii="Arial Narrow" w:eastAsia="Times New Roman" w:hAnsi="Arial Narrow" w:cs="Arial"/>
                <w:snapToGrid w:val="0"/>
                <w:sz w:val="20"/>
                <w:szCs w:val="20"/>
              </w:rPr>
              <w:t xml:space="preserve">Four </w:t>
            </w:r>
            <w:r w:rsidR="00C64CA0" w:rsidRPr="007A2258">
              <w:rPr>
                <w:rFonts w:ascii="Arial Narrow" w:eastAsia="Times New Roman" w:hAnsi="Arial Narrow" w:cs="Arial"/>
                <w:snapToGrid w:val="0"/>
                <w:sz w:val="20"/>
                <w:szCs w:val="20"/>
              </w:rPr>
              <w:t xml:space="preserve">Australian PrEP Demonstration Projects were identified but no </w:t>
            </w:r>
            <w:r w:rsidR="00CA0BB3" w:rsidRPr="007A2258">
              <w:rPr>
                <w:rFonts w:ascii="Arial Narrow" w:eastAsia="Times New Roman" w:hAnsi="Arial Narrow" w:cs="Arial"/>
                <w:snapToGrid w:val="0"/>
                <w:sz w:val="20"/>
                <w:szCs w:val="20"/>
              </w:rPr>
              <w:t xml:space="preserve">new </w:t>
            </w:r>
            <w:r w:rsidR="00C64CA0" w:rsidRPr="007A2258">
              <w:rPr>
                <w:rFonts w:ascii="Arial Narrow" w:eastAsia="Times New Roman" w:hAnsi="Arial Narrow" w:cs="Arial"/>
                <w:snapToGrid w:val="0"/>
                <w:sz w:val="20"/>
                <w:szCs w:val="20"/>
              </w:rPr>
              <w:t>data w</w:t>
            </w:r>
            <w:r w:rsidR="005C28F5" w:rsidRPr="007A2258">
              <w:rPr>
                <w:rFonts w:ascii="Arial Narrow" w:eastAsia="Times New Roman" w:hAnsi="Arial Narrow" w:cs="Arial"/>
                <w:snapToGrid w:val="0"/>
                <w:sz w:val="20"/>
                <w:szCs w:val="20"/>
              </w:rPr>
              <w:t>ere</w:t>
            </w:r>
            <w:r w:rsidR="00C64CA0" w:rsidRPr="007A2258">
              <w:rPr>
                <w:rFonts w:ascii="Arial Narrow" w:eastAsia="Times New Roman" w:hAnsi="Arial Narrow" w:cs="Arial"/>
                <w:snapToGrid w:val="0"/>
                <w:sz w:val="20"/>
                <w:szCs w:val="20"/>
              </w:rPr>
              <w:t xml:space="preserve"> provided. </w:t>
            </w:r>
          </w:p>
        </w:tc>
      </w:tr>
      <w:tr w:rsidR="00D25F99" w:rsidRPr="007A2258" w:rsidTr="00920F57">
        <w:trPr>
          <w:trHeight w:val="20"/>
        </w:trPr>
        <w:tc>
          <w:tcPr>
            <w:tcW w:w="718" w:type="pct"/>
            <w:shd w:val="clear" w:color="auto" w:fill="auto"/>
          </w:tcPr>
          <w:p w:rsidR="00D25F99" w:rsidRPr="007A2258" w:rsidRDefault="00D25F99" w:rsidP="00D25F99">
            <w:pPr>
              <w:widowControl w:val="0"/>
              <w:spacing w:before="0" w:after="0"/>
              <w:jc w:val="both"/>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Key effectiveness data</w:t>
            </w:r>
          </w:p>
        </w:tc>
        <w:tc>
          <w:tcPr>
            <w:tcW w:w="1951" w:type="pct"/>
            <w:shd w:val="clear" w:color="auto" w:fill="auto"/>
          </w:tcPr>
          <w:p w:rsidR="00D25F99" w:rsidRPr="007A2258" w:rsidRDefault="00D25F99" w:rsidP="00D25F99">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The </w:t>
            </w:r>
            <w:r w:rsidR="00CB4508" w:rsidRPr="007A2258">
              <w:rPr>
                <w:rFonts w:ascii="Arial Narrow" w:eastAsia="Times New Roman" w:hAnsi="Arial Narrow" w:cs="Arial"/>
                <w:snapToGrid w:val="0"/>
                <w:sz w:val="20"/>
                <w:szCs w:val="20"/>
              </w:rPr>
              <w:t xml:space="preserve">RRR for </w:t>
            </w:r>
            <w:r w:rsidR="004D3828" w:rsidRPr="007A2258">
              <w:rPr>
                <w:rFonts w:ascii="Arial Narrow" w:eastAsia="Times New Roman" w:hAnsi="Arial Narrow" w:cs="Arial"/>
                <w:snapToGrid w:val="0"/>
                <w:sz w:val="20"/>
                <w:szCs w:val="20"/>
              </w:rPr>
              <w:t>HIV seroconversion</w:t>
            </w:r>
            <w:r w:rsidRPr="007A2258">
              <w:rPr>
                <w:rFonts w:ascii="Arial Narrow" w:eastAsia="Times New Roman" w:hAnsi="Arial Narrow" w:cs="Arial"/>
                <w:snapToGrid w:val="0"/>
                <w:sz w:val="20"/>
                <w:szCs w:val="20"/>
              </w:rPr>
              <w:t xml:space="preserve"> </w:t>
            </w:r>
            <w:r w:rsidR="00CB4508" w:rsidRPr="007A2258">
              <w:rPr>
                <w:rFonts w:ascii="Arial Narrow" w:eastAsia="Times New Roman" w:hAnsi="Arial Narrow" w:cs="Arial"/>
                <w:snapToGrid w:val="0"/>
                <w:sz w:val="20"/>
                <w:szCs w:val="20"/>
              </w:rPr>
              <w:t>for</w:t>
            </w:r>
            <w:r w:rsidRPr="007A2258">
              <w:rPr>
                <w:rFonts w:ascii="Arial Narrow" w:eastAsia="Times New Roman" w:hAnsi="Arial Narrow" w:cs="Arial"/>
                <w:snapToGrid w:val="0"/>
                <w:sz w:val="20"/>
                <w:szCs w:val="20"/>
              </w:rPr>
              <w:t xml:space="preserve"> the six clinical trials ranged from -0.04 to 0.86. The meta-analysed efficacy estimate was 0.50 (95% CI: 0.16, 0.70).</w:t>
            </w:r>
          </w:p>
          <w:p w:rsidR="00D25F99" w:rsidRPr="007A2258" w:rsidRDefault="00D25F99" w:rsidP="00242A73">
            <w:pPr>
              <w:widowControl w:val="0"/>
              <w:spacing w:before="0" w:after="0"/>
              <w:rPr>
                <w:rFonts w:ascii="Arial Narrow" w:eastAsia="Times New Roman" w:hAnsi="Arial Narrow" w:cs="Arial"/>
                <w:b/>
                <w:snapToGrid w:val="0"/>
                <w:sz w:val="20"/>
                <w:szCs w:val="20"/>
              </w:rPr>
            </w:pPr>
            <w:r w:rsidRPr="007A2258">
              <w:rPr>
                <w:rFonts w:ascii="Arial Narrow" w:eastAsia="Times New Roman" w:hAnsi="Arial Narrow" w:cs="Arial"/>
                <w:b/>
                <w:snapToGrid w:val="0"/>
                <w:sz w:val="20"/>
                <w:szCs w:val="20"/>
              </w:rPr>
              <w:t>PBAC Comment</w:t>
            </w:r>
            <w:r w:rsidRPr="007A2258">
              <w:rPr>
                <w:rFonts w:ascii="Arial Narrow" w:eastAsia="Times New Roman" w:hAnsi="Arial Narrow" w:cs="Arial"/>
                <w:snapToGrid w:val="0"/>
                <w:sz w:val="20"/>
                <w:szCs w:val="20"/>
              </w:rPr>
              <w:t>: “Given the heterogeneity between the trials, this pooled estimate is not very informative. The meta-analysed efficacy estimate was not used in the economic evaluation.” [6.7 of July 2016</w:t>
            </w:r>
            <w:r w:rsidR="00904455">
              <w:rPr>
                <w:rFonts w:ascii="Arial Narrow" w:eastAsia="Times New Roman" w:hAnsi="Arial Narrow" w:cs="Arial"/>
                <w:snapToGrid w:val="0"/>
                <w:sz w:val="20"/>
                <w:szCs w:val="20"/>
              </w:rPr>
              <w:t xml:space="preserve"> </w:t>
            </w:r>
            <w:r w:rsidR="00242A73">
              <w:rPr>
                <w:rFonts w:ascii="Arial Narrow" w:eastAsia="Times New Roman" w:hAnsi="Arial Narrow" w:cs="Arial"/>
                <w:snapToGrid w:val="0"/>
                <w:sz w:val="20"/>
                <w:szCs w:val="20"/>
              </w:rPr>
              <w:t>PSD</w:t>
            </w:r>
            <w:r w:rsidRPr="007A2258">
              <w:rPr>
                <w:rFonts w:ascii="Arial Narrow" w:eastAsia="Times New Roman" w:hAnsi="Arial Narrow" w:cs="Arial"/>
                <w:snapToGrid w:val="0"/>
                <w:sz w:val="20"/>
                <w:szCs w:val="20"/>
              </w:rPr>
              <w:t>]</w:t>
            </w:r>
          </w:p>
        </w:tc>
        <w:tc>
          <w:tcPr>
            <w:tcW w:w="2331" w:type="pct"/>
            <w:shd w:val="clear" w:color="auto" w:fill="auto"/>
          </w:tcPr>
          <w:p w:rsidR="00D25F99" w:rsidRPr="007A2258" w:rsidRDefault="00D25F99" w:rsidP="00D25F99">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In IPERGAY (placebo controlled RCT with intermittent TDF/FTC) the RRR</w:t>
            </w:r>
            <w:r w:rsidR="004D3828" w:rsidRPr="007A2258">
              <w:rPr>
                <w:rFonts w:ascii="Arial Narrow" w:eastAsia="Times New Roman" w:hAnsi="Arial Narrow" w:cs="Arial"/>
                <w:snapToGrid w:val="0"/>
                <w:sz w:val="20"/>
                <w:szCs w:val="20"/>
              </w:rPr>
              <w:t xml:space="preserve"> for HIV seroconversion</w:t>
            </w:r>
            <w:r w:rsidRPr="007A2258">
              <w:rPr>
                <w:rFonts w:ascii="Arial Narrow" w:eastAsia="Times New Roman" w:hAnsi="Arial Narrow" w:cs="Arial"/>
                <w:snapToGrid w:val="0"/>
                <w:sz w:val="20"/>
                <w:szCs w:val="20"/>
              </w:rPr>
              <w:t xml:space="preserve"> from the ITT analysis was 0.82 (95% CI: 0.36, 0.97, p=0.002).</w:t>
            </w:r>
          </w:p>
        </w:tc>
      </w:tr>
      <w:tr w:rsidR="00D25F99" w:rsidRPr="007A2258" w:rsidTr="00920F57">
        <w:trPr>
          <w:trHeight w:val="20"/>
        </w:trPr>
        <w:tc>
          <w:tcPr>
            <w:tcW w:w="718" w:type="pct"/>
            <w:shd w:val="clear" w:color="auto" w:fill="auto"/>
          </w:tcPr>
          <w:p w:rsidR="00D25F99" w:rsidRPr="007A2258" w:rsidRDefault="00D25F99" w:rsidP="00D25F99">
            <w:pPr>
              <w:widowControl w:val="0"/>
              <w:spacing w:before="0" w:after="0"/>
              <w:jc w:val="both"/>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Key safety data</w:t>
            </w:r>
          </w:p>
        </w:tc>
        <w:tc>
          <w:tcPr>
            <w:tcW w:w="1951" w:type="pct"/>
            <w:shd w:val="clear" w:color="auto" w:fill="auto"/>
          </w:tcPr>
          <w:p w:rsidR="00D25F99" w:rsidRPr="007A2258" w:rsidRDefault="00D25F99" w:rsidP="00D25F99">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TDF/FTC was associated with gastrointestinal adverse events including nausea and vomiting compared to SOC.</w:t>
            </w:r>
          </w:p>
          <w:p w:rsidR="00D25F99" w:rsidRPr="007A2258" w:rsidRDefault="00D25F99" w:rsidP="00242A73">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b/>
                <w:snapToGrid w:val="0"/>
                <w:sz w:val="20"/>
                <w:szCs w:val="20"/>
              </w:rPr>
              <w:t>PBAC Comment:</w:t>
            </w:r>
            <w:r w:rsidRPr="007A2258">
              <w:rPr>
                <w:rFonts w:ascii="Arial Narrow" w:eastAsia="Times New Roman" w:hAnsi="Arial Narrow" w:cs="Arial"/>
                <w:snapToGrid w:val="0"/>
                <w:sz w:val="20"/>
                <w:szCs w:val="20"/>
              </w:rPr>
              <w:t xml:space="preserve"> “The use of Truvada may lead to a de-prioritisation of other risk</w:t>
            </w:r>
            <w:r w:rsidRPr="007A2258">
              <w:rPr>
                <w:rFonts w:ascii="Arial Narrow" w:eastAsia="Times New Roman" w:hAnsi="Arial Narrow" w:cs="Arial"/>
                <w:snapToGrid w:val="0"/>
                <w:sz w:val="20"/>
                <w:szCs w:val="20"/>
              </w:rPr>
              <w:noBreakHyphen/>
              <w:t>mitigating practices (e.g. increased unprotected anal sex with potentially infected partners)…. decreased condom use may increase the risk of acquiring HIV as well as other sexually transmitted infections” [6.16 of July 2016</w:t>
            </w:r>
            <w:r w:rsidR="00904455">
              <w:rPr>
                <w:rFonts w:ascii="Arial Narrow" w:eastAsia="Times New Roman" w:hAnsi="Arial Narrow" w:cs="Arial"/>
                <w:snapToGrid w:val="0"/>
                <w:sz w:val="20"/>
                <w:szCs w:val="20"/>
              </w:rPr>
              <w:t xml:space="preserve"> </w:t>
            </w:r>
            <w:r w:rsidR="00242A73">
              <w:rPr>
                <w:rFonts w:ascii="Arial Narrow" w:eastAsia="Times New Roman" w:hAnsi="Arial Narrow" w:cs="Arial"/>
                <w:snapToGrid w:val="0"/>
                <w:sz w:val="20"/>
                <w:szCs w:val="20"/>
              </w:rPr>
              <w:t>PSD</w:t>
            </w:r>
            <w:r w:rsidRPr="007A2258">
              <w:rPr>
                <w:rFonts w:ascii="Arial Narrow" w:eastAsia="Times New Roman" w:hAnsi="Arial Narrow" w:cs="Arial"/>
                <w:snapToGrid w:val="0"/>
                <w:sz w:val="20"/>
                <w:szCs w:val="20"/>
              </w:rPr>
              <w:t>]</w:t>
            </w:r>
          </w:p>
        </w:tc>
        <w:tc>
          <w:tcPr>
            <w:tcW w:w="2331" w:type="pct"/>
            <w:shd w:val="clear" w:color="auto" w:fill="auto"/>
          </w:tcPr>
          <w:p w:rsidR="00D25F99" w:rsidRPr="007A2258" w:rsidRDefault="004D3828" w:rsidP="00D25F99">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IPERGAY (placebo controlled RCT with intermittent TDF/FTC) </w:t>
            </w:r>
            <w:r w:rsidR="00D25F99" w:rsidRPr="007A2258">
              <w:rPr>
                <w:rFonts w:ascii="Arial Narrow" w:eastAsia="Times New Roman" w:hAnsi="Arial Narrow" w:cs="Arial"/>
                <w:snapToGrid w:val="0"/>
                <w:sz w:val="20"/>
                <w:szCs w:val="20"/>
              </w:rPr>
              <w:t>show</w:t>
            </w:r>
            <w:r w:rsidR="005C28F5" w:rsidRPr="007A2258">
              <w:rPr>
                <w:rFonts w:ascii="Arial Narrow" w:eastAsia="Times New Roman" w:hAnsi="Arial Narrow" w:cs="Arial"/>
                <w:snapToGrid w:val="0"/>
                <w:sz w:val="20"/>
                <w:szCs w:val="20"/>
              </w:rPr>
              <w:t>ed</w:t>
            </w:r>
            <w:r w:rsidR="00D25F99" w:rsidRPr="007A2258">
              <w:rPr>
                <w:rFonts w:ascii="Arial Narrow" w:eastAsia="Times New Roman" w:hAnsi="Arial Narrow" w:cs="Arial"/>
                <w:snapToGrid w:val="0"/>
                <w:sz w:val="20"/>
                <w:szCs w:val="20"/>
              </w:rPr>
              <w:t xml:space="preserve"> high</w:t>
            </w:r>
            <w:r w:rsidRPr="007A2258">
              <w:rPr>
                <w:rFonts w:ascii="Arial Narrow" w:eastAsia="Times New Roman" w:hAnsi="Arial Narrow" w:cs="Arial"/>
                <w:snapToGrid w:val="0"/>
                <w:sz w:val="20"/>
                <w:szCs w:val="20"/>
              </w:rPr>
              <w:t>er</w:t>
            </w:r>
            <w:r w:rsidR="00D25F99" w:rsidRPr="007A2258">
              <w:rPr>
                <w:rFonts w:ascii="Arial Narrow" w:eastAsia="Times New Roman" w:hAnsi="Arial Narrow" w:cs="Arial"/>
                <w:snapToGrid w:val="0"/>
                <w:sz w:val="20"/>
                <w:szCs w:val="20"/>
              </w:rPr>
              <w:t xml:space="preserve"> levels of gastrointestinal adverse events among subjects receiving TDF/FTC</w:t>
            </w:r>
            <w:r w:rsidR="005C28F5" w:rsidRPr="007A2258">
              <w:rPr>
                <w:rFonts w:ascii="Arial Narrow" w:eastAsia="Times New Roman" w:hAnsi="Arial Narrow" w:cs="Arial"/>
                <w:snapToGrid w:val="0"/>
                <w:sz w:val="20"/>
                <w:szCs w:val="20"/>
              </w:rPr>
              <w:t>. These events were not associated with treatment discontinuations.</w:t>
            </w:r>
            <w:r w:rsidRPr="007A2258">
              <w:rPr>
                <w:rFonts w:ascii="Arial Narrow" w:eastAsia="Times New Roman" w:hAnsi="Arial Narrow" w:cs="Arial"/>
                <w:snapToGrid w:val="0"/>
                <w:sz w:val="20"/>
                <w:szCs w:val="20"/>
              </w:rPr>
              <w:t xml:space="preserve"> </w:t>
            </w:r>
          </w:p>
          <w:p w:rsidR="00D25F99" w:rsidRPr="007A2258" w:rsidRDefault="00D25F99" w:rsidP="00D25F99">
            <w:pPr>
              <w:widowControl w:val="0"/>
              <w:spacing w:before="0" w:after="0"/>
              <w:rPr>
                <w:rFonts w:ascii="Arial Narrow" w:eastAsia="Times New Roman" w:hAnsi="Arial Narrow" w:cs="Arial"/>
                <w:snapToGrid w:val="0"/>
                <w:sz w:val="20"/>
                <w:szCs w:val="20"/>
              </w:rPr>
            </w:pPr>
          </w:p>
          <w:p w:rsidR="00D25F99" w:rsidRPr="007A2258" w:rsidRDefault="00D25F99" w:rsidP="00D25F99">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No long</w:t>
            </w:r>
            <w:r w:rsidRPr="007A2258">
              <w:rPr>
                <w:rFonts w:ascii="Arial Narrow" w:eastAsia="Times New Roman" w:hAnsi="Arial Narrow" w:cs="Arial"/>
                <w:snapToGrid w:val="0"/>
                <w:sz w:val="20"/>
                <w:szCs w:val="20"/>
              </w:rPr>
              <w:noBreakHyphen/>
              <w:t xml:space="preserve">term safety data were presented. </w:t>
            </w:r>
          </w:p>
          <w:p w:rsidR="00D25F99" w:rsidRPr="007A2258" w:rsidRDefault="00D25F99" w:rsidP="00D25F99">
            <w:pPr>
              <w:widowControl w:val="0"/>
              <w:spacing w:before="0" w:after="0"/>
              <w:rPr>
                <w:rFonts w:ascii="Arial Narrow" w:eastAsia="Times New Roman" w:hAnsi="Arial Narrow" w:cs="Arial"/>
                <w:snapToGrid w:val="0"/>
                <w:sz w:val="20"/>
                <w:szCs w:val="20"/>
              </w:rPr>
            </w:pPr>
          </w:p>
          <w:p w:rsidR="00D25F99" w:rsidRPr="007A2258" w:rsidRDefault="00D25F99" w:rsidP="00D25F99">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Some evidence of changes in risk behaviour (less condom use) and an increased incidence of STIs </w:t>
            </w:r>
            <w:r w:rsidR="00561B5C" w:rsidRPr="007A2258">
              <w:rPr>
                <w:rFonts w:ascii="Arial Narrow" w:eastAsia="Times New Roman" w:hAnsi="Arial Narrow" w:cs="Arial"/>
                <w:snapToGrid w:val="0"/>
                <w:sz w:val="20"/>
                <w:szCs w:val="20"/>
              </w:rPr>
              <w:t>were</w:t>
            </w:r>
            <w:r w:rsidRPr="007A2258">
              <w:rPr>
                <w:rFonts w:ascii="Arial Narrow" w:eastAsia="Times New Roman" w:hAnsi="Arial Narrow" w:cs="Arial"/>
                <w:snapToGrid w:val="0"/>
                <w:sz w:val="20"/>
                <w:szCs w:val="20"/>
              </w:rPr>
              <w:t xml:space="preserve"> reported for the RCTs and observational studies. </w:t>
            </w:r>
          </w:p>
        </w:tc>
      </w:tr>
      <w:tr w:rsidR="00D25F99" w:rsidRPr="007A2258" w:rsidTr="00920F57">
        <w:trPr>
          <w:trHeight w:val="20"/>
        </w:trPr>
        <w:tc>
          <w:tcPr>
            <w:tcW w:w="718" w:type="pct"/>
            <w:shd w:val="clear" w:color="auto" w:fill="auto"/>
          </w:tcPr>
          <w:p w:rsidR="00D25F99" w:rsidRPr="007A2258" w:rsidRDefault="00D25F99" w:rsidP="00D25F99">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Economic evaluation: Model structure</w:t>
            </w:r>
          </w:p>
        </w:tc>
        <w:tc>
          <w:tcPr>
            <w:tcW w:w="1951" w:type="pct"/>
            <w:shd w:val="clear" w:color="auto" w:fill="auto"/>
          </w:tcPr>
          <w:p w:rsidR="00D25F99" w:rsidRPr="007A2258" w:rsidRDefault="00D25F99" w:rsidP="00D25F99">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Static cohort Markov model (Model 1)</w:t>
            </w:r>
          </w:p>
          <w:p w:rsidR="00817398" w:rsidRPr="007A2258" w:rsidRDefault="00817398" w:rsidP="00D25F99">
            <w:pPr>
              <w:widowControl w:val="0"/>
              <w:spacing w:before="0" w:after="0"/>
              <w:rPr>
                <w:rFonts w:ascii="Arial Narrow" w:eastAsia="Times New Roman" w:hAnsi="Arial Narrow" w:cs="Arial"/>
                <w:snapToGrid w:val="0"/>
                <w:sz w:val="20"/>
                <w:szCs w:val="20"/>
              </w:rPr>
            </w:pPr>
          </w:p>
          <w:p w:rsidR="00D25F99" w:rsidRPr="007A2258" w:rsidRDefault="00D25F99" w:rsidP="00D25F99">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Population dynamic transmission model (Model 2):</w:t>
            </w:r>
          </w:p>
          <w:p w:rsidR="008477BA" w:rsidRPr="007A2258" w:rsidRDefault="008477BA" w:rsidP="007A2258">
            <w:pPr>
              <w:widowControl w:val="0"/>
              <w:numPr>
                <w:ilvl w:val="0"/>
                <w:numId w:val="9"/>
              </w:numPr>
              <w:spacing w:before="0" w:after="0"/>
              <w:contextualSpacing/>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Chronic HIV health states (Stage I, Stage II, Stage III).</w:t>
            </w:r>
          </w:p>
          <w:p w:rsidR="008477BA" w:rsidRPr="007A2258" w:rsidRDefault="008477BA" w:rsidP="007A2258">
            <w:pPr>
              <w:widowControl w:val="0"/>
              <w:numPr>
                <w:ilvl w:val="0"/>
                <w:numId w:val="9"/>
              </w:numPr>
              <w:spacing w:before="0" w:after="0"/>
              <w:contextualSpacing/>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No exogenous introduction of chronic HIV infected persons</w:t>
            </w:r>
          </w:p>
          <w:p w:rsidR="008477BA" w:rsidRPr="007A2258" w:rsidRDefault="008477BA" w:rsidP="007A2258">
            <w:pPr>
              <w:widowControl w:val="0"/>
              <w:numPr>
                <w:ilvl w:val="0"/>
                <w:numId w:val="9"/>
              </w:numPr>
              <w:spacing w:before="0" w:after="0"/>
              <w:contextualSpacing/>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No viral suppression status, all treated achieve viral suppression</w:t>
            </w:r>
          </w:p>
        </w:tc>
        <w:tc>
          <w:tcPr>
            <w:tcW w:w="2331" w:type="pct"/>
            <w:shd w:val="clear" w:color="auto" w:fill="auto"/>
          </w:tcPr>
          <w:p w:rsidR="00800C5A" w:rsidRPr="007A2258" w:rsidRDefault="00800C5A" w:rsidP="00D25F99">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Model 1 was excluded from the resubmission.</w:t>
            </w:r>
          </w:p>
          <w:p w:rsidR="00817398" w:rsidRPr="007A2258" w:rsidRDefault="00817398" w:rsidP="00D25F99">
            <w:pPr>
              <w:widowControl w:val="0"/>
              <w:spacing w:before="0" w:after="0"/>
              <w:rPr>
                <w:rFonts w:ascii="Arial Narrow" w:eastAsia="Times New Roman" w:hAnsi="Arial Narrow" w:cs="Arial"/>
                <w:snapToGrid w:val="0"/>
                <w:sz w:val="20"/>
                <w:szCs w:val="20"/>
              </w:rPr>
            </w:pPr>
          </w:p>
          <w:p w:rsidR="00D25F99" w:rsidRPr="007A2258" w:rsidRDefault="00D25F99" w:rsidP="00D25F99">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Modified population dynamic transmission model.</w:t>
            </w:r>
          </w:p>
          <w:p w:rsidR="00D25F99" w:rsidRPr="007A2258" w:rsidRDefault="00D25F99" w:rsidP="00D25F99">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Structural changes include:</w:t>
            </w:r>
          </w:p>
          <w:p w:rsidR="00D25F99" w:rsidRPr="007A2258" w:rsidRDefault="00D25F99" w:rsidP="007A2258">
            <w:pPr>
              <w:widowControl w:val="0"/>
              <w:numPr>
                <w:ilvl w:val="0"/>
                <w:numId w:val="9"/>
              </w:numPr>
              <w:spacing w:before="0" w:after="0"/>
              <w:contextualSpacing/>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Additional HIV infection health state (primary infection) that is associated with a higher force of infection than chronic HIV health states (Stage I, Stage II, Stage III).</w:t>
            </w:r>
          </w:p>
          <w:p w:rsidR="00D25F99" w:rsidRPr="007A2258" w:rsidRDefault="00D25F99" w:rsidP="007A2258">
            <w:pPr>
              <w:widowControl w:val="0"/>
              <w:numPr>
                <w:ilvl w:val="0"/>
                <w:numId w:val="9"/>
              </w:numPr>
              <w:spacing w:before="0" w:after="0"/>
              <w:contextualSpacing/>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Exogenous introduction of chronic HIV infected persons</w:t>
            </w:r>
          </w:p>
          <w:p w:rsidR="00D25F99" w:rsidRPr="007A2258" w:rsidRDefault="00D25F99" w:rsidP="007A2258">
            <w:pPr>
              <w:widowControl w:val="0"/>
              <w:numPr>
                <w:ilvl w:val="0"/>
                <w:numId w:val="9"/>
              </w:numPr>
              <w:spacing w:before="0" w:after="0"/>
              <w:contextualSpacing/>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Additional partitions within HIV infection health states for viral suppression status (suppressed and unsuppressed).</w:t>
            </w:r>
          </w:p>
        </w:tc>
      </w:tr>
      <w:tr w:rsidR="00D25F99" w:rsidRPr="007A2258" w:rsidTr="00920F57">
        <w:trPr>
          <w:trHeight w:val="20"/>
        </w:trPr>
        <w:tc>
          <w:tcPr>
            <w:tcW w:w="718" w:type="pct"/>
            <w:shd w:val="clear" w:color="auto" w:fill="auto"/>
          </w:tcPr>
          <w:p w:rsidR="00D25F99" w:rsidRPr="007A2258" w:rsidRDefault="00D25F99" w:rsidP="00757439">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Economic evaluation: Transition probabilities</w:t>
            </w:r>
          </w:p>
        </w:tc>
        <w:tc>
          <w:tcPr>
            <w:tcW w:w="1951" w:type="pct"/>
            <w:shd w:val="clear" w:color="auto" w:fill="auto"/>
          </w:tcPr>
          <w:p w:rsidR="00D25F99" w:rsidRPr="007A2258" w:rsidRDefault="00D25F99" w:rsidP="00810810">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Population dynamic transmission model (Model 2) with key transition probabilities:</w:t>
            </w:r>
          </w:p>
          <w:p w:rsidR="00D25F99" w:rsidRPr="007A2258" w:rsidRDefault="00D25F99" w:rsidP="007A2258">
            <w:pPr>
              <w:widowControl w:val="0"/>
              <w:numPr>
                <w:ilvl w:val="0"/>
                <w:numId w:val="11"/>
              </w:numPr>
              <w:spacing w:before="0" w:after="0"/>
              <w:contextualSpacing/>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Impact of adherence on efficacy modelled via separate factor.</w:t>
            </w:r>
          </w:p>
          <w:p w:rsidR="00D25F99" w:rsidRPr="007A2258" w:rsidRDefault="00D25F99" w:rsidP="007A2258">
            <w:pPr>
              <w:widowControl w:val="0"/>
              <w:numPr>
                <w:ilvl w:val="0"/>
                <w:numId w:val="11"/>
              </w:numPr>
              <w:spacing w:before="0" w:after="0"/>
              <w:contextualSpacing/>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HIV transmission models (adopting a gamma distribution for the individual risk multiplier and a normal distribution for individual variations of risk).</w:t>
            </w:r>
          </w:p>
          <w:p w:rsidR="00D25F99" w:rsidRPr="007A2258" w:rsidRDefault="00D25F99" w:rsidP="007A2258">
            <w:pPr>
              <w:widowControl w:val="0"/>
              <w:numPr>
                <w:ilvl w:val="0"/>
                <w:numId w:val="11"/>
              </w:numPr>
              <w:spacing w:before="0" w:after="0"/>
              <w:contextualSpacing/>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Eligibility for PrEP depends on meeting a predefined risk level.</w:t>
            </w:r>
          </w:p>
          <w:p w:rsidR="00D25F99" w:rsidRPr="007A2258" w:rsidRDefault="00D25F99" w:rsidP="007A2258">
            <w:pPr>
              <w:widowControl w:val="0"/>
              <w:numPr>
                <w:ilvl w:val="0"/>
                <w:numId w:val="11"/>
              </w:numPr>
              <w:spacing w:before="0" w:after="0"/>
              <w:contextualSpacing/>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Subjects discontinue if their risk level falls below the prespecified level.</w:t>
            </w:r>
          </w:p>
        </w:tc>
        <w:tc>
          <w:tcPr>
            <w:tcW w:w="2331" w:type="pct"/>
            <w:shd w:val="clear" w:color="auto" w:fill="auto"/>
          </w:tcPr>
          <w:p w:rsidR="00D25F99" w:rsidRPr="007A2258" w:rsidRDefault="00D25F99" w:rsidP="00757439">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Modified population dynamic transmission model.</w:t>
            </w:r>
          </w:p>
          <w:p w:rsidR="00D25F99" w:rsidRPr="007A2258" w:rsidRDefault="00D25F99" w:rsidP="0049195A">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Changes to transition probabilities include:</w:t>
            </w:r>
          </w:p>
          <w:p w:rsidR="00D25F99" w:rsidRPr="007A2258" w:rsidRDefault="00D25F99" w:rsidP="007A2258">
            <w:pPr>
              <w:widowControl w:val="0"/>
              <w:numPr>
                <w:ilvl w:val="0"/>
                <w:numId w:val="10"/>
              </w:numPr>
              <w:spacing w:before="0" w:after="0"/>
              <w:contextualSpacing/>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The impact of adherence on efficacy was no longer modelled.</w:t>
            </w:r>
          </w:p>
          <w:p w:rsidR="00D25F99" w:rsidRPr="007A2258" w:rsidRDefault="00D25F99" w:rsidP="007A2258">
            <w:pPr>
              <w:widowControl w:val="0"/>
              <w:numPr>
                <w:ilvl w:val="0"/>
                <w:numId w:val="10"/>
              </w:numPr>
              <w:spacing w:before="0" w:after="0"/>
              <w:contextualSpacing/>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Changes to the HIV transmission models (assumed a lower SD for the gamma distribution for the individual risk multiplier and uses a uniform distribution for individual variations of risk). </w:t>
            </w:r>
          </w:p>
          <w:p w:rsidR="00D25F99" w:rsidRPr="007A2258" w:rsidRDefault="00D25F99" w:rsidP="007A2258">
            <w:pPr>
              <w:widowControl w:val="0"/>
              <w:numPr>
                <w:ilvl w:val="0"/>
                <w:numId w:val="10"/>
              </w:numPr>
              <w:spacing w:before="0" w:after="0"/>
              <w:contextualSpacing/>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Eligibility for PrEP depends on meeting a suitability threshold (gamma distribution mean 1%, SD 0.1%).</w:t>
            </w:r>
          </w:p>
          <w:p w:rsidR="00D25F99" w:rsidRPr="007A2258" w:rsidRDefault="00D25F99" w:rsidP="007A2258">
            <w:pPr>
              <w:widowControl w:val="0"/>
              <w:numPr>
                <w:ilvl w:val="0"/>
                <w:numId w:val="10"/>
              </w:numPr>
              <w:spacing w:before="0" w:after="0"/>
              <w:contextualSpacing/>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Continuation threshold removed (PrEP continuation is not dependent on risk).</w:t>
            </w:r>
          </w:p>
        </w:tc>
      </w:tr>
      <w:tr w:rsidR="00D25F99" w:rsidRPr="007A2258" w:rsidTr="00920F57">
        <w:trPr>
          <w:trHeight w:val="20"/>
        </w:trPr>
        <w:tc>
          <w:tcPr>
            <w:tcW w:w="718" w:type="pct"/>
            <w:shd w:val="clear" w:color="auto" w:fill="auto"/>
          </w:tcPr>
          <w:p w:rsidR="00D25F99" w:rsidRPr="007A2258" w:rsidRDefault="00D25F99" w:rsidP="00D25F99">
            <w:pPr>
              <w:widowControl w:val="0"/>
              <w:spacing w:before="0" w:after="0"/>
              <w:jc w:val="both"/>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ICER</w:t>
            </w:r>
          </w:p>
        </w:tc>
        <w:tc>
          <w:tcPr>
            <w:tcW w:w="1951" w:type="pct"/>
            <w:shd w:val="clear" w:color="auto" w:fill="auto"/>
          </w:tcPr>
          <w:p w:rsidR="00D25F99" w:rsidRPr="007A2258" w:rsidRDefault="00D25F99" w:rsidP="00D25F99">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Model 1 - $</w:t>
            </w:r>
            <w:r w:rsidR="00164E3F">
              <w:rPr>
                <w:rFonts w:ascii="Arial Narrow" w:eastAsia="Times New Roman" w:hAnsi="Arial Narrow" w:cs="Arial"/>
                <w:snapToGrid w:val="0"/>
                <w:sz w:val="20"/>
                <w:szCs w:val="20"/>
              </w:rPr>
              <w:t>105,000 - $200,000</w:t>
            </w:r>
            <w:r w:rsidRPr="007A2258">
              <w:rPr>
                <w:rFonts w:ascii="Arial Narrow" w:eastAsia="Times New Roman" w:hAnsi="Arial Narrow" w:cs="Arial"/>
                <w:snapToGrid w:val="0"/>
                <w:sz w:val="20"/>
                <w:szCs w:val="20"/>
              </w:rPr>
              <w:t xml:space="preserve"> per QALY gained </w:t>
            </w:r>
          </w:p>
          <w:p w:rsidR="00D25F99" w:rsidRPr="007A2258" w:rsidRDefault="00D25F99" w:rsidP="00D25F99">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Model 2 – TDF/FTC was dominant </w:t>
            </w:r>
          </w:p>
        </w:tc>
        <w:tc>
          <w:tcPr>
            <w:tcW w:w="2331" w:type="pct"/>
            <w:shd w:val="clear" w:color="auto" w:fill="auto"/>
          </w:tcPr>
          <w:p w:rsidR="00D25F99" w:rsidRPr="007A2258" w:rsidRDefault="00164E3F" w:rsidP="00164E3F">
            <w:pPr>
              <w:widowControl w:val="0"/>
              <w:spacing w:before="0" w:after="0"/>
              <w:rPr>
                <w:rFonts w:ascii="Arial Narrow" w:eastAsia="Times New Roman" w:hAnsi="Arial Narrow" w:cs="Arial"/>
                <w:snapToGrid w:val="0"/>
                <w:sz w:val="20"/>
                <w:szCs w:val="20"/>
              </w:rPr>
            </w:pPr>
            <w:r>
              <w:rPr>
                <w:rFonts w:ascii="Arial Narrow" w:eastAsia="Times New Roman" w:hAnsi="Arial Narrow" w:cs="Arial"/>
                <w:snapToGrid w:val="0"/>
                <w:sz w:val="20"/>
                <w:szCs w:val="20"/>
              </w:rPr>
              <w:t>More than $200,000</w:t>
            </w:r>
            <w:r w:rsidR="00D25F99" w:rsidRPr="007A2258">
              <w:rPr>
                <w:rFonts w:ascii="Arial Narrow" w:eastAsia="Times New Roman" w:hAnsi="Arial Narrow" w:cs="Arial"/>
                <w:snapToGrid w:val="0"/>
                <w:sz w:val="20"/>
                <w:szCs w:val="20"/>
              </w:rPr>
              <w:t xml:space="preserve"> per QALY gained</w:t>
            </w:r>
            <w:r w:rsidR="000A3751" w:rsidRPr="007A2258">
              <w:rPr>
                <w:rFonts w:ascii="Arial Narrow" w:eastAsia="Times New Roman" w:hAnsi="Arial Narrow" w:cs="Arial"/>
                <w:snapToGrid w:val="0"/>
                <w:sz w:val="20"/>
                <w:szCs w:val="20"/>
              </w:rPr>
              <w:t xml:space="preserve">. </w:t>
            </w:r>
            <w:r w:rsidR="00D25F99" w:rsidRPr="007A2258">
              <w:rPr>
                <w:rFonts w:ascii="Arial Narrow" w:eastAsia="Times New Roman" w:hAnsi="Arial Narrow" w:cs="Arial"/>
                <w:snapToGrid w:val="0"/>
                <w:sz w:val="20"/>
                <w:szCs w:val="20"/>
              </w:rPr>
              <w:t>Change largely due to the higher incremental cost associated with the assumption of continuing PrEP.</w:t>
            </w:r>
            <w:r w:rsidR="002A4CD8" w:rsidRPr="007A2258">
              <w:rPr>
                <w:rFonts w:ascii="Arial Narrow" w:eastAsia="Times New Roman" w:hAnsi="Arial Narrow" w:cs="Arial"/>
                <w:snapToGrid w:val="0"/>
                <w:sz w:val="20"/>
                <w:szCs w:val="20"/>
              </w:rPr>
              <w:t xml:space="preserve"> </w:t>
            </w:r>
            <w:r w:rsidR="005C28F5" w:rsidRPr="007A2258">
              <w:rPr>
                <w:rFonts w:ascii="Arial Narrow" w:eastAsia="Times New Roman" w:hAnsi="Arial Narrow" w:cs="Arial"/>
                <w:snapToGrid w:val="0"/>
                <w:sz w:val="20"/>
                <w:szCs w:val="20"/>
              </w:rPr>
              <w:t>While the i</w:t>
            </w:r>
            <w:r w:rsidR="006E6DA9" w:rsidRPr="007A2258">
              <w:rPr>
                <w:rFonts w:ascii="Arial Narrow" w:eastAsia="Times New Roman" w:hAnsi="Arial Narrow" w:cs="Arial"/>
                <w:snapToGrid w:val="0"/>
                <w:sz w:val="20"/>
                <w:szCs w:val="20"/>
              </w:rPr>
              <w:t>n</w:t>
            </w:r>
            <w:r w:rsidR="002A4CD8" w:rsidRPr="007A2258">
              <w:rPr>
                <w:rFonts w:ascii="Arial Narrow" w:eastAsia="Times New Roman" w:hAnsi="Arial Narrow" w:cs="Arial"/>
                <w:snapToGrid w:val="0"/>
                <w:sz w:val="20"/>
                <w:szCs w:val="20"/>
              </w:rPr>
              <w:t xml:space="preserve">cremental QALY gained </w:t>
            </w:r>
            <w:r w:rsidR="005C28F5" w:rsidRPr="007A2258">
              <w:rPr>
                <w:rFonts w:ascii="Arial Narrow" w:eastAsia="Times New Roman" w:hAnsi="Arial Narrow" w:cs="Arial"/>
                <w:snapToGrid w:val="0"/>
                <w:sz w:val="20"/>
                <w:szCs w:val="20"/>
              </w:rPr>
              <w:t xml:space="preserve">also </w:t>
            </w:r>
            <w:r w:rsidR="002A4CD8" w:rsidRPr="007A2258">
              <w:rPr>
                <w:rFonts w:ascii="Arial Narrow" w:eastAsia="Times New Roman" w:hAnsi="Arial Narrow" w:cs="Arial"/>
                <w:snapToGrid w:val="0"/>
                <w:sz w:val="20"/>
                <w:szCs w:val="20"/>
              </w:rPr>
              <w:t>increased threefold</w:t>
            </w:r>
            <w:r w:rsidR="005C28F5" w:rsidRPr="007A2258">
              <w:rPr>
                <w:rFonts w:ascii="Arial Narrow" w:eastAsia="Times New Roman" w:hAnsi="Arial Narrow" w:cs="Arial"/>
                <w:snapToGrid w:val="0"/>
                <w:sz w:val="20"/>
                <w:szCs w:val="20"/>
              </w:rPr>
              <w:t>, this was less than proportional to the rise in incremental costs resulting in an increased ICER.</w:t>
            </w:r>
          </w:p>
        </w:tc>
      </w:tr>
      <w:tr w:rsidR="00D25F99" w:rsidRPr="007A2258" w:rsidTr="00920F57">
        <w:trPr>
          <w:trHeight w:val="20"/>
        </w:trPr>
        <w:tc>
          <w:tcPr>
            <w:tcW w:w="718" w:type="pct"/>
            <w:shd w:val="clear" w:color="auto" w:fill="auto"/>
          </w:tcPr>
          <w:p w:rsidR="00D25F99" w:rsidRPr="007A2258" w:rsidRDefault="00D25F99" w:rsidP="00D25F99">
            <w:pPr>
              <w:widowControl w:val="0"/>
              <w:spacing w:before="0" w:after="0"/>
              <w:jc w:val="both"/>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Participant numbers</w:t>
            </w:r>
          </w:p>
        </w:tc>
        <w:tc>
          <w:tcPr>
            <w:tcW w:w="1951" w:type="pct"/>
            <w:shd w:val="clear" w:color="auto" w:fill="auto"/>
          </w:tcPr>
          <w:p w:rsidR="00D25F99" w:rsidRPr="007A2258" w:rsidRDefault="00D25F99" w:rsidP="00D25F99">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3,407 participants in Year 1 increasing to 3,970 in Year 5</w:t>
            </w:r>
          </w:p>
        </w:tc>
        <w:tc>
          <w:tcPr>
            <w:tcW w:w="2331" w:type="pct"/>
            <w:shd w:val="clear" w:color="auto" w:fill="auto"/>
          </w:tcPr>
          <w:p w:rsidR="00D25F99" w:rsidRPr="007A2258" w:rsidRDefault="00D25F99" w:rsidP="00D25F99">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8,763 participants in Year 1 increasing to 29,614 in Year 6</w:t>
            </w:r>
            <w:r w:rsidR="000A3751" w:rsidRPr="007A2258">
              <w:rPr>
                <w:rFonts w:ascii="Arial Narrow" w:eastAsia="Times New Roman" w:hAnsi="Arial Narrow" w:cs="Arial"/>
                <w:snapToGrid w:val="0"/>
                <w:sz w:val="20"/>
                <w:szCs w:val="20"/>
              </w:rPr>
              <w:t xml:space="preserve">. </w:t>
            </w:r>
            <w:r w:rsidRPr="007A2258">
              <w:rPr>
                <w:rFonts w:ascii="Arial Narrow" w:eastAsia="Times New Roman" w:hAnsi="Arial Narrow" w:cs="Arial"/>
                <w:snapToGrid w:val="0"/>
                <w:sz w:val="20"/>
                <w:szCs w:val="20"/>
              </w:rPr>
              <w:t xml:space="preserve">Change in numbers due to a broader eligible subject pool and the assumption of continuing PrEP. </w:t>
            </w:r>
          </w:p>
        </w:tc>
      </w:tr>
      <w:tr w:rsidR="00D25F99" w:rsidRPr="007A2258" w:rsidTr="00920F57">
        <w:trPr>
          <w:trHeight w:val="20"/>
        </w:trPr>
        <w:tc>
          <w:tcPr>
            <w:tcW w:w="718" w:type="pct"/>
            <w:shd w:val="clear" w:color="auto" w:fill="auto"/>
          </w:tcPr>
          <w:p w:rsidR="00D25F99" w:rsidRPr="007A2258" w:rsidRDefault="00D25F99" w:rsidP="00D25F99">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Estimated net cost to PBS</w:t>
            </w:r>
          </w:p>
        </w:tc>
        <w:tc>
          <w:tcPr>
            <w:tcW w:w="1951" w:type="pct"/>
            <w:shd w:val="clear" w:color="auto" w:fill="auto"/>
          </w:tcPr>
          <w:p w:rsidR="00D25F99" w:rsidRPr="007A2258" w:rsidRDefault="00D25F99" w:rsidP="00242A73">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242A73">
              <w:rPr>
                <w:rFonts w:ascii="Arial Narrow" w:eastAsia="Times New Roman" w:hAnsi="Arial Narrow" w:cs="Arial"/>
                <w:snapToGrid w:val="0"/>
                <w:sz w:val="20"/>
                <w:szCs w:val="20"/>
              </w:rPr>
              <w:t xml:space="preserve">20 - $30 million </w:t>
            </w:r>
            <w:r w:rsidRPr="007A2258">
              <w:rPr>
                <w:rFonts w:ascii="Arial Narrow" w:eastAsia="Times New Roman" w:hAnsi="Arial Narrow" w:cs="Arial"/>
                <w:snapToGrid w:val="0"/>
                <w:sz w:val="20"/>
                <w:szCs w:val="20"/>
              </w:rPr>
              <w:t xml:space="preserve"> in Year 1 increasing to $</w:t>
            </w:r>
            <w:r w:rsidRPr="00242A73">
              <w:rPr>
                <w:rFonts w:ascii="Arial Narrow" w:eastAsia="Times New Roman" w:hAnsi="Arial Narrow" w:cs="Arial"/>
                <w:snapToGrid w:val="0"/>
                <w:sz w:val="20"/>
                <w:szCs w:val="20"/>
              </w:rPr>
              <w:t>3</w:t>
            </w:r>
            <w:r w:rsidR="00242A73">
              <w:rPr>
                <w:rFonts w:ascii="Arial Narrow" w:eastAsia="Times New Roman" w:hAnsi="Arial Narrow" w:cs="Arial"/>
                <w:snapToGrid w:val="0"/>
                <w:sz w:val="20"/>
                <w:szCs w:val="20"/>
              </w:rPr>
              <w:t>0 – 60</w:t>
            </w:r>
            <w:r w:rsidRPr="00242A73">
              <w:rPr>
                <w:rFonts w:ascii="Arial Narrow" w:eastAsia="Times New Roman" w:hAnsi="Arial Narrow" w:cs="Arial"/>
                <w:snapToGrid w:val="0"/>
                <w:sz w:val="20"/>
                <w:szCs w:val="20"/>
              </w:rPr>
              <w:t xml:space="preserve"> million</w:t>
            </w:r>
            <w:r w:rsidRPr="007A2258">
              <w:rPr>
                <w:rFonts w:ascii="Arial Narrow" w:eastAsia="Times New Roman" w:hAnsi="Arial Narrow" w:cs="Arial"/>
                <w:snapToGrid w:val="0"/>
                <w:sz w:val="20"/>
                <w:szCs w:val="20"/>
              </w:rPr>
              <w:t xml:space="preserve"> in Year 5, for a total of </w:t>
            </w:r>
            <w:r w:rsidR="00242A73">
              <w:rPr>
                <w:rFonts w:ascii="Arial Narrow" w:eastAsia="Times New Roman" w:hAnsi="Arial Narrow" w:cs="Arial"/>
                <w:snapToGrid w:val="0"/>
                <w:sz w:val="20"/>
                <w:szCs w:val="20"/>
              </w:rPr>
              <w:t>more than $100</w:t>
            </w:r>
            <w:r w:rsidRPr="00242A73">
              <w:rPr>
                <w:rFonts w:ascii="Arial Narrow" w:eastAsia="Times New Roman" w:hAnsi="Arial Narrow" w:cs="Arial"/>
                <w:snapToGrid w:val="0"/>
                <w:sz w:val="20"/>
                <w:szCs w:val="20"/>
              </w:rPr>
              <w:t xml:space="preserve"> million</w:t>
            </w:r>
            <w:r w:rsidRPr="007A2258">
              <w:rPr>
                <w:rFonts w:ascii="Arial Narrow" w:eastAsia="Times New Roman" w:hAnsi="Arial Narrow" w:cs="Arial"/>
                <w:snapToGrid w:val="0"/>
                <w:sz w:val="20"/>
                <w:szCs w:val="20"/>
              </w:rPr>
              <w:t xml:space="preserve"> over the first 5 years of listing. </w:t>
            </w:r>
          </w:p>
        </w:tc>
        <w:tc>
          <w:tcPr>
            <w:tcW w:w="2331" w:type="pct"/>
            <w:shd w:val="clear" w:color="auto" w:fill="auto"/>
          </w:tcPr>
          <w:p w:rsidR="00D25F99" w:rsidRPr="007A2258" w:rsidRDefault="00D25F99" w:rsidP="00D25F99">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242A73">
              <w:rPr>
                <w:rFonts w:ascii="Arial Narrow" w:eastAsia="Times New Roman" w:hAnsi="Arial Narrow" w:cs="Arial"/>
                <w:snapToGrid w:val="0"/>
                <w:sz w:val="20"/>
                <w:szCs w:val="20"/>
              </w:rPr>
              <w:t>60 - $100</w:t>
            </w:r>
            <w:r w:rsidRPr="00242A73">
              <w:rPr>
                <w:rFonts w:ascii="Arial Narrow" w:eastAsia="Times New Roman" w:hAnsi="Arial Narrow" w:cs="Arial"/>
                <w:snapToGrid w:val="0"/>
                <w:sz w:val="20"/>
                <w:szCs w:val="20"/>
              </w:rPr>
              <w:t xml:space="preserve"> million</w:t>
            </w:r>
            <w:r w:rsidRPr="007A2258">
              <w:rPr>
                <w:rFonts w:ascii="Arial Narrow" w:eastAsia="Times New Roman" w:hAnsi="Arial Narrow" w:cs="Arial"/>
                <w:snapToGrid w:val="0"/>
                <w:sz w:val="20"/>
                <w:szCs w:val="20"/>
              </w:rPr>
              <w:t xml:space="preserve"> in Year 1 increasing to </w:t>
            </w:r>
            <w:r w:rsidR="00242A73">
              <w:rPr>
                <w:rFonts w:ascii="Arial Narrow" w:eastAsia="Times New Roman" w:hAnsi="Arial Narrow" w:cs="Arial"/>
                <w:snapToGrid w:val="0"/>
                <w:sz w:val="20"/>
                <w:szCs w:val="20"/>
              </w:rPr>
              <w:t>more than $100</w:t>
            </w:r>
            <w:r w:rsidRPr="00242A73">
              <w:rPr>
                <w:rFonts w:ascii="Arial Narrow" w:eastAsia="Times New Roman" w:hAnsi="Arial Narrow" w:cs="Arial"/>
                <w:snapToGrid w:val="0"/>
                <w:sz w:val="20"/>
                <w:szCs w:val="20"/>
              </w:rPr>
              <w:t xml:space="preserve"> million</w:t>
            </w:r>
            <w:r w:rsidRPr="007A2258">
              <w:rPr>
                <w:rFonts w:ascii="Arial Narrow" w:eastAsia="Times New Roman" w:hAnsi="Arial Narrow" w:cs="Arial"/>
                <w:snapToGrid w:val="0"/>
                <w:sz w:val="20"/>
                <w:szCs w:val="20"/>
              </w:rPr>
              <w:t xml:space="preserve"> in Year 6, for a total of </w:t>
            </w:r>
            <w:r w:rsidR="00242A73">
              <w:rPr>
                <w:rFonts w:ascii="Arial Narrow" w:eastAsia="Times New Roman" w:hAnsi="Arial Narrow" w:cs="Arial"/>
                <w:snapToGrid w:val="0"/>
                <w:sz w:val="20"/>
                <w:szCs w:val="20"/>
              </w:rPr>
              <w:t xml:space="preserve">more than $100 million </w:t>
            </w:r>
            <w:r w:rsidRPr="007A2258">
              <w:rPr>
                <w:rFonts w:ascii="Arial Narrow" w:eastAsia="Times New Roman" w:hAnsi="Arial Narrow" w:cs="Arial"/>
                <w:snapToGrid w:val="0"/>
                <w:sz w:val="20"/>
                <w:szCs w:val="20"/>
              </w:rPr>
              <w:t xml:space="preserve">over the first 6 years of listing. </w:t>
            </w:r>
          </w:p>
          <w:p w:rsidR="00D25F99" w:rsidRPr="007A2258" w:rsidRDefault="00D25F99" w:rsidP="00777C48">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Change in PBS cost due to </w:t>
            </w:r>
            <w:r w:rsidR="00777C48" w:rsidRPr="007A2258">
              <w:rPr>
                <w:rFonts w:ascii="Arial Narrow" w:eastAsia="Times New Roman" w:hAnsi="Arial Narrow" w:cs="Arial"/>
                <w:snapToGrid w:val="0"/>
                <w:sz w:val="20"/>
                <w:szCs w:val="20"/>
              </w:rPr>
              <w:t>increase in participant numbers</w:t>
            </w:r>
            <w:r w:rsidRPr="007A2258">
              <w:rPr>
                <w:rFonts w:ascii="Arial Narrow" w:eastAsia="Times New Roman" w:hAnsi="Arial Narrow" w:cs="Arial"/>
                <w:snapToGrid w:val="0"/>
                <w:sz w:val="20"/>
                <w:szCs w:val="20"/>
              </w:rPr>
              <w:t>.</w:t>
            </w:r>
          </w:p>
        </w:tc>
      </w:tr>
    </w:tbl>
    <w:p w:rsidR="00D25F99" w:rsidRPr="007A2258" w:rsidRDefault="00D25F99" w:rsidP="00D25F99">
      <w:pPr>
        <w:spacing w:before="0" w:after="0"/>
        <w:rPr>
          <w:rFonts w:ascii="Arial Narrow" w:eastAsia="Calibri" w:hAnsi="Arial Narrow" w:cs="Arial"/>
          <w:sz w:val="18"/>
          <w:szCs w:val="18"/>
        </w:rPr>
      </w:pPr>
      <w:r w:rsidRPr="007A2258">
        <w:rPr>
          <w:rFonts w:ascii="Arial Narrow" w:eastAsia="Calibri" w:hAnsi="Arial Narrow" w:cs="Arial"/>
          <w:sz w:val="18"/>
          <w:szCs w:val="18"/>
        </w:rPr>
        <w:t>Abbreviations: ASHM, Australasian Society for HIV, Viral Hepatitis and Sexual Health Medicine</w:t>
      </w:r>
    </w:p>
    <w:p w:rsidR="0012701F" w:rsidRPr="007A2258" w:rsidRDefault="0012701F" w:rsidP="00791DE1">
      <w:pPr>
        <w:pStyle w:val="TableHeading0"/>
        <w:rPr>
          <w:highlight w:val="cyan"/>
        </w:rPr>
      </w:pPr>
    </w:p>
    <w:p w:rsidR="00D25F99" w:rsidRPr="007A2258" w:rsidRDefault="00D25F99" w:rsidP="007A2258">
      <w:pPr>
        <w:pStyle w:val="ListParagraph"/>
        <w:numPr>
          <w:ilvl w:val="1"/>
          <w:numId w:val="23"/>
        </w:numPr>
        <w:jc w:val="both"/>
      </w:pPr>
      <w:r w:rsidRPr="007A2258">
        <w:t xml:space="preserve">Outstanding matters of concern to the </w:t>
      </w:r>
      <w:r w:rsidR="00561B5C" w:rsidRPr="007A2258">
        <w:t>PBAC</w:t>
      </w:r>
      <w:r w:rsidRPr="007A2258">
        <w:t xml:space="preserve"> and how they were addressed by the resubmission are summarised in Table 3. </w:t>
      </w:r>
    </w:p>
    <w:p w:rsidR="00904455" w:rsidRDefault="00904455" w:rsidP="00904455">
      <w:pPr>
        <w:pStyle w:val="Caption"/>
      </w:pPr>
      <w:r>
        <w:t xml:space="preserve">Table </w:t>
      </w:r>
      <w:r w:rsidR="004F50B1">
        <w:rPr>
          <w:noProof/>
        </w:rPr>
        <w:t>3</w:t>
      </w:r>
      <w:r w:rsidRPr="006F6ACF">
        <w:t>: Summary of outstanding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706"/>
        <w:gridCol w:w="4376"/>
      </w:tblGrid>
      <w:tr w:rsidR="00D25F99" w:rsidRPr="007A2258" w:rsidTr="00920F57">
        <w:trPr>
          <w:trHeight w:val="20"/>
          <w:tblHeader/>
        </w:trPr>
        <w:tc>
          <w:tcPr>
            <w:tcW w:w="2591" w:type="pct"/>
            <w:shd w:val="clear" w:color="auto" w:fill="auto"/>
          </w:tcPr>
          <w:p w:rsidR="00D25F99" w:rsidRPr="007A2258" w:rsidRDefault="00D25F99" w:rsidP="00D25F99">
            <w:pPr>
              <w:widowControl w:val="0"/>
              <w:spacing w:before="0" w:after="0"/>
              <w:rPr>
                <w:rFonts w:ascii="Arial Narrow" w:eastAsia="Times New Roman" w:hAnsi="Arial Narrow" w:cs="Arial"/>
                <w:b/>
                <w:snapToGrid w:val="0"/>
                <w:sz w:val="20"/>
                <w:szCs w:val="20"/>
              </w:rPr>
            </w:pPr>
            <w:r w:rsidRPr="007A2258">
              <w:rPr>
                <w:rFonts w:ascii="Arial Narrow" w:eastAsia="Times New Roman" w:hAnsi="Arial Narrow" w:cs="Arial"/>
                <w:b/>
                <w:snapToGrid w:val="0"/>
                <w:sz w:val="20"/>
                <w:szCs w:val="20"/>
              </w:rPr>
              <w:t>Matters of concern (July 2016 submission)</w:t>
            </w:r>
          </w:p>
        </w:tc>
        <w:tc>
          <w:tcPr>
            <w:tcW w:w="2409" w:type="pct"/>
            <w:shd w:val="clear" w:color="auto" w:fill="auto"/>
          </w:tcPr>
          <w:p w:rsidR="00D25F99" w:rsidRPr="007A2258" w:rsidRDefault="00D25F99" w:rsidP="00D25F99">
            <w:pPr>
              <w:widowControl w:val="0"/>
              <w:spacing w:before="0" w:after="0"/>
              <w:rPr>
                <w:rFonts w:ascii="Arial Narrow" w:eastAsia="Times New Roman" w:hAnsi="Arial Narrow" w:cs="Arial"/>
                <w:b/>
                <w:snapToGrid w:val="0"/>
                <w:sz w:val="20"/>
                <w:szCs w:val="20"/>
              </w:rPr>
            </w:pPr>
            <w:r w:rsidRPr="007A2258">
              <w:rPr>
                <w:rFonts w:ascii="Arial Narrow" w:eastAsia="Times New Roman" w:hAnsi="Arial Narrow" w:cs="Arial"/>
                <w:b/>
                <w:snapToGrid w:val="0"/>
                <w:sz w:val="20"/>
                <w:szCs w:val="20"/>
              </w:rPr>
              <w:t xml:space="preserve">How it was addressed in the re-submission (July 2017) </w:t>
            </w:r>
          </w:p>
        </w:tc>
      </w:tr>
      <w:tr w:rsidR="00D25F99" w:rsidRPr="007A2258" w:rsidTr="00920F57">
        <w:trPr>
          <w:trHeight w:val="20"/>
        </w:trPr>
        <w:tc>
          <w:tcPr>
            <w:tcW w:w="2591" w:type="pct"/>
            <w:shd w:val="clear" w:color="auto" w:fill="auto"/>
          </w:tcPr>
          <w:p w:rsidR="00D25F99" w:rsidRPr="007A2258" w:rsidRDefault="00D25F99" w:rsidP="00D25F99">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Requested PBS listing </w:t>
            </w:r>
          </w:p>
        </w:tc>
        <w:tc>
          <w:tcPr>
            <w:tcW w:w="2409" w:type="pct"/>
            <w:shd w:val="clear" w:color="auto" w:fill="auto"/>
          </w:tcPr>
          <w:p w:rsidR="00D25F99" w:rsidRPr="007A2258" w:rsidRDefault="00D25F99" w:rsidP="00D25F99">
            <w:pPr>
              <w:widowControl w:val="0"/>
              <w:spacing w:before="0" w:after="0"/>
              <w:rPr>
                <w:rFonts w:ascii="Arial Narrow" w:eastAsia="Times New Roman" w:hAnsi="Arial Narrow" w:cs="Arial"/>
                <w:snapToGrid w:val="0"/>
                <w:sz w:val="20"/>
                <w:szCs w:val="20"/>
              </w:rPr>
            </w:pPr>
          </w:p>
        </w:tc>
      </w:tr>
      <w:tr w:rsidR="00D25F99" w:rsidRPr="007A2258" w:rsidTr="00920F57">
        <w:trPr>
          <w:trHeight w:val="20"/>
        </w:trPr>
        <w:tc>
          <w:tcPr>
            <w:tcW w:w="2591" w:type="pct"/>
            <w:shd w:val="clear" w:color="auto" w:fill="auto"/>
          </w:tcPr>
          <w:p w:rsidR="00D25F99" w:rsidRPr="007A2258" w:rsidRDefault="00D25F99" w:rsidP="00242A73">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“The population eligible for treatment was restricted to those meeting a high risk criterion. The PBAC considered it would be more appropriate for a broader group of individuals with potential benefit to have access to Truvada as PrEP.” [paragraph 7.9, July 2016 </w:t>
            </w:r>
            <w:r w:rsidR="00242A73">
              <w:rPr>
                <w:rFonts w:ascii="Arial Narrow" w:eastAsia="Times New Roman" w:hAnsi="Arial Narrow" w:cs="Arial"/>
                <w:snapToGrid w:val="0"/>
                <w:sz w:val="20"/>
                <w:szCs w:val="20"/>
              </w:rPr>
              <w:t>PSD</w:t>
            </w:r>
            <w:r w:rsidRPr="007A2258">
              <w:rPr>
                <w:rFonts w:ascii="Arial Narrow" w:eastAsia="Times New Roman" w:hAnsi="Arial Narrow" w:cs="Arial"/>
                <w:snapToGrid w:val="0"/>
                <w:sz w:val="20"/>
                <w:szCs w:val="20"/>
              </w:rPr>
              <w:t>]</w:t>
            </w:r>
          </w:p>
        </w:tc>
        <w:tc>
          <w:tcPr>
            <w:tcW w:w="2409" w:type="pct"/>
            <w:shd w:val="clear" w:color="auto" w:fill="auto"/>
          </w:tcPr>
          <w:p w:rsidR="00D25F99" w:rsidRPr="007A2258" w:rsidRDefault="00D25F99" w:rsidP="00D25F99">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The resubmission requested ‘Pre-exposure prophylaxis against HIV in adults at medium to high risk of infection’. This is broader than the population requested in the July 2016 submission. The inclusion of reference to the ASHM Guidelines is broader than the TGA registered indication.</w:t>
            </w:r>
          </w:p>
        </w:tc>
      </w:tr>
      <w:tr w:rsidR="00D25F99" w:rsidRPr="007A2258" w:rsidTr="00920F57">
        <w:trPr>
          <w:trHeight w:val="20"/>
        </w:trPr>
        <w:tc>
          <w:tcPr>
            <w:tcW w:w="2591" w:type="pct"/>
            <w:shd w:val="clear" w:color="auto" w:fill="auto"/>
          </w:tcPr>
          <w:p w:rsidR="00D25F99" w:rsidRPr="007A2258" w:rsidRDefault="00D25F99" w:rsidP="00242A73">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“The appropriate and likely use in clinical practice, including the possibility of intermittent use.” [paragraph 7.9, July 2016 </w:t>
            </w:r>
            <w:r w:rsidR="00242A73">
              <w:rPr>
                <w:rFonts w:ascii="Arial Narrow" w:eastAsia="Times New Roman" w:hAnsi="Arial Narrow" w:cs="Arial"/>
                <w:snapToGrid w:val="0"/>
                <w:sz w:val="20"/>
                <w:szCs w:val="20"/>
              </w:rPr>
              <w:t>PSD</w:t>
            </w:r>
            <w:r w:rsidRPr="007A2258">
              <w:rPr>
                <w:rFonts w:ascii="Arial Narrow" w:eastAsia="Times New Roman" w:hAnsi="Arial Narrow" w:cs="Arial"/>
                <w:snapToGrid w:val="0"/>
                <w:sz w:val="20"/>
                <w:szCs w:val="20"/>
              </w:rPr>
              <w:t>]</w:t>
            </w:r>
          </w:p>
        </w:tc>
        <w:tc>
          <w:tcPr>
            <w:tcW w:w="2409" w:type="pct"/>
            <w:shd w:val="clear" w:color="auto" w:fill="auto"/>
          </w:tcPr>
          <w:p w:rsidR="00D25F99" w:rsidRPr="007A2258" w:rsidRDefault="00D25F99" w:rsidP="0065472D">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The resubmission </w:t>
            </w:r>
            <w:r w:rsidR="00757439" w:rsidRPr="007A2258">
              <w:rPr>
                <w:rFonts w:ascii="Arial Narrow" w:eastAsia="Times New Roman" w:hAnsi="Arial Narrow" w:cs="Arial"/>
                <w:snapToGrid w:val="0"/>
                <w:sz w:val="20"/>
                <w:szCs w:val="20"/>
              </w:rPr>
              <w:t xml:space="preserve">reiterated </w:t>
            </w:r>
            <w:r w:rsidRPr="007A2258">
              <w:rPr>
                <w:rFonts w:ascii="Arial Narrow" w:eastAsia="Times New Roman" w:hAnsi="Arial Narrow" w:cs="Arial"/>
                <w:snapToGrid w:val="0"/>
                <w:sz w:val="20"/>
                <w:szCs w:val="20"/>
              </w:rPr>
              <w:t xml:space="preserve">the approved PI use of TDF/FTC as daily dosing, and this </w:t>
            </w:r>
            <w:r w:rsidR="00757439" w:rsidRPr="007A2258">
              <w:rPr>
                <w:rFonts w:ascii="Arial Narrow" w:eastAsia="Times New Roman" w:hAnsi="Arial Narrow" w:cs="Arial"/>
                <w:snapToGrid w:val="0"/>
                <w:sz w:val="20"/>
                <w:szCs w:val="20"/>
              </w:rPr>
              <w:t xml:space="preserve">was </w:t>
            </w:r>
            <w:r w:rsidRPr="007A2258">
              <w:rPr>
                <w:rFonts w:ascii="Arial Narrow" w:eastAsia="Times New Roman" w:hAnsi="Arial Narrow" w:cs="Arial"/>
                <w:snapToGrid w:val="0"/>
                <w:sz w:val="20"/>
                <w:szCs w:val="20"/>
              </w:rPr>
              <w:t xml:space="preserve">the basis of the economic model and financial estimates. The resubmission presented two RCTs that included intermittent dosing regimens. The impact of intermittent dosage regimens and adherence on the efficacy of PrEP was presented in </w:t>
            </w:r>
            <w:r w:rsidR="0065472D" w:rsidRPr="007A2258">
              <w:rPr>
                <w:rFonts w:ascii="Arial Narrow" w:eastAsia="Times New Roman" w:hAnsi="Arial Narrow" w:cs="Arial"/>
                <w:snapToGrid w:val="0"/>
                <w:sz w:val="20"/>
                <w:szCs w:val="20"/>
              </w:rPr>
              <w:t>the submission</w:t>
            </w:r>
            <w:r w:rsidRPr="007A2258">
              <w:rPr>
                <w:rFonts w:ascii="Arial Narrow" w:eastAsia="Times New Roman" w:hAnsi="Arial Narrow" w:cs="Arial"/>
                <w:snapToGrid w:val="0"/>
                <w:sz w:val="20"/>
                <w:szCs w:val="20"/>
              </w:rPr>
              <w:t>, but was not used in the economic evaluation.</w:t>
            </w:r>
          </w:p>
        </w:tc>
      </w:tr>
      <w:tr w:rsidR="00D25F99" w:rsidRPr="007A2258" w:rsidTr="00920F57">
        <w:trPr>
          <w:trHeight w:val="20"/>
        </w:trPr>
        <w:tc>
          <w:tcPr>
            <w:tcW w:w="2591" w:type="pct"/>
            <w:shd w:val="clear" w:color="auto" w:fill="auto"/>
          </w:tcPr>
          <w:p w:rsidR="00D25F99" w:rsidRPr="007A2258" w:rsidRDefault="00D25F99" w:rsidP="00242A73">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“Details relating to the management of the ‘approved PrEP service’”. [paragraph 7.9, July 2016 </w:t>
            </w:r>
            <w:r w:rsidR="00242A73">
              <w:rPr>
                <w:rFonts w:ascii="Arial Narrow" w:eastAsia="Times New Roman" w:hAnsi="Arial Narrow" w:cs="Arial"/>
                <w:snapToGrid w:val="0"/>
                <w:sz w:val="20"/>
                <w:szCs w:val="20"/>
              </w:rPr>
              <w:t>PSD</w:t>
            </w:r>
            <w:r w:rsidRPr="007A2258">
              <w:rPr>
                <w:rFonts w:ascii="Arial Narrow" w:eastAsia="Times New Roman" w:hAnsi="Arial Narrow" w:cs="Arial"/>
                <w:snapToGrid w:val="0"/>
                <w:sz w:val="20"/>
                <w:szCs w:val="20"/>
              </w:rPr>
              <w:t>]</w:t>
            </w:r>
          </w:p>
        </w:tc>
        <w:tc>
          <w:tcPr>
            <w:tcW w:w="2409" w:type="pct"/>
            <w:shd w:val="clear" w:color="auto" w:fill="auto"/>
          </w:tcPr>
          <w:p w:rsidR="00D25F99" w:rsidRPr="007A2258" w:rsidRDefault="00D25F99" w:rsidP="00D25F99">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The resubmission suggested that ASHM could manage the PrEP Program. </w:t>
            </w:r>
          </w:p>
        </w:tc>
      </w:tr>
      <w:tr w:rsidR="00D25F99" w:rsidRPr="007A2258" w:rsidTr="00920F57">
        <w:trPr>
          <w:trHeight w:val="20"/>
        </w:trPr>
        <w:tc>
          <w:tcPr>
            <w:tcW w:w="2591" w:type="pct"/>
            <w:shd w:val="clear" w:color="auto" w:fill="auto"/>
          </w:tcPr>
          <w:p w:rsidR="00D25F99" w:rsidRPr="007A2258" w:rsidRDefault="00D25F99" w:rsidP="00D25F99">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Clinical effectiveness </w:t>
            </w:r>
          </w:p>
        </w:tc>
        <w:tc>
          <w:tcPr>
            <w:tcW w:w="2409" w:type="pct"/>
            <w:shd w:val="clear" w:color="auto" w:fill="auto"/>
          </w:tcPr>
          <w:p w:rsidR="00D25F99" w:rsidRPr="007A2258" w:rsidRDefault="00D25F99" w:rsidP="00D25F99">
            <w:pPr>
              <w:widowControl w:val="0"/>
              <w:spacing w:before="0" w:after="0"/>
              <w:rPr>
                <w:rFonts w:ascii="Arial Narrow" w:eastAsia="Times New Roman" w:hAnsi="Arial Narrow" w:cs="Arial"/>
                <w:snapToGrid w:val="0"/>
                <w:sz w:val="20"/>
                <w:szCs w:val="20"/>
              </w:rPr>
            </w:pPr>
          </w:p>
        </w:tc>
      </w:tr>
      <w:tr w:rsidR="00D25F99" w:rsidRPr="007A2258" w:rsidTr="00920F57">
        <w:trPr>
          <w:trHeight w:val="20"/>
        </w:trPr>
        <w:tc>
          <w:tcPr>
            <w:tcW w:w="2591" w:type="pct"/>
            <w:shd w:val="clear" w:color="auto" w:fill="auto"/>
          </w:tcPr>
          <w:p w:rsidR="00D25F99" w:rsidRPr="007A2258" w:rsidRDefault="00D25F99" w:rsidP="00242A73">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“The PBAC considered that the available data were not representative of the proposed PBS population. The Committee’s concerns about the applicability of the trial data to the Australian setting included that a large proportion of the data were generated in communities known to have a substantially higher incidence of HIV infection (and therefore higher risk) than the Australian population. “[paragraph 7.4, July 2016 </w:t>
            </w:r>
            <w:r w:rsidR="00242A73">
              <w:rPr>
                <w:rFonts w:ascii="Arial Narrow" w:eastAsia="Times New Roman" w:hAnsi="Arial Narrow" w:cs="Arial"/>
                <w:snapToGrid w:val="0"/>
                <w:sz w:val="20"/>
                <w:szCs w:val="20"/>
              </w:rPr>
              <w:t>PSD</w:t>
            </w:r>
            <w:r w:rsidRPr="007A2258">
              <w:rPr>
                <w:rFonts w:ascii="Arial Narrow" w:eastAsia="Times New Roman" w:hAnsi="Arial Narrow" w:cs="Arial"/>
                <w:snapToGrid w:val="0"/>
                <w:sz w:val="20"/>
                <w:szCs w:val="20"/>
              </w:rPr>
              <w:t>]</w:t>
            </w:r>
          </w:p>
        </w:tc>
        <w:tc>
          <w:tcPr>
            <w:tcW w:w="2409" w:type="pct"/>
            <w:shd w:val="clear" w:color="auto" w:fill="auto"/>
          </w:tcPr>
          <w:p w:rsidR="00D25F99" w:rsidRPr="007A2258" w:rsidRDefault="00D25F99" w:rsidP="0049195A">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The resubmission presented two RCTs and four international observational studies with study sites in developed countries. The results from these studies are potentially more applicable to the PBS population than those from studies from developing countries with different HIV profiles. The resubmission </w:t>
            </w:r>
            <w:r w:rsidR="00777C48" w:rsidRPr="007A2258">
              <w:rPr>
                <w:rFonts w:ascii="Arial Narrow" w:eastAsia="Times New Roman" w:hAnsi="Arial Narrow" w:cs="Arial"/>
                <w:snapToGrid w:val="0"/>
                <w:sz w:val="20"/>
                <w:szCs w:val="20"/>
              </w:rPr>
              <w:t>referred</w:t>
            </w:r>
            <w:r w:rsidR="0049195A" w:rsidRPr="007A2258">
              <w:rPr>
                <w:rFonts w:ascii="Arial Narrow" w:eastAsia="Times New Roman" w:hAnsi="Arial Narrow" w:cs="Arial"/>
                <w:snapToGrid w:val="0"/>
                <w:sz w:val="20"/>
                <w:szCs w:val="20"/>
              </w:rPr>
              <w:t xml:space="preserve"> </w:t>
            </w:r>
            <w:r w:rsidRPr="007A2258">
              <w:rPr>
                <w:rFonts w:ascii="Arial Narrow" w:eastAsia="Times New Roman" w:hAnsi="Arial Narrow" w:cs="Arial"/>
                <w:snapToGrid w:val="0"/>
                <w:sz w:val="20"/>
                <w:szCs w:val="20"/>
              </w:rPr>
              <w:t xml:space="preserve">to four Australian PrEP demonstration projects. However, the baseline characteristics and results are only available for one of these projects - VicPrEP. </w:t>
            </w:r>
          </w:p>
        </w:tc>
      </w:tr>
      <w:tr w:rsidR="00D25F99" w:rsidRPr="007A2258" w:rsidTr="00920F57">
        <w:trPr>
          <w:trHeight w:val="20"/>
        </w:trPr>
        <w:tc>
          <w:tcPr>
            <w:tcW w:w="2591" w:type="pct"/>
            <w:shd w:val="clear" w:color="auto" w:fill="auto"/>
          </w:tcPr>
          <w:p w:rsidR="00D25F99" w:rsidRPr="007A2258" w:rsidRDefault="00D25F99" w:rsidP="00D25F99">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“Adherence with Truvada as PrEP, and the potential impact of Truvada on other preventative strategies, in clinical practice.” [paragraph 7.9, July 2016 </w:t>
            </w:r>
            <w:r w:rsidR="00242A73">
              <w:rPr>
                <w:rFonts w:ascii="Arial Narrow" w:eastAsia="Times New Roman" w:hAnsi="Arial Narrow" w:cs="Arial"/>
                <w:snapToGrid w:val="0"/>
                <w:sz w:val="20"/>
                <w:szCs w:val="20"/>
              </w:rPr>
              <w:t>PSD</w:t>
            </w:r>
            <w:r w:rsidRPr="007A2258">
              <w:rPr>
                <w:rFonts w:ascii="Arial Narrow" w:eastAsia="Times New Roman" w:hAnsi="Arial Narrow" w:cs="Arial"/>
                <w:snapToGrid w:val="0"/>
                <w:sz w:val="20"/>
                <w:szCs w:val="20"/>
              </w:rPr>
              <w:t>]</w:t>
            </w:r>
          </w:p>
          <w:p w:rsidR="00D25F99" w:rsidRPr="007A2258" w:rsidRDefault="00D25F99" w:rsidP="00D25F99">
            <w:pPr>
              <w:widowControl w:val="0"/>
              <w:spacing w:before="0" w:after="0"/>
              <w:rPr>
                <w:rFonts w:ascii="Arial Narrow" w:eastAsia="Times New Roman" w:hAnsi="Arial Narrow" w:cs="Arial"/>
                <w:snapToGrid w:val="0"/>
                <w:sz w:val="20"/>
                <w:szCs w:val="20"/>
              </w:rPr>
            </w:pPr>
          </w:p>
          <w:p w:rsidR="00D25F99" w:rsidRPr="007A2258" w:rsidRDefault="00D25F99" w:rsidP="00242A73">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“The model assumed a high uptake of Truvada as PrEP in high risk individuals, which the PBAC considered was not reasonable since high risk patients are partly defined by low uptake of currently available ‘safe sex’ practices (</w:t>
            </w:r>
            <w:r w:rsidR="00BA19AA" w:rsidRPr="007A2258">
              <w:rPr>
                <w:rFonts w:ascii="Arial Narrow" w:eastAsia="Times New Roman" w:hAnsi="Arial Narrow" w:cs="Arial"/>
                <w:snapToGrid w:val="0"/>
                <w:sz w:val="20"/>
                <w:szCs w:val="20"/>
              </w:rPr>
              <w:t>e.g.</w:t>
            </w:r>
            <w:r w:rsidRPr="007A2258">
              <w:rPr>
                <w:rFonts w:ascii="Arial Narrow" w:eastAsia="Times New Roman" w:hAnsi="Arial Narrow" w:cs="Arial"/>
                <w:snapToGrid w:val="0"/>
                <w:sz w:val="20"/>
                <w:szCs w:val="20"/>
              </w:rPr>
              <w:t xml:space="preserve"> condoms). “[paragraph 7.7, July 2016 </w:t>
            </w:r>
            <w:r w:rsidR="00242A73">
              <w:rPr>
                <w:rFonts w:ascii="Arial Narrow" w:eastAsia="Times New Roman" w:hAnsi="Arial Narrow" w:cs="Arial"/>
                <w:snapToGrid w:val="0"/>
                <w:sz w:val="20"/>
                <w:szCs w:val="20"/>
              </w:rPr>
              <w:t>PSD</w:t>
            </w:r>
            <w:r w:rsidRPr="007A2258">
              <w:rPr>
                <w:rFonts w:ascii="Arial Narrow" w:eastAsia="Times New Roman" w:hAnsi="Arial Narrow" w:cs="Arial"/>
                <w:snapToGrid w:val="0"/>
                <w:sz w:val="20"/>
                <w:szCs w:val="20"/>
              </w:rPr>
              <w:t>]</w:t>
            </w:r>
          </w:p>
        </w:tc>
        <w:tc>
          <w:tcPr>
            <w:tcW w:w="2409" w:type="pct"/>
            <w:shd w:val="clear" w:color="auto" w:fill="auto"/>
          </w:tcPr>
          <w:p w:rsidR="00D25F99" w:rsidRPr="007A2258" w:rsidRDefault="00D25F99" w:rsidP="00D25F99">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The resubmission continued to assume high adherence with TDF/FTC as PrEP in the economic model. However, the model was modified so that the function specifying the effectiveness estimate incorporated the impact of adherence directly; it was no longer possible to vary adherence to observe the impact in the model of such a change on effectiveness. The resubmission continued to assume that adherence would impact on costs</w:t>
            </w:r>
            <w:r w:rsidR="00EB6428" w:rsidRPr="007A2258">
              <w:rPr>
                <w:rFonts w:ascii="Arial Narrow" w:eastAsia="Times New Roman" w:hAnsi="Arial Narrow" w:cs="Arial"/>
                <w:snapToGrid w:val="0"/>
                <w:sz w:val="20"/>
                <w:szCs w:val="20"/>
              </w:rPr>
              <w:t xml:space="preserve"> (cost*compliance)</w:t>
            </w:r>
            <w:r w:rsidRPr="007A2258">
              <w:rPr>
                <w:rFonts w:ascii="Arial Narrow" w:eastAsia="Times New Roman" w:hAnsi="Arial Narrow" w:cs="Arial"/>
                <w:snapToGrid w:val="0"/>
                <w:sz w:val="20"/>
                <w:szCs w:val="20"/>
              </w:rPr>
              <w:t xml:space="preserve">. </w:t>
            </w:r>
          </w:p>
          <w:p w:rsidR="00D25F99" w:rsidRPr="007A2258" w:rsidRDefault="00D25F99" w:rsidP="00D25F99">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The impact of TDF/FTC on safer sex practices, including condom use and potential STIs was presented in the observational studies. The resubmission continued to model changes in risk behaviour using an inhibition factor multiplier applied to the infection risk, but did not model the incidence or costs associated with STIs.</w:t>
            </w:r>
          </w:p>
        </w:tc>
      </w:tr>
      <w:tr w:rsidR="00D25F99" w:rsidRPr="007A2258" w:rsidTr="00920F57">
        <w:trPr>
          <w:trHeight w:val="20"/>
        </w:trPr>
        <w:tc>
          <w:tcPr>
            <w:tcW w:w="2591" w:type="pct"/>
            <w:shd w:val="clear" w:color="auto" w:fill="auto"/>
          </w:tcPr>
          <w:p w:rsidR="00D25F99" w:rsidRPr="007A2258" w:rsidRDefault="00D25F99" w:rsidP="00D25F99">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Economic evaluation </w:t>
            </w:r>
          </w:p>
        </w:tc>
        <w:tc>
          <w:tcPr>
            <w:tcW w:w="2409" w:type="pct"/>
            <w:shd w:val="clear" w:color="auto" w:fill="auto"/>
          </w:tcPr>
          <w:p w:rsidR="00D25F99" w:rsidRPr="007A2258" w:rsidRDefault="00D25F99" w:rsidP="00D25F99">
            <w:pPr>
              <w:widowControl w:val="0"/>
              <w:spacing w:before="0" w:after="0"/>
              <w:rPr>
                <w:rFonts w:ascii="Arial Narrow" w:eastAsia="Times New Roman" w:hAnsi="Arial Narrow" w:cs="Arial"/>
                <w:snapToGrid w:val="0"/>
                <w:sz w:val="20"/>
                <w:szCs w:val="20"/>
              </w:rPr>
            </w:pPr>
          </w:p>
        </w:tc>
      </w:tr>
      <w:tr w:rsidR="00D25F99" w:rsidRPr="007A2258" w:rsidTr="00920F57">
        <w:trPr>
          <w:trHeight w:val="20"/>
        </w:trPr>
        <w:tc>
          <w:tcPr>
            <w:tcW w:w="2591" w:type="pct"/>
            <w:shd w:val="clear" w:color="auto" w:fill="auto"/>
          </w:tcPr>
          <w:p w:rsidR="00D25F99" w:rsidRPr="007A2258" w:rsidRDefault="00D25F99" w:rsidP="00D25F99">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The issues with the Model 2:</w:t>
            </w:r>
          </w:p>
          <w:p w:rsidR="00D25F99" w:rsidRPr="007A2258" w:rsidRDefault="00D25F99" w:rsidP="00242A73">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“Sexual contact between individuals was assumed to be random rather than assortative by risk level. This was considered unrealistic as individuals at high risk may be more likely to have contact with other high risk individuals rather than someone who is low risk. The model population was closed and hence does not allow new at-risk MSM to enter, allowing for transmission to be rapidly exhausted even in the no PrEP scenario. “[paragraph 7.7, 2016 </w:t>
            </w:r>
            <w:r w:rsidR="00242A73">
              <w:rPr>
                <w:rFonts w:ascii="Arial Narrow" w:eastAsia="Times New Roman" w:hAnsi="Arial Narrow" w:cs="Arial"/>
                <w:snapToGrid w:val="0"/>
                <w:sz w:val="20"/>
                <w:szCs w:val="20"/>
              </w:rPr>
              <w:t>PSD</w:t>
            </w:r>
            <w:r w:rsidRPr="007A2258">
              <w:rPr>
                <w:rFonts w:ascii="Arial Narrow" w:eastAsia="Times New Roman" w:hAnsi="Arial Narrow" w:cs="Arial"/>
                <w:snapToGrid w:val="0"/>
                <w:sz w:val="20"/>
                <w:szCs w:val="20"/>
              </w:rPr>
              <w:t>]</w:t>
            </w:r>
          </w:p>
        </w:tc>
        <w:tc>
          <w:tcPr>
            <w:tcW w:w="2409" w:type="pct"/>
            <w:shd w:val="clear" w:color="auto" w:fill="auto"/>
          </w:tcPr>
          <w:p w:rsidR="00D25F99" w:rsidRPr="007A2258" w:rsidRDefault="00D25F99" w:rsidP="00D25F99">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The individual risk distribution reflect</w:t>
            </w:r>
            <w:r w:rsidR="00810810" w:rsidRPr="007A2258">
              <w:rPr>
                <w:rFonts w:ascii="Arial Narrow" w:eastAsia="Times New Roman" w:hAnsi="Arial Narrow" w:cs="Arial"/>
                <w:snapToGrid w:val="0"/>
                <w:sz w:val="20"/>
                <w:szCs w:val="20"/>
              </w:rPr>
              <w:t>s</w:t>
            </w:r>
            <w:r w:rsidRPr="007A2258">
              <w:rPr>
                <w:rFonts w:ascii="Arial Narrow" w:eastAsia="Times New Roman" w:hAnsi="Arial Narrow" w:cs="Arial"/>
                <w:snapToGrid w:val="0"/>
                <w:sz w:val="20"/>
                <w:szCs w:val="20"/>
              </w:rPr>
              <w:t xml:space="preserve"> some non-randomness in sexual contacts as </w:t>
            </w:r>
            <w:r w:rsidR="00810810" w:rsidRPr="007A2258">
              <w:rPr>
                <w:rFonts w:ascii="Arial Narrow" w:eastAsia="Times New Roman" w:hAnsi="Arial Narrow" w:cs="Arial"/>
                <w:snapToGrid w:val="0"/>
                <w:sz w:val="20"/>
                <w:szCs w:val="20"/>
              </w:rPr>
              <w:t xml:space="preserve">it </w:t>
            </w:r>
            <w:r w:rsidR="00725DFA" w:rsidRPr="007A2258">
              <w:rPr>
                <w:rFonts w:ascii="Arial Narrow" w:eastAsia="Times New Roman" w:hAnsi="Arial Narrow" w:cs="Arial"/>
                <w:snapToGrid w:val="0"/>
                <w:sz w:val="20"/>
                <w:szCs w:val="20"/>
              </w:rPr>
              <w:t>assumed that there wa</w:t>
            </w:r>
            <w:r w:rsidRPr="007A2258">
              <w:rPr>
                <w:rFonts w:ascii="Arial Narrow" w:eastAsia="Times New Roman" w:hAnsi="Arial Narrow" w:cs="Arial"/>
                <w:snapToGrid w:val="0"/>
                <w:sz w:val="20"/>
                <w:szCs w:val="20"/>
              </w:rPr>
              <w:t>s a small group of extremely risky individuals interacting with each other. No evidence was provided to support the distributions used for the individual risk distribution (gamma) and individual risk variation (uniform).</w:t>
            </w:r>
          </w:p>
          <w:p w:rsidR="00D25F99" w:rsidRPr="007A2258" w:rsidRDefault="00D25F99" w:rsidP="00D25F99">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The inhibition factor (which allows for changes in risky behaviour) was applied as a multiplier to the efficacy estimate. This does not link that multiplier to behaviour.</w:t>
            </w:r>
          </w:p>
          <w:p w:rsidR="00D25F99" w:rsidRPr="007A2258" w:rsidRDefault="00D25F99" w:rsidP="00D25F99">
            <w:pPr>
              <w:widowControl w:val="0"/>
              <w:spacing w:before="0" w:after="0"/>
              <w:rPr>
                <w:rFonts w:ascii="Arial Narrow" w:eastAsia="Times New Roman" w:hAnsi="Arial Narrow" w:cs="Arial"/>
                <w:snapToGrid w:val="0"/>
                <w:sz w:val="20"/>
                <w:szCs w:val="20"/>
              </w:rPr>
            </w:pPr>
          </w:p>
          <w:p w:rsidR="00D25F99" w:rsidRPr="007A2258" w:rsidRDefault="00D25F99" w:rsidP="00725DFA">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The resubmission included the exogenous introduction of HIV</w:t>
            </w:r>
            <w:r w:rsidR="00725DFA" w:rsidRPr="007A2258">
              <w:rPr>
                <w:rFonts w:ascii="Arial Narrow" w:eastAsia="Times New Roman" w:hAnsi="Arial Narrow" w:cs="Arial"/>
                <w:snapToGrid w:val="0"/>
                <w:sz w:val="20"/>
                <w:szCs w:val="20"/>
              </w:rPr>
              <w:t>-</w:t>
            </w:r>
            <w:r w:rsidRPr="007A2258">
              <w:rPr>
                <w:rFonts w:ascii="Arial Narrow" w:eastAsia="Times New Roman" w:hAnsi="Arial Narrow" w:cs="Arial"/>
                <w:snapToGrid w:val="0"/>
                <w:sz w:val="20"/>
                <w:szCs w:val="20"/>
              </w:rPr>
              <w:t>infected individuals into the model and transmission was no longer rapidly exhausted.</w:t>
            </w:r>
          </w:p>
        </w:tc>
      </w:tr>
      <w:tr w:rsidR="00D25F99" w:rsidRPr="007A2258" w:rsidTr="00920F57">
        <w:trPr>
          <w:trHeight w:val="20"/>
        </w:trPr>
        <w:tc>
          <w:tcPr>
            <w:tcW w:w="2591" w:type="pct"/>
            <w:shd w:val="clear" w:color="auto" w:fill="auto"/>
          </w:tcPr>
          <w:p w:rsidR="00D25F99" w:rsidRPr="007A2258" w:rsidRDefault="00D25F99" w:rsidP="00D25F99">
            <w:pPr>
              <w:widowControl w:val="0"/>
              <w:spacing w:before="0" w:after="0"/>
              <w:contextualSpacing/>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The issues with the Model 2:</w:t>
            </w:r>
          </w:p>
          <w:p w:rsidR="00D25F99" w:rsidRPr="007A2258" w:rsidRDefault="00D25F99" w:rsidP="00242A73">
            <w:pPr>
              <w:widowControl w:val="0"/>
              <w:spacing w:before="0" w:after="0"/>
              <w:contextualSpacing/>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“The PBAC noted the agent based model developed by researchers at the Kirby Institute, in which individual interactions are represented over time. The PBAC noted that the results of this model suggest the price of Truvada has a strong influence on cost-effectiveness of PrEP, with the current PBS list price of Truvada only likely to be cost-effective for PrEP when used in men in a regular partnership with an HIV-discordant man.” [paragraph 7.7, 2016 </w:t>
            </w:r>
            <w:r w:rsidR="00242A73">
              <w:rPr>
                <w:rFonts w:ascii="Arial Narrow" w:eastAsia="Times New Roman" w:hAnsi="Arial Narrow" w:cs="Arial"/>
                <w:snapToGrid w:val="0"/>
                <w:sz w:val="20"/>
                <w:szCs w:val="20"/>
              </w:rPr>
              <w:t>PSD</w:t>
            </w:r>
            <w:r w:rsidRPr="007A2258">
              <w:rPr>
                <w:rFonts w:ascii="Arial Narrow" w:eastAsia="Times New Roman" w:hAnsi="Arial Narrow" w:cs="Arial"/>
                <w:snapToGrid w:val="0"/>
                <w:sz w:val="20"/>
                <w:szCs w:val="20"/>
              </w:rPr>
              <w:t>]</w:t>
            </w:r>
          </w:p>
        </w:tc>
        <w:tc>
          <w:tcPr>
            <w:tcW w:w="2409" w:type="pct"/>
            <w:shd w:val="clear" w:color="auto" w:fill="auto"/>
          </w:tcPr>
          <w:p w:rsidR="00D25F99" w:rsidRPr="007A2258" w:rsidRDefault="00D25F99" w:rsidP="00D25F99">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The resubmission maintained the same price (on an ex-manufacturer basis) as the July 2016 submission. Results of sensitivity analyses showed that the ICER was sensitive to the price of TDF/FTC.</w:t>
            </w:r>
          </w:p>
          <w:p w:rsidR="000431A1" w:rsidRPr="007A2258" w:rsidRDefault="000431A1" w:rsidP="00FF47DE">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The AFAO</w:t>
            </w:r>
            <w:r w:rsidR="00E62952" w:rsidRPr="007A2258">
              <w:rPr>
                <w:rFonts w:ascii="Arial Narrow" w:eastAsia="Times New Roman" w:hAnsi="Arial Narrow" w:cs="Arial"/>
                <w:snapToGrid w:val="0"/>
                <w:sz w:val="20"/>
                <w:szCs w:val="20"/>
              </w:rPr>
              <w:t>/Kirby</w:t>
            </w:r>
            <w:r w:rsidRPr="007A2258">
              <w:rPr>
                <w:rFonts w:ascii="Arial Narrow" w:eastAsia="Times New Roman" w:hAnsi="Arial Narrow" w:cs="Arial"/>
                <w:snapToGrid w:val="0"/>
                <w:sz w:val="20"/>
                <w:szCs w:val="20"/>
              </w:rPr>
              <w:t xml:space="preserve"> report </w:t>
            </w:r>
            <w:r w:rsidR="005C28F5" w:rsidRPr="007A2258">
              <w:rPr>
                <w:rFonts w:ascii="Arial Narrow" w:eastAsia="Times New Roman" w:hAnsi="Arial Narrow" w:cs="Arial"/>
                <w:snapToGrid w:val="0"/>
                <w:sz w:val="20"/>
                <w:szCs w:val="20"/>
              </w:rPr>
              <w:t xml:space="preserve">included as a reference to the resubmission </w:t>
            </w:r>
            <w:r w:rsidRPr="007A2258">
              <w:rPr>
                <w:rFonts w:ascii="Arial Narrow" w:eastAsia="Times New Roman" w:hAnsi="Arial Narrow" w:cs="Arial"/>
                <w:snapToGrid w:val="0"/>
                <w:sz w:val="20"/>
                <w:szCs w:val="20"/>
              </w:rPr>
              <w:t xml:space="preserve">estimated </w:t>
            </w:r>
            <w:r w:rsidR="005C28F5" w:rsidRPr="007A2258">
              <w:rPr>
                <w:rFonts w:ascii="Arial Narrow" w:eastAsia="Times New Roman" w:hAnsi="Arial Narrow" w:cs="Arial"/>
                <w:snapToGrid w:val="0"/>
                <w:sz w:val="20"/>
                <w:szCs w:val="20"/>
              </w:rPr>
              <w:t xml:space="preserve">the </w:t>
            </w:r>
            <w:r w:rsidRPr="007A2258">
              <w:rPr>
                <w:rFonts w:ascii="Arial Narrow" w:eastAsia="Times New Roman" w:hAnsi="Arial Narrow" w:cs="Arial"/>
                <w:snapToGrid w:val="0"/>
                <w:sz w:val="20"/>
                <w:szCs w:val="20"/>
              </w:rPr>
              <w:t>annual TDF/FTC costs to achieve a</w:t>
            </w:r>
            <w:r w:rsidR="002A4CD8" w:rsidRPr="007A2258">
              <w:rPr>
                <w:rFonts w:ascii="Arial Narrow" w:eastAsia="Times New Roman" w:hAnsi="Arial Narrow" w:cs="Arial"/>
                <w:snapToGrid w:val="0"/>
                <w:sz w:val="20"/>
                <w:szCs w:val="20"/>
              </w:rPr>
              <w:t>n ICER at the</w:t>
            </w:r>
            <w:r w:rsidRPr="007A2258">
              <w:rPr>
                <w:rFonts w:ascii="Arial Narrow" w:eastAsia="Times New Roman" w:hAnsi="Arial Narrow" w:cs="Arial"/>
                <w:snapToGrid w:val="0"/>
                <w:sz w:val="20"/>
                <w:szCs w:val="20"/>
              </w:rPr>
              <w:t xml:space="preserve"> willingness to pay thresholds </w:t>
            </w:r>
            <w:r w:rsidR="002A4CD8" w:rsidRPr="007A2258">
              <w:rPr>
                <w:rFonts w:ascii="Arial Narrow" w:eastAsia="Times New Roman" w:hAnsi="Arial Narrow" w:cs="Arial"/>
                <w:snapToGrid w:val="0"/>
                <w:sz w:val="20"/>
                <w:szCs w:val="20"/>
              </w:rPr>
              <w:t>of</w:t>
            </w:r>
            <w:r w:rsidRPr="007A2258">
              <w:rPr>
                <w:rFonts w:ascii="Arial Narrow" w:eastAsia="Times New Roman" w:hAnsi="Arial Narrow" w:cs="Arial"/>
                <w:snapToGrid w:val="0"/>
                <w:sz w:val="20"/>
                <w:szCs w:val="20"/>
              </w:rPr>
              <w:t xml:space="preserve"> $30K</w:t>
            </w:r>
            <w:r w:rsidR="00CA0BB3" w:rsidRPr="007A2258">
              <w:rPr>
                <w:rFonts w:ascii="Arial Narrow" w:eastAsia="Times New Roman" w:hAnsi="Arial Narrow" w:cs="Arial"/>
                <w:snapToGrid w:val="0"/>
                <w:sz w:val="20"/>
                <w:szCs w:val="20"/>
              </w:rPr>
              <w:t>, $60K and $90K</w:t>
            </w:r>
            <w:r w:rsidRPr="007A2258">
              <w:rPr>
                <w:rFonts w:ascii="Arial Narrow" w:eastAsia="Times New Roman" w:hAnsi="Arial Narrow" w:cs="Arial"/>
                <w:snapToGrid w:val="0"/>
                <w:sz w:val="20"/>
                <w:szCs w:val="20"/>
              </w:rPr>
              <w:t xml:space="preserve"> per QALY. </w:t>
            </w:r>
            <w:r w:rsidR="00CA0BB3" w:rsidRPr="007A2258">
              <w:rPr>
                <w:rFonts w:ascii="Arial Narrow" w:eastAsia="Times New Roman" w:hAnsi="Arial Narrow" w:cs="Arial"/>
                <w:snapToGrid w:val="0"/>
                <w:sz w:val="20"/>
                <w:szCs w:val="20"/>
              </w:rPr>
              <w:t>U</w:t>
            </w:r>
            <w:r w:rsidRPr="007A2258">
              <w:rPr>
                <w:rFonts w:ascii="Arial Narrow" w:eastAsia="Times New Roman" w:hAnsi="Arial Narrow" w:cs="Arial"/>
                <w:snapToGrid w:val="0"/>
                <w:sz w:val="20"/>
                <w:szCs w:val="20"/>
              </w:rPr>
              <w:t xml:space="preserve">ptake rates </w:t>
            </w:r>
            <w:r w:rsidR="00CA0BB3" w:rsidRPr="007A2258">
              <w:rPr>
                <w:rFonts w:ascii="Arial Narrow" w:eastAsia="Times New Roman" w:hAnsi="Arial Narrow" w:cs="Arial"/>
                <w:snapToGrid w:val="0"/>
                <w:sz w:val="20"/>
                <w:szCs w:val="20"/>
              </w:rPr>
              <w:t xml:space="preserve">varied </w:t>
            </w:r>
            <w:r w:rsidRPr="007A2258">
              <w:rPr>
                <w:rFonts w:ascii="Arial Narrow" w:eastAsia="Times New Roman" w:hAnsi="Arial Narrow" w:cs="Arial"/>
                <w:snapToGrid w:val="0"/>
                <w:sz w:val="20"/>
                <w:szCs w:val="20"/>
              </w:rPr>
              <w:t xml:space="preserve">across the risk groups </w:t>
            </w:r>
            <w:r w:rsidR="003D23CB" w:rsidRPr="007A2258">
              <w:rPr>
                <w:rFonts w:ascii="Arial Narrow" w:eastAsia="Times New Roman" w:hAnsi="Arial Narrow" w:cs="Arial"/>
                <w:snapToGrid w:val="0"/>
                <w:sz w:val="20"/>
                <w:szCs w:val="20"/>
              </w:rPr>
              <w:t>(high risk-medium risk-low risk)</w:t>
            </w:r>
            <w:r w:rsidR="00CA0BB3" w:rsidRPr="007A2258">
              <w:rPr>
                <w:rFonts w:ascii="Arial Narrow" w:eastAsia="Times New Roman" w:hAnsi="Arial Narrow" w:cs="Arial"/>
                <w:snapToGrid w:val="0"/>
                <w:sz w:val="20"/>
                <w:szCs w:val="20"/>
              </w:rPr>
              <w:t xml:space="preserve"> and the scenarios</w:t>
            </w:r>
            <w:r w:rsidR="003D23CB" w:rsidRPr="007A2258">
              <w:rPr>
                <w:rFonts w:ascii="Arial Narrow" w:eastAsia="Times New Roman" w:hAnsi="Arial Narrow" w:cs="Arial"/>
                <w:snapToGrid w:val="0"/>
                <w:sz w:val="20"/>
                <w:szCs w:val="20"/>
              </w:rPr>
              <w:t xml:space="preserve"> </w:t>
            </w:r>
            <w:r w:rsidRPr="007A2258">
              <w:rPr>
                <w:rFonts w:ascii="Arial Narrow" w:eastAsia="Times New Roman" w:hAnsi="Arial Narrow" w:cs="Arial"/>
                <w:snapToGrid w:val="0"/>
                <w:sz w:val="20"/>
                <w:szCs w:val="20"/>
              </w:rPr>
              <w:t>presented in the AFAO</w:t>
            </w:r>
            <w:r w:rsidR="00E62952" w:rsidRPr="007A2258">
              <w:rPr>
                <w:rFonts w:ascii="Arial Narrow" w:eastAsia="Times New Roman" w:hAnsi="Arial Narrow" w:cs="Arial"/>
                <w:snapToGrid w:val="0"/>
                <w:sz w:val="20"/>
                <w:szCs w:val="20"/>
              </w:rPr>
              <w:t>/Kirby</w:t>
            </w:r>
            <w:r w:rsidRPr="007A2258">
              <w:rPr>
                <w:rFonts w:ascii="Arial Narrow" w:eastAsia="Times New Roman" w:hAnsi="Arial Narrow" w:cs="Arial"/>
                <w:snapToGrid w:val="0"/>
                <w:sz w:val="20"/>
                <w:szCs w:val="20"/>
              </w:rPr>
              <w:t xml:space="preserve"> report that are most similar to the resubmission</w:t>
            </w:r>
            <w:r w:rsidR="00CA0BB3" w:rsidRPr="007A2258">
              <w:rPr>
                <w:rFonts w:ascii="Arial Narrow" w:eastAsia="Times New Roman" w:hAnsi="Arial Narrow" w:cs="Arial"/>
                <w:snapToGrid w:val="0"/>
                <w:sz w:val="20"/>
                <w:szCs w:val="20"/>
              </w:rPr>
              <w:t xml:space="preserve"> are </w:t>
            </w:r>
            <w:r w:rsidR="00FF47DE" w:rsidRPr="007A2258">
              <w:rPr>
                <w:rFonts w:ascii="Arial Narrow" w:eastAsia="Times New Roman" w:hAnsi="Arial Narrow" w:cs="Arial"/>
                <w:snapToGrid w:val="0"/>
                <w:sz w:val="20"/>
                <w:szCs w:val="20"/>
              </w:rPr>
              <w:t>S</w:t>
            </w:r>
            <w:r w:rsidRPr="007A2258">
              <w:rPr>
                <w:rFonts w:ascii="Arial Narrow" w:eastAsia="Times New Roman" w:hAnsi="Arial Narrow" w:cs="Arial"/>
                <w:snapToGrid w:val="0"/>
                <w:sz w:val="20"/>
                <w:szCs w:val="20"/>
              </w:rPr>
              <w:t xml:space="preserve">cenarios 90-60-30 </w:t>
            </w:r>
            <w:r w:rsidR="009E6738" w:rsidRPr="007A2258">
              <w:rPr>
                <w:rFonts w:ascii="Arial Narrow" w:eastAsia="Times New Roman" w:hAnsi="Arial Narrow" w:cs="Arial"/>
                <w:snapToGrid w:val="0"/>
                <w:sz w:val="20"/>
                <w:szCs w:val="20"/>
              </w:rPr>
              <w:t>(</w:t>
            </w:r>
            <w:r w:rsidR="003047D5" w:rsidRPr="007A2258">
              <w:rPr>
                <w:rFonts w:ascii="Arial Narrow" w:eastAsia="Times New Roman" w:hAnsi="Arial Narrow" w:cs="Arial"/>
                <w:snapToGrid w:val="0"/>
                <w:sz w:val="20"/>
                <w:szCs w:val="20"/>
              </w:rPr>
              <w:t xml:space="preserve">estimated </w:t>
            </w:r>
            <w:r w:rsidR="009E6738" w:rsidRPr="007A2258">
              <w:rPr>
                <w:rFonts w:ascii="Arial Narrow" w:eastAsia="Times New Roman" w:hAnsi="Arial Narrow" w:cs="Arial"/>
                <w:snapToGrid w:val="0"/>
                <w:sz w:val="20"/>
                <w:szCs w:val="20"/>
              </w:rPr>
              <w:t>overall uptake</w:t>
            </w:r>
            <w:r w:rsidR="008D47BA" w:rsidRPr="007A2258">
              <w:rPr>
                <w:rFonts w:ascii="Arial Narrow" w:eastAsia="Times New Roman" w:hAnsi="Arial Narrow" w:cs="Arial"/>
                <w:snapToGrid w:val="0"/>
                <w:sz w:val="20"/>
                <w:szCs w:val="20"/>
              </w:rPr>
              <w:t xml:space="preserve"> rate</w:t>
            </w:r>
            <w:r w:rsidR="009E6738" w:rsidRPr="007A2258">
              <w:rPr>
                <w:rFonts w:ascii="Arial Narrow" w:eastAsia="Times New Roman" w:hAnsi="Arial Narrow" w:cs="Arial"/>
                <w:snapToGrid w:val="0"/>
                <w:sz w:val="20"/>
                <w:szCs w:val="20"/>
              </w:rPr>
              <w:t xml:space="preserve"> 48</w:t>
            </w:r>
            <w:r w:rsidR="008D47BA" w:rsidRPr="007A2258">
              <w:rPr>
                <w:rFonts w:ascii="Arial Narrow" w:eastAsia="Times New Roman" w:hAnsi="Arial Narrow" w:cs="Arial"/>
                <w:snapToGrid w:val="0"/>
                <w:sz w:val="20"/>
                <w:szCs w:val="20"/>
              </w:rPr>
              <w:t>.1</w:t>
            </w:r>
            <w:r w:rsidR="009E6738" w:rsidRPr="007A2258">
              <w:rPr>
                <w:rFonts w:ascii="Arial Narrow" w:eastAsia="Times New Roman" w:hAnsi="Arial Narrow" w:cs="Arial"/>
                <w:snapToGrid w:val="0"/>
                <w:sz w:val="20"/>
                <w:szCs w:val="20"/>
              </w:rPr>
              <w:t xml:space="preserve">%) </w:t>
            </w:r>
            <w:r w:rsidR="008D47BA" w:rsidRPr="007A2258">
              <w:rPr>
                <w:rFonts w:ascii="Arial Narrow" w:eastAsia="Times New Roman" w:hAnsi="Arial Narrow" w:cs="Arial"/>
                <w:snapToGrid w:val="0"/>
                <w:sz w:val="20"/>
                <w:szCs w:val="20"/>
              </w:rPr>
              <w:t>and Scenario 90-60-0 (</w:t>
            </w:r>
            <w:r w:rsidR="003047D5" w:rsidRPr="007A2258">
              <w:rPr>
                <w:rFonts w:ascii="Arial Narrow" w:eastAsia="Times New Roman" w:hAnsi="Arial Narrow" w:cs="Arial"/>
                <w:snapToGrid w:val="0"/>
                <w:sz w:val="20"/>
                <w:szCs w:val="20"/>
              </w:rPr>
              <w:t xml:space="preserve">estimated </w:t>
            </w:r>
            <w:r w:rsidR="008D47BA" w:rsidRPr="007A2258">
              <w:rPr>
                <w:rFonts w:ascii="Arial Narrow" w:eastAsia="Times New Roman" w:hAnsi="Arial Narrow" w:cs="Arial"/>
                <w:snapToGrid w:val="0"/>
                <w:sz w:val="20"/>
                <w:szCs w:val="20"/>
              </w:rPr>
              <w:t>overall uptake rate 28.2%)</w:t>
            </w:r>
            <w:r w:rsidRPr="007A2258">
              <w:rPr>
                <w:rFonts w:ascii="Arial Narrow" w:eastAsia="Times New Roman" w:hAnsi="Arial Narrow" w:cs="Arial"/>
                <w:snapToGrid w:val="0"/>
                <w:sz w:val="20"/>
                <w:szCs w:val="20"/>
              </w:rPr>
              <w:t xml:space="preserve">. According to these scenarios the annual cost per TDF/FTC unit would </w:t>
            </w:r>
            <w:r w:rsidR="003024B2" w:rsidRPr="007A2258">
              <w:rPr>
                <w:rFonts w:ascii="Arial Narrow" w:eastAsia="Times New Roman" w:hAnsi="Arial Narrow" w:cs="Arial"/>
                <w:snapToGrid w:val="0"/>
                <w:sz w:val="20"/>
                <w:szCs w:val="20"/>
              </w:rPr>
              <w:t xml:space="preserve">need to be </w:t>
            </w:r>
            <w:r w:rsidRPr="007A2258">
              <w:rPr>
                <w:rFonts w:ascii="Arial Narrow" w:eastAsia="Times New Roman" w:hAnsi="Arial Narrow" w:cs="Arial"/>
                <w:snapToGrid w:val="0"/>
                <w:sz w:val="20"/>
                <w:szCs w:val="20"/>
              </w:rPr>
              <w:t>$</w:t>
            </w:r>
            <w:r w:rsidR="00BD15F5" w:rsidRPr="007A2258">
              <w:rPr>
                <w:rFonts w:ascii="Arial Narrow" w:eastAsia="Times New Roman" w:hAnsi="Arial Narrow" w:cs="Arial"/>
                <w:snapToGrid w:val="0"/>
                <w:sz w:val="20"/>
                <w:szCs w:val="20"/>
              </w:rPr>
              <w:t>2,150</w:t>
            </w:r>
            <w:r w:rsidRPr="007A2258">
              <w:rPr>
                <w:rFonts w:ascii="Arial Narrow" w:eastAsia="Times New Roman" w:hAnsi="Arial Narrow" w:cs="Arial"/>
                <w:snapToGrid w:val="0"/>
                <w:sz w:val="20"/>
                <w:szCs w:val="20"/>
              </w:rPr>
              <w:t xml:space="preserve"> </w:t>
            </w:r>
            <w:r w:rsidR="00CA0BB3" w:rsidRPr="007A2258">
              <w:rPr>
                <w:rFonts w:ascii="Arial Narrow" w:eastAsia="Times New Roman" w:hAnsi="Arial Narrow" w:cs="Arial"/>
                <w:snapToGrid w:val="0"/>
                <w:sz w:val="20"/>
                <w:szCs w:val="20"/>
              </w:rPr>
              <w:t>and $</w:t>
            </w:r>
            <w:r w:rsidR="00BD15F5" w:rsidRPr="007A2258">
              <w:rPr>
                <w:rFonts w:ascii="Arial Narrow" w:eastAsia="Times New Roman" w:hAnsi="Arial Narrow" w:cs="Arial"/>
                <w:snapToGrid w:val="0"/>
                <w:sz w:val="20"/>
                <w:szCs w:val="20"/>
              </w:rPr>
              <w:t>3,730</w:t>
            </w:r>
            <w:r w:rsidR="00CA0BB3" w:rsidRPr="007A2258">
              <w:rPr>
                <w:rFonts w:ascii="Arial Narrow" w:eastAsia="Times New Roman" w:hAnsi="Arial Narrow" w:cs="Arial"/>
                <w:snapToGrid w:val="0"/>
                <w:sz w:val="20"/>
                <w:szCs w:val="20"/>
              </w:rPr>
              <w:t>, respectively</w:t>
            </w:r>
            <w:r w:rsidR="009044FE" w:rsidRPr="007A2258">
              <w:rPr>
                <w:rFonts w:ascii="Arial Narrow" w:eastAsia="Times New Roman" w:hAnsi="Arial Narrow" w:cs="Arial"/>
                <w:snapToGrid w:val="0"/>
                <w:sz w:val="20"/>
                <w:szCs w:val="20"/>
              </w:rPr>
              <w:t xml:space="preserve"> </w:t>
            </w:r>
            <w:r w:rsidR="003D23CB" w:rsidRPr="007A2258">
              <w:rPr>
                <w:rFonts w:ascii="Arial Narrow" w:eastAsia="Times New Roman" w:hAnsi="Arial Narrow" w:cs="Arial"/>
                <w:snapToGrid w:val="0"/>
                <w:sz w:val="20"/>
                <w:szCs w:val="20"/>
              </w:rPr>
              <w:t>in order to achieve an ICER of $30,000 per QALY</w:t>
            </w:r>
            <w:r w:rsidR="003024B2" w:rsidRPr="007A2258">
              <w:rPr>
                <w:rFonts w:ascii="Arial Narrow" w:eastAsia="Times New Roman" w:hAnsi="Arial Narrow" w:cs="Arial"/>
                <w:snapToGrid w:val="0"/>
                <w:sz w:val="20"/>
                <w:szCs w:val="20"/>
              </w:rPr>
              <w:t>.</w:t>
            </w:r>
            <w:r w:rsidR="00CA0BB3" w:rsidRPr="007A2258">
              <w:rPr>
                <w:rFonts w:ascii="Arial Narrow" w:eastAsia="Times New Roman" w:hAnsi="Arial Narrow" w:cs="Arial"/>
                <w:snapToGrid w:val="0"/>
                <w:sz w:val="20"/>
                <w:szCs w:val="20"/>
              </w:rPr>
              <w:t xml:space="preserve"> The ESC noted the former included the use </w:t>
            </w:r>
            <w:r w:rsidR="004624B4" w:rsidRPr="007A2258">
              <w:rPr>
                <w:rFonts w:ascii="Arial Narrow" w:eastAsia="Times New Roman" w:hAnsi="Arial Narrow" w:cs="Arial"/>
                <w:snapToGrid w:val="0"/>
                <w:sz w:val="20"/>
                <w:szCs w:val="20"/>
              </w:rPr>
              <w:t xml:space="preserve">of TDF/FTC as PrEP </w:t>
            </w:r>
            <w:r w:rsidR="00CA0BB3" w:rsidRPr="007A2258">
              <w:rPr>
                <w:rFonts w:ascii="Arial Narrow" w:eastAsia="Times New Roman" w:hAnsi="Arial Narrow" w:cs="Arial"/>
                <w:snapToGrid w:val="0"/>
                <w:sz w:val="20"/>
                <w:szCs w:val="20"/>
              </w:rPr>
              <w:t>in individuals at low risk.</w:t>
            </w:r>
          </w:p>
        </w:tc>
      </w:tr>
      <w:tr w:rsidR="00D25F99" w:rsidRPr="007A2258" w:rsidTr="00920F57">
        <w:trPr>
          <w:trHeight w:val="20"/>
        </w:trPr>
        <w:tc>
          <w:tcPr>
            <w:tcW w:w="2591" w:type="pct"/>
            <w:shd w:val="clear" w:color="auto" w:fill="auto"/>
          </w:tcPr>
          <w:p w:rsidR="00D25F99" w:rsidRPr="007A2258" w:rsidRDefault="00D25F99" w:rsidP="00D25F99">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The issues with the Model 2:</w:t>
            </w:r>
          </w:p>
          <w:p w:rsidR="00D25F99" w:rsidRPr="007A2258" w:rsidRDefault="00D25F99" w:rsidP="00242A73">
            <w:pPr>
              <w:widowControl w:val="0"/>
              <w:spacing w:before="0" w:after="0"/>
              <w:contextualSpacing/>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“The ICER was sensitive to a range of input parameters including treatment adherence, the risk level at which individuals discontinue treatment, the distribution of risk across the population and the model time horizon.” [paragraph 7.7, 2016 </w:t>
            </w:r>
            <w:r w:rsidR="00242A73">
              <w:rPr>
                <w:rFonts w:ascii="Arial Narrow" w:eastAsia="Times New Roman" w:hAnsi="Arial Narrow" w:cs="Arial"/>
                <w:snapToGrid w:val="0"/>
                <w:sz w:val="20"/>
                <w:szCs w:val="20"/>
              </w:rPr>
              <w:t>PSD</w:t>
            </w:r>
            <w:r w:rsidRPr="007A2258">
              <w:rPr>
                <w:rFonts w:ascii="Arial Narrow" w:eastAsia="Times New Roman" w:hAnsi="Arial Narrow" w:cs="Arial"/>
                <w:snapToGrid w:val="0"/>
                <w:sz w:val="20"/>
                <w:szCs w:val="20"/>
              </w:rPr>
              <w:t>]</w:t>
            </w:r>
          </w:p>
        </w:tc>
        <w:tc>
          <w:tcPr>
            <w:tcW w:w="2409" w:type="pct"/>
            <w:shd w:val="clear" w:color="auto" w:fill="auto"/>
          </w:tcPr>
          <w:p w:rsidR="00D25F99" w:rsidRPr="007A2258" w:rsidRDefault="00D25F99" w:rsidP="00D25F99">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The resubmission removed the 2% annual risk continuation threshold at which participants discontinue PrEP. Treatment adherence was removed as </w:t>
            </w:r>
            <w:r w:rsidR="00810810" w:rsidRPr="007A2258">
              <w:rPr>
                <w:rFonts w:ascii="Arial Narrow" w:eastAsia="Times New Roman" w:hAnsi="Arial Narrow" w:cs="Arial"/>
                <w:snapToGrid w:val="0"/>
                <w:sz w:val="20"/>
                <w:szCs w:val="20"/>
              </w:rPr>
              <w:t xml:space="preserve">an </w:t>
            </w:r>
            <w:r w:rsidRPr="007A2258">
              <w:rPr>
                <w:rFonts w:ascii="Arial Narrow" w:eastAsia="Times New Roman" w:hAnsi="Arial Narrow" w:cs="Arial"/>
                <w:snapToGrid w:val="0"/>
                <w:sz w:val="20"/>
                <w:szCs w:val="20"/>
              </w:rPr>
              <w:t>input parameter affecting efficacy in the model. No new data were presented regarding longer-term PrEP</w:t>
            </w:r>
            <w:r w:rsidR="00725DFA" w:rsidRPr="007A2258">
              <w:rPr>
                <w:rFonts w:ascii="Arial Narrow" w:eastAsia="Times New Roman" w:hAnsi="Arial Narrow" w:cs="Arial"/>
                <w:snapToGrid w:val="0"/>
                <w:sz w:val="20"/>
                <w:szCs w:val="20"/>
              </w:rPr>
              <w:t xml:space="preserve"> use</w:t>
            </w:r>
            <w:r w:rsidRPr="007A2258">
              <w:rPr>
                <w:rFonts w:ascii="Arial Narrow" w:eastAsia="Times New Roman" w:hAnsi="Arial Narrow" w:cs="Arial"/>
                <w:snapToGrid w:val="0"/>
                <w:sz w:val="20"/>
                <w:szCs w:val="20"/>
              </w:rPr>
              <w:t>; the results of sensitivity analyses using different time horizons were presented.</w:t>
            </w:r>
          </w:p>
        </w:tc>
      </w:tr>
      <w:tr w:rsidR="00D25F99" w:rsidRPr="007A2258" w:rsidTr="00920F57">
        <w:trPr>
          <w:trHeight w:val="20"/>
        </w:trPr>
        <w:tc>
          <w:tcPr>
            <w:tcW w:w="2591" w:type="pct"/>
            <w:shd w:val="clear" w:color="auto" w:fill="auto"/>
          </w:tcPr>
          <w:p w:rsidR="00D25F99" w:rsidRPr="007A2258" w:rsidRDefault="00D25F99" w:rsidP="00D25F99">
            <w:pPr>
              <w:widowControl w:val="0"/>
              <w:tabs>
                <w:tab w:val="left" w:pos="1532"/>
              </w:tabs>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Financial implications </w:t>
            </w:r>
          </w:p>
        </w:tc>
        <w:tc>
          <w:tcPr>
            <w:tcW w:w="2409" w:type="pct"/>
            <w:shd w:val="clear" w:color="auto" w:fill="auto"/>
          </w:tcPr>
          <w:p w:rsidR="00D25F99" w:rsidRPr="007A2258" w:rsidRDefault="00D25F99" w:rsidP="00D25F99">
            <w:pPr>
              <w:widowControl w:val="0"/>
              <w:spacing w:before="0" w:after="0"/>
              <w:rPr>
                <w:rFonts w:ascii="Arial Narrow" w:eastAsia="Times New Roman" w:hAnsi="Arial Narrow" w:cs="Arial"/>
                <w:snapToGrid w:val="0"/>
                <w:sz w:val="20"/>
                <w:szCs w:val="20"/>
              </w:rPr>
            </w:pPr>
          </w:p>
        </w:tc>
      </w:tr>
      <w:tr w:rsidR="00D25F99" w:rsidRPr="007A2258" w:rsidTr="00920F57">
        <w:trPr>
          <w:trHeight w:val="20"/>
        </w:trPr>
        <w:tc>
          <w:tcPr>
            <w:tcW w:w="2591" w:type="pct"/>
            <w:shd w:val="clear" w:color="auto" w:fill="auto"/>
          </w:tcPr>
          <w:p w:rsidR="00D25F99" w:rsidRPr="007A2258" w:rsidRDefault="00D25F99" w:rsidP="00242A73">
            <w:pPr>
              <w:widowControl w:val="0"/>
              <w:tabs>
                <w:tab w:val="left" w:pos="1532"/>
              </w:tabs>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“The size of the eligible patient population likely to seek access” [paragraph 7.9, July 2016 </w:t>
            </w:r>
            <w:r w:rsidR="00242A73">
              <w:rPr>
                <w:rFonts w:ascii="Arial Narrow" w:eastAsia="Times New Roman" w:hAnsi="Arial Narrow" w:cs="Arial"/>
                <w:snapToGrid w:val="0"/>
                <w:sz w:val="20"/>
                <w:szCs w:val="20"/>
              </w:rPr>
              <w:t>PSD</w:t>
            </w:r>
            <w:r w:rsidRPr="007A2258">
              <w:rPr>
                <w:rFonts w:ascii="Arial Narrow" w:eastAsia="Times New Roman" w:hAnsi="Arial Narrow" w:cs="Arial"/>
                <w:snapToGrid w:val="0"/>
                <w:sz w:val="20"/>
                <w:szCs w:val="20"/>
              </w:rPr>
              <w:t>]</w:t>
            </w:r>
          </w:p>
        </w:tc>
        <w:tc>
          <w:tcPr>
            <w:tcW w:w="2409" w:type="pct"/>
            <w:shd w:val="clear" w:color="auto" w:fill="auto"/>
          </w:tcPr>
          <w:p w:rsidR="00D25F99" w:rsidRPr="007A2258" w:rsidRDefault="00D25F99" w:rsidP="0065472D">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The resubmission continued to estimate the future use of PrEP from the dynamic transmission model. This was not a purely epidemiological approach and relie</w:t>
            </w:r>
            <w:r w:rsidR="00725DFA" w:rsidRPr="007A2258">
              <w:rPr>
                <w:rFonts w:ascii="Arial Narrow" w:eastAsia="Times New Roman" w:hAnsi="Arial Narrow" w:cs="Arial"/>
                <w:snapToGrid w:val="0"/>
                <w:sz w:val="20"/>
                <w:szCs w:val="20"/>
              </w:rPr>
              <w:t>d</w:t>
            </w:r>
            <w:r w:rsidRPr="007A2258">
              <w:rPr>
                <w:rFonts w:ascii="Arial Narrow" w:eastAsia="Times New Roman" w:hAnsi="Arial Narrow" w:cs="Arial"/>
                <w:snapToGrid w:val="0"/>
                <w:sz w:val="20"/>
                <w:szCs w:val="20"/>
              </w:rPr>
              <w:t xml:space="preserve"> on the validity of the assumptions underpinning that model. Subject numbers have increased in accordance with the broader population included in the proposed restriction. </w:t>
            </w:r>
          </w:p>
        </w:tc>
      </w:tr>
    </w:tbl>
    <w:p w:rsidR="003D23CB" w:rsidRPr="007A2258" w:rsidRDefault="00D25F99" w:rsidP="00D25F99">
      <w:pPr>
        <w:spacing w:before="0" w:after="120"/>
        <w:rPr>
          <w:rFonts w:ascii="Arial Narrow" w:eastAsia="Calibri" w:hAnsi="Arial Narrow" w:cs="Arial"/>
          <w:sz w:val="18"/>
          <w:szCs w:val="18"/>
        </w:rPr>
      </w:pPr>
      <w:r w:rsidRPr="007A2258">
        <w:rPr>
          <w:rFonts w:ascii="Arial Narrow" w:eastAsia="Calibri" w:hAnsi="Arial Narrow" w:cs="Arial"/>
          <w:sz w:val="18"/>
          <w:szCs w:val="18"/>
        </w:rPr>
        <w:t>Abbreviations: PrEP, pre-exposure prophylaxis</w:t>
      </w:r>
    </w:p>
    <w:p w:rsidR="007A2258" w:rsidRPr="007A2258" w:rsidRDefault="007A2258" w:rsidP="00D25F99">
      <w:pPr>
        <w:spacing w:before="0" w:after="120"/>
        <w:rPr>
          <w:rFonts w:ascii="Arial Narrow" w:eastAsia="Calibri" w:hAnsi="Arial Narrow" w:cs="Arial"/>
          <w:i/>
          <w:sz w:val="18"/>
          <w:szCs w:val="18"/>
        </w:rPr>
      </w:pPr>
      <w:r w:rsidRPr="007A2258">
        <w:rPr>
          <w:i/>
        </w:rPr>
        <w:t>For more detail on PBAC’s view, see section 7 “PBAC outcome”</w:t>
      </w:r>
    </w:p>
    <w:p w:rsidR="00806171" w:rsidRPr="007A2258" w:rsidRDefault="00806171" w:rsidP="007A2258">
      <w:pPr>
        <w:pStyle w:val="Heading1"/>
        <w:numPr>
          <w:ilvl w:val="0"/>
          <w:numId w:val="23"/>
        </w:numPr>
        <w:ind w:left="709" w:hanging="709"/>
      </w:pPr>
      <w:bookmarkStart w:id="6" w:name="_Toc480411350"/>
      <w:bookmarkStart w:id="7" w:name="_Toc482191212"/>
      <w:r w:rsidRPr="007A2258">
        <w:t>Population and disease</w:t>
      </w:r>
      <w:bookmarkEnd w:id="6"/>
      <w:bookmarkEnd w:id="7"/>
    </w:p>
    <w:p w:rsidR="00C317F3" w:rsidRPr="007A2258" w:rsidRDefault="00D25F99" w:rsidP="007A2258">
      <w:pPr>
        <w:pStyle w:val="ListParagraph"/>
        <w:numPr>
          <w:ilvl w:val="1"/>
          <w:numId w:val="23"/>
        </w:numPr>
        <w:spacing w:before="0" w:after="120"/>
        <w:jc w:val="both"/>
      </w:pPr>
      <w:r w:rsidRPr="007A2258">
        <w:t xml:space="preserve">Infection with HIV can result in an acute illness and chronic sequelae (including but not limited to acquired immunodeficiency syndrome [AIDS]). </w:t>
      </w:r>
      <w:r w:rsidR="00792740" w:rsidRPr="007A2258">
        <w:t xml:space="preserve">HIV is spread through infected blood, semen or vaginal fluids. </w:t>
      </w:r>
      <w:r w:rsidRPr="007A2258">
        <w:t xml:space="preserve">Treatment with antiretroviral therapies (ARV) is recommended for HIV-infected individuals to reduce morbidity and mortality (including AIDS related morbidity and mortality). Treatment with ARVs can impact </w:t>
      </w:r>
      <w:r w:rsidR="00810810" w:rsidRPr="007A2258">
        <w:t xml:space="preserve">on </w:t>
      </w:r>
      <w:r w:rsidRPr="007A2258">
        <w:t>quality of life and mortality.</w:t>
      </w:r>
    </w:p>
    <w:p w:rsidR="00E316C1" w:rsidRPr="007A2258" w:rsidRDefault="00D25F99" w:rsidP="007A2258">
      <w:pPr>
        <w:pStyle w:val="ListParagraph"/>
        <w:numPr>
          <w:ilvl w:val="1"/>
          <w:numId w:val="23"/>
        </w:numPr>
        <w:spacing w:before="0" w:after="120"/>
        <w:jc w:val="both"/>
      </w:pPr>
      <w:r w:rsidRPr="007A2258">
        <w:rPr>
          <w:rFonts w:ascii="Calibri" w:eastAsia="Calibri" w:hAnsi="Calibri" w:cs="Arial"/>
          <w:szCs w:val="24"/>
        </w:rPr>
        <w:t xml:space="preserve">The proposed place of TDF/FTC is in the prevention of HIV infection in individuals at medium to high risk. The resubmission proposed that the </w:t>
      </w:r>
      <w:r w:rsidRPr="007A2258">
        <w:rPr>
          <w:rFonts w:ascii="Calibri" w:eastAsia="Times New Roman" w:hAnsi="Calibri" w:cs="Arial"/>
          <w:snapToGrid w:val="0"/>
          <w:szCs w:val="24"/>
        </w:rPr>
        <w:t xml:space="preserve">medium-high risk group </w:t>
      </w:r>
      <w:r w:rsidR="00037626">
        <w:rPr>
          <w:rFonts w:ascii="Calibri" w:eastAsia="Times New Roman" w:hAnsi="Calibri" w:cs="Arial"/>
          <w:snapToGrid w:val="0"/>
          <w:szCs w:val="24"/>
        </w:rPr>
        <w:t>i</w:t>
      </w:r>
      <w:r w:rsidRPr="007A2258">
        <w:rPr>
          <w:rFonts w:ascii="Calibri" w:eastAsia="Times New Roman" w:hAnsi="Calibri" w:cs="Arial"/>
          <w:snapToGrid w:val="0"/>
          <w:szCs w:val="24"/>
        </w:rPr>
        <w:t>s defined by the updated ASHM guidelines (ASHM</w:t>
      </w:r>
      <w:r w:rsidR="002A4CD8" w:rsidRPr="007A2258">
        <w:rPr>
          <w:rFonts w:ascii="Calibri" w:eastAsia="Times New Roman" w:hAnsi="Calibri" w:cs="Arial"/>
          <w:snapToGrid w:val="0"/>
          <w:szCs w:val="24"/>
        </w:rPr>
        <w:t xml:space="preserve"> HIV PreExposure Prophylaxis:</w:t>
      </w:r>
      <w:r w:rsidRPr="007A2258">
        <w:rPr>
          <w:rFonts w:ascii="Calibri" w:eastAsia="Times New Roman" w:hAnsi="Calibri" w:cs="Arial"/>
          <w:snapToGrid w:val="0"/>
          <w:szCs w:val="24"/>
        </w:rPr>
        <w:t xml:space="preserve"> Clinical </w:t>
      </w:r>
      <w:r w:rsidR="002A4CD8" w:rsidRPr="007A2258">
        <w:rPr>
          <w:rFonts w:ascii="Calibri" w:eastAsia="Times New Roman" w:hAnsi="Calibri" w:cs="Arial"/>
          <w:snapToGrid w:val="0"/>
          <w:szCs w:val="24"/>
        </w:rPr>
        <w:t>guidelines</w:t>
      </w:r>
      <w:r w:rsidR="00900FE6" w:rsidRPr="007A2258">
        <w:rPr>
          <w:rFonts w:ascii="Calibri" w:eastAsia="Times New Roman" w:hAnsi="Calibri" w:cs="Arial"/>
          <w:snapToGrid w:val="0"/>
          <w:szCs w:val="24"/>
        </w:rPr>
        <w:t>,</w:t>
      </w:r>
      <w:r w:rsidR="002A4CD8" w:rsidRPr="007A2258">
        <w:rPr>
          <w:rFonts w:ascii="Calibri" w:eastAsia="Times New Roman" w:hAnsi="Calibri" w:cs="Arial"/>
          <w:snapToGrid w:val="0"/>
          <w:szCs w:val="24"/>
        </w:rPr>
        <w:t xml:space="preserve"> </w:t>
      </w:r>
      <w:r w:rsidR="00C72094">
        <w:rPr>
          <w:rFonts w:ascii="Calibri" w:eastAsia="Times New Roman" w:hAnsi="Calibri" w:cs="Arial"/>
          <w:snapToGrid w:val="0"/>
          <w:szCs w:val="24"/>
        </w:rPr>
        <w:t>5 July</w:t>
      </w:r>
      <w:r w:rsidR="002A4CD8" w:rsidRPr="007A2258">
        <w:rPr>
          <w:rFonts w:ascii="Calibri" w:eastAsia="Times New Roman" w:hAnsi="Calibri" w:cs="Arial"/>
          <w:snapToGrid w:val="0"/>
          <w:szCs w:val="24"/>
        </w:rPr>
        <w:t xml:space="preserve"> 2017</w:t>
      </w:r>
      <w:r w:rsidRPr="007A2258">
        <w:rPr>
          <w:rFonts w:ascii="Calibri" w:eastAsia="Times New Roman" w:hAnsi="Calibri" w:cs="Arial"/>
          <w:snapToGrid w:val="0"/>
          <w:szCs w:val="24"/>
        </w:rPr>
        <w:t>). The risk criteria presented were based on sexual and or drug injecting activity</w:t>
      </w:r>
      <w:r w:rsidR="00E316C1" w:rsidRPr="007A2258">
        <w:rPr>
          <w:rFonts w:ascii="Calibri" w:eastAsia="Times New Roman" w:hAnsi="Calibri" w:cs="Arial"/>
          <w:snapToGrid w:val="0"/>
          <w:szCs w:val="24"/>
        </w:rPr>
        <w:t xml:space="preserve"> (based on behaviour, not identity)</w:t>
      </w:r>
      <w:r w:rsidRPr="007A2258">
        <w:rPr>
          <w:rFonts w:ascii="Calibri" w:eastAsia="Times New Roman" w:hAnsi="Calibri" w:cs="Arial"/>
          <w:snapToGrid w:val="0"/>
          <w:szCs w:val="24"/>
        </w:rPr>
        <w:t xml:space="preserve"> over the last 3 months, and likely activity in the next 3 months (indicating sustained risk). The criteria apply to men who have sex with men (MSM), trans and gender diverse people, heterosexual people and people who inject drugs (PWID). </w:t>
      </w:r>
      <w:r w:rsidR="001E2528" w:rsidRPr="007A2258">
        <w:rPr>
          <w:rFonts w:ascii="Calibri" w:eastAsia="Times New Roman" w:hAnsi="Calibri" w:cs="Arial"/>
          <w:snapToGrid w:val="0"/>
          <w:szCs w:val="24"/>
        </w:rPr>
        <w:t xml:space="preserve"> A summary of the risk criteria for</w:t>
      </w:r>
      <w:r w:rsidR="00A51544" w:rsidRPr="007A2258">
        <w:rPr>
          <w:rFonts w:ascii="Calibri" w:eastAsia="Times New Roman" w:hAnsi="Calibri" w:cs="Arial"/>
          <w:snapToGrid w:val="0"/>
          <w:szCs w:val="24"/>
        </w:rPr>
        <w:t xml:space="preserve"> </w:t>
      </w:r>
      <w:r w:rsidR="001E2528" w:rsidRPr="007A2258">
        <w:rPr>
          <w:rFonts w:ascii="Calibri" w:eastAsia="Times New Roman" w:hAnsi="Calibri" w:cs="Arial"/>
          <w:snapToGrid w:val="0"/>
          <w:szCs w:val="24"/>
        </w:rPr>
        <w:t xml:space="preserve">MSM to identify their eligibility for PrEP from the ASHM Guidelines is presented in </w:t>
      </w:r>
      <w:r w:rsidR="00A51544" w:rsidRPr="007A2258">
        <w:rPr>
          <w:rFonts w:ascii="Calibri" w:eastAsia="Times New Roman" w:hAnsi="Calibri" w:cs="Arial"/>
          <w:snapToGrid w:val="0"/>
          <w:szCs w:val="24"/>
        </w:rPr>
        <w:t>Table 4</w:t>
      </w:r>
      <w:r w:rsidR="001E2528" w:rsidRPr="007A2258">
        <w:rPr>
          <w:rFonts w:ascii="Calibri" w:eastAsia="Times New Roman" w:hAnsi="Calibri" w:cs="Arial"/>
          <w:snapToGrid w:val="0"/>
          <w:szCs w:val="24"/>
        </w:rPr>
        <w:t>.</w:t>
      </w:r>
    </w:p>
    <w:p w:rsidR="001F21B8" w:rsidRDefault="001F21B8">
      <w:pPr>
        <w:spacing w:before="0" w:line="259" w:lineRule="auto"/>
        <w:rPr>
          <w:rFonts w:ascii="Arial Narrow" w:hAnsi="Arial Narrow"/>
          <w:b/>
          <w:iCs/>
          <w:sz w:val="20"/>
          <w:szCs w:val="18"/>
        </w:rPr>
      </w:pPr>
      <w:r>
        <w:br w:type="page"/>
      </w:r>
    </w:p>
    <w:p w:rsidR="00904455" w:rsidRDefault="00904455" w:rsidP="00904455">
      <w:pPr>
        <w:pStyle w:val="Caption"/>
      </w:pPr>
      <w:r>
        <w:t xml:space="preserve">Table </w:t>
      </w:r>
      <w:r w:rsidR="004F50B1">
        <w:rPr>
          <w:noProof/>
        </w:rPr>
        <w:t>4</w:t>
      </w:r>
      <w:r>
        <w:t xml:space="preserve">: </w:t>
      </w:r>
      <w:r w:rsidRPr="00484F08">
        <w:t>Risk criteria for MSM to identify their eligibility for PrEP</w:t>
      </w:r>
    </w:p>
    <w:tbl>
      <w:tblPr>
        <w:tblStyle w:val="TableGrid"/>
        <w:tblW w:w="5000" w:type="pct"/>
        <w:tblLayout w:type="fixed"/>
        <w:tblLook w:val="04A0" w:firstRow="1" w:lastRow="0" w:firstColumn="1" w:lastColumn="0" w:noHBand="0" w:noVBand="1"/>
      </w:tblPr>
      <w:tblGrid>
        <w:gridCol w:w="5185"/>
        <w:gridCol w:w="645"/>
        <w:gridCol w:w="3412"/>
      </w:tblGrid>
      <w:tr w:rsidR="00E316C1" w:rsidRPr="007A2258" w:rsidTr="0063466A">
        <w:trPr>
          <w:cnfStyle w:val="100000000000" w:firstRow="1" w:lastRow="0" w:firstColumn="0" w:lastColumn="0" w:oddVBand="0" w:evenVBand="0" w:oddHBand="0" w:evenHBand="0" w:firstRowFirstColumn="0" w:firstRowLastColumn="0" w:lastRowFirstColumn="0" w:lastRowLastColumn="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E316C1" w:rsidRPr="007A2258" w:rsidRDefault="00E316C1" w:rsidP="00E316C1">
            <w:pPr>
              <w:spacing w:before="0"/>
              <w:rPr>
                <w:rFonts w:ascii="Arial Narrow" w:hAnsi="Arial Narrow"/>
                <w:b w:val="0"/>
                <w:sz w:val="20"/>
                <w:szCs w:val="20"/>
              </w:rPr>
            </w:pPr>
            <w:r w:rsidRPr="007A2258">
              <w:rPr>
                <w:rFonts w:ascii="Arial Narrow" w:hAnsi="Arial Narrow"/>
                <w:sz w:val="20"/>
                <w:szCs w:val="20"/>
              </w:rPr>
              <w:t>A. High risk – recommend prescribing daily PrEP if the patient acknowledges</w:t>
            </w:r>
          </w:p>
        </w:tc>
      </w:tr>
      <w:tr w:rsidR="00E316C1" w:rsidRPr="007A2258" w:rsidTr="00FF47DE">
        <w:tc>
          <w:tcPr>
            <w:tcW w:w="2805" w:type="pct"/>
            <w:tcBorders>
              <w:top w:val="single" w:sz="4" w:space="0" w:color="auto"/>
              <w:left w:val="single" w:sz="4" w:space="0" w:color="auto"/>
              <w:bottom w:val="single" w:sz="4" w:space="0" w:color="auto"/>
              <w:right w:val="single" w:sz="4" w:space="0" w:color="auto"/>
            </w:tcBorders>
            <w:hideMark/>
          </w:tcPr>
          <w:p w:rsidR="00E316C1" w:rsidRPr="0063466A" w:rsidRDefault="00E316C1" w:rsidP="00E316C1">
            <w:pPr>
              <w:spacing w:before="0"/>
              <w:rPr>
                <w:rFonts w:ascii="Arial Narrow" w:hAnsi="Arial Narrow"/>
                <w:sz w:val="20"/>
                <w:szCs w:val="20"/>
              </w:rPr>
            </w:pPr>
            <w:r w:rsidRPr="0063466A">
              <w:rPr>
                <w:rFonts w:ascii="Arial Narrow" w:hAnsi="Arial Narrow"/>
                <w:sz w:val="20"/>
                <w:szCs w:val="20"/>
              </w:rPr>
              <w:t>Having had any of the following in the last 3 months</w:t>
            </w:r>
            <w:r w:rsidR="0063466A">
              <w:rPr>
                <w:rFonts w:ascii="Arial Narrow" w:hAnsi="Arial Narrow"/>
                <w:sz w:val="20"/>
                <w:szCs w:val="20"/>
              </w:rPr>
              <w:t>:</w:t>
            </w:r>
          </w:p>
          <w:p w:rsidR="00E316C1" w:rsidRPr="007A2258" w:rsidRDefault="00C72094" w:rsidP="007A2258">
            <w:pPr>
              <w:pStyle w:val="ListParagraph"/>
              <w:numPr>
                <w:ilvl w:val="0"/>
                <w:numId w:val="18"/>
              </w:numPr>
              <w:spacing w:before="0"/>
              <w:contextualSpacing/>
              <w:rPr>
                <w:rFonts w:ascii="Arial Narrow" w:hAnsi="Arial Narrow"/>
                <w:sz w:val="20"/>
                <w:szCs w:val="20"/>
              </w:rPr>
            </w:pPr>
            <w:r>
              <w:rPr>
                <w:rFonts w:ascii="Arial Narrow" w:hAnsi="Arial Narrow"/>
                <w:sz w:val="20"/>
                <w:szCs w:val="20"/>
              </w:rPr>
              <w:t>At least one episode of condomless anal intercourse (CLAI) with a regular HIV+ partner (not on treatment and/or detectable viral load)</w:t>
            </w:r>
          </w:p>
          <w:p w:rsidR="00E316C1" w:rsidRPr="007A2258" w:rsidRDefault="00E316C1" w:rsidP="007A2258">
            <w:pPr>
              <w:pStyle w:val="ListParagraph"/>
              <w:numPr>
                <w:ilvl w:val="0"/>
                <w:numId w:val="18"/>
              </w:numPr>
              <w:spacing w:before="0"/>
              <w:contextualSpacing/>
              <w:rPr>
                <w:rFonts w:ascii="Arial Narrow" w:hAnsi="Arial Narrow"/>
                <w:sz w:val="20"/>
                <w:szCs w:val="20"/>
              </w:rPr>
            </w:pPr>
            <w:r w:rsidRPr="007A2258">
              <w:rPr>
                <w:rFonts w:ascii="Arial Narrow" w:hAnsi="Arial Narrow"/>
                <w:sz w:val="20"/>
                <w:szCs w:val="20"/>
              </w:rPr>
              <w:t xml:space="preserve">At least </w:t>
            </w:r>
            <w:r w:rsidRPr="007A2258">
              <w:rPr>
                <w:rFonts w:ascii="Arial Narrow" w:hAnsi="Arial Narrow"/>
                <w:b/>
                <w:sz w:val="20"/>
                <w:szCs w:val="20"/>
              </w:rPr>
              <w:t>one</w:t>
            </w:r>
            <w:r w:rsidRPr="007A2258">
              <w:rPr>
                <w:rFonts w:ascii="Arial Narrow" w:hAnsi="Arial Narrow"/>
                <w:sz w:val="20"/>
                <w:szCs w:val="20"/>
              </w:rPr>
              <w:t xml:space="preserve"> episode of receptive CLAI with any casual HIV + male partner or a male partner of unknown status</w:t>
            </w:r>
          </w:p>
          <w:p w:rsidR="00E316C1" w:rsidRPr="007A2258" w:rsidRDefault="00E316C1" w:rsidP="007A2258">
            <w:pPr>
              <w:pStyle w:val="ListParagraph"/>
              <w:numPr>
                <w:ilvl w:val="0"/>
                <w:numId w:val="18"/>
              </w:numPr>
              <w:spacing w:before="0"/>
              <w:contextualSpacing/>
              <w:rPr>
                <w:rFonts w:ascii="Arial Narrow" w:hAnsi="Arial Narrow"/>
                <w:sz w:val="20"/>
                <w:szCs w:val="20"/>
              </w:rPr>
            </w:pPr>
            <w:r w:rsidRPr="007A2258">
              <w:rPr>
                <w:rFonts w:ascii="Arial Narrow" w:hAnsi="Arial Narrow"/>
                <w:sz w:val="20"/>
                <w:szCs w:val="20"/>
              </w:rPr>
              <w:t>Rectal gonorrhoea, rectal chlamydia or infectious syphilis diagnosis (during the last 3 months or at screening for PrEP)</w:t>
            </w:r>
          </w:p>
          <w:p w:rsidR="00E316C1" w:rsidRPr="007A2258" w:rsidRDefault="00E316C1" w:rsidP="00C72094">
            <w:pPr>
              <w:pStyle w:val="ListParagraph"/>
              <w:numPr>
                <w:ilvl w:val="0"/>
                <w:numId w:val="18"/>
              </w:numPr>
              <w:spacing w:before="0"/>
              <w:contextualSpacing/>
              <w:rPr>
                <w:rFonts w:ascii="Arial Narrow" w:hAnsi="Arial Narrow"/>
                <w:sz w:val="20"/>
                <w:szCs w:val="20"/>
              </w:rPr>
            </w:pPr>
            <w:r w:rsidRPr="007A2258">
              <w:rPr>
                <w:rFonts w:ascii="Arial Narrow" w:hAnsi="Arial Narrow"/>
                <w:sz w:val="20"/>
                <w:szCs w:val="20"/>
              </w:rPr>
              <w:t>Methamphetamine</w:t>
            </w:r>
            <w:r w:rsidR="00C72094">
              <w:rPr>
                <w:rFonts w:ascii="Arial Narrow" w:hAnsi="Arial Narrow"/>
                <w:sz w:val="20"/>
                <w:szCs w:val="20"/>
              </w:rPr>
              <w:t xml:space="preserve"> use, which may increase the risk of HIV acquisition</w:t>
            </w:r>
          </w:p>
        </w:tc>
        <w:tc>
          <w:tcPr>
            <w:tcW w:w="349" w:type="pct"/>
            <w:tcBorders>
              <w:top w:val="single" w:sz="4" w:space="0" w:color="auto"/>
              <w:left w:val="single" w:sz="4" w:space="0" w:color="auto"/>
              <w:bottom w:val="single" w:sz="4" w:space="0" w:color="auto"/>
              <w:right w:val="single" w:sz="4" w:space="0" w:color="auto"/>
            </w:tcBorders>
            <w:hideMark/>
          </w:tcPr>
          <w:p w:rsidR="00E316C1" w:rsidRPr="007A2258" w:rsidRDefault="00E316C1" w:rsidP="00E316C1">
            <w:pPr>
              <w:spacing w:before="0"/>
              <w:rPr>
                <w:rFonts w:ascii="Arial Narrow" w:hAnsi="Arial Narrow"/>
                <w:sz w:val="20"/>
                <w:szCs w:val="20"/>
              </w:rPr>
            </w:pPr>
            <w:r w:rsidRPr="007A2258">
              <w:rPr>
                <w:rFonts w:ascii="Arial Narrow" w:hAnsi="Arial Narrow"/>
                <w:sz w:val="20"/>
                <w:szCs w:val="20"/>
              </w:rPr>
              <w:t>AND</w:t>
            </w:r>
          </w:p>
        </w:tc>
        <w:tc>
          <w:tcPr>
            <w:tcW w:w="1846" w:type="pct"/>
            <w:tcBorders>
              <w:top w:val="single" w:sz="4" w:space="0" w:color="auto"/>
              <w:left w:val="single" w:sz="4" w:space="0" w:color="auto"/>
              <w:bottom w:val="single" w:sz="4" w:space="0" w:color="auto"/>
              <w:right w:val="single" w:sz="4" w:space="0" w:color="auto"/>
            </w:tcBorders>
            <w:hideMark/>
          </w:tcPr>
          <w:p w:rsidR="00E316C1" w:rsidRPr="0063466A" w:rsidRDefault="00E316C1" w:rsidP="00E316C1">
            <w:pPr>
              <w:spacing w:before="0"/>
              <w:rPr>
                <w:rFonts w:ascii="Arial Narrow" w:hAnsi="Arial Narrow"/>
                <w:sz w:val="20"/>
                <w:szCs w:val="20"/>
              </w:rPr>
            </w:pPr>
            <w:r w:rsidRPr="0063466A">
              <w:rPr>
                <w:rFonts w:ascii="Arial Narrow" w:hAnsi="Arial Narrow"/>
                <w:sz w:val="20"/>
                <w:szCs w:val="20"/>
              </w:rPr>
              <w:t>Being likely to have in the next 3 months</w:t>
            </w:r>
          </w:p>
          <w:p w:rsidR="00E316C1" w:rsidRPr="0063466A" w:rsidRDefault="00E316C1" w:rsidP="00E316C1">
            <w:pPr>
              <w:spacing w:before="0"/>
              <w:rPr>
                <w:rFonts w:ascii="Arial Narrow" w:hAnsi="Arial Narrow"/>
                <w:sz w:val="20"/>
                <w:szCs w:val="20"/>
              </w:rPr>
            </w:pPr>
            <w:r w:rsidRPr="0063466A">
              <w:rPr>
                <w:rFonts w:ascii="Arial Narrow" w:hAnsi="Arial Narrow"/>
                <w:sz w:val="20"/>
                <w:szCs w:val="20"/>
              </w:rPr>
              <w:t>(indicating sustained risk)</w:t>
            </w:r>
            <w:r w:rsidR="0063466A">
              <w:rPr>
                <w:rFonts w:ascii="Arial Narrow" w:hAnsi="Arial Narrow"/>
                <w:sz w:val="20"/>
                <w:szCs w:val="20"/>
              </w:rPr>
              <w:t>:</w:t>
            </w:r>
          </w:p>
          <w:p w:rsidR="00E316C1" w:rsidRPr="0063466A" w:rsidRDefault="00E316C1" w:rsidP="00C72094">
            <w:pPr>
              <w:pStyle w:val="ListParagraph"/>
              <w:numPr>
                <w:ilvl w:val="0"/>
                <w:numId w:val="19"/>
              </w:numPr>
              <w:spacing w:before="0"/>
              <w:contextualSpacing/>
              <w:rPr>
                <w:rFonts w:ascii="Arial Narrow" w:hAnsi="Arial Narrow"/>
                <w:sz w:val="20"/>
                <w:szCs w:val="20"/>
              </w:rPr>
            </w:pPr>
            <w:r w:rsidRPr="0063466A">
              <w:rPr>
                <w:rFonts w:ascii="Arial Narrow" w:hAnsi="Arial Narrow"/>
                <w:sz w:val="20"/>
                <w:szCs w:val="20"/>
              </w:rPr>
              <w:t xml:space="preserve">Multiple events of </w:t>
            </w:r>
            <w:r w:rsidR="00C72094" w:rsidRPr="0063466A">
              <w:rPr>
                <w:rFonts w:ascii="Arial Narrow" w:hAnsi="Arial Narrow"/>
                <w:sz w:val="20"/>
                <w:szCs w:val="20"/>
              </w:rPr>
              <w:t>CLAI, w</w:t>
            </w:r>
            <w:r w:rsidRPr="0063466A">
              <w:rPr>
                <w:rFonts w:ascii="Arial Narrow" w:hAnsi="Arial Narrow"/>
                <w:sz w:val="20"/>
                <w:szCs w:val="20"/>
              </w:rPr>
              <w:t>ith or without sharing intravenous drug equipment</w:t>
            </w:r>
          </w:p>
        </w:tc>
      </w:tr>
      <w:tr w:rsidR="00E316C1" w:rsidRPr="007A2258" w:rsidTr="00FF47DE">
        <w:tc>
          <w:tcPr>
            <w:tcW w:w="5000" w:type="pct"/>
            <w:gridSpan w:val="3"/>
            <w:tcBorders>
              <w:top w:val="single" w:sz="4" w:space="0" w:color="auto"/>
              <w:left w:val="single" w:sz="4" w:space="0" w:color="auto"/>
              <w:bottom w:val="single" w:sz="4" w:space="0" w:color="auto"/>
              <w:right w:val="single" w:sz="4" w:space="0" w:color="auto"/>
            </w:tcBorders>
            <w:hideMark/>
          </w:tcPr>
          <w:p w:rsidR="00E316C1" w:rsidRPr="007A2258" w:rsidRDefault="00E316C1" w:rsidP="00E316C1">
            <w:pPr>
              <w:spacing w:before="0"/>
              <w:rPr>
                <w:rFonts w:ascii="Arial Narrow" w:hAnsi="Arial Narrow"/>
                <w:b/>
                <w:sz w:val="20"/>
                <w:szCs w:val="20"/>
              </w:rPr>
            </w:pPr>
            <w:r w:rsidRPr="007A2258">
              <w:rPr>
                <w:rFonts w:ascii="Arial Narrow" w:hAnsi="Arial Narrow"/>
                <w:b/>
                <w:sz w:val="20"/>
                <w:szCs w:val="20"/>
              </w:rPr>
              <w:t>B. Medium risk – consider prescribing daily PrEP, based on case by case approach if discussion reveals</w:t>
            </w:r>
          </w:p>
        </w:tc>
      </w:tr>
      <w:tr w:rsidR="00E316C1" w:rsidRPr="007A2258" w:rsidTr="00FF47DE">
        <w:tc>
          <w:tcPr>
            <w:tcW w:w="2805" w:type="pct"/>
            <w:tcBorders>
              <w:top w:val="single" w:sz="4" w:space="0" w:color="auto"/>
              <w:left w:val="single" w:sz="4" w:space="0" w:color="auto"/>
              <w:bottom w:val="single" w:sz="4" w:space="0" w:color="auto"/>
              <w:right w:val="single" w:sz="4" w:space="0" w:color="auto"/>
            </w:tcBorders>
            <w:hideMark/>
          </w:tcPr>
          <w:p w:rsidR="00E316C1" w:rsidRPr="007A2258" w:rsidRDefault="00E316C1" w:rsidP="00E316C1">
            <w:pPr>
              <w:spacing w:before="0"/>
              <w:rPr>
                <w:rFonts w:ascii="Arial Narrow" w:hAnsi="Arial Narrow"/>
                <w:sz w:val="20"/>
                <w:szCs w:val="20"/>
              </w:rPr>
            </w:pPr>
            <w:r w:rsidRPr="007A2258">
              <w:rPr>
                <w:rFonts w:ascii="Arial Narrow" w:hAnsi="Arial Narrow"/>
                <w:sz w:val="20"/>
                <w:szCs w:val="20"/>
              </w:rPr>
              <w:t>Having had any of the following in the last 3 months</w:t>
            </w:r>
          </w:p>
          <w:p w:rsidR="00E316C1" w:rsidRPr="007A2258" w:rsidRDefault="00E316C1" w:rsidP="007A2258">
            <w:pPr>
              <w:pStyle w:val="ListParagraph"/>
              <w:numPr>
                <w:ilvl w:val="0"/>
                <w:numId w:val="20"/>
              </w:numPr>
              <w:spacing w:before="0"/>
              <w:contextualSpacing/>
              <w:rPr>
                <w:rFonts w:ascii="Arial Narrow" w:hAnsi="Arial Narrow"/>
                <w:sz w:val="20"/>
                <w:szCs w:val="20"/>
              </w:rPr>
            </w:pPr>
            <w:r w:rsidRPr="007A2258">
              <w:rPr>
                <w:rFonts w:ascii="Arial Narrow" w:hAnsi="Arial Narrow"/>
                <w:sz w:val="20"/>
                <w:szCs w:val="20"/>
              </w:rPr>
              <w:t>More than one episode of anal intercourse when proper condom use was not achieved (e.g. condom slipped off or broke)</w:t>
            </w:r>
            <w:r w:rsidR="00C72094">
              <w:rPr>
                <w:rFonts w:ascii="Arial Narrow" w:hAnsi="Arial Narrow"/>
                <w:sz w:val="20"/>
                <w:szCs w:val="20"/>
              </w:rPr>
              <w:t xml:space="preserve"> where the serostatus of partner was no known, or was HIV+ and not on treatment with a detectable viral load</w:t>
            </w:r>
          </w:p>
          <w:p w:rsidR="00E316C1" w:rsidRPr="007A2258" w:rsidRDefault="00E316C1" w:rsidP="007A2258">
            <w:pPr>
              <w:pStyle w:val="ListParagraph"/>
              <w:numPr>
                <w:ilvl w:val="0"/>
                <w:numId w:val="20"/>
              </w:numPr>
              <w:spacing w:before="0"/>
              <w:contextualSpacing/>
              <w:rPr>
                <w:rFonts w:ascii="Arial Narrow" w:hAnsi="Arial Narrow"/>
                <w:sz w:val="20"/>
                <w:szCs w:val="20"/>
              </w:rPr>
            </w:pPr>
            <w:r w:rsidRPr="007A2258">
              <w:rPr>
                <w:rFonts w:ascii="Arial Narrow" w:hAnsi="Arial Narrow"/>
                <w:sz w:val="20"/>
                <w:szCs w:val="20"/>
              </w:rPr>
              <w:t>(if patient uncircumcised) more than one episode of insertive CLAI where the serostatus of partner was not known, or was HIV + and not on treatment or with a detectable viral load</w:t>
            </w:r>
          </w:p>
        </w:tc>
        <w:tc>
          <w:tcPr>
            <w:tcW w:w="349" w:type="pct"/>
            <w:tcBorders>
              <w:top w:val="single" w:sz="4" w:space="0" w:color="auto"/>
              <w:left w:val="single" w:sz="4" w:space="0" w:color="auto"/>
              <w:bottom w:val="single" w:sz="4" w:space="0" w:color="auto"/>
              <w:right w:val="single" w:sz="4" w:space="0" w:color="auto"/>
            </w:tcBorders>
            <w:hideMark/>
          </w:tcPr>
          <w:p w:rsidR="00E316C1" w:rsidRPr="007A2258" w:rsidRDefault="00E316C1" w:rsidP="00E316C1">
            <w:pPr>
              <w:spacing w:before="0"/>
              <w:rPr>
                <w:rFonts w:ascii="Arial Narrow" w:hAnsi="Arial Narrow"/>
                <w:sz w:val="20"/>
                <w:szCs w:val="20"/>
              </w:rPr>
            </w:pPr>
            <w:r w:rsidRPr="007A2258">
              <w:rPr>
                <w:rFonts w:ascii="Arial Narrow" w:hAnsi="Arial Narrow"/>
                <w:sz w:val="20"/>
                <w:szCs w:val="20"/>
              </w:rPr>
              <w:t>AND</w:t>
            </w:r>
          </w:p>
        </w:tc>
        <w:tc>
          <w:tcPr>
            <w:tcW w:w="1846" w:type="pct"/>
            <w:tcBorders>
              <w:top w:val="single" w:sz="4" w:space="0" w:color="auto"/>
              <w:left w:val="single" w:sz="4" w:space="0" w:color="auto"/>
              <w:bottom w:val="single" w:sz="4" w:space="0" w:color="auto"/>
              <w:right w:val="single" w:sz="4" w:space="0" w:color="auto"/>
            </w:tcBorders>
            <w:hideMark/>
          </w:tcPr>
          <w:p w:rsidR="00E316C1" w:rsidRPr="007A2258" w:rsidRDefault="00E316C1" w:rsidP="00E316C1">
            <w:pPr>
              <w:spacing w:before="0"/>
              <w:rPr>
                <w:rFonts w:ascii="Arial Narrow" w:hAnsi="Arial Narrow"/>
                <w:sz w:val="20"/>
                <w:szCs w:val="20"/>
              </w:rPr>
            </w:pPr>
            <w:r w:rsidRPr="007A2258">
              <w:rPr>
                <w:rFonts w:ascii="Arial Narrow" w:hAnsi="Arial Narrow"/>
                <w:sz w:val="20"/>
                <w:szCs w:val="20"/>
              </w:rPr>
              <w:t>Being likely to have in the next 3 months</w:t>
            </w:r>
          </w:p>
          <w:p w:rsidR="00E316C1" w:rsidRPr="007A2258" w:rsidRDefault="00E316C1" w:rsidP="00E316C1">
            <w:pPr>
              <w:spacing w:before="0"/>
              <w:rPr>
                <w:rFonts w:ascii="Arial Narrow" w:hAnsi="Arial Narrow"/>
                <w:sz w:val="20"/>
                <w:szCs w:val="20"/>
              </w:rPr>
            </w:pPr>
            <w:r w:rsidRPr="007A2258">
              <w:rPr>
                <w:rFonts w:ascii="Arial Narrow" w:hAnsi="Arial Narrow"/>
                <w:sz w:val="20"/>
                <w:szCs w:val="20"/>
              </w:rPr>
              <w:t>(indicating sustained risk)</w:t>
            </w:r>
          </w:p>
          <w:p w:rsidR="00E316C1" w:rsidRPr="00C72094" w:rsidRDefault="00E316C1" w:rsidP="00C72094">
            <w:pPr>
              <w:pStyle w:val="ListParagraph"/>
              <w:numPr>
                <w:ilvl w:val="0"/>
                <w:numId w:val="19"/>
              </w:numPr>
              <w:spacing w:before="0"/>
              <w:contextualSpacing/>
              <w:rPr>
                <w:rFonts w:ascii="Arial Narrow" w:hAnsi="Arial Narrow"/>
                <w:sz w:val="20"/>
                <w:szCs w:val="20"/>
              </w:rPr>
            </w:pPr>
            <w:r w:rsidRPr="007A2258">
              <w:rPr>
                <w:rFonts w:ascii="Arial Narrow" w:hAnsi="Arial Narrow"/>
                <w:sz w:val="20"/>
                <w:szCs w:val="20"/>
              </w:rPr>
              <w:t>Multiple events of CLAI</w:t>
            </w:r>
            <w:r w:rsidR="00C72094">
              <w:rPr>
                <w:rFonts w:ascii="Arial Narrow" w:hAnsi="Arial Narrow"/>
                <w:sz w:val="20"/>
                <w:szCs w:val="20"/>
              </w:rPr>
              <w:t>, w</w:t>
            </w:r>
            <w:r w:rsidRPr="00C72094">
              <w:rPr>
                <w:rFonts w:ascii="Arial Narrow" w:hAnsi="Arial Narrow"/>
                <w:sz w:val="20"/>
                <w:szCs w:val="20"/>
              </w:rPr>
              <w:t>ith or without sharing intravenous drug equipment</w:t>
            </w:r>
          </w:p>
        </w:tc>
      </w:tr>
      <w:tr w:rsidR="00E316C1" w:rsidRPr="007A2258" w:rsidTr="00FF47DE">
        <w:tc>
          <w:tcPr>
            <w:tcW w:w="5000" w:type="pct"/>
            <w:gridSpan w:val="3"/>
            <w:tcBorders>
              <w:top w:val="single" w:sz="4" w:space="0" w:color="auto"/>
              <w:left w:val="single" w:sz="4" w:space="0" w:color="auto"/>
              <w:bottom w:val="single" w:sz="4" w:space="0" w:color="auto"/>
              <w:right w:val="single" w:sz="4" w:space="0" w:color="auto"/>
            </w:tcBorders>
          </w:tcPr>
          <w:p w:rsidR="00E316C1" w:rsidRPr="007A2258" w:rsidRDefault="00E316C1" w:rsidP="00E316C1">
            <w:pPr>
              <w:spacing w:before="0"/>
              <w:ind w:right="-489"/>
              <w:jc w:val="both"/>
              <w:rPr>
                <w:rFonts w:ascii="Arial Narrow" w:hAnsi="Arial Narrow" w:cstheme="majorHAnsi"/>
                <w:b/>
                <w:sz w:val="20"/>
                <w:szCs w:val="20"/>
              </w:rPr>
            </w:pPr>
            <w:r w:rsidRPr="007A2258">
              <w:rPr>
                <w:rFonts w:ascii="Arial Narrow" w:hAnsi="Arial Narrow" w:cstheme="majorHAnsi"/>
                <w:b/>
                <w:sz w:val="20"/>
                <w:szCs w:val="20"/>
              </w:rPr>
              <w:t>Case by case approach</w:t>
            </w:r>
          </w:p>
          <w:p w:rsidR="00E316C1" w:rsidRPr="00C72094" w:rsidRDefault="00C72094" w:rsidP="00C72094">
            <w:pPr>
              <w:spacing w:before="0"/>
              <w:rPr>
                <w:rFonts w:ascii="Arial Narrow" w:eastAsia="Times New Roman" w:hAnsi="Arial Narrow"/>
                <w:sz w:val="20"/>
                <w:szCs w:val="20"/>
              </w:rPr>
            </w:pPr>
            <w:r w:rsidRPr="00C72094">
              <w:rPr>
                <w:rFonts w:ascii="Arial Narrow" w:eastAsia="Times New Roman" w:hAnsi="Arial Narrow"/>
                <w:sz w:val="20"/>
                <w:szCs w:val="20"/>
              </w:rPr>
              <w:t>Based on a complete sexual and alcohol and other drug-using history and the personal circumstances of the patient, if the c</w:t>
            </w:r>
            <w:r>
              <w:rPr>
                <w:rFonts w:ascii="Arial Narrow" w:eastAsia="Times New Roman" w:hAnsi="Arial Narrow"/>
                <w:sz w:val="20"/>
                <w:szCs w:val="20"/>
              </w:rPr>
              <w:t xml:space="preserve">linician is of the opinion that </w:t>
            </w:r>
            <w:r w:rsidRPr="00C72094">
              <w:rPr>
                <w:rFonts w:ascii="Arial Narrow" w:eastAsia="Times New Roman" w:hAnsi="Arial Narrow"/>
                <w:sz w:val="20"/>
                <w:szCs w:val="20"/>
              </w:rPr>
              <w:t>the patient is likely to be at high risk of HIV, then PrEP prescription may be considered despite the absence of reported high- or medium-risk factors</w:t>
            </w:r>
            <w:r>
              <w:rPr>
                <w:rFonts w:ascii="Arial Narrow" w:eastAsia="Times New Roman" w:hAnsi="Arial Narrow"/>
                <w:sz w:val="20"/>
                <w:szCs w:val="20"/>
              </w:rPr>
              <w:t xml:space="preserve"> </w:t>
            </w:r>
            <w:r w:rsidRPr="00C72094">
              <w:rPr>
                <w:rFonts w:ascii="Arial Narrow" w:eastAsia="Times New Roman" w:hAnsi="Arial Narrow"/>
                <w:sz w:val="20"/>
                <w:szCs w:val="20"/>
              </w:rPr>
              <w:t>above.</w:t>
            </w:r>
          </w:p>
        </w:tc>
      </w:tr>
    </w:tbl>
    <w:p w:rsidR="00E316C1" w:rsidRPr="00F638B4" w:rsidRDefault="00A51544" w:rsidP="00C72094">
      <w:pPr>
        <w:spacing w:before="0" w:after="120"/>
        <w:rPr>
          <w:rFonts w:ascii="Arial Narrow" w:hAnsi="Arial Narrow"/>
          <w:sz w:val="18"/>
          <w:szCs w:val="18"/>
        </w:rPr>
      </w:pPr>
      <w:r w:rsidRPr="00F638B4">
        <w:rPr>
          <w:rFonts w:ascii="Arial Narrow" w:hAnsi="Arial Narrow"/>
          <w:sz w:val="18"/>
          <w:szCs w:val="18"/>
        </w:rPr>
        <w:t xml:space="preserve">Source: </w:t>
      </w:r>
      <w:r w:rsidR="00C72094" w:rsidRPr="00F638B4">
        <w:rPr>
          <w:rFonts w:ascii="Arial Narrow" w:hAnsi="Arial Narrow"/>
          <w:sz w:val="18"/>
          <w:szCs w:val="18"/>
        </w:rPr>
        <w:t xml:space="preserve">Wright, Edwina, et al. Australasian Society for HIV, Viral Hepatitis, and Sexual Health Medicine - HIV Pre-Exposure Prophylaxis: clinical guidelines. Journal of Virus Eradication, 2017; 3: 168-184. Accessed 5 July 2017. Open access, available at </w:t>
      </w:r>
      <w:r w:rsidR="00C72094" w:rsidRPr="00FE4AED">
        <w:rPr>
          <w:rFonts w:ascii="Arial Narrow" w:hAnsi="Arial Narrow"/>
          <w:sz w:val="18"/>
          <w:szCs w:val="18"/>
        </w:rPr>
        <w:t>http://viruseradication.com/journal-details/Australasian_Society_for_HIV,_Viral_Hepatitis_and_Sexual_Health_Medicine_HIV_pre-exposure_prophylaxis:_clinical_guidelines/</w:t>
      </w:r>
      <w:r w:rsidR="00C72094" w:rsidRPr="00F638B4">
        <w:rPr>
          <w:rFonts w:ascii="Arial Narrow" w:hAnsi="Arial Narrow"/>
          <w:sz w:val="18"/>
          <w:szCs w:val="18"/>
        </w:rPr>
        <w:t xml:space="preserve"> </w:t>
      </w:r>
    </w:p>
    <w:p w:rsidR="007A2258" w:rsidRPr="007A2258" w:rsidRDefault="007A2258" w:rsidP="00FF47DE">
      <w:pPr>
        <w:spacing w:before="0" w:after="120"/>
        <w:jc w:val="both"/>
        <w:rPr>
          <w:rFonts w:ascii="Arial Narrow" w:hAnsi="Arial Narrow"/>
          <w:i/>
          <w:sz w:val="20"/>
          <w:szCs w:val="20"/>
        </w:rPr>
      </w:pPr>
      <w:r w:rsidRPr="007A2258">
        <w:rPr>
          <w:i/>
        </w:rPr>
        <w:t>For more detail on PBAC’s view, see section 7 “PBAC outcome”</w:t>
      </w:r>
    </w:p>
    <w:p w:rsidR="00806171" w:rsidRPr="007A2258" w:rsidRDefault="00806171" w:rsidP="007A2258">
      <w:pPr>
        <w:pStyle w:val="Heading1"/>
        <w:numPr>
          <w:ilvl w:val="0"/>
          <w:numId w:val="23"/>
        </w:numPr>
        <w:ind w:left="709" w:hanging="709"/>
      </w:pPr>
      <w:bookmarkStart w:id="8" w:name="_Toc480411351"/>
      <w:bookmarkStart w:id="9" w:name="_Toc482191213"/>
      <w:r w:rsidRPr="007A2258">
        <w:t>Comparator</w:t>
      </w:r>
      <w:bookmarkEnd w:id="8"/>
      <w:bookmarkEnd w:id="9"/>
    </w:p>
    <w:p w:rsidR="00D25F99" w:rsidRPr="007A2258" w:rsidRDefault="00D25F99" w:rsidP="007A2258">
      <w:pPr>
        <w:pStyle w:val="ListParagraph"/>
        <w:numPr>
          <w:ilvl w:val="1"/>
          <w:numId w:val="23"/>
        </w:numPr>
        <w:jc w:val="both"/>
      </w:pPr>
      <w:r w:rsidRPr="007A2258">
        <w:t xml:space="preserve">The resubmission nominated SOC as the main comparator. The PBAC had </w:t>
      </w:r>
      <w:r w:rsidR="00037626">
        <w:t xml:space="preserve">previously </w:t>
      </w:r>
      <w:r w:rsidRPr="007A2258">
        <w:t xml:space="preserve">accepted that this is the appropriate comparator. </w:t>
      </w:r>
    </w:p>
    <w:p w:rsidR="007A2258" w:rsidRPr="007A2258" w:rsidRDefault="007A2258" w:rsidP="007A2258">
      <w:pPr>
        <w:jc w:val="both"/>
        <w:rPr>
          <w:i/>
        </w:rPr>
      </w:pPr>
      <w:r w:rsidRPr="007A2258">
        <w:rPr>
          <w:i/>
        </w:rPr>
        <w:t>For more detail on PBAC’s view, see section 7 “PBAC outcome”</w:t>
      </w:r>
    </w:p>
    <w:p w:rsidR="00806171" w:rsidRPr="007A2258" w:rsidRDefault="00806171" w:rsidP="007A2258">
      <w:pPr>
        <w:pStyle w:val="Heading1"/>
        <w:numPr>
          <w:ilvl w:val="0"/>
          <w:numId w:val="23"/>
        </w:numPr>
        <w:ind w:left="709" w:hanging="709"/>
      </w:pPr>
      <w:bookmarkStart w:id="10" w:name="_Toc480411352"/>
      <w:bookmarkStart w:id="11" w:name="_Toc482191214"/>
      <w:r w:rsidRPr="007A2258">
        <w:t>Consideration of the evidence</w:t>
      </w:r>
      <w:bookmarkEnd w:id="10"/>
      <w:bookmarkEnd w:id="11"/>
    </w:p>
    <w:p w:rsidR="00B2657B" w:rsidRPr="007A2258" w:rsidRDefault="007A2258" w:rsidP="00B2657B">
      <w:pPr>
        <w:pStyle w:val="Heading2"/>
      </w:pPr>
      <w:r w:rsidRPr="007A2258">
        <w:t>Sponsor hearing</w:t>
      </w:r>
    </w:p>
    <w:p w:rsidR="007A2258" w:rsidRPr="0063466A" w:rsidRDefault="007A2258" w:rsidP="007A2258">
      <w:pPr>
        <w:pStyle w:val="ListParagraph"/>
        <w:numPr>
          <w:ilvl w:val="1"/>
          <w:numId w:val="23"/>
        </w:numPr>
        <w:jc w:val="both"/>
      </w:pPr>
      <w:r w:rsidRPr="0063466A">
        <w:t>The</w:t>
      </w:r>
      <w:r w:rsidR="00B2657B" w:rsidRPr="0063466A">
        <w:t>re was no hearing for this item</w:t>
      </w:r>
      <w:r w:rsidRPr="0063466A">
        <w:t>.</w:t>
      </w:r>
    </w:p>
    <w:p w:rsidR="007A2258" w:rsidRPr="007A2258" w:rsidRDefault="007A2258" w:rsidP="007A2258">
      <w:pPr>
        <w:pStyle w:val="Heading2"/>
      </w:pPr>
      <w:r w:rsidRPr="007A2258">
        <w:t>Consumer comments</w:t>
      </w:r>
    </w:p>
    <w:p w:rsidR="007A2258" w:rsidRPr="00A86F3C" w:rsidRDefault="007A2258" w:rsidP="007A2258">
      <w:pPr>
        <w:pStyle w:val="ListParagraph"/>
        <w:numPr>
          <w:ilvl w:val="1"/>
          <w:numId w:val="23"/>
        </w:numPr>
        <w:jc w:val="both"/>
      </w:pPr>
      <w:r w:rsidRPr="00A86F3C">
        <w:t>The PBAC noted and welcomed the input from individuals (</w:t>
      </w:r>
      <w:r w:rsidR="000960D9" w:rsidRPr="00A86F3C">
        <w:t>3</w:t>
      </w:r>
      <w:r w:rsidRPr="00A86F3C">
        <w:t>), and organisations (</w:t>
      </w:r>
      <w:r w:rsidR="00B2657B" w:rsidRPr="00A86F3C">
        <w:t>10</w:t>
      </w:r>
      <w:r w:rsidRPr="00A86F3C">
        <w:t xml:space="preserve">) via the Consumer Comments facility on the PBS website.  The comments described a range of benefits of </w:t>
      </w:r>
      <w:r w:rsidR="00A86F3C" w:rsidRPr="00A86F3C">
        <w:rPr>
          <w:rFonts w:ascii="Calibri" w:eastAsia="Calibri" w:hAnsi="Calibri" w:cs="Arial"/>
          <w:szCs w:val="24"/>
        </w:rPr>
        <w:t>TDF/FTC as PrEP</w:t>
      </w:r>
      <w:r w:rsidR="00B2657B" w:rsidRPr="00A86F3C">
        <w:t>, including greater protection from HIV, positive changes in community perceptions of HIV,</w:t>
      </w:r>
      <w:r w:rsidRPr="00A86F3C">
        <w:t xml:space="preserve"> </w:t>
      </w:r>
      <w:r w:rsidR="00B2657B" w:rsidRPr="00A86F3C">
        <w:t>and a reduction in stigma for those living with HIV.</w:t>
      </w:r>
      <w:r w:rsidR="000960D9" w:rsidRPr="00A86F3C">
        <w:t xml:space="preserve"> The PBAC noted the consumer comments submitted from a social media based support group “PrEP’D For Change” which also described the benefits of PrEP and the current legal and financial challenges for patients accessing PrEP via the TGA Personal Importation Scheme.</w:t>
      </w:r>
    </w:p>
    <w:p w:rsidR="00B2657B" w:rsidRPr="00A86F3C" w:rsidRDefault="00B2657B" w:rsidP="00A86F3C">
      <w:pPr>
        <w:pStyle w:val="ListParagraph"/>
        <w:numPr>
          <w:ilvl w:val="1"/>
          <w:numId w:val="23"/>
        </w:numPr>
        <w:jc w:val="both"/>
      </w:pPr>
      <w:r w:rsidRPr="00A86F3C">
        <w:t xml:space="preserve">The PBAC noted </w:t>
      </w:r>
      <w:r w:rsidR="000960D9" w:rsidRPr="00A86F3C">
        <w:t>advice received from</w:t>
      </w:r>
      <w:r w:rsidRPr="00A86F3C">
        <w:t xml:space="preserve"> the Australian Federation of AIDS Organisations (AFAO)</w:t>
      </w:r>
      <w:r w:rsidR="000960D9" w:rsidRPr="00A86F3C">
        <w:t xml:space="preserve"> and National Association of People with HIV Australia (NAPWHA)</w:t>
      </w:r>
      <w:r w:rsidRPr="00A86F3C">
        <w:t xml:space="preserve">, which described the benefits of PrEP, including data </w:t>
      </w:r>
      <w:r w:rsidR="00A86F3C">
        <w:t>from</w:t>
      </w:r>
      <w:r w:rsidRPr="00A86F3C">
        <w:t xml:space="preserve"> the IPERGAY trial which reported </w:t>
      </w:r>
      <w:r w:rsidR="00A86F3C">
        <w:t xml:space="preserve">an </w:t>
      </w:r>
      <w:r w:rsidRPr="00A86F3C">
        <w:t>86% reduction in the risk of HIV infection among participants, and further described the efficacy of PrEP in a ‘real-world’ setting, and associated health benefits such as more frequent sexual health checks and patient contact with clinicians. The PBAC noted the AFAO was supportive of a General Schedule PBS listing.</w:t>
      </w:r>
    </w:p>
    <w:p w:rsidR="00B2657B" w:rsidRPr="00A86F3C" w:rsidRDefault="00B2657B" w:rsidP="00B2657B">
      <w:pPr>
        <w:pStyle w:val="ListParagraph"/>
        <w:jc w:val="both"/>
      </w:pPr>
      <w:r w:rsidRPr="00A86F3C">
        <w:t>The PBAC also noted the correspondence of support for the AFAO position from the following organisations:</w:t>
      </w:r>
    </w:p>
    <w:p w:rsidR="00B2657B" w:rsidRPr="00A86F3C" w:rsidRDefault="00B2657B" w:rsidP="00A86F3C">
      <w:pPr>
        <w:pStyle w:val="ListParagraph"/>
        <w:numPr>
          <w:ilvl w:val="0"/>
          <w:numId w:val="27"/>
        </w:numPr>
        <w:spacing w:before="0" w:after="0"/>
        <w:ind w:left="1434" w:hanging="357"/>
        <w:jc w:val="both"/>
      </w:pPr>
      <w:r w:rsidRPr="00A86F3C">
        <w:t>AIDS Council of NSW (ACON)</w:t>
      </w:r>
    </w:p>
    <w:p w:rsidR="00B2657B" w:rsidRPr="00A86F3C" w:rsidRDefault="00B2657B" w:rsidP="00A86F3C">
      <w:pPr>
        <w:pStyle w:val="ListParagraph"/>
        <w:numPr>
          <w:ilvl w:val="0"/>
          <w:numId w:val="27"/>
        </w:numPr>
        <w:spacing w:before="0" w:after="0"/>
        <w:ind w:left="1434" w:hanging="357"/>
        <w:jc w:val="both"/>
      </w:pPr>
      <w:r w:rsidRPr="00A86F3C">
        <w:t>AIDS Action Council of the ACT</w:t>
      </w:r>
    </w:p>
    <w:p w:rsidR="00B2657B" w:rsidRPr="00A86F3C" w:rsidRDefault="00B2657B" w:rsidP="00A86F3C">
      <w:pPr>
        <w:pStyle w:val="ListParagraph"/>
        <w:numPr>
          <w:ilvl w:val="0"/>
          <w:numId w:val="27"/>
        </w:numPr>
        <w:spacing w:before="0" w:after="0"/>
        <w:ind w:left="1434" w:hanging="357"/>
        <w:jc w:val="both"/>
      </w:pPr>
      <w:r w:rsidRPr="00A86F3C">
        <w:t>The Bobby Goldsmith Foundation</w:t>
      </w:r>
    </w:p>
    <w:p w:rsidR="000960D9" w:rsidRPr="00A86F3C" w:rsidRDefault="000960D9" w:rsidP="00A86F3C">
      <w:pPr>
        <w:pStyle w:val="ListParagraph"/>
        <w:numPr>
          <w:ilvl w:val="0"/>
          <w:numId w:val="27"/>
        </w:numPr>
        <w:spacing w:before="0" w:after="0"/>
        <w:ind w:left="1434" w:hanging="357"/>
        <w:jc w:val="both"/>
      </w:pPr>
      <w:r w:rsidRPr="00A86F3C">
        <w:t>Family Planning NSW</w:t>
      </w:r>
    </w:p>
    <w:p w:rsidR="000960D9" w:rsidRPr="00A86F3C" w:rsidRDefault="000960D9" w:rsidP="00A86F3C">
      <w:pPr>
        <w:pStyle w:val="ListParagraph"/>
        <w:numPr>
          <w:ilvl w:val="0"/>
          <w:numId w:val="27"/>
        </w:numPr>
        <w:spacing w:before="0" w:after="0"/>
        <w:ind w:left="1434" w:hanging="357"/>
        <w:jc w:val="both"/>
      </w:pPr>
      <w:r w:rsidRPr="00A86F3C">
        <w:t>Multicultural HIV and Hepatitis Service NSW</w:t>
      </w:r>
    </w:p>
    <w:p w:rsidR="000960D9" w:rsidRPr="00A86F3C" w:rsidRDefault="000960D9" w:rsidP="00A86F3C">
      <w:pPr>
        <w:pStyle w:val="ListParagraph"/>
        <w:numPr>
          <w:ilvl w:val="0"/>
          <w:numId w:val="27"/>
        </w:numPr>
        <w:spacing w:before="0" w:after="0"/>
        <w:ind w:left="1434" w:hanging="357"/>
        <w:jc w:val="both"/>
      </w:pPr>
      <w:r w:rsidRPr="00A86F3C">
        <w:t>Victorian AIDS Council</w:t>
      </w:r>
    </w:p>
    <w:p w:rsidR="000960D9" w:rsidRPr="00A86F3C" w:rsidRDefault="000960D9" w:rsidP="00A86F3C">
      <w:pPr>
        <w:pStyle w:val="ListParagraph"/>
        <w:numPr>
          <w:ilvl w:val="0"/>
          <w:numId w:val="27"/>
        </w:numPr>
        <w:spacing w:before="0"/>
        <w:ind w:left="1434" w:hanging="357"/>
        <w:jc w:val="both"/>
      </w:pPr>
      <w:r w:rsidRPr="00A86F3C">
        <w:t>Western Australian AIDS Council</w:t>
      </w:r>
    </w:p>
    <w:p w:rsidR="00C317F3" w:rsidRPr="007A2258" w:rsidRDefault="00C317F3" w:rsidP="00A9621E">
      <w:pPr>
        <w:pStyle w:val="Heading2"/>
      </w:pPr>
      <w:bookmarkStart w:id="12" w:name="_Toc413139277"/>
      <w:bookmarkStart w:id="13" w:name="_Toc482191215"/>
      <w:r w:rsidRPr="007A2258">
        <w:t>Clinical trials</w:t>
      </w:r>
      <w:bookmarkEnd w:id="12"/>
      <w:bookmarkEnd w:id="13"/>
    </w:p>
    <w:p w:rsidR="00E64BB7" w:rsidRPr="007A2258" w:rsidRDefault="00E64BB7" w:rsidP="007A2258">
      <w:pPr>
        <w:pStyle w:val="ListParagraph"/>
        <w:numPr>
          <w:ilvl w:val="1"/>
          <w:numId w:val="23"/>
        </w:numPr>
        <w:jc w:val="both"/>
      </w:pPr>
      <w:r w:rsidRPr="007A2258">
        <w:t>The resubmission did not present the six RCTs (iPrEx, Partners PrEP, TDF2, PROUD, FEM-PrEP and VOICE) for which data were presented in the July 2016 submission.</w:t>
      </w:r>
      <w:r w:rsidR="00182646" w:rsidRPr="007A2258">
        <w:t xml:space="preserve"> </w:t>
      </w:r>
      <w:r w:rsidR="00025C9C" w:rsidRPr="007A2258">
        <w:t>However, t</w:t>
      </w:r>
      <w:r w:rsidR="00182646" w:rsidRPr="007A2258">
        <w:t>he efficacy estimate for the model continued to be sourced from case control analysis of iPrEx and Partners PrEP</w:t>
      </w:r>
      <w:r w:rsidR="003D23CB" w:rsidRPr="007A2258">
        <w:t xml:space="preserve"> studies</w:t>
      </w:r>
      <w:r w:rsidR="00182646" w:rsidRPr="007A2258">
        <w:t>.</w:t>
      </w:r>
    </w:p>
    <w:p w:rsidR="00EE20D2" w:rsidRDefault="00E14A65" w:rsidP="007A2258">
      <w:pPr>
        <w:pStyle w:val="ListParagraph"/>
        <w:numPr>
          <w:ilvl w:val="1"/>
          <w:numId w:val="23"/>
        </w:numPr>
        <w:jc w:val="both"/>
      </w:pPr>
      <w:r w:rsidRPr="007A2258">
        <w:t xml:space="preserve">The resubmission presented two </w:t>
      </w:r>
      <w:r w:rsidR="00900FE6" w:rsidRPr="007A2258">
        <w:t xml:space="preserve">supplementary </w:t>
      </w:r>
      <w:r w:rsidR="00FF1FE5" w:rsidRPr="007A2258">
        <w:t>randomised</w:t>
      </w:r>
      <w:r w:rsidRPr="007A2258">
        <w:t xml:space="preserve"> trials, IPERGAY (n=400) comparing an intermittent TDF/FTC dosing regimen and placebo, and ADAPT (n=357) comparing two intermittent TDF/FTC dosage regimens and daily TDF/FTC dosing, as supportive clinical evidence. </w:t>
      </w:r>
      <w:r w:rsidR="00182646" w:rsidRPr="007A2258">
        <w:t xml:space="preserve">Five </w:t>
      </w:r>
      <w:r w:rsidR="00792740" w:rsidRPr="007A2258">
        <w:t>non-</w:t>
      </w:r>
      <w:r w:rsidRPr="007A2258">
        <w:t xml:space="preserve">randomised observational studies of TDF/FTC as PrEP were also presented. These consisted of the iPrEx open label extension (OLE) study; three international demonstration studies (The Demo Project, Kaiser Permanente SF, PrEPare 2 YMSM) and </w:t>
      </w:r>
      <w:r w:rsidR="00182646" w:rsidRPr="007A2258">
        <w:t xml:space="preserve">one </w:t>
      </w:r>
      <w:r w:rsidRPr="007A2258">
        <w:t>Australian demonstration stud</w:t>
      </w:r>
      <w:r w:rsidR="00D92222" w:rsidRPr="007A2258">
        <w:t>y</w:t>
      </w:r>
      <w:r w:rsidRPr="007A2258">
        <w:t xml:space="preserve"> (VicPrEP</w:t>
      </w:r>
      <w:r w:rsidR="007C1E62" w:rsidRPr="007A2258">
        <w:t>)</w:t>
      </w:r>
      <w:r w:rsidR="00182646" w:rsidRPr="007A2258">
        <w:t xml:space="preserve">. Three additional Australian demonstration programs were identified and are ongoing with no information </w:t>
      </w:r>
      <w:r w:rsidR="003D23CB" w:rsidRPr="007A2258">
        <w:t xml:space="preserve">provided in the resubmission </w:t>
      </w:r>
      <w:r w:rsidR="008C42A2" w:rsidRPr="007A2258">
        <w:t>(</w:t>
      </w:r>
      <w:r w:rsidRPr="007A2258">
        <w:t>PrELUDE, EPIC, QPrEPd</w:t>
      </w:r>
      <w:r w:rsidR="008C42A2" w:rsidRPr="007A2258">
        <w:t>)</w:t>
      </w:r>
      <w:r w:rsidRPr="007A2258">
        <w:t>.</w:t>
      </w:r>
      <w:r w:rsidR="008C42A2" w:rsidRPr="007A2258">
        <w:t xml:space="preserve"> </w:t>
      </w:r>
      <w:r w:rsidRPr="007A2258">
        <w:t>Details of the studies presented in the resu</w:t>
      </w:r>
      <w:r w:rsidR="00FE73D1" w:rsidRPr="007A2258">
        <w:t>bmission are provided in Table</w:t>
      </w:r>
      <w:r w:rsidR="000975D2">
        <w:t>s</w:t>
      </w:r>
      <w:r w:rsidR="00FE73D1" w:rsidRPr="007A2258">
        <w:t xml:space="preserve"> 5</w:t>
      </w:r>
      <w:r w:rsidRPr="007A2258">
        <w:t xml:space="preserve"> and </w:t>
      </w:r>
      <w:r w:rsidR="00FE73D1" w:rsidRPr="007A2258">
        <w:t>6</w:t>
      </w:r>
      <w:r w:rsidRPr="007A2258">
        <w:t xml:space="preserve">.  </w:t>
      </w:r>
    </w:p>
    <w:p w:rsidR="00EE20D2" w:rsidRDefault="00EE20D2">
      <w:pPr>
        <w:spacing w:before="0" w:line="259" w:lineRule="auto"/>
      </w:pPr>
      <w:r>
        <w:br w:type="page"/>
      </w:r>
    </w:p>
    <w:p w:rsidR="00E14A65" w:rsidRPr="007A2258" w:rsidRDefault="00E14A65" w:rsidP="001F21B8">
      <w:pPr>
        <w:pStyle w:val="ListParagraph"/>
        <w:jc w:val="both"/>
      </w:pPr>
    </w:p>
    <w:p w:rsidR="00904455" w:rsidRDefault="00904455" w:rsidP="00904455">
      <w:pPr>
        <w:pStyle w:val="Caption"/>
      </w:pPr>
      <w:r>
        <w:t xml:space="preserve">Table </w:t>
      </w:r>
      <w:r w:rsidR="004F50B1">
        <w:rPr>
          <w:noProof/>
        </w:rPr>
        <w:t>5</w:t>
      </w:r>
      <w:r w:rsidRPr="0048283E">
        <w:t>: Randomised trials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46"/>
        <w:gridCol w:w="3851"/>
        <w:gridCol w:w="3785"/>
      </w:tblGrid>
      <w:tr w:rsidR="00E14A65" w:rsidRPr="007A2258" w:rsidTr="00920F57">
        <w:trPr>
          <w:tblHeader/>
        </w:trPr>
        <w:tc>
          <w:tcPr>
            <w:tcW w:w="796" w:type="pct"/>
          </w:tcPr>
          <w:p w:rsidR="00E14A65" w:rsidRPr="007A2258" w:rsidRDefault="00E14A65" w:rsidP="00E14A65">
            <w:pPr>
              <w:keepNext/>
              <w:widowControl w:val="0"/>
              <w:spacing w:before="0" w:after="0"/>
              <w:rPr>
                <w:rFonts w:ascii="Arial Narrow" w:eastAsia="Times New Roman" w:hAnsi="Arial Narrow" w:cs="Arial"/>
                <w:b/>
                <w:snapToGrid w:val="0"/>
                <w:sz w:val="20"/>
                <w:szCs w:val="20"/>
              </w:rPr>
            </w:pPr>
            <w:r w:rsidRPr="007A2258">
              <w:rPr>
                <w:rFonts w:ascii="Arial Narrow" w:eastAsia="Times New Roman" w:hAnsi="Arial Narrow" w:cs="Arial"/>
                <w:b/>
                <w:snapToGrid w:val="0"/>
                <w:sz w:val="20"/>
                <w:szCs w:val="20"/>
              </w:rPr>
              <w:t>Trial ID</w:t>
            </w:r>
          </w:p>
        </w:tc>
        <w:tc>
          <w:tcPr>
            <w:tcW w:w="2120" w:type="pct"/>
          </w:tcPr>
          <w:p w:rsidR="00E14A65" w:rsidRPr="007A2258" w:rsidRDefault="00E14A65" w:rsidP="00E14A65">
            <w:pPr>
              <w:keepNext/>
              <w:widowControl w:val="0"/>
              <w:spacing w:before="0" w:after="0"/>
              <w:jc w:val="center"/>
              <w:rPr>
                <w:rFonts w:ascii="Arial Narrow" w:eastAsia="Times New Roman" w:hAnsi="Arial Narrow" w:cs="Arial"/>
                <w:b/>
                <w:snapToGrid w:val="0"/>
                <w:sz w:val="20"/>
                <w:szCs w:val="20"/>
              </w:rPr>
            </w:pPr>
            <w:r w:rsidRPr="007A2258">
              <w:rPr>
                <w:rFonts w:ascii="Arial Narrow" w:eastAsia="Times New Roman" w:hAnsi="Arial Narrow" w:cs="Arial"/>
                <w:b/>
                <w:snapToGrid w:val="0"/>
                <w:sz w:val="20"/>
                <w:szCs w:val="20"/>
              </w:rPr>
              <w:t>Protocol title/ Publication title</w:t>
            </w:r>
          </w:p>
        </w:tc>
        <w:tc>
          <w:tcPr>
            <w:tcW w:w="2084" w:type="pct"/>
          </w:tcPr>
          <w:p w:rsidR="00E14A65" w:rsidRPr="007A2258" w:rsidRDefault="00E14A65" w:rsidP="00E14A65">
            <w:pPr>
              <w:keepNext/>
              <w:widowControl w:val="0"/>
              <w:spacing w:before="0" w:after="0"/>
              <w:jc w:val="center"/>
              <w:rPr>
                <w:rFonts w:ascii="Arial Narrow" w:eastAsia="Times New Roman" w:hAnsi="Arial Narrow" w:cs="Arial"/>
                <w:b/>
                <w:snapToGrid w:val="0"/>
                <w:sz w:val="20"/>
                <w:szCs w:val="20"/>
              </w:rPr>
            </w:pPr>
            <w:r w:rsidRPr="007A2258">
              <w:rPr>
                <w:rFonts w:ascii="Arial Narrow" w:eastAsia="Times New Roman" w:hAnsi="Arial Narrow" w:cs="Arial"/>
                <w:b/>
                <w:snapToGrid w:val="0"/>
                <w:sz w:val="20"/>
                <w:szCs w:val="20"/>
              </w:rPr>
              <w:t>Publication citation</w:t>
            </w:r>
          </w:p>
        </w:tc>
      </w:tr>
      <w:tr w:rsidR="00E14A65" w:rsidRPr="007A2258" w:rsidTr="00920F57">
        <w:tc>
          <w:tcPr>
            <w:tcW w:w="796" w:type="pct"/>
            <w:tcBorders>
              <w:bottom w:val="nil"/>
            </w:tcBorders>
          </w:tcPr>
          <w:p w:rsidR="00E14A65" w:rsidRPr="007A2258" w:rsidRDefault="00E14A65" w:rsidP="00E14A65">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IPERGAY</w:t>
            </w:r>
          </w:p>
          <w:p w:rsidR="00E14A65" w:rsidRPr="007A2258" w:rsidRDefault="00E14A65" w:rsidP="00E14A65">
            <w:pPr>
              <w:widowControl w:val="0"/>
              <w:spacing w:before="0" w:after="0"/>
              <w:rPr>
                <w:rFonts w:ascii="Arial Narrow" w:eastAsia="Times New Roman" w:hAnsi="Arial Narrow" w:cs="Arial"/>
                <w:snapToGrid w:val="0"/>
                <w:sz w:val="20"/>
                <w:szCs w:val="20"/>
                <w:highlight w:val="yellow"/>
              </w:rPr>
            </w:pPr>
            <w:r w:rsidRPr="007A2258">
              <w:rPr>
                <w:rFonts w:ascii="Arial Narrow" w:eastAsia="Times New Roman" w:hAnsi="Arial Narrow" w:cs="Arial"/>
                <w:snapToGrid w:val="0"/>
                <w:sz w:val="20"/>
                <w:szCs w:val="20"/>
              </w:rPr>
              <w:t>NCT: 01473472</w:t>
            </w:r>
          </w:p>
        </w:tc>
        <w:tc>
          <w:tcPr>
            <w:tcW w:w="2120" w:type="pct"/>
            <w:tcBorders>
              <w:bottom w:val="nil"/>
            </w:tcBorders>
          </w:tcPr>
          <w:p w:rsidR="00E14A65" w:rsidRPr="007A2258" w:rsidRDefault="00E14A65" w:rsidP="00E14A65">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Molina JM, Capitant C, Spire B, Pialoux G, et al. On-Demand Preexposure Prophylaxis in Men at High Risk for HIV-1 Infection.</w:t>
            </w:r>
          </w:p>
          <w:p w:rsidR="00E14A65" w:rsidRPr="007A2258" w:rsidRDefault="00E14A65" w:rsidP="00E14A65">
            <w:pPr>
              <w:widowControl w:val="0"/>
              <w:spacing w:before="0" w:after="0"/>
              <w:rPr>
                <w:rFonts w:ascii="Arial Narrow" w:eastAsia="Times New Roman" w:hAnsi="Arial Narrow" w:cs="Arial"/>
                <w:snapToGrid w:val="0"/>
                <w:sz w:val="20"/>
                <w:szCs w:val="20"/>
              </w:rPr>
            </w:pPr>
          </w:p>
          <w:p w:rsidR="00E14A65" w:rsidRPr="007A2258" w:rsidRDefault="00E14A65" w:rsidP="00E14A65">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Protocol for: Molina J-M, Capitant C, Spire B, et al. On-demand preexposure prophylaxis in men at high risk for HIV-1 infection.</w:t>
            </w:r>
          </w:p>
          <w:p w:rsidR="00E14A65" w:rsidRPr="007A2258" w:rsidRDefault="00E14A65" w:rsidP="00E14A65">
            <w:pPr>
              <w:widowControl w:val="0"/>
              <w:spacing w:before="0" w:after="0"/>
              <w:rPr>
                <w:rFonts w:ascii="Arial Narrow" w:eastAsia="Times New Roman" w:hAnsi="Arial Narrow" w:cs="Arial"/>
                <w:snapToGrid w:val="0"/>
                <w:sz w:val="20"/>
                <w:szCs w:val="20"/>
              </w:rPr>
            </w:pPr>
          </w:p>
        </w:tc>
        <w:tc>
          <w:tcPr>
            <w:tcW w:w="2084" w:type="pct"/>
            <w:tcBorders>
              <w:bottom w:val="nil"/>
            </w:tcBorders>
          </w:tcPr>
          <w:p w:rsidR="00E14A65" w:rsidRPr="007A2258" w:rsidRDefault="00E14A65" w:rsidP="00E14A65">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New Engl J Med 2015; 373 (23):2237-2246.</w:t>
            </w:r>
          </w:p>
          <w:p w:rsidR="00E14A65" w:rsidRPr="007A2258" w:rsidRDefault="00E14A65" w:rsidP="00E14A65">
            <w:pPr>
              <w:widowControl w:val="0"/>
              <w:spacing w:before="0" w:after="0"/>
              <w:rPr>
                <w:rFonts w:ascii="Arial Narrow" w:eastAsia="Times New Roman" w:hAnsi="Arial Narrow" w:cs="Arial"/>
                <w:snapToGrid w:val="0"/>
                <w:sz w:val="20"/>
                <w:szCs w:val="20"/>
              </w:rPr>
            </w:pPr>
          </w:p>
        </w:tc>
      </w:tr>
      <w:tr w:rsidR="00E14A65" w:rsidRPr="007A2258" w:rsidTr="00920F57">
        <w:tc>
          <w:tcPr>
            <w:tcW w:w="796" w:type="pct"/>
            <w:tcBorders>
              <w:top w:val="nil"/>
              <w:bottom w:val="single" w:sz="4" w:space="0" w:color="auto"/>
            </w:tcBorders>
          </w:tcPr>
          <w:p w:rsidR="00E14A65" w:rsidRPr="007A2258" w:rsidRDefault="00E14A65" w:rsidP="00E14A65">
            <w:pPr>
              <w:widowControl w:val="0"/>
              <w:spacing w:before="0" w:after="0"/>
              <w:rPr>
                <w:rFonts w:ascii="Arial Narrow" w:eastAsia="Times New Roman" w:hAnsi="Arial Narrow" w:cs="Arial"/>
                <w:snapToGrid w:val="0"/>
                <w:sz w:val="20"/>
                <w:szCs w:val="20"/>
              </w:rPr>
            </w:pPr>
          </w:p>
        </w:tc>
        <w:tc>
          <w:tcPr>
            <w:tcW w:w="2120" w:type="pct"/>
            <w:tcBorders>
              <w:top w:val="nil"/>
              <w:bottom w:val="single" w:sz="4" w:space="0" w:color="auto"/>
            </w:tcBorders>
          </w:tcPr>
          <w:p w:rsidR="00E14A65" w:rsidRPr="007A2258" w:rsidRDefault="00E14A65" w:rsidP="00E14A65">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Sagaon-Teyssier L, Suzan-Monti M, Demoulin B, Capitant C et al. Uptake of PrEP and condom and sexual risk behaviour among MSM during the ANRS IPERGARY trial</w:t>
            </w:r>
          </w:p>
        </w:tc>
        <w:tc>
          <w:tcPr>
            <w:tcW w:w="2084" w:type="pct"/>
            <w:tcBorders>
              <w:top w:val="nil"/>
              <w:bottom w:val="single" w:sz="4" w:space="0" w:color="auto"/>
            </w:tcBorders>
          </w:tcPr>
          <w:p w:rsidR="00E14A65" w:rsidRPr="007A2258" w:rsidRDefault="00E14A65" w:rsidP="00E14A65">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AIDS CARE 2016; 28 (S1): 48-55</w:t>
            </w:r>
          </w:p>
        </w:tc>
      </w:tr>
      <w:tr w:rsidR="00E14A65" w:rsidRPr="007A2258" w:rsidTr="00920F57">
        <w:tc>
          <w:tcPr>
            <w:tcW w:w="796" w:type="pct"/>
            <w:tcBorders>
              <w:bottom w:val="nil"/>
            </w:tcBorders>
          </w:tcPr>
          <w:p w:rsidR="00E14A65" w:rsidRPr="007A2258" w:rsidRDefault="00E14A65" w:rsidP="00E14A65">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067/ADAPT</w:t>
            </w:r>
          </w:p>
          <w:p w:rsidR="00E14A65" w:rsidRPr="007A2258" w:rsidRDefault="00E14A65" w:rsidP="00E14A65">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NCT013227651</w:t>
            </w:r>
          </w:p>
        </w:tc>
        <w:tc>
          <w:tcPr>
            <w:tcW w:w="2120" w:type="pct"/>
            <w:tcBorders>
              <w:bottom w:val="nil"/>
            </w:tcBorders>
          </w:tcPr>
          <w:p w:rsidR="00E14A65" w:rsidRPr="007A2258" w:rsidRDefault="00E14A65" w:rsidP="00E14A65">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Mannheimer S, Hirsch-Moverman Y, Loquere A, Franks J, Hughes J et al. HPTN 067/ADAPT study: a comparison of daily and intermittent pre-exposure prophylaxis dosing for HIV prevention in men who have sex with men and transgender women in New York City</w:t>
            </w:r>
          </w:p>
          <w:p w:rsidR="00E14A65" w:rsidRPr="007A2258" w:rsidRDefault="00E14A65" w:rsidP="00E14A65">
            <w:pPr>
              <w:widowControl w:val="0"/>
              <w:spacing w:before="0" w:after="0"/>
              <w:rPr>
                <w:rFonts w:ascii="Arial Narrow" w:eastAsia="Times New Roman" w:hAnsi="Arial Narrow" w:cs="Arial"/>
                <w:snapToGrid w:val="0"/>
                <w:sz w:val="20"/>
                <w:szCs w:val="20"/>
              </w:rPr>
            </w:pPr>
          </w:p>
        </w:tc>
        <w:tc>
          <w:tcPr>
            <w:tcW w:w="2084" w:type="pct"/>
            <w:tcBorders>
              <w:bottom w:val="nil"/>
            </w:tcBorders>
          </w:tcPr>
          <w:p w:rsidR="00E14A65" w:rsidRPr="007A2258" w:rsidRDefault="00E14A65" w:rsidP="00E14A65">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Journal of the International AIDS Society, 2015; 18 (Suppl 4):24-25</w:t>
            </w:r>
          </w:p>
          <w:p w:rsidR="00E14A65" w:rsidRPr="007A2258" w:rsidRDefault="00E14A65" w:rsidP="00E14A65">
            <w:pPr>
              <w:widowControl w:val="0"/>
              <w:spacing w:before="0" w:after="0"/>
              <w:rPr>
                <w:rFonts w:ascii="Arial Narrow" w:eastAsia="Times New Roman" w:hAnsi="Arial Narrow" w:cs="Arial"/>
                <w:b/>
                <w:snapToGrid w:val="0"/>
                <w:sz w:val="20"/>
                <w:szCs w:val="20"/>
              </w:rPr>
            </w:pPr>
          </w:p>
        </w:tc>
      </w:tr>
      <w:tr w:rsidR="00E14A65" w:rsidRPr="007A2258" w:rsidTr="00920F57">
        <w:tc>
          <w:tcPr>
            <w:tcW w:w="796" w:type="pct"/>
            <w:tcBorders>
              <w:top w:val="nil"/>
            </w:tcBorders>
          </w:tcPr>
          <w:p w:rsidR="00E14A65" w:rsidRPr="007A2258" w:rsidRDefault="00E14A65" w:rsidP="00E14A65">
            <w:pPr>
              <w:widowControl w:val="0"/>
              <w:spacing w:before="0" w:after="0"/>
              <w:rPr>
                <w:rFonts w:ascii="Arial Narrow" w:eastAsia="Times New Roman" w:hAnsi="Arial Narrow" w:cs="Arial"/>
                <w:snapToGrid w:val="0"/>
                <w:sz w:val="20"/>
                <w:szCs w:val="20"/>
              </w:rPr>
            </w:pPr>
          </w:p>
        </w:tc>
        <w:tc>
          <w:tcPr>
            <w:tcW w:w="2120" w:type="pct"/>
            <w:tcBorders>
              <w:top w:val="nil"/>
            </w:tcBorders>
          </w:tcPr>
          <w:p w:rsidR="00E14A65" w:rsidRPr="007A2258" w:rsidRDefault="00E14A65" w:rsidP="00E14A65">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Holtz TH, Chitwarakorn A, Curlin ME, Hughes J et al. HPTN 067/ADAPT study: a comparison of daily and non-daily pre-exposure prophylaxis dosing in Thai men who have sex with men, Bangkok, Thailand </w:t>
            </w:r>
          </w:p>
        </w:tc>
        <w:tc>
          <w:tcPr>
            <w:tcW w:w="2084" w:type="pct"/>
            <w:tcBorders>
              <w:top w:val="nil"/>
            </w:tcBorders>
          </w:tcPr>
          <w:p w:rsidR="00E14A65" w:rsidRPr="007A2258" w:rsidRDefault="00E14A65" w:rsidP="00E14A65">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Journal of the International AIDS Society, 2015; 18 (Suppl 4):25-26</w:t>
            </w:r>
          </w:p>
        </w:tc>
      </w:tr>
    </w:tbl>
    <w:p w:rsidR="00E14A65" w:rsidRPr="007A2258" w:rsidRDefault="00561B5C" w:rsidP="00E14A65">
      <w:pPr>
        <w:widowControl w:val="0"/>
        <w:spacing w:before="0" w:after="60"/>
        <w:rPr>
          <w:rFonts w:ascii="Arial Narrow" w:eastAsia="Calibri" w:hAnsi="Arial Narrow" w:cs="Arial"/>
          <w:sz w:val="20"/>
        </w:rPr>
      </w:pPr>
      <w:r w:rsidRPr="007A2258">
        <w:rPr>
          <w:rFonts w:ascii="Arial Narrow" w:eastAsia="Calibri" w:hAnsi="Arial Narrow" w:cs="Arial"/>
          <w:sz w:val="20"/>
        </w:rPr>
        <w:t>Source: Table</w:t>
      </w:r>
      <w:r w:rsidR="00E14A65" w:rsidRPr="007A2258">
        <w:rPr>
          <w:rFonts w:ascii="Arial Narrow" w:eastAsia="Calibri" w:hAnsi="Arial Narrow" w:cs="Arial"/>
          <w:sz w:val="20"/>
        </w:rPr>
        <w:t xml:space="preserve"> B.3, p.35 of the resubmission. Tab</w:t>
      </w:r>
      <w:r w:rsidR="000A3751" w:rsidRPr="007A2258">
        <w:rPr>
          <w:rFonts w:ascii="Arial Narrow" w:eastAsia="Calibri" w:hAnsi="Arial Narrow" w:cs="Arial"/>
          <w:sz w:val="20"/>
        </w:rPr>
        <w:t>le 1, p.4, 6.06, Truvada®, emtrici</w:t>
      </w:r>
      <w:r w:rsidR="00E14A65" w:rsidRPr="007A2258">
        <w:rPr>
          <w:rFonts w:ascii="Arial Narrow" w:eastAsia="Calibri" w:hAnsi="Arial Narrow" w:cs="Arial"/>
          <w:sz w:val="20"/>
        </w:rPr>
        <w:t>tabine 200mg/tenofovir disoproxil fumarate 300mg, PSD July 2016</w:t>
      </w:r>
    </w:p>
    <w:p w:rsidR="00BB7199" w:rsidRPr="007A2258" w:rsidRDefault="00E14A65" w:rsidP="00A51544">
      <w:pPr>
        <w:widowControl w:val="0"/>
        <w:spacing w:before="0" w:after="60"/>
        <w:rPr>
          <w:rFonts w:ascii="Arial Narrow" w:eastAsia="Calibri" w:hAnsi="Arial Narrow" w:cs="Arial"/>
          <w:sz w:val="20"/>
        </w:rPr>
      </w:pPr>
      <w:r w:rsidRPr="007A2258">
        <w:rPr>
          <w:rFonts w:ascii="Arial Narrow" w:eastAsia="Calibri" w:hAnsi="Arial Narrow" w:cs="Arial"/>
          <w:sz w:val="20"/>
          <w:vertAlign w:val="superscript"/>
        </w:rPr>
        <w:t>1</w:t>
      </w:r>
      <w:r w:rsidRPr="007A2258">
        <w:rPr>
          <w:rFonts w:ascii="Arial Narrow" w:eastAsia="Calibri" w:hAnsi="Arial Narrow" w:cs="Arial"/>
          <w:sz w:val="20"/>
        </w:rPr>
        <w:t>The July 2016 submission reported Thigpen et al. to be published in 2015, but the article was published in 2012</w:t>
      </w:r>
      <w:r w:rsidR="005F577E" w:rsidRPr="007A2258">
        <w:rPr>
          <w:rFonts w:ascii="Arial Narrow" w:eastAsia="Calibri" w:hAnsi="Arial Narrow" w:cs="Arial"/>
          <w:sz w:val="20"/>
        </w:rPr>
        <w:t>.</w:t>
      </w:r>
    </w:p>
    <w:p w:rsidR="00EE20D2" w:rsidRDefault="00EE20D2">
      <w:pPr>
        <w:spacing w:before="0" w:line="259" w:lineRule="auto"/>
        <w:rPr>
          <w:rFonts w:ascii="Arial Narrow" w:hAnsi="Arial Narrow"/>
          <w:b/>
          <w:iCs/>
          <w:sz w:val="20"/>
          <w:szCs w:val="18"/>
        </w:rPr>
      </w:pPr>
      <w:r>
        <w:br w:type="page"/>
      </w:r>
    </w:p>
    <w:p w:rsidR="00904455" w:rsidRDefault="00904455" w:rsidP="00904455">
      <w:pPr>
        <w:pStyle w:val="Caption"/>
      </w:pPr>
      <w:r>
        <w:t xml:space="preserve">Table </w:t>
      </w:r>
      <w:r w:rsidR="004F50B1">
        <w:rPr>
          <w:noProof/>
        </w:rPr>
        <w:t>6</w:t>
      </w:r>
      <w:r w:rsidRPr="00C91DC3">
        <w:t>: Studies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55"/>
        <w:gridCol w:w="2180"/>
        <w:gridCol w:w="5547"/>
      </w:tblGrid>
      <w:tr w:rsidR="00FF1FE5" w:rsidRPr="007A2258" w:rsidTr="008C42A2">
        <w:trPr>
          <w:cantSplit/>
          <w:tblHeader/>
        </w:trPr>
        <w:tc>
          <w:tcPr>
            <w:tcW w:w="746" w:type="pct"/>
            <w:tcBorders>
              <w:top w:val="single" w:sz="4" w:space="0" w:color="auto"/>
              <w:left w:val="single" w:sz="4" w:space="0" w:color="auto"/>
              <w:bottom w:val="single" w:sz="4" w:space="0" w:color="auto"/>
              <w:right w:val="single" w:sz="4" w:space="0" w:color="auto"/>
            </w:tcBorders>
            <w:vAlign w:val="center"/>
          </w:tcPr>
          <w:p w:rsidR="00FF1FE5" w:rsidRPr="007A2258" w:rsidRDefault="00FF1FE5" w:rsidP="00A9621E">
            <w:pPr>
              <w:widowControl w:val="0"/>
              <w:spacing w:before="0" w:after="0"/>
              <w:rPr>
                <w:rFonts w:ascii="Arial Narrow" w:eastAsia="Times New Roman" w:hAnsi="Arial Narrow" w:cs="Arial"/>
                <w:b/>
                <w:bCs/>
                <w:sz w:val="20"/>
                <w:szCs w:val="20"/>
                <w:lang w:eastAsia="en-AU"/>
              </w:rPr>
            </w:pPr>
            <w:r w:rsidRPr="007A2258">
              <w:rPr>
                <w:rFonts w:ascii="Arial Narrow" w:eastAsia="Times New Roman" w:hAnsi="Arial Narrow" w:cs="Arial"/>
                <w:b/>
                <w:bCs/>
                <w:sz w:val="20"/>
                <w:szCs w:val="20"/>
                <w:lang w:eastAsia="en-AU"/>
              </w:rPr>
              <w:t>Study</w:t>
            </w:r>
          </w:p>
        </w:tc>
        <w:tc>
          <w:tcPr>
            <w:tcW w:w="1200" w:type="pct"/>
            <w:tcBorders>
              <w:top w:val="single" w:sz="4" w:space="0" w:color="auto"/>
              <w:left w:val="single" w:sz="4" w:space="0" w:color="auto"/>
              <w:bottom w:val="single" w:sz="4" w:space="0" w:color="auto"/>
              <w:right w:val="single" w:sz="4" w:space="0" w:color="auto"/>
            </w:tcBorders>
            <w:vAlign w:val="center"/>
          </w:tcPr>
          <w:p w:rsidR="00FF1FE5" w:rsidRPr="007A2258" w:rsidRDefault="00FF1FE5" w:rsidP="00A9621E">
            <w:pPr>
              <w:widowControl w:val="0"/>
              <w:spacing w:before="0" w:after="0"/>
              <w:jc w:val="center"/>
              <w:rPr>
                <w:rFonts w:ascii="Arial Narrow" w:eastAsia="Times New Roman" w:hAnsi="Arial Narrow" w:cs="Arial"/>
                <w:b/>
                <w:bCs/>
                <w:sz w:val="20"/>
                <w:szCs w:val="20"/>
                <w:lang w:eastAsia="en-AU"/>
              </w:rPr>
            </w:pPr>
            <w:r w:rsidRPr="007A2258">
              <w:rPr>
                <w:rFonts w:ascii="Arial Narrow" w:eastAsia="Times New Roman" w:hAnsi="Arial Narrow" w:cs="Arial"/>
                <w:b/>
                <w:bCs/>
                <w:sz w:val="20"/>
                <w:szCs w:val="20"/>
                <w:lang w:eastAsia="en-AU"/>
              </w:rPr>
              <w:t>Description</w:t>
            </w:r>
          </w:p>
        </w:tc>
        <w:tc>
          <w:tcPr>
            <w:tcW w:w="3054" w:type="pct"/>
            <w:tcBorders>
              <w:top w:val="single" w:sz="4" w:space="0" w:color="auto"/>
              <w:left w:val="single" w:sz="4" w:space="0" w:color="auto"/>
              <w:bottom w:val="single" w:sz="4" w:space="0" w:color="auto"/>
              <w:right w:val="single" w:sz="4" w:space="0" w:color="auto"/>
            </w:tcBorders>
            <w:vAlign w:val="center"/>
          </w:tcPr>
          <w:p w:rsidR="00FF1FE5" w:rsidRPr="007A2258" w:rsidRDefault="00FF1FE5" w:rsidP="00A9621E">
            <w:pPr>
              <w:widowControl w:val="0"/>
              <w:spacing w:before="0" w:after="0"/>
              <w:jc w:val="center"/>
              <w:rPr>
                <w:rFonts w:ascii="Arial Narrow" w:eastAsia="Times New Roman" w:hAnsi="Arial Narrow" w:cs="Arial"/>
                <w:b/>
                <w:bCs/>
                <w:sz w:val="20"/>
                <w:szCs w:val="20"/>
                <w:lang w:eastAsia="en-AU"/>
              </w:rPr>
            </w:pPr>
            <w:r w:rsidRPr="007A2258">
              <w:rPr>
                <w:rFonts w:ascii="Arial Narrow" w:eastAsia="Times New Roman" w:hAnsi="Arial Narrow" w:cs="Arial"/>
                <w:b/>
                <w:bCs/>
                <w:sz w:val="20"/>
                <w:szCs w:val="20"/>
                <w:lang w:eastAsia="en-AU"/>
              </w:rPr>
              <w:t>Reports</w:t>
            </w:r>
          </w:p>
        </w:tc>
      </w:tr>
      <w:tr w:rsidR="00E14A65" w:rsidRPr="007A2258" w:rsidTr="00A9621E">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rsidR="00E14A65" w:rsidRPr="007A2258" w:rsidRDefault="00E14A65" w:rsidP="00A9621E">
            <w:pPr>
              <w:widowControl w:val="0"/>
              <w:spacing w:before="0" w:after="0"/>
              <w:rPr>
                <w:rFonts w:ascii="Arial Narrow" w:eastAsia="Times New Roman" w:hAnsi="Arial Narrow" w:cs="Arial"/>
                <w:b/>
                <w:bCs/>
                <w:sz w:val="20"/>
                <w:szCs w:val="20"/>
                <w:lang w:eastAsia="en-AU"/>
              </w:rPr>
            </w:pPr>
            <w:r w:rsidRPr="007A2258">
              <w:rPr>
                <w:rFonts w:ascii="Arial Narrow" w:eastAsia="Times New Roman" w:hAnsi="Arial Narrow" w:cs="Arial"/>
                <w:b/>
                <w:bCs/>
                <w:sz w:val="20"/>
                <w:szCs w:val="20"/>
                <w:lang w:eastAsia="en-AU"/>
              </w:rPr>
              <w:t>TDF/FTC</w:t>
            </w:r>
          </w:p>
        </w:tc>
      </w:tr>
      <w:tr w:rsidR="00E14A65" w:rsidRPr="007A2258" w:rsidTr="00A9621E">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rsidR="00E14A65" w:rsidRPr="007A2258" w:rsidRDefault="00E14A65" w:rsidP="00A9621E">
            <w:pPr>
              <w:widowControl w:val="0"/>
              <w:spacing w:before="0" w:after="0"/>
              <w:rPr>
                <w:rFonts w:ascii="Arial Narrow" w:eastAsia="Times New Roman" w:hAnsi="Arial Narrow" w:cs="Arial"/>
                <w:iCs/>
                <w:sz w:val="20"/>
                <w:szCs w:val="20"/>
                <w:lang w:eastAsia="en-AU"/>
              </w:rPr>
            </w:pPr>
            <w:r w:rsidRPr="007A2258">
              <w:rPr>
                <w:rFonts w:ascii="Arial Narrow" w:eastAsia="Times New Roman" w:hAnsi="Arial Narrow" w:cs="Arial"/>
                <w:iCs/>
                <w:sz w:val="20"/>
                <w:szCs w:val="20"/>
                <w:lang w:eastAsia="en-AU"/>
              </w:rPr>
              <w:t>Nonrandomised studies presented in the resubmission</w:t>
            </w:r>
          </w:p>
        </w:tc>
      </w:tr>
      <w:tr w:rsidR="00FF1FE5" w:rsidRPr="007A2258" w:rsidTr="008C42A2">
        <w:trPr>
          <w:cantSplit/>
          <w:trHeight w:val="920"/>
        </w:trPr>
        <w:tc>
          <w:tcPr>
            <w:tcW w:w="746" w:type="pct"/>
            <w:tcBorders>
              <w:top w:val="single" w:sz="4" w:space="0" w:color="auto"/>
              <w:left w:val="single" w:sz="4" w:space="0" w:color="auto"/>
              <w:bottom w:val="single" w:sz="4" w:space="0" w:color="auto"/>
              <w:right w:val="single" w:sz="4" w:space="0" w:color="auto"/>
            </w:tcBorders>
            <w:vAlign w:val="center"/>
          </w:tcPr>
          <w:p w:rsidR="00FF1FE5" w:rsidRPr="007A2258" w:rsidRDefault="00FF1FE5" w:rsidP="00A9621E">
            <w:pPr>
              <w:widowControl w:val="0"/>
              <w:spacing w:before="0" w:after="0"/>
              <w:rPr>
                <w:rFonts w:ascii="Arial Narrow" w:eastAsia="Times New Roman" w:hAnsi="Arial Narrow" w:cs="Arial"/>
                <w:sz w:val="20"/>
                <w:szCs w:val="20"/>
                <w:lang w:eastAsia="en-AU"/>
              </w:rPr>
            </w:pPr>
            <w:r w:rsidRPr="007A2258">
              <w:rPr>
                <w:rFonts w:ascii="Arial Narrow" w:eastAsia="Times New Roman" w:hAnsi="Arial Narrow" w:cs="Arial"/>
                <w:sz w:val="20"/>
                <w:szCs w:val="20"/>
                <w:lang w:eastAsia="en-AU"/>
              </w:rPr>
              <w:t>IPrEx OLE</w:t>
            </w:r>
          </w:p>
        </w:tc>
        <w:tc>
          <w:tcPr>
            <w:tcW w:w="1200" w:type="pct"/>
            <w:tcBorders>
              <w:top w:val="single" w:sz="4" w:space="0" w:color="auto"/>
              <w:left w:val="single" w:sz="4" w:space="0" w:color="auto"/>
              <w:bottom w:val="single" w:sz="4" w:space="0" w:color="auto"/>
              <w:right w:val="single" w:sz="4" w:space="0" w:color="auto"/>
            </w:tcBorders>
          </w:tcPr>
          <w:p w:rsidR="00FF1FE5" w:rsidRPr="007A2258" w:rsidRDefault="00FF1FE5" w:rsidP="00A9621E">
            <w:pPr>
              <w:widowControl w:val="0"/>
              <w:spacing w:before="0" w:after="0"/>
              <w:rPr>
                <w:rFonts w:ascii="Arial Narrow" w:eastAsia="Times New Roman" w:hAnsi="Arial Narrow" w:cs="Arial"/>
                <w:sz w:val="20"/>
                <w:szCs w:val="20"/>
                <w:lang w:eastAsia="en-AU"/>
              </w:rPr>
            </w:pPr>
            <w:r w:rsidRPr="007A2258">
              <w:rPr>
                <w:rFonts w:ascii="Arial Narrow" w:eastAsia="Times New Roman" w:hAnsi="Arial Narrow" w:cs="Arial"/>
                <w:sz w:val="20"/>
                <w:szCs w:val="20"/>
                <w:lang w:eastAsia="en-AU"/>
              </w:rPr>
              <w:t>OLE, daily dosing of TDF/FTC</w:t>
            </w:r>
          </w:p>
        </w:tc>
        <w:tc>
          <w:tcPr>
            <w:tcW w:w="3054" w:type="pct"/>
            <w:tcBorders>
              <w:top w:val="single" w:sz="4" w:space="0" w:color="auto"/>
              <w:left w:val="single" w:sz="4" w:space="0" w:color="auto"/>
              <w:bottom w:val="single" w:sz="4" w:space="0" w:color="auto"/>
              <w:right w:val="single" w:sz="4" w:space="0" w:color="auto"/>
            </w:tcBorders>
          </w:tcPr>
          <w:p w:rsidR="00FF1FE5" w:rsidRPr="007A2258" w:rsidRDefault="00FF1FE5" w:rsidP="00A9621E">
            <w:pPr>
              <w:widowControl w:val="0"/>
              <w:spacing w:before="0" w:after="0"/>
              <w:rPr>
                <w:rFonts w:ascii="Arial Narrow" w:eastAsia="Times New Roman" w:hAnsi="Arial Narrow" w:cs="Arial"/>
                <w:sz w:val="20"/>
                <w:szCs w:val="20"/>
                <w:lang w:eastAsia="en-AU"/>
              </w:rPr>
            </w:pPr>
            <w:r w:rsidRPr="007A2258">
              <w:rPr>
                <w:rFonts w:ascii="Arial Narrow" w:eastAsia="Times New Roman" w:hAnsi="Arial Narrow" w:cs="Arial"/>
                <w:sz w:val="20"/>
                <w:szCs w:val="20"/>
                <w:lang w:eastAsia="en-AU"/>
              </w:rPr>
              <w:t>Grant RM, Anderson PL, McMahan V, Liu A, Mehrotra M, et al. Uptake of pre-exposure prophylaxis, sexual practices, and HIV incidence in men and transgender women who have sex with men: a cohort study. Lancet Infect Dis 2014; 14(9):820-829</w:t>
            </w:r>
          </w:p>
        </w:tc>
      </w:tr>
      <w:tr w:rsidR="00FF1FE5" w:rsidRPr="007A2258" w:rsidTr="008C42A2">
        <w:trPr>
          <w:cantSplit/>
          <w:trHeight w:val="920"/>
        </w:trPr>
        <w:tc>
          <w:tcPr>
            <w:tcW w:w="746" w:type="pct"/>
            <w:tcBorders>
              <w:top w:val="single" w:sz="4" w:space="0" w:color="auto"/>
              <w:left w:val="single" w:sz="4" w:space="0" w:color="auto"/>
              <w:bottom w:val="single" w:sz="4" w:space="0" w:color="auto"/>
              <w:right w:val="single" w:sz="4" w:space="0" w:color="auto"/>
            </w:tcBorders>
            <w:vAlign w:val="center"/>
          </w:tcPr>
          <w:p w:rsidR="00FF1FE5" w:rsidRPr="007A2258" w:rsidRDefault="00FF1FE5" w:rsidP="00A9621E">
            <w:pPr>
              <w:widowControl w:val="0"/>
              <w:spacing w:before="0" w:after="0"/>
              <w:rPr>
                <w:rFonts w:ascii="Arial Narrow" w:eastAsia="Times New Roman" w:hAnsi="Arial Narrow" w:cs="Arial"/>
                <w:sz w:val="20"/>
                <w:szCs w:val="20"/>
                <w:lang w:eastAsia="en-AU"/>
              </w:rPr>
            </w:pPr>
            <w:r w:rsidRPr="007A2258">
              <w:rPr>
                <w:rFonts w:ascii="Arial Narrow" w:eastAsia="Times New Roman" w:hAnsi="Arial Narrow" w:cs="Arial"/>
                <w:sz w:val="20"/>
                <w:szCs w:val="20"/>
                <w:lang w:eastAsia="en-AU"/>
              </w:rPr>
              <w:t>The Demo Project US</w:t>
            </w:r>
          </w:p>
        </w:tc>
        <w:tc>
          <w:tcPr>
            <w:tcW w:w="1200" w:type="pct"/>
            <w:tcBorders>
              <w:top w:val="single" w:sz="4" w:space="0" w:color="auto"/>
              <w:left w:val="single" w:sz="4" w:space="0" w:color="auto"/>
              <w:bottom w:val="single" w:sz="4" w:space="0" w:color="auto"/>
              <w:right w:val="single" w:sz="4" w:space="0" w:color="auto"/>
            </w:tcBorders>
          </w:tcPr>
          <w:p w:rsidR="00FF1FE5" w:rsidRPr="007A2258" w:rsidRDefault="00FF1FE5" w:rsidP="00A9621E">
            <w:pPr>
              <w:widowControl w:val="0"/>
              <w:spacing w:before="0" w:after="0"/>
              <w:rPr>
                <w:rFonts w:ascii="Arial Narrow" w:eastAsia="Times New Roman" w:hAnsi="Arial Narrow" w:cs="Arial"/>
                <w:sz w:val="20"/>
                <w:szCs w:val="20"/>
                <w:lang w:eastAsia="en-AU"/>
              </w:rPr>
            </w:pPr>
            <w:r w:rsidRPr="007A2258">
              <w:rPr>
                <w:rFonts w:ascii="Arial Narrow" w:eastAsia="Times New Roman" w:hAnsi="Arial Narrow" w:cs="Arial"/>
                <w:sz w:val="20"/>
                <w:szCs w:val="20"/>
                <w:lang w:eastAsia="en-AU"/>
              </w:rPr>
              <w:t xml:space="preserve">Observational study in US. Daily dosing of TDF/FTC (PrEP) </w:t>
            </w:r>
          </w:p>
        </w:tc>
        <w:tc>
          <w:tcPr>
            <w:tcW w:w="3054" w:type="pct"/>
            <w:tcBorders>
              <w:top w:val="single" w:sz="4" w:space="0" w:color="auto"/>
              <w:left w:val="single" w:sz="4" w:space="0" w:color="auto"/>
              <w:bottom w:val="single" w:sz="4" w:space="0" w:color="auto"/>
              <w:right w:val="single" w:sz="4" w:space="0" w:color="auto"/>
            </w:tcBorders>
          </w:tcPr>
          <w:p w:rsidR="00FF1FE5" w:rsidRPr="007A2258" w:rsidRDefault="00FF1FE5" w:rsidP="00A9621E">
            <w:pPr>
              <w:widowControl w:val="0"/>
              <w:spacing w:before="0" w:after="0"/>
              <w:rPr>
                <w:rFonts w:ascii="Arial Narrow" w:eastAsia="Times New Roman" w:hAnsi="Arial Narrow" w:cs="Arial"/>
                <w:sz w:val="20"/>
                <w:szCs w:val="20"/>
                <w:lang w:eastAsia="en-AU"/>
              </w:rPr>
            </w:pPr>
            <w:r w:rsidRPr="007A2258">
              <w:rPr>
                <w:rFonts w:ascii="Arial Narrow" w:eastAsia="Times New Roman" w:hAnsi="Arial Narrow" w:cs="Arial"/>
                <w:sz w:val="20"/>
                <w:szCs w:val="20"/>
                <w:lang w:eastAsia="en-AU"/>
              </w:rPr>
              <w:t>Liu AY, Cohen SE, Vittinghoff E, Anderson PL, Doblecki-Lewis S, et al. HIV Pre-Exposure Prophylaxis Integrated with Municipal and Community Based Sexual Health Services. JAMA Intern Med 2016; 176(1):75-84</w:t>
            </w:r>
          </w:p>
          <w:p w:rsidR="00FF1FE5" w:rsidRPr="007A2258" w:rsidRDefault="00FF1FE5" w:rsidP="00A9621E">
            <w:pPr>
              <w:widowControl w:val="0"/>
              <w:spacing w:before="0" w:after="0"/>
              <w:rPr>
                <w:rFonts w:ascii="Arial Narrow" w:eastAsia="Times New Roman" w:hAnsi="Arial Narrow" w:cs="Arial"/>
                <w:sz w:val="20"/>
                <w:szCs w:val="20"/>
                <w:lang w:eastAsia="en-AU"/>
              </w:rPr>
            </w:pPr>
          </w:p>
          <w:p w:rsidR="00FF1FE5" w:rsidRPr="007A2258" w:rsidRDefault="00FF1FE5" w:rsidP="00A9621E">
            <w:pPr>
              <w:widowControl w:val="0"/>
              <w:spacing w:before="0" w:after="0"/>
              <w:rPr>
                <w:rFonts w:ascii="Arial Narrow" w:eastAsia="Times New Roman" w:hAnsi="Arial Narrow" w:cs="Arial"/>
                <w:sz w:val="20"/>
                <w:szCs w:val="20"/>
                <w:lang w:eastAsia="en-AU"/>
              </w:rPr>
            </w:pPr>
            <w:r w:rsidRPr="007A2258">
              <w:rPr>
                <w:rFonts w:ascii="Arial Narrow" w:eastAsia="Times New Roman" w:hAnsi="Arial Narrow" w:cs="Arial"/>
                <w:sz w:val="20"/>
                <w:szCs w:val="20"/>
                <w:lang w:eastAsia="en-AU"/>
              </w:rPr>
              <w:t>Cohen SE, Vittinghoff E, Bacon O, Doblecki-Lewis S, Postle BS, et al. High Interest in Pre-exposure Prophylaxis Among Men Who Have Sex with Men at Risk for HIV-Infection: Baseline Data from the US PrEP Demonstration Project. J Acquir Immune Defic Syndr 2015; 68(4): 439-448</w:t>
            </w:r>
          </w:p>
        </w:tc>
      </w:tr>
      <w:tr w:rsidR="00FF1FE5" w:rsidRPr="007A2258" w:rsidTr="008C42A2">
        <w:trPr>
          <w:cantSplit/>
          <w:trHeight w:val="920"/>
        </w:trPr>
        <w:tc>
          <w:tcPr>
            <w:tcW w:w="746" w:type="pct"/>
            <w:tcBorders>
              <w:top w:val="single" w:sz="4" w:space="0" w:color="auto"/>
              <w:left w:val="single" w:sz="4" w:space="0" w:color="auto"/>
              <w:bottom w:val="single" w:sz="4" w:space="0" w:color="auto"/>
              <w:right w:val="single" w:sz="4" w:space="0" w:color="auto"/>
            </w:tcBorders>
            <w:vAlign w:val="center"/>
          </w:tcPr>
          <w:p w:rsidR="00FF1FE5" w:rsidRPr="007A2258" w:rsidRDefault="00FF1FE5" w:rsidP="00A9621E">
            <w:pPr>
              <w:widowControl w:val="0"/>
              <w:spacing w:before="0" w:after="0"/>
              <w:rPr>
                <w:rFonts w:ascii="Arial Narrow" w:eastAsia="Times New Roman" w:hAnsi="Arial Narrow" w:cs="Arial"/>
                <w:sz w:val="20"/>
                <w:szCs w:val="20"/>
                <w:lang w:eastAsia="en-AU"/>
              </w:rPr>
            </w:pPr>
            <w:r w:rsidRPr="007A2258">
              <w:rPr>
                <w:rFonts w:ascii="Arial Narrow" w:eastAsia="Times New Roman" w:hAnsi="Arial Narrow" w:cs="Arial"/>
                <w:sz w:val="20"/>
                <w:szCs w:val="20"/>
                <w:lang w:eastAsia="en-AU"/>
              </w:rPr>
              <w:t>Kaiser Permanente (KPSF)</w:t>
            </w:r>
          </w:p>
        </w:tc>
        <w:tc>
          <w:tcPr>
            <w:tcW w:w="1200" w:type="pct"/>
            <w:tcBorders>
              <w:top w:val="single" w:sz="4" w:space="0" w:color="auto"/>
              <w:left w:val="single" w:sz="4" w:space="0" w:color="auto"/>
              <w:bottom w:val="single" w:sz="4" w:space="0" w:color="auto"/>
              <w:right w:val="single" w:sz="4" w:space="0" w:color="auto"/>
            </w:tcBorders>
          </w:tcPr>
          <w:p w:rsidR="00FF1FE5" w:rsidRPr="007A2258" w:rsidRDefault="00FF1FE5" w:rsidP="00A9621E">
            <w:pPr>
              <w:widowControl w:val="0"/>
              <w:spacing w:before="0" w:after="0"/>
              <w:rPr>
                <w:rFonts w:ascii="Arial Narrow" w:eastAsia="Times New Roman" w:hAnsi="Arial Narrow" w:cs="Arial"/>
                <w:sz w:val="20"/>
                <w:szCs w:val="20"/>
                <w:lang w:eastAsia="en-AU"/>
              </w:rPr>
            </w:pPr>
            <w:r w:rsidRPr="007A2258">
              <w:rPr>
                <w:rFonts w:ascii="Arial Narrow" w:eastAsia="Times New Roman" w:hAnsi="Arial Narrow" w:cs="Arial"/>
                <w:sz w:val="20"/>
                <w:szCs w:val="20"/>
                <w:lang w:eastAsia="en-AU"/>
              </w:rPr>
              <w:t>Observational study in US, San Francisco. Daily dosing of TDF/FTC</w:t>
            </w:r>
          </w:p>
        </w:tc>
        <w:tc>
          <w:tcPr>
            <w:tcW w:w="3054" w:type="pct"/>
            <w:tcBorders>
              <w:top w:val="single" w:sz="4" w:space="0" w:color="auto"/>
              <w:left w:val="single" w:sz="4" w:space="0" w:color="auto"/>
              <w:bottom w:val="single" w:sz="4" w:space="0" w:color="auto"/>
              <w:right w:val="single" w:sz="4" w:space="0" w:color="auto"/>
            </w:tcBorders>
          </w:tcPr>
          <w:p w:rsidR="00FF1FE5" w:rsidRPr="007A2258" w:rsidRDefault="00FF1FE5" w:rsidP="00A9621E">
            <w:pPr>
              <w:widowControl w:val="0"/>
              <w:spacing w:before="0" w:after="0"/>
              <w:rPr>
                <w:rFonts w:ascii="Arial Narrow" w:eastAsia="Times New Roman" w:hAnsi="Arial Narrow" w:cs="Arial"/>
                <w:sz w:val="20"/>
                <w:szCs w:val="20"/>
                <w:lang w:eastAsia="en-AU"/>
              </w:rPr>
            </w:pPr>
            <w:r w:rsidRPr="007A2258">
              <w:rPr>
                <w:rFonts w:ascii="Arial Narrow" w:eastAsia="Times New Roman" w:hAnsi="Arial Narrow" w:cs="Arial"/>
                <w:sz w:val="20"/>
                <w:szCs w:val="20"/>
                <w:lang w:eastAsia="en-AU"/>
              </w:rPr>
              <w:t>Volk JE, Marcus JL, Phengrasamy T, Bleckinger D, Nguyen DP, et al. No New HIV Infections With Increasing Use of HIV Preexposure Prophylaxis in a Clinical Practice Setting. HIV/AIDS CID 2015; 61(10):1601-3</w:t>
            </w:r>
          </w:p>
        </w:tc>
      </w:tr>
      <w:tr w:rsidR="00FF1FE5" w:rsidRPr="007A2258" w:rsidTr="008C42A2">
        <w:trPr>
          <w:cantSplit/>
          <w:trHeight w:val="920"/>
        </w:trPr>
        <w:tc>
          <w:tcPr>
            <w:tcW w:w="746" w:type="pct"/>
            <w:tcBorders>
              <w:top w:val="single" w:sz="4" w:space="0" w:color="auto"/>
              <w:left w:val="single" w:sz="4" w:space="0" w:color="auto"/>
              <w:bottom w:val="single" w:sz="4" w:space="0" w:color="auto"/>
              <w:right w:val="single" w:sz="4" w:space="0" w:color="auto"/>
            </w:tcBorders>
            <w:vAlign w:val="center"/>
          </w:tcPr>
          <w:p w:rsidR="00FF1FE5" w:rsidRPr="007A2258" w:rsidRDefault="00FF1FE5" w:rsidP="00A9621E">
            <w:pPr>
              <w:widowControl w:val="0"/>
              <w:spacing w:before="0" w:after="0"/>
              <w:rPr>
                <w:rFonts w:ascii="Arial Narrow" w:eastAsia="Times New Roman" w:hAnsi="Arial Narrow" w:cs="Arial"/>
                <w:sz w:val="20"/>
                <w:szCs w:val="20"/>
                <w:lang w:eastAsia="en-AU"/>
              </w:rPr>
            </w:pPr>
            <w:r w:rsidRPr="007A2258">
              <w:rPr>
                <w:rFonts w:ascii="Arial Narrow" w:eastAsia="Times New Roman" w:hAnsi="Arial Narrow" w:cs="Arial"/>
                <w:sz w:val="20"/>
                <w:szCs w:val="20"/>
                <w:lang w:eastAsia="en-AU"/>
              </w:rPr>
              <w:t>PrEPare 2 YMSM</w:t>
            </w:r>
          </w:p>
        </w:tc>
        <w:tc>
          <w:tcPr>
            <w:tcW w:w="1200" w:type="pct"/>
            <w:tcBorders>
              <w:top w:val="single" w:sz="4" w:space="0" w:color="auto"/>
              <w:left w:val="single" w:sz="4" w:space="0" w:color="auto"/>
              <w:bottom w:val="single" w:sz="4" w:space="0" w:color="auto"/>
              <w:right w:val="single" w:sz="4" w:space="0" w:color="auto"/>
            </w:tcBorders>
          </w:tcPr>
          <w:p w:rsidR="00FF1FE5" w:rsidRPr="007A2258" w:rsidRDefault="00FF1FE5" w:rsidP="00A9621E">
            <w:pPr>
              <w:widowControl w:val="0"/>
              <w:spacing w:before="0" w:after="0"/>
              <w:rPr>
                <w:rFonts w:ascii="Arial Narrow" w:eastAsia="Times New Roman" w:hAnsi="Arial Narrow" w:cs="Arial"/>
                <w:sz w:val="20"/>
                <w:szCs w:val="20"/>
                <w:lang w:eastAsia="en-AU"/>
              </w:rPr>
            </w:pPr>
            <w:r w:rsidRPr="007A2258">
              <w:rPr>
                <w:rFonts w:ascii="Arial Narrow" w:eastAsia="Times New Roman" w:hAnsi="Arial Narrow" w:cs="Arial"/>
                <w:sz w:val="20"/>
                <w:szCs w:val="20"/>
                <w:lang w:eastAsia="en-AU"/>
              </w:rPr>
              <w:t xml:space="preserve">Observational study in US. Phase II safety. Daily dosing of TDF/FTC. </w:t>
            </w:r>
          </w:p>
        </w:tc>
        <w:tc>
          <w:tcPr>
            <w:tcW w:w="3054" w:type="pct"/>
            <w:tcBorders>
              <w:top w:val="single" w:sz="4" w:space="0" w:color="auto"/>
              <w:left w:val="single" w:sz="4" w:space="0" w:color="auto"/>
              <w:bottom w:val="single" w:sz="4" w:space="0" w:color="auto"/>
              <w:right w:val="single" w:sz="4" w:space="0" w:color="auto"/>
            </w:tcBorders>
          </w:tcPr>
          <w:p w:rsidR="00FF1FE5" w:rsidRPr="007A2258" w:rsidRDefault="00FF1FE5" w:rsidP="00A9621E">
            <w:pPr>
              <w:widowControl w:val="0"/>
              <w:spacing w:before="0" w:after="0"/>
              <w:rPr>
                <w:rFonts w:ascii="Arial Narrow" w:eastAsia="Times New Roman" w:hAnsi="Arial Narrow" w:cs="Arial"/>
                <w:sz w:val="20"/>
                <w:szCs w:val="20"/>
                <w:lang w:eastAsia="en-AU"/>
              </w:rPr>
            </w:pPr>
            <w:r w:rsidRPr="007A2258">
              <w:rPr>
                <w:rFonts w:ascii="Arial Narrow" w:eastAsia="Times New Roman" w:hAnsi="Arial Narrow" w:cs="Arial"/>
                <w:sz w:val="20"/>
                <w:szCs w:val="20"/>
                <w:lang w:eastAsia="en-AU"/>
              </w:rPr>
              <w:t>Hosek SG, Rudy B, Landovitz R, Kapogiannis B, Siberry G, et al. An HIV Preexposure Prophylaxis Demonstration Project and Safety Study for Young MSM. J Acquir Immune Defic Syndr 2017; 74(1):21-29</w:t>
            </w:r>
          </w:p>
        </w:tc>
      </w:tr>
      <w:tr w:rsidR="00025C9C" w:rsidRPr="007A2258" w:rsidTr="008732EF">
        <w:trPr>
          <w:cantSplit/>
          <w:trHeight w:val="920"/>
        </w:trPr>
        <w:tc>
          <w:tcPr>
            <w:tcW w:w="746" w:type="pct"/>
            <w:tcBorders>
              <w:top w:val="single" w:sz="4" w:space="0" w:color="auto"/>
              <w:left w:val="single" w:sz="4" w:space="0" w:color="auto"/>
              <w:bottom w:val="single" w:sz="4" w:space="0" w:color="auto"/>
              <w:right w:val="single" w:sz="4" w:space="0" w:color="auto"/>
            </w:tcBorders>
            <w:vAlign w:val="center"/>
          </w:tcPr>
          <w:p w:rsidR="00025C9C" w:rsidRPr="007A2258" w:rsidRDefault="00025C9C" w:rsidP="008732EF">
            <w:pPr>
              <w:widowControl w:val="0"/>
              <w:spacing w:before="0" w:after="0"/>
              <w:rPr>
                <w:rFonts w:ascii="Arial Narrow" w:eastAsia="Times New Roman" w:hAnsi="Arial Narrow" w:cs="Arial"/>
                <w:sz w:val="20"/>
                <w:szCs w:val="20"/>
                <w:lang w:eastAsia="en-AU"/>
              </w:rPr>
            </w:pPr>
            <w:r w:rsidRPr="007A2258">
              <w:rPr>
                <w:rFonts w:ascii="Arial Narrow" w:eastAsia="Times New Roman" w:hAnsi="Arial Narrow" w:cs="Arial"/>
                <w:sz w:val="20"/>
                <w:szCs w:val="20"/>
                <w:lang w:eastAsia="en-AU"/>
              </w:rPr>
              <w:t>VicPrEP</w:t>
            </w:r>
          </w:p>
        </w:tc>
        <w:tc>
          <w:tcPr>
            <w:tcW w:w="1200" w:type="pct"/>
            <w:tcBorders>
              <w:top w:val="single" w:sz="4" w:space="0" w:color="auto"/>
              <w:left w:val="single" w:sz="4" w:space="0" w:color="auto"/>
              <w:bottom w:val="single" w:sz="4" w:space="0" w:color="auto"/>
              <w:right w:val="single" w:sz="4" w:space="0" w:color="auto"/>
            </w:tcBorders>
          </w:tcPr>
          <w:p w:rsidR="00025C9C" w:rsidRPr="007A2258" w:rsidRDefault="00025C9C" w:rsidP="008732EF">
            <w:pPr>
              <w:widowControl w:val="0"/>
              <w:spacing w:before="0" w:after="0"/>
              <w:rPr>
                <w:rFonts w:ascii="Arial Narrow" w:eastAsia="Times New Roman" w:hAnsi="Arial Narrow" w:cs="Arial"/>
                <w:sz w:val="20"/>
                <w:szCs w:val="20"/>
                <w:lang w:eastAsia="en-AU"/>
              </w:rPr>
            </w:pPr>
            <w:r w:rsidRPr="007A2258">
              <w:rPr>
                <w:rFonts w:ascii="Arial Narrow" w:eastAsia="Times New Roman" w:hAnsi="Arial Narrow" w:cs="Arial"/>
                <w:sz w:val="20"/>
                <w:szCs w:val="20"/>
                <w:lang w:eastAsia="en-AU"/>
              </w:rPr>
              <w:t>Observational study in Australia, Victoria. Daily dosing of TDF/FTC for at least one year</w:t>
            </w:r>
          </w:p>
        </w:tc>
        <w:tc>
          <w:tcPr>
            <w:tcW w:w="3054" w:type="pct"/>
            <w:tcBorders>
              <w:top w:val="single" w:sz="4" w:space="0" w:color="auto"/>
              <w:left w:val="single" w:sz="4" w:space="0" w:color="auto"/>
              <w:bottom w:val="single" w:sz="4" w:space="0" w:color="auto"/>
              <w:right w:val="single" w:sz="4" w:space="0" w:color="auto"/>
            </w:tcBorders>
          </w:tcPr>
          <w:p w:rsidR="00025C9C" w:rsidRPr="007A2258" w:rsidRDefault="00025C9C" w:rsidP="008732EF">
            <w:pPr>
              <w:widowControl w:val="0"/>
              <w:spacing w:before="0" w:after="0"/>
              <w:rPr>
                <w:rFonts w:ascii="Arial Narrow" w:eastAsia="Times New Roman" w:hAnsi="Arial Narrow" w:cs="Arial"/>
                <w:sz w:val="20"/>
                <w:szCs w:val="20"/>
                <w:lang w:eastAsia="en-AU"/>
              </w:rPr>
            </w:pPr>
            <w:r w:rsidRPr="007A2258">
              <w:rPr>
                <w:rFonts w:ascii="Arial Narrow" w:eastAsia="Times New Roman" w:hAnsi="Arial Narrow" w:cs="Arial"/>
                <w:sz w:val="20"/>
                <w:szCs w:val="20"/>
                <w:lang w:eastAsia="en-AU"/>
              </w:rPr>
              <w:t>De Wit JBF, Murphy DA, Lal L, Audsley JM, Roth N ,et al. O19.2 Pre-exposure Prophylaxis and Risk Compensation: Evidence of Decreased Condom Use at Three-Month Follow-Up Among Predominantly Gay Male Participants in the VicPrEP Study. Sex Transm Infect 2015; 91 (Suppl 2): A1-A256</w:t>
            </w:r>
          </w:p>
        </w:tc>
      </w:tr>
    </w:tbl>
    <w:p w:rsidR="00E14A65" w:rsidRPr="007A2258" w:rsidRDefault="00E14A65" w:rsidP="00E14A65">
      <w:pPr>
        <w:widowControl w:val="0"/>
        <w:spacing w:before="0" w:after="0"/>
        <w:jc w:val="both"/>
        <w:rPr>
          <w:rFonts w:ascii="Arial Narrow" w:eastAsia="Times New Roman" w:hAnsi="Arial Narrow" w:cs="Arial"/>
          <w:snapToGrid w:val="0"/>
          <w:sz w:val="18"/>
          <w:szCs w:val="20"/>
        </w:rPr>
      </w:pPr>
      <w:r w:rsidRPr="007A2258">
        <w:rPr>
          <w:rFonts w:ascii="Arial Narrow" w:eastAsia="Times New Roman" w:hAnsi="Arial Narrow" w:cs="Arial"/>
          <w:snapToGrid w:val="0"/>
          <w:sz w:val="18"/>
          <w:szCs w:val="20"/>
        </w:rPr>
        <w:t xml:space="preserve">Abbreviations: </w:t>
      </w:r>
      <w:r w:rsidRPr="007A2258">
        <w:rPr>
          <w:rFonts w:ascii="Arial Narrow" w:eastAsia="Times New Roman" w:hAnsi="Arial Narrow" w:cs="Arial"/>
          <w:snapToGrid w:val="0"/>
          <w:sz w:val="18"/>
          <w:szCs w:val="20"/>
          <w:lang w:eastAsia="en-AU"/>
        </w:rPr>
        <w:t>TDF/FTC, tenofovir disoproxil fumarate/</w:t>
      </w:r>
      <w:r w:rsidR="000A3531" w:rsidRPr="007A2258">
        <w:rPr>
          <w:rFonts w:ascii="Arial Narrow" w:eastAsia="Times New Roman" w:hAnsi="Arial Narrow" w:cs="Arial"/>
          <w:snapToGrid w:val="0"/>
          <w:sz w:val="18"/>
          <w:szCs w:val="20"/>
          <w:lang w:eastAsia="en-AU"/>
        </w:rPr>
        <w:t xml:space="preserve">emtricitabine </w:t>
      </w:r>
    </w:p>
    <w:p w:rsidR="00E14A65" w:rsidRPr="007A2258" w:rsidRDefault="00E14A65" w:rsidP="00E14A65">
      <w:pPr>
        <w:widowControl w:val="0"/>
        <w:spacing w:before="0" w:after="0"/>
        <w:jc w:val="both"/>
        <w:rPr>
          <w:rFonts w:ascii="Arial Narrow" w:eastAsia="Times New Roman" w:hAnsi="Arial Narrow" w:cs="Arial"/>
          <w:snapToGrid w:val="0"/>
          <w:sz w:val="18"/>
          <w:szCs w:val="20"/>
        </w:rPr>
      </w:pPr>
      <w:r w:rsidRPr="007A2258">
        <w:rPr>
          <w:rFonts w:ascii="Arial Narrow" w:eastAsia="Times New Roman" w:hAnsi="Arial Narrow" w:cs="Arial"/>
          <w:snapToGrid w:val="0"/>
          <w:sz w:val="18"/>
          <w:szCs w:val="20"/>
        </w:rPr>
        <w:t xml:space="preserve">Source: Table B.3, p.35 of the resubmission </w:t>
      </w:r>
    </w:p>
    <w:p w:rsidR="00E14A65" w:rsidRPr="007A2258" w:rsidRDefault="00E14A65" w:rsidP="00D1078F">
      <w:pPr>
        <w:pStyle w:val="TableHeading0"/>
      </w:pPr>
    </w:p>
    <w:p w:rsidR="00E14A65" w:rsidRPr="007A2258" w:rsidRDefault="00E14A65" w:rsidP="007A2258">
      <w:pPr>
        <w:pStyle w:val="ListParagraph"/>
        <w:numPr>
          <w:ilvl w:val="1"/>
          <w:numId w:val="23"/>
        </w:numPr>
      </w:pPr>
      <w:r w:rsidRPr="007A2258">
        <w:t xml:space="preserve">The key features of the </w:t>
      </w:r>
      <w:r w:rsidR="00326DBE" w:rsidRPr="007A2258">
        <w:rPr>
          <w:rFonts w:eastAsia="Times New Roman"/>
          <w:snapToGrid w:val="0"/>
        </w:rPr>
        <w:t>supplementary</w:t>
      </w:r>
      <w:r w:rsidR="00326DBE" w:rsidRPr="007A2258">
        <w:t xml:space="preserve"> </w:t>
      </w:r>
      <w:r w:rsidRPr="007A2258">
        <w:t xml:space="preserve">randomised </w:t>
      </w:r>
      <w:r w:rsidR="00FE73D1" w:rsidRPr="007A2258">
        <w:t>trials are summarised in Table 7</w:t>
      </w:r>
      <w:r w:rsidRPr="007A2258">
        <w:t xml:space="preserve">.  </w:t>
      </w:r>
    </w:p>
    <w:p w:rsidR="00904455" w:rsidRDefault="00904455" w:rsidP="00904455">
      <w:pPr>
        <w:pStyle w:val="Caption"/>
      </w:pPr>
      <w:r>
        <w:t xml:space="preserve">Table </w:t>
      </w:r>
      <w:r w:rsidR="004F50B1">
        <w:rPr>
          <w:noProof/>
        </w:rPr>
        <w:t>7</w:t>
      </w:r>
      <w:r w:rsidRPr="007520D6">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19"/>
        <w:gridCol w:w="392"/>
        <w:gridCol w:w="3253"/>
        <w:gridCol w:w="857"/>
        <w:gridCol w:w="1341"/>
        <w:gridCol w:w="1306"/>
        <w:gridCol w:w="1014"/>
      </w:tblGrid>
      <w:tr w:rsidR="00E14A65" w:rsidRPr="007A2258" w:rsidTr="008C42A2">
        <w:tc>
          <w:tcPr>
            <w:tcW w:w="506" w:type="pct"/>
            <w:shd w:val="clear" w:color="auto" w:fill="auto"/>
            <w:vAlign w:val="center"/>
          </w:tcPr>
          <w:p w:rsidR="00E14A65" w:rsidRPr="007A2258" w:rsidRDefault="00E14A65" w:rsidP="00E14A65">
            <w:pPr>
              <w:keepNext/>
              <w:spacing w:before="40" w:after="40"/>
              <w:rPr>
                <w:rFonts w:ascii="Arial Narrow" w:eastAsia="Calibri" w:hAnsi="Arial Narrow" w:cs="Arial"/>
                <w:b/>
                <w:sz w:val="20"/>
              </w:rPr>
            </w:pPr>
            <w:r w:rsidRPr="007A2258">
              <w:rPr>
                <w:rFonts w:ascii="Arial Narrow" w:eastAsia="Calibri" w:hAnsi="Arial Narrow" w:cs="Arial"/>
                <w:b/>
                <w:sz w:val="20"/>
              </w:rPr>
              <w:t>Trial</w:t>
            </w:r>
          </w:p>
        </w:tc>
        <w:tc>
          <w:tcPr>
            <w:tcW w:w="216" w:type="pct"/>
            <w:shd w:val="clear" w:color="auto" w:fill="auto"/>
            <w:vAlign w:val="center"/>
          </w:tcPr>
          <w:p w:rsidR="00E14A65" w:rsidRPr="007A2258" w:rsidRDefault="00E14A65" w:rsidP="00E14A65">
            <w:pPr>
              <w:keepNext/>
              <w:spacing w:before="40" w:after="40"/>
              <w:rPr>
                <w:rFonts w:ascii="Arial Narrow" w:eastAsia="Calibri" w:hAnsi="Arial Narrow" w:cs="Arial"/>
                <w:b/>
                <w:sz w:val="20"/>
              </w:rPr>
            </w:pPr>
            <w:r w:rsidRPr="007A2258">
              <w:rPr>
                <w:rFonts w:ascii="Arial Narrow" w:eastAsia="Calibri" w:hAnsi="Arial Narrow" w:cs="Arial"/>
                <w:b/>
                <w:sz w:val="20"/>
              </w:rPr>
              <w:t>N</w:t>
            </w:r>
          </w:p>
        </w:tc>
        <w:tc>
          <w:tcPr>
            <w:tcW w:w="1791" w:type="pct"/>
            <w:shd w:val="clear" w:color="auto" w:fill="auto"/>
            <w:vAlign w:val="center"/>
          </w:tcPr>
          <w:p w:rsidR="00E14A65" w:rsidRPr="007A2258" w:rsidRDefault="00E14A65" w:rsidP="00E14A65">
            <w:pPr>
              <w:keepNext/>
              <w:spacing w:before="40" w:after="40"/>
              <w:rPr>
                <w:rFonts w:ascii="Arial Narrow" w:eastAsia="Calibri" w:hAnsi="Arial Narrow" w:cs="Arial"/>
                <w:b/>
                <w:sz w:val="20"/>
              </w:rPr>
            </w:pPr>
            <w:r w:rsidRPr="007A2258">
              <w:rPr>
                <w:rFonts w:ascii="Arial Narrow" w:eastAsia="Calibri" w:hAnsi="Arial Narrow" w:cs="Arial"/>
                <w:b/>
                <w:sz w:val="20"/>
              </w:rPr>
              <w:t xml:space="preserve">Design/ </w:t>
            </w:r>
          </w:p>
          <w:p w:rsidR="00E14A65" w:rsidRPr="007A2258" w:rsidRDefault="00E14A65" w:rsidP="00E14A65">
            <w:pPr>
              <w:keepNext/>
              <w:spacing w:before="40" w:after="40"/>
              <w:rPr>
                <w:rFonts w:ascii="Arial Narrow" w:eastAsia="Calibri" w:hAnsi="Arial Narrow" w:cs="Arial"/>
                <w:b/>
                <w:sz w:val="20"/>
              </w:rPr>
            </w:pPr>
            <w:r w:rsidRPr="007A2258">
              <w:rPr>
                <w:rFonts w:ascii="Arial Narrow" w:eastAsia="Calibri" w:hAnsi="Arial Narrow" w:cs="Arial"/>
                <w:b/>
                <w:sz w:val="20"/>
              </w:rPr>
              <w:t>duration of follow-up</w:t>
            </w:r>
          </w:p>
        </w:tc>
        <w:tc>
          <w:tcPr>
            <w:tcW w:w="472" w:type="pct"/>
            <w:shd w:val="clear" w:color="auto" w:fill="auto"/>
            <w:vAlign w:val="center"/>
          </w:tcPr>
          <w:p w:rsidR="00E14A65" w:rsidRPr="007A2258" w:rsidRDefault="00E14A65" w:rsidP="00E14A65">
            <w:pPr>
              <w:keepNext/>
              <w:spacing w:before="40" w:after="40"/>
              <w:rPr>
                <w:rFonts w:ascii="Arial Narrow" w:eastAsia="Calibri" w:hAnsi="Arial Narrow" w:cs="Arial"/>
                <w:b/>
                <w:sz w:val="20"/>
              </w:rPr>
            </w:pPr>
            <w:r w:rsidRPr="007A2258">
              <w:rPr>
                <w:rFonts w:ascii="Arial Narrow" w:eastAsia="Calibri" w:hAnsi="Arial Narrow" w:cs="Arial"/>
                <w:b/>
                <w:sz w:val="20"/>
              </w:rPr>
              <w:t>Risk of bias</w:t>
            </w:r>
          </w:p>
        </w:tc>
        <w:tc>
          <w:tcPr>
            <w:tcW w:w="738" w:type="pct"/>
            <w:shd w:val="clear" w:color="auto" w:fill="auto"/>
            <w:vAlign w:val="center"/>
          </w:tcPr>
          <w:p w:rsidR="00E14A65" w:rsidRPr="007A2258" w:rsidRDefault="00E14A65" w:rsidP="00E14A65">
            <w:pPr>
              <w:keepNext/>
              <w:spacing w:before="40" w:after="40"/>
              <w:rPr>
                <w:rFonts w:ascii="Arial Narrow" w:eastAsia="Calibri" w:hAnsi="Arial Narrow" w:cs="Arial"/>
                <w:b/>
                <w:sz w:val="20"/>
              </w:rPr>
            </w:pPr>
            <w:r w:rsidRPr="007A2258">
              <w:rPr>
                <w:rFonts w:ascii="Arial Narrow" w:eastAsia="Calibri" w:hAnsi="Arial Narrow" w:cs="Arial"/>
                <w:b/>
                <w:sz w:val="20"/>
              </w:rPr>
              <w:t>Patient population</w:t>
            </w:r>
          </w:p>
        </w:tc>
        <w:tc>
          <w:tcPr>
            <w:tcW w:w="719" w:type="pct"/>
            <w:shd w:val="clear" w:color="auto" w:fill="auto"/>
            <w:vAlign w:val="center"/>
          </w:tcPr>
          <w:p w:rsidR="00E14A65" w:rsidRPr="007A2258" w:rsidRDefault="00E14A65" w:rsidP="00E14A65">
            <w:pPr>
              <w:keepNext/>
              <w:spacing w:before="40" w:after="40"/>
              <w:rPr>
                <w:rFonts w:ascii="Arial Narrow" w:eastAsia="Calibri" w:hAnsi="Arial Narrow" w:cs="Arial"/>
                <w:b/>
                <w:sz w:val="20"/>
              </w:rPr>
            </w:pPr>
            <w:r w:rsidRPr="007A2258">
              <w:rPr>
                <w:rFonts w:ascii="Arial Narrow" w:eastAsia="Calibri" w:hAnsi="Arial Narrow" w:cs="Arial"/>
                <w:b/>
                <w:sz w:val="20"/>
              </w:rPr>
              <w:t>Outcome</w:t>
            </w:r>
          </w:p>
        </w:tc>
        <w:tc>
          <w:tcPr>
            <w:tcW w:w="558" w:type="pct"/>
            <w:shd w:val="clear" w:color="auto" w:fill="auto"/>
            <w:vAlign w:val="center"/>
          </w:tcPr>
          <w:p w:rsidR="00E14A65" w:rsidRPr="007A2258" w:rsidRDefault="00E14A65" w:rsidP="00E14A65">
            <w:pPr>
              <w:keepNext/>
              <w:spacing w:before="40" w:after="40"/>
              <w:rPr>
                <w:rFonts w:ascii="Arial Narrow" w:eastAsia="Calibri" w:hAnsi="Arial Narrow" w:cs="Arial"/>
                <w:b/>
                <w:sz w:val="20"/>
              </w:rPr>
            </w:pPr>
            <w:r w:rsidRPr="007A2258">
              <w:rPr>
                <w:rFonts w:ascii="Arial Narrow" w:eastAsia="Calibri" w:hAnsi="Arial Narrow" w:cs="Arial"/>
                <w:b/>
                <w:sz w:val="20"/>
              </w:rPr>
              <w:t>Use in modelled evaluation</w:t>
            </w:r>
          </w:p>
        </w:tc>
      </w:tr>
      <w:tr w:rsidR="00E14A65" w:rsidRPr="007A2258" w:rsidTr="00920F57">
        <w:tc>
          <w:tcPr>
            <w:tcW w:w="5000" w:type="pct"/>
            <w:gridSpan w:val="7"/>
            <w:shd w:val="clear" w:color="auto" w:fill="auto"/>
            <w:vAlign w:val="center"/>
          </w:tcPr>
          <w:p w:rsidR="00E14A65" w:rsidRPr="007A2258" w:rsidRDefault="00E14A65" w:rsidP="00E14A65">
            <w:pPr>
              <w:keepNext/>
              <w:spacing w:before="40" w:after="40"/>
              <w:rPr>
                <w:rFonts w:ascii="Arial Narrow" w:eastAsia="Calibri" w:hAnsi="Arial Narrow" w:cs="Arial"/>
                <w:sz w:val="20"/>
              </w:rPr>
            </w:pPr>
            <w:r w:rsidRPr="007A2258">
              <w:rPr>
                <w:rFonts w:ascii="Arial Narrow" w:eastAsia="Calibri" w:hAnsi="Arial Narrow" w:cs="Arial"/>
                <w:sz w:val="20"/>
              </w:rPr>
              <w:t>TDF/FTC</w:t>
            </w:r>
            <w:r w:rsidR="00182646" w:rsidRPr="007A2258">
              <w:rPr>
                <w:rFonts w:ascii="Arial Narrow" w:eastAsia="Calibri" w:hAnsi="Arial Narrow" w:cs="Arial"/>
                <w:sz w:val="20"/>
              </w:rPr>
              <w:t xml:space="preserve"> intermittent dosing</w:t>
            </w:r>
            <w:r w:rsidRPr="007A2258">
              <w:rPr>
                <w:rFonts w:ascii="Arial Narrow" w:eastAsia="Calibri" w:hAnsi="Arial Narrow" w:cs="Arial"/>
                <w:sz w:val="20"/>
              </w:rPr>
              <w:t xml:space="preserve"> vs. placebo</w:t>
            </w:r>
          </w:p>
        </w:tc>
      </w:tr>
      <w:tr w:rsidR="00E14A65" w:rsidRPr="007A2258" w:rsidTr="008C42A2">
        <w:tc>
          <w:tcPr>
            <w:tcW w:w="506" w:type="pct"/>
            <w:shd w:val="clear" w:color="auto" w:fill="auto"/>
            <w:vAlign w:val="center"/>
          </w:tcPr>
          <w:p w:rsidR="00E14A65" w:rsidRPr="007A2258" w:rsidRDefault="00E14A65" w:rsidP="00E14A65">
            <w:pPr>
              <w:keepNext/>
              <w:spacing w:before="40" w:after="40"/>
              <w:rPr>
                <w:rFonts w:ascii="Arial Narrow" w:eastAsia="Calibri" w:hAnsi="Arial Narrow" w:cs="Arial"/>
                <w:sz w:val="20"/>
              </w:rPr>
            </w:pPr>
            <w:r w:rsidRPr="007A2258">
              <w:rPr>
                <w:rFonts w:ascii="Arial Narrow" w:eastAsia="Calibri" w:hAnsi="Arial Narrow" w:cs="Arial"/>
                <w:sz w:val="20"/>
              </w:rPr>
              <w:t>IPERGAY</w:t>
            </w:r>
          </w:p>
        </w:tc>
        <w:tc>
          <w:tcPr>
            <w:tcW w:w="216" w:type="pct"/>
            <w:shd w:val="clear" w:color="auto" w:fill="auto"/>
            <w:vAlign w:val="center"/>
          </w:tcPr>
          <w:p w:rsidR="00E14A65" w:rsidRPr="007A2258" w:rsidRDefault="00E14A65" w:rsidP="00E14A65">
            <w:pPr>
              <w:keepNext/>
              <w:spacing w:before="40" w:after="40"/>
              <w:rPr>
                <w:rFonts w:ascii="Arial Narrow" w:eastAsia="Times New Roman" w:hAnsi="Arial Narrow" w:cs="Times New Roman"/>
                <w:sz w:val="20"/>
              </w:rPr>
            </w:pPr>
            <w:r w:rsidRPr="007A2258">
              <w:rPr>
                <w:rFonts w:ascii="Arial Narrow" w:eastAsia="Calibri" w:hAnsi="Arial Narrow" w:cs="Arial"/>
                <w:sz w:val="20"/>
              </w:rPr>
              <w:t>400</w:t>
            </w:r>
          </w:p>
        </w:tc>
        <w:tc>
          <w:tcPr>
            <w:tcW w:w="1791" w:type="pct"/>
            <w:shd w:val="clear" w:color="auto" w:fill="auto"/>
            <w:vAlign w:val="center"/>
          </w:tcPr>
          <w:p w:rsidR="00E14A65" w:rsidRPr="007A2258" w:rsidRDefault="00E14A65" w:rsidP="00E14A65">
            <w:pPr>
              <w:keepNext/>
              <w:spacing w:before="40" w:after="40"/>
              <w:rPr>
                <w:rFonts w:ascii="Arial Narrow" w:eastAsia="Calibri" w:hAnsi="Arial Narrow" w:cs="Arial"/>
                <w:sz w:val="20"/>
              </w:rPr>
            </w:pPr>
            <w:r w:rsidRPr="007A2258">
              <w:rPr>
                <w:rFonts w:ascii="Arial Narrow" w:eastAsia="Calibri" w:hAnsi="Arial Narrow" w:cs="Arial"/>
                <w:sz w:val="20"/>
              </w:rPr>
              <w:t>R, DB, MC, Phase III, placebo-controlled</w:t>
            </w:r>
            <w:r w:rsidR="0064520D" w:rsidRPr="007A2258">
              <w:rPr>
                <w:rFonts w:ascii="Arial Narrow" w:eastAsia="Times New Roman" w:hAnsi="Arial Narrow" w:cs="Times New Roman"/>
                <w:sz w:val="20"/>
              </w:rPr>
              <w:t xml:space="preserve">, </w:t>
            </w:r>
            <w:r w:rsidRPr="007A2258">
              <w:rPr>
                <w:rFonts w:ascii="Arial Narrow" w:eastAsia="Calibri" w:hAnsi="Arial Narrow" w:cs="Arial"/>
                <w:sz w:val="20"/>
              </w:rPr>
              <w:t>24 months</w:t>
            </w:r>
          </w:p>
          <w:p w:rsidR="00E7420E" w:rsidRPr="007A2258" w:rsidRDefault="00E7420E" w:rsidP="008C42A2">
            <w:pPr>
              <w:keepNext/>
              <w:spacing w:before="40" w:after="40"/>
              <w:rPr>
                <w:rFonts w:ascii="Arial Narrow" w:eastAsia="Times New Roman" w:hAnsi="Arial Narrow" w:cs="Times New Roman"/>
                <w:sz w:val="20"/>
              </w:rPr>
            </w:pPr>
            <w:r w:rsidRPr="007A2258">
              <w:rPr>
                <w:rFonts w:ascii="Arial Narrow" w:eastAsia="Calibri" w:hAnsi="Arial Narrow" w:cs="Arial"/>
                <w:sz w:val="20"/>
              </w:rPr>
              <w:t>Event-driven intermittent dosing (</w:t>
            </w:r>
            <w:r w:rsidR="008C42A2" w:rsidRPr="007A2258">
              <w:rPr>
                <w:rFonts w:ascii="Arial Narrow" w:eastAsia="Calibri" w:hAnsi="Arial Narrow" w:cs="Arial"/>
                <w:sz w:val="20"/>
              </w:rPr>
              <w:t>l</w:t>
            </w:r>
            <w:r w:rsidRPr="007A2258">
              <w:rPr>
                <w:rFonts w:ascii="Arial Narrow" w:eastAsia="Calibri" w:hAnsi="Arial Narrow" w:cs="Arial"/>
                <w:sz w:val="20"/>
              </w:rPr>
              <w:t>oading dose of 2 tablets (both TDF/FTC) 2 to 24 hours before sex; 1 tablet 24 hours after 1st drug intake; 1 tablet 24 hours later.</w:t>
            </w:r>
          </w:p>
        </w:tc>
        <w:tc>
          <w:tcPr>
            <w:tcW w:w="472" w:type="pct"/>
            <w:shd w:val="clear" w:color="auto" w:fill="auto"/>
            <w:vAlign w:val="center"/>
          </w:tcPr>
          <w:p w:rsidR="00E14A65" w:rsidRPr="007A2258" w:rsidRDefault="00E14A65" w:rsidP="00E14A65">
            <w:pPr>
              <w:keepNext/>
              <w:spacing w:before="40" w:after="40"/>
              <w:rPr>
                <w:rFonts w:ascii="Arial Narrow" w:eastAsia="Times New Roman" w:hAnsi="Arial Narrow" w:cs="Times New Roman"/>
                <w:sz w:val="20"/>
              </w:rPr>
            </w:pPr>
            <w:r w:rsidRPr="007A2258">
              <w:rPr>
                <w:rFonts w:ascii="Arial Narrow" w:eastAsia="Calibri" w:hAnsi="Arial Narrow" w:cs="Arial"/>
                <w:sz w:val="20"/>
              </w:rPr>
              <w:t>Low</w:t>
            </w:r>
          </w:p>
        </w:tc>
        <w:tc>
          <w:tcPr>
            <w:tcW w:w="738" w:type="pct"/>
            <w:shd w:val="clear" w:color="auto" w:fill="auto"/>
            <w:vAlign w:val="center"/>
          </w:tcPr>
          <w:p w:rsidR="00E14A65" w:rsidRPr="007A2258" w:rsidRDefault="00E14A65" w:rsidP="00E14A65">
            <w:pPr>
              <w:keepNext/>
              <w:spacing w:before="40" w:after="40"/>
              <w:rPr>
                <w:rFonts w:ascii="Arial Narrow" w:eastAsia="Times New Roman" w:hAnsi="Arial Narrow" w:cs="Times New Roman"/>
                <w:sz w:val="20"/>
              </w:rPr>
            </w:pPr>
            <w:r w:rsidRPr="007A2258">
              <w:rPr>
                <w:rFonts w:ascii="Arial Narrow" w:eastAsia="Calibri" w:hAnsi="Arial Narrow" w:cs="Arial"/>
                <w:sz w:val="20"/>
              </w:rPr>
              <w:t>MSM (France, Canada)</w:t>
            </w:r>
          </w:p>
        </w:tc>
        <w:tc>
          <w:tcPr>
            <w:tcW w:w="719" w:type="pct"/>
            <w:shd w:val="clear" w:color="auto" w:fill="auto"/>
            <w:vAlign w:val="center"/>
          </w:tcPr>
          <w:p w:rsidR="00E14A65" w:rsidRPr="007A2258" w:rsidRDefault="00E14A65" w:rsidP="00E14A65">
            <w:pPr>
              <w:keepNext/>
              <w:spacing w:before="40" w:after="40"/>
              <w:rPr>
                <w:rFonts w:ascii="Arial Narrow" w:eastAsia="Times New Roman" w:hAnsi="Arial Narrow" w:cs="Times New Roman"/>
                <w:sz w:val="20"/>
              </w:rPr>
            </w:pPr>
            <w:r w:rsidRPr="007A2258">
              <w:rPr>
                <w:rFonts w:ascii="Arial Narrow" w:eastAsia="Calibri" w:hAnsi="Arial Narrow" w:cs="Arial"/>
                <w:sz w:val="20"/>
              </w:rPr>
              <w:t>Incidence of HIV-1 seroconversions.</w:t>
            </w:r>
          </w:p>
        </w:tc>
        <w:tc>
          <w:tcPr>
            <w:tcW w:w="558" w:type="pct"/>
            <w:shd w:val="clear" w:color="auto" w:fill="auto"/>
            <w:vAlign w:val="center"/>
          </w:tcPr>
          <w:p w:rsidR="00E14A65" w:rsidRPr="007A2258" w:rsidRDefault="00E14A65" w:rsidP="00E14A65">
            <w:pPr>
              <w:keepNext/>
              <w:spacing w:before="40" w:after="40"/>
              <w:rPr>
                <w:rFonts w:ascii="Arial Narrow" w:eastAsia="Times New Roman" w:hAnsi="Arial Narrow" w:cs="Times New Roman"/>
                <w:sz w:val="20"/>
              </w:rPr>
            </w:pPr>
            <w:r w:rsidRPr="007A2258">
              <w:rPr>
                <w:rFonts w:ascii="Arial Narrow" w:eastAsia="Calibri" w:hAnsi="Arial Narrow" w:cs="Arial"/>
                <w:sz w:val="20"/>
              </w:rPr>
              <w:t>Not used</w:t>
            </w:r>
          </w:p>
        </w:tc>
      </w:tr>
      <w:tr w:rsidR="00E14A65" w:rsidRPr="007A2258" w:rsidTr="00920F57">
        <w:tc>
          <w:tcPr>
            <w:tcW w:w="5000" w:type="pct"/>
            <w:gridSpan w:val="7"/>
            <w:shd w:val="clear" w:color="auto" w:fill="auto"/>
            <w:vAlign w:val="center"/>
          </w:tcPr>
          <w:p w:rsidR="00E14A65" w:rsidRPr="007A2258" w:rsidRDefault="00E14A65" w:rsidP="00E14A65">
            <w:pPr>
              <w:keepNext/>
              <w:spacing w:before="40" w:after="40"/>
              <w:rPr>
                <w:rFonts w:ascii="Arial Narrow" w:eastAsia="Calibri" w:hAnsi="Arial Narrow" w:cs="Arial"/>
                <w:sz w:val="20"/>
              </w:rPr>
            </w:pPr>
            <w:r w:rsidRPr="007A2258">
              <w:rPr>
                <w:rFonts w:ascii="Arial Narrow" w:eastAsia="Calibri" w:hAnsi="Arial Narrow" w:cs="Arial"/>
                <w:sz w:val="20"/>
              </w:rPr>
              <w:t xml:space="preserve">TDF/FTC </w:t>
            </w:r>
            <w:r w:rsidR="00182646" w:rsidRPr="007A2258">
              <w:rPr>
                <w:rFonts w:ascii="Arial Narrow" w:eastAsia="Calibri" w:hAnsi="Arial Narrow" w:cs="Arial"/>
                <w:sz w:val="20"/>
              </w:rPr>
              <w:t>intermittent dosing vs. daily dosing</w:t>
            </w:r>
          </w:p>
        </w:tc>
      </w:tr>
      <w:tr w:rsidR="00E14A65" w:rsidRPr="007A2258" w:rsidTr="008C42A2">
        <w:tc>
          <w:tcPr>
            <w:tcW w:w="506" w:type="pct"/>
            <w:shd w:val="clear" w:color="auto" w:fill="auto"/>
            <w:vAlign w:val="center"/>
          </w:tcPr>
          <w:p w:rsidR="00E14A65" w:rsidRPr="007A2258" w:rsidRDefault="00E14A65" w:rsidP="00E14A65">
            <w:pPr>
              <w:keepNext/>
              <w:spacing w:before="40" w:after="40"/>
              <w:rPr>
                <w:rFonts w:ascii="Arial Narrow" w:eastAsia="Times New Roman" w:hAnsi="Arial Narrow" w:cs="Times New Roman"/>
                <w:sz w:val="20"/>
              </w:rPr>
            </w:pPr>
            <w:r w:rsidRPr="007A2258">
              <w:rPr>
                <w:rFonts w:ascii="Arial Narrow" w:eastAsia="Calibri" w:hAnsi="Arial Narrow" w:cs="Arial"/>
                <w:sz w:val="20"/>
              </w:rPr>
              <w:t>ADAPT</w:t>
            </w:r>
          </w:p>
        </w:tc>
        <w:tc>
          <w:tcPr>
            <w:tcW w:w="216" w:type="pct"/>
            <w:shd w:val="clear" w:color="auto" w:fill="auto"/>
            <w:vAlign w:val="center"/>
          </w:tcPr>
          <w:p w:rsidR="00E14A65" w:rsidRPr="007A2258" w:rsidRDefault="00E14A65" w:rsidP="00E14A65">
            <w:pPr>
              <w:keepNext/>
              <w:spacing w:before="40" w:after="40"/>
              <w:rPr>
                <w:rFonts w:ascii="Arial Narrow" w:eastAsia="Times New Roman" w:hAnsi="Arial Narrow" w:cs="Times New Roman"/>
                <w:sz w:val="20"/>
              </w:rPr>
            </w:pPr>
            <w:r w:rsidRPr="007A2258">
              <w:rPr>
                <w:rFonts w:ascii="Arial Narrow" w:eastAsia="Calibri" w:hAnsi="Arial Narrow" w:cs="Arial"/>
                <w:sz w:val="20"/>
              </w:rPr>
              <w:t>357</w:t>
            </w:r>
            <w:r w:rsidRPr="007A2258">
              <w:rPr>
                <w:rFonts w:ascii="Arial Narrow" w:eastAsia="Calibri" w:hAnsi="Arial Narrow" w:cs="Arial"/>
                <w:sz w:val="20"/>
                <w:vertAlign w:val="superscript"/>
              </w:rPr>
              <w:t>a</w:t>
            </w:r>
          </w:p>
        </w:tc>
        <w:tc>
          <w:tcPr>
            <w:tcW w:w="1791" w:type="pct"/>
            <w:shd w:val="clear" w:color="auto" w:fill="auto"/>
            <w:vAlign w:val="center"/>
          </w:tcPr>
          <w:p w:rsidR="00E14A65" w:rsidRPr="007A2258" w:rsidRDefault="00E14A65" w:rsidP="00E14A65">
            <w:pPr>
              <w:keepNext/>
              <w:spacing w:before="40" w:after="40"/>
              <w:rPr>
                <w:rFonts w:ascii="Arial Narrow" w:eastAsia="Calibri" w:hAnsi="Arial Narrow" w:cs="Arial"/>
                <w:sz w:val="20"/>
              </w:rPr>
            </w:pPr>
            <w:r w:rsidRPr="007A2258">
              <w:rPr>
                <w:rFonts w:ascii="Arial Narrow" w:eastAsia="Calibri" w:hAnsi="Arial Narrow" w:cs="Arial"/>
                <w:sz w:val="20"/>
              </w:rPr>
              <w:t>R, OL, MC, Phase II</w:t>
            </w:r>
            <w:r w:rsidR="0064520D" w:rsidRPr="007A2258">
              <w:rPr>
                <w:rFonts w:ascii="Arial Narrow" w:eastAsia="Times New Roman" w:hAnsi="Arial Narrow" w:cs="Times New Roman"/>
                <w:sz w:val="20"/>
              </w:rPr>
              <w:t xml:space="preserve">, </w:t>
            </w:r>
            <w:r w:rsidRPr="007A2258">
              <w:rPr>
                <w:rFonts w:ascii="Arial Narrow" w:eastAsia="Calibri" w:hAnsi="Arial Narrow" w:cs="Arial"/>
                <w:sz w:val="20"/>
              </w:rPr>
              <w:t>7.5 months</w:t>
            </w:r>
          </w:p>
          <w:p w:rsidR="00E7420E" w:rsidRPr="007A2258" w:rsidRDefault="00E7420E" w:rsidP="00E14A65">
            <w:pPr>
              <w:keepNext/>
              <w:spacing w:before="40" w:after="40"/>
              <w:rPr>
                <w:rFonts w:ascii="Arial Narrow" w:eastAsia="Calibri" w:hAnsi="Arial Narrow" w:cs="Arial"/>
                <w:sz w:val="20"/>
              </w:rPr>
            </w:pPr>
            <w:r w:rsidRPr="007A2258">
              <w:rPr>
                <w:rFonts w:ascii="Arial Narrow" w:eastAsia="Calibri" w:hAnsi="Arial Narrow" w:cs="Arial"/>
                <w:sz w:val="20"/>
              </w:rPr>
              <w:t>Event-driven intermittent dosing:</w:t>
            </w:r>
            <w:r w:rsidRPr="007A2258">
              <w:t xml:space="preserve"> </w:t>
            </w:r>
            <w:r w:rsidRPr="007A2258">
              <w:rPr>
                <w:rFonts w:ascii="Arial Narrow" w:eastAsia="Calibri" w:hAnsi="Arial Narrow" w:cs="Arial"/>
                <w:sz w:val="20"/>
              </w:rPr>
              <w:t>Week 0-5 1 tablet orally, once daily; Week 6 onwards 1 tablet orally, 1 tablet before and 1 tablet after sexual intercourse.</w:t>
            </w:r>
          </w:p>
          <w:p w:rsidR="00E7420E" w:rsidRPr="007A2258" w:rsidRDefault="00E7420E" w:rsidP="00E14A65">
            <w:pPr>
              <w:keepNext/>
              <w:spacing w:before="40" w:after="40"/>
              <w:rPr>
                <w:rFonts w:ascii="Arial Narrow" w:eastAsia="Calibri" w:hAnsi="Arial Narrow" w:cs="Arial"/>
                <w:sz w:val="20"/>
              </w:rPr>
            </w:pPr>
            <w:r w:rsidRPr="007A2258">
              <w:rPr>
                <w:rFonts w:ascii="Arial Narrow" w:eastAsia="Calibri" w:hAnsi="Arial Narrow" w:cs="Arial"/>
                <w:sz w:val="20"/>
              </w:rPr>
              <w:t>Time</w:t>
            </w:r>
            <w:r w:rsidRPr="007A2258">
              <w:rPr>
                <w:rFonts w:ascii="Arial Narrow" w:eastAsia="Calibri" w:hAnsi="Arial Narrow" w:cs="Arial"/>
                <w:sz w:val="20"/>
              </w:rPr>
              <w:noBreakHyphen/>
              <w:t>driven intermittent dosing:</w:t>
            </w:r>
            <w:r w:rsidRPr="007A2258">
              <w:t xml:space="preserve"> </w:t>
            </w:r>
            <w:r w:rsidRPr="007A2258">
              <w:rPr>
                <w:rFonts w:ascii="Arial Narrow" w:eastAsia="Calibri" w:hAnsi="Arial Narrow" w:cs="Arial"/>
                <w:sz w:val="20"/>
              </w:rPr>
              <w:t>Week 0-5 1 tablet orally, once daily; Week 6 onwards 1 tablet orally, twice per week and 1 tablet after sexual intercourse.</w:t>
            </w:r>
          </w:p>
          <w:p w:rsidR="00E7420E" w:rsidRPr="007A2258" w:rsidRDefault="00E7420E" w:rsidP="00E14A65">
            <w:pPr>
              <w:keepNext/>
              <w:spacing w:before="40" w:after="40"/>
              <w:rPr>
                <w:rFonts w:ascii="Arial Narrow" w:eastAsia="Calibri" w:hAnsi="Arial Narrow" w:cs="Arial"/>
                <w:sz w:val="20"/>
              </w:rPr>
            </w:pPr>
            <w:r w:rsidRPr="007A2258">
              <w:rPr>
                <w:rFonts w:ascii="Arial Narrow" w:eastAsia="Calibri" w:hAnsi="Arial Narrow" w:cs="Arial"/>
                <w:sz w:val="20"/>
              </w:rPr>
              <w:t>Daily dosing:</w:t>
            </w:r>
            <w:r w:rsidRPr="007A2258">
              <w:t xml:space="preserve"> </w:t>
            </w:r>
            <w:r w:rsidRPr="007A2258">
              <w:rPr>
                <w:rFonts w:ascii="Arial Narrow" w:eastAsia="Calibri" w:hAnsi="Arial Narrow" w:cs="Arial"/>
                <w:sz w:val="20"/>
              </w:rPr>
              <w:t>Week 0-5 1 tablet orally, once daily; Week 6 onwards 1 tablet orally, once daily.</w:t>
            </w:r>
          </w:p>
        </w:tc>
        <w:tc>
          <w:tcPr>
            <w:tcW w:w="472" w:type="pct"/>
            <w:shd w:val="clear" w:color="auto" w:fill="auto"/>
            <w:vAlign w:val="center"/>
          </w:tcPr>
          <w:p w:rsidR="00E14A65" w:rsidRPr="007A2258" w:rsidRDefault="00E14A65" w:rsidP="00E14A65">
            <w:pPr>
              <w:keepNext/>
              <w:spacing w:before="40" w:after="40"/>
              <w:rPr>
                <w:rFonts w:ascii="Arial Narrow" w:eastAsia="Times New Roman" w:hAnsi="Arial Narrow" w:cs="Times New Roman"/>
                <w:sz w:val="20"/>
              </w:rPr>
            </w:pPr>
            <w:r w:rsidRPr="007A2258">
              <w:rPr>
                <w:rFonts w:ascii="Arial Narrow" w:eastAsia="Calibri" w:hAnsi="Arial Narrow" w:cs="Arial"/>
                <w:sz w:val="20"/>
              </w:rPr>
              <w:t>High</w:t>
            </w:r>
          </w:p>
        </w:tc>
        <w:tc>
          <w:tcPr>
            <w:tcW w:w="738" w:type="pct"/>
            <w:shd w:val="clear" w:color="auto" w:fill="auto"/>
            <w:vAlign w:val="center"/>
          </w:tcPr>
          <w:p w:rsidR="00E14A65" w:rsidRPr="007A2258" w:rsidRDefault="00E14A65" w:rsidP="00E14A65">
            <w:pPr>
              <w:keepNext/>
              <w:spacing w:before="40" w:after="40"/>
              <w:rPr>
                <w:rFonts w:ascii="Arial Narrow" w:eastAsia="Times New Roman" w:hAnsi="Arial Narrow" w:cs="Times New Roman"/>
                <w:sz w:val="20"/>
              </w:rPr>
            </w:pPr>
            <w:r w:rsidRPr="007A2258">
              <w:rPr>
                <w:rFonts w:ascii="Arial Narrow" w:eastAsia="Calibri" w:hAnsi="Arial Narrow" w:cs="Arial"/>
                <w:sz w:val="20"/>
              </w:rPr>
              <w:t>MSM (US, Thailand, South Africa)</w:t>
            </w:r>
          </w:p>
        </w:tc>
        <w:tc>
          <w:tcPr>
            <w:tcW w:w="719" w:type="pct"/>
            <w:shd w:val="clear" w:color="auto" w:fill="auto"/>
            <w:vAlign w:val="center"/>
          </w:tcPr>
          <w:p w:rsidR="00E14A65" w:rsidRPr="007A2258" w:rsidRDefault="00E14A65" w:rsidP="00E14A65">
            <w:pPr>
              <w:keepNext/>
              <w:spacing w:before="40" w:after="40"/>
              <w:rPr>
                <w:rFonts w:ascii="Arial Narrow" w:eastAsia="Calibri" w:hAnsi="Arial Narrow" w:cs="Arial"/>
                <w:sz w:val="20"/>
              </w:rPr>
            </w:pPr>
            <w:r w:rsidRPr="007A2258">
              <w:rPr>
                <w:rFonts w:ascii="Arial Narrow" w:eastAsia="Calibri" w:hAnsi="Arial Narrow" w:cs="Arial"/>
                <w:sz w:val="20"/>
              </w:rPr>
              <w:t>Sexual exposures covered by PrEP.</w:t>
            </w:r>
          </w:p>
          <w:p w:rsidR="00E14A65" w:rsidRPr="007A2258" w:rsidRDefault="00E14A65" w:rsidP="00E14A65">
            <w:pPr>
              <w:keepNext/>
              <w:spacing w:before="40" w:after="40"/>
              <w:rPr>
                <w:rFonts w:ascii="Arial Narrow" w:eastAsia="Times New Roman" w:hAnsi="Arial Narrow" w:cs="Times New Roman"/>
                <w:sz w:val="20"/>
              </w:rPr>
            </w:pPr>
            <w:r w:rsidRPr="007A2258">
              <w:rPr>
                <w:rFonts w:ascii="Arial Narrow" w:eastAsia="Calibri" w:hAnsi="Arial Narrow" w:cs="Arial"/>
                <w:sz w:val="20"/>
              </w:rPr>
              <w:t>Pills for 100% coverage</w:t>
            </w:r>
            <w:r w:rsidRPr="007A2258">
              <w:rPr>
                <w:rFonts w:ascii="Arial Narrow" w:eastAsia="Times New Roman" w:hAnsi="Arial Narrow" w:cs="Times New Roman"/>
                <w:sz w:val="20"/>
              </w:rPr>
              <w:t>.</w:t>
            </w:r>
          </w:p>
        </w:tc>
        <w:tc>
          <w:tcPr>
            <w:tcW w:w="558" w:type="pct"/>
            <w:shd w:val="clear" w:color="auto" w:fill="auto"/>
            <w:vAlign w:val="center"/>
          </w:tcPr>
          <w:p w:rsidR="00E14A65" w:rsidRPr="007A2258" w:rsidRDefault="00E14A65" w:rsidP="00E14A65">
            <w:pPr>
              <w:keepNext/>
              <w:spacing w:before="40" w:after="40"/>
              <w:rPr>
                <w:rFonts w:ascii="Arial Narrow" w:eastAsia="Times New Roman" w:hAnsi="Arial Narrow" w:cs="Times New Roman"/>
                <w:sz w:val="20"/>
              </w:rPr>
            </w:pPr>
            <w:r w:rsidRPr="007A2258">
              <w:rPr>
                <w:rFonts w:ascii="Arial Narrow" w:eastAsia="Calibri" w:hAnsi="Arial Narrow" w:cs="Arial"/>
                <w:sz w:val="20"/>
              </w:rPr>
              <w:t>Not used</w:t>
            </w:r>
          </w:p>
        </w:tc>
      </w:tr>
    </w:tbl>
    <w:p w:rsidR="00E14A65" w:rsidRPr="007A2258" w:rsidRDefault="00E14A65" w:rsidP="00E14A65">
      <w:pPr>
        <w:widowControl w:val="0"/>
        <w:spacing w:before="0" w:after="0"/>
        <w:jc w:val="both"/>
        <w:rPr>
          <w:rFonts w:ascii="Arial Narrow" w:eastAsia="Times New Roman" w:hAnsi="Arial Narrow" w:cs="Arial"/>
          <w:snapToGrid w:val="0"/>
          <w:sz w:val="18"/>
          <w:szCs w:val="20"/>
        </w:rPr>
      </w:pPr>
      <w:r w:rsidRPr="007A2258">
        <w:rPr>
          <w:rFonts w:ascii="Arial Narrow" w:eastAsia="Times New Roman" w:hAnsi="Arial Narrow" w:cs="Arial"/>
          <w:snapToGrid w:val="0"/>
          <w:sz w:val="18"/>
          <w:szCs w:val="20"/>
        </w:rPr>
        <w:t xml:space="preserve">a. n=179 from New York, n=178 from Bangkok, participant numbers from South Africa site not specified </w:t>
      </w:r>
    </w:p>
    <w:p w:rsidR="00E14A65" w:rsidRPr="007A2258" w:rsidRDefault="00E14A65" w:rsidP="00E14A65">
      <w:pPr>
        <w:widowControl w:val="0"/>
        <w:spacing w:before="0" w:after="0"/>
        <w:contextualSpacing/>
        <w:jc w:val="both"/>
        <w:rPr>
          <w:rFonts w:ascii="Arial Narrow" w:eastAsia="Times New Roman" w:hAnsi="Arial Narrow" w:cs="Arial"/>
          <w:snapToGrid w:val="0"/>
          <w:sz w:val="18"/>
          <w:szCs w:val="20"/>
        </w:rPr>
      </w:pPr>
      <w:r w:rsidRPr="007A2258">
        <w:rPr>
          <w:rFonts w:ascii="Arial Narrow" w:eastAsia="Times New Roman" w:hAnsi="Arial Narrow" w:cs="Arial"/>
          <w:snapToGrid w:val="0"/>
          <w:sz w:val="18"/>
          <w:szCs w:val="20"/>
        </w:rPr>
        <w:t>Abbreviations: DB, double blind; HIV, human immunodeficiency virus; MC, multi-centre; MSM, men who have sex with men; OL, open label; R, randomised.</w:t>
      </w:r>
    </w:p>
    <w:p w:rsidR="00E14A65" w:rsidRPr="007A2258" w:rsidRDefault="00E14A65" w:rsidP="00812E2F">
      <w:pPr>
        <w:widowControl w:val="0"/>
        <w:spacing w:before="0" w:after="0"/>
        <w:contextualSpacing/>
        <w:jc w:val="both"/>
        <w:rPr>
          <w:rFonts w:ascii="Arial Narrow" w:eastAsia="Times New Roman" w:hAnsi="Arial Narrow" w:cs="Arial"/>
          <w:snapToGrid w:val="0"/>
          <w:sz w:val="18"/>
          <w:szCs w:val="20"/>
        </w:rPr>
      </w:pPr>
      <w:r w:rsidRPr="007A2258">
        <w:rPr>
          <w:rFonts w:ascii="Arial Narrow" w:eastAsia="Times New Roman" w:hAnsi="Arial Narrow" w:cs="Arial"/>
          <w:snapToGrid w:val="0"/>
          <w:sz w:val="18"/>
          <w:szCs w:val="20"/>
        </w:rPr>
        <w:t>Source:</w:t>
      </w:r>
      <w:r w:rsidR="00812E2F" w:rsidRPr="007A2258">
        <w:rPr>
          <w:rFonts w:ascii="Arial Narrow" w:eastAsia="Times New Roman" w:hAnsi="Arial Narrow" w:cs="Arial"/>
          <w:snapToGrid w:val="0"/>
          <w:sz w:val="18"/>
          <w:szCs w:val="20"/>
        </w:rPr>
        <w:t xml:space="preserve"> compiled during the evaluation</w:t>
      </w:r>
    </w:p>
    <w:p w:rsidR="00E14A65" w:rsidRPr="007A2258" w:rsidRDefault="00E14A65" w:rsidP="007A2258">
      <w:pPr>
        <w:pStyle w:val="ListParagraph"/>
        <w:numPr>
          <w:ilvl w:val="1"/>
          <w:numId w:val="23"/>
        </w:numPr>
        <w:jc w:val="both"/>
      </w:pPr>
      <w:r w:rsidRPr="007A2258">
        <w:t>A summary of the evidence presented in the resubmission across the randomised and nonrandomised trials is presented in T</w:t>
      </w:r>
      <w:r w:rsidR="00FE73D1" w:rsidRPr="007A2258">
        <w:t>able 8</w:t>
      </w:r>
      <w:r w:rsidRPr="007A2258">
        <w:t>.</w:t>
      </w:r>
    </w:p>
    <w:p w:rsidR="00E14A65" w:rsidRPr="007A2258" w:rsidRDefault="008C42A2" w:rsidP="007A2258">
      <w:pPr>
        <w:pStyle w:val="ListParagraph"/>
        <w:numPr>
          <w:ilvl w:val="1"/>
          <w:numId w:val="23"/>
        </w:numPr>
        <w:jc w:val="both"/>
      </w:pPr>
      <w:r w:rsidRPr="007A2258">
        <w:t xml:space="preserve">The information provided on </w:t>
      </w:r>
      <w:r w:rsidR="0053310F" w:rsidRPr="007A2258">
        <w:t xml:space="preserve">the </w:t>
      </w:r>
      <w:r w:rsidRPr="007A2258">
        <w:t>VicPrEP</w:t>
      </w:r>
      <w:r w:rsidR="0053310F" w:rsidRPr="007A2258">
        <w:t xml:space="preserve"> study</w:t>
      </w:r>
      <w:r w:rsidRPr="007A2258">
        <w:t xml:space="preserve"> </w:t>
      </w:r>
      <w:r w:rsidR="0053310F" w:rsidRPr="007A2258">
        <w:t>in the resubmission is the same as</w:t>
      </w:r>
      <w:r w:rsidRPr="007A2258">
        <w:t xml:space="preserve"> included in the July 2016 submission.</w:t>
      </w:r>
      <w:r w:rsidR="0053310F" w:rsidRPr="007A2258">
        <w:t xml:space="preserve"> A description of the study designs was the only </w:t>
      </w:r>
      <w:r w:rsidR="00E14A65" w:rsidRPr="007A2258">
        <w:t xml:space="preserve">information provided </w:t>
      </w:r>
      <w:r w:rsidR="0053310F" w:rsidRPr="007A2258">
        <w:t>for the three other</w:t>
      </w:r>
      <w:r w:rsidR="00E14A65" w:rsidRPr="007A2258">
        <w:t xml:space="preserve"> Australian demonstration projects</w:t>
      </w:r>
      <w:r w:rsidR="00182646" w:rsidRPr="007A2258">
        <w:t>.</w:t>
      </w:r>
      <w:r w:rsidR="00E14A65" w:rsidRPr="007A2258">
        <w:t xml:space="preserve"> </w:t>
      </w:r>
    </w:p>
    <w:p w:rsidR="00BB7199" w:rsidRPr="007A2258" w:rsidRDefault="00BB7199">
      <w:pPr>
        <w:spacing w:before="0" w:line="259" w:lineRule="auto"/>
        <w:rPr>
          <w:b/>
          <w:iCs/>
          <w:snapToGrid w:val="0"/>
          <w:sz w:val="20"/>
          <w:szCs w:val="18"/>
        </w:rPr>
      </w:pPr>
      <w:r w:rsidRPr="007A2258">
        <w:rPr>
          <w:snapToGrid w:val="0"/>
        </w:rPr>
        <w:br w:type="page"/>
      </w:r>
    </w:p>
    <w:p w:rsidR="00904455" w:rsidRDefault="00904455" w:rsidP="00904455">
      <w:pPr>
        <w:pStyle w:val="Caption"/>
      </w:pPr>
      <w:r>
        <w:t xml:space="preserve">Table </w:t>
      </w:r>
      <w:r w:rsidR="004F50B1">
        <w:rPr>
          <w:noProof/>
        </w:rPr>
        <w:t>8</w:t>
      </w:r>
      <w:r w:rsidRPr="00E665B5">
        <w:t>: Evidence presented in the resubmission</w:t>
      </w:r>
    </w:p>
    <w:tbl>
      <w:tblPr>
        <w:tblStyle w:val="TableGridbeth1"/>
        <w:tblW w:w="9036" w:type="dxa"/>
        <w:tblInd w:w="5" w:type="dxa"/>
        <w:tblCellMar>
          <w:left w:w="0" w:type="dxa"/>
          <w:right w:w="0" w:type="dxa"/>
        </w:tblCellMar>
        <w:tblLook w:val="04A0" w:firstRow="1" w:lastRow="0" w:firstColumn="1" w:lastColumn="0" w:noHBand="0" w:noVBand="1"/>
        <w:tblCaption w:val="Evidence presented in the resubmission "/>
      </w:tblPr>
      <w:tblGrid>
        <w:gridCol w:w="2127"/>
        <w:gridCol w:w="1984"/>
        <w:gridCol w:w="992"/>
        <w:gridCol w:w="851"/>
        <w:gridCol w:w="1134"/>
        <w:gridCol w:w="1948"/>
      </w:tblGrid>
      <w:tr w:rsidR="00E14A65" w:rsidRPr="007A2258" w:rsidTr="000F50A6">
        <w:trPr>
          <w:trHeight w:val="20"/>
          <w:tblHeader/>
        </w:trPr>
        <w:tc>
          <w:tcPr>
            <w:tcW w:w="2127" w:type="dxa"/>
            <w:tcBorders>
              <w:bottom w:val="single" w:sz="4" w:space="0" w:color="auto"/>
            </w:tcBorders>
            <w:vAlign w:val="center"/>
          </w:tcPr>
          <w:p w:rsidR="00E14A65" w:rsidRPr="007A2258" w:rsidRDefault="00E14A65" w:rsidP="00920F57">
            <w:pPr>
              <w:keepNext/>
              <w:widowControl w:val="0"/>
              <w:spacing w:before="0"/>
              <w:rPr>
                <w:rFonts w:ascii="Arial Narrow" w:hAnsi="Arial Narrow" w:cs="Arial"/>
                <w:snapToGrid w:val="0"/>
                <w:sz w:val="20"/>
              </w:rPr>
            </w:pPr>
          </w:p>
        </w:tc>
        <w:tc>
          <w:tcPr>
            <w:tcW w:w="1984" w:type="dxa"/>
            <w:tcBorders>
              <w:bottom w:val="single" w:sz="4" w:space="0" w:color="auto"/>
            </w:tcBorders>
            <w:vAlign w:val="center"/>
          </w:tcPr>
          <w:p w:rsidR="00E14A65" w:rsidRPr="007A2258" w:rsidRDefault="00E14A65" w:rsidP="00920F57">
            <w:pPr>
              <w:keepNext/>
              <w:widowControl w:val="0"/>
              <w:spacing w:before="0"/>
              <w:rPr>
                <w:rFonts w:ascii="Arial Narrow" w:hAnsi="Arial Narrow" w:cs="Arial"/>
                <w:b/>
                <w:snapToGrid w:val="0"/>
                <w:sz w:val="20"/>
              </w:rPr>
            </w:pPr>
            <w:r w:rsidRPr="007A2258">
              <w:rPr>
                <w:rFonts w:ascii="Arial Narrow" w:hAnsi="Arial Narrow" w:cs="Arial"/>
                <w:b/>
                <w:snapToGrid w:val="0"/>
                <w:sz w:val="20"/>
              </w:rPr>
              <w:t>Baseline characteristics</w:t>
            </w:r>
          </w:p>
        </w:tc>
        <w:tc>
          <w:tcPr>
            <w:tcW w:w="992" w:type="dxa"/>
            <w:tcBorders>
              <w:bottom w:val="single" w:sz="4" w:space="0" w:color="auto"/>
            </w:tcBorders>
            <w:vAlign w:val="center"/>
          </w:tcPr>
          <w:p w:rsidR="00E14A65" w:rsidRPr="007A2258" w:rsidRDefault="00E14A65" w:rsidP="00920F57">
            <w:pPr>
              <w:keepNext/>
              <w:widowControl w:val="0"/>
              <w:spacing w:before="0"/>
              <w:rPr>
                <w:rFonts w:ascii="Arial Narrow" w:hAnsi="Arial Narrow" w:cs="Arial"/>
                <w:b/>
                <w:snapToGrid w:val="0"/>
                <w:sz w:val="20"/>
              </w:rPr>
            </w:pPr>
            <w:r w:rsidRPr="007A2258">
              <w:rPr>
                <w:rFonts w:ascii="Arial Narrow" w:hAnsi="Arial Narrow" w:cs="Arial"/>
                <w:b/>
                <w:snapToGrid w:val="0"/>
                <w:sz w:val="20"/>
              </w:rPr>
              <w:t>Efficacy</w:t>
            </w:r>
          </w:p>
        </w:tc>
        <w:tc>
          <w:tcPr>
            <w:tcW w:w="851" w:type="dxa"/>
            <w:tcBorders>
              <w:bottom w:val="single" w:sz="4" w:space="0" w:color="auto"/>
            </w:tcBorders>
            <w:vAlign w:val="center"/>
          </w:tcPr>
          <w:p w:rsidR="00E14A65" w:rsidRPr="007A2258" w:rsidRDefault="00E14A65" w:rsidP="00920F57">
            <w:pPr>
              <w:keepNext/>
              <w:widowControl w:val="0"/>
              <w:spacing w:before="0"/>
              <w:rPr>
                <w:rFonts w:ascii="Arial Narrow" w:hAnsi="Arial Narrow" w:cs="Arial"/>
                <w:b/>
                <w:snapToGrid w:val="0"/>
                <w:sz w:val="20"/>
              </w:rPr>
            </w:pPr>
            <w:r w:rsidRPr="007A2258">
              <w:rPr>
                <w:rFonts w:ascii="Arial Narrow" w:hAnsi="Arial Narrow" w:cs="Arial"/>
                <w:b/>
                <w:snapToGrid w:val="0"/>
                <w:sz w:val="20"/>
              </w:rPr>
              <w:t>Safety</w:t>
            </w:r>
          </w:p>
        </w:tc>
        <w:tc>
          <w:tcPr>
            <w:tcW w:w="1134" w:type="dxa"/>
            <w:tcBorders>
              <w:bottom w:val="single" w:sz="4" w:space="0" w:color="auto"/>
            </w:tcBorders>
            <w:vAlign w:val="center"/>
          </w:tcPr>
          <w:p w:rsidR="00E14A65" w:rsidRPr="007A2258" w:rsidRDefault="00E14A65" w:rsidP="00920F57">
            <w:pPr>
              <w:keepNext/>
              <w:widowControl w:val="0"/>
              <w:spacing w:before="0"/>
              <w:rPr>
                <w:rFonts w:ascii="Arial Narrow" w:hAnsi="Arial Narrow" w:cs="Arial"/>
                <w:b/>
                <w:snapToGrid w:val="0"/>
                <w:sz w:val="20"/>
              </w:rPr>
            </w:pPr>
            <w:r w:rsidRPr="007A2258">
              <w:rPr>
                <w:rFonts w:ascii="Arial Narrow" w:hAnsi="Arial Narrow" w:cs="Arial"/>
                <w:b/>
                <w:snapToGrid w:val="0"/>
                <w:sz w:val="20"/>
              </w:rPr>
              <w:t>Adherence</w:t>
            </w:r>
          </w:p>
        </w:tc>
        <w:tc>
          <w:tcPr>
            <w:tcW w:w="1948" w:type="dxa"/>
            <w:tcBorders>
              <w:bottom w:val="single" w:sz="4" w:space="0" w:color="auto"/>
            </w:tcBorders>
            <w:vAlign w:val="center"/>
          </w:tcPr>
          <w:p w:rsidR="00E14A65" w:rsidRPr="007A2258" w:rsidRDefault="00E14A65" w:rsidP="00920F57">
            <w:pPr>
              <w:keepNext/>
              <w:widowControl w:val="0"/>
              <w:spacing w:before="0"/>
              <w:rPr>
                <w:rFonts w:ascii="Arial Narrow" w:hAnsi="Arial Narrow" w:cs="Arial"/>
                <w:b/>
                <w:snapToGrid w:val="0"/>
                <w:sz w:val="20"/>
              </w:rPr>
            </w:pPr>
            <w:r w:rsidRPr="007A2258">
              <w:rPr>
                <w:rFonts w:ascii="Arial Narrow" w:hAnsi="Arial Narrow" w:cs="Arial"/>
                <w:b/>
                <w:snapToGrid w:val="0"/>
                <w:sz w:val="20"/>
              </w:rPr>
              <w:t>Risk behaviour and STI</w:t>
            </w:r>
          </w:p>
        </w:tc>
      </w:tr>
      <w:tr w:rsidR="00854221" w:rsidRPr="007A2258" w:rsidTr="00854221">
        <w:trPr>
          <w:trHeight w:val="20"/>
        </w:trPr>
        <w:tc>
          <w:tcPr>
            <w:tcW w:w="2127" w:type="dxa"/>
            <w:tcBorders>
              <w:right w:val="nil"/>
            </w:tcBorders>
            <w:vAlign w:val="center"/>
          </w:tcPr>
          <w:p w:rsidR="00854221" w:rsidRPr="007A2258" w:rsidRDefault="00854221" w:rsidP="00E14A65">
            <w:pPr>
              <w:widowControl w:val="0"/>
              <w:spacing w:before="0"/>
              <w:rPr>
                <w:rFonts w:ascii="Arial Narrow" w:hAnsi="Arial Narrow" w:cs="Arial"/>
                <w:snapToGrid w:val="0"/>
                <w:sz w:val="20"/>
              </w:rPr>
            </w:pPr>
            <w:r w:rsidRPr="007A2258">
              <w:rPr>
                <w:rFonts w:ascii="Arial Narrow" w:hAnsi="Arial Narrow" w:cs="Arial"/>
                <w:snapToGrid w:val="0"/>
                <w:sz w:val="20"/>
              </w:rPr>
              <w:t>Randomised trials</w:t>
            </w:r>
          </w:p>
        </w:tc>
        <w:tc>
          <w:tcPr>
            <w:tcW w:w="1984" w:type="dxa"/>
            <w:tcBorders>
              <w:left w:val="nil"/>
              <w:right w:val="nil"/>
            </w:tcBorders>
            <w:vAlign w:val="center"/>
          </w:tcPr>
          <w:p w:rsidR="00854221" w:rsidRPr="007A2258" w:rsidRDefault="00854221" w:rsidP="00E14A65">
            <w:pPr>
              <w:widowControl w:val="0"/>
              <w:spacing w:before="0"/>
              <w:rPr>
                <w:rFonts w:ascii="Arial Narrow" w:hAnsi="Arial Narrow" w:cs="Arial"/>
                <w:snapToGrid w:val="0"/>
                <w:sz w:val="20"/>
              </w:rPr>
            </w:pPr>
          </w:p>
        </w:tc>
        <w:tc>
          <w:tcPr>
            <w:tcW w:w="992" w:type="dxa"/>
            <w:tcBorders>
              <w:left w:val="nil"/>
              <w:right w:val="nil"/>
            </w:tcBorders>
            <w:vAlign w:val="center"/>
          </w:tcPr>
          <w:p w:rsidR="00854221" w:rsidRPr="007A2258" w:rsidRDefault="00854221" w:rsidP="00E14A65">
            <w:pPr>
              <w:widowControl w:val="0"/>
              <w:spacing w:before="0"/>
              <w:rPr>
                <w:rFonts w:ascii="Arial Narrow" w:hAnsi="Arial Narrow" w:cs="Arial"/>
                <w:snapToGrid w:val="0"/>
                <w:sz w:val="20"/>
              </w:rPr>
            </w:pPr>
          </w:p>
        </w:tc>
        <w:tc>
          <w:tcPr>
            <w:tcW w:w="851" w:type="dxa"/>
            <w:tcBorders>
              <w:left w:val="nil"/>
              <w:right w:val="nil"/>
            </w:tcBorders>
            <w:vAlign w:val="center"/>
          </w:tcPr>
          <w:p w:rsidR="00854221" w:rsidRPr="007A2258" w:rsidRDefault="00854221" w:rsidP="00E14A65">
            <w:pPr>
              <w:widowControl w:val="0"/>
              <w:spacing w:before="0"/>
              <w:rPr>
                <w:rFonts w:ascii="Arial Narrow" w:hAnsi="Arial Narrow" w:cs="Arial"/>
                <w:snapToGrid w:val="0"/>
                <w:sz w:val="20"/>
              </w:rPr>
            </w:pPr>
          </w:p>
        </w:tc>
        <w:tc>
          <w:tcPr>
            <w:tcW w:w="1134" w:type="dxa"/>
            <w:tcBorders>
              <w:left w:val="nil"/>
              <w:right w:val="nil"/>
            </w:tcBorders>
            <w:vAlign w:val="center"/>
          </w:tcPr>
          <w:p w:rsidR="00854221" w:rsidRPr="007A2258" w:rsidRDefault="00854221" w:rsidP="00E14A65">
            <w:pPr>
              <w:widowControl w:val="0"/>
              <w:spacing w:before="0"/>
              <w:rPr>
                <w:rFonts w:ascii="Arial Narrow" w:hAnsi="Arial Narrow" w:cs="Arial"/>
                <w:snapToGrid w:val="0"/>
                <w:sz w:val="20"/>
              </w:rPr>
            </w:pPr>
          </w:p>
        </w:tc>
        <w:tc>
          <w:tcPr>
            <w:tcW w:w="1948" w:type="dxa"/>
            <w:tcBorders>
              <w:left w:val="nil"/>
            </w:tcBorders>
            <w:vAlign w:val="center"/>
          </w:tcPr>
          <w:p w:rsidR="00854221" w:rsidRPr="007A2258" w:rsidRDefault="00854221" w:rsidP="00E14A65">
            <w:pPr>
              <w:widowControl w:val="0"/>
              <w:spacing w:before="0"/>
              <w:rPr>
                <w:rFonts w:ascii="Arial Narrow" w:hAnsi="Arial Narrow" w:cs="Arial"/>
                <w:snapToGrid w:val="0"/>
                <w:sz w:val="20"/>
              </w:rPr>
            </w:pPr>
          </w:p>
        </w:tc>
      </w:tr>
      <w:tr w:rsidR="00E14A65" w:rsidRPr="007A2258" w:rsidTr="00920F57">
        <w:trPr>
          <w:trHeight w:val="20"/>
        </w:trPr>
        <w:tc>
          <w:tcPr>
            <w:tcW w:w="2127"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IPERGAY</w:t>
            </w:r>
          </w:p>
        </w:tc>
        <w:tc>
          <w:tcPr>
            <w:tcW w:w="1984"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Yes</w:t>
            </w:r>
          </w:p>
        </w:tc>
        <w:tc>
          <w:tcPr>
            <w:tcW w:w="992"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 xml:space="preserve">Yes </w:t>
            </w:r>
          </w:p>
        </w:tc>
        <w:tc>
          <w:tcPr>
            <w:tcW w:w="851"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Yes</w:t>
            </w:r>
          </w:p>
        </w:tc>
        <w:tc>
          <w:tcPr>
            <w:tcW w:w="1134"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Yes</w:t>
            </w:r>
          </w:p>
        </w:tc>
        <w:tc>
          <w:tcPr>
            <w:tcW w:w="1948"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Yes</w:t>
            </w:r>
          </w:p>
        </w:tc>
      </w:tr>
      <w:tr w:rsidR="00E14A65" w:rsidRPr="007A2258" w:rsidTr="00920F57">
        <w:trPr>
          <w:trHeight w:val="20"/>
        </w:trPr>
        <w:tc>
          <w:tcPr>
            <w:tcW w:w="2127"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ADAPT – New York</w:t>
            </w:r>
          </w:p>
        </w:tc>
        <w:tc>
          <w:tcPr>
            <w:tcW w:w="1984"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Yes</w:t>
            </w:r>
          </w:p>
        </w:tc>
        <w:tc>
          <w:tcPr>
            <w:tcW w:w="992"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No</w:t>
            </w:r>
          </w:p>
        </w:tc>
        <w:tc>
          <w:tcPr>
            <w:tcW w:w="851"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Yes</w:t>
            </w:r>
          </w:p>
        </w:tc>
        <w:tc>
          <w:tcPr>
            <w:tcW w:w="1134"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Yes</w:t>
            </w:r>
          </w:p>
        </w:tc>
        <w:tc>
          <w:tcPr>
            <w:tcW w:w="1948"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No</w:t>
            </w:r>
          </w:p>
        </w:tc>
      </w:tr>
      <w:tr w:rsidR="00E14A65" w:rsidRPr="007A2258" w:rsidTr="00920F57">
        <w:trPr>
          <w:trHeight w:val="20"/>
        </w:trPr>
        <w:tc>
          <w:tcPr>
            <w:tcW w:w="2127"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ADAPT – Thailand</w:t>
            </w:r>
          </w:p>
        </w:tc>
        <w:tc>
          <w:tcPr>
            <w:tcW w:w="1984"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 xml:space="preserve">Yes </w:t>
            </w:r>
          </w:p>
        </w:tc>
        <w:tc>
          <w:tcPr>
            <w:tcW w:w="992"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Yes</w:t>
            </w:r>
          </w:p>
        </w:tc>
        <w:tc>
          <w:tcPr>
            <w:tcW w:w="851"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No</w:t>
            </w:r>
          </w:p>
        </w:tc>
        <w:tc>
          <w:tcPr>
            <w:tcW w:w="1134"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Yes</w:t>
            </w:r>
          </w:p>
        </w:tc>
        <w:tc>
          <w:tcPr>
            <w:tcW w:w="1948"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No</w:t>
            </w:r>
          </w:p>
        </w:tc>
      </w:tr>
      <w:tr w:rsidR="00E14A65" w:rsidRPr="007A2258" w:rsidTr="00854221">
        <w:trPr>
          <w:trHeight w:val="20"/>
        </w:trPr>
        <w:tc>
          <w:tcPr>
            <w:tcW w:w="2127" w:type="dxa"/>
            <w:tcBorders>
              <w:bottom w:val="single" w:sz="4" w:space="0" w:color="auto"/>
            </w:tcBorders>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ADAPT – South Africa</w:t>
            </w:r>
          </w:p>
        </w:tc>
        <w:tc>
          <w:tcPr>
            <w:tcW w:w="1984" w:type="dxa"/>
            <w:tcBorders>
              <w:bottom w:val="single" w:sz="4" w:space="0" w:color="auto"/>
            </w:tcBorders>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No</w:t>
            </w:r>
          </w:p>
        </w:tc>
        <w:tc>
          <w:tcPr>
            <w:tcW w:w="992" w:type="dxa"/>
            <w:tcBorders>
              <w:bottom w:val="single" w:sz="4" w:space="0" w:color="auto"/>
            </w:tcBorders>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No</w:t>
            </w:r>
          </w:p>
        </w:tc>
        <w:tc>
          <w:tcPr>
            <w:tcW w:w="851" w:type="dxa"/>
            <w:tcBorders>
              <w:bottom w:val="single" w:sz="4" w:space="0" w:color="auto"/>
            </w:tcBorders>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No</w:t>
            </w:r>
          </w:p>
        </w:tc>
        <w:tc>
          <w:tcPr>
            <w:tcW w:w="1134" w:type="dxa"/>
            <w:tcBorders>
              <w:bottom w:val="single" w:sz="4" w:space="0" w:color="auto"/>
            </w:tcBorders>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No</w:t>
            </w:r>
          </w:p>
        </w:tc>
        <w:tc>
          <w:tcPr>
            <w:tcW w:w="1948" w:type="dxa"/>
            <w:tcBorders>
              <w:bottom w:val="single" w:sz="4" w:space="0" w:color="auto"/>
            </w:tcBorders>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No</w:t>
            </w:r>
          </w:p>
        </w:tc>
      </w:tr>
      <w:tr w:rsidR="00854221" w:rsidRPr="007A2258" w:rsidTr="00854221">
        <w:trPr>
          <w:trHeight w:val="20"/>
        </w:trPr>
        <w:tc>
          <w:tcPr>
            <w:tcW w:w="2127" w:type="dxa"/>
            <w:tcBorders>
              <w:right w:val="nil"/>
            </w:tcBorders>
            <w:vAlign w:val="center"/>
          </w:tcPr>
          <w:p w:rsidR="00854221" w:rsidRPr="007A2258" w:rsidRDefault="00854221" w:rsidP="00E14A65">
            <w:pPr>
              <w:widowControl w:val="0"/>
              <w:spacing w:before="0"/>
              <w:rPr>
                <w:rFonts w:ascii="Arial Narrow" w:hAnsi="Arial Narrow" w:cs="Arial"/>
                <w:snapToGrid w:val="0"/>
                <w:sz w:val="20"/>
              </w:rPr>
            </w:pPr>
            <w:r w:rsidRPr="007A2258">
              <w:rPr>
                <w:rFonts w:ascii="Arial Narrow" w:hAnsi="Arial Narrow" w:cs="Arial"/>
                <w:snapToGrid w:val="0"/>
                <w:sz w:val="20"/>
              </w:rPr>
              <w:t>Nonrandomised trials</w:t>
            </w:r>
          </w:p>
        </w:tc>
        <w:tc>
          <w:tcPr>
            <w:tcW w:w="1984" w:type="dxa"/>
            <w:tcBorders>
              <w:left w:val="nil"/>
              <w:right w:val="nil"/>
            </w:tcBorders>
            <w:vAlign w:val="center"/>
          </w:tcPr>
          <w:p w:rsidR="00854221" w:rsidRPr="007A2258" w:rsidRDefault="00854221" w:rsidP="00E14A65">
            <w:pPr>
              <w:widowControl w:val="0"/>
              <w:spacing w:before="0"/>
              <w:rPr>
                <w:rFonts w:ascii="Arial Narrow" w:hAnsi="Arial Narrow" w:cs="Arial"/>
                <w:snapToGrid w:val="0"/>
                <w:sz w:val="20"/>
              </w:rPr>
            </w:pPr>
          </w:p>
        </w:tc>
        <w:tc>
          <w:tcPr>
            <w:tcW w:w="992" w:type="dxa"/>
            <w:tcBorders>
              <w:left w:val="nil"/>
              <w:right w:val="nil"/>
            </w:tcBorders>
            <w:vAlign w:val="center"/>
          </w:tcPr>
          <w:p w:rsidR="00854221" w:rsidRPr="007A2258" w:rsidRDefault="00854221" w:rsidP="00E14A65">
            <w:pPr>
              <w:widowControl w:val="0"/>
              <w:spacing w:before="0"/>
              <w:rPr>
                <w:rFonts w:ascii="Arial Narrow" w:hAnsi="Arial Narrow" w:cs="Arial"/>
                <w:snapToGrid w:val="0"/>
                <w:sz w:val="20"/>
              </w:rPr>
            </w:pPr>
          </w:p>
        </w:tc>
        <w:tc>
          <w:tcPr>
            <w:tcW w:w="851" w:type="dxa"/>
            <w:tcBorders>
              <w:left w:val="nil"/>
              <w:right w:val="nil"/>
            </w:tcBorders>
            <w:vAlign w:val="center"/>
          </w:tcPr>
          <w:p w:rsidR="00854221" w:rsidRPr="007A2258" w:rsidRDefault="00854221" w:rsidP="00E14A65">
            <w:pPr>
              <w:widowControl w:val="0"/>
              <w:spacing w:before="0"/>
              <w:rPr>
                <w:rFonts w:ascii="Arial Narrow" w:hAnsi="Arial Narrow" w:cs="Arial"/>
                <w:snapToGrid w:val="0"/>
                <w:sz w:val="20"/>
              </w:rPr>
            </w:pPr>
          </w:p>
        </w:tc>
        <w:tc>
          <w:tcPr>
            <w:tcW w:w="1134" w:type="dxa"/>
            <w:tcBorders>
              <w:left w:val="nil"/>
              <w:right w:val="nil"/>
            </w:tcBorders>
            <w:vAlign w:val="center"/>
          </w:tcPr>
          <w:p w:rsidR="00854221" w:rsidRPr="007A2258" w:rsidRDefault="00854221" w:rsidP="00E14A65">
            <w:pPr>
              <w:widowControl w:val="0"/>
              <w:spacing w:before="0"/>
              <w:rPr>
                <w:rFonts w:ascii="Arial Narrow" w:hAnsi="Arial Narrow" w:cs="Arial"/>
                <w:snapToGrid w:val="0"/>
                <w:sz w:val="20"/>
              </w:rPr>
            </w:pPr>
          </w:p>
        </w:tc>
        <w:tc>
          <w:tcPr>
            <w:tcW w:w="1948" w:type="dxa"/>
            <w:tcBorders>
              <w:left w:val="nil"/>
            </w:tcBorders>
            <w:vAlign w:val="center"/>
          </w:tcPr>
          <w:p w:rsidR="00854221" w:rsidRPr="007A2258" w:rsidRDefault="00854221" w:rsidP="00E14A65">
            <w:pPr>
              <w:widowControl w:val="0"/>
              <w:spacing w:before="0"/>
              <w:rPr>
                <w:rFonts w:ascii="Arial Narrow" w:hAnsi="Arial Narrow" w:cs="Arial"/>
                <w:snapToGrid w:val="0"/>
                <w:sz w:val="20"/>
              </w:rPr>
            </w:pPr>
          </w:p>
        </w:tc>
      </w:tr>
      <w:tr w:rsidR="00E14A65" w:rsidRPr="007A2258" w:rsidTr="00920F57">
        <w:trPr>
          <w:trHeight w:val="20"/>
        </w:trPr>
        <w:tc>
          <w:tcPr>
            <w:tcW w:w="2127"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IPrEx OLE</w:t>
            </w:r>
          </w:p>
        </w:tc>
        <w:tc>
          <w:tcPr>
            <w:tcW w:w="1984"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Yes</w:t>
            </w:r>
          </w:p>
        </w:tc>
        <w:tc>
          <w:tcPr>
            <w:tcW w:w="992"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Yes</w:t>
            </w:r>
          </w:p>
        </w:tc>
        <w:tc>
          <w:tcPr>
            <w:tcW w:w="851"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 xml:space="preserve">Yes </w:t>
            </w:r>
          </w:p>
        </w:tc>
        <w:tc>
          <w:tcPr>
            <w:tcW w:w="1134"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Yes</w:t>
            </w:r>
          </w:p>
        </w:tc>
        <w:tc>
          <w:tcPr>
            <w:tcW w:w="1948"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Yes</w:t>
            </w:r>
          </w:p>
        </w:tc>
      </w:tr>
      <w:tr w:rsidR="00E14A65" w:rsidRPr="007A2258" w:rsidTr="00920F57">
        <w:trPr>
          <w:trHeight w:val="20"/>
        </w:trPr>
        <w:tc>
          <w:tcPr>
            <w:tcW w:w="2127"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The Demo Project US</w:t>
            </w:r>
          </w:p>
        </w:tc>
        <w:tc>
          <w:tcPr>
            <w:tcW w:w="1984"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Yes</w:t>
            </w:r>
          </w:p>
        </w:tc>
        <w:tc>
          <w:tcPr>
            <w:tcW w:w="992"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Yes</w:t>
            </w:r>
          </w:p>
        </w:tc>
        <w:tc>
          <w:tcPr>
            <w:tcW w:w="851"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Yes</w:t>
            </w:r>
          </w:p>
        </w:tc>
        <w:tc>
          <w:tcPr>
            <w:tcW w:w="1134"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Yes</w:t>
            </w:r>
          </w:p>
        </w:tc>
        <w:tc>
          <w:tcPr>
            <w:tcW w:w="1948"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Yes</w:t>
            </w:r>
          </w:p>
        </w:tc>
      </w:tr>
      <w:tr w:rsidR="00E14A65" w:rsidRPr="007A2258" w:rsidTr="00920F57">
        <w:trPr>
          <w:trHeight w:val="20"/>
        </w:trPr>
        <w:tc>
          <w:tcPr>
            <w:tcW w:w="2127"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Kaiser Permanente (KPSF)</w:t>
            </w:r>
          </w:p>
        </w:tc>
        <w:tc>
          <w:tcPr>
            <w:tcW w:w="1984"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Yes</w:t>
            </w:r>
          </w:p>
        </w:tc>
        <w:tc>
          <w:tcPr>
            <w:tcW w:w="992"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Yes</w:t>
            </w:r>
          </w:p>
        </w:tc>
        <w:tc>
          <w:tcPr>
            <w:tcW w:w="851"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No</w:t>
            </w:r>
          </w:p>
        </w:tc>
        <w:tc>
          <w:tcPr>
            <w:tcW w:w="1134"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No</w:t>
            </w:r>
          </w:p>
        </w:tc>
        <w:tc>
          <w:tcPr>
            <w:tcW w:w="1948"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Yes</w:t>
            </w:r>
          </w:p>
        </w:tc>
      </w:tr>
      <w:tr w:rsidR="00E14A65" w:rsidRPr="007A2258" w:rsidTr="00920F57">
        <w:trPr>
          <w:trHeight w:val="20"/>
        </w:trPr>
        <w:tc>
          <w:tcPr>
            <w:tcW w:w="2127"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PrEPare 2 YMSM</w:t>
            </w:r>
          </w:p>
        </w:tc>
        <w:tc>
          <w:tcPr>
            <w:tcW w:w="1984"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Yes</w:t>
            </w:r>
          </w:p>
        </w:tc>
        <w:tc>
          <w:tcPr>
            <w:tcW w:w="992"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Yes</w:t>
            </w:r>
          </w:p>
        </w:tc>
        <w:tc>
          <w:tcPr>
            <w:tcW w:w="851"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Yes</w:t>
            </w:r>
          </w:p>
        </w:tc>
        <w:tc>
          <w:tcPr>
            <w:tcW w:w="1134"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No</w:t>
            </w:r>
          </w:p>
        </w:tc>
        <w:tc>
          <w:tcPr>
            <w:tcW w:w="1948"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Yes</w:t>
            </w:r>
          </w:p>
        </w:tc>
      </w:tr>
      <w:tr w:rsidR="00E14A65" w:rsidRPr="007A2258" w:rsidTr="00920F57">
        <w:trPr>
          <w:trHeight w:val="20"/>
        </w:trPr>
        <w:tc>
          <w:tcPr>
            <w:tcW w:w="2127"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VicPrEP</w:t>
            </w:r>
            <w:r w:rsidR="0053310F" w:rsidRPr="007A2258">
              <w:rPr>
                <w:rFonts w:ascii="Arial Narrow" w:hAnsi="Arial Narrow" w:cs="Arial"/>
                <w:snapToGrid w:val="0"/>
                <w:sz w:val="20"/>
              </w:rPr>
              <w:t xml:space="preserve"> –Australia</w:t>
            </w:r>
          </w:p>
        </w:tc>
        <w:tc>
          <w:tcPr>
            <w:tcW w:w="1984"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Yes</w:t>
            </w:r>
          </w:p>
        </w:tc>
        <w:tc>
          <w:tcPr>
            <w:tcW w:w="992"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Yes</w:t>
            </w:r>
          </w:p>
        </w:tc>
        <w:tc>
          <w:tcPr>
            <w:tcW w:w="851"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Yes</w:t>
            </w:r>
          </w:p>
        </w:tc>
        <w:tc>
          <w:tcPr>
            <w:tcW w:w="1134"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No</w:t>
            </w:r>
          </w:p>
        </w:tc>
        <w:tc>
          <w:tcPr>
            <w:tcW w:w="1948"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Yes</w:t>
            </w:r>
          </w:p>
        </w:tc>
      </w:tr>
      <w:tr w:rsidR="00E14A65" w:rsidRPr="007A2258" w:rsidTr="00920F57">
        <w:trPr>
          <w:trHeight w:val="20"/>
        </w:trPr>
        <w:tc>
          <w:tcPr>
            <w:tcW w:w="2127"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PrELUDE</w:t>
            </w:r>
            <w:r w:rsidR="0053310F" w:rsidRPr="007A2258">
              <w:rPr>
                <w:rFonts w:ascii="Arial Narrow" w:hAnsi="Arial Narrow" w:cs="Arial"/>
                <w:snapToGrid w:val="0"/>
                <w:sz w:val="20"/>
              </w:rPr>
              <w:t xml:space="preserve"> –Australia</w:t>
            </w:r>
          </w:p>
        </w:tc>
        <w:tc>
          <w:tcPr>
            <w:tcW w:w="1984"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No</w:t>
            </w:r>
          </w:p>
        </w:tc>
        <w:tc>
          <w:tcPr>
            <w:tcW w:w="992"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No</w:t>
            </w:r>
          </w:p>
        </w:tc>
        <w:tc>
          <w:tcPr>
            <w:tcW w:w="851"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No</w:t>
            </w:r>
          </w:p>
        </w:tc>
        <w:tc>
          <w:tcPr>
            <w:tcW w:w="1134"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No</w:t>
            </w:r>
          </w:p>
        </w:tc>
        <w:tc>
          <w:tcPr>
            <w:tcW w:w="1948"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No</w:t>
            </w:r>
          </w:p>
        </w:tc>
      </w:tr>
      <w:tr w:rsidR="00E14A65" w:rsidRPr="007A2258" w:rsidTr="00920F57">
        <w:trPr>
          <w:trHeight w:val="20"/>
        </w:trPr>
        <w:tc>
          <w:tcPr>
            <w:tcW w:w="2127"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EPIC-NSW</w:t>
            </w:r>
            <w:r w:rsidR="0053310F" w:rsidRPr="007A2258">
              <w:rPr>
                <w:rFonts w:ascii="Arial Narrow" w:hAnsi="Arial Narrow" w:cs="Arial"/>
                <w:snapToGrid w:val="0"/>
                <w:sz w:val="20"/>
              </w:rPr>
              <w:t xml:space="preserve"> –Australia</w:t>
            </w:r>
          </w:p>
        </w:tc>
        <w:tc>
          <w:tcPr>
            <w:tcW w:w="1984"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No</w:t>
            </w:r>
          </w:p>
        </w:tc>
        <w:tc>
          <w:tcPr>
            <w:tcW w:w="992"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No</w:t>
            </w:r>
          </w:p>
        </w:tc>
        <w:tc>
          <w:tcPr>
            <w:tcW w:w="851"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No</w:t>
            </w:r>
          </w:p>
        </w:tc>
        <w:tc>
          <w:tcPr>
            <w:tcW w:w="1134"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No</w:t>
            </w:r>
          </w:p>
        </w:tc>
        <w:tc>
          <w:tcPr>
            <w:tcW w:w="1948"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No</w:t>
            </w:r>
          </w:p>
        </w:tc>
      </w:tr>
      <w:tr w:rsidR="00E14A65" w:rsidRPr="007A2258" w:rsidTr="00920F57">
        <w:trPr>
          <w:trHeight w:val="20"/>
        </w:trPr>
        <w:tc>
          <w:tcPr>
            <w:tcW w:w="2127"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QPrEPd</w:t>
            </w:r>
            <w:r w:rsidR="0053310F" w:rsidRPr="007A2258">
              <w:rPr>
                <w:rFonts w:ascii="Arial Narrow" w:hAnsi="Arial Narrow" w:cs="Arial"/>
                <w:snapToGrid w:val="0"/>
                <w:sz w:val="20"/>
              </w:rPr>
              <w:t xml:space="preserve"> </w:t>
            </w:r>
            <w:r w:rsidR="0075689B">
              <w:rPr>
                <w:rFonts w:ascii="Arial Narrow" w:hAnsi="Arial Narrow" w:cs="Arial"/>
                <w:snapToGrid w:val="0"/>
                <w:sz w:val="20"/>
              </w:rPr>
              <w:t>–</w:t>
            </w:r>
            <w:r w:rsidR="0053310F" w:rsidRPr="007A2258">
              <w:rPr>
                <w:rFonts w:ascii="Arial Narrow" w:hAnsi="Arial Narrow" w:cs="Arial"/>
                <w:snapToGrid w:val="0"/>
                <w:sz w:val="20"/>
              </w:rPr>
              <w:t>Australia</w:t>
            </w:r>
          </w:p>
        </w:tc>
        <w:tc>
          <w:tcPr>
            <w:tcW w:w="1984"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No</w:t>
            </w:r>
          </w:p>
        </w:tc>
        <w:tc>
          <w:tcPr>
            <w:tcW w:w="992"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No</w:t>
            </w:r>
          </w:p>
        </w:tc>
        <w:tc>
          <w:tcPr>
            <w:tcW w:w="851"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No</w:t>
            </w:r>
          </w:p>
        </w:tc>
        <w:tc>
          <w:tcPr>
            <w:tcW w:w="1134"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No</w:t>
            </w:r>
          </w:p>
        </w:tc>
        <w:tc>
          <w:tcPr>
            <w:tcW w:w="1948" w:type="dxa"/>
            <w:vAlign w:val="center"/>
          </w:tcPr>
          <w:p w:rsidR="00E14A65" w:rsidRPr="007A2258" w:rsidRDefault="00E14A65" w:rsidP="00E14A65">
            <w:pPr>
              <w:widowControl w:val="0"/>
              <w:spacing w:before="0"/>
              <w:rPr>
                <w:rFonts w:ascii="Arial Narrow" w:hAnsi="Arial Narrow" w:cs="Arial"/>
                <w:snapToGrid w:val="0"/>
                <w:sz w:val="20"/>
              </w:rPr>
            </w:pPr>
            <w:r w:rsidRPr="007A2258">
              <w:rPr>
                <w:rFonts w:ascii="Arial Narrow" w:hAnsi="Arial Narrow" w:cs="Arial"/>
                <w:snapToGrid w:val="0"/>
                <w:sz w:val="20"/>
              </w:rPr>
              <w:t>No</w:t>
            </w:r>
          </w:p>
        </w:tc>
      </w:tr>
    </w:tbl>
    <w:p w:rsidR="00E14A65" w:rsidRPr="007A2258" w:rsidRDefault="00E14A65" w:rsidP="00E14A65">
      <w:pPr>
        <w:widowControl w:val="0"/>
        <w:spacing w:before="0" w:after="0"/>
        <w:jc w:val="both"/>
        <w:rPr>
          <w:rFonts w:ascii="Arial Narrow" w:eastAsia="Times New Roman" w:hAnsi="Arial Narrow" w:cs="Arial"/>
          <w:snapToGrid w:val="0"/>
          <w:sz w:val="18"/>
          <w:szCs w:val="18"/>
        </w:rPr>
      </w:pPr>
      <w:r w:rsidRPr="007A2258">
        <w:rPr>
          <w:rFonts w:ascii="Arial Narrow" w:eastAsia="Times New Roman" w:hAnsi="Arial Narrow" w:cs="Arial"/>
          <w:snapToGrid w:val="0"/>
          <w:sz w:val="18"/>
          <w:szCs w:val="18"/>
        </w:rPr>
        <w:t xml:space="preserve">Source: compiled during the evaluation </w:t>
      </w:r>
    </w:p>
    <w:p w:rsidR="00C317F3" w:rsidRPr="007A2258" w:rsidRDefault="00C317F3" w:rsidP="0095170D">
      <w:pPr>
        <w:pStyle w:val="Heading2"/>
      </w:pPr>
      <w:bookmarkStart w:id="14" w:name="_Toc413139278"/>
      <w:bookmarkStart w:id="15" w:name="_Toc482191216"/>
      <w:r w:rsidRPr="007A2258">
        <w:t>Comparative effectiveness</w:t>
      </w:r>
      <w:bookmarkEnd w:id="14"/>
      <w:bookmarkEnd w:id="15"/>
      <w:r w:rsidRPr="007A2258">
        <w:t xml:space="preserve"> </w:t>
      </w:r>
    </w:p>
    <w:p w:rsidR="00812E2F" w:rsidRPr="007A2258" w:rsidRDefault="00812E2F" w:rsidP="007A2258">
      <w:pPr>
        <w:pStyle w:val="ListParagraph"/>
        <w:numPr>
          <w:ilvl w:val="1"/>
          <w:numId w:val="23"/>
        </w:numPr>
        <w:jc w:val="both"/>
      </w:pPr>
      <w:r w:rsidRPr="007A2258">
        <w:t>While not presented in the resubmission, the results of the six RCTs from the July 2016 sub</w:t>
      </w:r>
      <w:r w:rsidR="00FE73D1" w:rsidRPr="007A2258">
        <w:t>mission are presented in Table 9</w:t>
      </w:r>
      <w:r w:rsidRPr="007A2258">
        <w:t xml:space="preserve">. The </w:t>
      </w:r>
      <w:r w:rsidR="0053310F" w:rsidRPr="007A2258">
        <w:t xml:space="preserve">RRR for HIV seroconversion </w:t>
      </w:r>
      <w:r w:rsidRPr="007A2258">
        <w:t>ranged</w:t>
      </w:r>
      <w:r w:rsidR="0053310F" w:rsidRPr="007A2258">
        <w:t xml:space="preserve"> across the trials</w:t>
      </w:r>
      <w:r w:rsidRPr="007A2258">
        <w:t xml:space="preserve"> from a</w:t>
      </w:r>
      <w:r w:rsidR="00182646" w:rsidRPr="007A2258">
        <w:t xml:space="preserve"> </w:t>
      </w:r>
      <w:r w:rsidRPr="007A2258">
        <w:t xml:space="preserve">-0.04 to 0.86. </w:t>
      </w:r>
      <w:r w:rsidR="00CA0BB3" w:rsidRPr="007A2258">
        <w:t xml:space="preserve">The ESC noted the RRR assumed in the economic model was 0.90 based on case control analyses </w:t>
      </w:r>
      <w:r w:rsidR="00AC2B4A" w:rsidRPr="007A2258">
        <w:t xml:space="preserve">of adherent subjects in </w:t>
      </w:r>
      <w:r w:rsidR="009B386F" w:rsidRPr="007A2258">
        <w:t>the iPrEx and Partners PrEP studies.</w:t>
      </w:r>
    </w:p>
    <w:p w:rsidR="00904455" w:rsidRDefault="00904455" w:rsidP="00904455">
      <w:pPr>
        <w:pStyle w:val="Caption"/>
      </w:pPr>
      <w:r>
        <w:t xml:space="preserve">Table </w:t>
      </w:r>
      <w:r w:rsidR="004F50B1">
        <w:rPr>
          <w:noProof/>
        </w:rPr>
        <w:t>9</w:t>
      </w:r>
      <w:r w:rsidRPr="008F3C4C">
        <w:t>: Results of HIV seroconversion events at the primary efficacy timepoint assessment across the direct randomised trials, modified intention to treat (Presented in July 2016 submission)</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46"/>
        <w:gridCol w:w="1417"/>
        <w:gridCol w:w="1418"/>
        <w:gridCol w:w="1984"/>
        <w:gridCol w:w="1701"/>
        <w:gridCol w:w="1134"/>
      </w:tblGrid>
      <w:tr w:rsidR="00812E2F" w:rsidRPr="007A2258" w:rsidTr="0053310F">
        <w:trPr>
          <w:tblHeader/>
        </w:trPr>
        <w:tc>
          <w:tcPr>
            <w:tcW w:w="1446" w:type="dxa"/>
            <w:vAlign w:val="center"/>
          </w:tcPr>
          <w:p w:rsidR="00812E2F" w:rsidRPr="007A2258" w:rsidRDefault="00812E2F" w:rsidP="00812E2F">
            <w:pPr>
              <w:keepNext/>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b/>
                <w:snapToGrid w:val="0"/>
                <w:sz w:val="20"/>
                <w:szCs w:val="20"/>
              </w:rPr>
              <w:t>Trial ID</w:t>
            </w:r>
          </w:p>
        </w:tc>
        <w:tc>
          <w:tcPr>
            <w:tcW w:w="1417" w:type="dxa"/>
            <w:vAlign w:val="center"/>
          </w:tcPr>
          <w:p w:rsidR="00812E2F" w:rsidRPr="007A2258" w:rsidRDefault="002D6105" w:rsidP="00812E2F">
            <w:pPr>
              <w:keepNext/>
              <w:widowControl w:val="0"/>
              <w:spacing w:before="0" w:after="0"/>
              <w:jc w:val="center"/>
              <w:rPr>
                <w:rFonts w:ascii="Arial Narrow" w:eastAsia="Times New Roman" w:hAnsi="Arial Narrow" w:cs="Arial"/>
                <w:b/>
                <w:snapToGrid w:val="0"/>
                <w:sz w:val="20"/>
                <w:szCs w:val="20"/>
              </w:rPr>
            </w:pPr>
            <w:r>
              <w:rPr>
                <w:rFonts w:ascii="Arial Narrow" w:eastAsia="Times New Roman" w:hAnsi="Arial Narrow" w:cs="Arial"/>
                <w:b/>
                <w:snapToGrid w:val="0"/>
                <w:sz w:val="20"/>
                <w:szCs w:val="20"/>
              </w:rPr>
              <w:t>TDF/FTC</w:t>
            </w:r>
            <w:r w:rsidR="00812E2F" w:rsidRPr="007A2258">
              <w:rPr>
                <w:rFonts w:ascii="Arial Narrow" w:eastAsia="Times New Roman" w:hAnsi="Arial Narrow" w:cs="Arial"/>
                <w:b/>
                <w:snapToGrid w:val="0"/>
                <w:sz w:val="20"/>
                <w:szCs w:val="20"/>
              </w:rPr>
              <w:t xml:space="preserve"> + SOC</w:t>
            </w:r>
          </w:p>
          <w:p w:rsidR="00812E2F" w:rsidRPr="007A2258" w:rsidRDefault="00812E2F" w:rsidP="00812E2F">
            <w:pPr>
              <w:keepNext/>
              <w:widowControl w:val="0"/>
              <w:spacing w:before="0" w:after="0"/>
              <w:ind w:right="-108"/>
              <w:jc w:val="center"/>
              <w:rPr>
                <w:rFonts w:ascii="Arial Narrow" w:eastAsia="Times New Roman" w:hAnsi="Arial Narrow" w:cs="Arial"/>
                <w:snapToGrid w:val="0"/>
                <w:sz w:val="20"/>
                <w:szCs w:val="20"/>
              </w:rPr>
            </w:pPr>
            <w:r w:rsidRPr="007A2258">
              <w:rPr>
                <w:rFonts w:ascii="Arial Narrow" w:eastAsia="Times New Roman" w:hAnsi="Arial Narrow" w:cs="Arial"/>
                <w:b/>
                <w:snapToGrid w:val="0"/>
                <w:sz w:val="20"/>
                <w:szCs w:val="20"/>
              </w:rPr>
              <w:t xml:space="preserve">n with event/N </w:t>
            </w:r>
          </w:p>
        </w:tc>
        <w:tc>
          <w:tcPr>
            <w:tcW w:w="1418" w:type="dxa"/>
            <w:vAlign w:val="center"/>
          </w:tcPr>
          <w:p w:rsidR="00812E2F" w:rsidRPr="007A2258" w:rsidRDefault="00812E2F" w:rsidP="00812E2F">
            <w:pPr>
              <w:keepNext/>
              <w:widowControl w:val="0"/>
              <w:spacing w:before="0" w:after="0"/>
              <w:jc w:val="center"/>
              <w:rPr>
                <w:rFonts w:ascii="Arial Narrow" w:eastAsia="Times New Roman" w:hAnsi="Arial Narrow" w:cs="Arial"/>
                <w:b/>
                <w:snapToGrid w:val="0"/>
                <w:sz w:val="20"/>
                <w:szCs w:val="20"/>
              </w:rPr>
            </w:pPr>
            <w:r w:rsidRPr="007A2258">
              <w:rPr>
                <w:rFonts w:ascii="Arial Narrow" w:eastAsia="Times New Roman" w:hAnsi="Arial Narrow" w:cs="Arial"/>
                <w:b/>
                <w:snapToGrid w:val="0"/>
                <w:sz w:val="20"/>
                <w:szCs w:val="20"/>
              </w:rPr>
              <w:t>SOC</w:t>
            </w:r>
          </w:p>
          <w:p w:rsidR="00812E2F" w:rsidRPr="007A2258" w:rsidRDefault="00812E2F" w:rsidP="00812E2F">
            <w:pPr>
              <w:keepNext/>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b/>
                <w:snapToGrid w:val="0"/>
                <w:sz w:val="20"/>
                <w:szCs w:val="20"/>
              </w:rPr>
              <w:t>n with event/N</w:t>
            </w:r>
          </w:p>
        </w:tc>
        <w:tc>
          <w:tcPr>
            <w:tcW w:w="1984" w:type="dxa"/>
            <w:vAlign w:val="center"/>
          </w:tcPr>
          <w:p w:rsidR="00812E2F" w:rsidRPr="007A2258" w:rsidRDefault="00812E2F" w:rsidP="00812E2F">
            <w:pPr>
              <w:keepNext/>
              <w:widowControl w:val="0"/>
              <w:spacing w:before="0" w:after="0"/>
              <w:jc w:val="center"/>
              <w:rPr>
                <w:rFonts w:ascii="Arial Narrow" w:eastAsia="Times New Roman" w:hAnsi="Arial Narrow" w:cs="Arial"/>
                <w:b/>
                <w:snapToGrid w:val="0"/>
                <w:sz w:val="20"/>
                <w:szCs w:val="20"/>
              </w:rPr>
            </w:pPr>
            <w:r w:rsidRPr="007A2258">
              <w:rPr>
                <w:rFonts w:ascii="Arial Narrow" w:eastAsia="Times New Roman" w:hAnsi="Arial Narrow" w:cs="Arial"/>
                <w:b/>
                <w:snapToGrid w:val="0"/>
                <w:sz w:val="20"/>
                <w:szCs w:val="20"/>
              </w:rPr>
              <w:t>Risk estimate</w:t>
            </w:r>
          </w:p>
          <w:p w:rsidR="00812E2F" w:rsidRPr="007A2258" w:rsidRDefault="00812E2F" w:rsidP="00812E2F">
            <w:pPr>
              <w:keepNext/>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b/>
                <w:snapToGrid w:val="0"/>
                <w:sz w:val="20"/>
                <w:szCs w:val="20"/>
              </w:rPr>
              <w:t>(95% CI)</w:t>
            </w:r>
          </w:p>
        </w:tc>
        <w:tc>
          <w:tcPr>
            <w:tcW w:w="1701" w:type="dxa"/>
            <w:vAlign w:val="center"/>
          </w:tcPr>
          <w:p w:rsidR="00812E2F" w:rsidRPr="007A2258" w:rsidRDefault="00812E2F" w:rsidP="00812E2F">
            <w:pPr>
              <w:keepNext/>
              <w:widowControl w:val="0"/>
              <w:spacing w:before="0" w:after="0"/>
              <w:jc w:val="center"/>
              <w:rPr>
                <w:rFonts w:ascii="Arial Narrow" w:eastAsia="Times New Roman" w:hAnsi="Arial Narrow" w:cs="Arial"/>
                <w:b/>
                <w:snapToGrid w:val="0"/>
                <w:sz w:val="20"/>
                <w:szCs w:val="20"/>
              </w:rPr>
            </w:pPr>
          </w:p>
          <w:p w:rsidR="00812E2F" w:rsidRPr="007A2258" w:rsidRDefault="00812E2F" w:rsidP="00812E2F">
            <w:pPr>
              <w:keepNext/>
              <w:widowControl w:val="0"/>
              <w:spacing w:before="0" w:after="0"/>
              <w:jc w:val="center"/>
              <w:rPr>
                <w:rFonts w:ascii="Arial Narrow" w:eastAsia="Times New Roman" w:hAnsi="Arial Narrow" w:cs="Arial"/>
                <w:b/>
                <w:snapToGrid w:val="0"/>
                <w:sz w:val="20"/>
                <w:szCs w:val="20"/>
              </w:rPr>
            </w:pPr>
            <w:r w:rsidRPr="007A2258">
              <w:rPr>
                <w:rFonts w:ascii="Arial Narrow" w:eastAsia="Times New Roman" w:hAnsi="Arial Narrow" w:cs="Arial"/>
                <w:b/>
                <w:snapToGrid w:val="0"/>
                <w:sz w:val="20"/>
                <w:szCs w:val="20"/>
              </w:rPr>
              <w:t>RRR (95% CI)</w:t>
            </w:r>
          </w:p>
        </w:tc>
        <w:tc>
          <w:tcPr>
            <w:tcW w:w="1134" w:type="dxa"/>
            <w:vAlign w:val="center"/>
          </w:tcPr>
          <w:p w:rsidR="00812E2F" w:rsidRPr="007A2258" w:rsidRDefault="00812E2F" w:rsidP="00812E2F">
            <w:pPr>
              <w:keepNext/>
              <w:widowControl w:val="0"/>
              <w:spacing w:before="0" w:after="0"/>
              <w:jc w:val="center"/>
              <w:rPr>
                <w:rFonts w:ascii="Arial Narrow" w:eastAsia="Times New Roman" w:hAnsi="Arial Narrow" w:cs="Arial"/>
                <w:b/>
                <w:snapToGrid w:val="0"/>
                <w:sz w:val="20"/>
                <w:szCs w:val="20"/>
              </w:rPr>
            </w:pPr>
          </w:p>
          <w:p w:rsidR="00812E2F" w:rsidRPr="007A2258" w:rsidRDefault="00812E2F" w:rsidP="00812E2F">
            <w:pPr>
              <w:keepNext/>
              <w:widowControl w:val="0"/>
              <w:spacing w:before="0" w:after="0"/>
              <w:jc w:val="center"/>
              <w:rPr>
                <w:rFonts w:ascii="Arial Narrow" w:eastAsia="Times New Roman" w:hAnsi="Arial Narrow" w:cs="Arial"/>
                <w:b/>
                <w:snapToGrid w:val="0"/>
                <w:sz w:val="20"/>
                <w:szCs w:val="20"/>
              </w:rPr>
            </w:pPr>
            <w:r w:rsidRPr="007A2258">
              <w:rPr>
                <w:rFonts w:ascii="Arial Narrow" w:eastAsia="Times New Roman" w:hAnsi="Arial Narrow" w:cs="Arial"/>
                <w:b/>
                <w:snapToGrid w:val="0"/>
                <w:sz w:val="20"/>
                <w:szCs w:val="20"/>
              </w:rPr>
              <w:t>p-value</w:t>
            </w:r>
          </w:p>
        </w:tc>
      </w:tr>
      <w:tr w:rsidR="00812E2F" w:rsidRPr="007A2258" w:rsidTr="0053310F">
        <w:trPr>
          <w:trHeight w:val="239"/>
        </w:trPr>
        <w:tc>
          <w:tcPr>
            <w:tcW w:w="1446" w:type="dxa"/>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iPrEx</w:t>
            </w:r>
          </w:p>
        </w:tc>
        <w:tc>
          <w:tcPr>
            <w:tcW w:w="1417" w:type="dxa"/>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36/1,224</w:t>
            </w:r>
          </w:p>
        </w:tc>
        <w:tc>
          <w:tcPr>
            <w:tcW w:w="1418" w:type="dxa"/>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64/1,217</w:t>
            </w:r>
          </w:p>
        </w:tc>
        <w:tc>
          <w:tcPr>
            <w:tcW w:w="1984" w:type="dxa"/>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HR = 0.56 (0.37, 0.85)</w:t>
            </w:r>
          </w:p>
        </w:tc>
        <w:tc>
          <w:tcPr>
            <w:tcW w:w="1701" w:type="dxa"/>
            <w:vAlign w:val="center"/>
          </w:tcPr>
          <w:p w:rsidR="00812E2F" w:rsidRPr="007A2258" w:rsidRDefault="00812E2F" w:rsidP="0053310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0.44 (0.15, 0.63)</w:t>
            </w:r>
          </w:p>
        </w:tc>
        <w:tc>
          <w:tcPr>
            <w:tcW w:w="1134" w:type="dxa"/>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0.005</w:t>
            </w:r>
          </w:p>
        </w:tc>
      </w:tr>
      <w:tr w:rsidR="00812E2F" w:rsidRPr="007A2258" w:rsidTr="0053310F">
        <w:trPr>
          <w:trHeight w:val="189"/>
        </w:trPr>
        <w:tc>
          <w:tcPr>
            <w:tcW w:w="1446" w:type="dxa"/>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Partners PrEP</w:t>
            </w:r>
          </w:p>
        </w:tc>
        <w:tc>
          <w:tcPr>
            <w:tcW w:w="1417" w:type="dxa"/>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13/1,576</w:t>
            </w:r>
          </w:p>
        </w:tc>
        <w:tc>
          <w:tcPr>
            <w:tcW w:w="1418" w:type="dxa"/>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52/1,578</w:t>
            </w:r>
          </w:p>
        </w:tc>
        <w:tc>
          <w:tcPr>
            <w:tcW w:w="1984" w:type="dxa"/>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HR = 0.25 (0.13, 0.45)</w:t>
            </w:r>
          </w:p>
        </w:tc>
        <w:tc>
          <w:tcPr>
            <w:tcW w:w="1701" w:type="dxa"/>
            <w:vAlign w:val="center"/>
          </w:tcPr>
          <w:p w:rsidR="00812E2F" w:rsidRPr="007A2258" w:rsidRDefault="00812E2F" w:rsidP="0053310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0.75</w:t>
            </w:r>
            <w:r w:rsidR="0053310F" w:rsidRPr="007A2258">
              <w:rPr>
                <w:rFonts w:ascii="Arial Narrow" w:eastAsia="Times New Roman" w:hAnsi="Arial Narrow" w:cs="Arial"/>
                <w:snapToGrid w:val="0"/>
                <w:sz w:val="20"/>
                <w:szCs w:val="20"/>
              </w:rPr>
              <w:t xml:space="preserve"> </w:t>
            </w:r>
            <w:r w:rsidRPr="007A2258">
              <w:rPr>
                <w:rFonts w:ascii="Arial Narrow" w:eastAsia="Times New Roman" w:hAnsi="Arial Narrow" w:cs="Arial"/>
                <w:snapToGrid w:val="0"/>
                <w:sz w:val="20"/>
                <w:szCs w:val="20"/>
              </w:rPr>
              <w:t>(0.55, 0.87)</w:t>
            </w:r>
          </w:p>
        </w:tc>
        <w:tc>
          <w:tcPr>
            <w:tcW w:w="1134" w:type="dxa"/>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&lt;0.0001</w:t>
            </w:r>
          </w:p>
        </w:tc>
      </w:tr>
      <w:tr w:rsidR="00812E2F" w:rsidRPr="007A2258" w:rsidTr="0053310F">
        <w:trPr>
          <w:trHeight w:val="139"/>
        </w:trPr>
        <w:tc>
          <w:tcPr>
            <w:tcW w:w="1446" w:type="dxa"/>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TDF2</w:t>
            </w:r>
          </w:p>
        </w:tc>
        <w:tc>
          <w:tcPr>
            <w:tcW w:w="1417" w:type="dxa"/>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9/610</w:t>
            </w:r>
          </w:p>
        </w:tc>
        <w:tc>
          <w:tcPr>
            <w:tcW w:w="1418" w:type="dxa"/>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24/606</w:t>
            </w:r>
          </w:p>
        </w:tc>
        <w:tc>
          <w:tcPr>
            <w:tcW w:w="1984" w:type="dxa"/>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NR</w:t>
            </w:r>
          </w:p>
        </w:tc>
        <w:tc>
          <w:tcPr>
            <w:tcW w:w="1701" w:type="dxa"/>
            <w:vAlign w:val="center"/>
          </w:tcPr>
          <w:p w:rsidR="00812E2F" w:rsidRPr="007A2258" w:rsidRDefault="00812E2F" w:rsidP="0053310F">
            <w:pPr>
              <w:widowControl w:val="0"/>
              <w:spacing w:before="0" w:after="0"/>
              <w:jc w:val="center"/>
              <w:rPr>
                <w:rFonts w:ascii="Arial Narrow" w:eastAsia="Times New Roman" w:hAnsi="Arial Narrow" w:cs="Arial"/>
                <w:snapToGrid w:val="0"/>
                <w:sz w:val="20"/>
                <w:szCs w:val="20"/>
                <w:vertAlign w:val="superscript"/>
              </w:rPr>
            </w:pPr>
            <w:r w:rsidRPr="007A2258">
              <w:rPr>
                <w:rFonts w:ascii="Arial Narrow" w:eastAsia="Times New Roman" w:hAnsi="Arial Narrow" w:cs="Arial"/>
                <w:snapToGrid w:val="0"/>
                <w:sz w:val="20"/>
                <w:szCs w:val="20"/>
              </w:rPr>
              <w:t>0.62</w:t>
            </w:r>
            <w:r w:rsidR="0053310F" w:rsidRPr="007A2258">
              <w:rPr>
                <w:rFonts w:ascii="Arial Narrow" w:eastAsia="Times New Roman" w:hAnsi="Arial Narrow" w:cs="Arial"/>
                <w:snapToGrid w:val="0"/>
                <w:sz w:val="20"/>
                <w:szCs w:val="20"/>
              </w:rPr>
              <w:t xml:space="preserve"> </w:t>
            </w:r>
            <w:r w:rsidRPr="007A2258">
              <w:rPr>
                <w:rFonts w:ascii="Arial Narrow" w:eastAsia="Times New Roman" w:hAnsi="Arial Narrow" w:cs="Arial"/>
                <w:snapToGrid w:val="0"/>
                <w:sz w:val="20"/>
                <w:szCs w:val="20"/>
              </w:rPr>
              <w:t>(0.22, 0.83)</w:t>
            </w:r>
          </w:p>
        </w:tc>
        <w:tc>
          <w:tcPr>
            <w:tcW w:w="1134" w:type="dxa"/>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0.03</w:t>
            </w:r>
          </w:p>
        </w:tc>
      </w:tr>
      <w:tr w:rsidR="00812E2F" w:rsidRPr="007A2258" w:rsidTr="0053310F">
        <w:tc>
          <w:tcPr>
            <w:tcW w:w="1446" w:type="dxa"/>
            <w:vAlign w:val="center"/>
          </w:tcPr>
          <w:p w:rsidR="00812E2F" w:rsidRPr="007A2258" w:rsidRDefault="00812E2F" w:rsidP="00812E2F">
            <w:pPr>
              <w:widowControl w:val="0"/>
              <w:spacing w:before="0" w:after="0"/>
              <w:ind w:right="-108"/>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PROUD</w:t>
            </w:r>
          </w:p>
        </w:tc>
        <w:tc>
          <w:tcPr>
            <w:tcW w:w="1417" w:type="dxa"/>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3/268</w:t>
            </w:r>
          </w:p>
        </w:tc>
        <w:tc>
          <w:tcPr>
            <w:tcW w:w="1418" w:type="dxa"/>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20/255</w:t>
            </w:r>
          </w:p>
        </w:tc>
        <w:tc>
          <w:tcPr>
            <w:tcW w:w="1984" w:type="dxa"/>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NR</w:t>
            </w:r>
          </w:p>
        </w:tc>
        <w:tc>
          <w:tcPr>
            <w:tcW w:w="1701" w:type="dxa"/>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0.86</w:t>
            </w:r>
          </w:p>
          <w:p w:rsidR="00812E2F" w:rsidRPr="007A2258" w:rsidRDefault="00812E2F" w:rsidP="00812E2F">
            <w:pPr>
              <w:widowControl w:val="0"/>
              <w:spacing w:before="0" w:after="0"/>
              <w:jc w:val="center"/>
              <w:rPr>
                <w:rFonts w:ascii="Arial Narrow" w:eastAsia="Times New Roman" w:hAnsi="Arial Narrow" w:cs="Arial"/>
                <w:snapToGrid w:val="0"/>
                <w:sz w:val="20"/>
                <w:szCs w:val="20"/>
                <w:vertAlign w:val="superscript"/>
              </w:rPr>
            </w:pPr>
            <w:r w:rsidRPr="007A2258">
              <w:rPr>
                <w:rFonts w:ascii="Arial Narrow" w:eastAsia="Times New Roman" w:hAnsi="Arial Narrow" w:cs="Arial"/>
                <w:snapToGrid w:val="0"/>
                <w:sz w:val="20"/>
                <w:szCs w:val="20"/>
              </w:rPr>
              <w:t>(0.64, 0.96)</w:t>
            </w:r>
          </w:p>
        </w:tc>
        <w:tc>
          <w:tcPr>
            <w:tcW w:w="1134" w:type="dxa"/>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NR</w:t>
            </w:r>
          </w:p>
        </w:tc>
      </w:tr>
      <w:tr w:rsidR="00812E2F" w:rsidRPr="007A2258" w:rsidTr="0053310F">
        <w:tc>
          <w:tcPr>
            <w:tcW w:w="1446" w:type="dxa"/>
            <w:vAlign w:val="center"/>
          </w:tcPr>
          <w:p w:rsidR="00812E2F" w:rsidRPr="007A2258" w:rsidRDefault="00812E2F" w:rsidP="00812E2F">
            <w:pPr>
              <w:widowControl w:val="0"/>
              <w:spacing w:before="0" w:after="0"/>
              <w:ind w:right="-108"/>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FEM-PrEP</w:t>
            </w:r>
          </w:p>
        </w:tc>
        <w:tc>
          <w:tcPr>
            <w:tcW w:w="1417" w:type="dxa"/>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33/1,024</w:t>
            </w:r>
          </w:p>
        </w:tc>
        <w:tc>
          <w:tcPr>
            <w:tcW w:w="1418" w:type="dxa"/>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35/1,032</w:t>
            </w:r>
          </w:p>
        </w:tc>
        <w:tc>
          <w:tcPr>
            <w:tcW w:w="1984" w:type="dxa"/>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HR = 0.94 (0.59, 1.52)</w:t>
            </w:r>
          </w:p>
        </w:tc>
        <w:tc>
          <w:tcPr>
            <w:tcW w:w="1701" w:type="dxa"/>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vertAlign w:val="superscript"/>
              </w:rPr>
            </w:pPr>
            <w:r w:rsidRPr="007A2258">
              <w:rPr>
                <w:rFonts w:ascii="Arial Narrow" w:eastAsia="Times New Roman" w:hAnsi="Arial Narrow" w:cs="Arial"/>
                <w:snapToGrid w:val="0"/>
                <w:sz w:val="20"/>
                <w:szCs w:val="20"/>
              </w:rPr>
              <w:t>0.06 (-0.52, 0.41)</w:t>
            </w:r>
          </w:p>
        </w:tc>
        <w:tc>
          <w:tcPr>
            <w:tcW w:w="1134" w:type="dxa"/>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0.81</w:t>
            </w:r>
          </w:p>
        </w:tc>
      </w:tr>
      <w:tr w:rsidR="00812E2F" w:rsidRPr="007A2258" w:rsidTr="0053310F">
        <w:tc>
          <w:tcPr>
            <w:tcW w:w="1446" w:type="dxa"/>
            <w:vAlign w:val="center"/>
          </w:tcPr>
          <w:p w:rsidR="00812E2F" w:rsidRPr="007A2258" w:rsidRDefault="00812E2F" w:rsidP="00812E2F">
            <w:pPr>
              <w:widowControl w:val="0"/>
              <w:spacing w:before="0" w:after="0"/>
              <w:ind w:right="-108"/>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VOICE</w:t>
            </w:r>
          </w:p>
        </w:tc>
        <w:tc>
          <w:tcPr>
            <w:tcW w:w="1417" w:type="dxa"/>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61/994</w:t>
            </w:r>
          </w:p>
        </w:tc>
        <w:tc>
          <w:tcPr>
            <w:tcW w:w="1418" w:type="dxa"/>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60/1,008</w:t>
            </w:r>
          </w:p>
        </w:tc>
        <w:tc>
          <w:tcPr>
            <w:tcW w:w="1984" w:type="dxa"/>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HR = 1.04 (0.73, 1.49)</w:t>
            </w:r>
          </w:p>
        </w:tc>
        <w:tc>
          <w:tcPr>
            <w:tcW w:w="1701" w:type="dxa"/>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-0.04 (-0.49, 0.27)</w:t>
            </w:r>
          </w:p>
        </w:tc>
        <w:tc>
          <w:tcPr>
            <w:tcW w:w="1134" w:type="dxa"/>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0.81</w:t>
            </w:r>
          </w:p>
        </w:tc>
      </w:tr>
    </w:tbl>
    <w:p w:rsidR="00D5306A" w:rsidRPr="007A2258" w:rsidRDefault="00D5306A" w:rsidP="00812E2F">
      <w:pPr>
        <w:spacing w:before="0" w:after="0"/>
        <w:rPr>
          <w:rFonts w:ascii="Arial Narrow" w:eastAsia="Calibri" w:hAnsi="Arial Narrow" w:cs="Arial"/>
          <w:sz w:val="18"/>
          <w:szCs w:val="18"/>
        </w:rPr>
      </w:pPr>
      <w:r w:rsidRPr="007A2258">
        <w:rPr>
          <w:rFonts w:ascii="Arial Narrow" w:eastAsia="Calibri" w:hAnsi="Arial Narrow" w:cs="Arial"/>
          <w:sz w:val="18"/>
          <w:szCs w:val="18"/>
        </w:rPr>
        <w:t>Abbreviations: HR, hazard ratio; NR, not reported; RRR, relative risk difference.</w:t>
      </w:r>
    </w:p>
    <w:p w:rsidR="00812E2F" w:rsidRPr="007A2258" w:rsidRDefault="00812E2F" w:rsidP="00812E2F">
      <w:pPr>
        <w:spacing w:before="0" w:after="0"/>
        <w:rPr>
          <w:rFonts w:ascii="Arial Narrow" w:eastAsia="Calibri" w:hAnsi="Arial Narrow" w:cs="Arial"/>
          <w:sz w:val="18"/>
          <w:szCs w:val="18"/>
        </w:rPr>
      </w:pPr>
      <w:r w:rsidRPr="007A2258">
        <w:rPr>
          <w:rFonts w:ascii="Arial Narrow" w:eastAsia="Calibri" w:hAnsi="Arial Narrow" w:cs="Arial"/>
          <w:sz w:val="18"/>
          <w:szCs w:val="18"/>
        </w:rPr>
        <w:t>Source: Table 3, p.11 6.06 Truvada®, emtricitabine 200 mg/tenofovir disoproxil fumarate 300 mg, Gilead Sciences Pty Ltd, PSD, July 2016</w:t>
      </w:r>
    </w:p>
    <w:p w:rsidR="00812E2F" w:rsidRPr="007A2258" w:rsidRDefault="00812E2F" w:rsidP="00812E2F">
      <w:pPr>
        <w:spacing w:before="0" w:after="0"/>
        <w:rPr>
          <w:rFonts w:ascii="Arial Narrow" w:eastAsia="Calibri" w:hAnsi="Arial Narrow" w:cs="Arial"/>
          <w:sz w:val="18"/>
          <w:szCs w:val="18"/>
        </w:rPr>
      </w:pPr>
    </w:p>
    <w:p w:rsidR="00812E2F" w:rsidRPr="007A2258" w:rsidRDefault="00812E2F" w:rsidP="007A2258">
      <w:pPr>
        <w:pStyle w:val="ListParagraph"/>
        <w:numPr>
          <w:ilvl w:val="1"/>
          <w:numId w:val="23"/>
        </w:numPr>
        <w:jc w:val="both"/>
      </w:pPr>
      <w:r w:rsidRPr="007A2258">
        <w:t xml:space="preserve">The results of HIV-1 seroconversions for IPERGAY are presented </w:t>
      </w:r>
      <w:r w:rsidR="00FE73D1" w:rsidRPr="007A2258">
        <w:t>in Table 10</w:t>
      </w:r>
      <w:r w:rsidRPr="007A2258">
        <w:t xml:space="preserve">. The resubmission noted that the two cases of HIV seroconversion in the PrEP group were due to low adherence. </w:t>
      </w:r>
      <w:r w:rsidR="00792740" w:rsidRPr="007A2258">
        <w:t xml:space="preserve">In reporting on IPERGAY, </w:t>
      </w:r>
      <w:r w:rsidRPr="007A2258">
        <w:t xml:space="preserve">Molina et al. (2015) noted that these </w:t>
      </w:r>
      <w:r w:rsidR="00FB6BD8" w:rsidRPr="007A2258">
        <w:t xml:space="preserve">two </w:t>
      </w:r>
      <w:r w:rsidRPr="007A2258">
        <w:t>participants were non-adherent</w:t>
      </w:r>
      <w:r w:rsidR="00025C9C" w:rsidRPr="007A2258">
        <w:t xml:space="preserve"> with</w:t>
      </w:r>
      <w:r w:rsidR="00FB6BD8" w:rsidRPr="007A2258">
        <w:t xml:space="preserve"> </w:t>
      </w:r>
      <w:r w:rsidRPr="007A2258">
        <w:t>58/60 and 60/60 pil</w:t>
      </w:r>
      <w:r w:rsidR="009E6378" w:rsidRPr="007A2258">
        <w:t>ls</w:t>
      </w:r>
      <w:r w:rsidRPr="007A2258">
        <w:t xml:space="preserve"> returned at the scheduled visits</w:t>
      </w:r>
      <w:r w:rsidR="00FB6BD8" w:rsidRPr="007A2258">
        <w:t xml:space="preserve"> and the plasma samples returned at the time of HIV-1 diagnoses not contain</w:t>
      </w:r>
      <w:r w:rsidR="00025C9C" w:rsidRPr="007A2258">
        <w:t>ing</w:t>
      </w:r>
      <w:r w:rsidR="00FB6BD8" w:rsidRPr="007A2258">
        <w:t xml:space="preserve"> the study drug</w:t>
      </w:r>
      <w:r w:rsidRPr="007A2258">
        <w:t>.</w:t>
      </w:r>
      <w:r w:rsidR="00FB6BD8" w:rsidRPr="007A2258">
        <w:t xml:space="preserve"> </w:t>
      </w:r>
      <w:r w:rsidR="00F66584" w:rsidRPr="007A2258">
        <w:t xml:space="preserve">The </w:t>
      </w:r>
      <w:r w:rsidR="00FB6BD8" w:rsidRPr="007A2258">
        <w:t xml:space="preserve">modified intention to treat analysis removed one patient in the PrEP group and two patients in the placebo arm as they had seroconverted after randomisation but before the enrolment into the study. </w:t>
      </w:r>
    </w:p>
    <w:p w:rsidR="00904455" w:rsidRDefault="00904455" w:rsidP="00904455">
      <w:pPr>
        <w:pStyle w:val="Caption"/>
      </w:pPr>
      <w:r>
        <w:t xml:space="preserve">Table </w:t>
      </w:r>
      <w:r w:rsidR="004F50B1">
        <w:rPr>
          <w:noProof/>
        </w:rPr>
        <w:t>10</w:t>
      </w:r>
      <w:r w:rsidRPr="00F933A8">
        <w:t>: Results of HIV-1 seroconversion across the supplementary randomised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37"/>
        <w:gridCol w:w="1379"/>
        <w:gridCol w:w="1548"/>
        <w:gridCol w:w="1844"/>
        <w:gridCol w:w="1419"/>
        <w:gridCol w:w="1255"/>
      </w:tblGrid>
      <w:tr w:rsidR="00812E2F" w:rsidRPr="007A2258" w:rsidTr="000F50A6">
        <w:tc>
          <w:tcPr>
            <w:tcW w:w="901" w:type="pct"/>
            <w:shd w:val="clear" w:color="auto" w:fill="auto"/>
          </w:tcPr>
          <w:p w:rsidR="00812E2F" w:rsidRPr="007A2258" w:rsidRDefault="00812E2F" w:rsidP="00812E2F">
            <w:pPr>
              <w:keepNext/>
              <w:spacing w:before="40" w:after="40"/>
              <w:rPr>
                <w:rFonts w:ascii="Arial Narrow" w:eastAsia="Calibri" w:hAnsi="Arial Narrow" w:cs="Arial"/>
                <w:b/>
                <w:sz w:val="20"/>
              </w:rPr>
            </w:pPr>
            <w:r w:rsidRPr="007A2258">
              <w:rPr>
                <w:rFonts w:ascii="Arial Narrow" w:eastAsia="Times New Roman" w:hAnsi="Arial Narrow" w:cs="Arial"/>
                <w:b/>
                <w:snapToGrid w:val="0"/>
                <w:sz w:val="20"/>
                <w:szCs w:val="20"/>
              </w:rPr>
              <w:t>Trial ID</w:t>
            </w:r>
          </w:p>
        </w:tc>
        <w:tc>
          <w:tcPr>
            <w:tcW w:w="759" w:type="pct"/>
            <w:shd w:val="clear" w:color="auto" w:fill="auto"/>
          </w:tcPr>
          <w:p w:rsidR="00812E2F" w:rsidRPr="007A2258" w:rsidRDefault="00812E2F" w:rsidP="00812E2F">
            <w:pPr>
              <w:keepNext/>
              <w:widowControl w:val="0"/>
              <w:spacing w:before="0" w:after="0"/>
              <w:rPr>
                <w:rFonts w:ascii="Arial Narrow" w:eastAsia="Times New Roman" w:hAnsi="Arial Narrow" w:cs="Arial"/>
                <w:b/>
                <w:snapToGrid w:val="0"/>
                <w:sz w:val="20"/>
                <w:szCs w:val="20"/>
              </w:rPr>
            </w:pPr>
            <w:r w:rsidRPr="007A2258">
              <w:rPr>
                <w:rFonts w:ascii="Arial Narrow" w:eastAsia="Times New Roman" w:hAnsi="Arial Narrow" w:cs="Arial"/>
                <w:b/>
                <w:snapToGrid w:val="0"/>
                <w:sz w:val="20"/>
                <w:szCs w:val="20"/>
              </w:rPr>
              <w:t>TDF/FTC + SOC</w:t>
            </w:r>
          </w:p>
          <w:p w:rsidR="00812E2F" w:rsidRPr="007A2258" w:rsidRDefault="00812E2F" w:rsidP="00812E2F">
            <w:pPr>
              <w:keepNext/>
              <w:spacing w:before="40" w:after="40"/>
              <w:rPr>
                <w:rFonts w:ascii="Arial Narrow" w:eastAsia="Calibri" w:hAnsi="Arial Narrow" w:cs="Arial"/>
                <w:b/>
                <w:sz w:val="20"/>
              </w:rPr>
            </w:pPr>
            <w:r w:rsidRPr="007A2258">
              <w:rPr>
                <w:rFonts w:ascii="Arial Narrow" w:eastAsia="Times New Roman" w:hAnsi="Arial Narrow" w:cs="Arial"/>
                <w:b/>
                <w:snapToGrid w:val="0"/>
                <w:sz w:val="20"/>
                <w:szCs w:val="20"/>
              </w:rPr>
              <w:t xml:space="preserve">n with event/N </w:t>
            </w:r>
          </w:p>
        </w:tc>
        <w:tc>
          <w:tcPr>
            <w:tcW w:w="852" w:type="pct"/>
            <w:shd w:val="clear" w:color="auto" w:fill="auto"/>
          </w:tcPr>
          <w:p w:rsidR="00812E2F" w:rsidRPr="007A2258" w:rsidRDefault="00812E2F" w:rsidP="00812E2F">
            <w:pPr>
              <w:keepNext/>
              <w:widowControl w:val="0"/>
              <w:spacing w:before="0" w:after="0"/>
              <w:rPr>
                <w:rFonts w:ascii="Arial Narrow" w:eastAsia="Times New Roman" w:hAnsi="Arial Narrow" w:cs="Arial"/>
                <w:b/>
                <w:snapToGrid w:val="0"/>
                <w:sz w:val="20"/>
                <w:szCs w:val="20"/>
              </w:rPr>
            </w:pPr>
            <w:r w:rsidRPr="007A2258">
              <w:rPr>
                <w:rFonts w:ascii="Arial Narrow" w:eastAsia="Times New Roman" w:hAnsi="Arial Narrow" w:cs="Arial"/>
                <w:b/>
                <w:snapToGrid w:val="0"/>
                <w:sz w:val="20"/>
                <w:szCs w:val="20"/>
              </w:rPr>
              <w:t>SOC</w:t>
            </w:r>
          </w:p>
          <w:p w:rsidR="00812E2F" w:rsidRPr="007A2258" w:rsidRDefault="00812E2F" w:rsidP="00812E2F">
            <w:pPr>
              <w:keepNext/>
              <w:spacing w:before="40" w:after="40"/>
              <w:rPr>
                <w:rFonts w:ascii="Arial Narrow" w:eastAsia="Calibri" w:hAnsi="Arial Narrow" w:cs="Arial"/>
                <w:b/>
                <w:sz w:val="20"/>
              </w:rPr>
            </w:pPr>
            <w:r w:rsidRPr="007A2258">
              <w:rPr>
                <w:rFonts w:ascii="Arial Narrow" w:eastAsia="Times New Roman" w:hAnsi="Arial Narrow" w:cs="Arial"/>
                <w:b/>
                <w:snapToGrid w:val="0"/>
                <w:sz w:val="20"/>
                <w:szCs w:val="20"/>
              </w:rPr>
              <w:t xml:space="preserve">n with event/N </w:t>
            </w:r>
          </w:p>
        </w:tc>
        <w:tc>
          <w:tcPr>
            <w:tcW w:w="1015" w:type="pct"/>
            <w:shd w:val="clear" w:color="auto" w:fill="auto"/>
          </w:tcPr>
          <w:p w:rsidR="00812E2F" w:rsidRPr="007A2258" w:rsidRDefault="00812E2F" w:rsidP="00812E2F">
            <w:pPr>
              <w:keepNext/>
              <w:spacing w:before="40" w:after="40"/>
              <w:rPr>
                <w:rFonts w:ascii="Arial Narrow" w:eastAsia="Calibri" w:hAnsi="Arial Narrow" w:cs="Arial"/>
                <w:b/>
                <w:sz w:val="20"/>
              </w:rPr>
            </w:pPr>
            <w:r w:rsidRPr="007A2258">
              <w:rPr>
                <w:rFonts w:ascii="Arial Narrow" w:eastAsia="Times New Roman" w:hAnsi="Arial Narrow" w:cs="Arial"/>
                <w:b/>
                <w:snapToGrid w:val="0"/>
                <w:sz w:val="20"/>
                <w:szCs w:val="20"/>
              </w:rPr>
              <w:t>Risk estimate (95% CI)</w:t>
            </w:r>
          </w:p>
        </w:tc>
        <w:tc>
          <w:tcPr>
            <w:tcW w:w="781" w:type="pct"/>
            <w:shd w:val="clear" w:color="auto" w:fill="auto"/>
          </w:tcPr>
          <w:p w:rsidR="00812E2F" w:rsidRPr="007A2258" w:rsidRDefault="00812E2F" w:rsidP="00812E2F">
            <w:pPr>
              <w:keepNext/>
              <w:spacing w:before="40" w:after="40"/>
              <w:rPr>
                <w:rFonts w:ascii="Arial Narrow" w:eastAsia="Calibri" w:hAnsi="Arial Narrow" w:cs="Arial"/>
                <w:b/>
                <w:sz w:val="20"/>
              </w:rPr>
            </w:pPr>
            <w:r w:rsidRPr="007A2258">
              <w:rPr>
                <w:rFonts w:ascii="Arial Narrow" w:eastAsia="Times New Roman" w:hAnsi="Arial Narrow" w:cs="Arial"/>
                <w:b/>
                <w:snapToGrid w:val="0"/>
                <w:sz w:val="20"/>
                <w:szCs w:val="20"/>
              </w:rPr>
              <w:t>RR</w:t>
            </w:r>
            <w:r w:rsidR="00EF76C7" w:rsidRPr="007A2258">
              <w:rPr>
                <w:rFonts w:ascii="Arial Narrow" w:eastAsia="Times New Roman" w:hAnsi="Arial Narrow" w:cs="Arial"/>
                <w:b/>
                <w:snapToGrid w:val="0"/>
                <w:sz w:val="20"/>
                <w:szCs w:val="20"/>
              </w:rPr>
              <w:t>R</w:t>
            </w:r>
            <w:r w:rsidRPr="007A2258">
              <w:rPr>
                <w:rFonts w:ascii="Arial Narrow" w:eastAsia="Times New Roman" w:hAnsi="Arial Narrow" w:cs="Arial"/>
                <w:b/>
                <w:snapToGrid w:val="0"/>
                <w:sz w:val="20"/>
                <w:szCs w:val="20"/>
              </w:rPr>
              <w:t xml:space="preserve"> (95% CI)</w:t>
            </w:r>
          </w:p>
        </w:tc>
        <w:tc>
          <w:tcPr>
            <w:tcW w:w="691" w:type="pct"/>
          </w:tcPr>
          <w:p w:rsidR="00812E2F" w:rsidRPr="007A2258" w:rsidRDefault="00812E2F" w:rsidP="00812E2F">
            <w:pPr>
              <w:keepNext/>
              <w:spacing w:before="40" w:after="40"/>
              <w:rPr>
                <w:rFonts w:ascii="Arial Narrow" w:eastAsia="Times New Roman" w:hAnsi="Arial Narrow" w:cs="Arial"/>
                <w:b/>
                <w:snapToGrid w:val="0"/>
                <w:sz w:val="20"/>
                <w:szCs w:val="20"/>
              </w:rPr>
            </w:pPr>
            <w:r w:rsidRPr="007A2258">
              <w:rPr>
                <w:rFonts w:ascii="Arial Narrow" w:eastAsia="Times New Roman" w:hAnsi="Arial Narrow" w:cs="Arial"/>
                <w:b/>
                <w:snapToGrid w:val="0"/>
                <w:sz w:val="20"/>
                <w:szCs w:val="20"/>
              </w:rPr>
              <w:t>p-value</w:t>
            </w:r>
          </w:p>
        </w:tc>
      </w:tr>
      <w:tr w:rsidR="00812E2F" w:rsidRPr="007A2258" w:rsidTr="000F50A6">
        <w:tc>
          <w:tcPr>
            <w:tcW w:w="901" w:type="pct"/>
            <w:shd w:val="clear" w:color="auto" w:fill="auto"/>
            <w:vAlign w:val="center"/>
          </w:tcPr>
          <w:p w:rsidR="00812E2F" w:rsidRPr="007A2258" w:rsidRDefault="00812E2F" w:rsidP="00812E2F">
            <w:pPr>
              <w:keepNext/>
              <w:spacing w:before="40" w:after="40"/>
              <w:rPr>
                <w:rFonts w:ascii="Arial Narrow" w:eastAsia="Calibri" w:hAnsi="Arial Narrow" w:cs="Arial"/>
                <w:sz w:val="20"/>
              </w:rPr>
            </w:pPr>
            <w:r w:rsidRPr="007A2258">
              <w:rPr>
                <w:rFonts w:ascii="Arial Narrow" w:eastAsia="Times New Roman" w:hAnsi="Arial Narrow" w:cs="Arial"/>
                <w:snapToGrid w:val="0"/>
                <w:sz w:val="20"/>
                <w:szCs w:val="20"/>
              </w:rPr>
              <w:t>IPERGAY ITT</w:t>
            </w:r>
          </w:p>
        </w:tc>
        <w:tc>
          <w:tcPr>
            <w:tcW w:w="759" w:type="pct"/>
            <w:shd w:val="clear" w:color="auto" w:fill="auto"/>
            <w:vAlign w:val="center"/>
          </w:tcPr>
          <w:p w:rsidR="00812E2F" w:rsidRPr="007A2258" w:rsidRDefault="00812E2F" w:rsidP="00812E2F">
            <w:pPr>
              <w:keepNext/>
              <w:spacing w:before="40" w:after="40"/>
              <w:rPr>
                <w:rFonts w:ascii="Arial Narrow" w:eastAsia="Calibri" w:hAnsi="Arial Narrow" w:cs="Arial"/>
                <w:sz w:val="20"/>
              </w:rPr>
            </w:pPr>
            <w:r w:rsidRPr="007A2258">
              <w:rPr>
                <w:rFonts w:ascii="Arial Narrow" w:eastAsia="Times New Roman" w:hAnsi="Arial Narrow" w:cs="Arial"/>
                <w:snapToGrid w:val="0"/>
                <w:sz w:val="20"/>
                <w:szCs w:val="20"/>
              </w:rPr>
              <w:t>3/206</w:t>
            </w:r>
          </w:p>
        </w:tc>
        <w:tc>
          <w:tcPr>
            <w:tcW w:w="852" w:type="pct"/>
            <w:shd w:val="clear" w:color="auto" w:fill="auto"/>
            <w:vAlign w:val="center"/>
          </w:tcPr>
          <w:p w:rsidR="00812E2F" w:rsidRPr="007A2258" w:rsidRDefault="00812E2F" w:rsidP="00812E2F">
            <w:pPr>
              <w:keepNext/>
              <w:spacing w:before="40" w:after="40"/>
              <w:rPr>
                <w:rFonts w:ascii="Arial Narrow" w:eastAsia="Calibri" w:hAnsi="Arial Narrow" w:cs="Arial"/>
                <w:sz w:val="20"/>
              </w:rPr>
            </w:pPr>
            <w:r w:rsidRPr="007A2258">
              <w:rPr>
                <w:rFonts w:ascii="Arial Narrow" w:eastAsia="Times New Roman" w:hAnsi="Arial Narrow" w:cs="Arial"/>
                <w:snapToGrid w:val="0"/>
                <w:sz w:val="20"/>
                <w:szCs w:val="20"/>
              </w:rPr>
              <w:t>16/208</w:t>
            </w:r>
          </w:p>
        </w:tc>
        <w:tc>
          <w:tcPr>
            <w:tcW w:w="1015" w:type="pct"/>
            <w:shd w:val="clear" w:color="auto" w:fill="auto"/>
            <w:vAlign w:val="center"/>
          </w:tcPr>
          <w:p w:rsidR="00812E2F" w:rsidRPr="007A2258" w:rsidRDefault="00812E2F" w:rsidP="00812E2F">
            <w:pPr>
              <w:keepNext/>
              <w:spacing w:before="40" w:after="40"/>
              <w:rPr>
                <w:rFonts w:ascii="Arial Narrow" w:eastAsia="Calibri" w:hAnsi="Arial Narrow" w:cs="Arial"/>
                <w:sz w:val="20"/>
              </w:rPr>
            </w:pPr>
            <w:r w:rsidRPr="007A2258">
              <w:rPr>
                <w:rFonts w:ascii="Arial Narrow" w:eastAsia="Times New Roman" w:hAnsi="Arial Narrow" w:cs="Arial"/>
                <w:snapToGrid w:val="0"/>
                <w:sz w:val="20"/>
                <w:szCs w:val="20"/>
              </w:rPr>
              <w:t>NR</w:t>
            </w:r>
          </w:p>
        </w:tc>
        <w:tc>
          <w:tcPr>
            <w:tcW w:w="781" w:type="pct"/>
            <w:shd w:val="clear" w:color="auto" w:fill="auto"/>
            <w:vAlign w:val="center"/>
          </w:tcPr>
          <w:p w:rsidR="00812E2F" w:rsidRPr="007A2258" w:rsidRDefault="00812E2F" w:rsidP="00812E2F">
            <w:pPr>
              <w:keepNext/>
              <w:spacing w:before="40" w:after="40"/>
              <w:rPr>
                <w:rFonts w:ascii="Arial Narrow" w:eastAsia="Calibri" w:hAnsi="Arial Narrow" w:cs="Arial"/>
                <w:sz w:val="20"/>
              </w:rPr>
            </w:pPr>
            <w:r w:rsidRPr="007A2258">
              <w:rPr>
                <w:rFonts w:ascii="Arial Narrow" w:eastAsia="Times New Roman" w:hAnsi="Arial Narrow" w:cs="Arial"/>
                <w:snapToGrid w:val="0"/>
                <w:sz w:val="20"/>
                <w:szCs w:val="20"/>
              </w:rPr>
              <w:t>82% (36%, 97%)</w:t>
            </w:r>
          </w:p>
        </w:tc>
        <w:tc>
          <w:tcPr>
            <w:tcW w:w="691" w:type="pct"/>
          </w:tcPr>
          <w:p w:rsidR="00812E2F" w:rsidRPr="007A2258" w:rsidRDefault="00812E2F" w:rsidP="00812E2F">
            <w:pPr>
              <w:keepNext/>
              <w:spacing w:before="40" w:after="4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0.002</w:t>
            </w:r>
          </w:p>
        </w:tc>
      </w:tr>
      <w:tr w:rsidR="00812E2F" w:rsidRPr="007A2258" w:rsidTr="000F50A6">
        <w:tc>
          <w:tcPr>
            <w:tcW w:w="901" w:type="pct"/>
            <w:shd w:val="clear" w:color="auto" w:fill="auto"/>
            <w:vAlign w:val="center"/>
          </w:tcPr>
          <w:p w:rsidR="00812E2F" w:rsidRPr="007A2258" w:rsidRDefault="00812E2F" w:rsidP="00812E2F">
            <w:pPr>
              <w:keepNext/>
              <w:spacing w:before="40" w:after="40"/>
              <w:rPr>
                <w:rFonts w:ascii="Times" w:eastAsia="Times New Roman" w:hAnsi="Times" w:cs="Times New Roman"/>
                <w:sz w:val="20"/>
              </w:rPr>
            </w:pPr>
            <w:r w:rsidRPr="007A2258">
              <w:rPr>
                <w:rFonts w:ascii="Arial Narrow" w:eastAsia="Times New Roman" w:hAnsi="Arial Narrow" w:cs="Arial"/>
                <w:snapToGrid w:val="0"/>
                <w:sz w:val="20"/>
                <w:szCs w:val="20"/>
              </w:rPr>
              <w:t>IPERGAY mITT</w:t>
            </w:r>
          </w:p>
        </w:tc>
        <w:tc>
          <w:tcPr>
            <w:tcW w:w="759" w:type="pct"/>
            <w:shd w:val="clear" w:color="auto" w:fill="auto"/>
            <w:vAlign w:val="center"/>
          </w:tcPr>
          <w:p w:rsidR="00812E2F" w:rsidRPr="007A2258" w:rsidRDefault="00812E2F" w:rsidP="00812E2F">
            <w:pPr>
              <w:keepNext/>
              <w:spacing w:before="40" w:after="40"/>
              <w:rPr>
                <w:rFonts w:ascii="Arial Narrow" w:eastAsia="Calibri" w:hAnsi="Arial Narrow" w:cs="Arial"/>
                <w:sz w:val="20"/>
              </w:rPr>
            </w:pPr>
            <w:r w:rsidRPr="007A2258">
              <w:rPr>
                <w:rFonts w:ascii="Arial Narrow" w:eastAsia="Times New Roman" w:hAnsi="Arial Narrow" w:cs="Arial"/>
                <w:snapToGrid w:val="0"/>
                <w:sz w:val="20"/>
                <w:szCs w:val="20"/>
              </w:rPr>
              <w:t>2/199</w:t>
            </w:r>
          </w:p>
        </w:tc>
        <w:tc>
          <w:tcPr>
            <w:tcW w:w="852" w:type="pct"/>
            <w:shd w:val="clear" w:color="auto" w:fill="auto"/>
            <w:vAlign w:val="center"/>
          </w:tcPr>
          <w:p w:rsidR="00812E2F" w:rsidRPr="007A2258" w:rsidRDefault="00812E2F" w:rsidP="00812E2F">
            <w:pPr>
              <w:keepNext/>
              <w:spacing w:before="40" w:after="40"/>
              <w:rPr>
                <w:rFonts w:ascii="Arial Narrow" w:eastAsia="Calibri" w:hAnsi="Arial Narrow" w:cs="Arial"/>
                <w:sz w:val="20"/>
              </w:rPr>
            </w:pPr>
            <w:r w:rsidRPr="007A2258">
              <w:rPr>
                <w:rFonts w:ascii="Arial Narrow" w:eastAsia="Times New Roman" w:hAnsi="Arial Narrow" w:cs="Arial"/>
                <w:snapToGrid w:val="0"/>
                <w:sz w:val="20"/>
                <w:szCs w:val="20"/>
              </w:rPr>
              <w:t>14/201</w:t>
            </w:r>
          </w:p>
        </w:tc>
        <w:tc>
          <w:tcPr>
            <w:tcW w:w="1015" w:type="pct"/>
            <w:shd w:val="clear" w:color="auto" w:fill="auto"/>
            <w:vAlign w:val="center"/>
          </w:tcPr>
          <w:p w:rsidR="00812E2F" w:rsidRPr="007A2258" w:rsidRDefault="00812E2F" w:rsidP="00812E2F">
            <w:pPr>
              <w:keepNext/>
              <w:spacing w:before="40" w:after="40"/>
              <w:rPr>
                <w:rFonts w:ascii="Arial Narrow" w:eastAsia="Calibri" w:hAnsi="Arial Narrow" w:cs="Arial"/>
                <w:sz w:val="20"/>
              </w:rPr>
            </w:pPr>
            <w:r w:rsidRPr="007A2258">
              <w:rPr>
                <w:rFonts w:ascii="Arial Narrow" w:eastAsia="Times New Roman" w:hAnsi="Arial Narrow" w:cs="Arial"/>
                <w:snapToGrid w:val="0"/>
                <w:sz w:val="20"/>
                <w:szCs w:val="20"/>
              </w:rPr>
              <w:t>NR</w:t>
            </w:r>
          </w:p>
        </w:tc>
        <w:tc>
          <w:tcPr>
            <w:tcW w:w="781" w:type="pct"/>
            <w:shd w:val="clear" w:color="auto" w:fill="auto"/>
            <w:vAlign w:val="center"/>
          </w:tcPr>
          <w:p w:rsidR="00812E2F" w:rsidRPr="007A2258" w:rsidRDefault="00812E2F" w:rsidP="00812E2F">
            <w:pPr>
              <w:keepNext/>
              <w:spacing w:before="40" w:after="40"/>
              <w:rPr>
                <w:rFonts w:ascii="Arial Narrow" w:eastAsia="Calibri" w:hAnsi="Arial Narrow" w:cs="Arial"/>
                <w:sz w:val="20"/>
              </w:rPr>
            </w:pPr>
            <w:r w:rsidRPr="007A2258">
              <w:rPr>
                <w:rFonts w:ascii="Arial Narrow" w:eastAsia="Times New Roman" w:hAnsi="Arial Narrow" w:cs="Arial"/>
                <w:snapToGrid w:val="0"/>
                <w:sz w:val="20"/>
                <w:szCs w:val="20"/>
              </w:rPr>
              <w:t>86% (40%, 98%)</w:t>
            </w:r>
          </w:p>
        </w:tc>
        <w:tc>
          <w:tcPr>
            <w:tcW w:w="691" w:type="pct"/>
          </w:tcPr>
          <w:p w:rsidR="00812E2F" w:rsidRPr="007A2258" w:rsidRDefault="00812E2F" w:rsidP="00812E2F">
            <w:pPr>
              <w:keepNext/>
              <w:spacing w:before="40" w:after="4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0.002</w:t>
            </w:r>
          </w:p>
        </w:tc>
      </w:tr>
    </w:tbl>
    <w:p w:rsidR="00812E2F" w:rsidRPr="007A2258" w:rsidRDefault="00812E2F" w:rsidP="00812E2F">
      <w:pPr>
        <w:widowControl w:val="0"/>
        <w:spacing w:before="0" w:after="120"/>
        <w:contextualSpacing/>
        <w:jc w:val="both"/>
        <w:rPr>
          <w:rFonts w:ascii="Arial Narrow" w:eastAsia="Times New Roman" w:hAnsi="Arial Narrow" w:cs="Arial"/>
          <w:snapToGrid w:val="0"/>
          <w:sz w:val="18"/>
          <w:szCs w:val="20"/>
        </w:rPr>
      </w:pPr>
      <w:r w:rsidRPr="007A2258">
        <w:rPr>
          <w:rFonts w:ascii="Arial Narrow" w:eastAsia="Times New Roman" w:hAnsi="Arial Narrow" w:cs="Arial"/>
          <w:snapToGrid w:val="0"/>
          <w:sz w:val="18"/>
          <w:szCs w:val="20"/>
        </w:rPr>
        <w:t xml:space="preserve">Note: TDF/FTC </w:t>
      </w:r>
      <w:r w:rsidR="008E3B1E" w:rsidRPr="007A2258">
        <w:rPr>
          <w:rFonts w:ascii="Arial Narrow" w:eastAsia="Times New Roman" w:hAnsi="Arial Narrow" w:cs="Arial"/>
          <w:snapToGrid w:val="0"/>
          <w:sz w:val="18"/>
          <w:szCs w:val="20"/>
        </w:rPr>
        <w:t xml:space="preserve">intermitted event driven </w:t>
      </w:r>
      <w:r w:rsidRPr="007A2258">
        <w:rPr>
          <w:rFonts w:ascii="Arial Narrow" w:eastAsia="Times New Roman" w:hAnsi="Arial Narrow" w:cs="Arial"/>
          <w:snapToGrid w:val="0"/>
          <w:sz w:val="18"/>
          <w:szCs w:val="20"/>
        </w:rPr>
        <w:t>dosing regimen: loading dose of 2 tablets (both TDF/FTC) 2 to 24 hours before sex; 1 tablet 24 hours after 1st drug intake; 1 tablet 24 hours later.</w:t>
      </w:r>
    </w:p>
    <w:p w:rsidR="00812E2F" w:rsidRPr="007A2258" w:rsidRDefault="00812E2F" w:rsidP="00812E2F">
      <w:pPr>
        <w:widowControl w:val="0"/>
        <w:spacing w:before="0" w:after="120"/>
        <w:contextualSpacing/>
        <w:jc w:val="both"/>
        <w:rPr>
          <w:rFonts w:ascii="Arial Narrow" w:eastAsia="Times New Roman" w:hAnsi="Arial Narrow" w:cs="Arial"/>
          <w:snapToGrid w:val="0"/>
          <w:sz w:val="18"/>
          <w:szCs w:val="20"/>
        </w:rPr>
      </w:pPr>
      <w:r w:rsidRPr="007A2258">
        <w:rPr>
          <w:rFonts w:ascii="Arial Narrow" w:eastAsia="Times New Roman" w:hAnsi="Arial Narrow" w:cs="Arial"/>
          <w:snapToGrid w:val="0"/>
          <w:sz w:val="18"/>
          <w:szCs w:val="20"/>
        </w:rPr>
        <w:t>Abbreviations: CI, confidence interval; ITT, intention to treat; mITT, modified intention to treat; RRR, relative risk reduction; SOC, standard of care.</w:t>
      </w:r>
    </w:p>
    <w:p w:rsidR="00C317F3" w:rsidRPr="007A2258" w:rsidRDefault="00812E2F" w:rsidP="00812E2F">
      <w:pPr>
        <w:widowControl w:val="0"/>
        <w:spacing w:before="0" w:after="120"/>
        <w:contextualSpacing/>
        <w:jc w:val="both"/>
        <w:rPr>
          <w:rFonts w:ascii="Arial Narrow" w:eastAsia="Times New Roman" w:hAnsi="Arial Narrow" w:cs="Arial"/>
          <w:snapToGrid w:val="0"/>
          <w:sz w:val="18"/>
          <w:szCs w:val="20"/>
        </w:rPr>
      </w:pPr>
      <w:r w:rsidRPr="007A2258">
        <w:rPr>
          <w:rFonts w:ascii="Arial Narrow" w:eastAsia="Times New Roman" w:hAnsi="Arial Narrow" w:cs="Arial"/>
          <w:snapToGrid w:val="0"/>
          <w:sz w:val="18"/>
          <w:szCs w:val="20"/>
        </w:rPr>
        <w:t>Source: p.2241, Molina JM, Capitant C, Spire B, Pialoux G, et al. On-Demand Pre-exposure Prophylaxis in Men at High Risk for HIV-1 Infection. New Engl J Med 2015; 373 (23):2237-2246</w:t>
      </w:r>
    </w:p>
    <w:p w:rsidR="00812E2F" w:rsidRPr="007A2258" w:rsidRDefault="00812E2F" w:rsidP="007A2258">
      <w:pPr>
        <w:pStyle w:val="ListParagraph"/>
        <w:numPr>
          <w:ilvl w:val="1"/>
          <w:numId w:val="23"/>
        </w:numPr>
        <w:jc w:val="both"/>
      </w:pPr>
      <w:r w:rsidRPr="007A2258">
        <w:t xml:space="preserve">For the ADAPT study, the </w:t>
      </w:r>
      <w:r w:rsidR="00FB6BD8" w:rsidRPr="007A2258">
        <w:t xml:space="preserve">conference </w:t>
      </w:r>
      <w:r w:rsidRPr="007A2258">
        <w:t xml:space="preserve">abstract </w:t>
      </w:r>
      <w:r w:rsidR="00FB6BD8" w:rsidRPr="007A2258">
        <w:t xml:space="preserve">for </w:t>
      </w:r>
      <w:r w:rsidRPr="007A2258">
        <w:t xml:space="preserve">the New York site did not specify whether any HIV conversions were reported; the </w:t>
      </w:r>
      <w:r w:rsidR="00FB6BD8" w:rsidRPr="007A2258">
        <w:t xml:space="preserve">conference </w:t>
      </w:r>
      <w:r w:rsidRPr="007A2258">
        <w:t xml:space="preserve">abstract for the Bangkok site reported no HIV infections after 24 weeks. </w:t>
      </w:r>
    </w:p>
    <w:p w:rsidR="00812E2F" w:rsidRPr="007A2258" w:rsidRDefault="00812E2F" w:rsidP="007A2258">
      <w:pPr>
        <w:pStyle w:val="ListParagraph"/>
        <w:numPr>
          <w:ilvl w:val="1"/>
          <w:numId w:val="23"/>
        </w:numPr>
        <w:spacing w:before="0" w:after="0"/>
        <w:jc w:val="both"/>
      </w:pPr>
      <w:r w:rsidRPr="007A2258">
        <w:t>The following results for HIV seroconversion were reported for the observational studies:</w:t>
      </w:r>
    </w:p>
    <w:p w:rsidR="00812E2F" w:rsidRPr="007A2258" w:rsidRDefault="00812E2F" w:rsidP="007A2258">
      <w:pPr>
        <w:pStyle w:val="ListParagraph"/>
        <w:numPr>
          <w:ilvl w:val="0"/>
          <w:numId w:val="12"/>
        </w:numPr>
        <w:spacing w:before="0" w:after="0"/>
        <w:jc w:val="both"/>
      </w:pPr>
      <w:r w:rsidRPr="007A2258">
        <w:t xml:space="preserve">iPrEx OLE: HIV seroconversions occurred in 13 participants not on PrEP (2.6 infections per 100 person-years, 95% CI: 1·5–4·5) and 28 participants on PrEP (1.8 infections per 100 person-years, 95% CI: 1·3–2·6). Of those receiving PrEP, HIV incidence was 49% (95% CI: –1 to 74) lower than among those who did not use PrEP after adjusting for the higher risk sexual practices at baseline among PrEP users, and 36% lower before adjustment (95% CI: –24 to 67%). In iPrEx (Grant et al. 2014) there were no HIV infections for persons who had at least 4 or more </w:t>
      </w:r>
      <w:r w:rsidR="00561B5C" w:rsidRPr="007A2258">
        <w:t>doses of</w:t>
      </w:r>
      <w:r w:rsidR="000749A6" w:rsidRPr="007A2258">
        <w:t xml:space="preserve"> PrEP</w:t>
      </w:r>
      <w:r w:rsidRPr="007A2258">
        <w:t xml:space="preserve"> per week. </w:t>
      </w:r>
      <w:r w:rsidR="00E316C1" w:rsidRPr="007A2258">
        <w:t>The ESC noted that self-reported compliance in the iPrEx trial was 93%</w:t>
      </w:r>
      <w:r w:rsidR="00A51544" w:rsidRPr="007A2258">
        <w:t xml:space="preserve"> at week </w:t>
      </w:r>
      <w:r w:rsidR="00BA19AA" w:rsidRPr="007A2258">
        <w:t>8;</w:t>
      </w:r>
      <w:r w:rsidR="00E316C1" w:rsidRPr="007A2258">
        <w:t xml:space="preserve"> however that compliance measured by blood serum analysis of PrEP indicated compliance of 53%</w:t>
      </w:r>
      <w:r w:rsidR="008F773B" w:rsidRPr="007A2258">
        <w:rPr>
          <w:rStyle w:val="FootnoteReference"/>
        </w:rPr>
        <w:footnoteReference w:id="2"/>
      </w:r>
      <w:r w:rsidR="00E316C1" w:rsidRPr="007A2258">
        <w:t>.</w:t>
      </w:r>
    </w:p>
    <w:p w:rsidR="00812E2F" w:rsidRPr="007A2258" w:rsidRDefault="00812E2F" w:rsidP="007A2258">
      <w:pPr>
        <w:pStyle w:val="ListParagraph"/>
        <w:numPr>
          <w:ilvl w:val="0"/>
          <w:numId w:val="12"/>
        </w:numPr>
        <w:spacing w:before="0" w:after="0"/>
        <w:jc w:val="both"/>
      </w:pPr>
      <w:r w:rsidRPr="007A2258">
        <w:t>Th</w:t>
      </w:r>
      <w:r w:rsidR="000749A6" w:rsidRPr="007A2258">
        <w:t>e Demo Project</w:t>
      </w:r>
      <w:r w:rsidRPr="007A2258">
        <w:t xml:space="preserve">: Two participants acquired HIV infection during follow-up, yielding an HIV incidence of 0.43 infections per 100 person years (95% CI: 0.05-1.54). </w:t>
      </w:r>
      <w:r w:rsidR="008E3B1E" w:rsidRPr="007A2258">
        <w:t xml:space="preserve">The dried blood spot results indicated that tenofovir disoproxil levels were consistent with less than 2 doses/week at </w:t>
      </w:r>
      <w:r w:rsidR="0020266A" w:rsidRPr="007A2258">
        <w:t xml:space="preserve">the time of </w:t>
      </w:r>
      <w:r w:rsidR="008E3B1E" w:rsidRPr="007A2258">
        <w:t>seroconversion.</w:t>
      </w:r>
    </w:p>
    <w:p w:rsidR="00812E2F" w:rsidRPr="007A2258" w:rsidRDefault="00812E2F" w:rsidP="007A2258">
      <w:pPr>
        <w:pStyle w:val="ListParagraph"/>
        <w:numPr>
          <w:ilvl w:val="0"/>
          <w:numId w:val="12"/>
        </w:numPr>
        <w:spacing w:before="0" w:after="0"/>
        <w:jc w:val="both"/>
      </w:pPr>
      <w:r w:rsidRPr="007A2258">
        <w:t>Kaiser Permanente (KPSF): No HIV diagnoses during the 388 person-years on PrEP use with mean</w:t>
      </w:r>
      <w:r w:rsidR="008E3B1E" w:rsidRPr="007A2258">
        <w:t xml:space="preserve"> follow-up</w:t>
      </w:r>
      <w:r w:rsidRPr="007A2258">
        <w:t xml:space="preserve"> duration of 7.2 months. </w:t>
      </w:r>
    </w:p>
    <w:p w:rsidR="00812E2F" w:rsidRPr="007A2258" w:rsidRDefault="00812E2F" w:rsidP="007A2258">
      <w:pPr>
        <w:pStyle w:val="ListParagraph"/>
        <w:numPr>
          <w:ilvl w:val="0"/>
          <w:numId w:val="12"/>
        </w:numPr>
        <w:spacing w:before="0" w:after="0"/>
        <w:jc w:val="both"/>
      </w:pPr>
      <w:r w:rsidRPr="007A2258">
        <w:t xml:space="preserve">PrEPare 2 YMSM: Four HIV seroconversions occurred during the study (one each at weeks 4, 32, 40, and 48) for an HIV incidence rate of 3.29 per 100 person-years (95% CI: 0.07 to 6.52). None of the participants who seroconverted had detectable levels of TFV-DP in the blood sample drawn closest to the seroconversion date. </w:t>
      </w:r>
    </w:p>
    <w:p w:rsidR="00812E2F" w:rsidRDefault="00812E2F" w:rsidP="007A2258">
      <w:pPr>
        <w:pStyle w:val="ListParagraph"/>
        <w:numPr>
          <w:ilvl w:val="0"/>
          <w:numId w:val="12"/>
        </w:numPr>
        <w:spacing w:before="0" w:after="0"/>
        <w:jc w:val="both"/>
      </w:pPr>
      <w:r w:rsidRPr="007A2258">
        <w:t xml:space="preserve">VicPrEP: No incident HIV seroconversions reported during the 6 months of </w:t>
      </w:r>
      <w:r w:rsidR="0020266A" w:rsidRPr="007A2258">
        <w:t>follow-</w:t>
      </w:r>
      <w:r w:rsidRPr="007A2258">
        <w:t xml:space="preserve">up. </w:t>
      </w:r>
      <w:r w:rsidR="004624B4" w:rsidRPr="007A2258">
        <w:t>The ESC noted that there has been one seroconversion reported for a participant in VicPrEP but it is as yet unclear if this was associated with poor adherence or viral resistance.</w:t>
      </w:r>
    </w:p>
    <w:p w:rsidR="00E738F8" w:rsidRDefault="00E738F8" w:rsidP="00E738F8">
      <w:pPr>
        <w:pStyle w:val="ListParagraph"/>
        <w:numPr>
          <w:ilvl w:val="1"/>
          <w:numId w:val="23"/>
        </w:numPr>
        <w:jc w:val="both"/>
      </w:pPr>
      <w:r>
        <w:t xml:space="preserve">The PBAC </w:t>
      </w:r>
      <w:r w:rsidR="00F8313E">
        <w:t>noted</w:t>
      </w:r>
      <w:r>
        <w:t xml:space="preserve"> t</w:t>
      </w:r>
      <w:r w:rsidR="0091725C">
        <w:t>he results of the IPERGAY trial support</w:t>
      </w:r>
      <w:r w:rsidR="00F8313E">
        <w:t>ed</w:t>
      </w:r>
      <w:r w:rsidR="0091725C">
        <w:t xml:space="preserve"> the effectiveness of intermittent dosing of PrEP (</w:t>
      </w:r>
      <w:r w:rsidR="00F8313E">
        <w:t xml:space="preserve">RRR of </w:t>
      </w:r>
      <w:r w:rsidR="0091725C">
        <w:t>82-86%)</w:t>
      </w:r>
      <w:r w:rsidR="00F8313E">
        <w:t xml:space="preserve">, however the reduction in risk was less than that observed in the  </w:t>
      </w:r>
      <w:r w:rsidR="00F8313E" w:rsidRPr="007A2258">
        <w:t xml:space="preserve">iPrEx and Partners PrEP </w:t>
      </w:r>
      <w:r w:rsidR="00F8313E">
        <w:t xml:space="preserve">trials for individuals adherent with the </w:t>
      </w:r>
      <w:r w:rsidR="0091725C">
        <w:t>daily dosing regimen</w:t>
      </w:r>
      <w:r w:rsidR="00F8313E">
        <w:t xml:space="preserve"> (RRR of 90%, paragraph 6.</w:t>
      </w:r>
      <w:r w:rsidR="0075689B">
        <w:t>9</w:t>
      </w:r>
      <w:r w:rsidR="00F8313E">
        <w:t>)</w:t>
      </w:r>
      <w:r w:rsidR="0091725C">
        <w:t>.</w:t>
      </w:r>
    </w:p>
    <w:p w:rsidR="00525325" w:rsidRPr="007A2258" w:rsidRDefault="00525325" w:rsidP="00E738F8">
      <w:pPr>
        <w:pStyle w:val="ListParagraph"/>
        <w:numPr>
          <w:ilvl w:val="1"/>
          <w:numId w:val="23"/>
        </w:numPr>
        <w:jc w:val="both"/>
      </w:pPr>
      <w:r>
        <w:t xml:space="preserve">The PBAC noted that limited data </w:t>
      </w:r>
      <w:r w:rsidR="00F8313E">
        <w:t>from</w:t>
      </w:r>
      <w:r>
        <w:t xml:space="preserve"> the Australian PrEP demonstration projects were available at the time of </w:t>
      </w:r>
      <w:r w:rsidR="00F8313E">
        <w:t>the re</w:t>
      </w:r>
      <w:r>
        <w:t>submission.</w:t>
      </w:r>
    </w:p>
    <w:p w:rsidR="00C317F3" w:rsidRPr="007A2258" w:rsidRDefault="00C317F3" w:rsidP="0095170D">
      <w:pPr>
        <w:pStyle w:val="Heading2"/>
      </w:pPr>
      <w:bookmarkStart w:id="16" w:name="_Toc413139279"/>
      <w:bookmarkStart w:id="17" w:name="_Toc482191217"/>
      <w:r w:rsidRPr="007A2258">
        <w:t>Comparative harms</w:t>
      </w:r>
      <w:bookmarkEnd w:id="16"/>
      <w:bookmarkEnd w:id="17"/>
    </w:p>
    <w:p w:rsidR="00812E2F" w:rsidRPr="007A2258" w:rsidRDefault="00812E2F" w:rsidP="007A2258">
      <w:pPr>
        <w:pStyle w:val="ListParagraph"/>
        <w:numPr>
          <w:ilvl w:val="1"/>
          <w:numId w:val="23"/>
        </w:numPr>
        <w:jc w:val="both"/>
      </w:pPr>
      <w:r w:rsidRPr="007A2258">
        <w:t xml:space="preserve">A summary of the adverse events for TDF/FTC in the </w:t>
      </w:r>
      <w:r w:rsidR="004E162A" w:rsidRPr="007A2258">
        <w:t xml:space="preserve">supportive </w:t>
      </w:r>
      <w:r w:rsidR="00FE73D1" w:rsidRPr="007A2258">
        <w:t>RCTs is presented in Table 11</w:t>
      </w:r>
      <w:r w:rsidRPr="007A2258">
        <w:t xml:space="preserve">. </w:t>
      </w:r>
    </w:p>
    <w:p w:rsidR="00904455" w:rsidRDefault="00904455" w:rsidP="00904455">
      <w:pPr>
        <w:pStyle w:val="Caption"/>
      </w:pPr>
      <w:r>
        <w:t xml:space="preserve">Table </w:t>
      </w:r>
      <w:r w:rsidR="004F50B1">
        <w:rPr>
          <w:noProof/>
        </w:rPr>
        <w:t>11</w:t>
      </w:r>
      <w:r w:rsidRPr="00F02796">
        <w:t>: Summary of key adverse events in the supplementary randomised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80"/>
        <w:gridCol w:w="1417"/>
        <w:gridCol w:w="1560"/>
        <w:gridCol w:w="1560"/>
        <w:gridCol w:w="1275"/>
        <w:gridCol w:w="690"/>
      </w:tblGrid>
      <w:tr w:rsidR="0089603C" w:rsidRPr="007A2258" w:rsidTr="00CB0977">
        <w:tc>
          <w:tcPr>
            <w:tcW w:w="1420" w:type="pct"/>
            <w:vAlign w:val="center"/>
          </w:tcPr>
          <w:p w:rsidR="00812E2F" w:rsidRPr="007A2258" w:rsidRDefault="00812E2F" w:rsidP="00812E2F">
            <w:pPr>
              <w:keepNext/>
              <w:widowControl w:val="0"/>
              <w:tabs>
                <w:tab w:val="left" w:pos="150"/>
              </w:tabs>
              <w:spacing w:before="0" w:after="0"/>
              <w:rPr>
                <w:rFonts w:ascii="Arial Narrow" w:eastAsia="Times New Roman" w:hAnsi="Arial Narrow" w:cs="Arial"/>
                <w:snapToGrid w:val="0"/>
                <w:sz w:val="20"/>
                <w:szCs w:val="20"/>
              </w:rPr>
            </w:pPr>
            <w:r w:rsidRPr="007A2258">
              <w:rPr>
                <w:rFonts w:ascii="Arial Narrow" w:eastAsia="Times New Roman" w:hAnsi="Arial Narrow" w:cs="Arial"/>
                <w:b/>
                <w:snapToGrid w:val="0"/>
                <w:sz w:val="20"/>
                <w:szCs w:val="20"/>
              </w:rPr>
              <w:t>Trial ID</w:t>
            </w:r>
          </w:p>
        </w:tc>
        <w:tc>
          <w:tcPr>
            <w:tcW w:w="780" w:type="pct"/>
            <w:vAlign w:val="center"/>
          </w:tcPr>
          <w:p w:rsidR="00812E2F" w:rsidRPr="007A2258" w:rsidRDefault="00812E2F" w:rsidP="00812E2F">
            <w:pPr>
              <w:keepNext/>
              <w:widowControl w:val="0"/>
              <w:spacing w:before="0" w:after="0"/>
              <w:jc w:val="center"/>
              <w:rPr>
                <w:rFonts w:ascii="Arial Narrow" w:eastAsia="Times New Roman" w:hAnsi="Arial Narrow" w:cs="Arial"/>
                <w:b/>
                <w:snapToGrid w:val="0"/>
                <w:sz w:val="20"/>
                <w:szCs w:val="20"/>
              </w:rPr>
            </w:pPr>
            <w:r w:rsidRPr="007A2258">
              <w:rPr>
                <w:rFonts w:ascii="Arial Narrow" w:eastAsia="Times New Roman" w:hAnsi="Arial Narrow" w:cs="Arial"/>
                <w:b/>
                <w:snapToGrid w:val="0"/>
                <w:sz w:val="20"/>
                <w:szCs w:val="20"/>
              </w:rPr>
              <w:t>TDF/FTC (daily)</w:t>
            </w:r>
          </w:p>
          <w:p w:rsidR="00812E2F" w:rsidRPr="007A2258" w:rsidRDefault="00812E2F" w:rsidP="00812E2F">
            <w:pPr>
              <w:keepNext/>
              <w:widowControl w:val="0"/>
              <w:spacing w:before="0" w:after="0"/>
              <w:jc w:val="center"/>
              <w:rPr>
                <w:rFonts w:ascii="Arial Narrow" w:eastAsia="Times New Roman" w:hAnsi="Arial Narrow" w:cs="Arial"/>
                <w:b/>
                <w:snapToGrid w:val="0"/>
                <w:sz w:val="20"/>
                <w:szCs w:val="20"/>
              </w:rPr>
            </w:pPr>
            <w:r w:rsidRPr="007A2258">
              <w:rPr>
                <w:rFonts w:ascii="Arial Narrow" w:eastAsia="Times New Roman" w:hAnsi="Arial Narrow" w:cs="Arial"/>
                <w:b/>
                <w:snapToGrid w:val="0"/>
                <w:sz w:val="20"/>
                <w:szCs w:val="20"/>
              </w:rPr>
              <w:t>n event/N (%)</w:t>
            </w:r>
          </w:p>
        </w:tc>
        <w:tc>
          <w:tcPr>
            <w:tcW w:w="859" w:type="pct"/>
            <w:vAlign w:val="center"/>
          </w:tcPr>
          <w:p w:rsidR="00812E2F" w:rsidRPr="007A2258" w:rsidRDefault="00812E2F" w:rsidP="00812E2F">
            <w:pPr>
              <w:keepNext/>
              <w:widowControl w:val="0"/>
              <w:spacing w:before="0" w:after="0"/>
              <w:jc w:val="center"/>
              <w:rPr>
                <w:rFonts w:ascii="Arial Narrow" w:eastAsia="Times New Roman" w:hAnsi="Arial Narrow" w:cs="Arial"/>
                <w:b/>
                <w:snapToGrid w:val="0"/>
                <w:sz w:val="20"/>
                <w:szCs w:val="20"/>
              </w:rPr>
            </w:pPr>
            <w:r w:rsidRPr="007A2258">
              <w:rPr>
                <w:rFonts w:ascii="Arial Narrow" w:eastAsia="Times New Roman" w:hAnsi="Arial Narrow" w:cs="Arial"/>
                <w:b/>
                <w:snapToGrid w:val="0"/>
                <w:sz w:val="20"/>
                <w:szCs w:val="20"/>
              </w:rPr>
              <w:t>TDF/FTC (time)</w:t>
            </w:r>
          </w:p>
          <w:p w:rsidR="00812E2F" w:rsidRPr="007A2258" w:rsidRDefault="00812E2F" w:rsidP="00812E2F">
            <w:pPr>
              <w:keepNext/>
              <w:widowControl w:val="0"/>
              <w:spacing w:before="0" w:after="0"/>
              <w:jc w:val="center"/>
              <w:rPr>
                <w:rFonts w:ascii="Arial Narrow" w:eastAsia="Times New Roman" w:hAnsi="Arial Narrow" w:cs="Arial"/>
                <w:b/>
                <w:snapToGrid w:val="0"/>
                <w:sz w:val="20"/>
                <w:szCs w:val="20"/>
              </w:rPr>
            </w:pPr>
            <w:r w:rsidRPr="007A2258">
              <w:rPr>
                <w:rFonts w:ascii="Arial Narrow" w:eastAsia="Times New Roman" w:hAnsi="Arial Narrow" w:cs="Arial"/>
                <w:b/>
                <w:snapToGrid w:val="0"/>
                <w:sz w:val="20"/>
                <w:szCs w:val="20"/>
              </w:rPr>
              <w:t>n event/N (%)</w:t>
            </w:r>
          </w:p>
        </w:tc>
        <w:tc>
          <w:tcPr>
            <w:tcW w:w="859" w:type="pct"/>
          </w:tcPr>
          <w:p w:rsidR="00812E2F" w:rsidRPr="007A2258" w:rsidRDefault="00812E2F" w:rsidP="00812E2F">
            <w:pPr>
              <w:keepNext/>
              <w:widowControl w:val="0"/>
              <w:spacing w:before="0" w:after="0"/>
              <w:jc w:val="center"/>
              <w:rPr>
                <w:rFonts w:ascii="Arial Narrow" w:eastAsia="Times New Roman" w:hAnsi="Arial Narrow" w:cs="Arial"/>
                <w:b/>
                <w:snapToGrid w:val="0"/>
                <w:sz w:val="20"/>
                <w:szCs w:val="20"/>
              </w:rPr>
            </w:pPr>
            <w:r w:rsidRPr="007A2258">
              <w:rPr>
                <w:rFonts w:ascii="Arial Narrow" w:eastAsia="Times New Roman" w:hAnsi="Arial Narrow" w:cs="Arial"/>
                <w:b/>
                <w:snapToGrid w:val="0"/>
                <w:sz w:val="20"/>
                <w:szCs w:val="20"/>
              </w:rPr>
              <w:t>TDF/FTC (event)</w:t>
            </w:r>
          </w:p>
          <w:p w:rsidR="00812E2F" w:rsidRPr="007A2258" w:rsidRDefault="00812E2F" w:rsidP="00812E2F">
            <w:pPr>
              <w:keepNext/>
              <w:widowControl w:val="0"/>
              <w:spacing w:before="0" w:after="0"/>
              <w:jc w:val="center"/>
              <w:rPr>
                <w:rFonts w:ascii="Arial Narrow" w:eastAsia="Times New Roman" w:hAnsi="Arial Narrow" w:cs="Arial"/>
                <w:b/>
                <w:snapToGrid w:val="0"/>
                <w:sz w:val="20"/>
                <w:szCs w:val="20"/>
              </w:rPr>
            </w:pPr>
            <w:r w:rsidRPr="007A2258">
              <w:rPr>
                <w:rFonts w:ascii="Arial Narrow" w:eastAsia="Times New Roman" w:hAnsi="Arial Narrow" w:cs="Arial"/>
                <w:b/>
                <w:snapToGrid w:val="0"/>
                <w:sz w:val="20"/>
                <w:szCs w:val="20"/>
              </w:rPr>
              <w:t>n event/N (%)</w:t>
            </w:r>
          </w:p>
        </w:tc>
        <w:tc>
          <w:tcPr>
            <w:tcW w:w="702" w:type="pct"/>
            <w:vAlign w:val="center"/>
          </w:tcPr>
          <w:p w:rsidR="00812E2F" w:rsidRPr="007A2258" w:rsidRDefault="00812E2F" w:rsidP="00812E2F">
            <w:pPr>
              <w:keepNext/>
              <w:widowControl w:val="0"/>
              <w:spacing w:before="0" w:after="0"/>
              <w:jc w:val="center"/>
              <w:rPr>
                <w:rFonts w:ascii="Arial Narrow" w:eastAsia="Times New Roman" w:hAnsi="Arial Narrow" w:cs="Arial"/>
                <w:b/>
                <w:snapToGrid w:val="0"/>
                <w:sz w:val="20"/>
                <w:szCs w:val="20"/>
              </w:rPr>
            </w:pPr>
            <w:r w:rsidRPr="007A2258">
              <w:rPr>
                <w:rFonts w:ascii="Arial Narrow" w:eastAsia="Times New Roman" w:hAnsi="Arial Narrow" w:cs="Arial"/>
                <w:b/>
                <w:snapToGrid w:val="0"/>
                <w:sz w:val="20"/>
                <w:szCs w:val="20"/>
              </w:rPr>
              <w:t xml:space="preserve">Placebo </w:t>
            </w:r>
          </w:p>
          <w:p w:rsidR="00812E2F" w:rsidRPr="007A2258" w:rsidRDefault="00812E2F" w:rsidP="00812E2F">
            <w:pPr>
              <w:keepNext/>
              <w:widowControl w:val="0"/>
              <w:spacing w:before="0" w:after="0"/>
              <w:jc w:val="center"/>
              <w:rPr>
                <w:rFonts w:ascii="Arial Narrow" w:eastAsia="Times New Roman" w:hAnsi="Arial Narrow" w:cs="Arial"/>
                <w:b/>
                <w:snapToGrid w:val="0"/>
                <w:sz w:val="20"/>
                <w:szCs w:val="20"/>
              </w:rPr>
            </w:pPr>
            <w:r w:rsidRPr="007A2258">
              <w:rPr>
                <w:rFonts w:ascii="Arial Narrow" w:eastAsia="Times New Roman" w:hAnsi="Arial Narrow" w:cs="Arial"/>
                <w:b/>
                <w:snapToGrid w:val="0"/>
                <w:sz w:val="20"/>
                <w:szCs w:val="20"/>
              </w:rPr>
              <w:t>n event/N (%)</w:t>
            </w:r>
          </w:p>
        </w:tc>
        <w:tc>
          <w:tcPr>
            <w:tcW w:w="380" w:type="pct"/>
            <w:vAlign w:val="center"/>
          </w:tcPr>
          <w:p w:rsidR="00812E2F" w:rsidRPr="007A2258" w:rsidRDefault="00812E2F" w:rsidP="00812E2F">
            <w:pPr>
              <w:keepNext/>
              <w:widowControl w:val="0"/>
              <w:spacing w:before="0" w:after="0"/>
              <w:jc w:val="center"/>
              <w:rPr>
                <w:rFonts w:ascii="Arial Narrow" w:eastAsia="Times New Roman" w:hAnsi="Arial Narrow" w:cs="Arial"/>
                <w:b/>
                <w:snapToGrid w:val="0"/>
                <w:sz w:val="20"/>
                <w:szCs w:val="20"/>
              </w:rPr>
            </w:pPr>
            <w:r w:rsidRPr="007A2258">
              <w:rPr>
                <w:rFonts w:ascii="Arial Narrow" w:eastAsia="Times New Roman" w:hAnsi="Arial Narrow" w:cs="Arial"/>
                <w:b/>
                <w:snapToGrid w:val="0"/>
                <w:sz w:val="20"/>
                <w:szCs w:val="20"/>
              </w:rPr>
              <w:t>P-value</w:t>
            </w:r>
          </w:p>
        </w:tc>
      </w:tr>
      <w:tr w:rsidR="0089603C" w:rsidRPr="007A2258" w:rsidTr="00CB0977">
        <w:tc>
          <w:tcPr>
            <w:tcW w:w="1420" w:type="pct"/>
            <w:tcBorders>
              <w:bottom w:val="single" w:sz="4" w:space="0" w:color="auto"/>
            </w:tcBorders>
            <w:vAlign w:val="center"/>
          </w:tcPr>
          <w:p w:rsidR="00812E2F" w:rsidRPr="007A2258" w:rsidRDefault="00812E2F" w:rsidP="00812E2F">
            <w:pPr>
              <w:widowControl w:val="0"/>
              <w:tabs>
                <w:tab w:val="left" w:pos="150"/>
              </w:tabs>
              <w:spacing w:before="0" w:after="0"/>
              <w:rPr>
                <w:rFonts w:ascii="Arial Narrow" w:eastAsia="Times New Roman" w:hAnsi="Arial Narrow" w:cs="Arial"/>
                <w:b/>
                <w:snapToGrid w:val="0"/>
                <w:sz w:val="20"/>
                <w:szCs w:val="20"/>
              </w:rPr>
            </w:pPr>
            <w:r w:rsidRPr="007A2258">
              <w:rPr>
                <w:rFonts w:ascii="Arial Narrow" w:eastAsia="Times New Roman" w:hAnsi="Arial Narrow" w:cs="Arial"/>
                <w:b/>
                <w:snapToGrid w:val="0"/>
                <w:sz w:val="20"/>
                <w:szCs w:val="20"/>
              </w:rPr>
              <w:t>IPERGAY</w:t>
            </w:r>
          </w:p>
          <w:p w:rsidR="00812E2F" w:rsidRPr="007A2258" w:rsidRDefault="00812E2F" w:rsidP="00812E2F">
            <w:pPr>
              <w:widowControl w:val="0"/>
              <w:tabs>
                <w:tab w:val="left" w:pos="150"/>
              </w:tabs>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Gastrointestinal AE</w:t>
            </w:r>
          </w:p>
          <w:p w:rsidR="00812E2F" w:rsidRPr="007A2258" w:rsidRDefault="00812E2F" w:rsidP="00812E2F">
            <w:pPr>
              <w:widowControl w:val="0"/>
              <w:tabs>
                <w:tab w:val="left" w:pos="150"/>
              </w:tabs>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Elevated plasma creatinine</w:t>
            </w:r>
          </w:p>
          <w:p w:rsidR="00812E2F" w:rsidRPr="007A2258" w:rsidRDefault="00812E2F" w:rsidP="00812E2F">
            <w:pPr>
              <w:widowControl w:val="0"/>
              <w:tabs>
                <w:tab w:val="left" w:pos="150"/>
              </w:tabs>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Number discontinued</w:t>
            </w:r>
          </w:p>
          <w:p w:rsidR="00812E2F" w:rsidRPr="007A2258" w:rsidRDefault="00812E2F" w:rsidP="00812E2F">
            <w:pPr>
              <w:widowControl w:val="0"/>
              <w:tabs>
                <w:tab w:val="left" w:pos="150"/>
              </w:tabs>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Number died</w:t>
            </w:r>
          </w:p>
        </w:tc>
        <w:tc>
          <w:tcPr>
            <w:tcW w:w="780" w:type="pct"/>
            <w:tcBorders>
              <w:bottom w:val="single" w:sz="4" w:space="0" w:color="auto"/>
            </w:tcBorders>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NA</w:t>
            </w:r>
          </w:p>
        </w:tc>
        <w:tc>
          <w:tcPr>
            <w:tcW w:w="859" w:type="pct"/>
            <w:tcBorders>
              <w:bottom w:val="single" w:sz="4" w:space="0" w:color="auto"/>
            </w:tcBorders>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NA</w:t>
            </w:r>
          </w:p>
        </w:tc>
        <w:tc>
          <w:tcPr>
            <w:tcW w:w="859" w:type="pct"/>
            <w:tcBorders>
              <w:bottom w:val="single" w:sz="4" w:space="0" w:color="auto"/>
            </w:tcBorders>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p>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28/199(14)</w:t>
            </w:r>
          </w:p>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35/199 (18)</w:t>
            </w:r>
          </w:p>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23/199 (11)</w:t>
            </w:r>
          </w:p>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0/199 (0)</w:t>
            </w:r>
          </w:p>
        </w:tc>
        <w:tc>
          <w:tcPr>
            <w:tcW w:w="702" w:type="pct"/>
            <w:tcBorders>
              <w:bottom w:val="single" w:sz="4" w:space="0" w:color="auto"/>
            </w:tcBorders>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p>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10/201 (5)</w:t>
            </w:r>
          </w:p>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20/201 (10)</w:t>
            </w:r>
          </w:p>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26/201 (13)</w:t>
            </w:r>
          </w:p>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0/201 (0)</w:t>
            </w:r>
          </w:p>
        </w:tc>
        <w:tc>
          <w:tcPr>
            <w:tcW w:w="380" w:type="pct"/>
            <w:tcBorders>
              <w:bottom w:val="single" w:sz="4" w:space="0" w:color="auto"/>
            </w:tcBorders>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p>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0.002</w:t>
            </w:r>
          </w:p>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0.03</w:t>
            </w:r>
          </w:p>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NR</w:t>
            </w:r>
          </w:p>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1.00</w:t>
            </w:r>
          </w:p>
        </w:tc>
      </w:tr>
      <w:tr w:rsidR="0089603C" w:rsidRPr="007A2258" w:rsidTr="00CB0977">
        <w:tc>
          <w:tcPr>
            <w:tcW w:w="1420" w:type="pct"/>
            <w:tcBorders>
              <w:bottom w:val="nil"/>
            </w:tcBorders>
            <w:vAlign w:val="center"/>
          </w:tcPr>
          <w:p w:rsidR="00812E2F" w:rsidRPr="007A2258" w:rsidRDefault="00812E2F" w:rsidP="00812E2F">
            <w:pPr>
              <w:widowControl w:val="0"/>
              <w:tabs>
                <w:tab w:val="left" w:pos="150"/>
              </w:tabs>
              <w:spacing w:before="0" w:after="0"/>
              <w:rPr>
                <w:rFonts w:ascii="Arial Narrow" w:eastAsia="Times New Roman" w:hAnsi="Arial Narrow" w:cs="Arial"/>
                <w:b/>
                <w:snapToGrid w:val="0"/>
                <w:sz w:val="20"/>
                <w:szCs w:val="20"/>
              </w:rPr>
            </w:pPr>
            <w:r w:rsidRPr="007A2258">
              <w:rPr>
                <w:rFonts w:ascii="Arial Narrow" w:eastAsia="Times New Roman" w:hAnsi="Arial Narrow" w:cs="Arial"/>
                <w:b/>
                <w:snapToGrid w:val="0"/>
                <w:sz w:val="20"/>
                <w:szCs w:val="20"/>
              </w:rPr>
              <w:t>ADAPT (New York site)</w:t>
            </w:r>
            <w:r w:rsidRPr="007A2258">
              <w:rPr>
                <w:rFonts w:ascii="Arial Narrow" w:eastAsia="Times New Roman" w:hAnsi="Arial Narrow" w:cs="Arial"/>
                <w:snapToGrid w:val="0"/>
                <w:sz w:val="20"/>
                <w:szCs w:val="20"/>
                <w:vertAlign w:val="superscript"/>
              </w:rPr>
              <w:t>a</w:t>
            </w:r>
          </w:p>
          <w:p w:rsidR="00812E2F" w:rsidRPr="007A2258" w:rsidRDefault="00812E2F" w:rsidP="00812E2F">
            <w:pPr>
              <w:widowControl w:val="0"/>
              <w:tabs>
                <w:tab w:val="left" w:pos="150"/>
              </w:tabs>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Neurologic (</w:t>
            </w:r>
            <w:r w:rsidR="00561B5C" w:rsidRPr="007A2258">
              <w:rPr>
                <w:rFonts w:ascii="Arial Narrow" w:eastAsia="Times New Roman" w:hAnsi="Arial Narrow" w:cs="Arial"/>
                <w:snapToGrid w:val="0"/>
                <w:sz w:val="20"/>
                <w:szCs w:val="20"/>
              </w:rPr>
              <w:t>e.g.</w:t>
            </w:r>
            <w:r w:rsidRPr="007A2258">
              <w:rPr>
                <w:rFonts w:ascii="Arial Narrow" w:eastAsia="Times New Roman" w:hAnsi="Arial Narrow" w:cs="Arial"/>
                <w:snapToGrid w:val="0"/>
                <w:sz w:val="20"/>
                <w:szCs w:val="20"/>
              </w:rPr>
              <w:t xml:space="preserve"> headache, dizzy and lightheaded)</w:t>
            </w:r>
          </w:p>
        </w:tc>
        <w:tc>
          <w:tcPr>
            <w:tcW w:w="780" w:type="pct"/>
            <w:tcBorders>
              <w:bottom w:val="nil"/>
            </w:tcBorders>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24/59 (41)</w:t>
            </w:r>
          </w:p>
        </w:tc>
        <w:tc>
          <w:tcPr>
            <w:tcW w:w="859" w:type="pct"/>
            <w:tcBorders>
              <w:bottom w:val="nil"/>
            </w:tcBorders>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20/60 (33)</w:t>
            </w:r>
          </w:p>
        </w:tc>
        <w:tc>
          <w:tcPr>
            <w:tcW w:w="859" w:type="pct"/>
            <w:tcBorders>
              <w:bottom w:val="nil"/>
            </w:tcBorders>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18/60 (30)</w:t>
            </w:r>
          </w:p>
        </w:tc>
        <w:tc>
          <w:tcPr>
            <w:tcW w:w="702" w:type="pct"/>
            <w:tcBorders>
              <w:bottom w:val="nil"/>
            </w:tcBorders>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NA</w:t>
            </w:r>
          </w:p>
        </w:tc>
        <w:tc>
          <w:tcPr>
            <w:tcW w:w="380" w:type="pct"/>
            <w:tcBorders>
              <w:bottom w:val="nil"/>
            </w:tcBorders>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0.64</w:t>
            </w:r>
          </w:p>
        </w:tc>
      </w:tr>
      <w:tr w:rsidR="0089603C" w:rsidRPr="007A2258" w:rsidTr="00CB0977">
        <w:tc>
          <w:tcPr>
            <w:tcW w:w="1420" w:type="pct"/>
            <w:tcBorders>
              <w:top w:val="nil"/>
            </w:tcBorders>
            <w:vAlign w:val="center"/>
          </w:tcPr>
          <w:p w:rsidR="00812E2F" w:rsidRPr="007A2258" w:rsidRDefault="00812E2F" w:rsidP="00812E2F">
            <w:pPr>
              <w:widowControl w:val="0"/>
              <w:tabs>
                <w:tab w:val="left" w:pos="150"/>
              </w:tabs>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Gastrointestinal (nausea, vomiting, diarrhoea, bloating, gas)</w:t>
            </w:r>
          </w:p>
        </w:tc>
        <w:tc>
          <w:tcPr>
            <w:tcW w:w="780" w:type="pct"/>
            <w:tcBorders>
              <w:top w:val="nil"/>
            </w:tcBorders>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39/59 (66)</w:t>
            </w:r>
          </w:p>
        </w:tc>
        <w:tc>
          <w:tcPr>
            <w:tcW w:w="859" w:type="pct"/>
            <w:tcBorders>
              <w:top w:val="nil"/>
            </w:tcBorders>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18/60 (30)</w:t>
            </w:r>
          </w:p>
        </w:tc>
        <w:tc>
          <w:tcPr>
            <w:tcW w:w="859" w:type="pct"/>
            <w:tcBorders>
              <w:top w:val="nil"/>
            </w:tcBorders>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28/60 (47)</w:t>
            </w:r>
          </w:p>
        </w:tc>
        <w:tc>
          <w:tcPr>
            <w:tcW w:w="702" w:type="pct"/>
            <w:tcBorders>
              <w:top w:val="nil"/>
            </w:tcBorders>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NA</w:t>
            </w:r>
          </w:p>
        </w:tc>
        <w:tc>
          <w:tcPr>
            <w:tcW w:w="380" w:type="pct"/>
            <w:tcBorders>
              <w:top w:val="nil"/>
            </w:tcBorders>
            <w:vAlign w:val="center"/>
          </w:tcPr>
          <w:p w:rsidR="00812E2F" w:rsidRPr="007A2258" w:rsidRDefault="00812E2F" w:rsidP="00812E2F">
            <w:pPr>
              <w:widowControl w:val="0"/>
              <w:spacing w:before="0" w:after="0"/>
              <w:jc w:val="center"/>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0.51</w:t>
            </w:r>
          </w:p>
        </w:tc>
      </w:tr>
    </w:tbl>
    <w:p w:rsidR="00812E2F" w:rsidRPr="007A2258" w:rsidRDefault="00812E2F" w:rsidP="00812E2F">
      <w:pPr>
        <w:widowControl w:val="0"/>
        <w:spacing w:before="0" w:after="0"/>
        <w:jc w:val="both"/>
        <w:rPr>
          <w:rFonts w:ascii="Arial Narrow" w:eastAsia="Times New Roman" w:hAnsi="Arial Narrow" w:cs="Arial"/>
          <w:snapToGrid w:val="0"/>
          <w:sz w:val="18"/>
          <w:szCs w:val="20"/>
        </w:rPr>
      </w:pPr>
      <w:r w:rsidRPr="007A2258">
        <w:rPr>
          <w:rFonts w:ascii="Arial Narrow" w:eastAsia="Times New Roman" w:hAnsi="Arial Narrow" w:cs="Arial"/>
          <w:snapToGrid w:val="0"/>
          <w:sz w:val="18"/>
          <w:szCs w:val="20"/>
        </w:rPr>
        <w:t xml:space="preserve">Abbreviations: AE, adverse event; NA, not applicable; NR, not reported; TDF/FTC, tenofovir disoproxil fumarate/emtricitabine </w:t>
      </w:r>
    </w:p>
    <w:p w:rsidR="00812E2F" w:rsidRPr="007A2258" w:rsidRDefault="00561B5C" w:rsidP="00812E2F">
      <w:pPr>
        <w:widowControl w:val="0"/>
        <w:spacing w:before="0" w:after="0"/>
        <w:jc w:val="both"/>
        <w:rPr>
          <w:rFonts w:ascii="Arial Narrow" w:eastAsia="Times New Roman" w:hAnsi="Arial Narrow" w:cs="Arial"/>
          <w:snapToGrid w:val="0"/>
          <w:sz w:val="18"/>
          <w:szCs w:val="20"/>
        </w:rPr>
      </w:pPr>
      <w:r w:rsidRPr="007A2258">
        <w:rPr>
          <w:rFonts w:ascii="Arial Narrow" w:eastAsia="Times New Roman" w:hAnsi="Arial Narrow" w:cs="Arial"/>
          <w:snapToGrid w:val="0"/>
          <w:sz w:val="18"/>
          <w:szCs w:val="20"/>
          <w:vertAlign w:val="superscript"/>
        </w:rPr>
        <w:t>a</w:t>
      </w:r>
      <w:r w:rsidRPr="007A2258">
        <w:rPr>
          <w:rFonts w:ascii="Arial Narrow" w:eastAsia="Times New Roman" w:hAnsi="Arial Narrow" w:cs="Arial"/>
          <w:snapToGrid w:val="0"/>
          <w:sz w:val="18"/>
          <w:szCs w:val="20"/>
        </w:rPr>
        <w:t>The</w:t>
      </w:r>
      <w:r w:rsidR="00812E2F" w:rsidRPr="007A2258">
        <w:rPr>
          <w:rFonts w:ascii="Arial Narrow" w:eastAsia="Times New Roman" w:hAnsi="Arial Narrow" w:cs="Arial"/>
          <w:snapToGrid w:val="0"/>
          <w:sz w:val="18"/>
          <w:szCs w:val="20"/>
        </w:rPr>
        <w:t xml:space="preserve"> conference abstract did not present individual adverse events, but rather aggregated events. </w:t>
      </w:r>
    </w:p>
    <w:p w:rsidR="008E3B1E" w:rsidRPr="007A2258" w:rsidRDefault="008E3B1E" w:rsidP="00812E2F">
      <w:pPr>
        <w:widowControl w:val="0"/>
        <w:spacing w:before="0" w:after="0"/>
        <w:jc w:val="both"/>
        <w:rPr>
          <w:rFonts w:ascii="Arial Narrow" w:eastAsia="Times New Roman" w:hAnsi="Arial Narrow" w:cs="Arial"/>
          <w:snapToGrid w:val="0"/>
          <w:sz w:val="18"/>
          <w:szCs w:val="20"/>
        </w:rPr>
      </w:pPr>
      <w:r w:rsidRPr="007A2258">
        <w:rPr>
          <w:rFonts w:ascii="Arial Narrow" w:eastAsia="Times New Roman" w:hAnsi="Arial Narrow" w:cs="Arial"/>
          <w:snapToGrid w:val="0"/>
          <w:sz w:val="18"/>
          <w:szCs w:val="20"/>
        </w:rPr>
        <w:t>Note: ADAPT trial compared three TDF/FTC dosage regimens, daily dosing and two intermittent dosage regimens (event-driven dosing and time-driven dosing)</w:t>
      </w:r>
    </w:p>
    <w:p w:rsidR="00812E2F" w:rsidRPr="007A2258" w:rsidRDefault="00812E2F" w:rsidP="00812E2F">
      <w:pPr>
        <w:widowControl w:val="0"/>
        <w:spacing w:before="0" w:after="0"/>
        <w:jc w:val="both"/>
        <w:rPr>
          <w:rFonts w:ascii="Arial Narrow" w:eastAsia="Times New Roman" w:hAnsi="Arial Narrow" w:cs="Arial"/>
          <w:snapToGrid w:val="0"/>
          <w:sz w:val="18"/>
          <w:szCs w:val="20"/>
        </w:rPr>
      </w:pPr>
      <w:r w:rsidRPr="007A2258">
        <w:rPr>
          <w:rFonts w:ascii="Arial Narrow" w:eastAsia="Times New Roman" w:hAnsi="Arial Narrow" w:cs="Arial"/>
          <w:snapToGrid w:val="0"/>
          <w:sz w:val="18"/>
          <w:szCs w:val="20"/>
        </w:rPr>
        <w:t>Source: Table 2, p.2245, Molina JM, Capitant C, Spire B, Pialoux G, et al. On-Demand Preexposure Prophylaxis in Men at High Risk for HIV-1 Infection. New Engl J Med 2015; 373 (23):2237-2246 and Mannheimer S, Hirsch-Moverman Y, Loquere A, Franks J, Hughes J et al. HPTN 067/ADAPT study: a comparison of daily and intermittent pre-exposure prophylaxis dosing for HIV prevention in men who have sex with men and transgender women in New York City, Journal of the International AIDS Society, 2015; 18 (Suppl 4):24-25</w:t>
      </w:r>
    </w:p>
    <w:p w:rsidR="00B805B1" w:rsidRPr="007A2258" w:rsidRDefault="00B805B1" w:rsidP="006650FE">
      <w:pPr>
        <w:widowControl w:val="0"/>
        <w:spacing w:before="0" w:after="0"/>
        <w:jc w:val="both"/>
        <w:rPr>
          <w:rFonts w:ascii="Arial Narrow" w:eastAsia="Times New Roman" w:hAnsi="Arial Narrow" w:cs="Arial"/>
          <w:snapToGrid w:val="0"/>
          <w:sz w:val="18"/>
          <w:szCs w:val="20"/>
        </w:rPr>
      </w:pPr>
    </w:p>
    <w:p w:rsidR="008477BA" w:rsidRPr="007A2258" w:rsidRDefault="008477BA" w:rsidP="007A2258">
      <w:pPr>
        <w:pStyle w:val="ListParagraph"/>
        <w:numPr>
          <w:ilvl w:val="1"/>
          <w:numId w:val="23"/>
        </w:numPr>
        <w:spacing w:before="0" w:after="0"/>
        <w:jc w:val="both"/>
      </w:pPr>
      <w:r w:rsidRPr="007A2258">
        <w:t xml:space="preserve">The PBAC had previously noted that ‘[g]astrointestinal adverse events (in particular nausea and vomiting) were more common in subjects receiving Truvada compared with placebo, but most events occurred in the first month and resolved with continued exposure’ </w:t>
      </w:r>
      <w:r w:rsidR="006650FE" w:rsidRPr="007A2258">
        <w:t>(</w:t>
      </w:r>
      <w:r w:rsidRPr="007A2258">
        <w:t>p.13, 6.06 Truvada®, tablets, emtricitabine 200 mg/tenofovir disoproxil fumarate 300 mg, Gilead Sciences Pty Ltd, PSD, July 2016</w:t>
      </w:r>
      <w:r w:rsidR="006650FE" w:rsidRPr="007A2258">
        <w:t>).</w:t>
      </w:r>
    </w:p>
    <w:p w:rsidR="008477BA" w:rsidRPr="007A2258" w:rsidRDefault="008477BA" w:rsidP="006650FE">
      <w:pPr>
        <w:pStyle w:val="ListParagraph"/>
        <w:spacing w:before="0" w:after="0"/>
      </w:pPr>
    </w:p>
    <w:p w:rsidR="00812E2F" w:rsidRPr="007A2258" w:rsidRDefault="00812E2F" w:rsidP="007A2258">
      <w:pPr>
        <w:pStyle w:val="ListParagraph"/>
        <w:numPr>
          <w:ilvl w:val="1"/>
          <w:numId w:val="23"/>
        </w:numPr>
        <w:spacing w:before="0" w:after="0"/>
      </w:pPr>
      <w:r w:rsidRPr="007A2258">
        <w:t>The following safety issues were reported for the observational studies:</w:t>
      </w:r>
    </w:p>
    <w:p w:rsidR="00812E2F" w:rsidRPr="007A2258" w:rsidRDefault="00812E2F" w:rsidP="007A2258">
      <w:pPr>
        <w:pStyle w:val="ListParagraph"/>
        <w:numPr>
          <w:ilvl w:val="0"/>
          <w:numId w:val="14"/>
        </w:numPr>
        <w:spacing w:before="0" w:after="0"/>
        <w:jc w:val="both"/>
      </w:pPr>
      <w:r w:rsidRPr="007A2258">
        <w:t>IPrEx OLE: Seven people had discontinued PrEP for more than two months and subsequently seroconverted:</w:t>
      </w:r>
    </w:p>
    <w:p w:rsidR="00812E2F" w:rsidRPr="007A2258" w:rsidRDefault="00812E2F" w:rsidP="007A2258">
      <w:pPr>
        <w:pStyle w:val="ListParagraph"/>
        <w:numPr>
          <w:ilvl w:val="0"/>
          <w:numId w:val="12"/>
        </w:numPr>
        <w:spacing w:before="0" w:after="0"/>
        <w:jc w:val="both"/>
      </w:pPr>
      <w:r w:rsidRPr="007A2258">
        <w:t xml:space="preserve">four of these were due to side-effects (separately: 1. hypersensitivity; 2. gastritis; 3. dizziness, nausea and flatulence; 4. weight-gain). </w:t>
      </w:r>
    </w:p>
    <w:p w:rsidR="00A04D16" w:rsidRPr="007A2258" w:rsidRDefault="00812E2F" w:rsidP="007A2258">
      <w:pPr>
        <w:pStyle w:val="ListParagraph"/>
        <w:numPr>
          <w:ilvl w:val="0"/>
          <w:numId w:val="13"/>
        </w:numPr>
        <w:spacing w:before="0" w:after="0"/>
        <w:jc w:val="both"/>
      </w:pPr>
      <w:r w:rsidRPr="007A2258">
        <w:t>three were due to other reasons with loss to follow-up in one participant and the remaining two due to participant preference.</w:t>
      </w:r>
    </w:p>
    <w:p w:rsidR="00812E2F" w:rsidRPr="007A2258" w:rsidRDefault="00812E2F" w:rsidP="007A2258">
      <w:pPr>
        <w:pStyle w:val="ListParagraph"/>
        <w:numPr>
          <w:ilvl w:val="0"/>
          <w:numId w:val="14"/>
        </w:numPr>
        <w:spacing w:before="0" w:after="0"/>
        <w:jc w:val="both"/>
      </w:pPr>
      <w:r w:rsidRPr="007A2258">
        <w:t xml:space="preserve">The Demo Project: Discontinuation in three participants owing to elevated creatinine levels. However, therapy was restarted in </w:t>
      </w:r>
      <w:r w:rsidR="008477BA" w:rsidRPr="007A2258">
        <w:t xml:space="preserve">these three </w:t>
      </w:r>
      <w:r w:rsidRPr="007A2258">
        <w:t>participants before the end of the study.</w:t>
      </w:r>
    </w:p>
    <w:p w:rsidR="00812E2F" w:rsidRPr="007A2258" w:rsidRDefault="00812E2F" w:rsidP="007A2258">
      <w:pPr>
        <w:pStyle w:val="ListParagraph"/>
        <w:numPr>
          <w:ilvl w:val="0"/>
          <w:numId w:val="14"/>
        </w:numPr>
        <w:spacing w:before="0" w:after="0"/>
        <w:jc w:val="both"/>
      </w:pPr>
      <w:r w:rsidRPr="007A2258">
        <w:t xml:space="preserve">PrePARE YMSM: Discontinuation in 22 participants of 200 enrolled (median time on PrEP 0.35 years) due to personal choice or side-effects including gastrointestinal discomfort. There was a significant decline in hip and whole body BMD Z score, but not for spine between baseline and Week 24; between Week 24 and 48, hip BMD Z score continued to significantly decline but not for spine and whole body. </w:t>
      </w:r>
    </w:p>
    <w:p w:rsidR="00812E2F" w:rsidRPr="007A2258" w:rsidRDefault="00812E2F" w:rsidP="007A2258">
      <w:pPr>
        <w:pStyle w:val="ListParagraph"/>
        <w:numPr>
          <w:ilvl w:val="0"/>
          <w:numId w:val="14"/>
        </w:numPr>
        <w:spacing w:before="0" w:after="0"/>
        <w:jc w:val="both"/>
      </w:pPr>
      <w:r w:rsidRPr="007A2258">
        <w:t>VicPrEP: Two serious adverse events</w:t>
      </w:r>
      <w:r w:rsidR="000749A6" w:rsidRPr="007A2258">
        <w:t xml:space="preserve"> were reported up to month 6: 1.</w:t>
      </w:r>
      <w:r w:rsidRPr="007A2258">
        <w:t xml:space="preserve"> death due to suicide; and 2</w:t>
      </w:r>
      <w:r w:rsidR="000749A6" w:rsidRPr="007A2258">
        <w:t>.</w:t>
      </w:r>
      <w:r w:rsidRPr="007A2258">
        <w:t xml:space="preserve"> HIV seroconversion after study entry but prior to commencing PrEP.</w:t>
      </w:r>
    </w:p>
    <w:p w:rsidR="000522E6" w:rsidRPr="007A2258" w:rsidRDefault="000522E6" w:rsidP="007A2258">
      <w:pPr>
        <w:pStyle w:val="ListParagraph"/>
        <w:numPr>
          <w:ilvl w:val="1"/>
          <w:numId w:val="23"/>
        </w:numPr>
        <w:jc w:val="both"/>
      </w:pPr>
      <w:r w:rsidRPr="007A2258">
        <w:t xml:space="preserve">The resubmission presented STI rates for IPERGAY. However, these data were non-comparative, as they were reported for the overall study populations and not by treatment arm. Within IPERGAY, 81 participants (20%) acquired chlamydia infections during follow-up, 88 (22%) gonorrhoea, 39 (10%) syphilis, and 5 (1%) hepatitis C virus. It </w:t>
      </w:r>
      <w:r w:rsidR="00B805B1" w:rsidRPr="007A2258">
        <w:t xml:space="preserve">was </w:t>
      </w:r>
      <w:r w:rsidRPr="007A2258">
        <w:t>not reported if these events occurred in separate individuals, but these data suggest the incidence of any STI could be as high as 53%. At baseline, 28% of participants had been diagnosed with an STI at screening.</w:t>
      </w:r>
    </w:p>
    <w:p w:rsidR="000522E6" w:rsidRPr="007A2258" w:rsidRDefault="000522E6" w:rsidP="007A2258">
      <w:pPr>
        <w:pStyle w:val="ListParagraph"/>
        <w:numPr>
          <w:ilvl w:val="1"/>
          <w:numId w:val="23"/>
        </w:numPr>
        <w:spacing w:before="0" w:after="0"/>
        <w:jc w:val="both"/>
      </w:pPr>
      <w:r w:rsidRPr="007A2258">
        <w:t>STI rates in the observational studies were:</w:t>
      </w:r>
    </w:p>
    <w:p w:rsidR="000522E6" w:rsidRPr="007A2258" w:rsidRDefault="000522E6" w:rsidP="007A2258">
      <w:pPr>
        <w:pStyle w:val="ListParagraph"/>
        <w:numPr>
          <w:ilvl w:val="0"/>
          <w:numId w:val="15"/>
        </w:numPr>
        <w:spacing w:before="0" w:after="0"/>
        <w:jc w:val="both"/>
      </w:pPr>
      <w:r w:rsidRPr="007A2258">
        <w:t>iPrEX OLE: Syphilis incidence was similar among PrEP recipients and non-recipients (7·2 infections per 100 patient-years vs 5·4 infections per 100 patient-years, HR 1·35, 95 CI 0·83–2·19).</w:t>
      </w:r>
    </w:p>
    <w:p w:rsidR="000522E6" w:rsidRPr="007A2258" w:rsidRDefault="000522E6" w:rsidP="007A2258">
      <w:pPr>
        <w:pStyle w:val="ListParagraph"/>
        <w:numPr>
          <w:ilvl w:val="0"/>
          <w:numId w:val="15"/>
        </w:numPr>
        <w:spacing w:before="0" w:after="0"/>
        <w:jc w:val="both"/>
      </w:pPr>
      <w:r w:rsidRPr="007A2258">
        <w:t xml:space="preserve">The Demo Project: Overall, 26% of participants had early syphilis, gonorrhoea, or chlamydia at baseline, and 51% were diagnosed with ≥1 STI during follow-up. </w:t>
      </w:r>
    </w:p>
    <w:p w:rsidR="000522E6" w:rsidRPr="007A2258" w:rsidRDefault="000522E6" w:rsidP="007A2258">
      <w:pPr>
        <w:pStyle w:val="ListParagraph"/>
        <w:numPr>
          <w:ilvl w:val="0"/>
          <w:numId w:val="15"/>
        </w:numPr>
        <w:spacing w:before="0" w:after="0"/>
        <w:jc w:val="both"/>
      </w:pPr>
      <w:r w:rsidRPr="007A2258">
        <w:t>Kaiser Permanente SF: After 12 months of PrEP use, 50% of PrEP users were diagnosed with any STI (95% CI, 43%–56%), 33% with a rectal STI (95% CI, 27%– 39%), 33% with chlamydia (95% CI, 27%–39%), 28% with gonorrhoea (95% CI, 23%–34%), and 5.5% with syphilis (95% CI, 3.3%–9.1%). Baseline STI rates were not reported in Kaiser Permanente SF, therefore comparisons cannot be made.</w:t>
      </w:r>
    </w:p>
    <w:p w:rsidR="000522E6" w:rsidRPr="007A2258" w:rsidRDefault="000522E6" w:rsidP="007A2258">
      <w:pPr>
        <w:pStyle w:val="ListParagraph"/>
        <w:numPr>
          <w:ilvl w:val="0"/>
          <w:numId w:val="15"/>
        </w:numPr>
        <w:spacing w:before="0" w:after="0"/>
        <w:jc w:val="both"/>
      </w:pPr>
      <w:r w:rsidRPr="007A2258">
        <w:t>The PrEPare 2 YMSM study reported 22% of participants with an STI at baseline. The overall STI incidence rate on study was 66.44</w:t>
      </w:r>
      <w:r w:rsidR="009E6738" w:rsidRPr="007A2258">
        <w:t>/100 person-years</w:t>
      </w:r>
      <w:r w:rsidRPr="007A2258">
        <w:t xml:space="preserve"> (95% confidence interval: 50.53</w:t>
      </w:r>
      <w:r w:rsidR="009E6738" w:rsidRPr="007A2258">
        <w:t>/100 person-years</w:t>
      </w:r>
      <w:r w:rsidRPr="007A2258">
        <w:t xml:space="preserve"> to 82.35</w:t>
      </w:r>
      <w:r w:rsidR="009E6738" w:rsidRPr="007A2258">
        <w:t>/100 person-years</w:t>
      </w:r>
      <w:r w:rsidRPr="007A2258">
        <w:t xml:space="preserve">), with </w:t>
      </w:r>
      <w:r w:rsidR="000D2E00" w:rsidRPr="007A2258">
        <w:t xml:space="preserve">higher </w:t>
      </w:r>
      <w:r w:rsidRPr="007A2258">
        <w:t>STI incidence in the first 24 weeks of study (76.48/100 person-years) than the latter half of the study (60.99/100 person-years).</w:t>
      </w:r>
    </w:p>
    <w:p w:rsidR="000522E6" w:rsidRPr="007A2258" w:rsidRDefault="000522E6" w:rsidP="007A2258">
      <w:pPr>
        <w:pStyle w:val="ListParagraph"/>
        <w:numPr>
          <w:ilvl w:val="0"/>
          <w:numId w:val="15"/>
        </w:numPr>
        <w:spacing w:before="0" w:after="0"/>
        <w:jc w:val="both"/>
      </w:pPr>
      <w:r w:rsidRPr="007A2258">
        <w:t xml:space="preserve">VicPrEP reported that at baseline 12% (12 people out of 99) had 13 STIs, and at month 6, 24% (23 people out of 91) had 26 STIs. </w:t>
      </w:r>
    </w:p>
    <w:p w:rsidR="00C317F3" w:rsidRPr="007A2258" w:rsidRDefault="000522E6" w:rsidP="007A2258">
      <w:pPr>
        <w:pStyle w:val="ListParagraph"/>
        <w:numPr>
          <w:ilvl w:val="1"/>
          <w:numId w:val="23"/>
        </w:numPr>
        <w:jc w:val="both"/>
      </w:pPr>
      <w:r w:rsidRPr="007A2258">
        <w:t>These data suggest that in all studies, there was an increase in the observed incidence of STIs, in some to at least 50% of PrEP users (reported in The Demo Project, KPSF and PrEPare 2 YMSM studies, and estimated for IPERGAY). This high rate is tempered to the extent that a pre</w:t>
      </w:r>
      <w:r w:rsidR="00D17DCD" w:rsidRPr="007A2258">
        <w:t>-</w:t>
      </w:r>
      <w:r w:rsidRPr="007A2258">
        <w:t>existing STI diagnosis was a criterion for PrEP eligibility</w:t>
      </w:r>
      <w:r w:rsidR="0012680B" w:rsidRPr="007A2258">
        <w:t xml:space="preserve"> for some of the studies</w:t>
      </w:r>
      <w:r w:rsidRPr="007A2258">
        <w:t xml:space="preserve">. Nonetheless, evidence from three of the studies (IPERGAY, VicPrEP and The Demo Project) suggests that there is a doubling of baseline STI risk. Given the </w:t>
      </w:r>
      <w:r w:rsidR="008E3B1E" w:rsidRPr="007A2258">
        <w:t xml:space="preserve">potentially large </w:t>
      </w:r>
      <w:r w:rsidRPr="007A2258">
        <w:t xml:space="preserve">pool of individuals </w:t>
      </w:r>
      <w:r w:rsidR="003531F6" w:rsidRPr="007A2258">
        <w:t xml:space="preserve">who might use </w:t>
      </w:r>
      <w:r w:rsidRPr="007A2258">
        <w:t xml:space="preserve">PrEP this represents a substantial risk to individual health, public health and increase in health care expenditure. </w:t>
      </w:r>
    </w:p>
    <w:p w:rsidR="00AC2B4A" w:rsidRDefault="00AC2B4A" w:rsidP="007A2258">
      <w:pPr>
        <w:pStyle w:val="ListParagraph"/>
        <w:numPr>
          <w:ilvl w:val="1"/>
          <w:numId w:val="23"/>
        </w:numPr>
        <w:jc w:val="both"/>
      </w:pPr>
      <w:r w:rsidRPr="007A2258">
        <w:t xml:space="preserve">The ESC noted the reported increase in STIs in the clinical studies and considered that </w:t>
      </w:r>
      <w:r w:rsidR="006C4FDF" w:rsidRPr="007A2258">
        <w:t xml:space="preserve">an increase </w:t>
      </w:r>
      <w:r w:rsidRPr="007A2258">
        <w:t>may be observed in clinical practice</w:t>
      </w:r>
      <w:r w:rsidR="00BD15F5" w:rsidRPr="007A2258">
        <w:t xml:space="preserve"> with the use of PrEP</w:t>
      </w:r>
      <w:r w:rsidRPr="007A2258">
        <w:t xml:space="preserve">. The ESC considered that the monitoring and management of other STIs was an important consideration for </w:t>
      </w:r>
      <w:r w:rsidR="006C4FDF" w:rsidRPr="007A2258">
        <w:t>a</w:t>
      </w:r>
      <w:r w:rsidRPr="007A2258">
        <w:t xml:space="preserve"> PrEP Prescriber Program, and noted that the </w:t>
      </w:r>
      <w:r w:rsidR="00F872E2" w:rsidRPr="007A2258">
        <w:t>requirement for</w:t>
      </w:r>
      <w:r w:rsidRPr="007A2258">
        <w:t xml:space="preserve"> 3-monthly visits for access to PrEP provides an opportunity for regular monitoring of overall sexual health.</w:t>
      </w:r>
    </w:p>
    <w:p w:rsidR="00BE567C" w:rsidRPr="007A2258" w:rsidRDefault="006746C4" w:rsidP="007A2258">
      <w:pPr>
        <w:pStyle w:val="ListParagraph"/>
        <w:numPr>
          <w:ilvl w:val="1"/>
          <w:numId w:val="23"/>
        </w:numPr>
        <w:jc w:val="both"/>
      </w:pPr>
      <w:r>
        <w:t>The PBAC noted the increase in the reported cases of STIs in the clinical studies</w:t>
      </w:r>
      <w:r w:rsidR="00FE3E96">
        <w:t xml:space="preserve"> and</w:t>
      </w:r>
      <w:r>
        <w:t xml:space="preserve"> considered in clinical practice the requirement of</w:t>
      </w:r>
      <w:r w:rsidR="00B022F6">
        <w:t xml:space="preserve"> a</w:t>
      </w:r>
      <w:r>
        <w:t xml:space="preserve"> medical practitioner visit</w:t>
      </w:r>
      <w:r w:rsidR="00B022F6">
        <w:t xml:space="preserve"> every 3 months</w:t>
      </w:r>
      <w:r>
        <w:t xml:space="preserve"> to obtain </w:t>
      </w:r>
      <w:r w:rsidR="00B022F6">
        <w:t xml:space="preserve">a </w:t>
      </w:r>
      <w:r>
        <w:t>prescription for TDF/FTC is likely to increase monitoring for STIs and result in earlier diagnosis.</w:t>
      </w:r>
    </w:p>
    <w:p w:rsidR="00E75940" w:rsidRPr="007A2258" w:rsidRDefault="00E75940" w:rsidP="007A2258">
      <w:pPr>
        <w:pStyle w:val="ListParagraph"/>
        <w:numPr>
          <w:ilvl w:val="1"/>
          <w:numId w:val="23"/>
        </w:numPr>
        <w:jc w:val="both"/>
      </w:pPr>
      <w:r w:rsidRPr="007A2258">
        <w:t>The PBAC</w:t>
      </w:r>
      <w:r w:rsidR="00CD08E7">
        <w:t xml:space="preserve"> previously</w:t>
      </w:r>
      <w:r w:rsidRPr="007A2258">
        <w:t xml:space="preserve"> noted that the ‘Long-term safety of Truvada as PrEP is unknown. Concerns include the long term impact on bone loss and renal function’, (p.14, 6.06 Truvada, emtricitabine 200mg/tenofovir disoproxil fumarate 300mg, PSD, July 2016</w:t>
      </w:r>
      <w:r w:rsidR="003C3674" w:rsidRPr="007A2258">
        <w:t>)</w:t>
      </w:r>
      <w:r w:rsidRPr="007A2258">
        <w:t xml:space="preserve">. </w:t>
      </w:r>
      <w:r w:rsidR="00CD08E7" w:rsidRPr="007A2258">
        <w:t>Th</w:t>
      </w:r>
      <w:r w:rsidR="00CD08E7">
        <w:t>e PBAC noted this</w:t>
      </w:r>
      <w:r w:rsidR="00CD08E7" w:rsidRPr="007A2258">
        <w:t xml:space="preserve"> </w:t>
      </w:r>
      <w:r w:rsidR="00F525D3" w:rsidRPr="007A2258">
        <w:t xml:space="preserve">was not addressed in the resubmission. </w:t>
      </w:r>
    </w:p>
    <w:p w:rsidR="001E2528" w:rsidRPr="007A2258" w:rsidRDefault="00681969" w:rsidP="007A2258">
      <w:pPr>
        <w:pStyle w:val="ListParagraph"/>
        <w:numPr>
          <w:ilvl w:val="1"/>
          <w:numId w:val="23"/>
        </w:numPr>
        <w:jc w:val="both"/>
      </w:pPr>
      <w:r w:rsidRPr="007A2258">
        <w:t>The ESC noted that flare of hepatitis B infection</w:t>
      </w:r>
      <w:r w:rsidR="004624B4" w:rsidRPr="007A2258">
        <w:t xml:space="preserve"> in individuals using TDF/FTC as PrEP</w:t>
      </w:r>
      <w:r w:rsidRPr="007A2258">
        <w:t xml:space="preserve"> is a matter of concern and was not represented in the clinical trials as it was an exclusion </w:t>
      </w:r>
      <w:r w:rsidR="00FE39C4" w:rsidRPr="007A2258">
        <w:t>criterion</w:t>
      </w:r>
      <w:r w:rsidRPr="007A2258">
        <w:t xml:space="preserve"> at recruitment. The ESC considered that monitoring for hepatitis B was an important factor in determining eligibility for PrEP as disease flare was likely to have a significant impact on compliance for some patients.</w:t>
      </w:r>
    </w:p>
    <w:p w:rsidR="00681969" w:rsidRPr="007A2258" w:rsidRDefault="00681969" w:rsidP="007A2258">
      <w:pPr>
        <w:pStyle w:val="ListParagraph"/>
        <w:numPr>
          <w:ilvl w:val="1"/>
          <w:numId w:val="23"/>
        </w:numPr>
        <w:jc w:val="both"/>
      </w:pPr>
      <w:r w:rsidRPr="007A2258">
        <w:t xml:space="preserve">The ESC considered that low adherence to PrEP could lead to an increased level of resistance to </w:t>
      </w:r>
      <w:r w:rsidR="00FE39C4" w:rsidRPr="007A2258">
        <w:t>TDF/FTC</w:t>
      </w:r>
      <w:r w:rsidRPr="007A2258">
        <w:t xml:space="preserve">, which forms the backbone of many anti-retroviral therapy regimens in HIV infection, and </w:t>
      </w:r>
      <w:r w:rsidR="00FE39C4" w:rsidRPr="007A2258">
        <w:t>considered</w:t>
      </w:r>
      <w:r w:rsidRPr="007A2258">
        <w:t xml:space="preserve"> this risk would need to be managed in the context of any PrEP program.</w:t>
      </w:r>
    </w:p>
    <w:p w:rsidR="00375BC2" w:rsidRPr="007A2258" w:rsidRDefault="00624315" w:rsidP="00803EBD">
      <w:pPr>
        <w:pStyle w:val="Heading2"/>
      </w:pPr>
      <w:bookmarkStart w:id="18" w:name="_Toc482191218"/>
      <w:bookmarkStart w:id="19" w:name="_Toc413139281"/>
      <w:r w:rsidRPr="007A2258">
        <w:t>Benefits and harms</w:t>
      </w:r>
      <w:bookmarkEnd w:id="18"/>
    </w:p>
    <w:p w:rsidR="00811B95" w:rsidRPr="007A2258" w:rsidRDefault="00811B95" w:rsidP="007A2258">
      <w:pPr>
        <w:pStyle w:val="ListParagraph"/>
        <w:numPr>
          <w:ilvl w:val="1"/>
          <w:numId w:val="23"/>
        </w:numPr>
        <w:spacing w:before="0" w:after="0"/>
        <w:jc w:val="both"/>
      </w:pPr>
      <w:r w:rsidRPr="007A2258">
        <w:t>There was insufficient information</w:t>
      </w:r>
      <w:r w:rsidR="003047D5" w:rsidRPr="007A2258">
        <w:t xml:space="preserve"> available on the use of TDF/FTC as PrEP</w:t>
      </w:r>
      <w:r w:rsidRPr="007A2258">
        <w:t xml:space="preserve"> to determine </w:t>
      </w:r>
      <w:r w:rsidR="003047D5" w:rsidRPr="007A2258">
        <w:t>its</w:t>
      </w:r>
      <w:r w:rsidRPr="007A2258">
        <w:t xml:space="preserve"> benefits and harm</w:t>
      </w:r>
      <w:r w:rsidR="003047D5" w:rsidRPr="007A2258">
        <w:t>s</w:t>
      </w:r>
      <w:r w:rsidRPr="007A2258">
        <w:t xml:space="preserve"> in </w:t>
      </w:r>
      <w:r w:rsidR="003047D5" w:rsidRPr="007A2258">
        <w:t xml:space="preserve">the prevention of </w:t>
      </w:r>
      <w:r w:rsidRPr="007A2258">
        <w:t xml:space="preserve">HIV infection. This is because </w:t>
      </w:r>
      <w:r w:rsidR="003047D5" w:rsidRPr="007A2258">
        <w:t xml:space="preserve">the </w:t>
      </w:r>
      <w:r w:rsidRPr="007A2258">
        <w:t xml:space="preserve">efficacy and safety </w:t>
      </w:r>
      <w:r w:rsidR="003047D5" w:rsidRPr="007A2258">
        <w:t xml:space="preserve">of TDF/FTC as prevention </w:t>
      </w:r>
      <w:r w:rsidRPr="007A2258">
        <w:t>are dependent on adherence and the treatment regimens (daily vs. intermittent regimens)</w:t>
      </w:r>
      <w:r w:rsidR="003047D5" w:rsidRPr="007A2258">
        <w:t xml:space="preserve">. Adherence, and the treatment regimens used varied across the multiple studies presented to date for TDF/FTC. Moreover, </w:t>
      </w:r>
      <w:r w:rsidRPr="007A2258">
        <w:t>it is unclear how TDF/FTC (PrEP) would be used in Australian clinical practice</w:t>
      </w:r>
      <w:r w:rsidR="003047D5" w:rsidRPr="007A2258">
        <w:t xml:space="preserve"> and how such use might translate into HIV cases avoided or the associated harms of TDF/FTC as PrEP</w:t>
      </w:r>
      <w:r w:rsidRPr="007A2258">
        <w:t>.</w:t>
      </w:r>
    </w:p>
    <w:p w:rsidR="00C317F3" w:rsidRPr="007A2258" w:rsidRDefault="00C317F3" w:rsidP="00750B5A">
      <w:pPr>
        <w:pStyle w:val="Heading2"/>
      </w:pPr>
      <w:bookmarkStart w:id="20" w:name="_Toc482191219"/>
      <w:r w:rsidRPr="007A2258">
        <w:t>Clinical claim</w:t>
      </w:r>
      <w:bookmarkEnd w:id="19"/>
      <w:bookmarkEnd w:id="20"/>
    </w:p>
    <w:p w:rsidR="0089603C" w:rsidRPr="007A2258" w:rsidRDefault="0089603C" w:rsidP="007A2258">
      <w:pPr>
        <w:pStyle w:val="ListParagraph"/>
        <w:numPr>
          <w:ilvl w:val="1"/>
          <w:numId w:val="23"/>
        </w:numPr>
        <w:jc w:val="both"/>
      </w:pPr>
      <w:r w:rsidRPr="007A2258">
        <w:t xml:space="preserve">The resubmission described TDF/FTC plus SOC as superior in terms of comparative effectiveness and non-inferior in terms of comparative safety over SOC. This </w:t>
      </w:r>
      <w:r w:rsidR="00375BC2" w:rsidRPr="007A2258">
        <w:t xml:space="preserve">was </w:t>
      </w:r>
      <w:r w:rsidRPr="007A2258">
        <w:t>unchanged from the July 2016 submission.</w:t>
      </w:r>
    </w:p>
    <w:p w:rsidR="007A2258" w:rsidRPr="007A2258" w:rsidRDefault="007A2258" w:rsidP="007A2258">
      <w:pPr>
        <w:pStyle w:val="ListParagraph"/>
        <w:spacing w:before="0" w:after="0"/>
        <w:ind w:left="1418"/>
        <w:jc w:val="both"/>
      </w:pPr>
    </w:p>
    <w:p w:rsidR="007A2258" w:rsidRPr="006C1F7C" w:rsidRDefault="007A2258" w:rsidP="007A2258">
      <w:pPr>
        <w:pStyle w:val="ListParagraph"/>
        <w:numPr>
          <w:ilvl w:val="1"/>
          <w:numId w:val="23"/>
        </w:numPr>
        <w:spacing w:before="0" w:after="0"/>
        <w:jc w:val="both"/>
      </w:pPr>
      <w:r w:rsidRPr="006C1F7C">
        <w:t>The PBAC considered that the claim of superior comparative effectiveness was reasonable.</w:t>
      </w:r>
    </w:p>
    <w:p w:rsidR="007A2258" w:rsidRPr="006C1F7C" w:rsidRDefault="007A2258" w:rsidP="007A2258">
      <w:pPr>
        <w:pStyle w:val="ListParagraph"/>
        <w:spacing w:before="0" w:after="0"/>
        <w:jc w:val="both"/>
      </w:pPr>
    </w:p>
    <w:p w:rsidR="007A2258" w:rsidRPr="006C1F7C" w:rsidRDefault="007A2258" w:rsidP="007A2258">
      <w:pPr>
        <w:pStyle w:val="ListParagraph"/>
        <w:numPr>
          <w:ilvl w:val="1"/>
          <w:numId w:val="23"/>
        </w:numPr>
        <w:spacing w:before="0" w:after="0"/>
        <w:jc w:val="both"/>
      </w:pPr>
      <w:r w:rsidRPr="006C1F7C">
        <w:t xml:space="preserve">The PBAC </w:t>
      </w:r>
      <w:r w:rsidR="00CD08E7" w:rsidRPr="006C1F7C">
        <w:t>reaffirmed its previous advice that it considered the claim of non-inferior comparative safety was not strongly supported by the available data, however giv</w:t>
      </w:r>
      <w:r w:rsidR="002B3E0A">
        <w:t>en the duration of experience with</w:t>
      </w:r>
      <w:r w:rsidR="00CD08E7" w:rsidRPr="006C1F7C">
        <w:t xml:space="preserve"> </w:t>
      </w:r>
      <w:r w:rsidR="002B3E0A">
        <w:t>TDF/FTC</w:t>
      </w:r>
      <w:r w:rsidR="00CD08E7" w:rsidRPr="006C1F7C">
        <w:t xml:space="preserve"> for the treatment of HIV, the claim of non-inferior comparative safety was probably reasonable. The PBAC </w:t>
      </w:r>
      <w:r w:rsidR="004B7C05" w:rsidRPr="006C1F7C">
        <w:t>noted there</w:t>
      </w:r>
      <w:r w:rsidR="00CD08E7" w:rsidRPr="006C1F7C">
        <w:t xml:space="preserve"> was an increase in adverse events over SOC</w:t>
      </w:r>
      <w:r w:rsidR="002B3E0A">
        <w:t xml:space="preserve"> in the IPERGAY trial</w:t>
      </w:r>
      <w:r w:rsidR="00CD08E7" w:rsidRPr="006C1F7C">
        <w:t xml:space="preserve">, </w:t>
      </w:r>
      <w:r w:rsidR="002B3E0A">
        <w:t>including</w:t>
      </w:r>
      <w:r w:rsidR="00CD08E7" w:rsidRPr="006C1F7C">
        <w:t xml:space="preserve"> gastrointestinal </w:t>
      </w:r>
      <w:r w:rsidR="002B3E0A">
        <w:t>events</w:t>
      </w:r>
      <w:r w:rsidR="00CD08E7" w:rsidRPr="006C1F7C">
        <w:t xml:space="preserve"> and increased serum creatinine levels.</w:t>
      </w:r>
      <w:r w:rsidR="002D6105">
        <w:t xml:space="preserve"> The PBAC also considered long-term use of TDF/FTC may be associated with bone loss and reduced renal function.</w:t>
      </w:r>
    </w:p>
    <w:p w:rsidR="00C317F3" w:rsidRPr="007A2258" w:rsidRDefault="00C317F3" w:rsidP="00750B5A">
      <w:pPr>
        <w:pStyle w:val="Heading2"/>
      </w:pPr>
      <w:bookmarkStart w:id="21" w:name="_Toc413139282"/>
      <w:bookmarkStart w:id="22" w:name="_Toc482191220"/>
      <w:r w:rsidRPr="007A2258">
        <w:t>Economic analysis</w:t>
      </w:r>
      <w:bookmarkEnd w:id="21"/>
      <w:bookmarkEnd w:id="22"/>
    </w:p>
    <w:p w:rsidR="0089603C" w:rsidRPr="007A2258" w:rsidRDefault="0089603C" w:rsidP="007A2258">
      <w:pPr>
        <w:pStyle w:val="ListParagraph"/>
        <w:numPr>
          <w:ilvl w:val="1"/>
          <w:numId w:val="23"/>
        </w:numPr>
        <w:jc w:val="both"/>
      </w:pPr>
      <w:r w:rsidRPr="007A2258">
        <w:t xml:space="preserve">The resubmission presented the population dynamic transmission model from the July 2016 submission with modifications. The static cohort Markov model </w:t>
      </w:r>
      <w:r w:rsidR="0032768E" w:rsidRPr="007A2258">
        <w:t xml:space="preserve">presented in the July 2016 submission </w:t>
      </w:r>
      <w:r w:rsidRPr="007A2258">
        <w:t xml:space="preserve">was not </w:t>
      </w:r>
      <w:r w:rsidR="0032768E" w:rsidRPr="007A2258">
        <w:t>re</w:t>
      </w:r>
      <w:r w:rsidRPr="007A2258">
        <w:t xml:space="preserve">presented. </w:t>
      </w:r>
    </w:p>
    <w:p w:rsidR="00EE20D2" w:rsidRDefault="00EE20D2">
      <w:pPr>
        <w:spacing w:before="0" w:line="259" w:lineRule="auto"/>
        <w:rPr>
          <w:rFonts w:ascii="Arial Narrow" w:hAnsi="Arial Narrow"/>
          <w:b/>
          <w:iCs/>
          <w:sz w:val="20"/>
          <w:szCs w:val="18"/>
        </w:rPr>
      </w:pPr>
      <w:r>
        <w:br w:type="page"/>
      </w:r>
    </w:p>
    <w:p w:rsidR="00904455" w:rsidRDefault="00904455" w:rsidP="00904455">
      <w:pPr>
        <w:pStyle w:val="Caption"/>
      </w:pPr>
      <w:r>
        <w:t xml:space="preserve">Table </w:t>
      </w:r>
      <w:r w:rsidR="004F50B1">
        <w:rPr>
          <w:noProof/>
        </w:rPr>
        <w:t>12</w:t>
      </w:r>
      <w:r w:rsidRPr="008E40D3">
        <w:t>: Summary of model structure and rationale</w:t>
      </w: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80"/>
        <w:gridCol w:w="4333"/>
        <w:gridCol w:w="3169"/>
      </w:tblGrid>
      <w:tr w:rsidR="008A2E2C" w:rsidRPr="007A2258" w:rsidTr="00CB0977">
        <w:trPr>
          <w:trHeight w:val="240"/>
          <w:tblHeader/>
        </w:trPr>
        <w:tc>
          <w:tcPr>
            <w:tcW w:w="1580" w:type="dxa"/>
            <w:shd w:val="clear" w:color="auto" w:fill="auto"/>
          </w:tcPr>
          <w:p w:rsidR="007C6471" w:rsidRPr="007A2258" w:rsidRDefault="007C6471" w:rsidP="007C6471">
            <w:pPr>
              <w:keepNext/>
              <w:widowControl w:val="0"/>
              <w:spacing w:before="0" w:after="0"/>
              <w:rPr>
                <w:rFonts w:ascii="Arial Narrow" w:eastAsia="Times New Roman" w:hAnsi="Arial Narrow" w:cs="Arial"/>
                <w:b/>
                <w:snapToGrid w:val="0"/>
                <w:sz w:val="20"/>
                <w:szCs w:val="20"/>
              </w:rPr>
            </w:pPr>
          </w:p>
        </w:tc>
        <w:tc>
          <w:tcPr>
            <w:tcW w:w="4333" w:type="dxa"/>
            <w:shd w:val="clear" w:color="auto" w:fill="auto"/>
          </w:tcPr>
          <w:p w:rsidR="007C6471" w:rsidRPr="007A2258" w:rsidRDefault="003B1222" w:rsidP="007C6471">
            <w:pPr>
              <w:keepNext/>
              <w:widowControl w:val="0"/>
              <w:spacing w:before="0" w:after="0"/>
              <w:rPr>
                <w:rFonts w:ascii="Arial Narrow" w:eastAsia="Times New Roman" w:hAnsi="Arial Narrow" w:cs="Arial"/>
                <w:b/>
                <w:snapToGrid w:val="0"/>
                <w:sz w:val="20"/>
                <w:szCs w:val="20"/>
              </w:rPr>
            </w:pPr>
            <w:r w:rsidRPr="007A2258">
              <w:rPr>
                <w:rFonts w:ascii="Arial Narrow" w:eastAsia="Times New Roman" w:hAnsi="Arial Narrow" w:cs="Arial"/>
                <w:b/>
                <w:snapToGrid w:val="0"/>
                <w:sz w:val="20"/>
                <w:szCs w:val="20"/>
              </w:rPr>
              <w:t>July 2016 submission, model 2</w:t>
            </w:r>
          </w:p>
        </w:tc>
        <w:tc>
          <w:tcPr>
            <w:tcW w:w="3169" w:type="dxa"/>
          </w:tcPr>
          <w:p w:rsidR="007C6471" w:rsidRPr="007A2258" w:rsidRDefault="007C6471" w:rsidP="007C6471">
            <w:pPr>
              <w:keepNext/>
              <w:widowControl w:val="0"/>
              <w:spacing w:before="0" w:after="0"/>
              <w:rPr>
                <w:rFonts w:ascii="Arial Narrow" w:eastAsia="Times New Roman" w:hAnsi="Arial Narrow" w:cs="Arial"/>
                <w:b/>
                <w:snapToGrid w:val="0"/>
                <w:sz w:val="20"/>
                <w:szCs w:val="20"/>
              </w:rPr>
            </w:pPr>
            <w:r w:rsidRPr="007A2258">
              <w:rPr>
                <w:rFonts w:ascii="Arial Narrow" w:eastAsia="Times New Roman" w:hAnsi="Arial Narrow" w:cs="Arial"/>
                <w:b/>
                <w:snapToGrid w:val="0"/>
                <w:sz w:val="20"/>
                <w:szCs w:val="20"/>
              </w:rPr>
              <w:t xml:space="preserve">Resubmission </w:t>
            </w:r>
          </w:p>
        </w:tc>
      </w:tr>
      <w:tr w:rsidR="008A2E2C" w:rsidRPr="007A2258" w:rsidTr="00CB0977">
        <w:trPr>
          <w:trHeight w:val="240"/>
        </w:trPr>
        <w:tc>
          <w:tcPr>
            <w:tcW w:w="1580" w:type="dxa"/>
            <w:shd w:val="clear" w:color="auto" w:fill="auto"/>
          </w:tcPr>
          <w:p w:rsidR="007C6471" w:rsidRPr="007A2258" w:rsidRDefault="007C6471" w:rsidP="007C6471">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Time horizon</w:t>
            </w:r>
          </w:p>
        </w:tc>
        <w:tc>
          <w:tcPr>
            <w:tcW w:w="4333" w:type="dxa"/>
            <w:shd w:val="clear" w:color="auto" w:fill="auto"/>
          </w:tcPr>
          <w:p w:rsidR="007C6471" w:rsidRPr="007A2258" w:rsidRDefault="007C6471" w:rsidP="007C6471">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20 years in the model base case versus median ~2 years of use in the trials.</w:t>
            </w:r>
          </w:p>
        </w:tc>
        <w:tc>
          <w:tcPr>
            <w:tcW w:w="3169" w:type="dxa"/>
          </w:tcPr>
          <w:p w:rsidR="007C6471" w:rsidRPr="007A2258" w:rsidRDefault="003B1222" w:rsidP="007C6471">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As per July 2016</w:t>
            </w:r>
          </w:p>
        </w:tc>
      </w:tr>
      <w:tr w:rsidR="008A2E2C" w:rsidRPr="007A2258" w:rsidTr="00CB0977">
        <w:trPr>
          <w:trHeight w:val="217"/>
        </w:trPr>
        <w:tc>
          <w:tcPr>
            <w:tcW w:w="1580" w:type="dxa"/>
            <w:shd w:val="clear" w:color="auto" w:fill="auto"/>
          </w:tcPr>
          <w:p w:rsidR="007C6471" w:rsidRPr="007A2258" w:rsidRDefault="007C6471" w:rsidP="007C6471">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Outcomes</w:t>
            </w:r>
          </w:p>
        </w:tc>
        <w:tc>
          <w:tcPr>
            <w:tcW w:w="4333" w:type="dxa"/>
            <w:shd w:val="clear" w:color="auto" w:fill="auto"/>
          </w:tcPr>
          <w:p w:rsidR="007C6471" w:rsidRPr="007A2258" w:rsidRDefault="007C6471" w:rsidP="007C6471">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The model presented a range of interim clinical outcomes (infections and HIV cases), culminating in an estimate of the cost per QALY gained.</w:t>
            </w:r>
          </w:p>
        </w:tc>
        <w:tc>
          <w:tcPr>
            <w:tcW w:w="3169" w:type="dxa"/>
          </w:tcPr>
          <w:p w:rsidR="007C6471" w:rsidRPr="007A2258" w:rsidRDefault="007C6471" w:rsidP="003B1222">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As per July 2016</w:t>
            </w:r>
          </w:p>
        </w:tc>
      </w:tr>
      <w:tr w:rsidR="00DA7F23" w:rsidRPr="007A2258" w:rsidTr="005E54E3">
        <w:trPr>
          <w:trHeight w:val="462"/>
        </w:trPr>
        <w:tc>
          <w:tcPr>
            <w:tcW w:w="1580" w:type="dxa"/>
            <w:shd w:val="clear" w:color="auto" w:fill="auto"/>
          </w:tcPr>
          <w:p w:rsidR="00DA7F23" w:rsidRPr="007A2258" w:rsidRDefault="00DA7F23" w:rsidP="007C6471">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Methods used to generate results</w:t>
            </w:r>
          </w:p>
        </w:tc>
        <w:tc>
          <w:tcPr>
            <w:tcW w:w="4333" w:type="dxa"/>
            <w:shd w:val="clear" w:color="auto" w:fill="auto"/>
          </w:tcPr>
          <w:p w:rsidR="00DA7F23" w:rsidRPr="007A2258" w:rsidRDefault="00DA7F23" w:rsidP="007C6471">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Monte Carlo simulation</w:t>
            </w:r>
          </w:p>
        </w:tc>
        <w:tc>
          <w:tcPr>
            <w:tcW w:w="3169" w:type="dxa"/>
          </w:tcPr>
          <w:p w:rsidR="00DA7F23" w:rsidRPr="007A2258" w:rsidRDefault="00DA7F23" w:rsidP="007C6471">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Monte Carlo simulation </w:t>
            </w:r>
          </w:p>
        </w:tc>
      </w:tr>
      <w:tr w:rsidR="008A2E2C" w:rsidRPr="007A2258" w:rsidTr="003B1222">
        <w:trPr>
          <w:trHeight w:val="225"/>
        </w:trPr>
        <w:tc>
          <w:tcPr>
            <w:tcW w:w="1580" w:type="dxa"/>
            <w:tcBorders>
              <w:bottom w:val="single" w:sz="4" w:space="0" w:color="auto"/>
            </w:tcBorders>
            <w:shd w:val="clear" w:color="auto" w:fill="auto"/>
          </w:tcPr>
          <w:p w:rsidR="007C6471" w:rsidRPr="007A2258" w:rsidRDefault="007C6471" w:rsidP="007C6471">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Cycle length</w:t>
            </w:r>
          </w:p>
        </w:tc>
        <w:tc>
          <w:tcPr>
            <w:tcW w:w="4333" w:type="dxa"/>
            <w:tcBorders>
              <w:bottom w:val="single" w:sz="4" w:space="0" w:color="auto"/>
            </w:tcBorders>
            <w:shd w:val="clear" w:color="auto" w:fill="auto"/>
          </w:tcPr>
          <w:p w:rsidR="007C6471" w:rsidRPr="007A2258" w:rsidRDefault="007C6471" w:rsidP="007C6471">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1 month</w:t>
            </w:r>
          </w:p>
        </w:tc>
        <w:tc>
          <w:tcPr>
            <w:tcW w:w="3169" w:type="dxa"/>
            <w:tcBorders>
              <w:bottom w:val="single" w:sz="4" w:space="0" w:color="auto"/>
            </w:tcBorders>
          </w:tcPr>
          <w:p w:rsidR="007C6471" w:rsidRPr="007A2258" w:rsidRDefault="007C6471" w:rsidP="007C6471">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As per July 2016.</w:t>
            </w:r>
          </w:p>
        </w:tc>
      </w:tr>
      <w:tr w:rsidR="00DA7F23" w:rsidRPr="007A2258" w:rsidTr="003B1222">
        <w:trPr>
          <w:trHeight w:val="187"/>
        </w:trPr>
        <w:tc>
          <w:tcPr>
            <w:tcW w:w="1580" w:type="dxa"/>
            <w:tcBorders>
              <w:bottom w:val="single" w:sz="4" w:space="0" w:color="auto"/>
            </w:tcBorders>
            <w:shd w:val="clear" w:color="auto" w:fill="auto"/>
          </w:tcPr>
          <w:p w:rsidR="00DA7F23" w:rsidRPr="007A2258" w:rsidRDefault="00DA7F23" w:rsidP="007C6471">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Transition probability: HIV Susceptible</w:t>
            </w:r>
          </w:p>
        </w:tc>
        <w:tc>
          <w:tcPr>
            <w:tcW w:w="4333" w:type="dxa"/>
            <w:tcBorders>
              <w:bottom w:val="single" w:sz="4" w:space="0" w:color="auto"/>
            </w:tcBorders>
            <w:shd w:val="clear" w:color="auto" w:fill="auto"/>
          </w:tcPr>
          <w:p w:rsidR="00DA7F23" w:rsidRPr="007A2258" w:rsidRDefault="00DA7F23" w:rsidP="005F577E">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Model entry in one of the four health states based on epidemiological data </w:t>
            </w:r>
          </w:p>
        </w:tc>
        <w:tc>
          <w:tcPr>
            <w:tcW w:w="3169" w:type="dxa"/>
            <w:tcBorders>
              <w:bottom w:val="single" w:sz="4" w:space="0" w:color="auto"/>
            </w:tcBorders>
          </w:tcPr>
          <w:p w:rsidR="00DA7F23" w:rsidRPr="007A2258" w:rsidRDefault="00DA7F23" w:rsidP="005F577E">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Model entry in one of the five health states based on epidemiological data </w:t>
            </w:r>
          </w:p>
        </w:tc>
      </w:tr>
      <w:tr w:rsidR="00DA7F23" w:rsidRPr="007A2258" w:rsidTr="003B1222">
        <w:trPr>
          <w:trHeight w:val="187"/>
        </w:trPr>
        <w:tc>
          <w:tcPr>
            <w:tcW w:w="1580" w:type="dxa"/>
            <w:tcBorders>
              <w:top w:val="single" w:sz="4" w:space="0" w:color="auto"/>
              <w:bottom w:val="single" w:sz="4" w:space="0" w:color="auto"/>
            </w:tcBorders>
            <w:shd w:val="clear" w:color="auto" w:fill="auto"/>
          </w:tcPr>
          <w:p w:rsidR="00DA7F23" w:rsidRPr="007A2258" w:rsidRDefault="00DA7F23" w:rsidP="007C6471">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Transition probability: HIV Acquisition</w:t>
            </w:r>
          </w:p>
        </w:tc>
        <w:tc>
          <w:tcPr>
            <w:tcW w:w="4333" w:type="dxa"/>
            <w:tcBorders>
              <w:top w:val="single" w:sz="4" w:space="0" w:color="auto"/>
              <w:bottom w:val="single" w:sz="4" w:space="0" w:color="auto"/>
            </w:tcBorders>
            <w:shd w:val="clear" w:color="auto" w:fill="auto"/>
          </w:tcPr>
          <w:p w:rsidR="00DA7F23" w:rsidRPr="007A2258" w:rsidRDefault="00DA7F23" w:rsidP="007C6471">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Infection risk: function of population incidence risk (determined by currently “infectious” population), various individual risk factors, whether or not they take TDF/FTC in that cycle, efficacy, adherence and an inhibition factor. </w:t>
            </w:r>
          </w:p>
          <w:p w:rsidR="00DA7F23" w:rsidRPr="007A2258" w:rsidRDefault="00DA7F23" w:rsidP="007C6471">
            <w:pPr>
              <w:widowControl w:val="0"/>
              <w:spacing w:before="0" w:after="0"/>
              <w:rPr>
                <w:rFonts w:ascii="Arial Narrow" w:eastAsia="Times New Roman" w:hAnsi="Arial Narrow" w:cs="Arial"/>
                <w:snapToGrid w:val="0"/>
                <w:sz w:val="20"/>
                <w:szCs w:val="20"/>
              </w:rPr>
            </w:pPr>
          </w:p>
        </w:tc>
        <w:tc>
          <w:tcPr>
            <w:tcW w:w="3169" w:type="dxa"/>
            <w:tcBorders>
              <w:top w:val="single" w:sz="4" w:space="0" w:color="auto"/>
              <w:bottom w:val="single" w:sz="4" w:space="0" w:color="auto"/>
            </w:tcBorders>
          </w:tcPr>
          <w:p w:rsidR="00DA7F23" w:rsidRPr="007A2258" w:rsidRDefault="00DA7F23" w:rsidP="005F577E">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Infection risk: function of population incidence risk (determined by currently “infectious” population), various individual risk factors, whether subjects are on PrEP in that cycle, efficacy and an inhibition factor. Adherence/compliance was removed as an input parameter from the efficacy function in the model, and the gamma distribution defining the individual risk factor has changed</w:t>
            </w:r>
            <w:r w:rsidR="005F577E" w:rsidRPr="007A2258">
              <w:rPr>
                <w:rFonts w:ascii="Arial Narrow" w:eastAsia="Times New Roman" w:hAnsi="Arial Narrow" w:cs="Arial"/>
                <w:snapToGrid w:val="0"/>
                <w:sz w:val="20"/>
                <w:szCs w:val="20"/>
              </w:rPr>
              <w:t>.</w:t>
            </w:r>
            <w:r w:rsidRPr="007A2258">
              <w:rPr>
                <w:rFonts w:ascii="Arial Narrow" w:eastAsia="Times New Roman" w:hAnsi="Arial Narrow" w:cs="Arial"/>
                <w:snapToGrid w:val="0"/>
                <w:sz w:val="20"/>
                <w:szCs w:val="20"/>
              </w:rPr>
              <w:t xml:space="preserve"> The removal of adherence/compliance as an input from the model is inappropriate.</w:t>
            </w:r>
          </w:p>
        </w:tc>
      </w:tr>
      <w:tr w:rsidR="00DA7F23" w:rsidRPr="007A2258" w:rsidTr="003B1222">
        <w:trPr>
          <w:trHeight w:val="187"/>
        </w:trPr>
        <w:tc>
          <w:tcPr>
            <w:tcW w:w="1580" w:type="dxa"/>
            <w:tcBorders>
              <w:top w:val="single" w:sz="4" w:space="0" w:color="auto"/>
              <w:bottom w:val="single" w:sz="4" w:space="0" w:color="auto"/>
            </w:tcBorders>
            <w:shd w:val="clear" w:color="auto" w:fill="auto"/>
          </w:tcPr>
          <w:p w:rsidR="00DA7F23" w:rsidRPr="007A2258" w:rsidRDefault="00DA7F23" w:rsidP="007C6471">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Transition probability: HIV progression/</w:t>
            </w:r>
          </w:p>
          <w:p w:rsidR="00DA7F23" w:rsidRPr="007A2258" w:rsidRDefault="002B3E0A" w:rsidP="007C6471">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I</w:t>
            </w:r>
            <w:r w:rsidR="00DA7F23" w:rsidRPr="007A2258">
              <w:rPr>
                <w:rFonts w:ascii="Arial Narrow" w:eastAsia="Times New Roman" w:hAnsi="Arial Narrow" w:cs="Arial"/>
                <w:snapToGrid w:val="0"/>
                <w:sz w:val="20"/>
                <w:szCs w:val="20"/>
              </w:rPr>
              <w:t>mprovement</w:t>
            </w:r>
          </w:p>
        </w:tc>
        <w:tc>
          <w:tcPr>
            <w:tcW w:w="4333" w:type="dxa"/>
            <w:tcBorders>
              <w:top w:val="single" w:sz="4" w:space="0" w:color="auto"/>
              <w:bottom w:val="single" w:sz="4" w:space="0" w:color="auto"/>
            </w:tcBorders>
            <w:shd w:val="clear" w:color="auto" w:fill="auto"/>
          </w:tcPr>
          <w:p w:rsidR="00DA7F23" w:rsidRPr="007A2258" w:rsidRDefault="00DA7F23" w:rsidP="007C6471">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HIV progression and improvement: based on previous Australian modelling</w:t>
            </w:r>
            <w:r w:rsidR="005F577E" w:rsidRPr="007A2258">
              <w:rPr>
                <w:rFonts w:ascii="Arial Narrow" w:eastAsia="Times New Roman" w:hAnsi="Arial Narrow" w:cs="Arial"/>
                <w:snapToGrid w:val="0"/>
                <w:sz w:val="20"/>
                <w:szCs w:val="20"/>
              </w:rPr>
              <w:t>.</w:t>
            </w:r>
          </w:p>
          <w:p w:rsidR="00DA7F23" w:rsidRPr="007A2258" w:rsidRDefault="00DA7F23" w:rsidP="007C6471">
            <w:pPr>
              <w:widowControl w:val="0"/>
              <w:spacing w:before="0" w:after="0"/>
              <w:rPr>
                <w:rFonts w:ascii="Arial Narrow" w:eastAsia="Times New Roman" w:hAnsi="Arial Narrow" w:cs="Arial"/>
                <w:snapToGrid w:val="0"/>
                <w:sz w:val="20"/>
                <w:szCs w:val="20"/>
              </w:rPr>
            </w:pPr>
          </w:p>
        </w:tc>
        <w:tc>
          <w:tcPr>
            <w:tcW w:w="3169" w:type="dxa"/>
            <w:tcBorders>
              <w:top w:val="single" w:sz="4" w:space="0" w:color="auto"/>
              <w:bottom w:val="single" w:sz="4" w:space="0" w:color="auto"/>
            </w:tcBorders>
          </w:tcPr>
          <w:p w:rsidR="00DA7F23" w:rsidRPr="007A2258" w:rsidRDefault="006C4FDF" w:rsidP="007C6471">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As per July 2016. </w:t>
            </w:r>
            <w:r w:rsidR="00DA7F23" w:rsidRPr="007A2258">
              <w:rPr>
                <w:rFonts w:ascii="Arial Narrow" w:eastAsia="Times New Roman" w:hAnsi="Arial Narrow" w:cs="Arial"/>
                <w:snapToGrid w:val="0"/>
                <w:sz w:val="20"/>
                <w:szCs w:val="20"/>
              </w:rPr>
              <w:t xml:space="preserve">For primary/incident HIV infection, the model used 0 rate/year for improvement if treated and progression if untreated.  </w:t>
            </w:r>
          </w:p>
        </w:tc>
      </w:tr>
      <w:tr w:rsidR="00DA7F23" w:rsidRPr="007A2258" w:rsidTr="003B1222">
        <w:trPr>
          <w:trHeight w:val="187"/>
        </w:trPr>
        <w:tc>
          <w:tcPr>
            <w:tcW w:w="1580" w:type="dxa"/>
            <w:tcBorders>
              <w:top w:val="single" w:sz="4" w:space="0" w:color="auto"/>
              <w:bottom w:val="single" w:sz="4" w:space="0" w:color="auto"/>
            </w:tcBorders>
            <w:shd w:val="clear" w:color="auto" w:fill="auto"/>
          </w:tcPr>
          <w:p w:rsidR="00DA7F23" w:rsidRPr="007A2258" w:rsidRDefault="00DA7F23" w:rsidP="007C6471">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Transition probability: Mortality, all cause</w:t>
            </w:r>
          </w:p>
        </w:tc>
        <w:tc>
          <w:tcPr>
            <w:tcW w:w="4333" w:type="dxa"/>
            <w:tcBorders>
              <w:top w:val="single" w:sz="4" w:space="0" w:color="auto"/>
              <w:bottom w:val="single" w:sz="4" w:space="0" w:color="auto"/>
            </w:tcBorders>
            <w:shd w:val="clear" w:color="auto" w:fill="auto"/>
          </w:tcPr>
          <w:p w:rsidR="00DA7F23" w:rsidRPr="007A2258" w:rsidRDefault="00DA7F23" w:rsidP="007C6471">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Background mortality: age- and gender-specific all-cause mortality sourced from the ABS 2014.</w:t>
            </w:r>
          </w:p>
          <w:p w:rsidR="00DA7F23" w:rsidRPr="007A2258" w:rsidRDefault="00DA7F23" w:rsidP="007C6471">
            <w:pPr>
              <w:widowControl w:val="0"/>
              <w:spacing w:before="0" w:after="0"/>
              <w:rPr>
                <w:rFonts w:ascii="Arial Narrow" w:eastAsia="Times New Roman" w:hAnsi="Arial Narrow" w:cs="Arial"/>
                <w:snapToGrid w:val="0"/>
                <w:sz w:val="20"/>
                <w:szCs w:val="20"/>
              </w:rPr>
            </w:pPr>
          </w:p>
        </w:tc>
        <w:tc>
          <w:tcPr>
            <w:tcW w:w="3169" w:type="dxa"/>
            <w:tcBorders>
              <w:top w:val="single" w:sz="4" w:space="0" w:color="auto"/>
              <w:bottom w:val="single" w:sz="4" w:space="0" w:color="auto"/>
            </w:tcBorders>
          </w:tcPr>
          <w:p w:rsidR="00DA7F23" w:rsidRPr="007A2258" w:rsidRDefault="00DA7F23" w:rsidP="007C6471">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As per July 2016.</w:t>
            </w:r>
          </w:p>
        </w:tc>
      </w:tr>
      <w:tr w:rsidR="00DA7F23" w:rsidRPr="007A2258" w:rsidTr="003B1222">
        <w:trPr>
          <w:trHeight w:val="187"/>
        </w:trPr>
        <w:tc>
          <w:tcPr>
            <w:tcW w:w="1580" w:type="dxa"/>
            <w:tcBorders>
              <w:top w:val="single" w:sz="4" w:space="0" w:color="auto"/>
            </w:tcBorders>
            <w:shd w:val="clear" w:color="auto" w:fill="auto"/>
          </w:tcPr>
          <w:p w:rsidR="00DA7F23" w:rsidRPr="007A2258" w:rsidRDefault="00DA7F23" w:rsidP="007C6471">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Transition probability: HIV related mortality</w:t>
            </w:r>
          </w:p>
        </w:tc>
        <w:tc>
          <w:tcPr>
            <w:tcW w:w="4333" w:type="dxa"/>
            <w:tcBorders>
              <w:top w:val="single" w:sz="4" w:space="0" w:color="auto"/>
            </w:tcBorders>
            <w:shd w:val="clear" w:color="auto" w:fill="auto"/>
          </w:tcPr>
          <w:p w:rsidR="00DA7F23" w:rsidRPr="007A2258" w:rsidRDefault="00DA7F23" w:rsidP="00F063E4">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Disease specific mortality:  based on literature</w:t>
            </w:r>
            <w:r w:rsidR="00F063E4" w:rsidRPr="007A2258">
              <w:rPr>
                <w:rFonts w:ascii="Arial Narrow" w:eastAsia="Times New Roman" w:hAnsi="Arial Narrow" w:cs="Arial"/>
                <w:snapToGrid w:val="0"/>
                <w:sz w:val="20"/>
                <w:szCs w:val="20"/>
              </w:rPr>
              <w:t>.</w:t>
            </w:r>
          </w:p>
        </w:tc>
        <w:tc>
          <w:tcPr>
            <w:tcW w:w="3169" w:type="dxa"/>
            <w:tcBorders>
              <w:top w:val="single" w:sz="4" w:space="0" w:color="auto"/>
            </w:tcBorders>
          </w:tcPr>
          <w:p w:rsidR="00DA7F23" w:rsidRPr="007A2258" w:rsidRDefault="00DA7F23" w:rsidP="007C6471">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As per July 2016.</w:t>
            </w:r>
          </w:p>
        </w:tc>
      </w:tr>
      <w:tr w:rsidR="008A2E2C" w:rsidRPr="007A2258" w:rsidTr="00CB0977">
        <w:trPr>
          <w:trHeight w:val="240"/>
        </w:trPr>
        <w:tc>
          <w:tcPr>
            <w:tcW w:w="1580" w:type="dxa"/>
            <w:shd w:val="clear" w:color="auto" w:fill="auto"/>
          </w:tcPr>
          <w:p w:rsidR="007C6471" w:rsidRPr="007A2258" w:rsidRDefault="007C6471" w:rsidP="007C6471">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Discount rate</w:t>
            </w:r>
          </w:p>
        </w:tc>
        <w:tc>
          <w:tcPr>
            <w:tcW w:w="4333" w:type="dxa"/>
            <w:shd w:val="clear" w:color="auto" w:fill="auto"/>
          </w:tcPr>
          <w:p w:rsidR="007C6471" w:rsidRPr="007A2258" w:rsidRDefault="007C6471" w:rsidP="007C6471">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5% for costs and outcomes</w:t>
            </w:r>
          </w:p>
        </w:tc>
        <w:tc>
          <w:tcPr>
            <w:tcW w:w="3169" w:type="dxa"/>
          </w:tcPr>
          <w:p w:rsidR="007C6471" w:rsidRPr="007A2258" w:rsidRDefault="007C6471" w:rsidP="007C6471">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As per July 2016. </w:t>
            </w:r>
          </w:p>
        </w:tc>
      </w:tr>
    </w:tbl>
    <w:p w:rsidR="007C6471" w:rsidRPr="007A2258" w:rsidRDefault="007C6471" w:rsidP="007C6471">
      <w:pPr>
        <w:widowControl w:val="0"/>
        <w:spacing w:before="0" w:after="0"/>
        <w:jc w:val="both"/>
        <w:rPr>
          <w:rFonts w:ascii="Arial Narrow" w:eastAsia="Times New Roman" w:hAnsi="Arial Narrow" w:cs="Arial"/>
          <w:snapToGrid w:val="0"/>
          <w:sz w:val="18"/>
          <w:szCs w:val="20"/>
        </w:rPr>
      </w:pPr>
      <w:r w:rsidRPr="007A2258">
        <w:rPr>
          <w:rFonts w:ascii="Arial Narrow" w:eastAsia="Times New Roman" w:hAnsi="Arial Narrow" w:cs="Arial"/>
          <w:snapToGrid w:val="0"/>
          <w:sz w:val="18"/>
          <w:szCs w:val="20"/>
        </w:rPr>
        <w:t>Source: Section D.3, D.4 of the July 2016 submission and compiled during the evaluation</w:t>
      </w:r>
    </w:p>
    <w:p w:rsidR="007C6471" w:rsidRPr="007A2258" w:rsidRDefault="007C6471" w:rsidP="007C6471">
      <w:pPr>
        <w:widowControl w:val="0"/>
        <w:spacing w:before="0" w:after="0"/>
        <w:jc w:val="both"/>
        <w:rPr>
          <w:rFonts w:ascii="Arial Narrow" w:eastAsia="Times New Roman" w:hAnsi="Arial Narrow" w:cs="Arial"/>
          <w:snapToGrid w:val="0"/>
          <w:sz w:val="18"/>
          <w:szCs w:val="20"/>
        </w:rPr>
      </w:pPr>
      <w:r w:rsidRPr="007A2258">
        <w:rPr>
          <w:rFonts w:ascii="Arial Narrow" w:eastAsia="Times New Roman" w:hAnsi="Arial Narrow" w:cs="Arial"/>
          <w:snapToGrid w:val="0"/>
          <w:sz w:val="18"/>
          <w:szCs w:val="20"/>
        </w:rPr>
        <w:t>Abbreviations: ABS, Australian Bureau of Statistics; AIHW, authoritative information and statistics to promote better health and wellbeing; GRIM, general record of incidence of mortality; TDF/FTC, tenofovir disoproxil fumarate/emtricitabine; QALYs, quality adjusted life years.</w:t>
      </w:r>
    </w:p>
    <w:p w:rsidR="007C6471" w:rsidRPr="007A2258" w:rsidRDefault="007C6471" w:rsidP="007C6471">
      <w:pPr>
        <w:widowControl w:val="0"/>
        <w:spacing w:before="0" w:after="0"/>
        <w:jc w:val="both"/>
        <w:rPr>
          <w:rFonts w:ascii="Arial Narrow" w:eastAsia="Times New Roman" w:hAnsi="Arial Narrow" w:cs="Arial"/>
          <w:snapToGrid w:val="0"/>
          <w:sz w:val="18"/>
          <w:szCs w:val="20"/>
        </w:rPr>
      </w:pPr>
    </w:p>
    <w:p w:rsidR="007C6471" w:rsidRPr="007A2258" w:rsidRDefault="007C6471" w:rsidP="007A2258">
      <w:pPr>
        <w:pStyle w:val="ListParagraph"/>
        <w:numPr>
          <w:ilvl w:val="1"/>
          <w:numId w:val="23"/>
        </w:numPr>
        <w:jc w:val="both"/>
      </w:pPr>
      <w:r w:rsidRPr="007A2258">
        <w:t>The July 2016 submission applied a 90% efficacy rate based on case control analyses of adherent subjects from two RCTs (iPrEx and Partners PreP). This was subsequently multiplied by a</w:t>
      </w:r>
      <w:r w:rsidR="00651A27" w:rsidRPr="007A2258">
        <w:t xml:space="preserve"> separate </w:t>
      </w:r>
      <w:r w:rsidRPr="007A2258">
        <w:t>adherence input parameter of 0.90 in the model to derive a base case efficacy estimate of 81%.</w:t>
      </w:r>
      <w:r w:rsidR="005E54E3" w:rsidRPr="007A2258">
        <w:t xml:space="preserve"> </w:t>
      </w:r>
      <w:r w:rsidRPr="007A2258">
        <w:t>The resubmission continued to apply an efficacy estimate of 90% for TDF/FTC but assumed a given level of high adherence (90%). This was no longer applied as an input parameter, but assumed t</w:t>
      </w:r>
      <w:r w:rsidR="009B3321" w:rsidRPr="007A2258">
        <w:t xml:space="preserve">hat it was incorporated in the </w:t>
      </w:r>
      <w:r w:rsidRPr="007A2258">
        <w:t xml:space="preserve">efficacy of 90% used in the model. </w:t>
      </w:r>
      <w:r w:rsidR="009B3321" w:rsidRPr="007A2258">
        <w:t xml:space="preserve">With an underlying adherence of 90%, a final efficacy parameter of 90% relies on an assumption of 100% efficacy in adherent subjects, namely: 90%*100%=90%. </w:t>
      </w:r>
      <w:r w:rsidRPr="007A2258">
        <w:t xml:space="preserve">The model continued to apply an adherence factor of 90% to </w:t>
      </w:r>
      <w:r w:rsidR="009B3321" w:rsidRPr="007A2258">
        <w:t xml:space="preserve">the </w:t>
      </w:r>
      <w:r w:rsidRPr="007A2258">
        <w:t xml:space="preserve">cost of TDF/FTC. </w:t>
      </w:r>
    </w:p>
    <w:p w:rsidR="000F50A6" w:rsidRPr="007A2258" w:rsidRDefault="007C6471" w:rsidP="000F50A6">
      <w:pPr>
        <w:pStyle w:val="ListParagraph"/>
        <w:numPr>
          <w:ilvl w:val="1"/>
          <w:numId w:val="23"/>
        </w:numPr>
      </w:pPr>
      <w:r w:rsidRPr="007A2258">
        <w:t>The results of the economic eval</w:t>
      </w:r>
      <w:r w:rsidR="00FE73D1" w:rsidRPr="007A2258">
        <w:t>uation are presented in Table 13</w:t>
      </w:r>
      <w:r w:rsidRPr="007A2258">
        <w:t>.</w:t>
      </w:r>
    </w:p>
    <w:p w:rsidR="00904455" w:rsidRDefault="00904455" w:rsidP="00904455">
      <w:pPr>
        <w:pStyle w:val="Caption"/>
      </w:pPr>
      <w:r>
        <w:t xml:space="preserve">Table </w:t>
      </w:r>
      <w:r w:rsidR="004F50B1">
        <w:rPr>
          <w:noProof/>
        </w:rPr>
        <w:t>13</w:t>
      </w:r>
      <w:r w:rsidRPr="0035726A">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67"/>
        <w:gridCol w:w="76"/>
        <w:gridCol w:w="2303"/>
        <w:gridCol w:w="40"/>
        <w:gridCol w:w="20"/>
        <w:gridCol w:w="2325"/>
        <w:gridCol w:w="2051"/>
      </w:tblGrid>
      <w:tr w:rsidR="008A2E2C" w:rsidRPr="007A2258" w:rsidTr="00CB0977">
        <w:tc>
          <w:tcPr>
            <w:tcW w:w="1248" w:type="pct"/>
            <w:tcBorders>
              <w:bottom w:val="single" w:sz="4" w:space="0" w:color="auto"/>
            </w:tcBorders>
          </w:tcPr>
          <w:p w:rsidR="007C6471" w:rsidRPr="007A2258" w:rsidRDefault="007C6471" w:rsidP="007C6471">
            <w:pPr>
              <w:keepNext/>
              <w:widowControl w:val="0"/>
              <w:spacing w:before="0" w:after="0"/>
              <w:jc w:val="both"/>
              <w:rPr>
                <w:rFonts w:ascii="Arial Narrow" w:eastAsia="Times New Roman" w:hAnsi="Arial Narrow" w:cs="Arial"/>
                <w:b/>
                <w:snapToGrid w:val="0"/>
                <w:sz w:val="20"/>
                <w:szCs w:val="20"/>
              </w:rPr>
            </w:pPr>
            <w:r w:rsidRPr="007A2258">
              <w:rPr>
                <w:rFonts w:ascii="Arial Narrow" w:eastAsia="Times New Roman" w:hAnsi="Arial Narrow" w:cs="Arial"/>
                <w:b/>
                <w:snapToGrid w:val="0"/>
                <w:sz w:val="20"/>
                <w:szCs w:val="20"/>
              </w:rPr>
              <w:t>Component</w:t>
            </w:r>
          </w:p>
        </w:tc>
        <w:tc>
          <w:tcPr>
            <w:tcW w:w="1310" w:type="pct"/>
            <w:gridSpan w:val="2"/>
            <w:tcBorders>
              <w:bottom w:val="single" w:sz="4" w:space="0" w:color="auto"/>
            </w:tcBorders>
            <w:vAlign w:val="center"/>
          </w:tcPr>
          <w:p w:rsidR="007C6471" w:rsidRPr="007A2258" w:rsidRDefault="007C6471" w:rsidP="007C6471">
            <w:pPr>
              <w:keepNext/>
              <w:widowControl w:val="0"/>
              <w:spacing w:before="0" w:after="0"/>
              <w:jc w:val="both"/>
              <w:rPr>
                <w:rFonts w:ascii="Arial Narrow" w:eastAsia="Times New Roman" w:hAnsi="Arial Narrow" w:cs="Arial"/>
                <w:b/>
                <w:snapToGrid w:val="0"/>
                <w:sz w:val="20"/>
                <w:szCs w:val="20"/>
              </w:rPr>
            </w:pPr>
            <w:r w:rsidRPr="007A2258">
              <w:rPr>
                <w:rFonts w:ascii="Arial Narrow" w:eastAsia="Times New Roman" w:hAnsi="Arial Narrow" w:cs="Arial"/>
                <w:b/>
                <w:snapToGrid w:val="0"/>
                <w:sz w:val="20"/>
                <w:szCs w:val="20"/>
              </w:rPr>
              <w:t>TDF/FTC + SOC</w:t>
            </w:r>
          </w:p>
        </w:tc>
        <w:tc>
          <w:tcPr>
            <w:tcW w:w="1313" w:type="pct"/>
            <w:gridSpan w:val="3"/>
            <w:tcBorders>
              <w:bottom w:val="single" w:sz="4" w:space="0" w:color="auto"/>
            </w:tcBorders>
            <w:vAlign w:val="center"/>
          </w:tcPr>
          <w:p w:rsidR="007C6471" w:rsidRPr="007A2258" w:rsidRDefault="007C6471" w:rsidP="007C6471">
            <w:pPr>
              <w:keepNext/>
              <w:widowControl w:val="0"/>
              <w:spacing w:before="0" w:after="0"/>
              <w:jc w:val="both"/>
              <w:rPr>
                <w:rFonts w:ascii="Arial Narrow" w:eastAsia="Times New Roman" w:hAnsi="Arial Narrow" w:cs="Arial"/>
                <w:b/>
                <w:snapToGrid w:val="0"/>
                <w:sz w:val="20"/>
                <w:szCs w:val="20"/>
              </w:rPr>
            </w:pPr>
            <w:r w:rsidRPr="007A2258">
              <w:rPr>
                <w:rFonts w:ascii="Arial Narrow" w:eastAsia="Times New Roman" w:hAnsi="Arial Narrow" w:cs="Arial"/>
                <w:b/>
                <w:snapToGrid w:val="0"/>
                <w:sz w:val="20"/>
                <w:szCs w:val="20"/>
              </w:rPr>
              <w:t>SOC</w:t>
            </w:r>
          </w:p>
        </w:tc>
        <w:tc>
          <w:tcPr>
            <w:tcW w:w="1129" w:type="pct"/>
            <w:tcBorders>
              <w:bottom w:val="single" w:sz="4" w:space="0" w:color="auto"/>
            </w:tcBorders>
          </w:tcPr>
          <w:p w:rsidR="007C6471" w:rsidRPr="007A2258" w:rsidRDefault="007C6471" w:rsidP="007C6471">
            <w:pPr>
              <w:keepNext/>
              <w:widowControl w:val="0"/>
              <w:spacing w:before="0" w:after="0"/>
              <w:jc w:val="both"/>
              <w:rPr>
                <w:rFonts w:ascii="Arial Narrow" w:eastAsia="Times New Roman" w:hAnsi="Arial Narrow" w:cs="Arial"/>
                <w:b/>
                <w:snapToGrid w:val="0"/>
                <w:sz w:val="20"/>
                <w:szCs w:val="20"/>
              </w:rPr>
            </w:pPr>
            <w:r w:rsidRPr="007A2258">
              <w:rPr>
                <w:rFonts w:ascii="Arial Narrow" w:eastAsia="Times New Roman" w:hAnsi="Arial Narrow" w:cs="Arial"/>
                <w:b/>
                <w:snapToGrid w:val="0"/>
                <w:sz w:val="20"/>
                <w:szCs w:val="20"/>
              </w:rPr>
              <w:t>Increment</w:t>
            </w:r>
          </w:p>
        </w:tc>
      </w:tr>
      <w:tr w:rsidR="008A2E2C" w:rsidRPr="007A2258" w:rsidTr="00CB0977">
        <w:tc>
          <w:tcPr>
            <w:tcW w:w="1248" w:type="pct"/>
            <w:tcBorders>
              <w:right w:val="nil"/>
            </w:tcBorders>
          </w:tcPr>
          <w:p w:rsidR="007C6471" w:rsidRPr="007A2258" w:rsidRDefault="007C6471" w:rsidP="007C6471">
            <w:pPr>
              <w:widowControl w:val="0"/>
              <w:spacing w:before="0" w:after="0"/>
              <w:jc w:val="both"/>
              <w:rPr>
                <w:rFonts w:ascii="Arial Narrow" w:eastAsia="Times New Roman" w:hAnsi="Arial Narrow" w:cs="Arial"/>
                <w:b/>
                <w:snapToGrid w:val="0"/>
                <w:sz w:val="20"/>
                <w:szCs w:val="20"/>
              </w:rPr>
            </w:pPr>
            <w:r w:rsidRPr="007A2258">
              <w:rPr>
                <w:rFonts w:ascii="Arial Narrow" w:eastAsia="Times New Roman" w:hAnsi="Arial Narrow" w:cs="Arial"/>
                <w:b/>
                <w:snapToGrid w:val="0"/>
                <w:sz w:val="20"/>
                <w:szCs w:val="20"/>
              </w:rPr>
              <w:t>July 2016 Model 2</w:t>
            </w:r>
          </w:p>
        </w:tc>
        <w:tc>
          <w:tcPr>
            <w:tcW w:w="1343" w:type="pct"/>
            <w:gridSpan w:val="4"/>
            <w:tcBorders>
              <w:left w:val="nil"/>
              <w:right w:val="nil"/>
            </w:tcBorders>
          </w:tcPr>
          <w:p w:rsidR="007C6471" w:rsidRPr="007A2258" w:rsidRDefault="007C6471" w:rsidP="007C6471">
            <w:pPr>
              <w:widowControl w:val="0"/>
              <w:spacing w:before="0" w:after="0"/>
              <w:jc w:val="both"/>
              <w:rPr>
                <w:rFonts w:ascii="Arial Narrow" w:eastAsia="Times New Roman" w:hAnsi="Arial Narrow" w:cs="Arial"/>
                <w:b/>
                <w:snapToGrid w:val="0"/>
                <w:sz w:val="20"/>
                <w:szCs w:val="20"/>
              </w:rPr>
            </w:pPr>
          </w:p>
        </w:tc>
        <w:tc>
          <w:tcPr>
            <w:tcW w:w="1280" w:type="pct"/>
            <w:tcBorders>
              <w:left w:val="nil"/>
              <w:right w:val="nil"/>
            </w:tcBorders>
          </w:tcPr>
          <w:p w:rsidR="007C6471" w:rsidRPr="007A2258" w:rsidRDefault="007C6471" w:rsidP="007C6471">
            <w:pPr>
              <w:widowControl w:val="0"/>
              <w:spacing w:before="0" w:after="0"/>
              <w:jc w:val="both"/>
              <w:rPr>
                <w:rFonts w:ascii="Arial Narrow" w:eastAsia="Times New Roman" w:hAnsi="Arial Narrow" w:cs="Arial"/>
                <w:b/>
                <w:snapToGrid w:val="0"/>
                <w:sz w:val="20"/>
                <w:szCs w:val="20"/>
              </w:rPr>
            </w:pPr>
          </w:p>
        </w:tc>
        <w:tc>
          <w:tcPr>
            <w:tcW w:w="1129" w:type="pct"/>
            <w:tcBorders>
              <w:left w:val="nil"/>
            </w:tcBorders>
          </w:tcPr>
          <w:p w:rsidR="007C6471" w:rsidRPr="007A2258" w:rsidRDefault="007C6471" w:rsidP="007C6471">
            <w:pPr>
              <w:widowControl w:val="0"/>
              <w:spacing w:before="0" w:after="0"/>
              <w:jc w:val="both"/>
              <w:rPr>
                <w:rFonts w:ascii="Arial Narrow" w:eastAsia="Times New Roman" w:hAnsi="Arial Narrow" w:cs="Arial"/>
                <w:b/>
                <w:snapToGrid w:val="0"/>
                <w:sz w:val="20"/>
                <w:szCs w:val="20"/>
              </w:rPr>
            </w:pPr>
          </w:p>
        </w:tc>
      </w:tr>
      <w:tr w:rsidR="008A2E2C" w:rsidRPr="007A2258" w:rsidTr="00CB0977">
        <w:tc>
          <w:tcPr>
            <w:tcW w:w="1248" w:type="pct"/>
          </w:tcPr>
          <w:p w:rsidR="007C6471" w:rsidRPr="007A2258" w:rsidRDefault="007C6471" w:rsidP="007C6471">
            <w:pPr>
              <w:widowControl w:val="0"/>
              <w:spacing w:before="0" w:after="0"/>
              <w:jc w:val="both"/>
              <w:rPr>
                <w:rFonts w:ascii="Arial Narrow" w:eastAsia="Times New Roman" w:hAnsi="Arial Narrow" w:cs="Arial"/>
                <w:b/>
                <w:snapToGrid w:val="0"/>
                <w:sz w:val="20"/>
                <w:szCs w:val="20"/>
              </w:rPr>
            </w:pPr>
            <w:r w:rsidRPr="007A2258">
              <w:rPr>
                <w:rFonts w:ascii="Arial Narrow" w:eastAsia="Times New Roman" w:hAnsi="Arial Narrow" w:cs="Arial"/>
                <w:snapToGrid w:val="0"/>
                <w:sz w:val="20"/>
                <w:szCs w:val="20"/>
              </w:rPr>
              <w:t>Costs, undiscounted</w:t>
            </w:r>
          </w:p>
        </w:tc>
        <w:tc>
          <w:tcPr>
            <w:tcW w:w="1343" w:type="pct"/>
            <w:gridSpan w:val="4"/>
          </w:tcPr>
          <w:p w:rsidR="007C6471" w:rsidRPr="007A2258" w:rsidRDefault="007C6471" w:rsidP="007C6471">
            <w:pPr>
              <w:widowControl w:val="0"/>
              <w:spacing w:before="0" w:after="0"/>
              <w:jc w:val="both"/>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c>
          <w:tcPr>
            <w:tcW w:w="1280" w:type="pct"/>
          </w:tcPr>
          <w:p w:rsidR="007C6471" w:rsidRPr="007A2258" w:rsidRDefault="007C6471" w:rsidP="007C6471">
            <w:pPr>
              <w:widowControl w:val="0"/>
              <w:spacing w:before="0" w:after="0"/>
              <w:jc w:val="both"/>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c>
          <w:tcPr>
            <w:tcW w:w="1129" w:type="pct"/>
          </w:tcPr>
          <w:p w:rsidR="007C6471" w:rsidRPr="007A2258" w:rsidRDefault="00990E72" w:rsidP="007C6471">
            <w:pPr>
              <w:widowControl w:val="0"/>
              <w:spacing w:before="0" w:after="0"/>
              <w:jc w:val="both"/>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7C6471"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r>
      <w:tr w:rsidR="008A2E2C" w:rsidRPr="007A2258" w:rsidTr="00CB0977">
        <w:tc>
          <w:tcPr>
            <w:tcW w:w="1248" w:type="pct"/>
          </w:tcPr>
          <w:p w:rsidR="007C6471" w:rsidRPr="007A2258" w:rsidRDefault="007C6471" w:rsidP="007C6471">
            <w:pPr>
              <w:widowControl w:val="0"/>
              <w:spacing w:before="0" w:after="0"/>
              <w:jc w:val="both"/>
              <w:rPr>
                <w:rFonts w:ascii="Arial Narrow" w:eastAsia="Times New Roman" w:hAnsi="Arial Narrow" w:cs="Arial"/>
                <w:b/>
                <w:snapToGrid w:val="0"/>
                <w:sz w:val="20"/>
                <w:szCs w:val="20"/>
              </w:rPr>
            </w:pPr>
            <w:r w:rsidRPr="007A2258">
              <w:rPr>
                <w:rFonts w:ascii="Arial Narrow" w:eastAsia="Times New Roman" w:hAnsi="Arial Narrow" w:cs="Arial"/>
                <w:snapToGrid w:val="0"/>
                <w:sz w:val="20"/>
                <w:szCs w:val="20"/>
              </w:rPr>
              <w:t>QALY, undiscounted</w:t>
            </w:r>
          </w:p>
        </w:tc>
        <w:tc>
          <w:tcPr>
            <w:tcW w:w="1343" w:type="pct"/>
            <w:gridSpan w:val="4"/>
          </w:tcPr>
          <w:p w:rsidR="007C6471" w:rsidRPr="007A2258" w:rsidRDefault="007C6471" w:rsidP="007C6471">
            <w:pPr>
              <w:widowControl w:val="0"/>
              <w:spacing w:before="0" w:after="0"/>
              <w:jc w:val="both"/>
              <w:rPr>
                <w:rFonts w:ascii="Arial Narrow" w:eastAsia="Times New Roman" w:hAnsi="Arial Narrow" w:cs="Arial"/>
                <w:snapToGrid w:val="0"/>
                <w:sz w:val="20"/>
                <w:szCs w:val="20"/>
              </w:rPr>
            </w:pPr>
            <w:r w:rsidRPr="009A66AF">
              <w:rPr>
                <w:rFonts w:ascii="Arial Narrow" w:eastAsia="Times New Roman" w:hAnsi="Arial Narrow" w:cs="Arial"/>
                <w:snapToGrid w:val="0"/>
                <w:sz w:val="20"/>
                <w:szCs w:val="20"/>
              </w:rPr>
              <w:t>2,561,806</w:t>
            </w:r>
          </w:p>
        </w:tc>
        <w:tc>
          <w:tcPr>
            <w:tcW w:w="1280" w:type="pct"/>
          </w:tcPr>
          <w:p w:rsidR="007C6471" w:rsidRPr="007A2258" w:rsidRDefault="007C6471" w:rsidP="007C6471">
            <w:pPr>
              <w:widowControl w:val="0"/>
              <w:spacing w:before="0" w:after="0"/>
              <w:jc w:val="both"/>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2,556,491</w:t>
            </w:r>
          </w:p>
        </w:tc>
        <w:tc>
          <w:tcPr>
            <w:tcW w:w="1129" w:type="pct"/>
          </w:tcPr>
          <w:p w:rsidR="007C6471" w:rsidRPr="007A2258" w:rsidRDefault="007C6471" w:rsidP="007C6471">
            <w:pPr>
              <w:widowControl w:val="0"/>
              <w:spacing w:before="0" w:after="0"/>
              <w:jc w:val="both"/>
              <w:rPr>
                <w:rFonts w:ascii="Arial Narrow" w:eastAsia="Times New Roman" w:hAnsi="Arial Narrow" w:cs="Arial"/>
                <w:snapToGrid w:val="0"/>
                <w:sz w:val="20"/>
                <w:szCs w:val="20"/>
              </w:rPr>
            </w:pPr>
            <w:r w:rsidRPr="009A66AF">
              <w:rPr>
                <w:rFonts w:ascii="Arial Narrow" w:eastAsia="Times New Roman" w:hAnsi="Arial Narrow" w:cs="Arial"/>
                <w:snapToGrid w:val="0"/>
                <w:sz w:val="20"/>
                <w:szCs w:val="20"/>
              </w:rPr>
              <w:t>5,315.60</w:t>
            </w:r>
          </w:p>
        </w:tc>
      </w:tr>
      <w:tr w:rsidR="008A2E2C" w:rsidRPr="007A2258" w:rsidTr="00CB0977">
        <w:tc>
          <w:tcPr>
            <w:tcW w:w="3871" w:type="pct"/>
            <w:gridSpan w:val="6"/>
          </w:tcPr>
          <w:p w:rsidR="007C6471" w:rsidRPr="007A2258" w:rsidRDefault="007C6471" w:rsidP="007C6471">
            <w:pPr>
              <w:widowControl w:val="0"/>
              <w:spacing w:before="0" w:after="0"/>
              <w:jc w:val="both"/>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Incremental cost/extra QALY gained, undiscounted</w:t>
            </w:r>
          </w:p>
        </w:tc>
        <w:tc>
          <w:tcPr>
            <w:tcW w:w="1129" w:type="pct"/>
          </w:tcPr>
          <w:p w:rsidR="007C6471" w:rsidRPr="007A2258" w:rsidRDefault="007C6471" w:rsidP="007C6471">
            <w:pPr>
              <w:widowControl w:val="0"/>
              <w:spacing w:before="0" w:after="0"/>
              <w:jc w:val="both"/>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Pr="009A66AF">
              <w:rPr>
                <w:rFonts w:ascii="Arial Narrow" w:eastAsia="Times New Roman" w:hAnsi="Arial Narrow" w:cs="Arial"/>
                <w:snapToGrid w:val="0"/>
                <w:sz w:val="20"/>
                <w:szCs w:val="20"/>
              </w:rPr>
              <w:t>28,759</w:t>
            </w:r>
          </w:p>
        </w:tc>
      </w:tr>
      <w:tr w:rsidR="008A2E2C" w:rsidRPr="007A2258" w:rsidTr="00CB0977">
        <w:tc>
          <w:tcPr>
            <w:tcW w:w="3871" w:type="pct"/>
            <w:gridSpan w:val="6"/>
            <w:tcBorders>
              <w:bottom w:val="single" w:sz="4" w:space="0" w:color="auto"/>
            </w:tcBorders>
          </w:tcPr>
          <w:p w:rsidR="007C6471" w:rsidRPr="007A2258" w:rsidRDefault="007C6471" w:rsidP="007C6471">
            <w:pPr>
              <w:widowControl w:val="0"/>
              <w:spacing w:before="0" w:after="0"/>
              <w:jc w:val="both"/>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Incremental cost/extra QALY gained, discounted</w:t>
            </w:r>
          </w:p>
        </w:tc>
        <w:tc>
          <w:tcPr>
            <w:tcW w:w="1129" w:type="pct"/>
            <w:tcBorders>
              <w:bottom w:val="single" w:sz="4" w:space="0" w:color="auto"/>
            </w:tcBorders>
          </w:tcPr>
          <w:p w:rsidR="007C6471" w:rsidRPr="007A2258" w:rsidRDefault="007C6471" w:rsidP="007C6471">
            <w:pPr>
              <w:widowControl w:val="0"/>
              <w:spacing w:before="0" w:after="0"/>
              <w:jc w:val="both"/>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Pr="009A66AF">
              <w:rPr>
                <w:rFonts w:ascii="Arial Narrow" w:eastAsia="Times New Roman" w:hAnsi="Arial Narrow" w:cs="Arial"/>
                <w:snapToGrid w:val="0"/>
                <w:sz w:val="20"/>
                <w:szCs w:val="20"/>
              </w:rPr>
              <w:t>1,143</w:t>
            </w:r>
          </w:p>
        </w:tc>
      </w:tr>
      <w:tr w:rsidR="008A2E2C" w:rsidRPr="007A2258" w:rsidTr="00CB0977">
        <w:tc>
          <w:tcPr>
            <w:tcW w:w="1290" w:type="pct"/>
            <w:gridSpan w:val="2"/>
            <w:tcBorders>
              <w:right w:val="nil"/>
            </w:tcBorders>
          </w:tcPr>
          <w:p w:rsidR="007C6471" w:rsidRPr="007A2258" w:rsidRDefault="007C6471" w:rsidP="007C6471">
            <w:pPr>
              <w:widowControl w:val="0"/>
              <w:spacing w:before="0" w:after="0"/>
              <w:jc w:val="both"/>
              <w:rPr>
                <w:rFonts w:ascii="Arial Narrow" w:eastAsia="Times New Roman" w:hAnsi="Arial Narrow" w:cs="Arial"/>
                <w:b/>
                <w:snapToGrid w:val="0"/>
                <w:sz w:val="20"/>
                <w:szCs w:val="20"/>
              </w:rPr>
            </w:pPr>
            <w:r w:rsidRPr="007A2258">
              <w:rPr>
                <w:rFonts w:ascii="Arial Narrow" w:eastAsia="Times New Roman" w:hAnsi="Arial Narrow" w:cs="Arial"/>
                <w:b/>
                <w:snapToGrid w:val="0"/>
                <w:sz w:val="20"/>
                <w:szCs w:val="20"/>
              </w:rPr>
              <w:t xml:space="preserve">Resubmission </w:t>
            </w:r>
          </w:p>
        </w:tc>
        <w:tc>
          <w:tcPr>
            <w:tcW w:w="1290" w:type="pct"/>
            <w:gridSpan w:val="2"/>
            <w:tcBorders>
              <w:left w:val="nil"/>
              <w:right w:val="nil"/>
            </w:tcBorders>
          </w:tcPr>
          <w:p w:rsidR="007C6471" w:rsidRPr="007A2258" w:rsidRDefault="007C6471" w:rsidP="007C6471">
            <w:pPr>
              <w:widowControl w:val="0"/>
              <w:spacing w:before="0" w:after="0"/>
              <w:jc w:val="both"/>
              <w:rPr>
                <w:rFonts w:ascii="Arial Narrow" w:eastAsia="Times New Roman" w:hAnsi="Arial Narrow" w:cs="Arial"/>
                <w:b/>
                <w:snapToGrid w:val="0"/>
                <w:sz w:val="20"/>
                <w:szCs w:val="20"/>
              </w:rPr>
            </w:pPr>
          </w:p>
        </w:tc>
        <w:tc>
          <w:tcPr>
            <w:tcW w:w="1291" w:type="pct"/>
            <w:gridSpan w:val="2"/>
            <w:tcBorders>
              <w:left w:val="nil"/>
              <w:right w:val="nil"/>
            </w:tcBorders>
          </w:tcPr>
          <w:p w:rsidR="007C6471" w:rsidRPr="007A2258" w:rsidRDefault="007C6471" w:rsidP="007C6471">
            <w:pPr>
              <w:widowControl w:val="0"/>
              <w:spacing w:before="0" w:after="0"/>
              <w:jc w:val="both"/>
              <w:rPr>
                <w:rFonts w:ascii="Arial Narrow" w:eastAsia="Times New Roman" w:hAnsi="Arial Narrow" w:cs="Arial"/>
                <w:b/>
                <w:snapToGrid w:val="0"/>
                <w:sz w:val="20"/>
                <w:szCs w:val="20"/>
              </w:rPr>
            </w:pPr>
          </w:p>
        </w:tc>
        <w:tc>
          <w:tcPr>
            <w:tcW w:w="1129" w:type="pct"/>
            <w:tcBorders>
              <w:left w:val="nil"/>
            </w:tcBorders>
          </w:tcPr>
          <w:p w:rsidR="007C6471" w:rsidRPr="007A2258" w:rsidRDefault="007C6471" w:rsidP="007C6471">
            <w:pPr>
              <w:widowControl w:val="0"/>
              <w:spacing w:before="0" w:after="0"/>
              <w:jc w:val="both"/>
              <w:rPr>
                <w:rFonts w:ascii="Arial Narrow" w:eastAsia="Times New Roman" w:hAnsi="Arial Narrow" w:cs="Arial"/>
                <w:b/>
                <w:snapToGrid w:val="0"/>
                <w:sz w:val="20"/>
                <w:szCs w:val="20"/>
              </w:rPr>
            </w:pPr>
          </w:p>
        </w:tc>
      </w:tr>
      <w:tr w:rsidR="008A2E2C" w:rsidRPr="007A2258" w:rsidTr="00CB0977">
        <w:tc>
          <w:tcPr>
            <w:tcW w:w="1290" w:type="pct"/>
            <w:gridSpan w:val="2"/>
          </w:tcPr>
          <w:p w:rsidR="007C6471" w:rsidRPr="007A2258" w:rsidRDefault="007C6471" w:rsidP="007C6471">
            <w:pPr>
              <w:widowControl w:val="0"/>
              <w:spacing w:before="0" w:after="0"/>
              <w:jc w:val="both"/>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Costs, undiscounted</w:t>
            </w:r>
          </w:p>
        </w:tc>
        <w:tc>
          <w:tcPr>
            <w:tcW w:w="1290" w:type="pct"/>
            <w:gridSpan w:val="2"/>
          </w:tcPr>
          <w:p w:rsidR="007C6471" w:rsidRPr="007A2258" w:rsidRDefault="007C6471" w:rsidP="007C6471">
            <w:pPr>
              <w:widowControl w:val="0"/>
              <w:spacing w:before="0" w:after="0"/>
              <w:jc w:val="both"/>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c>
          <w:tcPr>
            <w:tcW w:w="1291" w:type="pct"/>
            <w:gridSpan w:val="2"/>
          </w:tcPr>
          <w:p w:rsidR="007C6471" w:rsidRPr="007A2258" w:rsidRDefault="007C6471" w:rsidP="007C6471">
            <w:pPr>
              <w:widowControl w:val="0"/>
              <w:spacing w:before="0" w:after="0"/>
              <w:jc w:val="both"/>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c>
          <w:tcPr>
            <w:tcW w:w="1129" w:type="pct"/>
          </w:tcPr>
          <w:p w:rsidR="007C6471" w:rsidRPr="007A2258" w:rsidRDefault="007C6471" w:rsidP="007C6471">
            <w:pPr>
              <w:widowControl w:val="0"/>
              <w:spacing w:before="0" w:after="0"/>
              <w:jc w:val="both"/>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r>
      <w:tr w:rsidR="008A2E2C" w:rsidRPr="007A2258" w:rsidTr="00CB0977">
        <w:tc>
          <w:tcPr>
            <w:tcW w:w="1290" w:type="pct"/>
            <w:gridSpan w:val="2"/>
          </w:tcPr>
          <w:p w:rsidR="007C6471" w:rsidRPr="007A2258" w:rsidRDefault="007C6471" w:rsidP="007C6471">
            <w:pPr>
              <w:widowControl w:val="0"/>
              <w:spacing w:before="0" w:after="0"/>
              <w:jc w:val="both"/>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QALY, undiscounted</w:t>
            </w:r>
          </w:p>
        </w:tc>
        <w:tc>
          <w:tcPr>
            <w:tcW w:w="1290" w:type="pct"/>
            <w:gridSpan w:val="2"/>
          </w:tcPr>
          <w:p w:rsidR="007C6471" w:rsidRPr="007A2258" w:rsidRDefault="007C6471" w:rsidP="007C6471">
            <w:pPr>
              <w:widowControl w:val="0"/>
              <w:spacing w:before="0" w:after="0"/>
              <w:jc w:val="both"/>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2,645,687</w:t>
            </w:r>
          </w:p>
        </w:tc>
        <w:tc>
          <w:tcPr>
            <w:tcW w:w="1291" w:type="pct"/>
            <w:gridSpan w:val="2"/>
          </w:tcPr>
          <w:p w:rsidR="007C6471" w:rsidRPr="007A2258" w:rsidRDefault="007C6471" w:rsidP="007C6471">
            <w:pPr>
              <w:widowControl w:val="0"/>
              <w:spacing w:before="0" w:after="0"/>
              <w:jc w:val="both"/>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2,629,156</w:t>
            </w:r>
          </w:p>
        </w:tc>
        <w:tc>
          <w:tcPr>
            <w:tcW w:w="1129" w:type="pct"/>
          </w:tcPr>
          <w:p w:rsidR="007C6471" w:rsidRPr="007A2258" w:rsidRDefault="007C6471" w:rsidP="007C6471">
            <w:pPr>
              <w:widowControl w:val="0"/>
              <w:spacing w:before="0" w:after="0"/>
              <w:jc w:val="both"/>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16,531</w:t>
            </w:r>
          </w:p>
        </w:tc>
      </w:tr>
      <w:tr w:rsidR="008A2E2C" w:rsidRPr="007A2258" w:rsidTr="00CB0977">
        <w:tc>
          <w:tcPr>
            <w:tcW w:w="3871" w:type="pct"/>
            <w:gridSpan w:val="6"/>
          </w:tcPr>
          <w:p w:rsidR="007C6471" w:rsidRPr="007A2258" w:rsidRDefault="007C6471" w:rsidP="007C6471">
            <w:pPr>
              <w:widowControl w:val="0"/>
              <w:spacing w:before="0" w:after="0"/>
              <w:jc w:val="both"/>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Incremental cost/extra QALY gained, undiscounted</w:t>
            </w:r>
          </w:p>
        </w:tc>
        <w:tc>
          <w:tcPr>
            <w:tcW w:w="1129" w:type="pct"/>
          </w:tcPr>
          <w:p w:rsidR="007C6471" w:rsidRPr="007A2258" w:rsidRDefault="007C6471" w:rsidP="007C6471">
            <w:pPr>
              <w:widowControl w:val="0"/>
              <w:spacing w:before="0" w:after="0"/>
              <w:jc w:val="both"/>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r>
      <w:tr w:rsidR="008A2E2C" w:rsidRPr="007A2258" w:rsidTr="00CB0977">
        <w:tc>
          <w:tcPr>
            <w:tcW w:w="3871" w:type="pct"/>
            <w:gridSpan w:val="6"/>
          </w:tcPr>
          <w:p w:rsidR="007C6471" w:rsidRPr="007A2258" w:rsidRDefault="007C6471" w:rsidP="007C6471">
            <w:pPr>
              <w:widowControl w:val="0"/>
              <w:spacing w:before="0" w:after="0"/>
              <w:jc w:val="both"/>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Incremental cost/extra QALY gained, discounted</w:t>
            </w:r>
          </w:p>
        </w:tc>
        <w:tc>
          <w:tcPr>
            <w:tcW w:w="1129" w:type="pct"/>
          </w:tcPr>
          <w:p w:rsidR="007C6471" w:rsidRPr="007A2258" w:rsidRDefault="007C6471" w:rsidP="007C6471">
            <w:pPr>
              <w:widowControl w:val="0"/>
              <w:spacing w:before="0" w:after="0"/>
              <w:jc w:val="both"/>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r>
    </w:tbl>
    <w:p w:rsidR="007C6471" w:rsidRPr="007A2258" w:rsidRDefault="007C6471" w:rsidP="007C6471">
      <w:pPr>
        <w:widowControl w:val="0"/>
        <w:spacing w:before="0" w:after="0"/>
        <w:jc w:val="both"/>
        <w:rPr>
          <w:rFonts w:ascii="Arial Narrow" w:eastAsia="Times New Roman" w:hAnsi="Arial Narrow" w:cs="Arial"/>
          <w:snapToGrid w:val="0"/>
          <w:sz w:val="18"/>
          <w:szCs w:val="20"/>
        </w:rPr>
      </w:pPr>
      <w:r w:rsidRPr="007A2258">
        <w:rPr>
          <w:rFonts w:ascii="Arial Narrow" w:eastAsia="Times New Roman" w:hAnsi="Arial Narrow" w:cs="Arial"/>
          <w:snapToGrid w:val="0"/>
          <w:sz w:val="18"/>
          <w:szCs w:val="20"/>
        </w:rPr>
        <w:t>Source: Tables D-21 pp 176 of the July 2016 submission. Table D.19, D.20, P.94-95 of the resubmission</w:t>
      </w:r>
    </w:p>
    <w:p w:rsidR="007C6471" w:rsidRPr="007A2258" w:rsidRDefault="007C6471" w:rsidP="007C6471">
      <w:pPr>
        <w:widowControl w:val="0"/>
        <w:spacing w:before="0" w:after="0"/>
        <w:jc w:val="both"/>
        <w:rPr>
          <w:rFonts w:ascii="Arial Narrow" w:eastAsia="Times New Roman" w:hAnsi="Arial Narrow" w:cs="Arial"/>
          <w:snapToGrid w:val="0"/>
          <w:sz w:val="18"/>
          <w:szCs w:val="20"/>
        </w:rPr>
      </w:pPr>
      <w:r w:rsidRPr="007A2258">
        <w:rPr>
          <w:rFonts w:ascii="Arial Narrow" w:eastAsia="Times New Roman" w:hAnsi="Arial Narrow" w:cs="Arial"/>
          <w:snapToGrid w:val="0"/>
          <w:sz w:val="18"/>
          <w:szCs w:val="20"/>
        </w:rPr>
        <w:t>Abbreviations: QALY = quality-adjusted life year, SOC = standard of care.</w:t>
      </w:r>
    </w:p>
    <w:p w:rsidR="007C6471" w:rsidRPr="007A2258" w:rsidRDefault="007C6471" w:rsidP="007C6471">
      <w:pPr>
        <w:widowControl w:val="0"/>
        <w:spacing w:before="0" w:after="0"/>
        <w:jc w:val="both"/>
        <w:rPr>
          <w:rFonts w:ascii="Arial Narrow" w:eastAsia="Times New Roman" w:hAnsi="Arial Narrow" w:cs="Arial"/>
          <w:snapToGrid w:val="0"/>
          <w:sz w:val="18"/>
          <w:szCs w:val="20"/>
        </w:rPr>
      </w:pPr>
    </w:p>
    <w:p w:rsidR="007C6471" w:rsidRPr="007A2258" w:rsidRDefault="007C6471" w:rsidP="007A2258">
      <w:pPr>
        <w:pStyle w:val="ListParagraph"/>
        <w:numPr>
          <w:ilvl w:val="1"/>
          <w:numId w:val="23"/>
        </w:numPr>
        <w:spacing w:before="0" w:after="0"/>
        <w:jc w:val="both"/>
      </w:pPr>
      <w:r w:rsidRPr="007A2258">
        <w:t xml:space="preserve">The model in the resubmission produced an ICER of </w:t>
      </w:r>
      <w:r w:rsidR="00126C49">
        <w:t>more than $200,000</w:t>
      </w:r>
      <w:r w:rsidRPr="007A2258">
        <w:t xml:space="preserve"> per QALY gained. This </w:t>
      </w:r>
      <w:r w:rsidR="003B1222" w:rsidRPr="007A2258">
        <w:t xml:space="preserve">compares with </w:t>
      </w:r>
      <w:r w:rsidRPr="007A2258">
        <w:t xml:space="preserve">TDF/FTC + SOC </w:t>
      </w:r>
      <w:r w:rsidR="003B1222" w:rsidRPr="007A2258">
        <w:t>being</w:t>
      </w:r>
      <w:r w:rsidR="009D24CB" w:rsidRPr="007A2258">
        <w:t xml:space="preserve"> </w:t>
      </w:r>
      <w:r w:rsidRPr="007A2258">
        <w:t>dominant over SOC</w:t>
      </w:r>
      <w:r w:rsidR="0086480E" w:rsidRPr="007A2258">
        <w:t xml:space="preserve"> in the July 2016 submission</w:t>
      </w:r>
      <w:r w:rsidRPr="007A2258">
        <w:t xml:space="preserve">. The main reasons for the difference in the ICER were as follows: </w:t>
      </w:r>
    </w:p>
    <w:p w:rsidR="007C6471" w:rsidRPr="007A2258" w:rsidRDefault="007C6471" w:rsidP="007A2258">
      <w:pPr>
        <w:pStyle w:val="ListParagraph"/>
        <w:numPr>
          <w:ilvl w:val="0"/>
          <w:numId w:val="16"/>
        </w:numPr>
        <w:spacing w:before="0" w:after="0"/>
        <w:ind w:left="993"/>
        <w:jc w:val="both"/>
      </w:pPr>
      <w:r w:rsidRPr="007A2258">
        <w:t xml:space="preserve">Incorporating a broader population of medium to </w:t>
      </w:r>
      <w:r w:rsidR="00FD336B" w:rsidRPr="007A2258">
        <w:t>high-</w:t>
      </w:r>
      <w:r w:rsidRPr="007A2258">
        <w:t>risk individuals with removal of the 3%</w:t>
      </w:r>
      <w:r w:rsidR="00EB6428" w:rsidRPr="007A2258">
        <w:t xml:space="preserve"> annual risk</w:t>
      </w:r>
      <w:r w:rsidRPr="007A2258">
        <w:t xml:space="preserve"> eligibility criteria, resulted in higher PrEP uptake. This had the effect of increasing costs more than proportionately to be offset by improved efficacy through broader PrEP use</w:t>
      </w:r>
      <w:r w:rsidR="00FD336B" w:rsidRPr="007A2258">
        <w:t xml:space="preserve"> (resulting in a higher ICER)</w:t>
      </w:r>
      <w:r w:rsidRPr="007A2258">
        <w:t>.</w:t>
      </w:r>
    </w:p>
    <w:p w:rsidR="007C6471" w:rsidRPr="007A2258" w:rsidRDefault="007C6471" w:rsidP="007A2258">
      <w:pPr>
        <w:pStyle w:val="ListParagraph"/>
        <w:numPr>
          <w:ilvl w:val="0"/>
          <w:numId w:val="16"/>
        </w:numPr>
        <w:spacing w:before="0" w:after="0"/>
        <w:ind w:left="993"/>
        <w:jc w:val="both"/>
      </w:pPr>
      <w:r w:rsidRPr="007A2258">
        <w:t xml:space="preserve">Removal of the continuation threshold, therefore, </w:t>
      </w:r>
      <w:r w:rsidR="00972054" w:rsidRPr="007A2258">
        <w:t xml:space="preserve">resulting in </w:t>
      </w:r>
      <w:r w:rsidRPr="007A2258">
        <w:t xml:space="preserve">no minimum risk </w:t>
      </w:r>
      <w:r w:rsidR="00972054" w:rsidRPr="007A2258">
        <w:t xml:space="preserve">eligibility </w:t>
      </w:r>
      <w:r w:rsidRPr="007A2258">
        <w:t>for continuation</w:t>
      </w:r>
      <w:r w:rsidR="00972054" w:rsidRPr="007A2258">
        <w:t xml:space="preserve"> of PrEP</w:t>
      </w:r>
      <w:r w:rsidRPr="007A2258">
        <w:t xml:space="preserve">. </w:t>
      </w:r>
      <w:r w:rsidR="00972054" w:rsidRPr="007A2258">
        <w:t xml:space="preserve">The removal of the continuation threshold allowed more participants who initiate PrEP to continue to receive PrEP in subsequent cycles compared to the July 2016 submission (see Figure 1). This may not be reasonable given the potential for the use of intermittent dosing of TDF/FTC as PrEP. The </w:t>
      </w:r>
      <w:r w:rsidRPr="007A2258">
        <w:t>increase in the proportion of individuals remaining on TDF/FTC throughout the duration of the model</w:t>
      </w:r>
      <w:r w:rsidR="00972054" w:rsidRPr="007A2258">
        <w:t xml:space="preserve"> </w:t>
      </w:r>
      <w:r w:rsidRPr="007A2258">
        <w:t>contribut</w:t>
      </w:r>
      <w:r w:rsidR="00972054" w:rsidRPr="007A2258">
        <w:t>ed</w:t>
      </w:r>
      <w:r w:rsidRPr="007A2258">
        <w:t xml:space="preserve"> to a higher cost of TDF/FTC. The corresponding increase in QALYs due to higher uptake was proportionately less than the cost increase</w:t>
      </w:r>
      <w:r w:rsidR="00FD336B" w:rsidRPr="007A2258">
        <w:t>, resulting in an increase in the ICER</w:t>
      </w:r>
      <w:r w:rsidRPr="007A2258">
        <w:t xml:space="preserve">. </w:t>
      </w:r>
    </w:p>
    <w:p w:rsidR="007C6471" w:rsidRPr="007A2258" w:rsidRDefault="007C6471" w:rsidP="007A2258">
      <w:pPr>
        <w:pStyle w:val="ListParagraph"/>
        <w:numPr>
          <w:ilvl w:val="0"/>
          <w:numId w:val="16"/>
        </w:numPr>
        <w:spacing w:before="0" w:after="0"/>
        <w:ind w:left="993"/>
        <w:jc w:val="both"/>
      </w:pPr>
      <w:r w:rsidRPr="007A2258">
        <w:t xml:space="preserve">The overall occurrence of HIV infections increased as a result of the change in the eligible population and the modelling of HIV transmission that removed the rapid exhaustion of HIV transmission. </w:t>
      </w:r>
      <w:r w:rsidR="00972054" w:rsidRPr="007A2258">
        <w:t>HIV infections avoided increased by more than 6 times in the resubmission compared to the July 2016 submission (yet the eligible population increased by less than 4 times) (see Table 1</w:t>
      </w:r>
      <w:r w:rsidR="00FE73D1" w:rsidRPr="007A2258">
        <w:t>4</w:t>
      </w:r>
      <w:r w:rsidR="00972054" w:rsidRPr="007A2258">
        <w:t xml:space="preserve">). </w:t>
      </w:r>
      <w:r w:rsidRPr="007A2258">
        <w:t xml:space="preserve">Thus, while the total QALYs gained increased, the increase (due to the population expansion) was less than proportional to the increase in costs, resulting in a worsening of the ICER. </w:t>
      </w:r>
    </w:p>
    <w:p w:rsidR="007C6471" w:rsidRPr="007A2258" w:rsidRDefault="007C6471" w:rsidP="007A2258">
      <w:pPr>
        <w:pStyle w:val="ListParagraph"/>
        <w:numPr>
          <w:ilvl w:val="0"/>
          <w:numId w:val="16"/>
        </w:numPr>
        <w:spacing w:before="0" w:after="0"/>
        <w:ind w:left="993"/>
        <w:jc w:val="both"/>
      </w:pPr>
      <w:r w:rsidRPr="007A2258">
        <w:t>TDF/FTC is proposed for listing as a Section 85 benefit item, resulting in a higher per unit cost and higher treatment costs overall.</w:t>
      </w:r>
    </w:p>
    <w:p w:rsidR="007C6471" w:rsidRPr="007A2258" w:rsidRDefault="007C6471" w:rsidP="007A2258">
      <w:pPr>
        <w:pStyle w:val="ListParagraph"/>
        <w:numPr>
          <w:ilvl w:val="0"/>
          <w:numId w:val="16"/>
        </w:numPr>
        <w:spacing w:before="0" w:after="0"/>
        <w:ind w:left="993"/>
        <w:jc w:val="both"/>
      </w:pPr>
      <w:r w:rsidRPr="007A2258">
        <w:t>Reduction in the frequency of HIV and other testing in the SOC arm, reducing the SOC associated costs and resulting in a higher incremental cost for TDF/FTC.</w:t>
      </w:r>
    </w:p>
    <w:p w:rsidR="00904455" w:rsidRDefault="00904455" w:rsidP="00904455">
      <w:pPr>
        <w:pStyle w:val="Caption"/>
      </w:pPr>
      <w:r>
        <w:t xml:space="preserve">Figure </w:t>
      </w:r>
      <w:r w:rsidR="004F50B1">
        <w:rPr>
          <w:noProof/>
        </w:rPr>
        <w:t>1</w:t>
      </w:r>
      <w:r w:rsidRPr="003A3677">
        <w:t>: Subjects receiving PrEP over time</w:t>
      </w:r>
    </w:p>
    <w:p w:rsidR="007C6471" w:rsidRPr="007A2258" w:rsidRDefault="007C6471" w:rsidP="005E54E3">
      <w:pPr>
        <w:pStyle w:val="ListParagraph"/>
        <w:keepNext/>
        <w:widowControl w:val="0"/>
        <w:ind w:left="0"/>
      </w:pPr>
      <w:r w:rsidRPr="007A2258">
        <w:rPr>
          <w:noProof/>
          <w:lang w:eastAsia="en-AU"/>
        </w:rPr>
        <w:drawing>
          <wp:inline distT="0" distB="0" distL="0" distR="0" wp14:anchorId="7A1B86CE" wp14:editId="0D0F8C5E">
            <wp:extent cx="5264331" cy="2632166"/>
            <wp:effectExtent l="0" t="0" r="0" b="0"/>
            <wp:docPr id="1" name="Picture 1" title="Subjects receiving PrEP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7959" cy="2633980"/>
                    </a:xfrm>
                    <a:prstGeom prst="rect">
                      <a:avLst/>
                    </a:prstGeom>
                    <a:noFill/>
                  </pic:spPr>
                </pic:pic>
              </a:graphicData>
            </a:graphic>
          </wp:inline>
        </w:drawing>
      </w:r>
    </w:p>
    <w:p w:rsidR="007C6471" w:rsidRDefault="007C6471" w:rsidP="001174D3">
      <w:pPr>
        <w:pStyle w:val="TableFooter"/>
        <w:keepNext/>
      </w:pPr>
      <w:r w:rsidRPr="007A2258">
        <w:t>Source: Excel spreadsheet of the resubmission ‘Section D Workbook “PrEP, column Q” and July 2016 submission “Truvada PrEP Section D Simulation Results 3 – Base Case, “Susceptible PrEP, column J”</w:t>
      </w:r>
    </w:p>
    <w:p w:rsidR="00B06F68" w:rsidRDefault="00B06F68" w:rsidP="001174D3">
      <w:pPr>
        <w:pStyle w:val="TableFooter"/>
        <w:keepNext/>
      </w:pPr>
    </w:p>
    <w:p w:rsidR="00B06F68" w:rsidRPr="007A2258" w:rsidRDefault="00B06F68" w:rsidP="00B06F68">
      <w:pPr>
        <w:pStyle w:val="ListParagraph"/>
        <w:numPr>
          <w:ilvl w:val="1"/>
          <w:numId w:val="23"/>
        </w:numPr>
        <w:jc w:val="both"/>
      </w:pPr>
      <w:r>
        <w:t xml:space="preserve">The PBAC noted the economic model included in the resubmission assumed that individuals essentially remain on PrEP indefinitely and considered that this was not reflective of the way PrEP would be used in practice, </w:t>
      </w:r>
      <w:r w:rsidR="00346AD4">
        <w:t>however</w:t>
      </w:r>
      <w:r>
        <w:t xml:space="preserve"> the impact of adherence could not be tested in the model.</w:t>
      </w:r>
    </w:p>
    <w:p w:rsidR="00904455" w:rsidRDefault="00904455" w:rsidP="00904455">
      <w:pPr>
        <w:pStyle w:val="Caption"/>
      </w:pPr>
      <w:r>
        <w:t xml:space="preserve">Table </w:t>
      </w:r>
      <w:r w:rsidR="004F50B1">
        <w:rPr>
          <w:noProof/>
        </w:rPr>
        <w:t>14</w:t>
      </w:r>
      <w:r w:rsidRPr="007D58E0">
        <w:t>: Incident HIV infections and death</w:t>
      </w:r>
    </w:p>
    <w:tbl>
      <w:tblPr>
        <w:tblStyle w:val="TableGridbeth2"/>
        <w:tblW w:w="0" w:type="auto"/>
        <w:tblCellMar>
          <w:left w:w="0" w:type="dxa"/>
          <w:right w:w="0" w:type="dxa"/>
        </w:tblCellMar>
        <w:tblLook w:val="04A0" w:firstRow="1" w:lastRow="0" w:firstColumn="1" w:lastColumn="0" w:noHBand="0" w:noVBand="1"/>
        <w:tblCaption w:val="Incident HIV infections and death "/>
      </w:tblPr>
      <w:tblGrid>
        <w:gridCol w:w="3266"/>
        <w:gridCol w:w="3118"/>
        <w:gridCol w:w="2552"/>
      </w:tblGrid>
      <w:tr w:rsidR="008A2E2C" w:rsidRPr="007A2258" w:rsidTr="000F50A6">
        <w:trPr>
          <w:tblHeader/>
        </w:trPr>
        <w:tc>
          <w:tcPr>
            <w:tcW w:w="3266" w:type="dxa"/>
            <w:vAlign w:val="center"/>
          </w:tcPr>
          <w:p w:rsidR="007C6471" w:rsidRPr="007A2258" w:rsidRDefault="007C6471" w:rsidP="007C6471">
            <w:pPr>
              <w:keepNext/>
              <w:widowControl w:val="0"/>
              <w:spacing w:before="0"/>
              <w:rPr>
                <w:rFonts w:ascii="Arial Narrow" w:hAnsi="Arial Narrow" w:cs="Arial"/>
                <w:b/>
                <w:snapToGrid w:val="0"/>
                <w:sz w:val="20"/>
              </w:rPr>
            </w:pPr>
          </w:p>
        </w:tc>
        <w:tc>
          <w:tcPr>
            <w:tcW w:w="3118" w:type="dxa"/>
            <w:vAlign w:val="center"/>
          </w:tcPr>
          <w:p w:rsidR="007C6471" w:rsidRPr="007A2258" w:rsidRDefault="007C6471" w:rsidP="007C6471">
            <w:pPr>
              <w:keepNext/>
              <w:widowControl w:val="0"/>
              <w:spacing w:before="0"/>
              <w:rPr>
                <w:rFonts w:ascii="Arial Narrow" w:hAnsi="Arial Narrow" w:cs="Arial"/>
                <w:b/>
                <w:snapToGrid w:val="0"/>
                <w:sz w:val="20"/>
              </w:rPr>
            </w:pPr>
            <w:r w:rsidRPr="007A2258">
              <w:rPr>
                <w:rFonts w:ascii="Arial Narrow" w:hAnsi="Arial Narrow" w:cs="Arial"/>
                <w:b/>
                <w:snapToGrid w:val="0"/>
                <w:sz w:val="20"/>
              </w:rPr>
              <w:t>July 2016 submission (Model 2)</w:t>
            </w:r>
          </w:p>
        </w:tc>
        <w:tc>
          <w:tcPr>
            <w:tcW w:w="2552" w:type="dxa"/>
            <w:vAlign w:val="center"/>
          </w:tcPr>
          <w:p w:rsidR="007C6471" w:rsidRPr="007A2258" w:rsidRDefault="007C6471" w:rsidP="007C6471">
            <w:pPr>
              <w:keepNext/>
              <w:widowControl w:val="0"/>
              <w:spacing w:before="0"/>
              <w:rPr>
                <w:rFonts w:ascii="Arial Narrow" w:hAnsi="Arial Narrow" w:cs="Arial"/>
                <w:b/>
                <w:snapToGrid w:val="0"/>
                <w:sz w:val="20"/>
              </w:rPr>
            </w:pPr>
            <w:r w:rsidRPr="007A2258">
              <w:rPr>
                <w:rFonts w:ascii="Arial Narrow" w:hAnsi="Arial Narrow" w:cs="Arial"/>
                <w:b/>
                <w:snapToGrid w:val="0"/>
                <w:sz w:val="20"/>
              </w:rPr>
              <w:t>Resubmission</w:t>
            </w:r>
          </w:p>
        </w:tc>
      </w:tr>
      <w:tr w:rsidR="008A2E2C" w:rsidRPr="007A2258" w:rsidTr="00CB0977">
        <w:tc>
          <w:tcPr>
            <w:tcW w:w="3266" w:type="dxa"/>
            <w:vAlign w:val="center"/>
          </w:tcPr>
          <w:p w:rsidR="007C6471" w:rsidRPr="007A2258" w:rsidRDefault="007C6471" w:rsidP="007C6471">
            <w:pPr>
              <w:widowControl w:val="0"/>
              <w:spacing w:before="0"/>
              <w:rPr>
                <w:rFonts w:ascii="Arial Narrow" w:hAnsi="Arial Narrow" w:cs="Arial"/>
                <w:snapToGrid w:val="0"/>
                <w:sz w:val="20"/>
              </w:rPr>
            </w:pPr>
            <w:r w:rsidRPr="007A2258">
              <w:rPr>
                <w:rFonts w:ascii="Arial Narrow" w:hAnsi="Arial Narrow" w:cs="Arial"/>
                <w:snapToGrid w:val="0"/>
                <w:sz w:val="20"/>
              </w:rPr>
              <w:t>Susceptible subjects</w:t>
            </w:r>
          </w:p>
        </w:tc>
        <w:tc>
          <w:tcPr>
            <w:tcW w:w="3118" w:type="dxa"/>
            <w:vAlign w:val="center"/>
          </w:tcPr>
          <w:p w:rsidR="007C6471" w:rsidRPr="007A2258" w:rsidRDefault="007C6471" w:rsidP="007C6471">
            <w:pPr>
              <w:widowControl w:val="0"/>
              <w:spacing w:before="0"/>
              <w:rPr>
                <w:rFonts w:ascii="Arial Narrow" w:hAnsi="Arial Narrow" w:cs="Arial"/>
                <w:snapToGrid w:val="0"/>
                <w:sz w:val="20"/>
              </w:rPr>
            </w:pPr>
            <w:r w:rsidRPr="007A2258">
              <w:rPr>
                <w:rFonts w:ascii="Arial Narrow" w:hAnsi="Arial Narrow" w:cs="Arial"/>
                <w:snapToGrid w:val="0"/>
                <w:sz w:val="20"/>
              </w:rPr>
              <w:t>134,000</w:t>
            </w:r>
          </w:p>
        </w:tc>
        <w:tc>
          <w:tcPr>
            <w:tcW w:w="2552" w:type="dxa"/>
            <w:vAlign w:val="center"/>
          </w:tcPr>
          <w:p w:rsidR="007C6471" w:rsidRPr="007A2258" w:rsidRDefault="007C6471" w:rsidP="007C6471">
            <w:pPr>
              <w:widowControl w:val="0"/>
              <w:spacing w:before="0"/>
              <w:rPr>
                <w:rFonts w:ascii="Arial Narrow" w:hAnsi="Arial Narrow" w:cs="Arial"/>
                <w:snapToGrid w:val="0"/>
                <w:sz w:val="20"/>
              </w:rPr>
            </w:pPr>
            <w:r w:rsidRPr="007A2258">
              <w:rPr>
                <w:rFonts w:ascii="Arial Narrow" w:hAnsi="Arial Narrow" w:cs="Arial"/>
                <w:snapToGrid w:val="0"/>
                <w:sz w:val="20"/>
              </w:rPr>
              <w:t>135,750</w:t>
            </w:r>
          </w:p>
        </w:tc>
      </w:tr>
      <w:tr w:rsidR="008A2E2C" w:rsidRPr="007A2258" w:rsidTr="00CB0977">
        <w:tc>
          <w:tcPr>
            <w:tcW w:w="3266" w:type="dxa"/>
            <w:vAlign w:val="center"/>
          </w:tcPr>
          <w:p w:rsidR="007C6471" w:rsidRPr="007A2258" w:rsidRDefault="007C6471" w:rsidP="007C6471">
            <w:pPr>
              <w:widowControl w:val="0"/>
              <w:spacing w:before="0"/>
              <w:rPr>
                <w:rFonts w:ascii="Arial Narrow" w:hAnsi="Arial Narrow" w:cs="Arial"/>
                <w:snapToGrid w:val="0"/>
                <w:sz w:val="20"/>
              </w:rPr>
            </w:pPr>
            <w:r w:rsidRPr="007A2258">
              <w:rPr>
                <w:rFonts w:ascii="Arial Narrow" w:hAnsi="Arial Narrow" w:cs="Arial"/>
                <w:snapToGrid w:val="0"/>
                <w:sz w:val="20"/>
              </w:rPr>
              <w:t xml:space="preserve">Eligible subjects </w:t>
            </w:r>
          </w:p>
        </w:tc>
        <w:tc>
          <w:tcPr>
            <w:tcW w:w="3118" w:type="dxa"/>
            <w:vAlign w:val="center"/>
          </w:tcPr>
          <w:p w:rsidR="007C6471" w:rsidRPr="007A2258" w:rsidRDefault="007C6471" w:rsidP="007C6471">
            <w:pPr>
              <w:widowControl w:val="0"/>
              <w:spacing w:before="0"/>
              <w:rPr>
                <w:rFonts w:ascii="Arial Narrow" w:hAnsi="Arial Narrow" w:cs="Arial"/>
                <w:snapToGrid w:val="0"/>
                <w:sz w:val="20"/>
              </w:rPr>
            </w:pPr>
            <w:r w:rsidRPr="007A2258">
              <w:rPr>
                <w:rFonts w:ascii="Arial Narrow" w:hAnsi="Arial Narrow" w:cs="Arial"/>
                <w:snapToGrid w:val="0"/>
                <w:sz w:val="20"/>
              </w:rPr>
              <w:t>8,944 (criteria eligible)</w:t>
            </w:r>
          </w:p>
        </w:tc>
        <w:tc>
          <w:tcPr>
            <w:tcW w:w="2552" w:type="dxa"/>
            <w:vAlign w:val="center"/>
          </w:tcPr>
          <w:p w:rsidR="007C6471" w:rsidRPr="007A2258" w:rsidRDefault="007C6471" w:rsidP="007C6471">
            <w:pPr>
              <w:widowControl w:val="0"/>
              <w:spacing w:before="0"/>
              <w:rPr>
                <w:rFonts w:ascii="Arial Narrow" w:hAnsi="Arial Narrow" w:cs="Arial"/>
                <w:snapToGrid w:val="0"/>
                <w:sz w:val="20"/>
              </w:rPr>
            </w:pPr>
            <w:r w:rsidRPr="007A2258">
              <w:rPr>
                <w:rFonts w:ascii="Arial Narrow" w:hAnsi="Arial Narrow" w:cs="Arial"/>
                <w:snapToGrid w:val="0"/>
                <w:sz w:val="20"/>
              </w:rPr>
              <w:t>32,999 (initiation risk)</w:t>
            </w:r>
          </w:p>
        </w:tc>
      </w:tr>
      <w:tr w:rsidR="008A2E2C" w:rsidRPr="007A2258" w:rsidTr="00CB0977">
        <w:tc>
          <w:tcPr>
            <w:tcW w:w="3266" w:type="dxa"/>
            <w:vAlign w:val="center"/>
          </w:tcPr>
          <w:p w:rsidR="007C6471" w:rsidRPr="007A2258" w:rsidRDefault="007C6471" w:rsidP="007C6471">
            <w:pPr>
              <w:widowControl w:val="0"/>
              <w:spacing w:before="0"/>
              <w:rPr>
                <w:rFonts w:ascii="Arial Narrow" w:hAnsi="Arial Narrow" w:cs="Arial"/>
                <w:snapToGrid w:val="0"/>
                <w:sz w:val="20"/>
              </w:rPr>
            </w:pPr>
            <w:r w:rsidRPr="007A2258">
              <w:rPr>
                <w:rFonts w:ascii="Arial Narrow" w:hAnsi="Arial Narrow" w:cs="Arial"/>
                <w:snapToGrid w:val="0"/>
                <w:sz w:val="20"/>
              </w:rPr>
              <w:t>HIV infections with no PrEP (SOC alone)</w:t>
            </w:r>
          </w:p>
        </w:tc>
        <w:tc>
          <w:tcPr>
            <w:tcW w:w="3118" w:type="dxa"/>
            <w:vAlign w:val="center"/>
          </w:tcPr>
          <w:p w:rsidR="007C6471" w:rsidRPr="007A2258" w:rsidRDefault="007C6471" w:rsidP="007C6471">
            <w:pPr>
              <w:widowControl w:val="0"/>
              <w:spacing w:before="0"/>
              <w:rPr>
                <w:rFonts w:ascii="Arial Narrow" w:hAnsi="Arial Narrow" w:cs="Arial"/>
                <w:snapToGrid w:val="0"/>
                <w:sz w:val="20"/>
              </w:rPr>
            </w:pPr>
            <w:r w:rsidRPr="007A2258">
              <w:rPr>
                <w:rFonts w:ascii="Arial Narrow" w:hAnsi="Arial Narrow" w:cs="Arial"/>
                <w:snapToGrid w:val="0"/>
                <w:sz w:val="20"/>
              </w:rPr>
              <w:t>5,842</w:t>
            </w:r>
          </w:p>
        </w:tc>
        <w:tc>
          <w:tcPr>
            <w:tcW w:w="2552" w:type="dxa"/>
            <w:vAlign w:val="center"/>
          </w:tcPr>
          <w:p w:rsidR="007C6471" w:rsidRPr="007A2258" w:rsidRDefault="007C6471" w:rsidP="007C6471">
            <w:pPr>
              <w:widowControl w:val="0"/>
              <w:spacing w:before="0"/>
              <w:rPr>
                <w:rFonts w:ascii="Arial Narrow" w:hAnsi="Arial Narrow" w:cs="Arial"/>
                <w:snapToGrid w:val="0"/>
                <w:sz w:val="20"/>
              </w:rPr>
            </w:pPr>
            <w:r w:rsidRPr="007A2258">
              <w:rPr>
                <w:rFonts w:ascii="Arial Narrow" w:hAnsi="Arial Narrow" w:cs="Arial"/>
                <w:snapToGrid w:val="0"/>
                <w:sz w:val="20"/>
              </w:rPr>
              <w:t>19,614</w:t>
            </w:r>
          </w:p>
        </w:tc>
      </w:tr>
      <w:tr w:rsidR="008A2E2C" w:rsidRPr="007A2258" w:rsidTr="00CB0977">
        <w:tc>
          <w:tcPr>
            <w:tcW w:w="3266" w:type="dxa"/>
            <w:vAlign w:val="center"/>
          </w:tcPr>
          <w:p w:rsidR="007C6471" w:rsidRPr="007A2258" w:rsidRDefault="007C6471" w:rsidP="007C6471">
            <w:pPr>
              <w:widowControl w:val="0"/>
              <w:spacing w:before="0"/>
              <w:rPr>
                <w:rFonts w:ascii="Arial Narrow" w:hAnsi="Arial Narrow" w:cs="Arial"/>
                <w:snapToGrid w:val="0"/>
                <w:sz w:val="20"/>
              </w:rPr>
            </w:pPr>
            <w:r w:rsidRPr="007A2258">
              <w:rPr>
                <w:rFonts w:ascii="Arial Narrow" w:hAnsi="Arial Narrow" w:cs="Arial"/>
                <w:snapToGrid w:val="0"/>
                <w:sz w:val="20"/>
              </w:rPr>
              <w:t>HIV infections with PrEP</w:t>
            </w:r>
          </w:p>
        </w:tc>
        <w:tc>
          <w:tcPr>
            <w:tcW w:w="3118" w:type="dxa"/>
            <w:vAlign w:val="center"/>
          </w:tcPr>
          <w:p w:rsidR="007C6471" w:rsidRPr="007A2258" w:rsidRDefault="007C6471" w:rsidP="007C6471">
            <w:pPr>
              <w:widowControl w:val="0"/>
              <w:spacing w:before="0"/>
              <w:rPr>
                <w:rFonts w:ascii="Arial Narrow" w:hAnsi="Arial Narrow" w:cs="Arial"/>
                <w:snapToGrid w:val="0"/>
                <w:sz w:val="20"/>
              </w:rPr>
            </w:pPr>
            <w:r w:rsidRPr="007A2258">
              <w:rPr>
                <w:rFonts w:ascii="Arial Narrow" w:hAnsi="Arial Narrow" w:cs="Arial"/>
                <w:snapToGrid w:val="0"/>
                <w:sz w:val="20"/>
              </w:rPr>
              <w:t>3,873</w:t>
            </w:r>
          </w:p>
        </w:tc>
        <w:tc>
          <w:tcPr>
            <w:tcW w:w="2552" w:type="dxa"/>
            <w:vAlign w:val="center"/>
          </w:tcPr>
          <w:p w:rsidR="007C6471" w:rsidRPr="007A2258" w:rsidRDefault="007C6471" w:rsidP="007C6471">
            <w:pPr>
              <w:widowControl w:val="0"/>
              <w:spacing w:before="0"/>
              <w:rPr>
                <w:rFonts w:ascii="Arial Narrow" w:hAnsi="Arial Narrow" w:cs="Arial"/>
                <w:snapToGrid w:val="0"/>
                <w:sz w:val="20"/>
              </w:rPr>
            </w:pPr>
            <w:r w:rsidRPr="007A2258">
              <w:rPr>
                <w:rFonts w:ascii="Arial Narrow" w:hAnsi="Arial Narrow" w:cs="Arial"/>
                <w:snapToGrid w:val="0"/>
                <w:sz w:val="20"/>
              </w:rPr>
              <w:t>6,064</w:t>
            </w:r>
          </w:p>
        </w:tc>
      </w:tr>
      <w:tr w:rsidR="008A2E2C" w:rsidRPr="007A2258" w:rsidTr="00CB0977">
        <w:tc>
          <w:tcPr>
            <w:tcW w:w="3266" w:type="dxa"/>
            <w:vAlign w:val="center"/>
          </w:tcPr>
          <w:p w:rsidR="007C6471" w:rsidRPr="007A2258" w:rsidRDefault="007C6471" w:rsidP="007C6471">
            <w:pPr>
              <w:widowControl w:val="0"/>
              <w:spacing w:before="0"/>
              <w:rPr>
                <w:rFonts w:ascii="Arial Narrow" w:hAnsi="Arial Narrow" w:cs="Arial"/>
                <w:snapToGrid w:val="0"/>
                <w:sz w:val="20"/>
              </w:rPr>
            </w:pPr>
            <w:r w:rsidRPr="007A2258">
              <w:rPr>
                <w:rFonts w:ascii="Arial Narrow" w:hAnsi="Arial Narrow" w:cs="Arial"/>
                <w:snapToGrid w:val="0"/>
                <w:sz w:val="20"/>
              </w:rPr>
              <w:t>HIV infections avoided</w:t>
            </w:r>
          </w:p>
        </w:tc>
        <w:tc>
          <w:tcPr>
            <w:tcW w:w="3118" w:type="dxa"/>
            <w:vAlign w:val="center"/>
          </w:tcPr>
          <w:p w:rsidR="007C6471" w:rsidRPr="007A2258" w:rsidRDefault="007C6471" w:rsidP="007C6471">
            <w:pPr>
              <w:widowControl w:val="0"/>
              <w:spacing w:before="0"/>
              <w:rPr>
                <w:rFonts w:ascii="Arial Narrow" w:hAnsi="Arial Narrow" w:cs="Arial"/>
                <w:snapToGrid w:val="0"/>
                <w:sz w:val="20"/>
              </w:rPr>
            </w:pPr>
            <w:r w:rsidRPr="007A2258">
              <w:rPr>
                <w:rFonts w:ascii="Arial Narrow" w:hAnsi="Arial Narrow" w:cs="Arial"/>
                <w:snapToGrid w:val="0"/>
                <w:sz w:val="20"/>
              </w:rPr>
              <w:t>1</w:t>
            </w:r>
            <w:r w:rsidR="005F65B5" w:rsidRPr="007A2258">
              <w:rPr>
                <w:rFonts w:ascii="Arial Narrow" w:hAnsi="Arial Narrow" w:cs="Arial"/>
                <w:snapToGrid w:val="0"/>
                <w:sz w:val="20"/>
              </w:rPr>
              <w:t>,</w:t>
            </w:r>
            <w:r w:rsidRPr="007A2258">
              <w:rPr>
                <w:rFonts w:ascii="Arial Narrow" w:hAnsi="Arial Narrow" w:cs="Arial"/>
                <w:snapToGrid w:val="0"/>
                <w:sz w:val="20"/>
              </w:rPr>
              <w:t>969</w:t>
            </w:r>
          </w:p>
        </w:tc>
        <w:tc>
          <w:tcPr>
            <w:tcW w:w="2552" w:type="dxa"/>
            <w:vAlign w:val="center"/>
          </w:tcPr>
          <w:p w:rsidR="007C6471" w:rsidRPr="007A2258" w:rsidRDefault="007C6471" w:rsidP="007C6471">
            <w:pPr>
              <w:widowControl w:val="0"/>
              <w:spacing w:before="0"/>
              <w:rPr>
                <w:rFonts w:ascii="Arial Narrow" w:hAnsi="Arial Narrow" w:cs="Arial"/>
                <w:snapToGrid w:val="0"/>
                <w:sz w:val="20"/>
              </w:rPr>
            </w:pPr>
            <w:r w:rsidRPr="007A2258">
              <w:rPr>
                <w:rFonts w:ascii="Arial Narrow" w:hAnsi="Arial Narrow" w:cs="Arial"/>
                <w:snapToGrid w:val="0"/>
                <w:sz w:val="20"/>
              </w:rPr>
              <w:t>13,550</w:t>
            </w:r>
          </w:p>
        </w:tc>
      </w:tr>
      <w:tr w:rsidR="008A2E2C" w:rsidRPr="007A2258" w:rsidTr="00CB0977">
        <w:tc>
          <w:tcPr>
            <w:tcW w:w="3266" w:type="dxa"/>
            <w:vAlign w:val="center"/>
          </w:tcPr>
          <w:p w:rsidR="007C6471" w:rsidRPr="007A2258" w:rsidRDefault="007C6471" w:rsidP="007C6471">
            <w:pPr>
              <w:widowControl w:val="0"/>
              <w:spacing w:before="0"/>
              <w:rPr>
                <w:rFonts w:ascii="Arial Narrow" w:hAnsi="Arial Narrow" w:cs="Arial"/>
                <w:snapToGrid w:val="0"/>
                <w:sz w:val="20"/>
              </w:rPr>
            </w:pPr>
            <w:r w:rsidRPr="007A2258">
              <w:rPr>
                <w:rFonts w:ascii="Arial Narrow" w:hAnsi="Arial Narrow" w:cs="Arial"/>
                <w:snapToGrid w:val="0"/>
                <w:sz w:val="20"/>
              </w:rPr>
              <w:t>Deaths with no PrEP (SOC alone)</w:t>
            </w:r>
          </w:p>
        </w:tc>
        <w:tc>
          <w:tcPr>
            <w:tcW w:w="3118" w:type="dxa"/>
            <w:vAlign w:val="center"/>
          </w:tcPr>
          <w:p w:rsidR="007C6471" w:rsidRPr="007A2258" w:rsidRDefault="007C6471" w:rsidP="007C6471">
            <w:pPr>
              <w:widowControl w:val="0"/>
              <w:spacing w:before="0"/>
              <w:rPr>
                <w:rFonts w:ascii="Arial Narrow" w:hAnsi="Arial Narrow" w:cs="Arial"/>
                <w:snapToGrid w:val="0"/>
                <w:sz w:val="20"/>
              </w:rPr>
            </w:pPr>
            <w:r w:rsidRPr="007A2258">
              <w:rPr>
                <w:rFonts w:ascii="Arial Narrow" w:hAnsi="Arial Narrow" w:cs="Arial"/>
                <w:snapToGrid w:val="0"/>
                <w:sz w:val="20"/>
              </w:rPr>
              <w:t>2,807</w:t>
            </w:r>
          </w:p>
        </w:tc>
        <w:tc>
          <w:tcPr>
            <w:tcW w:w="2552" w:type="dxa"/>
            <w:vAlign w:val="center"/>
          </w:tcPr>
          <w:p w:rsidR="007C6471" w:rsidRPr="007A2258" w:rsidRDefault="007C6471" w:rsidP="007C6471">
            <w:pPr>
              <w:widowControl w:val="0"/>
              <w:spacing w:before="0"/>
              <w:rPr>
                <w:rFonts w:ascii="Arial Narrow" w:hAnsi="Arial Narrow" w:cs="Arial"/>
                <w:snapToGrid w:val="0"/>
                <w:sz w:val="20"/>
              </w:rPr>
            </w:pPr>
            <w:r w:rsidRPr="007A2258">
              <w:rPr>
                <w:rFonts w:ascii="Arial Narrow" w:hAnsi="Arial Narrow" w:cs="Arial"/>
                <w:snapToGrid w:val="0"/>
                <w:sz w:val="20"/>
              </w:rPr>
              <w:t>3,058</w:t>
            </w:r>
          </w:p>
        </w:tc>
      </w:tr>
      <w:tr w:rsidR="008A2E2C" w:rsidRPr="007A2258" w:rsidTr="00CB0977">
        <w:tc>
          <w:tcPr>
            <w:tcW w:w="3266" w:type="dxa"/>
            <w:vAlign w:val="center"/>
          </w:tcPr>
          <w:p w:rsidR="007C6471" w:rsidRPr="007A2258" w:rsidRDefault="007C6471" w:rsidP="007C6471">
            <w:pPr>
              <w:widowControl w:val="0"/>
              <w:spacing w:before="0"/>
              <w:rPr>
                <w:rFonts w:ascii="Arial Narrow" w:hAnsi="Arial Narrow" w:cs="Arial"/>
                <w:snapToGrid w:val="0"/>
                <w:sz w:val="20"/>
              </w:rPr>
            </w:pPr>
            <w:r w:rsidRPr="007A2258">
              <w:rPr>
                <w:rFonts w:ascii="Arial Narrow" w:hAnsi="Arial Narrow" w:cs="Arial"/>
                <w:snapToGrid w:val="0"/>
                <w:sz w:val="20"/>
              </w:rPr>
              <w:t>Deaths with PrEP</w:t>
            </w:r>
          </w:p>
        </w:tc>
        <w:tc>
          <w:tcPr>
            <w:tcW w:w="3118" w:type="dxa"/>
            <w:vAlign w:val="center"/>
          </w:tcPr>
          <w:p w:rsidR="007C6471" w:rsidRPr="007A2258" w:rsidRDefault="007C6471" w:rsidP="007C6471">
            <w:pPr>
              <w:widowControl w:val="0"/>
              <w:spacing w:before="0"/>
              <w:rPr>
                <w:rFonts w:ascii="Arial Narrow" w:hAnsi="Arial Narrow" w:cs="Arial"/>
                <w:snapToGrid w:val="0"/>
                <w:sz w:val="20"/>
              </w:rPr>
            </w:pPr>
            <w:r w:rsidRPr="007A2258">
              <w:rPr>
                <w:rFonts w:ascii="Arial Narrow" w:hAnsi="Arial Narrow" w:cs="Arial"/>
                <w:snapToGrid w:val="0"/>
                <w:sz w:val="20"/>
              </w:rPr>
              <w:t>2,725</w:t>
            </w:r>
          </w:p>
        </w:tc>
        <w:tc>
          <w:tcPr>
            <w:tcW w:w="2552" w:type="dxa"/>
            <w:vAlign w:val="center"/>
          </w:tcPr>
          <w:p w:rsidR="007C6471" w:rsidRPr="007A2258" w:rsidRDefault="007C6471" w:rsidP="007C6471">
            <w:pPr>
              <w:widowControl w:val="0"/>
              <w:spacing w:before="0"/>
              <w:rPr>
                <w:rFonts w:ascii="Arial Narrow" w:hAnsi="Arial Narrow" w:cs="Arial"/>
                <w:snapToGrid w:val="0"/>
                <w:sz w:val="20"/>
              </w:rPr>
            </w:pPr>
            <w:r w:rsidRPr="007A2258">
              <w:rPr>
                <w:rFonts w:ascii="Arial Narrow" w:hAnsi="Arial Narrow" w:cs="Arial"/>
                <w:snapToGrid w:val="0"/>
                <w:sz w:val="20"/>
              </w:rPr>
              <w:t>2,600</w:t>
            </w:r>
          </w:p>
        </w:tc>
      </w:tr>
      <w:tr w:rsidR="008A2E2C" w:rsidRPr="007A2258" w:rsidTr="00CB0977">
        <w:tc>
          <w:tcPr>
            <w:tcW w:w="3266" w:type="dxa"/>
            <w:vAlign w:val="center"/>
          </w:tcPr>
          <w:p w:rsidR="007C6471" w:rsidRPr="007A2258" w:rsidRDefault="007C6471" w:rsidP="007C6471">
            <w:pPr>
              <w:widowControl w:val="0"/>
              <w:spacing w:before="0"/>
              <w:rPr>
                <w:rFonts w:ascii="Arial Narrow" w:hAnsi="Arial Narrow" w:cs="Arial"/>
                <w:snapToGrid w:val="0"/>
                <w:sz w:val="20"/>
              </w:rPr>
            </w:pPr>
            <w:r w:rsidRPr="007A2258">
              <w:rPr>
                <w:rFonts w:ascii="Arial Narrow" w:hAnsi="Arial Narrow" w:cs="Arial"/>
                <w:snapToGrid w:val="0"/>
                <w:sz w:val="20"/>
              </w:rPr>
              <w:t>Deaths avoided</w:t>
            </w:r>
          </w:p>
        </w:tc>
        <w:tc>
          <w:tcPr>
            <w:tcW w:w="3118" w:type="dxa"/>
            <w:vAlign w:val="center"/>
          </w:tcPr>
          <w:p w:rsidR="007C6471" w:rsidRPr="007A2258" w:rsidRDefault="007C6471" w:rsidP="007C6471">
            <w:pPr>
              <w:widowControl w:val="0"/>
              <w:spacing w:before="0"/>
              <w:rPr>
                <w:rFonts w:ascii="Arial Narrow" w:hAnsi="Arial Narrow" w:cs="Arial"/>
                <w:snapToGrid w:val="0"/>
                <w:sz w:val="20"/>
              </w:rPr>
            </w:pPr>
            <w:r w:rsidRPr="007A2258">
              <w:rPr>
                <w:rFonts w:ascii="Arial Narrow" w:hAnsi="Arial Narrow" w:cs="Arial"/>
                <w:snapToGrid w:val="0"/>
                <w:sz w:val="20"/>
              </w:rPr>
              <w:t>82</w:t>
            </w:r>
          </w:p>
        </w:tc>
        <w:tc>
          <w:tcPr>
            <w:tcW w:w="2552" w:type="dxa"/>
            <w:vAlign w:val="center"/>
          </w:tcPr>
          <w:p w:rsidR="007C6471" w:rsidRPr="007A2258" w:rsidRDefault="007C6471" w:rsidP="007C6471">
            <w:pPr>
              <w:widowControl w:val="0"/>
              <w:spacing w:before="0"/>
              <w:rPr>
                <w:rFonts w:ascii="Arial Narrow" w:hAnsi="Arial Narrow" w:cs="Arial"/>
                <w:snapToGrid w:val="0"/>
                <w:sz w:val="20"/>
              </w:rPr>
            </w:pPr>
            <w:r w:rsidRPr="007A2258">
              <w:rPr>
                <w:rFonts w:ascii="Arial Narrow" w:hAnsi="Arial Narrow" w:cs="Arial"/>
                <w:snapToGrid w:val="0"/>
                <w:sz w:val="20"/>
              </w:rPr>
              <w:t>458</w:t>
            </w:r>
          </w:p>
        </w:tc>
      </w:tr>
    </w:tbl>
    <w:p w:rsidR="007C6471" w:rsidRPr="007A2258" w:rsidRDefault="007C6471" w:rsidP="007C6471">
      <w:pPr>
        <w:widowControl w:val="0"/>
        <w:spacing w:before="0" w:after="0"/>
        <w:jc w:val="both"/>
        <w:rPr>
          <w:rFonts w:ascii="Arial Narrow" w:eastAsia="Times New Roman" w:hAnsi="Arial Narrow" w:cs="Arial"/>
          <w:snapToGrid w:val="0"/>
          <w:sz w:val="18"/>
        </w:rPr>
      </w:pPr>
      <w:r w:rsidRPr="007A2258">
        <w:rPr>
          <w:rFonts w:ascii="Arial Narrow" w:eastAsia="Times New Roman" w:hAnsi="Arial Narrow" w:cs="Arial"/>
          <w:snapToGrid w:val="0"/>
          <w:sz w:val="18"/>
        </w:rPr>
        <w:t>Abbreviations: NR, not reported</w:t>
      </w:r>
    </w:p>
    <w:p w:rsidR="007C6471" w:rsidRPr="007A2258" w:rsidRDefault="007C6471" w:rsidP="007C6471">
      <w:pPr>
        <w:widowControl w:val="0"/>
        <w:spacing w:before="0" w:after="0"/>
        <w:jc w:val="both"/>
        <w:rPr>
          <w:rFonts w:ascii="Arial Narrow" w:eastAsia="Times New Roman" w:hAnsi="Arial Narrow" w:cs="Arial"/>
          <w:snapToGrid w:val="0"/>
          <w:sz w:val="18"/>
        </w:rPr>
      </w:pPr>
      <w:r w:rsidRPr="007A2258">
        <w:rPr>
          <w:rFonts w:ascii="Arial Narrow" w:eastAsia="Times New Roman" w:hAnsi="Arial Narrow" w:cs="Arial"/>
          <w:snapToGrid w:val="0"/>
          <w:sz w:val="18"/>
        </w:rPr>
        <w:t>Source: Table D.18, p. 173 of the July 2016 submission and Excel spreadsheet of the July 2016 submission ‘Truvada PrEP Section D Simulation Results 3 –Base Case’, sheet ‘PrEP’ and ‘SOC’ and Excel spreadsheet Section D Workbook of the resubmission ‘Incidence’.</w:t>
      </w:r>
    </w:p>
    <w:p w:rsidR="007C6471" w:rsidRPr="007A2258" w:rsidRDefault="007C6471" w:rsidP="007C6471">
      <w:pPr>
        <w:pStyle w:val="ListParagraph"/>
        <w:spacing w:before="0" w:after="120"/>
        <w:jc w:val="both"/>
      </w:pPr>
    </w:p>
    <w:p w:rsidR="007C6471" w:rsidRPr="007A2258" w:rsidRDefault="007C6471" w:rsidP="007A2258">
      <w:pPr>
        <w:pStyle w:val="ListParagraph"/>
        <w:numPr>
          <w:ilvl w:val="1"/>
          <w:numId w:val="23"/>
        </w:numPr>
        <w:jc w:val="both"/>
      </w:pPr>
      <w:r w:rsidRPr="007A2258">
        <w:t xml:space="preserve">A summary of the key drivers of the model is presented in the table below. The key drivers from the July 2016 submission of time horizon, assumptions regarding continuation and the individual risk distribution remain the same. </w:t>
      </w:r>
    </w:p>
    <w:p w:rsidR="00904455" w:rsidRDefault="00904455" w:rsidP="00904455">
      <w:pPr>
        <w:pStyle w:val="Caption"/>
      </w:pPr>
      <w:r>
        <w:t xml:space="preserve">Table </w:t>
      </w:r>
      <w:r w:rsidR="004F50B1">
        <w:rPr>
          <w:noProof/>
        </w:rPr>
        <w:t>15</w:t>
      </w:r>
      <w:r w:rsidRPr="00E67604">
        <w:t>: Key drivers of the model</w:t>
      </w:r>
    </w:p>
    <w:tbl>
      <w:tblPr>
        <w:tblW w:w="48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5"/>
        <w:gridCol w:w="2298"/>
        <w:gridCol w:w="3261"/>
        <w:gridCol w:w="1843"/>
      </w:tblGrid>
      <w:tr w:rsidR="008A2E2C" w:rsidRPr="007A2258" w:rsidTr="00EB6428">
        <w:trPr>
          <w:tblHeader/>
        </w:trPr>
        <w:tc>
          <w:tcPr>
            <w:tcW w:w="802" w:type="pct"/>
            <w:shd w:val="clear" w:color="auto" w:fill="auto"/>
            <w:vAlign w:val="center"/>
          </w:tcPr>
          <w:p w:rsidR="008A2E2C" w:rsidRPr="007A2258" w:rsidRDefault="008A2E2C" w:rsidP="008A2E2C">
            <w:pPr>
              <w:keepNext/>
              <w:spacing w:before="40" w:after="40"/>
              <w:rPr>
                <w:rFonts w:ascii="Arial Narrow" w:eastAsia="Calibri" w:hAnsi="Arial Narrow" w:cs="Arial"/>
                <w:b/>
                <w:sz w:val="20"/>
              </w:rPr>
            </w:pPr>
          </w:p>
        </w:tc>
        <w:tc>
          <w:tcPr>
            <w:tcW w:w="1303" w:type="pct"/>
          </w:tcPr>
          <w:p w:rsidR="008A2E2C" w:rsidRPr="007A2258" w:rsidRDefault="008A2E2C" w:rsidP="008A2E2C">
            <w:pPr>
              <w:keepNext/>
              <w:spacing w:before="40" w:after="40"/>
              <w:rPr>
                <w:rFonts w:ascii="Arial Narrow" w:eastAsia="Calibri" w:hAnsi="Arial Narrow" w:cs="Arial"/>
                <w:b/>
                <w:sz w:val="20"/>
              </w:rPr>
            </w:pPr>
            <w:r w:rsidRPr="007A2258">
              <w:rPr>
                <w:rFonts w:ascii="Arial Narrow" w:eastAsia="Calibri" w:hAnsi="Arial Narrow" w:cs="Arial"/>
                <w:b/>
                <w:sz w:val="20"/>
              </w:rPr>
              <w:t>July 2016 submission</w:t>
            </w:r>
          </w:p>
        </w:tc>
        <w:tc>
          <w:tcPr>
            <w:tcW w:w="1849" w:type="pct"/>
            <w:shd w:val="clear" w:color="auto" w:fill="auto"/>
            <w:vAlign w:val="center"/>
          </w:tcPr>
          <w:p w:rsidR="008A2E2C" w:rsidRPr="007A2258" w:rsidRDefault="008A2E2C" w:rsidP="008A2E2C">
            <w:pPr>
              <w:keepNext/>
              <w:spacing w:before="40" w:after="40"/>
              <w:rPr>
                <w:rFonts w:ascii="Arial Narrow" w:eastAsia="Calibri" w:hAnsi="Arial Narrow" w:cs="Arial"/>
                <w:b/>
                <w:sz w:val="20"/>
              </w:rPr>
            </w:pPr>
            <w:r w:rsidRPr="007A2258">
              <w:rPr>
                <w:rFonts w:ascii="Arial Narrow" w:eastAsia="Calibri" w:hAnsi="Arial Narrow" w:cs="Arial"/>
                <w:b/>
                <w:sz w:val="20"/>
              </w:rPr>
              <w:t>Resubmission</w:t>
            </w:r>
          </w:p>
        </w:tc>
        <w:tc>
          <w:tcPr>
            <w:tcW w:w="1045" w:type="pct"/>
            <w:shd w:val="clear" w:color="auto" w:fill="auto"/>
            <w:vAlign w:val="center"/>
          </w:tcPr>
          <w:p w:rsidR="008A2E2C" w:rsidRPr="007A2258" w:rsidRDefault="008A2E2C" w:rsidP="008A2E2C">
            <w:pPr>
              <w:keepNext/>
              <w:spacing w:before="40" w:after="40"/>
              <w:rPr>
                <w:rFonts w:ascii="Arial Narrow" w:eastAsia="Calibri" w:hAnsi="Arial Narrow" w:cs="Arial"/>
                <w:b/>
                <w:sz w:val="20"/>
              </w:rPr>
            </w:pPr>
          </w:p>
        </w:tc>
      </w:tr>
      <w:tr w:rsidR="008A2E2C" w:rsidRPr="007A2258" w:rsidTr="00EB6428">
        <w:trPr>
          <w:tblHeader/>
        </w:trPr>
        <w:tc>
          <w:tcPr>
            <w:tcW w:w="802" w:type="pct"/>
            <w:shd w:val="clear" w:color="auto" w:fill="auto"/>
            <w:vAlign w:val="center"/>
          </w:tcPr>
          <w:p w:rsidR="008A2E2C" w:rsidRPr="007A2258" w:rsidRDefault="008A2E2C" w:rsidP="008A2E2C">
            <w:pPr>
              <w:keepNext/>
              <w:spacing w:before="40" w:after="40"/>
              <w:rPr>
                <w:rFonts w:ascii="Arial Narrow" w:eastAsia="Calibri" w:hAnsi="Arial Narrow" w:cs="Arial"/>
                <w:b/>
                <w:sz w:val="20"/>
              </w:rPr>
            </w:pPr>
            <w:r w:rsidRPr="007A2258">
              <w:rPr>
                <w:rFonts w:ascii="Arial Narrow" w:eastAsia="Calibri" w:hAnsi="Arial Narrow" w:cs="Arial"/>
                <w:b/>
                <w:sz w:val="20"/>
              </w:rPr>
              <w:t>Description</w:t>
            </w:r>
          </w:p>
        </w:tc>
        <w:tc>
          <w:tcPr>
            <w:tcW w:w="3152" w:type="pct"/>
            <w:gridSpan w:val="2"/>
          </w:tcPr>
          <w:p w:rsidR="008A2E2C" w:rsidRPr="007A2258" w:rsidRDefault="008A2E2C" w:rsidP="008A2E2C">
            <w:pPr>
              <w:keepNext/>
              <w:spacing w:before="40" w:after="40"/>
              <w:jc w:val="center"/>
              <w:rPr>
                <w:rFonts w:ascii="Arial Narrow" w:eastAsia="Calibri" w:hAnsi="Arial Narrow" w:cs="Arial"/>
                <w:b/>
                <w:sz w:val="20"/>
              </w:rPr>
            </w:pPr>
            <w:r w:rsidRPr="007A2258">
              <w:rPr>
                <w:rFonts w:ascii="Arial Narrow" w:eastAsia="Calibri" w:hAnsi="Arial Narrow" w:cs="Arial"/>
                <w:b/>
                <w:sz w:val="20"/>
              </w:rPr>
              <w:t>Method/Value</w:t>
            </w:r>
          </w:p>
        </w:tc>
        <w:tc>
          <w:tcPr>
            <w:tcW w:w="1045" w:type="pct"/>
            <w:shd w:val="clear" w:color="auto" w:fill="auto"/>
            <w:vAlign w:val="center"/>
          </w:tcPr>
          <w:p w:rsidR="008A2E2C" w:rsidRPr="007A2258" w:rsidRDefault="008A2E2C" w:rsidP="008A2E2C">
            <w:pPr>
              <w:keepNext/>
              <w:spacing w:before="40" w:after="40"/>
              <w:rPr>
                <w:rFonts w:ascii="Arial Narrow" w:eastAsia="Calibri" w:hAnsi="Arial Narrow" w:cs="Arial"/>
                <w:b/>
                <w:sz w:val="20"/>
              </w:rPr>
            </w:pPr>
            <w:r w:rsidRPr="007A2258">
              <w:rPr>
                <w:rFonts w:ascii="Arial Narrow" w:eastAsia="Calibri" w:hAnsi="Arial Narrow" w:cs="Arial"/>
                <w:b/>
                <w:sz w:val="20"/>
              </w:rPr>
              <w:t>Impact</w:t>
            </w:r>
          </w:p>
        </w:tc>
      </w:tr>
      <w:tr w:rsidR="008A2E2C" w:rsidRPr="007A2258" w:rsidTr="005E54E3">
        <w:tc>
          <w:tcPr>
            <w:tcW w:w="802" w:type="pct"/>
            <w:shd w:val="clear" w:color="auto" w:fill="auto"/>
            <w:vAlign w:val="center"/>
          </w:tcPr>
          <w:p w:rsidR="008A2E2C" w:rsidRPr="007A2258" w:rsidRDefault="008A2E2C" w:rsidP="008A2E2C">
            <w:pPr>
              <w:keepNext/>
              <w:spacing w:before="40" w:after="40"/>
              <w:rPr>
                <w:rFonts w:ascii="Arial Narrow" w:eastAsia="Calibri" w:hAnsi="Arial Narrow" w:cs="Arial"/>
                <w:sz w:val="20"/>
              </w:rPr>
            </w:pPr>
            <w:r w:rsidRPr="007A2258">
              <w:rPr>
                <w:rFonts w:ascii="Arial Narrow" w:eastAsia="Calibri" w:hAnsi="Arial Narrow" w:cs="Arial"/>
                <w:sz w:val="20"/>
              </w:rPr>
              <w:t xml:space="preserve">Initiation/Suitability </w:t>
            </w:r>
          </w:p>
        </w:tc>
        <w:tc>
          <w:tcPr>
            <w:tcW w:w="1303" w:type="pct"/>
            <w:vAlign w:val="center"/>
          </w:tcPr>
          <w:p w:rsidR="008A2E2C" w:rsidRPr="007A2258" w:rsidRDefault="008A2E2C" w:rsidP="00A37EC0">
            <w:pPr>
              <w:keepNext/>
              <w:spacing w:before="40" w:after="40"/>
              <w:rPr>
                <w:rFonts w:ascii="Arial Narrow" w:eastAsia="Calibri" w:hAnsi="Arial Narrow" w:cs="Arial"/>
                <w:sz w:val="20"/>
              </w:rPr>
            </w:pPr>
            <w:r w:rsidRPr="007A2258">
              <w:rPr>
                <w:rFonts w:ascii="Arial Narrow" w:eastAsia="Calibri" w:hAnsi="Arial Narrow" w:cs="Arial"/>
                <w:sz w:val="20"/>
              </w:rPr>
              <w:t xml:space="preserve">3% initiation threshold </w:t>
            </w:r>
          </w:p>
        </w:tc>
        <w:tc>
          <w:tcPr>
            <w:tcW w:w="1849" w:type="pct"/>
            <w:shd w:val="clear" w:color="auto" w:fill="auto"/>
            <w:vAlign w:val="center"/>
          </w:tcPr>
          <w:p w:rsidR="008A2E2C" w:rsidRPr="007A2258" w:rsidRDefault="008A2E2C" w:rsidP="008A2E2C">
            <w:pPr>
              <w:keepNext/>
              <w:spacing w:before="40" w:after="40"/>
              <w:rPr>
                <w:rFonts w:ascii="Arial Narrow" w:eastAsia="Calibri" w:hAnsi="Arial Narrow" w:cs="Arial"/>
                <w:sz w:val="20"/>
              </w:rPr>
            </w:pPr>
            <w:r w:rsidRPr="007A2258">
              <w:rPr>
                <w:rFonts w:ascii="Arial Narrow" w:eastAsia="Calibri" w:hAnsi="Arial Narrow" w:cs="Arial"/>
                <w:sz w:val="20"/>
              </w:rPr>
              <w:t>Initiation at 3% replaced with suitability threshold</w:t>
            </w:r>
          </w:p>
        </w:tc>
        <w:tc>
          <w:tcPr>
            <w:tcW w:w="1045" w:type="pct"/>
            <w:shd w:val="clear" w:color="auto" w:fill="auto"/>
            <w:vAlign w:val="center"/>
          </w:tcPr>
          <w:p w:rsidR="008A2E2C" w:rsidRPr="007A2258" w:rsidRDefault="008A2E2C" w:rsidP="008A2E2C">
            <w:pPr>
              <w:keepNext/>
              <w:spacing w:before="40" w:after="40"/>
              <w:rPr>
                <w:rFonts w:ascii="Arial Narrow" w:eastAsia="Calibri" w:hAnsi="Arial Narrow" w:cs="Arial"/>
                <w:sz w:val="20"/>
              </w:rPr>
            </w:pPr>
            <w:r w:rsidRPr="007A2258">
              <w:rPr>
                <w:rFonts w:ascii="Arial Narrow" w:eastAsia="Calibri" w:hAnsi="Arial Narrow" w:cs="Arial"/>
                <w:sz w:val="20"/>
              </w:rPr>
              <w:t xml:space="preserve">High, </w:t>
            </w:r>
            <w:r w:rsidR="00811B95" w:rsidRPr="007A2258">
              <w:rPr>
                <w:rFonts w:ascii="Arial Narrow" w:eastAsia="Calibri" w:hAnsi="Arial Narrow" w:cs="Arial"/>
                <w:sz w:val="20"/>
              </w:rPr>
              <w:t>increases ICER</w:t>
            </w:r>
          </w:p>
          <w:p w:rsidR="008A2E2C" w:rsidRPr="007A2258" w:rsidRDefault="008A2E2C" w:rsidP="008A2E2C">
            <w:pPr>
              <w:keepNext/>
              <w:spacing w:before="40" w:after="40"/>
              <w:rPr>
                <w:rFonts w:ascii="Arial Narrow" w:eastAsia="Calibri" w:hAnsi="Arial Narrow" w:cs="Arial"/>
                <w:sz w:val="20"/>
              </w:rPr>
            </w:pPr>
            <w:r w:rsidRPr="007A2258">
              <w:rPr>
                <w:rFonts w:ascii="Arial Narrow" w:eastAsia="Calibri" w:hAnsi="Arial Narrow" w:cs="Arial"/>
                <w:sz w:val="20"/>
              </w:rPr>
              <w:t>ICER with 3% initiation: $</w:t>
            </w:r>
            <w:r w:rsidR="004E43C3">
              <w:rPr>
                <w:rFonts w:ascii="Arial Narrow" w:eastAsia="Calibri" w:hAnsi="Arial Narrow" w:cs="Arial"/>
                <w:noProof/>
                <w:color w:val="000000"/>
                <w:sz w:val="20"/>
                <w:highlight w:val="black"/>
              </w:rPr>
              <w:t>''''''''''''''''''''''</w:t>
            </w:r>
            <w:r w:rsidRPr="007A2258">
              <w:rPr>
                <w:rFonts w:ascii="Arial Narrow" w:eastAsia="Calibri" w:hAnsi="Arial Narrow" w:cs="Arial"/>
                <w:sz w:val="20"/>
              </w:rPr>
              <w:t xml:space="preserve"> </w:t>
            </w:r>
          </w:p>
        </w:tc>
      </w:tr>
      <w:tr w:rsidR="008A2E2C" w:rsidRPr="007A2258" w:rsidTr="005E54E3">
        <w:tc>
          <w:tcPr>
            <w:tcW w:w="802" w:type="pct"/>
            <w:shd w:val="clear" w:color="auto" w:fill="auto"/>
            <w:vAlign w:val="center"/>
          </w:tcPr>
          <w:p w:rsidR="008A2E2C" w:rsidRPr="007A2258" w:rsidRDefault="008A2E2C" w:rsidP="008A2E2C">
            <w:pPr>
              <w:keepNext/>
              <w:spacing w:before="40" w:after="40"/>
              <w:rPr>
                <w:rFonts w:ascii="Arial Narrow" w:eastAsia="Calibri" w:hAnsi="Arial Narrow" w:cs="Arial"/>
                <w:sz w:val="20"/>
              </w:rPr>
            </w:pPr>
            <w:r w:rsidRPr="007A2258">
              <w:rPr>
                <w:rFonts w:ascii="Arial Narrow" w:eastAsia="Calibri" w:hAnsi="Arial Narrow" w:cs="Arial"/>
                <w:sz w:val="20"/>
              </w:rPr>
              <w:t>Continuation threshold</w:t>
            </w:r>
          </w:p>
        </w:tc>
        <w:tc>
          <w:tcPr>
            <w:tcW w:w="1303" w:type="pct"/>
            <w:vAlign w:val="center"/>
          </w:tcPr>
          <w:p w:rsidR="008A2E2C" w:rsidRPr="007A2258" w:rsidRDefault="008A2E2C" w:rsidP="00A37EC0">
            <w:pPr>
              <w:keepNext/>
              <w:spacing w:before="40" w:after="40"/>
              <w:rPr>
                <w:rFonts w:ascii="Arial Narrow" w:eastAsia="Calibri" w:hAnsi="Arial Narrow" w:cs="Arial"/>
                <w:sz w:val="20"/>
              </w:rPr>
            </w:pPr>
            <w:r w:rsidRPr="007A2258">
              <w:rPr>
                <w:rFonts w:ascii="Arial Narrow" w:eastAsia="Calibri" w:hAnsi="Arial Narrow" w:cs="Arial"/>
                <w:sz w:val="20"/>
              </w:rPr>
              <w:t>2%; assumed while the proposed PBS listing does not include continuation criteria</w:t>
            </w:r>
          </w:p>
        </w:tc>
        <w:tc>
          <w:tcPr>
            <w:tcW w:w="1849" w:type="pct"/>
            <w:shd w:val="clear" w:color="auto" w:fill="auto"/>
            <w:vAlign w:val="center"/>
          </w:tcPr>
          <w:p w:rsidR="008A2E2C" w:rsidRPr="007A2258" w:rsidRDefault="008A2E2C" w:rsidP="008A2E2C">
            <w:pPr>
              <w:keepNext/>
              <w:spacing w:before="40" w:after="40"/>
              <w:rPr>
                <w:rFonts w:ascii="Arial Narrow" w:eastAsia="Calibri" w:hAnsi="Arial Narrow" w:cs="Arial"/>
                <w:sz w:val="20"/>
              </w:rPr>
            </w:pPr>
            <w:r w:rsidRPr="007A2258">
              <w:rPr>
                <w:rFonts w:ascii="Arial Narrow" w:eastAsia="Calibri" w:hAnsi="Arial Narrow" w:cs="Arial"/>
                <w:sz w:val="20"/>
              </w:rPr>
              <w:t xml:space="preserve">Removed continuation threshold (0%) </w:t>
            </w:r>
          </w:p>
        </w:tc>
        <w:tc>
          <w:tcPr>
            <w:tcW w:w="1045" w:type="pct"/>
            <w:shd w:val="clear" w:color="auto" w:fill="auto"/>
            <w:vAlign w:val="center"/>
          </w:tcPr>
          <w:p w:rsidR="00997106" w:rsidRPr="007A2258" w:rsidRDefault="008A2E2C" w:rsidP="008A2E2C">
            <w:pPr>
              <w:keepNext/>
              <w:spacing w:before="40" w:after="40"/>
              <w:rPr>
                <w:rFonts w:ascii="Arial Narrow" w:eastAsia="Calibri" w:hAnsi="Arial Narrow" w:cs="Arial"/>
                <w:sz w:val="20"/>
              </w:rPr>
            </w:pPr>
            <w:r w:rsidRPr="007A2258">
              <w:rPr>
                <w:rFonts w:ascii="Arial Narrow" w:eastAsia="Calibri" w:hAnsi="Arial Narrow" w:cs="Arial"/>
                <w:sz w:val="20"/>
              </w:rPr>
              <w:t xml:space="preserve">High, </w:t>
            </w:r>
            <w:r w:rsidR="004D3828" w:rsidRPr="007A2258">
              <w:rPr>
                <w:rFonts w:ascii="Arial Narrow" w:eastAsia="Calibri" w:hAnsi="Arial Narrow" w:cs="Arial"/>
                <w:sz w:val="20"/>
              </w:rPr>
              <w:t>biases against TDF/FTC</w:t>
            </w:r>
          </w:p>
          <w:p w:rsidR="008A2E2C" w:rsidRPr="007A2258" w:rsidRDefault="008A2E2C" w:rsidP="008A2E2C">
            <w:pPr>
              <w:keepNext/>
              <w:spacing w:before="40" w:after="40"/>
              <w:rPr>
                <w:rFonts w:ascii="Arial Narrow" w:eastAsia="Calibri" w:hAnsi="Arial Narrow" w:cs="Arial"/>
                <w:sz w:val="20"/>
              </w:rPr>
            </w:pPr>
            <w:r w:rsidRPr="007A2258">
              <w:rPr>
                <w:rFonts w:ascii="Arial Narrow" w:eastAsia="Calibri" w:hAnsi="Arial Narrow" w:cs="Arial"/>
                <w:sz w:val="20"/>
              </w:rPr>
              <w:t>ICER with 1% continuation threshold: $</w:t>
            </w:r>
            <w:r w:rsidR="004E43C3">
              <w:rPr>
                <w:rFonts w:ascii="Arial Narrow" w:eastAsia="Calibri" w:hAnsi="Arial Narrow" w:cs="Arial"/>
                <w:noProof/>
                <w:color w:val="000000"/>
                <w:sz w:val="20"/>
                <w:highlight w:val="black"/>
              </w:rPr>
              <w:t>'''''''''''''''''''''</w:t>
            </w:r>
          </w:p>
        </w:tc>
      </w:tr>
      <w:tr w:rsidR="008A2E2C" w:rsidRPr="007A2258" w:rsidTr="005E54E3">
        <w:tc>
          <w:tcPr>
            <w:tcW w:w="802" w:type="pct"/>
            <w:shd w:val="clear" w:color="auto" w:fill="auto"/>
            <w:vAlign w:val="center"/>
          </w:tcPr>
          <w:p w:rsidR="008A2E2C" w:rsidRPr="007A2258" w:rsidRDefault="008A2E2C" w:rsidP="008A2E2C">
            <w:pPr>
              <w:keepNext/>
              <w:spacing w:before="40" w:after="40"/>
              <w:rPr>
                <w:rFonts w:ascii="Arial Narrow" w:eastAsia="Calibri" w:hAnsi="Arial Narrow" w:cs="Arial"/>
                <w:sz w:val="20"/>
              </w:rPr>
            </w:pPr>
            <w:r w:rsidRPr="007A2258">
              <w:rPr>
                <w:rFonts w:ascii="Arial Narrow" w:eastAsia="Calibri" w:hAnsi="Arial Narrow" w:cs="Arial"/>
                <w:sz w:val="20"/>
              </w:rPr>
              <w:t xml:space="preserve">Force of infection </w:t>
            </w:r>
          </w:p>
        </w:tc>
        <w:tc>
          <w:tcPr>
            <w:tcW w:w="1303" w:type="pct"/>
            <w:vAlign w:val="center"/>
          </w:tcPr>
          <w:p w:rsidR="008A2E2C" w:rsidRPr="007A2258" w:rsidRDefault="008A2E2C" w:rsidP="00A37EC0">
            <w:pPr>
              <w:keepNext/>
              <w:spacing w:before="40" w:after="40"/>
              <w:rPr>
                <w:rFonts w:ascii="Arial Narrow" w:eastAsia="Calibri" w:hAnsi="Arial Narrow" w:cs="Arial"/>
                <w:sz w:val="20"/>
              </w:rPr>
            </w:pPr>
            <w:r w:rsidRPr="007A2258">
              <w:rPr>
                <w:rFonts w:ascii="Arial Narrow" w:eastAsia="Calibri" w:hAnsi="Arial Narrow" w:cs="Arial"/>
                <w:sz w:val="20"/>
              </w:rPr>
              <w:t>0.136; estimated from Australian Surveillance Report</w:t>
            </w:r>
          </w:p>
        </w:tc>
        <w:tc>
          <w:tcPr>
            <w:tcW w:w="1849" w:type="pct"/>
            <w:shd w:val="clear" w:color="auto" w:fill="auto"/>
            <w:vAlign w:val="center"/>
          </w:tcPr>
          <w:p w:rsidR="008A2E2C" w:rsidRPr="007A2258" w:rsidRDefault="008A2E2C" w:rsidP="00446DBF">
            <w:pPr>
              <w:keepNext/>
              <w:spacing w:before="40" w:after="40"/>
              <w:rPr>
                <w:rFonts w:ascii="Arial Narrow" w:eastAsia="Calibri" w:hAnsi="Arial Narrow" w:cs="Arial"/>
                <w:sz w:val="20"/>
              </w:rPr>
            </w:pPr>
            <w:r w:rsidRPr="007A2258">
              <w:rPr>
                <w:rFonts w:ascii="Arial Narrow" w:eastAsia="Calibri" w:hAnsi="Arial Narrow" w:cs="Arial"/>
                <w:sz w:val="20"/>
              </w:rPr>
              <w:t>Primary = 0.80; Chronic = 0.08; estimated from Australian Surveillance Report and literature</w:t>
            </w:r>
            <w:r w:rsidR="00446DBF" w:rsidRPr="007A2258">
              <w:rPr>
                <w:rFonts w:ascii="Arial Narrow" w:eastAsia="Calibri" w:hAnsi="Arial Narrow" w:cs="Arial"/>
                <w:sz w:val="20"/>
              </w:rPr>
              <w:t xml:space="preserve"> </w:t>
            </w:r>
            <w:r w:rsidR="00826295" w:rsidRPr="007A2258">
              <w:rPr>
                <w:rFonts w:ascii="Arial Narrow" w:eastAsia="Calibri" w:hAnsi="Arial Narrow" w:cs="Arial"/>
                <w:sz w:val="20"/>
              </w:rPr>
              <w:t>(equivalent to</w:t>
            </w:r>
            <w:r w:rsidR="00CB7D9F" w:rsidRPr="007A2258">
              <w:rPr>
                <w:rFonts w:ascii="Arial Narrow" w:eastAsia="Calibri" w:hAnsi="Arial Narrow" w:cs="Arial"/>
                <w:sz w:val="20"/>
              </w:rPr>
              <w:t xml:space="preserve"> an</w:t>
            </w:r>
            <w:r w:rsidR="00826295" w:rsidRPr="007A2258">
              <w:rPr>
                <w:rFonts w:ascii="Arial Narrow" w:eastAsia="Calibri" w:hAnsi="Arial Narrow" w:cs="Arial"/>
                <w:sz w:val="20"/>
              </w:rPr>
              <w:t xml:space="preserve"> aggregate</w:t>
            </w:r>
            <w:r w:rsidR="00446DBF" w:rsidRPr="007A2258">
              <w:rPr>
                <w:rFonts w:ascii="Arial Narrow" w:eastAsia="Calibri" w:hAnsi="Arial Narrow" w:cs="Arial"/>
                <w:sz w:val="20"/>
              </w:rPr>
              <w:t xml:space="preserve"> force of infection of 0.097)</w:t>
            </w:r>
          </w:p>
        </w:tc>
        <w:tc>
          <w:tcPr>
            <w:tcW w:w="1045" w:type="pct"/>
            <w:shd w:val="clear" w:color="auto" w:fill="auto"/>
            <w:vAlign w:val="center"/>
          </w:tcPr>
          <w:p w:rsidR="008A2E2C" w:rsidRPr="007A2258" w:rsidRDefault="008A2E2C" w:rsidP="008A2E2C">
            <w:pPr>
              <w:keepNext/>
              <w:spacing w:before="40" w:after="40"/>
              <w:rPr>
                <w:rFonts w:ascii="Arial Narrow" w:eastAsia="Calibri" w:hAnsi="Arial Narrow" w:cs="Arial"/>
                <w:sz w:val="20"/>
              </w:rPr>
            </w:pPr>
            <w:r w:rsidRPr="007A2258">
              <w:rPr>
                <w:rFonts w:ascii="Arial Narrow" w:eastAsia="Calibri" w:hAnsi="Arial Narrow" w:cs="Arial"/>
                <w:sz w:val="20"/>
              </w:rPr>
              <w:t>High</w:t>
            </w:r>
            <w:r w:rsidR="00A37EC0" w:rsidRPr="007A2258">
              <w:rPr>
                <w:rFonts w:ascii="Arial Narrow" w:eastAsia="Calibri" w:hAnsi="Arial Narrow" w:cs="Arial"/>
                <w:sz w:val="20"/>
              </w:rPr>
              <w:t>,</w:t>
            </w:r>
            <w:r w:rsidRPr="007A2258">
              <w:rPr>
                <w:rFonts w:ascii="Arial Narrow" w:eastAsia="Calibri" w:hAnsi="Arial Narrow" w:cs="Arial"/>
                <w:sz w:val="20"/>
              </w:rPr>
              <w:t xml:space="preserve"> favours SOC</w:t>
            </w:r>
          </w:p>
          <w:p w:rsidR="008A2E2C" w:rsidRPr="007A2258" w:rsidRDefault="008A2E2C" w:rsidP="008A2E2C">
            <w:pPr>
              <w:keepNext/>
              <w:spacing w:before="40" w:after="40"/>
              <w:rPr>
                <w:rFonts w:ascii="Arial Narrow" w:eastAsia="Calibri" w:hAnsi="Arial Narrow" w:cs="Arial"/>
                <w:sz w:val="20"/>
              </w:rPr>
            </w:pPr>
            <w:r w:rsidRPr="007A2258">
              <w:rPr>
                <w:rFonts w:ascii="Arial Narrow" w:eastAsia="Calibri" w:hAnsi="Arial Narrow" w:cs="Arial"/>
                <w:sz w:val="20"/>
              </w:rPr>
              <w:t>ICER with 0.136 force: $</w:t>
            </w:r>
            <w:r w:rsidR="004E43C3">
              <w:rPr>
                <w:rFonts w:ascii="Arial Narrow" w:eastAsia="Calibri" w:hAnsi="Arial Narrow" w:cs="Arial"/>
                <w:noProof/>
                <w:color w:val="000000"/>
                <w:sz w:val="20"/>
                <w:highlight w:val="black"/>
              </w:rPr>
              <w:t>'''''''''''''''''''''</w:t>
            </w:r>
          </w:p>
        </w:tc>
      </w:tr>
      <w:tr w:rsidR="008A2E2C" w:rsidRPr="007A2258" w:rsidTr="005E54E3">
        <w:tc>
          <w:tcPr>
            <w:tcW w:w="802" w:type="pct"/>
            <w:shd w:val="clear" w:color="auto" w:fill="auto"/>
            <w:vAlign w:val="center"/>
          </w:tcPr>
          <w:p w:rsidR="008A2E2C" w:rsidRPr="007A2258" w:rsidRDefault="008A2E2C" w:rsidP="008A2E2C">
            <w:pPr>
              <w:keepNext/>
              <w:spacing w:before="40" w:after="40"/>
              <w:rPr>
                <w:rFonts w:ascii="Arial Narrow" w:eastAsia="Calibri" w:hAnsi="Arial Narrow" w:cs="Arial"/>
                <w:sz w:val="20"/>
              </w:rPr>
            </w:pPr>
            <w:r w:rsidRPr="007A2258">
              <w:rPr>
                <w:rFonts w:ascii="Arial Narrow" w:eastAsia="Calibri" w:hAnsi="Arial Narrow" w:cs="Arial"/>
                <w:sz w:val="20"/>
              </w:rPr>
              <w:t>Time horizon</w:t>
            </w:r>
          </w:p>
        </w:tc>
        <w:tc>
          <w:tcPr>
            <w:tcW w:w="1303" w:type="pct"/>
            <w:vAlign w:val="center"/>
          </w:tcPr>
          <w:p w:rsidR="008A2E2C" w:rsidRPr="007A2258" w:rsidRDefault="008A2E2C" w:rsidP="00A37EC0">
            <w:pPr>
              <w:keepNext/>
              <w:spacing w:before="40" w:after="40"/>
              <w:rPr>
                <w:rFonts w:ascii="Arial Narrow" w:eastAsia="Calibri" w:hAnsi="Arial Narrow" w:cs="Arial"/>
                <w:sz w:val="20"/>
              </w:rPr>
            </w:pPr>
            <w:r w:rsidRPr="007A2258">
              <w:rPr>
                <w:rFonts w:ascii="Arial Narrow" w:eastAsia="Calibri" w:hAnsi="Arial Narrow" w:cs="Arial"/>
                <w:sz w:val="20"/>
              </w:rPr>
              <w:t xml:space="preserve">20 years, assumed from ~ 2 years trial duration </w:t>
            </w:r>
          </w:p>
        </w:tc>
        <w:tc>
          <w:tcPr>
            <w:tcW w:w="1849" w:type="pct"/>
            <w:shd w:val="clear" w:color="auto" w:fill="auto"/>
            <w:vAlign w:val="center"/>
          </w:tcPr>
          <w:p w:rsidR="008A2E2C" w:rsidRPr="007A2258" w:rsidRDefault="008A2E2C" w:rsidP="008A2E2C">
            <w:pPr>
              <w:keepNext/>
              <w:spacing w:before="40" w:after="40"/>
              <w:rPr>
                <w:rFonts w:ascii="Arial Narrow" w:eastAsia="Calibri" w:hAnsi="Arial Narrow" w:cs="Arial"/>
                <w:sz w:val="20"/>
              </w:rPr>
            </w:pPr>
            <w:r w:rsidRPr="007A2258">
              <w:rPr>
                <w:rFonts w:ascii="Arial Narrow" w:eastAsia="Calibri" w:hAnsi="Arial Narrow" w:cs="Arial"/>
                <w:sz w:val="20"/>
              </w:rPr>
              <w:t>20 years, assumed from ~ 2 years trial duration</w:t>
            </w:r>
          </w:p>
        </w:tc>
        <w:tc>
          <w:tcPr>
            <w:tcW w:w="1045" w:type="pct"/>
            <w:shd w:val="clear" w:color="auto" w:fill="auto"/>
            <w:vAlign w:val="center"/>
          </w:tcPr>
          <w:p w:rsidR="008A2E2C" w:rsidRPr="007A2258" w:rsidRDefault="008A2E2C" w:rsidP="008A2E2C">
            <w:pPr>
              <w:keepNext/>
              <w:spacing w:before="40" w:after="40"/>
              <w:rPr>
                <w:rFonts w:ascii="Arial Narrow" w:eastAsia="Calibri" w:hAnsi="Arial Narrow" w:cs="Arial"/>
                <w:sz w:val="20"/>
              </w:rPr>
            </w:pPr>
            <w:r w:rsidRPr="007A2258">
              <w:rPr>
                <w:rFonts w:ascii="Arial Narrow" w:eastAsia="Calibri" w:hAnsi="Arial Narrow" w:cs="Arial"/>
                <w:sz w:val="20"/>
              </w:rPr>
              <w:t>High, favours TDF/FTC</w:t>
            </w:r>
          </w:p>
          <w:p w:rsidR="008A2E2C" w:rsidRPr="007A2258" w:rsidRDefault="008A2E2C" w:rsidP="008A2E2C">
            <w:pPr>
              <w:keepNext/>
              <w:spacing w:before="40" w:after="40"/>
              <w:rPr>
                <w:rFonts w:ascii="Arial Narrow" w:eastAsia="Calibri" w:hAnsi="Arial Narrow" w:cs="Arial"/>
                <w:sz w:val="20"/>
              </w:rPr>
            </w:pPr>
            <w:r w:rsidRPr="007A2258">
              <w:rPr>
                <w:rFonts w:ascii="Arial Narrow" w:eastAsia="Calibri" w:hAnsi="Arial Narrow" w:cs="Arial"/>
                <w:sz w:val="20"/>
              </w:rPr>
              <w:t xml:space="preserve">ICER at 10 years: </w:t>
            </w: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r>
      <w:tr w:rsidR="008A2E2C" w:rsidRPr="007A2258" w:rsidTr="005E54E3">
        <w:tc>
          <w:tcPr>
            <w:tcW w:w="802" w:type="pct"/>
            <w:shd w:val="clear" w:color="auto" w:fill="auto"/>
            <w:vAlign w:val="center"/>
          </w:tcPr>
          <w:p w:rsidR="008A2E2C" w:rsidRPr="007A2258" w:rsidRDefault="008A2E2C" w:rsidP="008A2E2C">
            <w:pPr>
              <w:keepNext/>
              <w:spacing w:before="40" w:after="40"/>
              <w:rPr>
                <w:rFonts w:ascii="Arial Narrow" w:eastAsia="Calibri" w:hAnsi="Arial Narrow" w:cs="Arial"/>
                <w:sz w:val="20"/>
              </w:rPr>
            </w:pPr>
            <w:r w:rsidRPr="007A2258">
              <w:rPr>
                <w:rFonts w:ascii="Arial Narrow" w:eastAsia="Calibri" w:hAnsi="Arial Narrow" w:cs="Arial"/>
                <w:sz w:val="20"/>
              </w:rPr>
              <w:t>Individual risk distribution</w:t>
            </w:r>
          </w:p>
        </w:tc>
        <w:tc>
          <w:tcPr>
            <w:tcW w:w="1303" w:type="pct"/>
            <w:vAlign w:val="center"/>
          </w:tcPr>
          <w:p w:rsidR="008A2E2C" w:rsidRPr="007A2258" w:rsidRDefault="008A2E2C" w:rsidP="00A37EC0">
            <w:pPr>
              <w:keepNext/>
              <w:spacing w:before="40" w:after="40"/>
              <w:rPr>
                <w:rFonts w:ascii="Arial Narrow" w:eastAsia="Calibri" w:hAnsi="Arial Narrow" w:cs="Arial"/>
                <w:sz w:val="20"/>
              </w:rPr>
            </w:pPr>
            <w:r w:rsidRPr="007A2258">
              <w:rPr>
                <w:rFonts w:ascii="Arial Narrow" w:eastAsia="Calibri" w:hAnsi="Arial Narrow" w:cs="Arial"/>
                <w:sz w:val="20"/>
              </w:rPr>
              <w:t>Gamma distribution (mean 1, SD 2.0).</w:t>
            </w:r>
          </w:p>
        </w:tc>
        <w:tc>
          <w:tcPr>
            <w:tcW w:w="1849" w:type="pct"/>
            <w:shd w:val="clear" w:color="auto" w:fill="auto"/>
            <w:vAlign w:val="center"/>
          </w:tcPr>
          <w:p w:rsidR="008A2E2C" w:rsidRPr="007A2258" w:rsidRDefault="008A2E2C" w:rsidP="008A2E2C">
            <w:pPr>
              <w:keepNext/>
              <w:spacing w:before="40" w:after="40"/>
              <w:rPr>
                <w:rFonts w:ascii="Arial Narrow" w:eastAsia="Calibri" w:hAnsi="Arial Narrow" w:cs="Arial"/>
                <w:sz w:val="20"/>
              </w:rPr>
            </w:pPr>
            <w:r w:rsidRPr="007A2258">
              <w:rPr>
                <w:rFonts w:ascii="Arial Narrow" w:eastAsia="Calibri" w:hAnsi="Arial Narrow" w:cs="Arial"/>
                <w:sz w:val="20"/>
              </w:rPr>
              <w:t>Gamma distribution (mean 1, SD 0.5).</w:t>
            </w:r>
          </w:p>
        </w:tc>
        <w:tc>
          <w:tcPr>
            <w:tcW w:w="1045" w:type="pct"/>
            <w:shd w:val="clear" w:color="auto" w:fill="auto"/>
            <w:vAlign w:val="center"/>
          </w:tcPr>
          <w:p w:rsidR="008A2E2C" w:rsidRPr="007A2258" w:rsidRDefault="008A2E2C" w:rsidP="008A2E2C">
            <w:pPr>
              <w:keepNext/>
              <w:spacing w:before="40" w:after="40"/>
              <w:rPr>
                <w:rFonts w:ascii="Arial Narrow" w:eastAsia="Calibri" w:hAnsi="Arial Narrow" w:cs="Arial"/>
                <w:sz w:val="20"/>
              </w:rPr>
            </w:pPr>
            <w:r w:rsidRPr="007A2258">
              <w:rPr>
                <w:rFonts w:ascii="Arial Narrow" w:eastAsia="Calibri" w:hAnsi="Arial Narrow" w:cs="Arial"/>
                <w:sz w:val="20"/>
              </w:rPr>
              <w:t>High, favours SOC</w:t>
            </w:r>
          </w:p>
          <w:p w:rsidR="008A2E2C" w:rsidRPr="007A2258" w:rsidRDefault="008A2E2C" w:rsidP="008A2E2C">
            <w:pPr>
              <w:keepNext/>
              <w:spacing w:before="40" w:after="40"/>
              <w:rPr>
                <w:rFonts w:ascii="Arial Narrow" w:eastAsia="Calibri" w:hAnsi="Arial Narrow" w:cs="Arial"/>
                <w:sz w:val="20"/>
              </w:rPr>
            </w:pPr>
            <w:r w:rsidRPr="007A2258">
              <w:rPr>
                <w:rFonts w:ascii="Arial Narrow" w:eastAsia="Calibri" w:hAnsi="Arial Narrow" w:cs="Arial"/>
                <w:sz w:val="20"/>
              </w:rPr>
              <w:t>ICER with wider SD: $</w:t>
            </w:r>
            <w:r w:rsidR="004E43C3">
              <w:rPr>
                <w:rFonts w:ascii="Arial Narrow" w:eastAsia="Calibri" w:hAnsi="Arial Narrow" w:cs="Arial"/>
                <w:noProof/>
                <w:color w:val="000000"/>
                <w:sz w:val="20"/>
                <w:highlight w:val="black"/>
              </w:rPr>
              <w:t>'''''''''''''''''''</w:t>
            </w:r>
          </w:p>
        </w:tc>
      </w:tr>
    </w:tbl>
    <w:p w:rsidR="008A2E2C" w:rsidRPr="007A2258" w:rsidRDefault="008A2E2C" w:rsidP="008A2E2C">
      <w:pPr>
        <w:widowControl w:val="0"/>
        <w:spacing w:before="0" w:after="120"/>
        <w:contextualSpacing/>
        <w:jc w:val="both"/>
        <w:rPr>
          <w:rFonts w:ascii="Arial Narrow" w:eastAsia="Times New Roman" w:hAnsi="Arial Narrow" w:cs="Arial"/>
          <w:snapToGrid w:val="0"/>
          <w:sz w:val="18"/>
          <w:szCs w:val="20"/>
        </w:rPr>
      </w:pPr>
      <w:r w:rsidRPr="007A2258">
        <w:rPr>
          <w:rFonts w:ascii="Arial Narrow" w:eastAsia="Times New Roman" w:hAnsi="Arial Narrow" w:cs="Arial"/>
          <w:snapToGrid w:val="0"/>
          <w:sz w:val="18"/>
          <w:szCs w:val="20"/>
        </w:rPr>
        <w:t>Source: compiled during the evaluation (reference sections/tables/spreadsheets within the submission)</w:t>
      </w:r>
    </w:p>
    <w:p w:rsidR="008A2E2C" w:rsidRPr="007A2258" w:rsidRDefault="008A2E2C" w:rsidP="007A2258">
      <w:pPr>
        <w:pStyle w:val="ListParagraph"/>
        <w:numPr>
          <w:ilvl w:val="1"/>
          <w:numId w:val="23"/>
        </w:numPr>
        <w:jc w:val="both"/>
      </w:pPr>
      <w:r w:rsidRPr="007A2258">
        <w:t>The results of the univariate sensitivity analyses in the resubmission show that the ICER was most sensitive to the time horizon of the analysis, the force of infection applied to primary and chronic infections, the mean suitability threshold and the price of TDF/FTC.</w:t>
      </w:r>
    </w:p>
    <w:p w:rsidR="00EE20D2" w:rsidRDefault="00EE20D2">
      <w:pPr>
        <w:spacing w:before="0" w:line="259" w:lineRule="auto"/>
        <w:rPr>
          <w:rFonts w:ascii="Arial Narrow" w:hAnsi="Arial Narrow"/>
          <w:b/>
          <w:iCs/>
          <w:sz w:val="20"/>
          <w:szCs w:val="18"/>
        </w:rPr>
      </w:pPr>
      <w:r>
        <w:br w:type="page"/>
      </w:r>
    </w:p>
    <w:p w:rsidR="00904455" w:rsidRDefault="00904455" w:rsidP="00904455">
      <w:pPr>
        <w:pStyle w:val="Caption"/>
      </w:pPr>
      <w:r>
        <w:t xml:space="preserve">Table </w:t>
      </w:r>
      <w:r w:rsidR="004F50B1">
        <w:rPr>
          <w:noProof/>
        </w:rPr>
        <w:t>16</w:t>
      </w:r>
      <w:r w:rsidRPr="00DA1B6D">
        <w:t>: Results of univariate sensitivity analyses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48"/>
        <w:gridCol w:w="3547"/>
        <w:gridCol w:w="1275"/>
        <w:gridCol w:w="1112"/>
      </w:tblGrid>
      <w:tr w:rsidR="008A2E2C" w:rsidRPr="007A2258" w:rsidTr="00CB0977">
        <w:trPr>
          <w:tblHeader/>
        </w:trPr>
        <w:tc>
          <w:tcPr>
            <w:tcW w:w="173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keepNext/>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b/>
                <w:snapToGrid w:val="0"/>
                <w:sz w:val="20"/>
                <w:szCs w:val="20"/>
              </w:rPr>
              <w:t>Parameter (base case value)</w:t>
            </w:r>
          </w:p>
        </w:tc>
        <w:tc>
          <w:tcPr>
            <w:tcW w:w="195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keepNext/>
              <w:widowControl w:val="0"/>
              <w:spacing w:before="0" w:after="0"/>
              <w:rPr>
                <w:rFonts w:ascii="Arial Narrow" w:eastAsia="Times New Roman" w:hAnsi="Arial Narrow" w:cs="Arial"/>
                <w:b/>
                <w:snapToGrid w:val="0"/>
                <w:sz w:val="20"/>
                <w:szCs w:val="20"/>
              </w:rPr>
            </w:pPr>
            <w:r w:rsidRPr="007A2258">
              <w:rPr>
                <w:rFonts w:ascii="Arial Narrow" w:eastAsia="Times New Roman" w:hAnsi="Arial Narrow" w:cs="Arial"/>
                <w:b/>
                <w:snapToGrid w:val="0"/>
                <w:sz w:val="20"/>
                <w:szCs w:val="20"/>
              </w:rPr>
              <w:t>Description</w:t>
            </w:r>
          </w:p>
        </w:tc>
        <w:tc>
          <w:tcPr>
            <w:tcW w:w="702" w:type="pct"/>
            <w:tcBorders>
              <w:top w:val="single" w:sz="4" w:space="0" w:color="auto"/>
              <w:left w:val="single" w:sz="4" w:space="0" w:color="auto"/>
              <w:bottom w:val="single" w:sz="4" w:space="0" w:color="auto"/>
              <w:right w:val="single" w:sz="4" w:space="0" w:color="auto"/>
            </w:tcBorders>
            <w:vAlign w:val="center"/>
          </w:tcPr>
          <w:p w:rsidR="008A2E2C" w:rsidRPr="007A2258" w:rsidRDefault="00EB6428" w:rsidP="008A2E2C">
            <w:pPr>
              <w:keepNext/>
              <w:widowControl w:val="0"/>
              <w:spacing w:before="0" w:after="0"/>
              <w:rPr>
                <w:rFonts w:ascii="Arial Narrow" w:eastAsia="Times New Roman" w:hAnsi="Arial Narrow" w:cs="Arial"/>
                <w:b/>
                <w:snapToGrid w:val="0"/>
                <w:sz w:val="20"/>
                <w:szCs w:val="20"/>
              </w:rPr>
            </w:pPr>
            <w:r w:rsidRPr="007A2258">
              <w:rPr>
                <w:rFonts w:ascii="Arial Narrow" w:eastAsia="Times New Roman" w:hAnsi="Arial Narrow" w:cs="Arial"/>
                <w:b/>
                <w:snapToGrid w:val="0"/>
                <w:sz w:val="20"/>
                <w:szCs w:val="20"/>
              </w:rPr>
              <w:t>Peak uptake</w:t>
            </w:r>
          </w:p>
        </w:tc>
        <w:tc>
          <w:tcPr>
            <w:tcW w:w="61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keepNext/>
              <w:widowControl w:val="0"/>
              <w:spacing w:before="0" w:after="0"/>
              <w:rPr>
                <w:rFonts w:ascii="Arial Narrow" w:eastAsia="Times New Roman" w:hAnsi="Arial Narrow" w:cs="Arial"/>
                <w:b/>
                <w:snapToGrid w:val="0"/>
                <w:sz w:val="20"/>
                <w:szCs w:val="20"/>
              </w:rPr>
            </w:pPr>
            <w:r w:rsidRPr="007A2258">
              <w:rPr>
                <w:rFonts w:ascii="Arial Narrow" w:eastAsia="Times New Roman" w:hAnsi="Arial Narrow" w:cs="Arial"/>
                <w:b/>
                <w:snapToGrid w:val="0"/>
                <w:sz w:val="20"/>
                <w:szCs w:val="20"/>
              </w:rPr>
              <w:t>ICER</w:t>
            </w:r>
          </w:p>
        </w:tc>
      </w:tr>
      <w:tr w:rsidR="008A2E2C" w:rsidRPr="007A2258" w:rsidTr="00CB0977">
        <w:tc>
          <w:tcPr>
            <w:tcW w:w="173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Base case as presented in the resubmission</w:t>
            </w:r>
          </w:p>
        </w:tc>
        <w:tc>
          <w:tcPr>
            <w:tcW w:w="195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Seed 1</w:t>
            </w:r>
          </w:p>
        </w:tc>
        <w:tc>
          <w:tcPr>
            <w:tcW w:w="70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29,659</w:t>
            </w:r>
          </w:p>
        </w:tc>
        <w:tc>
          <w:tcPr>
            <w:tcW w:w="61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color w:val="00000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r>
      <w:tr w:rsidR="008A2E2C" w:rsidRPr="007A2258" w:rsidTr="00CB0977">
        <w:tc>
          <w:tcPr>
            <w:tcW w:w="1733" w:type="pct"/>
            <w:vMerge w:val="restart"/>
            <w:tcBorders>
              <w:top w:val="single" w:sz="4" w:space="0" w:color="auto"/>
              <w:left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Discount rate (5%)</w:t>
            </w:r>
          </w:p>
        </w:tc>
        <w:tc>
          <w:tcPr>
            <w:tcW w:w="195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3.5</w:t>
            </w:r>
          </w:p>
        </w:tc>
        <w:tc>
          <w:tcPr>
            <w:tcW w:w="70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29,659</w:t>
            </w:r>
          </w:p>
        </w:tc>
        <w:tc>
          <w:tcPr>
            <w:tcW w:w="61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color w:val="000000"/>
                <w:sz w:val="20"/>
                <w:szCs w:val="20"/>
              </w:rPr>
            </w:pPr>
            <w:r w:rsidRPr="007A2258">
              <w:rPr>
                <w:rFonts w:ascii="Arial Narrow" w:eastAsia="Times New Roman" w:hAnsi="Arial Narrow" w:cs="Arial"/>
                <w:snapToGrid w:val="0"/>
                <w:color w:val="000000"/>
                <w:sz w:val="20"/>
                <w:szCs w:val="20"/>
              </w:rPr>
              <w:t>$</w:t>
            </w:r>
            <w:r w:rsidR="004E43C3">
              <w:rPr>
                <w:rFonts w:ascii="Arial Narrow" w:eastAsia="Times New Roman" w:hAnsi="Arial Narrow" w:cs="Arial"/>
                <w:noProof/>
                <w:snapToGrid w:val="0"/>
                <w:color w:val="000000"/>
                <w:sz w:val="20"/>
                <w:szCs w:val="20"/>
                <w:highlight w:val="black"/>
              </w:rPr>
              <w:t>''''''''''''''''''''</w:t>
            </w:r>
          </w:p>
        </w:tc>
      </w:tr>
      <w:tr w:rsidR="008A2E2C" w:rsidRPr="007A2258" w:rsidTr="00CB0977">
        <w:tc>
          <w:tcPr>
            <w:tcW w:w="1733" w:type="pct"/>
            <w:vMerge/>
            <w:tcBorders>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p>
        </w:tc>
        <w:tc>
          <w:tcPr>
            <w:tcW w:w="195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7</w:t>
            </w:r>
          </w:p>
        </w:tc>
        <w:tc>
          <w:tcPr>
            <w:tcW w:w="70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29,659</w:t>
            </w:r>
          </w:p>
        </w:tc>
        <w:tc>
          <w:tcPr>
            <w:tcW w:w="61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color w:val="000000"/>
                <w:sz w:val="20"/>
                <w:szCs w:val="20"/>
              </w:rPr>
            </w:pPr>
            <w:r w:rsidRPr="007A2258">
              <w:rPr>
                <w:rFonts w:ascii="Arial Narrow" w:eastAsia="Times New Roman" w:hAnsi="Arial Narrow" w:cs="Arial"/>
                <w:snapToGrid w:val="0"/>
                <w:color w:val="000000"/>
                <w:sz w:val="20"/>
                <w:szCs w:val="20"/>
              </w:rPr>
              <w:t>$</w:t>
            </w:r>
            <w:r w:rsidR="004E43C3">
              <w:rPr>
                <w:rFonts w:ascii="Arial Narrow" w:eastAsia="Times New Roman" w:hAnsi="Arial Narrow" w:cs="Arial"/>
                <w:noProof/>
                <w:snapToGrid w:val="0"/>
                <w:color w:val="000000"/>
                <w:sz w:val="20"/>
                <w:szCs w:val="20"/>
                <w:highlight w:val="black"/>
              </w:rPr>
              <w:t>'''''''''''''''''</w:t>
            </w:r>
          </w:p>
        </w:tc>
      </w:tr>
      <w:tr w:rsidR="008A2E2C" w:rsidRPr="007A2258" w:rsidTr="00CB0977">
        <w:tc>
          <w:tcPr>
            <w:tcW w:w="1733" w:type="pct"/>
            <w:vMerge w:val="restart"/>
            <w:tcBorders>
              <w:top w:val="single" w:sz="4" w:space="0" w:color="auto"/>
              <w:left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Time horizon (20 years)</w:t>
            </w:r>
          </w:p>
        </w:tc>
        <w:tc>
          <w:tcPr>
            <w:tcW w:w="195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30</w:t>
            </w:r>
          </w:p>
        </w:tc>
        <w:tc>
          <w:tcPr>
            <w:tcW w:w="70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29,659</w:t>
            </w:r>
          </w:p>
        </w:tc>
        <w:tc>
          <w:tcPr>
            <w:tcW w:w="61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color w:val="000000"/>
                <w:sz w:val="20"/>
                <w:szCs w:val="20"/>
              </w:rPr>
            </w:pPr>
            <w:r w:rsidRPr="007A2258">
              <w:rPr>
                <w:rFonts w:ascii="Arial Narrow" w:eastAsia="Times New Roman" w:hAnsi="Arial Narrow" w:cs="Arial"/>
                <w:snapToGrid w:val="0"/>
                <w:color w:val="000000"/>
                <w:sz w:val="20"/>
                <w:szCs w:val="20"/>
              </w:rPr>
              <w:t>$</w:t>
            </w:r>
            <w:r w:rsidR="004E43C3">
              <w:rPr>
                <w:rFonts w:ascii="Arial Narrow" w:eastAsia="Times New Roman" w:hAnsi="Arial Narrow" w:cs="Arial"/>
                <w:noProof/>
                <w:snapToGrid w:val="0"/>
                <w:color w:val="000000"/>
                <w:sz w:val="20"/>
                <w:szCs w:val="20"/>
                <w:highlight w:val="black"/>
              </w:rPr>
              <w:t>''''''''''''''''''''</w:t>
            </w:r>
          </w:p>
        </w:tc>
      </w:tr>
      <w:tr w:rsidR="008A2E2C" w:rsidRPr="007A2258" w:rsidTr="00CB0977">
        <w:tc>
          <w:tcPr>
            <w:tcW w:w="1733" w:type="pct"/>
            <w:vMerge/>
            <w:tcBorders>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p>
        </w:tc>
        <w:tc>
          <w:tcPr>
            <w:tcW w:w="195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10</w:t>
            </w:r>
          </w:p>
        </w:tc>
        <w:tc>
          <w:tcPr>
            <w:tcW w:w="70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29,659</w:t>
            </w:r>
          </w:p>
        </w:tc>
        <w:tc>
          <w:tcPr>
            <w:tcW w:w="61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color w:val="000000"/>
                <w:sz w:val="20"/>
                <w:szCs w:val="20"/>
              </w:rPr>
            </w:pPr>
            <w:r w:rsidRPr="007A2258">
              <w:rPr>
                <w:rFonts w:ascii="Arial Narrow" w:eastAsia="Times New Roman" w:hAnsi="Arial Narrow" w:cs="Arial"/>
                <w:snapToGrid w:val="0"/>
                <w:color w:val="000000"/>
                <w:sz w:val="20"/>
                <w:szCs w:val="20"/>
              </w:rPr>
              <w:t>$</w:t>
            </w:r>
            <w:r w:rsidR="004E43C3">
              <w:rPr>
                <w:rFonts w:ascii="Arial Narrow" w:eastAsia="Times New Roman" w:hAnsi="Arial Narrow" w:cs="Arial"/>
                <w:noProof/>
                <w:snapToGrid w:val="0"/>
                <w:color w:val="000000"/>
                <w:sz w:val="20"/>
                <w:szCs w:val="20"/>
                <w:highlight w:val="black"/>
              </w:rPr>
              <w:t>''''''''''''''''''''</w:t>
            </w:r>
          </w:p>
        </w:tc>
      </w:tr>
      <w:tr w:rsidR="008A2E2C" w:rsidRPr="007A2258" w:rsidTr="00CB0977">
        <w:tc>
          <w:tcPr>
            <w:tcW w:w="173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Currently treated patients (73.4%)</w:t>
            </w:r>
          </w:p>
        </w:tc>
        <w:tc>
          <w:tcPr>
            <w:tcW w:w="195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80</w:t>
            </w:r>
          </w:p>
        </w:tc>
        <w:tc>
          <w:tcPr>
            <w:tcW w:w="70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27,897</w:t>
            </w:r>
          </w:p>
        </w:tc>
        <w:tc>
          <w:tcPr>
            <w:tcW w:w="61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color w:val="000000"/>
                <w:sz w:val="20"/>
                <w:szCs w:val="20"/>
              </w:rPr>
            </w:pPr>
            <w:r w:rsidRPr="007A2258">
              <w:rPr>
                <w:rFonts w:ascii="Arial Narrow" w:eastAsia="Times New Roman" w:hAnsi="Arial Narrow" w:cs="Arial"/>
                <w:snapToGrid w:val="0"/>
                <w:color w:val="000000"/>
                <w:sz w:val="20"/>
                <w:szCs w:val="20"/>
              </w:rPr>
              <w:t>$</w:t>
            </w:r>
            <w:r w:rsidR="004E43C3">
              <w:rPr>
                <w:rFonts w:ascii="Arial Narrow" w:eastAsia="Times New Roman" w:hAnsi="Arial Narrow" w:cs="Arial"/>
                <w:noProof/>
                <w:snapToGrid w:val="0"/>
                <w:color w:val="000000"/>
                <w:sz w:val="20"/>
                <w:szCs w:val="20"/>
                <w:highlight w:val="black"/>
              </w:rPr>
              <w:t>'''''''''''''''''''</w:t>
            </w:r>
          </w:p>
        </w:tc>
      </w:tr>
      <w:tr w:rsidR="008A2E2C" w:rsidRPr="007A2258" w:rsidTr="00CB0977">
        <w:tc>
          <w:tcPr>
            <w:tcW w:w="1733" w:type="pct"/>
            <w:vMerge w:val="restart"/>
            <w:tcBorders>
              <w:top w:val="single" w:sz="4" w:space="0" w:color="auto"/>
              <w:left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Force of infection (cases/</w:t>
            </w:r>
            <w:r w:rsidR="00B144E0" w:rsidRPr="007A2258">
              <w:rPr>
                <w:rFonts w:ascii="Arial Narrow" w:eastAsia="Times New Roman" w:hAnsi="Arial Narrow" w:cs="Arial"/>
                <w:snapToGrid w:val="0"/>
                <w:sz w:val="20"/>
                <w:szCs w:val="20"/>
              </w:rPr>
              <w:t>year:</w:t>
            </w:r>
            <w:r w:rsidRPr="007A2258">
              <w:rPr>
                <w:rFonts w:ascii="Arial Narrow" w:eastAsia="Times New Roman" w:hAnsi="Arial Narrow" w:cs="Arial"/>
                <w:snapToGrid w:val="0"/>
                <w:sz w:val="20"/>
                <w:szCs w:val="20"/>
              </w:rPr>
              <w:t xml:space="preserve"> chronic=0.08; primary=0.80)</w:t>
            </w:r>
          </w:p>
        </w:tc>
        <w:tc>
          <w:tcPr>
            <w:tcW w:w="195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chronic=0.1; primary=1.0</w:t>
            </w:r>
          </w:p>
        </w:tc>
        <w:tc>
          <w:tcPr>
            <w:tcW w:w="70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33,944</w:t>
            </w:r>
          </w:p>
        </w:tc>
        <w:tc>
          <w:tcPr>
            <w:tcW w:w="61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color w:val="000000"/>
                <w:sz w:val="20"/>
                <w:szCs w:val="20"/>
              </w:rPr>
            </w:pPr>
            <w:r w:rsidRPr="007A2258">
              <w:rPr>
                <w:rFonts w:ascii="Arial Narrow" w:eastAsia="Times New Roman" w:hAnsi="Arial Narrow" w:cs="Arial"/>
                <w:snapToGrid w:val="0"/>
                <w:color w:val="000000"/>
                <w:sz w:val="20"/>
                <w:szCs w:val="20"/>
              </w:rPr>
              <w:t>$</w:t>
            </w:r>
            <w:r w:rsidR="004E43C3">
              <w:rPr>
                <w:rFonts w:ascii="Arial Narrow" w:eastAsia="Times New Roman" w:hAnsi="Arial Narrow" w:cs="Arial"/>
                <w:noProof/>
                <w:snapToGrid w:val="0"/>
                <w:color w:val="000000"/>
                <w:sz w:val="20"/>
                <w:szCs w:val="20"/>
                <w:highlight w:val="black"/>
              </w:rPr>
              <w:t>''''''''''''''''''</w:t>
            </w:r>
          </w:p>
        </w:tc>
      </w:tr>
      <w:tr w:rsidR="008A2E2C" w:rsidRPr="007A2258" w:rsidTr="00CB0977">
        <w:tc>
          <w:tcPr>
            <w:tcW w:w="1733" w:type="pct"/>
            <w:vMerge/>
            <w:tcBorders>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p>
        </w:tc>
        <w:tc>
          <w:tcPr>
            <w:tcW w:w="195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chronic=0.05; primary=0.5</w:t>
            </w:r>
          </w:p>
        </w:tc>
        <w:tc>
          <w:tcPr>
            <w:tcW w:w="70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20,024</w:t>
            </w:r>
          </w:p>
        </w:tc>
        <w:tc>
          <w:tcPr>
            <w:tcW w:w="61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color w:val="000000"/>
                <w:sz w:val="20"/>
                <w:szCs w:val="20"/>
              </w:rPr>
            </w:pPr>
            <w:r w:rsidRPr="007A2258">
              <w:rPr>
                <w:rFonts w:ascii="Arial Narrow" w:eastAsia="Times New Roman" w:hAnsi="Arial Narrow" w:cs="Arial"/>
                <w:snapToGrid w:val="0"/>
                <w:color w:val="000000"/>
                <w:sz w:val="20"/>
                <w:szCs w:val="20"/>
              </w:rPr>
              <w:t>$</w:t>
            </w:r>
            <w:r w:rsidR="004E43C3">
              <w:rPr>
                <w:rFonts w:ascii="Arial Narrow" w:eastAsia="Times New Roman" w:hAnsi="Arial Narrow" w:cs="Arial"/>
                <w:noProof/>
                <w:snapToGrid w:val="0"/>
                <w:color w:val="000000"/>
                <w:sz w:val="20"/>
                <w:szCs w:val="20"/>
                <w:highlight w:val="black"/>
              </w:rPr>
              <w:t>'''''''''''''''''''''</w:t>
            </w:r>
          </w:p>
        </w:tc>
      </w:tr>
      <w:tr w:rsidR="008A2E2C" w:rsidRPr="007A2258" w:rsidTr="00CB0977">
        <w:tc>
          <w:tcPr>
            <w:tcW w:w="1733" w:type="pct"/>
            <w:vMerge w:val="restart"/>
            <w:tcBorders>
              <w:top w:val="single" w:sz="4" w:space="0" w:color="auto"/>
              <w:left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Individual risk distribution (form=gamma; SD=0.5)</w:t>
            </w:r>
          </w:p>
        </w:tc>
        <w:tc>
          <w:tcPr>
            <w:tcW w:w="195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form=gamma, SD=2</w:t>
            </w:r>
          </w:p>
        </w:tc>
        <w:tc>
          <w:tcPr>
            <w:tcW w:w="70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16,773</w:t>
            </w:r>
          </w:p>
        </w:tc>
        <w:tc>
          <w:tcPr>
            <w:tcW w:w="61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color w:val="000000"/>
                <w:sz w:val="20"/>
                <w:szCs w:val="20"/>
              </w:rPr>
            </w:pPr>
            <w:r w:rsidRPr="007A2258">
              <w:rPr>
                <w:rFonts w:ascii="Arial Narrow" w:eastAsia="Times New Roman" w:hAnsi="Arial Narrow" w:cs="Arial"/>
                <w:snapToGrid w:val="0"/>
                <w:color w:val="000000"/>
                <w:sz w:val="20"/>
                <w:szCs w:val="20"/>
              </w:rPr>
              <w:t>$</w:t>
            </w:r>
            <w:r w:rsidR="004E43C3">
              <w:rPr>
                <w:rFonts w:ascii="Arial Narrow" w:eastAsia="Times New Roman" w:hAnsi="Arial Narrow" w:cs="Arial"/>
                <w:noProof/>
                <w:snapToGrid w:val="0"/>
                <w:color w:val="000000"/>
                <w:sz w:val="20"/>
                <w:szCs w:val="20"/>
                <w:highlight w:val="black"/>
              </w:rPr>
              <w:t>''''''''''''''''''</w:t>
            </w:r>
          </w:p>
        </w:tc>
      </w:tr>
      <w:tr w:rsidR="008A2E2C" w:rsidRPr="007A2258" w:rsidTr="00CB0977">
        <w:tc>
          <w:tcPr>
            <w:tcW w:w="1733" w:type="pct"/>
            <w:vMerge/>
            <w:tcBorders>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p>
        </w:tc>
        <w:tc>
          <w:tcPr>
            <w:tcW w:w="195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form=uniform, lower bound=0.5; upper bound =1.5</w:t>
            </w:r>
          </w:p>
        </w:tc>
        <w:tc>
          <w:tcPr>
            <w:tcW w:w="70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31,543</w:t>
            </w:r>
          </w:p>
        </w:tc>
        <w:tc>
          <w:tcPr>
            <w:tcW w:w="61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color w:val="000000"/>
                <w:sz w:val="20"/>
                <w:szCs w:val="20"/>
              </w:rPr>
            </w:pPr>
            <w:r w:rsidRPr="007A2258">
              <w:rPr>
                <w:rFonts w:ascii="Arial Narrow" w:eastAsia="Times New Roman" w:hAnsi="Arial Narrow" w:cs="Arial"/>
                <w:snapToGrid w:val="0"/>
                <w:color w:val="000000"/>
                <w:sz w:val="20"/>
                <w:szCs w:val="20"/>
              </w:rPr>
              <w:t>$</w:t>
            </w:r>
            <w:r w:rsidR="004E43C3">
              <w:rPr>
                <w:rFonts w:ascii="Arial Narrow" w:eastAsia="Times New Roman" w:hAnsi="Arial Narrow" w:cs="Arial"/>
                <w:noProof/>
                <w:snapToGrid w:val="0"/>
                <w:color w:val="000000"/>
                <w:sz w:val="20"/>
                <w:szCs w:val="20"/>
                <w:highlight w:val="black"/>
              </w:rPr>
              <w:t>'''''''''''''''''</w:t>
            </w:r>
          </w:p>
        </w:tc>
      </w:tr>
      <w:tr w:rsidR="008A2E2C" w:rsidRPr="007A2258" w:rsidTr="00CB0977">
        <w:tc>
          <w:tcPr>
            <w:tcW w:w="173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Hard risk thresholds (initiation ≈ 1%; continuation=NA)</w:t>
            </w:r>
          </w:p>
        </w:tc>
        <w:tc>
          <w:tcPr>
            <w:tcW w:w="195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initiation=3; continuation=1</w:t>
            </w:r>
          </w:p>
        </w:tc>
        <w:tc>
          <w:tcPr>
            <w:tcW w:w="70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12,263</w:t>
            </w:r>
          </w:p>
        </w:tc>
        <w:tc>
          <w:tcPr>
            <w:tcW w:w="61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color w:val="000000"/>
                <w:sz w:val="20"/>
                <w:szCs w:val="20"/>
              </w:rPr>
            </w:pPr>
            <w:r w:rsidRPr="007A2258">
              <w:rPr>
                <w:rFonts w:ascii="Arial Narrow" w:eastAsia="Times New Roman" w:hAnsi="Arial Narrow" w:cs="Arial"/>
                <w:snapToGrid w:val="0"/>
                <w:color w:val="000000"/>
                <w:sz w:val="20"/>
                <w:szCs w:val="20"/>
              </w:rPr>
              <w:t>$</w:t>
            </w:r>
            <w:r w:rsidR="004E43C3">
              <w:rPr>
                <w:rFonts w:ascii="Arial Narrow" w:eastAsia="Times New Roman" w:hAnsi="Arial Narrow" w:cs="Arial"/>
                <w:noProof/>
                <w:snapToGrid w:val="0"/>
                <w:color w:val="000000"/>
                <w:sz w:val="20"/>
                <w:szCs w:val="20"/>
                <w:highlight w:val="black"/>
              </w:rPr>
              <w:t>'''''''''''''''''''''</w:t>
            </w:r>
          </w:p>
        </w:tc>
      </w:tr>
      <w:tr w:rsidR="008A2E2C" w:rsidRPr="007A2258" w:rsidTr="00CB0977">
        <w:tc>
          <w:tcPr>
            <w:tcW w:w="1733" w:type="pct"/>
            <w:vMerge w:val="restart"/>
            <w:tcBorders>
              <w:top w:val="single" w:sz="4" w:space="0" w:color="auto"/>
              <w:left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Uptake (rate/year) 60% </w:t>
            </w:r>
          </w:p>
        </w:tc>
        <w:tc>
          <w:tcPr>
            <w:tcW w:w="195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80</w:t>
            </w:r>
          </w:p>
        </w:tc>
        <w:tc>
          <w:tcPr>
            <w:tcW w:w="70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31,873</w:t>
            </w:r>
          </w:p>
        </w:tc>
        <w:tc>
          <w:tcPr>
            <w:tcW w:w="61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color w:val="000000"/>
                <w:sz w:val="20"/>
                <w:szCs w:val="20"/>
              </w:rPr>
            </w:pPr>
            <w:r w:rsidRPr="007A2258">
              <w:rPr>
                <w:rFonts w:ascii="Arial Narrow" w:eastAsia="Times New Roman" w:hAnsi="Arial Narrow" w:cs="Arial"/>
                <w:snapToGrid w:val="0"/>
                <w:color w:val="000000"/>
                <w:sz w:val="20"/>
                <w:szCs w:val="20"/>
              </w:rPr>
              <w:t>$</w:t>
            </w:r>
            <w:r w:rsidR="004E43C3">
              <w:rPr>
                <w:rFonts w:ascii="Arial Narrow" w:eastAsia="Times New Roman" w:hAnsi="Arial Narrow" w:cs="Arial"/>
                <w:noProof/>
                <w:snapToGrid w:val="0"/>
                <w:color w:val="000000"/>
                <w:sz w:val="20"/>
                <w:szCs w:val="20"/>
                <w:highlight w:val="black"/>
              </w:rPr>
              <w:t>''''''''''''''''''''</w:t>
            </w:r>
          </w:p>
        </w:tc>
      </w:tr>
      <w:tr w:rsidR="008A2E2C" w:rsidRPr="007A2258" w:rsidTr="00CB0977">
        <w:tc>
          <w:tcPr>
            <w:tcW w:w="1733" w:type="pct"/>
            <w:vMerge/>
            <w:tcBorders>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p>
        </w:tc>
        <w:tc>
          <w:tcPr>
            <w:tcW w:w="195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40</w:t>
            </w:r>
          </w:p>
        </w:tc>
        <w:tc>
          <w:tcPr>
            <w:tcW w:w="70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26,060</w:t>
            </w:r>
          </w:p>
        </w:tc>
        <w:tc>
          <w:tcPr>
            <w:tcW w:w="61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color w:val="000000"/>
                <w:sz w:val="20"/>
                <w:szCs w:val="20"/>
              </w:rPr>
            </w:pPr>
            <w:r w:rsidRPr="007A2258">
              <w:rPr>
                <w:rFonts w:ascii="Arial Narrow" w:eastAsia="Times New Roman" w:hAnsi="Arial Narrow" w:cs="Arial"/>
                <w:snapToGrid w:val="0"/>
                <w:color w:val="000000"/>
                <w:sz w:val="20"/>
                <w:szCs w:val="20"/>
              </w:rPr>
              <w:t>$</w:t>
            </w:r>
            <w:r w:rsidR="004E43C3">
              <w:rPr>
                <w:rFonts w:ascii="Arial Narrow" w:eastAsia="Times New Roman" w:hAnsi="Arial Narrow" w:cs="Arial"/>
                <w:noProof/>
                <w:snapToGrid w:val="0"/>
                <w:color w:val="000000"/>
                <w:sz w:val="20"/>
                <w:szCs w:val="20"/>
                <w:highlight w:val="black"/>
              </w:rPr>
              <w:t>'''''''''''''''''''</w:t>
            </w:r>
          </w:p>
        </w:tc>
      </w:tr>
      <w:tr w:rsidR="008A2E2C" w:rsidRPr="007A2258" w:rsidTr="00CB0977">
        <w:tc>
          <w:tcPr>
            <w:tcW w:w="1733" w:type="pct"/>
            <w:vMerge w:val="restart"/>
            <w:tcBorders>
              <w:top w:val="single" w:sz="4" w:space="0" w:color="auto"/>
              <w:left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Discontinuation (0.1 rate/year)</w:t>
            </w:r>
          </w:p>
        </w:tc>
        <w:tc>
          <w:tcPr>
            <w:tcW w:w="195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0.2</w:t>
            </w:r>
          </w:p>
        </w:tc>
        <w:tc>
          <w:tcPr>
            <w:tcW w:w="70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26,355</w:t>
            </w:r>
          </w:p>
        </w:tc>
        <w:tc>
          <w:tcPr>
            <w:tcW w:w="61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color w:val="000000"/>
                <w:sz w:val="20"/>
                <w:szCs w:val="20"/>
              </w:rPr>
            </w:pPr>
            <w:r w:rsidRPr="007A2258">
              <w:rPr>
                <w:rFonts w:ascii="Arial Narrow" w:eastAsia="Times New Roman" w:hAnsi="Arial Narrow" w:cs="Arial"/>
                <w:snapToGrid w:val="0"/>
                <w:color w:val="000000"/>
                <w:sz w:val="20"/>
                <w:szCs w:val="20"/>
              </w:rPr>
              <w:t>$</w:t>
            </w:r>
            <w:r w:rsidR="004E43C3">
              <w:rPr>
                <w:rFonts w:ascii="Arial Narrow" w:eastAsia="Times New Roman" w:hAnsi="Arial Narrow" w:cs="Arial"/>
                <w:noProof/>
                <w:snapToGrid w:val="0"/>
                <w:color w:val="000000"/>
                <w:sz w:val="20"/>
                <w:szCs w:val="20"/>
                <w:highlight w:val="black"/>
              </w:rPr>
              <w:t>''''''''''''''''''''</w:t>
            </w:r>
          </w:p>
        </w:tc>
      </w:tr>
      <w:tr w:rsidR="008A2E2C" w:rsidRPr="007A2258" w:rsidTr="00CB0977">
        <w:tc>
          <w:tcPr>
            <w:tcW w:w="1733" w:type="pct"/>
            <w:vMerge/>
            <w:tcBorders>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p>
        </w:tc>
        <w:tc>
          <w:tcPr>
            <w:tcW w:w="195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0.01</w:t>
            </w:r>
          </w:p>
        </w:tc>
        <w:tc>
          <w:tcPr>
            <w:tcW w:w="70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41,622</w:t>
            </w:r>
          </w:p>
        </w:tc>
        <w:tc>
          <w:tcPr>
            <w:tcW w:w="61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color w:val="000000"/>
                <w:sz w:val="20"/>
                <w:szCs w:val="20"/>
              </w:rPr>
            </w:pPr>
            <w:r w:rsidRPr="007A2258">
              <w:rPr>
                <w:rFonts w:ascii="Arial Narrow" w:eastAsia="Times New Roman" w:hAnsi="Arial Narrow" w:cs="Arial"/>
                <w:snapToGrid w:val="0"/>
                <w:color w:val="000000"/>
                <w:sz w:val="20"/>
                <w:szCs w:val="20"/>
              </w:rPr>
              <w:t>$</w:t>
            </w:r>
            <w:r w:rsidR="004E43C3">
              <w:rPr>
                <w:rFonts w:ascii="Arial Narrow" w:eastAsia="Times New Roman" w:hAnsi="Arial Narrow" w:cs="Arial"/>
                <w:noProof/>
                <w:snapToGrid w:val="0"/>
                <w:color w:val="000000"/>
                <w:sz w:val="20"/>
                <w:szCs w:val="20"/>
                <w:highlight w:val="black"/>
              </w:rPr>
              <w:t>'''''''''''''''''''</w:t>
            </w:r>
          </w:p>
        </w:tc>
      </w:tr>
      <w:tr w:rsidR="008A2E2C" w:rsidRPr="007A2258" w:rsidTr="00CB0977">
        <w:tc>
          <w:tcPr>
            <w:tcW w:w="1733" w:type="pct"/>
            <w:vMerge w:val="restart"/>
            <w:tcBorders>
              <w:top w:val="single" w:sz="4" w:space="0" w:color="auto"/>
              <w:left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Compliance (90%)</w:t>
            </w:r>
          </w:p>
        </w:tc>
        <w:tc>
          <w:tcPr>
            <w:tcW w:w="195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70</w:t>
            </w:r>
          </w:p>
        </w:tc>
        <w:tc>
          <w:tcPr>
            <w:tcW w:w="70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29,659</w:t>
            </w:r>
          </w:p>
        </w:tc>
        <w:tc>
          <w:tcPr>
            <w:tcW w:w="61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color w:val="000000"/>
                <w:sz w:val="20"/>
                <w:szCs w:val="20"/>
              </w:rPr>
            </w:pPr>
            <w:r w:rsidRPr="007A2258">
              <w:rPr>
                <w:rFonts w:ascii="Arial Narrow" w:eastAsia="Times New Roman" w:hAnsi="Arial Narrow" w:cs="Arial"/>
                <w:snapToGrid w:val="0"/>
                <w:color w:val="000000"/>
                <w:sz w:val="20"/>
                <w:szCs w:val="20"/>
              </w:rPr>
              <w:t>$</w:t>
            </w:r>
            <w:r w:rsidR="004E43C3">
              <w:rPr>
                <w:rFonts w:ascii="Arial Narrow" w:eastAsia="Times New Roman" w:hAnsi="Arial Narrow" w:cs="Arial"/>
                <w:noProof/>
                <w:snapToGrid w:val="0"/>
                <w:color w:val="000000"/>
                <w:sz w:val="20"/>
                <w:szCs w:val="20"/>
                <w:highlight w:val="black"/>
              </w:rPr>
              <w:t>'''''''''''''''''''</w:t>
            </w:r>
          </w:p>
        </w:tc>
      </w:tr>
      <w:tr w:rsidR="008A2E2C" w:rsidRPr="007A2258" w:rsidTr="00CB0977">
        <w:tc>
          <w:tcPr>
            <w:tcW w:w="1733" w:type="pct"/>
            <w:vMerge/>
            <w:tcBorders>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p>
        </w:tc>
        <w:tc>
          <w:tcPr>
            <w:tcW w:w="195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100</w:t>
            </w:r>
          </w:p>
        </w:tc>
        <w:tc>
          <w:tcPr>
            <w:tcW w:w="70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29,659</w:t>
            </w:r>
          </w:p>
        </w:tc>
        <w:tc>
          <w:tcPr>
            <w:tcW w:w="61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color w:val="000000"/>
                <w:sz w:val="20"/>
                <w:szCs w:val="20"/>
              </w:rPr>
            </w:pPr>
            <w:r w:rsidRPr="007A2258">
              <w:rPr>
                <w:rFonts w:ascii="Arial Narrow" w:eastAsia="Times New Roman" w:hAnsi="Arial Narrow" w:cs="Arial"/>
                <w:snapToGrid w:val="0"/>
                <w:color w:val="000000"/>
                <w:sz w:val="20"/>
                <w:szCs w:val="20"/>
              </w:rPr>
              <w:t>$</w:t>
            </w:r>
            <w:r w:rsidR="004E43C3">
              <w:rPr>
                <w:rFonts w:ascii="Arial Narrow" w:eastAsia="Times New Roman" w:hAnsi="Arial Narrow" w:cs="Arial"/>
                <w:noProof/>
                <w:snapToGrid w:val="0"/>
                <w:color w:val="000000"/>
                <w:sz w:val="20"/>
                <w:szCs w:val="20"/>
                <w:highlight w:val="black"/>
              </w:rPr>
              <w:t>'''''''''''''''''''''</w:t>
            </w:r>
          </w:p>
        </w:tc>
      </w:tr>
      <w:tr w:rsidR="008A2E2C" w:rsidRPr="007A2258" w:rsidTr="00CB0977">
        <w:tc>
          <w:tcPr>
            <w:tcW w:w="1733" w:type="pct"/>
            <w:vMerge w:val="restart"/>
            <w:tcBorders>
              <w:top w:val="single" w:sz="4" w:space="0" w:color="auto"/>
              <w:left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Effectiveness (90%)</w:t>
            </w:r>
          </w:p>
        </w:tc>
        <w:tc>
          <w:tcPr>
            <w:tcW w:w="195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100</w:t>
            </w:r>
          </w:p>
        </w:tc>
        <w:tc>
          <w:tcPr>
            <w:tcW w:w="70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29,394</w:t>
            </w:r>
          </w:p>
        </w:tc>
        <w:tc>
          <w:tcPr>
            <w:tcW w:w="61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color w:val="000000"/>
                <w:sz w:val="20"/>
                <w:szCs w:val="20"/>
              </w:rPr>
            </w:pPr>
            <w:r w:rsidRPr="007A2258">
              <w:rPr>
                <w:rFonts w:ascii="Arial Narrow" w:eastAsia="Times New Roman" w:hAnsi="Arial Narrow" w:cs="Arial"/>
                <w:snapToGrid w:val="0"/>
                <w:color w:val="000000"/>
                <w:sz w:val="20"/>
                <w:szCs w:val="20"/>
              </w:rPr>
              <w:t>$</w:t>
            </w:r>
            <w:r w:rsidR="004E43C3">
              <w:rPr>
                <w:rFonts w:ascii="Arial Narrow" w:eastAsia="Times New Roman" w:hAnsi="Arial Narrow" w:cs="Arial"/>
                <w:noProof/>
                <w:snapToGrid w:val="0"/>
                <w:color w:val="000000"/>
                <w:sz w:val="20"/>
                <w:szCs w:val="20"/>
                <w:highlight w:val="black"/>
              </w:rPr>
              <w:t>'''''''''''''''''''''</w:t>
            </w:r>
          </w:p>
        </w:tc>
      </w:tr>
      <w:tr w:rsidR="008A2E2C" w:rsidRPr="007A2258" w:rsidTr="00CB0977">
        <w:tc>
          <w:tcPr>
            <w:tcW w:w="1733" w:type="pct"/>
            <w:vMerge/>
            <w:tcBorders>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p>
        </w:tc>
        <w:tc>
          <w:tcPr>
            <w:tcW w:w="195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80</w:t>
            </w:r>
          </w:p>
        </w:tc>
        <w:tc>
          <w:tcPr>
            <w:tcW w:w="70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29,575</w:t>
            </w:r>
          </w:p>
        </w:tc>
        <w:tc>
          <w:tcPr>
            <w:tcW w:w="61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color w:val="000000"/>
                <w:sz w:val="20"/>
                <w:szCs w:val="20"/>
              </w:rPr>
            </w:pPr>
            <w:r w:rsidRPr="007A2258">
              <w:rPr>
                <w:rFonts w:ascii="Arial Narrow" w:eastAsia="Times New Roman" w:hAnsi="Arial Narrow" w:cs="Arial"/>
                <w:snapToGrid w:val="0"/>
                <w:color w:val="000000"/>
                <w:sz w:val="20"/>
                <w:szCs w:val="20"/>
              </w:rPr>
              <w:t>$</w:t>
            </w:r>
            <w:r w:rsidR="004E43C3">
              <w:rPr>
                <w:rFonts w:ascii="Arial Narrow" w:eastAsia="Times New Roman" w:hAnsi="Arial Narrow" w:cs="Arial"/>
                <w:noProof/>
                <w:snapToGrid w:val="0"/>
                <w:color w:val="000000"/>
                <w:sz w:val="20"/>
                <w:szCs w:val="20"/>
                <w:highlight w:val="black"/>
              </w:rPr>
              <w:t>'''''''''''''''''''</w:t>
            </w:r>
          </w:p>
        </w:tc>
      </w:tr>
      <w:tr w:rsidR="008A2E2C" w:rsidRPr="007A2258" w:rsidTr="00CB0977">
        <w:tc>
          <w:tcPr>
            <w:tcW w:w="1733" w:type="pct"/>
            <w:vMerge w:val="restart"/>
            <w:tcBorders>
              <w:top w:val="single" w:sz="4" w:space="0" w:color="auto"/>
              <w:left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Inhibition factor (multiplier = 1)</w:t>
            </w:r>
          </w:p>
        </w:tc>
        <w:tc>
          <w:tcPr>
            <w:tcW w:w="195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0.9</w:t>
            </w:r>
          </w:p>
        </w:tc>
        <w:tc>
          <w:tcPr>
            <w:tcW w:w="70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29,456</w:t>
            </w:r>
          </w:p>
        </w:tc>
        <w:tc>
          <w:tcPr>
            <w:tcW w:w="61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color w:val="000000"/>
                <w:sz w:val="20"/>
                <w:szCs w:val="20"/>
              </w:rPr>
            </w:pPr>
            <w:r w:rsidRPr="007A2258">
              <w:rPr>
                <w:rFonts w:ascii="Arial Narrow" w:eastAsia="Times New Roman" w:hAnsi="Arial Narrow" w:cs="Arial"/>
                <w:snapToGrid w:val="0"/>
                <w:color w:val="000000"/>
                <w:sz w:val="20"/>
                <w:szCs w:val="20"/>
              </w:rPr>
              <w:t>$</w:t>
            </w:r>
            <w:r w:rsidR="004E43C3">
              <w:rPr>
                <w:rFonts w:ascii="Arial Narrow" w:eastAsia="Times New Roman" w:hAnsi="Arial Narrow" w:cs="Arial"/>
                <w:noProof/>
                <w:snapToGrid w:val="0"/>
                <w:color w:val="000000"/>
                <w:sz w:val="20"/>
                <w:szCs w:val="20"/>
                <w:highlight w:val="black"/>
              </w:rPr>
              <w:t>''''''''''''''''''</w:t>
            </w:r>
          </w:p>
        </w:tc>
      </w:tr>
      <w:tr w:rsidR="008A2E2C" w:rsidRPr="007A2258" w:rsidTr="00CB0977">
        <w:tc>
          <w:tcPr>
            <w:tcW w:w="1733" w:type="pct"/>
            <w:vMerge/>
            <w:tcBorders>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p>
        </w:tc>
        <w:tc>
          <w:tcPr>
            <w:tcW w:w="195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1.1</w:t>
            </w:r>
          </w:p>
        </w:tc>
        <w:tc>
          <w:tcPr>
            <w:tcW w:w="70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29,404</w:t>
            </w:r>
          </w:p>
        </w:tc>
        <w:tc>
          <w:tcPr>
            <w:tcW w:w="61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color w:val="000000"/>
                <w:sz w:val="20"/>
                <w:szCs w:val="20"/>
              </w:rPr>
            </w:pPr>
            <w:r w:rsidRPr="007A2258">
              <w:rPr>
                <w:rFonts w:ascii="Arial Narrow" w:eastAsia="Times New Roman" w:hAnsi="Arial Narrow" w:cs="Arial"/>
                <w:snapToGrid w:val="0"/>
                <w:color w:val="000000"/>
                <w:sz w:val="20"/>
                <w:szCs w:val="20"/>
              </w:rPr>
              <w:t>$</w:t>
            </w:r>
            <w:r w:rsidR="004E43C3">
              <w:rPr>
                <w:rFonts w:ascii="Arial Narrow" w:eastAsia="Times New Roman" w:hAnsi="Arial Narrow" w:cs="Arial"/>
                <w:noProof/>
                <w:snapToGrid w:val="0"/>
                <w:color w:val="000000"/>
                <w:sz w:val="20"/>
                <w:szCs w:val="20"/>
                <w:highlight w:val="black"/>
              </w:rPr>
              <w:t>'''''''''''''''''''</w:t>
            </w:r>
          </w:p>
        </w:tc>
      </w:tr>
      <w:tr w:rsidR="008A2E2C" w:rsidRPr="007A2258" w:rsidTr="00CB0977">
        <w:tc>
          <w:tcPr>
            <w:tcW w:w="1733" w:type="pct"/>
            <w:vMerge w:val="restart"/>
            <w:tcBorders>
              <w:top w:val="single" w:sz="4" w:space="0" w:color="auto"/>
              <w:left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HIV testing (rate/year: PrEP=4; Primary infection = 0.5; SOC: 0-2; low risk =0.1)</w:t>
            </w:r>
          </w:p>
        </w:tc>
        <w:tc>
          <w:tcPr>
            <w:tcW w:w="195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PrEP=4; Primary infection = 1; SOC: 2; low risk =0)</w:t>
            </w:r>
          </w:p>
        </w:tc>
        <w:tc>
          <w:tcPr>
            <w:tcW w:w="70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29,207</w:t>
            </w:r>
          </w:p>
        </w:tc>
        <w:tc>
          <w:tcPr>
            <w:tcW w:w="61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color w:val="000000"/>
                <w:sz w:val="20"/>
                <w:szCs w:val="20"/>
              </w:rPr>
            </w:pPr>
            <w:r w:rsidRPr="007A2258">
              <w:rPr>
                <w:rFonts w:ascii="Arial Narrow" w:eastAsia="Times New Roman" w:hAnsi="Arial Narrow" w:cs="Arial"/>
                <w:snapToGrid w:val="0"/>
                <w:color w:val="000000"/>
                <w:sz w:val="20"/>
                <w:szCs w:val="20"/>
              </w:rPr>
              <w:t>$</w:t>
            </w:r>
            <w:r w:rsidR="004E43C3">
              <w:rPr>
                <w:rFonts w:ascii="Arial Narrow" w:eastAsia="Times New Roman" w:hAnsi="Arial Narrow" w:cs="Arial"/>
                <w:noProof/>
                <w:snapToGrid w:val="0"/>
                <w:color w:val="000000"/>
                <w:sz w:val="20"/>
                <w:szCs w:val="20"/>
                <w:highlight w:val="black"/>
              </w:rPr>
              <w:t>''''''''''''''''''</w:t>
            </w:r>
          </w:p>
        </w:tc>
      </w:tr>
      <w:tr w:rsidR="008A2E2C" w:rsidRPr="007A2258" w:rsidTr="00CB0977">
        <w:tc>
          <w:tcPr>
            <w:tcW w:w="1733" w:type="pct"/>
            <w:vMerge/>
            <w:tcBorders>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p>
        </w:tc>
        <w:tc>
          <w:tcPr>
            <w:tcW w:w="195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PrEP=4; Primary infection = 0; SOC: 1; low risk =0.5)</w:t>
            </w:r>
          </w:p>
        </w:tc>
        <w:tc>
          <w:tcPr>
            <w:tcW w:w="70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29,086</w:t>
            </w:r>
          </w:p>
        </w:tc>
        <w:tc>
          <w:tcPr>
            <w:tcW w:w="61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color w:val="000000"/>
                <w:sz w:val="20"/>
                <w:szCs w:val="20"/>
              </w:rPr>
            </w:pPr>
            <w:r w:rsidRPr="007A2258">
              <w:rPr>
                <w:rFonts w:ascii="Arial Narrow" w:eastAsia="Times New Roman" w:hAnsi="Arial Narrow" w:cs="Arial"/>
                <w:snapToGrid w:val="0"/>
                <w:color w:val="000000"/>
                <w:sz w:val="20"/>
                <w:szCs w:val="20"/>
              </w:rPr>
              <w:t>$</w:t>
            </w:r>
            <w:r w:rsidR="004E43C3">
              <w:rPr>
                <w:rFonts w:ascii="Arial Narrow" w:eastAsia="Times New Roman" w:hAnsi="Arial Narrow" w:cs="Arial"/>
                <w:noProof/>
                <w:snapToGrid w:val="0"/>
                <w:color w:val="000000"/>
                <w:sz w:val="20"/>
                <w:szCs w:val="20"/>
                <w:highlight w:val="black"/>
              </w:rPr>
              <w:t>'''''''''''''''''</w:t>
            </w:r>
          </w:p>
        </w:tc>
      </w:tr>
      <w:tr w:rsidR="008A2E2C" w:rsidRPr="007A2258" w:rsidTr="00CB0977">
        <w:tc>
          <w:tcPr>
            <w:tcW w:w="1733" w:type="pct"/>
            <w:vMerge w:val="restart"/>
            <w:tcBorders>
              <w:top w:val="single" w:sz="4" w:space="0" w:color="auto"/>
              <w:left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Treatment uptake (rate/year: Stage I=0.1; Stage II=0.2; Stage III=0.4)</w:t>
            </w:r>
          </w:p>
        </w:tc>
        <w:tc>
          <w:tcPr>
            <w:tcW w:w="195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Stage I=0.2; Stage II=0.4; Stage III=0.6</w:t>
            </w:r>
          </w:p>
        </w:tc>
        <w:tc>
          <w:tcPr>
            <w:tcW w:w="70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33,220</w:t>
            </w:r>
          </w:p>
        </w:tc>
        <w:tc>
          <w:tcPr>
            <w:tcW w:w="61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color w:val="000000"/>
                <w:sz w:val="20"/>
                <w:szCs w:val="20"/>
              </w:rPr>
            </w:pPr>
            <w:r w:rsidRPr="007A2258">
              <w:rPr>
                <w:rFonts w:ascii="Arial Narrow" w:eastAsia="Times New Roman" w:hAnsi="Arial Narrow" w:cs="Arial"/>
                <w:snapToGrid w:val="0"/>
                <w:color w:val="000000"/>
                <w:sz w:val="20"/>
                <w:szCs w:val="20"/>
              </w:rPr>
              <w:t>$</w:t>
            </w:r>
            <w:r w:rsidR="004E43C3">
              <w:rPr>
                <w:rFonts w:ascii="Arial Narrow" w:eastAsia="Times New Roman" w:hAnsi="Arial Narrow" w:cs="Arial"/>
                <w:noProof/>
                <w:snapToGrid w:val="0"/>
                <w:color w:val="000000"/>
                <w:sz w:val="20"/>
                <w:szCs w:val="20"/>
                <w:highlight w:val="black"/>
              </w:rPr>
              <w:t>'''''''''''''''''''</w:t>
            </w:r>
          </w:p>
        </w:tc>
      </w:tr>
      <w:tr w:rsidR="008A2E2C" w:rsidRPr="007A2258" w:rsidTr="00CB0977">
        <w:tc>
          <w:tcPr>
            <w:tcW w:w="1733" w:type="pct"/>
            <w:vMerge/>
            <w:tcBorders>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p>
        </w:tc>
        <w:tc>
          <w:tcPr>
            <w:tcW w:w="195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Stage I=0; Stage II=0.1; Stage III=0.2</w:t>
            </w:r>
          </w:p>
        </w:tc>
        <w:tc>
          <w:tcPr>
            <w:tcW w:w="70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27,436</w:t>
            </w:r>
          </w:p>
        </w:tc>
        <w:tc>
          <w:tcPr>
            <w:tcW w:w="61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color w:val="000000"/>
                <w:sz w:val="20"/>
                <w:szCs w:val="20"/>
              </w:rPr>
            </w:pPr>
            <w:r w:rsidRPr="007A2258">
              <w:rPr>
                <w:rFonts w:ascii="Arial Narrow" w:eastAsia="Times New Roman" w:hAnsi="Arial Narrow" w:cs="Arial"/>
                <w:snapToGrid w:val="0"/>
                <w:color w:val="000000"/>
                <w:sz w:val="20"/>
                <w:szCs w:val="20"/>
              </w:rPr>
              <w:t>$</w:t>
            </w:r>
            <w:r w:rsidR="004E43C3">
              <w:rPr>
                <w:rFonts w:ascii="Arial Narrow" w:eastAsia="Times New Roman" w:hAnsi="Arial Narrow" w:cs="Arial"/>
                <w:noProof/>
                <w:snapToGrid w:val="0"/>
                <w:color w:val="000000"/>
                <w:sz w:val="20"/>
                <w:szCs w:val="20"/>
                <w:highlight w:val="black"/>
              </w:rPr>
              <w:t>''''''''''''''''''''</w:t>
            </w:r>
          </w:p>
        </w:tc>
      </w:tr>
      <w:tr w:rsidR="008A2E2C" w:rsidRPr="007A2258" w:rsidTr="00CB0977">
        <w:tc>
          <w:tcPr>
            <w:tcW w:w="1733" w:type="pct"/>
            <w:vMerge w:val="restart"/>
            <w:tcBorders>
              <w:top w:val="single" w:sz="4" w:space="0" w:color="auto"/>
              <w:left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Mean suitability threshold (0.01)</w:t>
            </w:r>
          </w:p>
        </w:tc>
        <w:tc>
          <w:tcPr>
            <w:tcW w:w="195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0.03</w:t>
            </w:r>
          </w:p>
        </w:tc>
        <w:tc>
          <w:tcPr>
            <w:tcW w:w="70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13,053</w:t>
            </w:r>
          </w:p>
        </w:tc>
        <w:tc>
          <w:tcPr>
            <w:tcW w:w="61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color w:val="000000"/>
                <w:sz w:val="20"/>
                <w:szCs w:val="20"/>
              </w:rPr>
            </w:pPr>
            <w:r w:rsidRPr="007A2258">
              <w:rPr>
                <w:rFonts w:ascii="Arial Narrow" w:eastAsia="Times New Roman" w:hAnsi="Arial Narrow" w:cs="Arial"/>
                <w:snapToGrid w:val="0"/>
                <w:color w:val="000000"/>
                <w:sz w:val="20"/>
                <w:szCs w:val="20"/>
              </w:rPr>
              <w:t>$</w:t>
            </w:r>
            <w:r w:rsidR="004E43C3">
              <w:rPr>
                <w:rFonts w:ascii="Arial Narrow" w:eastAsia="Times New Roman" w:hAnsi="Arial Narrow" w:cs="Arial"/>
                <w:noProof/>
                <w:snapToGrid w:val="0"/>
                <w:color w:val="000000"/>
                <w:sz w:val="20"/>
                <w:szCs w:val="20"/>
                <w:highlight w:val="black"/>
              </w:rPr>
              <w:t>''''''''''''''''''</w:t>
            </w:r>
          </w:p>
        </w:tc>
      </w:tr>
      <w:tr w:rsidR="008A2E2C" w:rsidRPr="007A2258" w:rsidTr="00CB0977">
        <w:tc>
          <w:tcPr>
            <w:tcW w:w="1733" w:type="pct"/>
            <w:vMerge/>
            <w:tcBorders>
              <w:left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p>
        </w:tc>
        <w:tc>
          <w:tcPr>
            <w:tcW w:w="195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0.05</w:t>
            </w:r>
          </w:p>
        </w:tc>
        <w:tc>
          <w:tcPr>
            <w:tcW w:w="70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8,168</w:t>
            </w:r>
          </w:p>
        </w:tc>
        <w:tc>
          <w:tcPr>
            <w:tcW w:w="61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color w:val="000000"/>
                <w:sz w:val="20"/>
                <w:szCs w:val="20"/>
              </w:rPr>
            </w:pPr>
            <w:r w:rsidRPr="007A2258">
              <w:rPr>
                <w:rFonts w:ascii="Arial Narrow" w:eastAsia="Times New Roman" w:hAnsi="Arial Narrow" w:cs="Arial"/>
                <w:snapToGrid w:val="0"/>
                <w:color w:val="000000"/>
                <w:sz w:val="20"/>
                <w:szCs w:val="20"/>
              </w:rPr>
              <w:t>$</w:t>
            </w:r>
            <w:r w:rsidR="004E43C3">
              <w:rPr>
                <w:rFonts w:ascii="Arial Narrow" w:eastAsia="Times New Roman" w:hAnsi="Arial Narrow" w:cs="Arial"/>
                <w:noProof/>
                <w:snapToGrid w:val="0"/>
                <w:color w:val="000000"/>
                <w:sz w:val="20"/>
                <w:szCs w:val="20"/>
                <w:highlight w:val="black"/>
              </w:rPr>
              <w:t>'''''''''''''''''''''</w:t>
            </w:r>
          </w:p>
        </w:tc>
      </w:tr>
      <w:tr w:rsidR="008A2E2C" w:rsidRPr="007A2258" w:rsidTr="00CB0977">
        <w:tc>
          <w:tcPr>
            <w:tcW w:w="1733" w:type="pct"/>
            <w:vMerge/>
            <w:tcBorders>
              <w:left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p>
        </w:tc>
        <w:tc>
          <w:tcPr>
            <w:tcW w:w="195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0.07</w:t>
            </w:r>
          </w:p>
        </w:tc>
        <w:tc>
          <w:tcPr>
            <w:tcW w:w="70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4,708</w:t>
            </w:r>
          </w:p>
        </w:tc>
        <w:tc>
          <w:tcPr>
            <w:tcW w:w="61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color w:val="000000"/>
                <w:sz w:val="20"/>
                <w:szCs w:val="20"/>
              </w:rPr>
            </w:pPr>
            <w:r w:rsidRPr="007A2258">
              <w:rPr>
                <w:rFonts w:ascii="Arial Narrow" w:eastAsia="Times New Roman" w:hAnsi="Arial Narrow" w:cs="Arial"/>
                <w:snapToGrid w:val="0"/>
                <w:color w:val="000000"/>
                <w:sz w:val="20"/>
                <w:szCs w:val="20"/>
              </w:rPr>
              <w:t>$</w:t>
            </w:r>
            <w:r w:rsidR="004E43C3">
              <w:rPr>
                <w:rFonts w:ascii="Arial Narrow" w:eastAsia="Times New Roman" w:hAnsi="Arial Narrow" w:cs="Arial"/>
                <w:noProof/>
                <w:snapToGrid w:val="0"/>
                <w:color w:val="000000"/>
                <w:sz w:val="20"/>
                <w:szCs w:val="20"/>
                <w:highlight w:val="black"/>
              </w:rPr>
              <w:t>''''''''''''''''''</w:t>
            </w:r>
          </w:p>
        </w:tc>
      </w:tr>
      <w:tr w:rsidR="008A2E2C" w:rsidRPr="007A2258" w:rsidTr="00CB0977">
        <w:tc>
          <w:tcPr>
            <w:tcW w:w="1733" w:type="pct"/>
            <w:vMerge/>
            <w:tcBorders>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p>
        </w:tc>
        <w:tc>
          <w:tcPr>
            <w:tcW w:w="195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0.1</w:t>
            </w:r>
          </w:p>
        </w:tc>
        <w:tc>
          <w:tcPr>
            <w:tcW w:w="70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1,925</w:t>
            </w:r>
          </w:p>
        </w:tc>
        <w:tc>
          <w:tcPr>
            <w:tcW w:w="61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color w:val="000000"/>
                <w:sz w:val="20"/>
                <w:szCs w:val="20"/>
              </w:rPr>
            </w:pPr>
            <w:r w:rsidRPr="007A2258">
              <w:rPr>
                <w:rFonts w:ascii="Arial Narrow" w:eastAsia="Times New Roman" w:hAnsi="Arial Narrow" w:cs="Arial"/>
                <w:snapToGrid w:val="0"/>
                <w:color w:val="000000"/>
                <w:sz w:val="20"/>
                <w:szCs w:val="20"/>
              </w:rPr>
              <w:t>$</w:t>
            </w:r>
            <w:r w:rsidR="004E43C3">
              <w:rPr>
                <w:rFonts w:ascii="Arial Narrow" w:eastAsia="Times New Roman" w:hAnsi="Arial Narrow" w:cs="Arial"/>
                <w:noProof/>
                <w:snapToGrid w:val="0"/>
                <w:color w:val="000000"/>
                <w:sz w:val="20"/>
                <w:szCs w:val="20"/>
                <w:highlight w:val="black"/>
              </w:rPr>
              <w:t>''''''''''''''''</w:t>
            </w:r>
          </w:p>
        </w:tc>
      </w:tr>
      <w:tr w:rsidR="008A2E2C" w:rsidRPr="007A2258" w:rsidTr="00CB0977">
        <w:tc>
          <w:tcPr>
            <w:tcW w:w="1733" w:type="pct"/>
            <w:vMerge w:val="restart"/>
            <w:tcBorders>
              <w:top w:val="single" w:sz="4" w:space="0" w:color="auto"/>
              <w:left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Total TDF/FTC PrEP cost ($827.24/month)</w:t>
            </w:r>
          </w:p>
        </w:tc>
        <w:tc>
          <w:tcPr>
            <w:tcW w:w="195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$500</w:t>
            </w:r>
          </w:p>
        </w:tc>
        <w:tc>
          <w:tcPr>
            <w:tcW w:w="70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26,659</w:t>
            </w:r>
          </w:p>
        </w:tc>
        <w:tc>
          <w:tcPr>
            <w:tcW w:w="61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color w:val="000000"/>
                <w:sz w:val="20"/>
                <w:szCs w:val="20"/>
              </w:rPr>
            </w:pPr>
            <w:r w:rsidRPr="007A2258">
              <w:rPr>
                <w:rFonts w:ascii="Arial Narrow" w:eastAsia="Times New Roman" w:hAnsi="Arial Narrow" w:cs="Arial"/>
                <w:snapToGrid w:val="0"/>
                <w:color w:val="000000"/>
                <w:sz w:val="20"/>
                <w:szCs w:val="20"/>
              </w:rPr>
              <w:t>$</w:t>
            </w:r>
            <w:r w:rsidR="004E43C3">
              <w:rPr>
                <w:rFonts w:ascii="Arial Narrow" w:eastAsia="Times New Roman" w:hAnsi="Arial Narrow" w:cs="Arial"/>
                <w:noProof/>
                <w:snapToGrid w:val="0"/>
                <w:color w:val="000000"/>
                <w:sz w:val="20"/>
                <w:szCs w:val="20"/>
                <w:highlight w:val="black"/>
              </w:rPr>
              <w:t>'''''''''''''''''''''</w:t>
            </w:r>
          </w:p>
        </w:tc>
      </w:tr>
      <w:tr w:rsidR="008A2E2C" w:rsidRPr="007A2258" w:rsidTr="00CB0977">
        <w:tc>
          <w:tcPr>
            <w:tcW w:w="1733" w:type="pct"/>
            <w:vMerge/>
            <w:tcBorders>
              <w:left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p>
        </w:tc>
        <w:tc>
          <w:tcPr>
            <w:tcW w:w="195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$400</w:t>
            </w:r>
          </w:p>
        </w:tc>
        <w:tc>
          <w:tcPr>
            <w:tcW w:w="70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26,659</w:t>
            </w:r>
          </w:p>
        </w:tc>
        <w:tc>
          <w:tcPr>
            <w:tcW w:w="61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color w:val="000000"/>
                <w:sz w:val="20"/>
                <w:szCs w:val="20"/>
              </w:rPr>
            </w:pPr>
            <w:r w:rsidRPr="007A2258">
              <w:rPr>
                <w:rFonts w:ascii="Arial Narrow" w:eastAsia="Times New Roman" w:hAnsi="Arial Narrow" w:cs="Arial"/>
                <w:snapToGrid w:val="0"/>
                <w:color w:val="000000"/>
                <w:sz w:val="20"/>
                <w:szCs w:val="20"/>
              </w:rPr>
              <w:t>$</w:t>
            </w:r>
            <w:r w:rsidR="004E43C3">
              <w:rPr>
                <w:rFonts w:ascii="Arial Narrow" w:eastAsia="Times New Roman" w:hAnsi="Arial Narrow" w:cs="Arial"/>
                <w:noProof/>
                <w:snapToGrid w:val="0"/>
                <w:color w:val="000000"/>
                <w:sz w:val="20"/>
                <w:szCs w:val="20"/>
                <w:highlight w:val="black"/>
              </w:rPr>
              <w:t>'''''''''''''''''''</w:t>
            </w:r>
          </w:p>
        </w:tc>
      </w:tr>
      <w:tr w:rsidR="008A2E2C" w:rsidRPr="007A2258" w:rsidTr="00CB0977">
        <w:tc>
          <w:tcPr>
            <w:tcW w:w="1733" w:type="pct"/>
            <w:vMerge/>
            <w:tcBorders>
              <w:left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p>
        </w:tc>
        <w:tc>
          <w:tcPr>
            <w:tcW w:w="195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$300</w:t>
            </w:r>
          </w:p>
        </w:tc>
        <w:tc>
          <w:tcPr>
            <w:tcW w:w="70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26,659</w:t>
            </w:r>
          </w:p>
        </w:tc>
        <w:tc>
          <w:tcPr>
            <w:tcW w:w="61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color w:val="000000"/>
                <w:sz w:val="20"/>
                <w:szCs w:val="20"/>
              </w:rPr>
            </w:pPr>
            <w:r w:rsidRPr="007A2258">
              <w:rPr>
                <w:rFonts w:ascii="Arial Narrow" w:eastAsia="Times New Roman" w:hAnsi="Arial Narrow" w:cs="Arial"/>
                <w:snapToGrid w:val="0"/>
                <w:color w:val="000000"/>
                <w:sz w:val="20"/>
                <w:szCs w:val="20"/>
              </w:rPr>
              <w:t>$</w:t>
            </w:r>
            <w:r w:rsidR="004E43C3">
              <w:rPr>
                <w:rFonts w:ascii="Arial Narrow" w:eastAsia="Times New Roman" w:hAnsi="Arial Narrow" w:cs="Arial"/>
                <w:noProof/>
                <w:snapToGrid w:val="0"/>
                <w:color w:val="000000"/>
                <w:sz w:val="20"/>
                <w:szCs w:val="20"/>
                <w:highlight w:val="black"/>
              </w:rPr>
              <w:t>''''''''''''''''</w:t>
            </w:r>
          </w:p>
        </w:tc>
      </w:tr>
      <w:tr w:rsidR="008A2E2C" w:rsidRPr="007A2258" w:rsidTr="00CB0977">
        <w:tc>
          <w:tcPr>
            <w:tcW w:w="1733" w:type="pct"/>
            <w:vMerge/>
            <w:tcBorders>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p>
        </w:tc>
        <w:tc>
          <w:tcPr>
            <w:tcW w:w="195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$200</w:t>
            </w:r>
          </w:p>
        </w:tc>
        <w:tc>
          <w:tcPr>
            <w:tcW w:w="70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26,659</w:t>
            </w:r>
          </w:p>
        </w:tc>
        <w:tc>
          <w:tcPr>
            <w:tcW w:w="612"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color w:val="000000"/>
                <w:sz w:val="20"/>
                <w:szCs w:val="20"/>
              </w:rPr>
            </w:pPr>
            <w:r w:rsidRPr="007A2258">
              <w:rPr>
                <w:rFonts w:ascii="Arial Narrow" w:eastAsia="Times New Roman" w:hAnsi="Arial Narrow" w:cs="Arial"/>
                <w:snapToGrid w:val="0"/>
                <w:color w:val="000000"/>
                <w:sz w:val="20"/>
                <w:szCs w:val="20"/>
              </w:rPr>
              <w:t>$</w:t>
            </w:r>
            <w:r w:rsidR="004E43C3">
              <w:rPr>
                <w:rFonts w:ascii="Arial Narrow" w:eastAsia="Times New Roman" w:hAnsi="Arial Narrow" w:cs="Arial"/>
                <w:noProof/>
                <w:snapToGrid w:val="0"/>
                <w:color w:val="000000"/>
                <w:sz w:val="20"/>
                <w:szCs w:val="20"/>
                <w:highlight w:val="black"/>
              </w:rPr>
              <w:t>'''''''''''''''</w:t>
            </w:r>
          </w:p>
        </w:tc>
      </w:tr>
    </w:tbl>
    <w:p w:rsidR="008A2E2C" w:rsidRPr="007A2258" w:rsidRDefault="008A2E2C" w:rsidP="008A2E2C">
      <w:pPr>
        <w:widowControl w:val="0"/>
        <w:spacing w:before="0" w:after="0"/>
        <w:jc w:val="both"/>
        <w:rPr>
          <w:rFonts w:ascii="Arial Narrow" w:eastAsia="Times New Roman" w:hAnsi="Arial Narrow" w:cs="Arial"/>
          <w:snapToGrid w:val="0"/>
          <w:sz w:val="18"/>
          <w:szCs w:val="18"/>
        </w:rPr>
      </w:pPr>
      <w:r w:rsidRPr="007A2258">
        <w:rPr>
          <w:rFonts w:ascii="Arial Narrow" w:eastAsia="Times New Roman" w:hAnsi="Arial Narrow" w:cs="Arial"/>
          <w:snapToGrid w:val="0"/>
          <w:sz w:val="18"/>
          <w:szCs w:val="18"/>
        </w:rPr>
        <w:t xml:space="preserve">Note: inconsistent ICER reported for sensitivity analysis of inhibition factor, increasing inhibition factor to 1.1 should improve (reduce ICER).  </w:t>
      </w:r>
    </w:p>
    <w:p w:rsidR="008A2E2C" w:rsidRPr="007A2258" w:rsidRDefault="008A2E2C" w:rsidP="008A2E2C">
      <w:pPr>
        <w:widowControl w:val="0"/>
        <w:spacing w:before="0" w:after="0"/>
        <w:jc w:val="both"/>
        <w:rPr>
          <w:rFonts w:ascii="Arial Narrow" w:eastAsia="Times New Roman" w:hAnsi="Arial Narrow" w:cs="Arial"/>
          <w:snapToGrid w:val="0"/>
          <w:sz w:val="18"/>
          <w:szCs w:val="18"/>
        </w:rPr>
      </w:pPr>
      <w:r w:rsidRPr="007A2258">
        <w:rPr>
          <w:rFonts w:ascii="Arial Narrow" w:eastAsia="Times New Roman" w:hAnsi="Arial Narrow" w:cs="Arial"/>
          <w:snapToGrid w:val="0"/>
          <w:sz w:val="18"/>
          <w:szCs w:val="18"/>
        </w:rPr>
        <w:t>Source: Table D.2.2, Table D.2.3, p. 96-97 of the resubmission</w:t>
      </w:r>
    </w:p>
    <w:p w:rsidR="008A2E2C" w:rsidRPr="007A2258" w:rsidRDefault="008A2E2C" w:rsidP="008A2E2C">
      <w:pPr>
        <w:widowControl w:val="0"/>
        <w:spacing w:before="0" w:after="0"/>
        <w:jc w:val="both"/>
        <w:rPr>
          <w:rFonts w:ascii="Arial Narrow" w:eastAsia="Times New Roman" w:hAnsi="Arial Narrow" w:cs="Arial"/>
          <w:snapToGrid w:val="0"/>
          <w:sz w:val="18"/>
          <w:szCs w:val="18"/>
        </w:rPr>
      </w:pPr>
    </w:p>
    <w:p w:rsidR="00C317F3" w:rsidRPr="007A2258" w:rsidRDefault="008A2E2C" w:rsidP="007A2258">
      <w:pPr>
        <w:pStyle w:val="ListParagraph"/>
        <w:numPr>
          <w:ilvl w:val="1"/>
          <w:numId w:val="23"/>
        </w:numPr>
        <w:spacing w:before="0" w:after="120"/>
        <w:jc w:val="both"/>
      </w:pPr>
      <w:r w:rsidRPr="007A2258">
        <w:t xml:space="preserve">Additional </w:t>
      </w:r>
      <w:r w:rsidR="000A0EF9" w:rsidRPr="007A2258">
        <w:t xml:space="preserve">sensitivity </w:t>
      </w:r>
      <w:r w:rsidRPr="007A2258">
        <w:t xml:space="preserve">analyses conducted </w:t>
      </w:r>
      <w:r w:rsidR="000A0EF9" w:rsidRPr="007A2258">
        <w:t xml:space="preserve">during the evaluation are summarised in </w:t>
      </w:r>
      <w:r w:rsidRPr="007A2258">
        <w:t>Table 1</w:t>
      </w:r>
      <w:r w:rsidR="00BE3124">
        <w:t>7</w:t>
      </w:r>
      <w:r w:rsidRPr="007A2258">
        <w:t>.</w:t>
      </w:r>
    </w:p>
    <w:p w:rsidR="008A2E2C" w:rsidRPr="007A2258" w:rsidRDefault="008A2E2C" w:rsidP="007A2258">
      <w:pPr>
        <w:pStyle w:val="ListParagraph"/>
        <w:numPr>
          <w:ilvl w:val="1"/>
          <w:numId w:val="23"/>
        </w:numPr>
        <w:jc w:val="both"/>
      </w:pPr>
      <w:r w:rsidRPr="007A2258">
        <w:t xml:space="preserve">The results from these additional analyses show that the model is sensitive to assumptions regarding whether or not subjects use PrEP continuously, the assumed force of infection, and the manner in which the inhibition factor is applied. In particular, the latter has not been defined in </w:t>
      </w:r>
      <w:r w:rsidR="00972054" w:rsidRPr="007A2258">
        <w:t xml:space="preserve">the resubmission in </w:t>
      </w:r>
      <w:r w:rsidRPr="007A2258">
        <w:t>a way that links behaviour to risk</w:t>
      </w:r>
      <w:r w:rsidR="00972054" w:rsidRPr="007A2258">
        <w:t>,</w:t>
      </w:r>
      <w:r w:rsidRPr="007A2258">
        <w:t xml:space="preserve"> making the interpretation of that factor and its resulting impact on the ICER difficult.</w:t>
      </w:r>
    </w:p>
    <w:p w:rsidR="00904455" w:rsidRDefault="00904455" w:rsidP="00904455">
      <w:pPr>
        <w:pStyle w:val="Caption"/>
      </w:pPr>
      <w:r>
        <w:t xml:space="preserve">Table </w:t>
      </w:r>
      <w:r w:rsidR="004F50B1">
        <w:rPr>
          <w:noProof/>
        </w:rPr>
        <w:t>17</w:t>
      </w:r>
      <w:r w:rsidRPr="00621D57">
        <w:t>: Results of univariate sensitivity analyses prepared during the evaluation</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C0" w:firstRow="0" w:lastRow="1" w:firstColumn="1" w:lastColumn="1" w:noHBand="0" w:noVBand="0"/>
      </w:tblPr>
      <w:tblGrid>
        <w:gridCol w:w="5677"/>
        <w:gridCol w:w="1279"/>
        <w:gridCol w:w="569"/>
        <w:gridCol w:w="1421"/>
      </w:tblGrid>
      <w:tr w:rsidR="00547122" w:rsidRPr="007A2258" w:rsidTr="000430BE">
        <w:trPr>
          <w:trHeight w:val="20"/>
          <w:tblHeader/>
        </w:trPr>
        <w:tc>
          <w:tcPr>
            <w:tcW w:w="3173" w:type="pct"/>
            <w:tcBorders>
              <w:top w:val="single" w:sz="4" w:space="0" w:color="auto"/>
              <w:left w:val="single" w:sz="4" w:space="0" w:color="auto"/>
              <w:bottom w:val="nil"/>
              <w:right w:val="single" w:sz="4" w:space="0" w:color="auto"/>
            </w:tcBorders>
            <w:vAlign w:val="center"/>
          </w:tcPr>
          <w:p w:rsidR="00547122" w:rsidRPr="007A2258" w:rsidRDefault="00547122" w:rsidP="008A2E2C">
            <w:pPr>
              <w:keepNext/>
              <w:widowControl w:val="0"/>
              <w:spacing w:before="0" w:after="0"/>
              <w:rPr>
                <w:rFonts w:ascii="Arial Narrow" w:eastAsia="Times New Roman" w:hAnsi="Arial Narrow" w:cs="Arial"/>
                <w:b/>
                <w:snapToGrid w:val="0"/>
                <w:sz w:val="20"/>
                <w:szCs w:val="20"/>
              </w:rPr>
            </w:pPr>
            <w:r w:rsidRPr="007A2258">
              <w:rPr>
                <w:rFonts w:ascii="Arial Narrow" w:eastAsia="Times New Roman" w:hAnsi="Arial Narrow" w:cs="Arial"/>
                <w:b/>
                <w:snapToGrid w:val="0"/>
                <w:sz w:val="20"/>
                <w:szCs w:val="20"/>
              </w:rPr>
              <w:t xml:space="preserve">Parameter </w:t>
            </w:r>
          </w:p>
        </w:tc>
        <w:tc>
          <w:tcPr>
            <w:tcW w:w="715" w:type="pct"/>
            <w:tcBorders>
              <w:top w:val="single" w:sz="4" w:space="0" w:color="auto"/>
              <w:left w:val="single" w:sz="4" w:space="0" w:color="auto"/>
              <w:bottom w:val="single" w:sz="4" w:space="0" w:color="auto"/>
              <w:right w:val="nil"/>
            </w:tcBorders>
            <w:vAlign w:val="center"/>
          </w:tcPr>
          <w:p w:rsidR="00E04E78" w:rsidRPr="007A2258" w:rsidRDefault="00547122" w:rsidP="008A2E2C">
            <w:pPr>
              <w:keepNext/>
              <w:widowControl w:val="0"/>
              <w:spacing w:before="0" w:after="0"/>
              <w:rPr>
                <w:rFonts w:ascii="Arial Narrow" w:eastAsia="Times New Roman" w:hAnsi="Arial Narrow" w:cs="Arial"/>
                <w:b/>
                <w:snapToGrid w:val="0"/>
                <w:sz w:val="20"/>
                <w:szCs w:val="20"/>
              </w:rPr>
            </w:pPr>
            <w:r w:rsidRPr="007A2258">
              <w:rPr>
                <w:rFonts w:ascii="Arial Narrow" w:eastAsia="Times New Roman" w:hAnsi="Arial Narrow" w:cs="Arial"/>
                <w:b/>
                <w:snapToGrid w:val="0"/>
                <w:sz w:val="20"/>
                <w:szCs w:val="20"/>
              </w:rPr>
              <w:t>Incremental</w:t>
            </w:r>
          </w:p>
          <w:p w:rsidR="00547122" w:rsidRPr="007A2258" w:rsidRDefault="00E04E78" w:rsidP="008A2E2C">
            <w:pPr>
              <w:keepNext/>
              <w:widowControl w:val="0"/>
              <w:spacing w:before="0" w:after="0"/>
              <w:rPr>
                <w:rFonts w:ascii="Arial Narrow" w:eastAsia="Times New Roman" w:hAnsi="Arial Narrow" w:cs="Arial"/>
                <w:b/>
                <w:snapToGrid w:val="0"/>
                <w:sz w:val="20"/>
                <w:szCs w:val="20"/>
              </w:rPr>
            </w:pPr>
            <w:r w:rsidRPr="007A2258">
              <w:rPr>
                <w:rFonts w:ascii="Arial Narrow" w:eastAsia="Times New Roman" w:hAnsi="Arial Narrow" w:cs="Arial"/>
                <w:b/>
                <w:snapToGrid w:val="0"/>
                <w:sz w:val="20"/>
                <w:szCs w:val="20"/>
              </w:rPr>
              <w:t>Costs</w:t>
            </w:r>
          </w:p>
        </w:tc>
        <w:tc>
          <w:tcPr>
            <w:tcW w:w="318" w:type="pct"/>
            <w:tcBorders>
              <w:top w:val="single" w:sz="4" w:space="0" w:color="auto"/>
              <w:left w:val="nil"/>
              <w:bottom w:val="single" w:sz="4" w:space="0" w:color="auto"/>
              <w:right w:val="single" w:sz="4" w:space="0" w:color="auto"/>
            </w:tcBorders>
            <w:vAlign w:val="center"/>
          </w:tcPr>
          <w:p w:rsidR="00E04E78" w:rsidRPr="007A2258" w:rsidRDefault="00E04E78" w:rsidP="008A2E2C">
            <w:pPr>
              <w:keepNext/>
              <w:widowControl w:val="0"/>
              <w:spacing w:before="0" w:after="0"/>
              <w:rPr>
                <w:rFonts w:ascii="Arial Narrow" w:eastAsia="Times New Roman" w:hAnsi="Arial Narrow" w:cs="Arial"/>
                <w:b/>
                <w:snapToGrid w:val="0"/>
                <w:sz w:val="20"/>
                <w:szCs w:val="20"/>
              </w:rPr>
            </w:pPr>
          </w:p>
          <w:p w:rsidR="00547122" w:rsidRPr="007A2258" w:rsidRDefault="00E04E78" w:rsidP="008A2E2C">
            <w:pPr>
              <w:keepNext/>
              <w:widowControl w:val="0"/>
              <w:spacing w:before="0" w:after="0"/>
              <w:rPr>
                <w:rFonts w:ascii="Arial Narrow" w:eastAsia="Times New Roman" w:hAnsi="Arial Narrow" w:cs="Arial"/>
                <w:b/>
                <w:snapToGrid w:val="0"/>
                <w:sz w:val="20"/>
                <w:szCs w:val="20"/>
              </w:rPr>
            </w:pPr>
            <w:r w:rsidRPr="007A2258">
              <w:rPr>
                <w:rFonts w:ascii="Arial Narrow" w:eastAsia="Times New Roman" w:hAnsi="Arial Narrow" w:cs="Arial"/>
                <w:b/>
                <w:snapToGrid w:val="0"/>
                <w:sz w:val="20"/>
                <w:szCs w:val="20"/>
              </w:rPr>
              <w:t>QALY</w:t>
            </w:r>
          </w:p>
        </w:tc>
        <w:tc>
          <w:tcPr>
            <w:tcW w:w="794" w:type="pct"/>
            <w:tcBorders>
              <w:top w:val="single" w:sz="4" w:space="0" w:color="auto"/>
              <w:left w:val="single" w:sz="4" w:space="0" w:color="auto"/>
              <w:right w:val="single" w:sz="4" w:space="0" w:color="auto"/>
            </w:tcBorders>
            <w:vAlign w:val="center"/>
          </w:tcPr>
          <w:p w:rsidR="00547122" w:rsidRPr="007A2258" w:rsidRDefault="009044FE" w:rsidP="00547122">
            <w:pPr>
              <w:keepNext/>
              <w:widowControl w:val="0"/>
              <w:spacing w:before="0" w:after="0"/>
              <w:rPr>
                <w:rFonts w:ascii="Arial Narrow" w:eastAsia="Times New Roman" w:hAnsi="Arial Narrow" w:cs="Arial"/>
                <w:b/>
                <w:snapToGrid w:val="0"/>
                <w:sz w:val="20"/>
                <w:szCs w:val="20"/>
              </w:rPr>
            </w:pPr>
            <w:r w:rsidRPr="007A2258">
              <w:rPr>
                <w:rFonts w:ascii="Arial Narrow" w:eastAsia="Times New Roman" w:hAnsi="Arial Narrow" w:cs="Arial"/>
                <w:b/>
                <w:snapToGrid w:val="0"/>
                <w:sz w:val="20"/>
                <w:szCs w:val="20"/>
              </w:rPr>
              <w:t>ICER (Cost per QALY g</w:t>
            </w:r>
            <w:r w:rsidR="00547122" w:rsidRPr="007A2258">
              <w:rPr>
                <w:rFonts w:ascii="Arial Narrow" w:eastAsia="Times New Roman" w:hAnsi="Arial Narrow" w:cs="Arial"/>
                <w:b/>
                <w:snapToGrid w:val="0"/>
                <w:sz w:val="20"/>
                <w:szCs w:val="20"/>
              </w:rPr>
              <w:t>ained)</w:t>
            </w:r>
          </w:p>
        </w:tc>
      </w:tr>
      <w:tr w:rsidR="00547122" w:rsidRPr="007A2258" w:rsidTr="000430BE">
        <w:trPr>
          <w:trHeight w:val="20"/>
        </w:trPr>
        <w:tc>
          <w:tcPr>
            <w:tcW w:w="317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Base case as presented in the resubmission (Seed 1)</w:t>
            </w:r>
          </w:p>
        </w:tc>
        <w:tc>
          <w:tcPr>
            <w:tcW w:w="715"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color w:val="00000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c>
          <w:tcPr>
            <w:tcW w:w="318"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color w:val="000000"/>
                <w:sz w:val="20"/>
                <w:szCs w:val="20"/>
              </w:rPr>
            </w:pPr>
            <w:r w:rsidRPr="007A2258">
              <w:rPr>
                <w:rFonts w:ascii="Arial Narrow" w:eastAsia="Times New Roman" w:hAnsi="Arial Narrow" w:cs="Arial"/>
                <w:snapToGrid w:val="0"/>
                <w:sz w:val="20"/>
                <w:szCs w:val="20"/>
              </w:rPr>
              <w:t>8,697</w:t>
            </w:r>
          </w:p>
        </w:tc>
        <w:tc>
          <w:tcPr>
            <w:tcW w:w="794"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color w:val="00000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r>
      <w:tr w:rsidR="00547122" w:rsidRPr="007A2258" w:rsidTr="000430BE">
        <w:trPr>
          <w:trHeight w:val="20"/>
        </w:trPr>
        <w:tc>
          <w:tcPr>
            <w:tcW w:w="317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Base case during the evaluation (Seed 6)</w:t>
            </w:r>
          </w:p>
        </w:tc>
        <w:tc>
          <w:tcPr>
            <w:tcW w:w="715"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color w:val="000000"/>
                <w:sz w:val="20"/>
                <w:szCs w:val="20"/>
              </w:rPr>
              <w:t>$</w:t>
            </w:r>
            <w:r w:rsidR="004E43C3">
              <w:rPr>
                <w:rFonts w:ascii="Arial Narrow" w:eastAsia="Times New Roman" w:hAnsi="Arial Narrow" w:cs="Arial"/>
                <w:noProof/>
                <w:snapToGrid w:val="0"/>
                <w:color w:val="000000"/>
                <w:sz w:val="20"/>
                <w:szCs w:val="20"/>
                <w:highlight w:val="black"/>
              </w:rPr>
              <w:t>'''''''''''''''''''''''''''''''</w:t>
            </w:r>
          </w:p>
        </w:tc>
        <w:tc>
          <w:tcPr>
            <w:tcW w:w="318"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color w:val="000000"/>
                <w:sz w:val="20"/>
                <w:szCs w:val="20"/>
              </w:rPr>
              <w:t>8,661</w:t>
            </w:r>
          </w:p>
        </w:tc>
        <w:tc>
          <w:tcPr>
            <w:tcW w:w="794"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color w:val="000000"/>
                <w:sz w:val="20"/>
                <w:szCs w:val="20"/>
              </w:rPr>
              <w:t>$</w:t>
            </w:r>
            <w:r w:rsidR="004E43C3">
              <w:rPr>
                <w:rFonts w:ascii="Arial Narrow" w:eastAsia="Times New Roman" w:hAnsi="Arial Narrow" w:cs="Arial"/>
                <w:noProof/>
                <w:snapToGrid w:val="0"/>
                <w:color w:val="000000"/>
                <w:sz w:val="20"/>
                <w:szCs w:val="20"/>
                <w:highlight w:val="black"/>
              </w:rPr>
              <w:t>'''''''''''''''''''''</w:t>
            </w:r>
          </w:p>
        </w:tc>
      </w:tr>
      <w:tr w:rsidR="00547122" w:rsidRPr="007A2258" w:rsidTr="000430BE">
        <w:trPr>
          <w:trHeight w:val="20"/>
        </w:trPr>
        <w:tc>
          <w:tcPr>
            <w:tcW w:w="317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Removal of exogenous prevalent HIV </w:t>
            </w:r>
          </w:p>
        </w:tc>
        <w:tc>
          <w:tcPr>
            <w:tcW w:w="715"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c>
          <w:tcPr>
            <w:tcW w:w="318"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8,442</w:t>
            </w:r>
          </w:p>
        </w:tc>
        <w:tc>
          <w:tcPr>
            <w:tcW w:w="794"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r>
      <w:tr w:rsidR="00547122" w:rsidRPr="007A2258" w:rsidTr="000430BE">
        <w:trPr>
          <w:trHeight w:val="20"/>
        </w:trPr>
        <w:tc>
          <w:tcPr>
            <w:tcW w:w="317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Double exogenous prevalent HIV</w:t>
            </w:r>
          </w:p>
        </w:tc>
        <w:tc>
          <w:tcPr>
            <w:tcW w:w="715"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c>
          <w:tcPr>
            <w:tcW w:w="318"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9,813</w:t>
            </w:r>
          </w:p>
        </w:tc>
        <w:tc>
          <w:tcPr>
            <w:tcW w:w="794"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r>
      <w:tr w:rsidR="00547122" w:rsidRPr="007A2258" w:rsidTr="000430BE">
        <w:trPr>
          <w:trHeight w:val="20"/>
        </w:trPr>
        <w:tc>
          <w:tcPr>
            <w:tcW w:w="317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Introduction of continuation criteria, 1%</w:t>
            </w:r>
          </w:p>
        </w:tc>
        <w:tc>
          <w:tcPr>
            <w:tcW w:w="715"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c>
          <w:tcPr>
            <w:tcW w:w="318"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7,880</w:t>
            </w:r>
          </w:p>
        </w:tc>
        <w:tc>
          <w:tcPr>
            <w:tcW w:w="794"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r>
      <w:tr w:rsidR="00547122" w:rsidRPr="007A2258" w:rsidTr="000430BE">
        <w:trPr>
          <w:trHeight w:val="20"/>
        </w:trPr>
        <w:tc>
          <w:tcPr>
            <w:tcW w:w="317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All treated achieve viral suppression</w:t>
            </w:r>
          </w:p>
        </w:tc>
        <w:tc>
          <w:tcPr>
            <w:tcW w:w="715"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c>
          <w:tcPr>
            <w:tcW w:w="318"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6,611 </w:t>
            </w:r>
          </w:p>
        </w:tc>
        <w:tc>
          <w:tcPr>
            <w:tcW w:w="794"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r>
      <w:tr w:rsidR="00547122" w:rsidRPr="007A2258" w:rsidTr="000430BE">
        <w:trPr>
          <w:trHeight w:val="20"/>
        </w:trPr>
        <w:tc>
          <w:tcPr>
            <w:tcW w:w="317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Inhibition factor reduced, 0.9</w:t>
            </w:r>
          </w:p>
        </w:tc>
        <w:tc>
          <w:tcPr>
            <w:tcW w:w="715"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c>
          <w:tcPr>
            <w:tcW w:w="318"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9,313 </w:t>
            </w:r>
          </w:p>
        </w:tc>
        <w:tc>
          <w:tcPr>
            <w:tcW w:w="794"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r>
      <w:tr w:rsidR="00547122" w:rsidRPr="007A2258" w:rsidTr="000430BE">
        <w:trPr>
          <w:trHeight w:val="20"/>
        </w:trPr>
        <w:tc>
          <w:tcPr>
            <w:tcW w:w="317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Inhibition factor increased, 1.1</w:t>
            </w:r>
          </w:p>
        </w:tc>
        <w:tc>
          <w:tcPr>
            <w:tcW w:w="715"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c>
          <w:tcPr>
            <w:tcW w:w="318"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8,696 </w:t>
            </w:r>
          </w:p>
        </w:tc>
        <w:tc>
          <w:tcPr>
            <w:tcW w:w="794"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r>
      <w:tr w:rsidR="00547122" w:rsidRPr="007A2258" w:rsidTr="000430BE">
        <w:trPr>
          <w:trHeight w:val="20"/>
        </w:trPr>
        <w:tc>
          <w:tcPr>
            <w:tcW w:w="317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Discontinuation rate reduced, 0.05</w:t>
            </w:r>
          </w:p>
        </w:tc>
        <w:tc>
          <w:tcPr>
            <w:tcW w:w="715"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c>
          <w:tcPr>
            <w:tcW w:w="318"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9,373 </w:t>
            </w:r>
          </w:p>
        </w:tc>
        <w:tc>
          <w:tcPr>
            <w:tcW w:w="794"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r>
      <w:tr w:rsidR="00547122" w:rsidRPr="007A2258" w:rsidTr="000430BE">
        <w:trPr>
          <w:trHeight w:val="20"/>
        </w:trPr>
        <w:tc>
          <w:tcPr>
            <w:tcW w:w="317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Discontinuation rate increased, 0.2</w:t>
            </w:r>
          </w:p>
        </w:tc>
        <w:tc>
          <w:tcPr>
            <w:tcW w:w="715"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c>
          <w:tcPr>
            <w:tcW w:w="318"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8,309 </w:t>
            </w:r>
          </w:p>
        </w:tc>
        <w:tc>
          <w:tcPr>
            <w:tcW w:w="794"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r>
      <w:tr w:rsidR="00547122" w:rsidRPr="007A2258" w:rsidTr="000430BE">
        <w:trPr>
          <w:trHeight w:val="20"/>
        </w:trPr>
        <w:tc>
          <w:tcPr>
            <w:tcW w:w="317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Net growth, 1</w:t>
            </w:r>
          </w:p>
        </w:tc>
        <w:tc>
          <w:tcPr>
            <w:tcW w:w="715"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c>
          <w:tcPr>
            <w:tcW w:w="318"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9,203 </w:t>
            </w:r>
          </w:p>
        </w:tc>
        <w:tc>
          <w:tcPr>
            <w:tcW w:w="794"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r>
      <w:tr w:rsidR="00547122" w:rsidRPr="007A2258" w:rsidTr="000430BE">
        <w:trPr>
          <w:trHeight w:val="20"/>
        </w:trPr>
        <w:tc>
          <w:tcPr>
            <w:tcW w:w="317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Initiation risk threshold increase, 0.03</w:t>
            </w:r>
          </w:p>
        </w:tc>
        <w:tc>
          <w:tcPr>
            <w:tcW w:w="715"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c>
          <w:tcPr>
            <w:tcW w:w="318"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5,894 </w:t>
            </w:r>
          </w:p>
        </w:tc>
        <w:tc>
          <w:tcPr>
            <w:tcW w:w="794"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r>
      <w:tr w:rsidR="00547122" w:rsidRPr="007A2258" w:rsidTr="000430BE">
        <w:trPr>
          <w:trHeight w:val="20"/>
        </w:trPr>
        <w:tc>
          <w:tcPr>
            <w:tcW w:w="317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Infection in PrEP affected by compliance</w:t>
            </w:r>
          </w:p>
        </w:tc>
        <w:tc>
          <w:tcPr>
            <w:tcW w:w="715"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c>
          <w:tcPr>
            <w:tcW w:w="318"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8,403 </w:t>
            </w:r>
          </w:p>
        </w:tc>
        <w:tc>
          <w:tcPr>
            <w:tcW w:w="794"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r>
      <w:tr w:rsidR="00547122" w:rsidRPr="007A2258" w:rsidTr="000430BE">
        <w:trPr>
          <w:trHeight w:val="20"/>
        </w:trPr>
        <w:tc>
          <w:tcPr>
            <w:tcW w:w="317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Cost of PrEP if generic</w:t>
            </w:r>
            <w:r w:rsidRPr="007A2258">
              <w:rPr>
                <w:rFonts w:ascii="Arial Narrow" w:eastAsia="Times New Roman" w:hAnsi="Arial Narrow" w:cs="Arial"/>
                <w:snapToGrid w:val="0"/>
                <w:sz w:val="20"/>
                <w:szCs w:val="20"/>
                <w:vertAlign w:val="superscript"/>
              </w:rPr>
              <w:t>a</w:t>
            </w:r>
          </w:p>
        </w:tc>
        <w:tc>
          <w:tcPr>
            <w:tcW w:w="715"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c>
          <w:tcPr>
            <w:tcW w:w="318"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8,661 </w:t>
            </w:r>
          </w:p>
        </w:tc>
        <w:tc>
          <w:tcPr>
            <w:tcW w:w="794"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r>
      <w:tr w:rsidR="00547122" w:rsidRPr="007A2258" w:rsidTr="000430BE">
        <w:trPr>
          <w:trHeight w:val="20"/>
        </w:trPr>
        <w:tc>
          <w:tcPr>
            <w:tcW w:w="317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Cost of PrEP corrected for renal monitoring</w:t>
            </w:r>
          </w:p>
        </w:tc>
        <w:tc>
          <w:tcPr>
            <w:tcW w:w="715"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c>
          <w:tcPr>
            <w:tcW w:w="318"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8,661 </w:t>
            </w:r>
          </w:p>
        </w:tc>
        <w:tc>
          <w:tcPr>
            <w:tcW w:w="794"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r>
      <w:tr w:rsidR="00547122" w:rsidRPr="007A2258" w:rsidTr="000430BE">
        <w:trPr>
          <w:trHeight w:val="20"/>
        </w:trPr>
        <w:tc>
          <w:tcPr>
            <w:tcW w:w="317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Individual risk multiplier, gamm</w:t>
            </w:r>
            <w:r w:rsidR="00547122" w:rsidRPr="007A2258">
              <w:rPr>
                <w:rFonts w:ascii="Arial Narrow" w:eastAsia="Times New Roman" w:hAnsi="Arial Narrow" w:cs="Arial"/>
                <w:snapToGrid w:val="0"/>
                <w:sz w:val="20"/>
                <w:szCs w:val="20"/>
              </w:rPr>
              <w:t>a dist. mean =1; SD decreased</w:t>
            </w:r>
            <w:r w:rsidRPr="007A2258">
              <w:rPr>
                <w:rFonts w:ascii="Arial Narrow" w:eastAsia="Times New Roman" w:hAnsi="Arial Narrow" w:cs="Arial"/>
                <w:snapToGrid w:val="0"/>
                <w:sz w:val="20"/>
                <w:szCs w:val="20"/>
              </w:rPr>
              <w:t xml:space="preserve"> 0.25 (base 0.5)</w:t>
            </w:r>
          </w:p>
        </w:tc>
        <w:tc>
          <w:tcPr>
            <w:tcW w:w="715"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c>
          <w:tcPr>
            <w:tcW w:w="318"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9,114 </w:t>
            </w:r>
          </w:p>
        </w:tc>
        <w:tc>
          <w:tcPr>
            <w:tcW w:w="794"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r>
      <w:tr w:rsidR="00547122" w:rsidRPr="007A2258" w:rsidTr="000430BE">
        <w:trPr>
          <w:trHeight w:val="20"/>
        </w:trPr>
        <w:tc>
          <w:tcPr>
            <w:tcW w:w="317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Individual risk multiplier, gamm</w:t>
            </w:r>
            <w:r w:rsidR="00547122" w:rsidRPr="007A2258">
              <w:rPr>
                <w:rFonts w:ascii="Arial Narrow" w:eastAsia="Times New Roman" w:hAnsi="Arial Narrow" w:cs="Arial"/>
                <w:snapToGrid w:val="0"/>
                <w:sz w:val="20"/>
                <w:szCs w:val="20"/>
              </w:rPr>
              <w:t>a dist. mean =1; SD increased</w:t>
            </w:r>
            <w:r w:rsidRPr="007A2258">
              <w:rPr>
                <w:rFonts w:ascii="Arial Narrow" w:eastAsia="Times New Roman" w:hAnsi="Arial Narrow" w:cs="Arial"/>
                <w:snapToGrid w:val="0"/>
                <w:sz w:val="20"/>
                <w:szCs w:val="20"/>
              </w:rPr>
              <w:t xml:space="preserve"> 1 (base 0.5)</w:t>
            </w:r>
          </w:p>
        </w:tc>
        <w:tc>
          <w:tcPr>
            <w:tcW w:w="715"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c>
          <w:tcPr>
            <w:tcW w:w="318"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7,817 </w:t>
            </w:r>
          </w:p>
        </w:tc>
        <w:tc>
          <w:tcPr>
            <w:tcW w:w="794"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r>
      <w:tr w:rsidR="00547122" w:rsidRPr="007A2258" w:rsidTr="000430BE">
        <w:trPr>
          <w:trHeight w:val="20"/>
        </w:trPr>
        <w:tc>
          <w:tcPr>
            <w:tcW w:w="317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Individual risk variation, uniform distribution, broader</w:t>
            </w:r>
          </w:p>
        </w:tc>
        <w:tc>
          <w:tcPr>
            <w:tcW w:w="715"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c>
          <w:tcPr>
            <w:tcW w:w="318"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8,926 </w:t>
            </w:r>
          </w:p>
        </w:tc>
        <w:tc>
          <w:tcPr>
            <w:tcW w:w="794"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r>
      <w:tr w:rsidR="00547122" w:rsidRPr="007A2258" w:rsidTr="000430BE">
        <w:trPr>
          <w:trHeight w:val="20"/>
        </w:trPr>
        <w:tc>
          <w:tcPr>
            <w:tcW w:w="317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547122">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Individual risk threshold, gamma dist</w:t>
            </w:r>
            <w:r w:rsidR="00547122" w:rsidRPr="007A2258">
              <w:rPr>
                <w:rFonts w:ascii="Arial Narrow" w:eastAsia="Times New Roman" w:hAnsi="Arial Narrow" w:cs="Arial"/>
                <w:snapToGrid w:val="0"/>
                <w:sz w:val="20"/>
                <w:szCs w:val="20"/>
              </w:rPr>
              <w:t>.</w:t>
            </w:r>
            <w:r w:rsidRPr="007A2258">
              <w:rPr>
                <w:rFonts w:ascii="Arial Narrow" w:eastAsia="Times New Roman" w:hAnsi="Arial Narrow" w:cs="Arial"/>
                <w:snapToGrid w:val="0"/>
                <w:sz w:val="20"/>
                <w:szCs w:val="20"/>
              </w:rPr>
              <w:t xml:space="preserve"> mean =1; </w:t>
            </w:r>
            <w:r w:rsidR="00547122" w:rsidRPr="007A2258">
              <w:rPr>
                <w:rFonts w:ascii="Arial Narrow" w:eastAsia="Times New Roman" w:hAnsi="Arial Narrow" w:cs="Arial"/>
                <w:snapToGrid w:val="0"/>
                <w:sz w:val="20"/>
                <w:szCs w:val="20"/>
              </w:rPr>
              <w:t>SD reduced</w:t>
            </w:r>
            <w:r w:rsidRPr="007A2258">
              <w:rPr>
                <w:rFonts w:ascii="Arial Narrow" w:eastAsia="Times New Roman" w:hAnsi="Arial Narrow" w:cs="Arial"/>
                <w:snapToGrid w:val="0"/>
                <w:sz w:val="20"/>
                <w:szCs w:val="20"/>
              </w:rPr>
              <w:t xml:space="preserve"> 0.05 (base 0.1)</w:t>
            </w:r>
          </w:p>
        </w:tc>
        <w:tc>
          <w:tcPr>
            <w:tcW w:w="715"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c>
          <w:tcPr>
            <w:tcW w:w="318"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8,482 </w:t>
            </w:r>
          </w:p>
        </w:tc>
        <w:tc>
          <w:tcPr>
            <w:tcW w:w="794"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r>
      <w:tr w:rsidR="00547122" w:rsidRPr="007A2258" w:rsidTr="000430BE">
        <w:trPr>
          <w:trHeight w:val="20"/>
        </w:trPr>
        <w:tc>
          <w:tcPr>
            <w:tcW w:w="317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547122">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Individual risk threshold, gamma dist</w:t>
            </w:r>
            <w:r w:rsidR="00547122" w:rsidRPr="007A2258">
              <w:rPr>
                <w:rFonts w:ascii="Arial Narrow" w:eastAsia="Times New Roman" w:hAnsi="Arial Narrow" w:cs="Arial"/>
                <w:snapToGrid w:val="0"/>
                <w:sz w:val="20"/>
                <w:szCs w:val="20"/>
              </w:rPr>
              <w:t>.</w:t>
            </w:r>
            <w:r w:rsidRPr="007A2258">
              <w:rPr>
                <w:rFonts w:ascii="Arial Narrow" w:eastAsia="Times New Roman" w:hAnsi="Arial Narrow" w:cs="Arial"/>
                <w:snapToGrid w:val="0"/>
                <w:sz w:val="20"/>
                <w:szCs w:val="20"/>
              </w:rPr>
              <w:t xml:space="preserve"> mean =1; </w:t>
            </w:r>
            <w:r w:rsidR="00547122" w:rsidRPr="007A2258">
              <w:rPr>
                <w:rFonts w:ascii="Arial Narrow" w:eastAsia="Times New Roman" w:hAnsi="Arial Narrow" w:cs="Arial"/>
                <w:snapToGrid w:val="0"/>
                <w:sz w:val="20"/>
                <w:szCs w:val="20"/>
              </w:rPr>
              <w:t>SD increased</w:t>
            </w:r>
            <w:r w:rsidRPr="007A2258">
              <w:rPr>
                <w:rFonts w:ascii="Arial Narrow" w:eastAsia="Times New Roman" w:hAnsi="Arial Narrow" w:cs="Arial"/>
                <w:snapToGrid w:val="0"/>
                <w:sz w:val="20"/>
                <w:szCs w:val="20"/>
              </w:rPr>
              <w:t xml:space="preserve"> 0.2 (base 0.1)</w:t>
            </w:r>
          </w:p>
        </w:tc>
        <w:tc>
          <w:tcPr>
            <w:tcW w:w="715"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c>
          <w:tcPr>
            <w:tcW w:w="318"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8,774 </w:t>
            </w:r>
          </w:p>
        </w:tc>
        <w:tc>
          <w:tcPr>
            <w:tcW w:w="794"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r>
      <w:tr w:rsidR="00547122" w:rsidRPr="007A2258" w:rsidTr="000430BE">
        <w:trPr>
          <w:trHeight w:val="20"/>
        </w:trPr>
        <w:tc>
          <w:tcPr>
            <w:tcW w:w="3173" w:type="pct"/>
            <w:tcBorders>
              <w:top w:val="single" w:sz="4" w:space="0" w:color="auto"/>
              <w:left w:val="single" w:sz="4" w:space="0" w:color="auto"/>
              <w:bottom w:val="single" w:sz="4" w:space="0" w:color="auto"/>
              <w:right w:val="single" w:sz="4" w:space="0" w:color="auto"/>
            </w:tcBorders>
            <w:vAlign w:val="center"/>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Male subjects only</w:t>
            </w:r>
          </w:p>
        </w:tc>
        <w:tc>
          <w:tcPr>
            <w:tcW w:w="715" w:type="pct"/>
            <w:tcBorders>
              <w:top w:val="single" w:sz="4" w:space="0" w:color="auto"/>
              <w:left w:val="single" w:sz="4" w:space="0" w:color="auto"/>
              <w:bottom w:val="single" w:sz="4" w:space="0" w:color="auto"/>
              <w:right w:val="single" w:sz="4" w:space="0" w:color="auto"/>
            </w:tcBorders>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c>
          <w:tcPr>
            <w:tcW w:w="318" w:type="pct"/>
            <w:tcBorders>
              <w:top w:val="single" w:sz="4" w:space="0" w:color="auto"/>
              <w:left w:val="single" w:sz="4" w:space="0" w:color="auto"/>
              <w:bottom w:val="single" w:sz="4" w:space="0" w:color="auto"/>
              <w:right w:val="single" w:sz="4" w:space="0" w:color="auto"/>
            </w:tcBorders>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8,725 </w:t>
            </w:r>
          </w:p>
        </w:tc>
        <w:tc>
          <w:tcPr>
            <w:tcW w:w="794" w:type="pct"/>
            <w:tcBorders>
              <w:top w:val="single" w:sz="4" w:space="0" w:color="auto"/>
              <w:left w:val="single" w:sz="4" w:space="0" w:color="auto"/>
              <w:bottom w:val="single" w:sz="4" w:space="0" w:color="auto"/>
              <w:right w:val="single" w:sz="4" w:space="0" w:color="auto"/>
            </w:tcBorders>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r>
      <w:tr w:rsidR="00547122" w:rsidRPr="007A2258" w:rsidTr="000430BE">
        <w:trPr>
          <w:trHeight w:val="20"/>
        </w:trPr>
        <w:tc>
          <w:tcPr>
            <w:tcW w:w="3173" w:type="pct"/>
            <w:tcBorders>
              <w:top w:val="single" w:sz="4" w:space="0" w:color="auto"/>
              <w:left w:val="single" w:sz="4" w:space="0" w:color="auto"/>
              <w:bottom w:val="single" w:sz="4" w:space="0" w:color="auto"/>
              <w:right w:val="single" w:sz="4" w:space="0" w:color="auto"/>
            </w:tcBorders>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Inhibition factor impact individual risk, 0.9</w:t>
            </w:r>
          </w:p>
        </w:tc>
        <w:tc>
          <w:tcPr>
            <w:tcW w:w="715" w:type="pct"/>
            <w:tcBorders>
              <w:top w:val="single" w:sz="4" w:space="0" w:color="auto"/>
              <w:left w:val="single" w:sz="4" w:space="0" w:color="auto"/>
              <w:bottom w:val="single" w:sz="4" w:space="0" w:color="auto"/>
              <w:right w:val="single" w:sz="4" w:space="0" w:color="auto"/>
            </w:tcBorders>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c>
          <w:tcPr>
            <w:tcW w:w="318" w:type="pct"/>
            <w:tcBorders>
              <w:top w:val="single" w:sz="4" w:space="0" w:color="auto"/>
              <w:left w:val="single" w:sz="4" w:space="0" w:color="auto"/>
              <w:bottom w:val="single" w:sz="4" w:space="0" w:color="auto"/>
              <w:right w:val="single" w:sz="4" w:space="0" w:color="auto"/>
            </w:tcBorders>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7,652 </w:t>
            </w:r>
          </w:p>
        </w:tc>
        <w:tc>
          <w:tcPr>
            <w:tcW w:w="794" w:type="pct"/>
            <w:tcBorders>
              <w:top w:val="single" w:sz="4" w:space="0" w:color="auto"/>
              <w:left w:val="single" w:sz="4" w:space="0" w:color="auto"/>
              <w:bottom w:val="single" w:sz="4" w:space="0" w:color="auto"/>
              <w:right w:val="single" w:sz="4" w:space="0" w:color="auto"/>
            </w:tcBorders>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r>
      <w:tr w:rsidR="00547122" w:rsidRPr="007A2258" w:rsidTr="000430BE">
        <w:trPr>
          <w:trHeight w:val="20"/>
        </w:trPr>
        <w:tc>
          <w:tcPr>
            <w:tcW w:w="3173" w:type="pct"/>
            <w:tcBorders>
              <w:top w:val="single" w:sz="4" w:space="0" w:color="auto"/>
              <w:left w:val="single" w:sz="4" w:space="0" w:color="auto"/>
              <w:bottom w:val="single" w:sz="4" w:space="0" w:color="auto"/>
              <w:right w:val="single" w:sz="4" w:space="0" w:color="auto"/>
            </w:tcBorders>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Inhibition factor impact individual risk, 1.1</w:t>
            </w:r>
          </w:p>
        </w:tc>
        <w:tc>
          <w:tcPr>
            <w:tcW w:w="715" w:type="pct"/>
            <w:tcBorders>
              <w:top w:val="single" w:sz="4" w:space="0" w:color="auto"/>
              <w:left w:val="single" w:sz="4" w:space="0" w:color="auto"/>
              <w:bottom w:val="single" w:sz="4" w:space="0" w:color="auto"/>
              <w:right w:val="single" w:sz="4" w:space="0" w:color="auto"/>
            </w:tcBorders>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c>
          <w:tcPr>
            <w:tcW w:w="318" w:type="pct"/>
            <w:tcBorders>
              <w:top w:val="single" w:sz="4" w:space="0" w:color="auto"/>
              <w:left w:val="single" w:sz="4" w:space="0" w:color="auto"/>
              <w:bottom w:val="single" w:sz="4" w:space="0" w:color="auto"/>
              <w:right w:val="single" w:sz="4" w:space="0" w:color="auto"/>
            </w:tcBorders>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10,730 </w:t>
            </w:r>
          </w:p>
        </w:tc>
        <w:tc>
          <w:tcPr>
            <w:tcW w:w="794" w:type="pct"/>
            <w:tcBorders>
              <w:top w:val="single" w:sz="4" w:space="0" w:color="auto"/>
              <w:left w:val="single" w:sz="4" w:space="0" w:color="auto"/>
              <w:bottom w:val="single" w:sz="4" w:space="0" w:color="auto"/>
              <w:right w:val="single" w:sz="4" w:space="0" w:color="auto"/>
            </w:tcBorders>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r>
      <w:tr w:rsidR="00547122" w:rsidRPr="007A2258" w:rsidTr="000430BE">
        <w:trPr>
          <w:trHeight w:val="20"/>
        </w:trPr>
        <w:tc>
          <w:tcPr>
            <w:tcW w:w="3173" w:type="pct"/>
            <w:tcBorders>
              <w:top w:val="single" w:sz="4" w:space="0" w:color="auto"/>
              <w:left w:val="single" w:sz="4" w:space="0" w:color="auto"/>
              <w:bottom w:val="single" w:sz="4" w:space="0" w:color="auto"/>
              <w:right w:val="single" w:sz="4" w:space="0" w:color="auto"/>
            </w:tcBorders>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Force of infection same for primary and chronic applying July 2016 submission value</w:t>
            </w:r>
          </w:p>
        </w:tc>
        <w:tc>
          <w:tcPr>
            <w:tcW w:w="715" w:type="pct"/>
            <w:tcBorders>
              <w:top w:val="single" w:sz="4" w:space="0" w:color="auto"/>
              <w:left w:val="single" w:sz="4" w:space="0" w:color="auto"/>
              <w:bottom w:val="single" w:sz="4" w:space="0" w:color="auto"/>
              <w:right w:val="single" w:sz="4" w:space="0" w:color="auto"/>
            </w:tcBorders>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c>
          <w:tcPr>
            <w:tcW w:w="318" w:type="pct"/>
            <w:tcBorders>
              <w:top w:val="single" w:sz="4" w:space="0" w:color="auto"/>
              <w:left w:val="single" w:sz="4" w:space="0" w:color="auto"/>
              <w:bottom w:val="single" w:sz="4" w:space="0" w:color="auto"/>
              <w:right w:val="single" w:sz="4" w:space="0" w:color="auto"/>
            </w:tcBorders>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 xml:space="preserve">14,638 </w:t>
            </w:r>
          </w:p>
        </w:tc>
        <w:tc>
          <w:tcPr>
            <w:tcW w:w="794" w:type="pct"/>
            <w:tcBorders>
              <w:top w:val="single" w:sz="4" w:space="0" w:color="auto"/>
              <w:left w:val="single" w:sz="4" w:space="0" w:color="auto"/>
              <w:bottom w:val="single" w:sz="4" w:space="0" w:color="auto"/>
              <w:right w:val="single" w:sz="4" w:space="0" w:color="auto"/>
            </w:tcBorders>
          </w:tcPr>
          <w:p w:rsidR="008A2E2C" w:rsidRPr="007A2258" w:rsidRDefault="008A2E2C" w:rsidP="008A2E2C">
            <w:pPr>
              <w:widowControl w:val="0"/>
              <w:spacing w:before="0" w:after="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r>
    </w:tbl>
    <w:p w:rsidR="008A2E2C" w:rsidRPr="007A2258" w:rsidRDefault="008A2E2C" w:rsidP="008A2E2C">
      <w:pPr>
        <w:widowControl w:val="0"/>
        <w:spacing w:before="0" w:after="0"/>
        <w:rPr>
          <w:rFonts w:ascii="Arial Narrow" w:eastAsia="Times New Roman" w:hAnsi="Arial Narrow" w:cs="Arial"/>
          <w:snapToGrid w:val="0"/>
          <w:sz w:val="18"/>
          <w:szCs w:val="20"/>
        </w:rPr>
      </w:pPr>
      <w:r w:rsidRPr="007A2258">
        <w:rPr>
          <w:rFonts w:ascii="Arial Narrow" w:eastAsia="Times New Roman" w:hAnsi="Arial Narrow" w:cs="Arial"/>
          <w:snapToGrid w:val="0"/>
          <w:sz w:val="18"/>
          <w:szCs w:val="20"/>
          <w:vertAlign w:val="superscript"/>
        </w:rPr>
        <w:t>a</w:t>
      </w:r>
      <w:r w:rsidRPr="007A2258">
        <w:rPr>
          <w:rFonts w:ascii="Arial Narrow" w:eastAsia="Times New Roman" w:hAnsi="Arial Narrow" w:cs="Arial"/>
          <w:snapToGrid w:val="0"/>
          <w:sz w:val="18"/>
          <w:szCs w:val="20"/>
        </w:rPr>
        <w:t>: Article from Pharma In Focus 10 April 2017 via Green Cross Pharmacy for $148 90 generic PrEP pills and twice yearly renal monitoring</w:t>
      </w:r>
    </w:p>
    <w:p w:rsidR="008A2E2C" w:rsidRPr="007A2258" w:rsidRDefault="008A2E2C" w:rsidP="008A2E2C">
      <w:pPr>
        <w:widowControl w:val="0"/>
        <w:spacing w:before="0" w:after="0"/>
        <w:rPr>
          <w:rFonts w:ascii="Arial Narrow" w:eastAsia="Times New Roman" w:hAnsi="Arial Narrow" w:cs="Arial"/>
          <w:snapToGrid w:val="0"/>
          <w:sz w:val="18"/>
          <w:szCs w:val="20"/>
        </w:rPr>
      </w:pPr>
      <w:r w:rsidRPr="007A2258">
        <w:rPr>
          <w:rFonts w:ascii="Arial Narrow" w:eastAsia="Times New Roman" w:hAnsi="Arial Narrow" w:cs="Arial"/>
          <w:snapToGrid w:val="0"/>
          <w:sz w:val="18"/>
          <w:szCs w:val="20"/>
        </w:rPr>
        <w:t>Note: The model results could not be reproduced during the evaluation for simulations with seed 1, 2, 4 and 7. During the evaluation, the median ICER was Seed 7 of $</w:t>
      </w:r>
      <w:r w:rsidR="004E43C3">
        <w:rPr>
          <w:rFonts w:ascii="Arial Narrow" w:eastAsia="Times New Roman" w:hAnsi="Arial Narrow" w:cs="Arial"/>
          <w:noProof/>
          <w:snapToGrid w:val="0"/>
          <w:color w:val="000000"/>
          <w:sz w:val="18"/>
          <w:szCs w:val="20"/>
          <w:highlight w:val="black"/>
        </w:rPr>
        <w:t>'''''''''''''''''</w:t>
      </w:r>
      <w:r w:rsidRPr="007A2258">
        <w:rPr>
          <w:rFonts w:ascii="Arial Narrow" w:eastAsia="Times New Roman" w:hAnsi="Arial Narrow" w:cs="Arial"/>
          <w:snapToGrid w:val="0"/>
          <w:sz w:val="18"/>
          <w:szCs w:val="20"/>
        </w:rPr>
        <w:t xml:space="preserve"> per QALY gained compared to the submission median ICER from Seed 1 of $</w:t>
      </w:r>
      <w:r w:rsidR="004E43C3">
        <w:rPr>
          <w:rFonts w:ascii="Arial Narrow" w:eastAsia="Times New Roman" w:hAnsi="Arial Narrow" w:cs="Arial"/>
          <w:noProof/>
          <w:snapToGrid w:val="0"/>
          <w:color w:val="000000"/>
          <w:sz w:val="18"/>
          <w:szCs w:val="20"/>
          <w:highlight w:val="black"/>
        </w:rPr>
        <w:t>'''''''''''''''''''''</w:t>
      </w:r>
      <w:r w:rsidRPr="007A2258">
        <w:rPr>
          <w:rFonts w:ascii="Arial Narrow" w:eastAsia="Times New Roman" w:hAnsi="Arial Narrow" w:cs="Arial"/>
          <w:snapToGrid w:val="0"/>
          <w:sz w:val="18"/>
          <w:szCs w:val="20"/>
        </w:rPr>
        <w:t xml:space="preserve"> per QALY gained. Sensitivity analyses conducted during the evaluation were done using Seed 6 as this could be reproduced and it was closer to being the median result (rank 6 in the resubmission and rank 4 in the evaluation).</w:t>
      </w:r>
    </w:p>
    <w:p w:rsidR="00547122" w:rsidRPr="007A2258" w:rsidRDefault="00547122" w:rsidP="008A2E2C">
      <w:pPr>
        <w:widowControl w:val="0"/>
        <w:spacing w:before="0" w:after="0"/>
        <w:rPr>
          <w:rFonts w:ascii="Arial Narrow" w:eastAsia="Times New Roman" w:hAnsi="Arial Narrow" w:cs="Arial"/>
          <w:snapToGrid w:val="0"/>
          <w:sz w:val="18"/>
          <w:szCs w:val="20"/>
        </w:rPr>
      </w:pPr>
      <w:r w:rsidRPr="007A2258">
        <w:rPr>
          <w:rFonts w:ascii="Arial Narrow" w:eastAsia="Times New Roman" w:hAnsi="Arial Narrow" w:cs="Arial"/>
          <w:snapToGrid w:val="0"/>
          <w:sz w:val="18"/>
          <w:szCs w:val="20"/>
        </w:rPr>
        <w:t>Abbreviations: SD, standard deviation</w:t>
      </w:r>
    </w:p>
    <w:p w:rsidR="008A2E2C" w:rsidRPr="007A2258" w:rsidRDefault="008A2E2C" w:rsidP="008A2E2C">
      <w:pPr>
        <w:widowControl w:val="0"/>
        <w:spacing w:before="0" w:after="0"/>
        <w:rPr>
          <w:rFonts w:ascii="Arial Narrow" w:eastAsia="Times New Roman" w:hAnsi="Arial Narrow" w:cs="Arial"/>
          <w:snapToGrid w:val="0"/>
          <w:sz w:val="18"/>
          <w:szCs w:val="20"/>
        </w:rPr>
      </w:pPr>
      <w:r w:rsidRPr="007A2258">
        <w:rPr>
          <w:rFonts w:ascii="Arial Narrow" w:eastAsia="Times New Roman" w:hAnsi="Arial Narrow" w:cs="Arial"/>
          <w:snapToGrid w:val="0"/>
          <w:sz w:val="18"/>
          <w:szCs w:val="20"/>
        </w:rPr>
        <w:t xml:space="preserve">Source: constructed during the evaluation </w:t>
      </w:r>
    </w:p>
    <w:p w:rsidR="00B06F68" w:rsidRDefault="00B06F68" w:rsidP="00B06F68">
      <w:pPr>
        <w:pStyle w:val="ListParagraph"/>
        <w:numPr>
          <w:ilvl w:val="1"/>
          <w:numId w:val="23"/>
        </w:numPr>
        <w:jc w:val="both"/>
      </w:pPr>
      <w:bookmarkStart w:id="23" w:name="_Toc413139283"/>
      <w:bookmarkStart w:id="24" w:name="_Toc482191221"/>
      <w:r>
        <w:t xml:space="preserve">The PBAC noted that </w:t>
      </w:r>
      <w:r w:rsidR="005518EE">
        <w:t>many</w:t>
      </w:r>
      <w:r>
        <w:t xml:space="preserve"> of the scenarios in the sensitivity analyses resulted in an ICER that was lower than the base case</w:t>
      </w:r>
      <w:r w:rsidR="005518EE">
        <w:t>, and hence that the model was conservative potentially overestimating the ICER</w:t>
      </w:r>
      <w:r>
        <w:t xml:space="preserve">. The PBAC </w:t>
      </w:r>
      <w:r w:rsidR="005518EE">
        <w:t>noted</w:t>
      </w:r>
      <w:r>
        <w:t xml:space="preserve"> that the price of </w:t>
      </w:r>
      <w:r w:rsidR="005518EE">
        <w:t>TDF/FTC</w:t>
      </w:r>
      <w:r>
        <w:t xml:space="preserve"> was </w:t>
      </w:r>
      <w:r w:rsidR="005518EE">
        <w:t>a</w:t>
      </w:r>
      <w:r>
        <w:t xml:space="preserve"> key driver of the cost-effectiveness of PrEP.</w:t>
      </w:r>
    </w:p>
    <w:p w:rsidR="00B06F68" w:rsidRDefault="00493F22" w:rsidP="007A2258">
      <w:pPr>
        <w:pStyle w:val="ListParagraph"/>
        <w:numPr>
          <w:ilvl w:val="1"/>
          <w:numId w:val="23"/>
        </w:numPr>
        <w:jc w:val="both"/>
      </w:pPr>
      <w:r w:rsidRPr="007A2258">
        <w:t xml:space="preserve">The ESC </w:t>
      </w:r>
      <w:r w:rsidR="00217D8A">
        <w:t xml:space="preserve">and PBAC </w:t>
      </w:r>
      <w:r w:rsidRPr="007A2258">
        <w:t>noted the estimated cost/QALY gained in the resubmission (</w:t>
      </w:r>
      <w:r w:rsidR="00927E7E">
        <w:t>More than $200,000/QALY</w:t>
      </w:r>
      <w:r w:rsidRPr="007A2258">
        <w:t xml:space="preserve">) was very different to that presented in the July 2016 submission (TDF/FTC being dominant). </w:t>
      </w:r>
      <w:r w:rsidR="00DA79F4">
        <w:t xml:space="preserve">The PBAC recalled that the model included in the July 2016 submission lacked face validity and the submission’s base case claim of dominance over SOC was not accepted. </w:t>
      </w:r>
      <w:r w:rsidR="00217D8A">
        <w:t xml:space="preserve">Both Committees </w:t>
      </w:r>
      <w:r w:rsidRPr="007A2258">
        <w:t xml:space="preserve">further noted the predicted number of HIV infections in the SOC arm increased substantially (from 5,842 to 19,614, </w:t>
      </w:r>
      <w:r w:rsidRPr="006D0554">
        <w:t>Table 1</w:t>
      </w:r>
      <w:r w:rsidR="00FE73D1" w:rsidRPr="006D0554">
        <w:t>4</w:t>
      </w:r>
      <w:r w:rsidRPr="00A07DD9">
        <w:t>)</w:t>
      </w:r>
      <w:r w:rsidR="002C4593" w:rsidRPr="007A2258">
        <w:t xml:space="preserve"> indicating a fundamentally different approach to modelling HIV over time.</w:t>
      </w:r>
    </w:p>
    <w:p w:rsidR="00A70172" w:rsidRPr="00A07DD9" w:rsidRDefault="00990E72" w:rsidP="007A2258">
      <w:pPr>
        <w:pStyle w:val="ListParagraph"/>
        <w:numPr>
          <w:ilvl w:val="1"/>
          <w:numId w:val="23"/>
        </w:numPr>
        <w:jc w:val="both"/>
      </w:pPr>
      <w:r w:rsidRPr="007A2258">
        <w:t xml:space="preserve">The ESC noted the incidence of HIV in each cycle is calculated as the number of subjects with a primary HIV infection multiplied by the primary force of infection plus the number of subjects with a chronic HIV infection multiplied by the chronic force of infection. The forces of infection remain constant over time and are based on the estimated number of incident cases and the estimated prevalent HIV population in 2014. The ESC considered the estimated forces of infection to be </w:t>
      </w:r>
      <w:r w:rsidR="00622BB9" w:rsidRPr="007A2258">
        <w:t xml:space="preserve">highly </w:t>
      </w:r>
      <w:r w:rsidRPr="007A2258">
        <w:t>uncertain and noted that the ICER</w:t>
      </w:r>
      <w:r w:rsidR="00C93A38" w:rsidRPr="007A2258">
        <w:t xml:space="preserve"> was</w:t>
      </w:r>
      <w:r w:rsidRPr="007A2258">
        <w:t xml:space="preserve"> sensitive to these </w:t>
      </w:r>
      <w:r w:rsidRPr="006D0554">
        <w:t>estimates (Table 1</w:t>
      </w:r>
      <w:r w:rsidR="00FE73D1" w:rsidRPr="00A07DD9">
        <w:t>6</w:t>
      </w:r>
      <w:r w:rsidRPr="00A07DD9">
        <w:t>). The</w:t>
      </w:r>
      <w:r w:rsidRPr="007A2258">
        <w:t xml:space="preserve"> ESC further noted the reduced force of infection in the resubmission compared with the July 2016 submission partly accounted for the increased ICER in the resubmission (the ICER reduced </w:t>
      </w:r>
      <w:r w:rsidR="00622BB9" w:rsidRPr="007A2258">
        <w:t>from $</w:t>
      </w:r>
      <w:r w:rsidR="004E43C3">
        <w:rPr>
          <w:noProof/>
          <w:color w:val="000000"/>
          <w:highlight w:val="black"/>
        </w:rPr>
        <w:t>''''''''''''''</w:t>
      </w:r>
      <w:r w:rsidR="00622BB9" w:rsidRPr="007A2258">
        <w:t xml:space="preserve"> </w:t>
      </w:r>
      <w:r w:rsidRPr="007A2258">
        <w:t>to $</w:t>
      </w:r>
      <w:r w:rsidR="004E43C3">
        <w:rPr>
          <w:noProof/>
          <w:color w:val="000000"/>
          <w:highlight w:val="black"/>
        </w:rPr>
        <w:t>'''''''''''''''</w:t>
      </w:r>
      <w:r w:rsidRPr="007A2258">
        <w:t xml:space="preserve"> </w:t>
      </w:r>
      <w:r w:rsidR="00622BB9" w:rsidRPr="007A2258">
        <w:t xml:space="preserve">per QALY gained </w:t>
      </w:r>
      <w:r w:rsidRPr="007A2258">
        <w:t xml:space="preserve">with use of the force of infection from the July 2016 </w:t>
      </w:r>
      <w:r w:rsidRPr="006D0554">
        <w:t xml:space="preserve">submission, Table </w:t>
      </w:r>
      <w:r w:rsidR="00F872E2" w:rsidRPr="00A07DD9">
        <w:t>15</w:t>
      </w:r>
      <w:r w:rsidRPr="00A07DD9">
        <w:t xml:space="preserve">). </w:t>
      </w:r>
    </w:p>
    <w:p w:rsidR="00C93A38" w:rsidRPr="007A2258" w:rsidRDefault="00C93A38" w:rsidP="007A2258">
      <w:pPr>
        <w:pStyle w:val="ListParagraph"/>
        <w:numPr>
          <w:ilvl w:val="1"/>
          <w:numId w:val="23"/>
        </w:numPr>
        <w:jc w:val="both"/>
      </w:pPr>
      <w:r w:rsidRPr="007A2258">
        <w:t xml:space="preserve">The ESC noted </w:t>
      </w:r>
      <w:r w:rsidR="00446DBF" w:rsidRPr="007A2258">
        <w:t xml:space="preserve">that the estimation of separate forces of infection for primary and chronic HIV favours PrEP because </w:t>
      </w:r>
      <w:r w:rsidRPr="007A2258">
        <w:t xml:space="preserve">as incidence decreases the numbers of primary HIV infection cases drop and so </w:t>
      </w:r>
      <w:r w:rsidR="004624B4" w:rsidRPr="007A2258">
        <w:t xml:space="preserve">new cases of </w:t>
      </w:r>
      <w:r w:rsidRPr="007A2258">
        <w:t>HIV infection drops further because primary HIV infection is assumed to account for 80% of new cases.</w:t>
      </w:r>
    </w:p>
    <w:p w:rsidR="00493F22" w:rsidRPr="00A07DD9" w:rsidRDefault="00C93A38" w:rsidP="007A2258">
      <w:pPr>
        <w:pStyle w:val="ListParagraph"/>
        <w:numPr>
          <w:ilvl w:val="1"/>
          <w:numId w:val="23"/>
        </w:numPr>
        <w:jc w:val="both"/>
      </w:pPr>
      <w:r w:rsidRPr="007A2258">
        <w:t>The ESC noted i</w:t>
      </w:r>
      <w:r w:rsidR="009D258B" w:rsidRPr="007A2258">
        <w:t xml:space="preserve">ncident cases </w:t>
      </w:r>
      <w:r w:rsidRPr="007A2258">
        <w:t xml:space="preserve">of HIV </w:t>
      </w:r>
      <w:r w:rsidR="009D258B" w:rsidRPr="007A2258">
        <w:t>are distributed across the susceptible population using average and individual infection ris</w:t>
      </w:r>
      <w:r w:rsidRPr="007A2258">
        <w:t>ks and that t</w:t>
      </w:r>
      <w:r w:rsidR="009D258B" w:rsidRPr="007A2258">
        <w:t>he resubmission used an arbitrary gamma distribution to represent the individual risk threshold for suitability and inform the behavioural multiplier.</w:t>
      </w:r>
      <w:r w:rsidRPr="007A2258">
        <w:t xml:space="preserve"> The ESC noted the ICER was sensitive to the assumed </w:t>
      </w:r>
      <w:r w:rsidR="006C4FDF" w:rsidRPr="007A2258">
        <w:t>individual risk distribution</w:t>
      </w:r>
      <w:r w:rsidRPr="007A2258">
        <w:t xml:space="preserve"> and use of the </w:t>
      </w:r>
      <w:r w:rsidR="006C4FDF" w:rsidRPr="007A2258">
        <w:t>distribution</w:t>
      </w:r>
      <w:r w:rsidRPr="007A2258">
        <w:t xml:space="preserve"> from the July 2016 submission reduced the ICER from </w:t>
      </w:r>
      <w:r w:rsidR="00927E7E">
        <w:t>more than $200,000/QALY</w:t>
      </w:r>
      <w:r w:rsidRPr="007A2258">
        <w:t xml:space="preserve"> to </w:t>
      </w:r>
      <w:r w:rsidR="00927E7E">
        <w:t>more than $200,000/QALY</w:t>
      </w:r>
      <w:r w:rsidR="006C4FDF" w:rsidRPr="007A2258">
        <w:t xml:space="preserve"> per QALY gained</w:t>
      </w:r>
      <w:r w:rsidRPr="007A2258">
        <w:t xml:space="preserve"> </w:t>
      </w:r>
      <w:r w:rsidRPr="006D0554">
        <w:t>(</w:t>
      </w:r>
      <w:r w:rsidRPr="00A07DD9">
        <w:t xml:space="preserve">Table </w:t>
      </w:r>
      <w:r w:rsidR="00FE73D1" w:rsidRPr="00A07DD9">
        <w:t>15</w:t>
      </w:r>
      <w:r w:rsidRPr="00A07DD9">
        <w:t>).</w:t>
      </w:r>
    </w:p>
    <w:p w:rsidR="00871C9D" w:rsidRPr="007A2258" w:rsidRDefault="00871C9D" w:rsidP="00AD5A93">
      <w:pPr>
        <w:pStyle w:val="ListParagraph"/>
        <w:numPr>
          <w:ilvl w:val="1"/>
          <w:numId w:val="23"/>
        </w:numPr>
        <w:jc w:val="both"/>
      </w:pPr>
      <w:r w:rsidRPr="007A2258">
        <w:t>The Australian Federation of AIDS Organisation (AFAO) commissioned the Kirby Institute and the Centre for Social Research in Health to model the cost-effectiveness of PrEP. A copy of the report for this analysis was provided with the resubmission.</w:t>
      </w:r>
      <w:r w:rsidR="00235E44">
        <w:t xml:space="preserve"> </w:t>
      </w:r>
      <w:r w:rsidR="003470F2">
        <w:t>A</w:t>
      </w:r>
      <w:r w:rsidR="00AD5A93">
        <w:t xml:space="preserve">s part of the PBAC evaluation process, PBAC members and evaluators </w:t>
      </w:r>
      <w:r w:rsidR="00235E44" w:rsidRPr="00235E44">
        <w:t>met with the developers of the Kirby model</w:t>
      </w:r>
      <w:r w:rsidR="00AD5A93">
        <w:t xml:space="preserve"> to examine the model</w:t>
      </w:r>
      <w:r w:rsidR="00346AD4">
        <w:t>,</w:t>
      </w:r>
      <w:r w:rsidR="00AD5A93">
        <w:t xml:space="preserve"> consistent with the usual examination of sponsor developed models.</w:t>
      </w:r>
    </w:p>
    <w:p w:rsidR="008D0A20" w:rsidRPr="007A2258" w:rsidRDefault="008D0A20" w:rsidP="007A2258">
      <w:pPr>
        <w:pStyle w:val="ListParagraph"/>
        <w:numPr>
          <w:ilvl w:val="1"/>
          <w:numId w:val="23"/>
        </w:numPr>
        <w:jc w:val="both"/>
      </w:pPr>
      <w:r w:rsidRPr="007A2258">
        <w:t xml:space="preserve">The ESC noted the Commentary (Section D.3) compared the model presented in the resubmission with </w:t>
      </w:r>
      <w:r w:rsidR="00871C9D" w:rsidRPr="007A2258">
        <w:t xml:space="preserve">the </w:t>
      </w:r>
      <w:r w:rsidRPr="007A2258">
        <w:t>economic model developed by the Kirby Institute</w:t>
      </w:r>
      <w:r w:rsidR="00871C9D" w:rsidRPr="007A2258">
        <w:t xml:space="preserve"> </w:t>
      </w:r>
      <w:r w:rsidR="006C4FDF" w:rsidRPr="007A2258">
        <w:t>assessing the cost-effectiveness of PrEP in MSM</w:t>
      </w:r>
      <w:r w:rsidRPr="007A2258">
        <w:t xml:space="preserve">. </w:t>
      </w:r>
      <w:r w:rsidR="00446DBF" w:rsidRPr="007A2258">
        <w:t xml:space="preserve">The structure and a number of the inputs for the two models differed substantially. The Kirby model partitioned the Australian population into 11 sub-populations: Female sex workers; Clients of female sex workers; Sexually active gay men at low-risk of infection; Sexually active gay men at medium-risk of infection; Sexually active gay men at high-risk of infection including those who inject drugs; Males who inject drugs; </w:t>
      </w:r>
      <w:r w:rsidR="00CB7D9F" w:rsidRPr="007A2258">
        <w:t>F</w:t>
      </w:r>
      <w:r w:rsidR="00446DBF" w:rsidRPr="007A2258">
        <w:t xml:space="preserve">emales who inject drugs; Other males 16-69 years old; Other females 16-69 years old; Males older than 69 years and Females older than 69 years. This compared with a </w:t>
      </w:r>
      <w:r w:rsidR="00CB7D9F" w:rsidRPr="007A2258">
        <w:t>simpler</w:t>
      </w:r>
      <w:r w:rsidR="00446DBF" w:rsidRPr="007A2258">
        <w:t xml:space="preserve"> differentiation between primary and chronic HIV and the use of arbitrary risk multipliers in the resubmission.</w:t>
      </w:r>
    </w:p>
    <w:p w:rsidR="006C4FDF" w:rsidRDefault="00605A12" w:rsidP="007A2258">
      <w:pPr>
        <w:pStyle w:val="ListParagraph"/>
        <w:numPr>
          <w:ilvl w:val="1"/>
          <w:numId w:val="23"/>
        </w:numPr>
        <w:jc w:val="both"/>
      </w:pPr>
      <w:r w:rsidRPr="007A2258">
        <w:t xml:space="preserve">The </w:t>
      </w:r>
      <w:r w:rsidR="006C4FDF" w:rsidRPr="007A2258">
        <w:t xml:space="preserve">ESC noted the resubmission </w:t>
      </w:r>
      <w:r w:rsidR="00F82A98" w:rsidRPr="007A2258">
        <w:t>presented the</w:t>
      </w:r>
      <w:r w:rsidR="006C4FDF" w:rsidRPr="007A2258">
        <w:t xml:space="preserve"> </w:t>
      </w:r>
      <w:r w:rsidR="00FF3E27" w:rsidRPr="007A2258">
        <w:t xml:space="preserve">predicted number of HIV infections </w:t>
      </w:r>
      <w:r w:rsidR="006C4FDF" w:rsidRPr="007A2258">
        <w:t xml:space="preserve">in the absence of PrEP </w:t>
      </w:r>
      <w:r w:rsidR="00767E8B" w:rsidRPr="007A2258">
        <w:t>for the 20 year model time horizon and</w:t>
      </w:r>
      <w:r w:rsidR="006C4FDF" w:rsidRPr="007A2258">
        <w:t xml:space="preserve"> </w:t>
      </w:r>
      <w:r w:rsidR="00767E8B" w:rsidRPr="007A2258">
        <w:t xml:space="preserve">concluded “While recognising that these analyses represent predictions of an uncertain future, they are considered to be realistic projections of the Australian HIV epidemic in the absence of PrEP, given current trends and policy settings.” The ESC </w:t>
      </w:r>
      <w:r w:rsidR="006C4FDF" w:rsidRPr="007A2258">
        <w:t>considered that</w:t>
      </w:r>
      <w:r w:rsidR="00767E8B" w:rsidRPr="007A2258">
        <w:t xml:space="preserve"> this claim was not supported</w:t>
      </w:r>
      <w:r w:rsidR="00FE73D1" w:rsidRPr="007A2258">
        <w:t>.</w:t>
      </w:r>
    </w:p>
    <w:p w:rsidR="008D0A20" w:rsidRPr="007A2258" w:rsidRDefault="006C4FDF" w:rsidP="007A2258">
      <w:pPr>
        <w:pStyle w:val="ListParagraph"/>
        <w:numPr>
          <w:ilvl w:val="1"/>
          <w:numId w:val="23"/>
        </w:numPr>
        <w:jc w:val="both"/>
      </w:pPr>
      <w:r w:rsidRPr="007A2258">
        <w:t xml:space="preserve">In comparison, </w:t>
      </w:r>
      <w:r w:rsidR="00346AD4">
        <w:t xml:space="preserve">the </w:t>
      </w:r>
      <w:r w:rsidR="006A7EF9" w:rsidRPr="007A2258">
        <w:t>Kirby</w:t>
      </w:r>
      <w:r w:rsidR="00346AD4">
        <w:t xml:space="preserve"> model</w:t>
      </w:r>
      <w:r w:rsidR="00F82A98" w:rsidRPr="007A2258">
        <w:t>’s</w:t>
      </w:r>
      <w:r w:rsidR="006A7EF9" w:rsidRPr="007A2258">
        <w:t xml:space="preserve"> predictions</w:t>
      </w:r>
      <w:r w:rsidR="00F82A98" w:rsidRPr="007A2258">
        <w:t xml:space="preserve"> of the number of infections</w:t>
      </w:r>
      <w:r w:rsidR="006A7EF9" w:rsidRPr="007A2258">
        <w:t xml:space="preserve"> were calibrated using available demographic, epidemiological, behavioural, and clinical data to </w:t>
      </w:r>
      <w:r w:rsidR="00446DBF" w:rsidRPr="007A2258">
        <w:t>match the observed HIV epidemic in Australia over 2000-2015, from which future trends up to 2030 were extrapolated.</w:t>
      </w:r>
    </w:p>
    <w:p w:rsidR="00AD47A4" w:rsidRPr="007A2258" w:rsidRDefault="00676C61" w:rsidP="007A2258">
      <w:pPr>
        <w:pStyle w:val="ListParagraph"/>
        <w:numPr>
          <w:ilvl w:val="1"/>
          <w:numId w:val="23"/>
        </w:numPr>
        <w:jc w:val="both"/>
      </w:pPr>
      <w:r w:rsidRPr="007A2258">
        <w:t>The predicted HIV prevalence based on the resubmission and Kirby models is presented in Figure</w:t>
      </w:r>
      <w:r w:rsidR="006C4FDF" w:rsidRPr="007A2258">
        <w:t>s</w:t>
      </w:r>
      <w:r w:rsidRPr="007A2258">
        <w:t xml:space="preserve"> </w:t>
      </w:r>
      <w:r w:rsidR="00FE73D1" w:rsidRPr="007A2258">
        <w:t>2 and 3</w:t>
      </w:r>
      <w:r w:rsidRPr="007A2258">
        <w:t xml:space="preserve">, respectively. Over the next 10 years the resubmission’s model predicted that the prevalence of HIV would increase from approximately 27,000 to 38,000 individuals. This compared with a prevalence of </w:t>
      </w:r>
      <w:r w:rsidR="00AD47A4" w:rsidRPr="007A2258">
        <w:t xml:space="preserve">21,000 in </w:t>
      </w:r>
      <w:r w:rsidR="00F82A98" w:rsidRPr="007A2258">
        <w:t>2015 increasing to 28,000 in 202</w:t>
      </w:r>
      <w:r w:rsidR="00AD47A4" w:rsidRPr="007A2258">
        <w:t>5</w:t>
      </w:r>
      <w:r w:rsidR="006C4FDF" w:rsidRPr="007A2258">
        <w:t xml:space="preserve"> in the Kirby model</w:t>
      </w:r>
      <w:r w:rsidR="00AD47A4" w:rsidRPr="007A2258">
        <w:t>.</w:t>
      </w:r>
    </w:p>
    <w:p w:rsidR="00FE73D1" w:rsidRPr="007A2258" w:rsidRDefault="00FE73D1" w:rsidP="00E62952">
      <w:pPr>
        <w:pStyle w:val="ListParagraph"/>
        <w:jc w:val="both"/>
      </w:pPr>
    </w:p>
    <w:p w:rsidR="004F50B1" w:rsidRDefault="004F50B1" w:rsidP="004F50B1">
      <w:pPr>
        <w:pStyle w:val="Caption"/>
        <w:jc w:val="both"/>
      </w:pPr>
      <w:r>
        <w:t xml:space="preserve">Figure </w:t>
      </w:r>
      <w:r>
        <w:rPr>
          <w:noProof/>
        </w:rPr>
        <w:t>2</w:t>
      </w:r>
      <w:r>
        <w:t xml:space="preserve">: </w:t>
      </w:r>
      <w:r w:rsidRPr="008F5694">
        <w:t>Resubmission model, predicted HIV prevalence by stage without PrEP</w:t>
      </w:r>
    </w:p>
    <w:p w:rsidR="00676C61" w:rsidRPr="007A2258" w:rsidRDefault="00744BFD" w:rsidP="00744BFD">
      <w:pPr>
        <w:pStyle w:val="ListParagraph"/>
        <w:ind w:left="0"/>
        <w:jc w:val="both"/>
      </w:pPr>
      <w:r w:rsidRPr="007A2258">
        <w:rPr>
          <w:noProof/>
          <w:sz w:val="22"/>
          <w:lang w:eastAsia="en-AU"/>
        </w:rPr>
        <w:drawing>
          <wp:inline distT="0" distB="0" distL="0" distR="0" wp14:anchorId="280E370C" wp14:editId="4462A10C">
            <wp:extent cx="5270500" cy="3082745"/>
            <wp:effectExtent l="0" t="0" r="25400" b="22860"/>
            <wp:docPr id="12" name="Chart 12">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F8CADD9C-939A-4F41-B7DA-2DDABB3DDC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76C61" w:rsidRPr="007A2258" w:rsidRDefault="00FE73D1" w:rsidP="00FE73D1">
      <w:pPr>
        <w:pStyle w:val="ListParagraph"/>
        <w:ind w:left="0"/>
        <w:jc w:val="both"/>
        <w:rPr>
          <w:rFonts w:ascii="Arial Narrow" w:hAnsi="Arial Narrow"/>
          <w:sz w:val="20"/>
          <w:szCs w:val="20"/>
        </w:rPr>
      </w:pPr>
      <w:r w:rsidRPr="007A2258">
        <w:rPr>
          <w:rFonts w:ascii="Arial Narrow" w:hAnsi="Arial Narrow"/>
          <w:sz w:val="20"/>
          <w:szCs w:val="20"/>
        </w:rPr>
        <w:t xml:space="preserve">Source: </w:t>
      </w:r>
      <w:r w:rsidR="00200887" w:rsidRPr="007A2258">
        <w:rPr>
          <w:rFonts w:ascii="Arial Narrow" w:hAnsi="Arial Narrow"/>
          <w:sz w:val="20"/>
          <w:szCs w:val="20"/>
        </w:rPr>
        <w:t>Figure D.8 of the submission, p 86.</w:t>
      </w:r>
    </w:p>
    <w:p w:rsidR="00FE73D1" w:rsidRPr="007A2258" w:rsidRDefault="00FE73D1" w:rsidP="00FE73D1">
      <w:pPr>
        <w:pStyle w:val="Caption"/>
        <w:jc w:val="both"/>
      </w:pPr>
    </w:p>
    <w:p w:rsidR="004F50B1" w:rsidRDefault="004F50B1" w:rsidP="00744BFD">
      <w:pPr>
        <w:pStyle w:val="ListParagraph"/>
        <w:ind w:left="0"/>
        <w:jc w:val="both"/>
      </w:pPr>
    </w:p>
    <w:p w:rsidR="004F50B1" w:rsidRDefault="004F50B1" w:rsidP="004F50B1">
      <w:pPr>
        <w:pStyle w:val="Caption"/>
        <w:jc w:val="both"/>
      </w:pPr>
      <w:r>
        <w:t xml:space="preserve">Figure </w:t>
      </w:r>
      <w:r>
        <w:rPr>
          <w:noProof/>
        </w:rPr>
        <w:t>3</w:t>
      </w:r>
      <w:r>
        <w:t xml:space="preserve">: </w:t>
      </w:r>
      <w:r w:rsidRPr="005E658F">
        <w:t>Kirby model, calibration of the model to the number of people living with diagnosed HIV</w:t>
      </w:r>
    </w:p>
    <w:p w:rsidR="00676C61" w:rsidRPr="007A2258" w:rsidRDefault="004F50B1" w:rsidP="00744BFD">
      <w:pPr>
        <w:pStyle w:val="ListParagraph"/>
        <w:ind w:left="0"/>
        <w:jc w:val="both"/>
      </w:pPr>
      <w:r>
        <w:rPr>
          <w:noProof/>
          <w:lang w:eastAsia="en-AU"/>
        </w:rPr>
        <w:drawing>
          <wp:anchor distT="0" distB="0" distL="114300" distR="114300" simplePos="0" relativeHeight="251658240" behindDoc="0" locked="0" layoutInCell="1" allowOverlap="1" wp14:anchorId="16C93376" wp14:editId="3FC7F123">
            <wp:simplePos x="0" y="0"/>
            <wp:positionH relativeFrom="column">
              <wp:posOffset>4594860</wp:posOffset>
            </wp:positionH>
            <wp:positionV relativeFrom="paragraph">
              <wp:posOffset>960120</wp:posOffset>
            </wp:positionV>
            <wp:extent cx="1209675" cy="5619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209675" cy="561975"/>
                    </a:xfrm>
                    <a:prstGeom prst="rect">
                      <a:avLst/>
                    </a:prstGeom>
                  </pic:spPr>
                </pic:pic>
              </a:graphicData>
            </a:graphic>
            <wp14:sizeRelH relativeFrom="page">
              <wp14:pctWidth>0</wp14:pctWidth>
            </wp14:sizeRelH>
            <wp14:sizeRelV relativeFrom="page">
              <wp14:pctHeight>0</wp14:pctHeight>
            </wp14:sizeRelV>
          </wp:anchor>
        </w:drawing>
      </w:r>
      <w:r w:rsidR="00676C61" w:rsidRPr="007A2258">
        <w:rPr>
          <w:rFonts w:cs="Times"/>
          <w:noProof/>
          <w:color w:val="000000"/>
          <w:sz w:val="22"/>
          <w:lang w:eastAsia="en-AU"/>
        </w:rPr>
        <w:drawing>
          <wp:inline distT="0" distB="0" distL="0" distR="0" wp14:anchorId="747A9930" wp14:editId="1E53BF99">
            <wp:extent cx="3713259" cy="2482509"/>
            <wp:effectExtent l="0" t="0" r="19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3813" cy="2482879"/>
                    </a:xfrm>
                    <a:prstGeom prst="rect">
                      <a:avLst/>
                    </a:prstGeom>
                    <a:noFill/>
                    <a:ln>
                      <a:noFill/>
                    </a:ln>
                  </pic:spPr>
                </pic:pic>
              </a:graphicData>
            </a:graphic>
          </wp:inline>
        </w:drawing>
      </w:r>
      <w:r w:rsidR="00A40B2E" w:rsidRPr="00A40B2E">
        <w:rPr>
          <w:noProof/>
          <w:lang w:eastAsia="en-AU"/>
        </w:rPr>
        <w:t xml:space="preserve"> </w:t>
      </w:r>
    </w:p>
    <w:p w:rsidR="00FE73D1" w:rsidRPr="007A2258" w:rsidRDefault="00200887" w:rsidP="00744BFD">
      <w:pPr>
        <w:pStyle w:val="ListParagraph"/>
        <w:ind w:left="0"/>
        <w:jc w:val="both"/>
        <w:rPr>
          <w:rFonts w:ascii="Arial Narrow" w:hAnsi="Arial Narrow"/>
          <w:sz w:val="20"/>
          <w:szCs w:val="20"/>
        </w:rPr>
      </w:pPr>
      <w:r w:rsidRPr="007A2258">
        <w:rPr>
          <w:rFonts w:ascii="Arial Narrow" w:hAnsi="Arial Narrow"/>
          <w:sz w:val="20"/>
          <w:szCs w:val="20"/>
        </w:rPr>
        <w:t xml:space="preserve">Source: Kirby Institute and the Centre for Social Research in Health. Discussion paper: Estimates of the number of people eligible for PrEP in Australia, and related cost-effectiveness, Figure A.2 p 21. </w:t>
      </w:r>
    </w:p>
    <w:p w:rsidR="004B4534" w:rsidRPr="007A2258" w:rsidRDefault="00AD47A4" w:rsidP="007A2258">
      <w:pPr>
        <w:pStyle w:val="ListParagraph"/>
        <w:numPr>
          <w:ilvl w:val="1"/>
          <w:numId w:val="23"/>
        </w:numPr>
        <w:jc w:val="both"/>
      </w:pPr>
      <w:r w:rsidRPr="007A2258">
        <w:t>The predicted HIV incidence based on the resubmission and Kirby models is presented in Figure</w:t>
      </w:r>
      <w:r w:rsidR="006C4FDF" w:rsidRPr="007A2258">
        <w:t>s</w:t>
      </w:r>
      <w:r w:rsidRPr="007A2258">
        <w:t xml:space="preserve"> </w:t>
      </w:r>
      <w:r w:rsidR="004B4534" w:rsidRPr="007A2258">
        <w:t>4</w:t>
      </w:r>
      <w:r w:rsidR="00200887" w:rsidRPr="007A2258">
        <w:t xml:space="preserve"> and </w:t>
      </w:r>
      <w:r w:rsidR="004B4534" w:rsidRPr="007A2258">
        <w:t>5</w:t>
      </w:r>
      <w:r w:rsidRPr="007A2258">
        <w:t xml:space="preserve">, respectively. Both models predicted a decline in incidence over the next 10 </w:t>
      </w:r>
      <w:r w:rsidR="00200887" w:rsidRPr="007A2258">
        <w:t>years;</w:t>
      </w:r>
      <w:r w:rsidRPr="007A2258">
        <w:t xml:space="preserve"> however the resubmission’s model predicted a subsequent increase from year 11 onwards. </w:t>
      </w:r>
      <w:r w:rsidR="000E10C4" w:rsidRPr="007A2258">
        <w:t>Although the incidence is predicted to decline, t</w:t>
      </w:r>
      <w:r w:rsidRPr="007A2258">
        <w:t>he prevalence</w:t>
      </w:r>
      <w:r w:rsidR="000E10C4" w:rsidRPr="007A2258">
        <w:t xml:space="preserve"> is predicted to </w:t>
      </w:r>
      <w:r w:rsidR="00B0573E" w:rsidRPr="007A2258">
        <w:t>increase</w:t>
      </w:r>
      <w:r w:rsidR="00744BFD" w:rsidRPr="007A2258">
        <w:t xml:space="preserve"> (as noted above)</w:t>
      </w:r>
      <w:r w:rsidR="00B0573E" w:rsidRPr="007A2258">
        <w:t xml:space="preserve"> due</w:t>
      </w:r>
      <w:r w:rsidR="000E10C4" w:rsidRPr="007A2258">
        <w:t xml:space="preserve"> to</w:t>
      </w:r>
      <w:r w:rsidRPr="007A2258">
        <w:t xml:space="preserve"> the </w:t>
      </w:r>
      <w:r w:rsidR="000E10C4" w:rsidRPr="007A2258">
        <w:t xml:space="preserve">long </w:t>
      </w:r>
      <w:r w:rsidRPr="007A2258">
        <w:t xml:space="preserve">survival </w:t>
      </w:r>
      <w:r w:rsidR="000E10C4" w:rsidRPr="007A2258">
        <w:t>for HIV patients treated with ART.</w:t>
      </w:r>
    </w:p>
    <w:p w:rsidR="004F50B1" w:rsidRDefault="004F50B1" w:rsidP="004F50B1">
      <w:pPr>
        <w:pStyle w:val="Caption"/>
        <w:jc w:val="both"/>
      </w:pPr>
      <w:r>
        <w:t xml:space="preserve">Figure </w:t>
      </w:r>
      <w:r>
        <w:rPr>
          <w:noProof/>
        </w:rPr>
        <w:t>4</w:t>
      </w:r>
      <w:r>
        <w:t xml:space="preserve">: </w:t>
      </w:r>
      <w:r w:rsidRPr="00A74552">
        <w:t>Resubmission model, predicted HIV incidence and death without PrEP</w:t>
      </w:r>
    </w:p>
    <w:p w:rsidR="00AD47A4" w:rsidRPr="007A2258" w:rsidRDefault="00AD47A4" w:rsidP="004F50B1">
      <w:pPr>
        <w:pStyle w:val="ListParagraph"/>
        <w:ind w:hanging="720"/>
        <w:jc w:val="both"/>
      </w:pPr>
      <w:r w:rsidRPr="007A2258">
        <w:rPr>
          <w:noProof/>
          <w:sz w:val="22"/>
          <w:lang w:eastAsia="en-AU"/>
        </w:rPr>
        <w:drawing>
          <wp:inline distT="0" distB="0" distL="0" distR="0" wp14:anchorId="0DEA1F7C" wp14:editId="69C695C9">
            <wp:extent cx="5270500" cy="3359220"/>
            <wp:effectExtent l="0" t="0" r="25400" b="12700"/>
            <wp:docPr id="13" name="Chart 13">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1EE7D0B6-DABF-4E05-8046-57F3DDEA5E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D47A4" w:rsidRPr="007A2258" w:rsidRDefault="00200887" w:rsidP="00E24B98">
      <w:pPr>
        <w:jc w:val="both"/>
        <w:rPr>
          <w:rFonts w:ascii="Arial Narrow" w:hAnsi="Arial Narrow"/>
          <w:sz w:val="20"/>
          <w:szCs w:val="20"/>
        </w:rPr>
      </w:pPr>
      <w:r w:rsidRPr="007A2258">
        <w:rPr>
          <w:rFonts w:ascii="Arial Narrow" w:hAnsi="Arial Narrow"/>
          <w:sz w:val="20"/>
          <w:szCs w:val="20"/>
        </w:rPr>
        <w:t>Source: Figure D.7 of the submission, p 86.</w:t>
      </w:r>
    </w:p>
    <w:p w:rsidR="004F50B1" w:rsidRDefault="00A40B2E" w:rsidP="004F50B1">
      <w:pPr>
        <w:pStyle w:val="Caption"/>
      </w:pPr>
      <w:r>
        <w:rPr>
          <w:noProof/>
          <w:lang w:eastAsia="en-AU"/>
        </w:rPr>
        <w:drawing>
          <wp:anchor distT="0" distB="0" distL="114300" distR="114300" simplePos="0" relativeHeight="251660288" behindDoc="0" locked="0" layoutInCell="1" allowOverlap="1" wp14:anchorId="026D33A3" wp14:editId="3262B21B">
            <wp:simplePos x="0" y="0"/>
            <wp:positionH relativeFrom="column">
              <wp:posOffset>4103370</wp:posOffset>
            </wp:positionH>
            <wp:positionV relativeFrom="paragraph">
              <wp:posOffset>1055370</wp:posOffset>
            </wp:positionV>
            <wp:extent cx="1209675" cy="5619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209675" cy="561975"/>
                    </a:xfrm>
                    <a:prstGeom prst="rect">
                      <a:avLst/>
                    </a:prstGeom>
                  </pic:spPr>
                </pic:pic>
              </a:graphicData>
            </a:graphic>
            <wp14:sizeRelH relativeFrom="page">
              <wp14:pctWidth>0</wp14:pctWidth>
            </wp14:sizeRelH>
            <wp14:sizeRelV relativeFrom="page">
              <wp14:pctHeight>0</wp14:pctHeight>
            </wp14:sizeRelV>
          </wp:anchor>
        </w:drawing>
      </w:r>
      <w:r w:rsidR="004F50B1">
        <w:t xml:space="preserve">Figure </w:t>
      </w:r>
      <w:r w:rsidR="004F50B1">
        <w:rPr>
          <w:noProof/>
        </w:rPr>
        <w:t>5</w:t>
      </w:r>
      <w:r w:rsidR="004F50B1">
        <w:t xml:space="preserve">: </w:t>
      </w:r>
      <w:r w:rsidR="004F50B1" w:rsidRPr="00003801">
        <w:t>Kirby model, predicted HIV incidence without PrEP</w:t>
      </w:r>
    </w:p>
    <w:p w:rsidR="00AD47A4" w:rsidRPr="007A2258" w:rsidRDefault="00AD47A4" w:rsidP="00E24B98">
      <w:pPr>
        <w:jc w:val="both"/>
      </w:pPr>
      <w:r w:rsidRPr="007A2258">
        <w:rPr>
          <w:rFonts w:cs="Times"/>
          <w:noProof/>
          <w:color w:val="000000"/>
          <w:sz w:val="22"/>
          <w:lang w:eastAsia="en-AU"/>
        </w:rPr>
        <w:drawing>
          <wp:inline distT="0" distB="0" distL="0" distR="0" wp14:anchorId="0F579101" wp14:editId="2D6279A7">
            <wp:extent cx="3601085" cy="2398395"/>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01085" cy="2398395"/>
                    </a:xfrm>
                    <a:prstGeom prst="rect">
                      <a:avLst/>
                    </a:prstGeom>
                    <a:noFill/>
                    <a:ln>
                      <a:noFill/>
                    </a:ln>
                  </pic:spPr>
                </pic:pic>
              </a:graphicData>
            </a:graphic>
          </wp:inline>
        </w:drawing>
      </w:r>
    </w:p>
    <w:p w:rsidR="00200887" w:rsidRPr="007A2258" w:rsidRDefault="00200887" w:rsidP="00200887">
      <w:pPr>
        <w:pStyle w:val="ListParagraph"/>
        <w:ind w:left="0"/>
        <w:jc w:val="both"/>
        <w:rPr>
          <w:rFonts w:ascii="Arial Narrow" w:hAnsi="Arial Narrow"/>
          <w:sz w:val="20"/>
          <w:szCs w:val="20"/>
        </w:rPr>
      </w:pPr>
      <w:r w:rsidRPr="007A2258">
        <w:rPr>
          <w:rFonts w:ascii="Arial Narrow" w:hAnsi="Arial Narrow"/>
          <w:sz w:val="20"/>
          <w:szCs w:val="20"/>
        </w:rPr>
        <w:t xml:space="preserve">Source: Kirby Institute and the Centre for Social Research in Health. Discussion paper: Estimates of the number of people eligible for PrEP in Australia, and related cost-effectiveness, Figure A.6 p 23. </w:t>
      </w:r>
    </w:p>
    <w:p w:rsidR="000E10C4" w:rsidRPr="007A2258" w:rsidRDefault="004F1369" w:rsidP="007A2258">
      <w:pPr>
        <w:pStyle w:val="ListParagraph"/>
        <w:numPr>
          <w:ilvl w:val="1"/>
          <w:numId w:val="23"/>
        </w:numPr>
        <w:jc w:val="both"/>
      </w:pPr>
      <w:r w:rsidRPr="007A2258">
        <w:t>T</w:t>
      </w:r>
      <w:r w:rsidR="000E10C4" w:rsidRPr="007A2258">
        <w:t>he ESC</w:t>
      </w:r>
      <w:r w:rsidR="00B06F68">
        <w:t xml:space="preserve"> </w:t>
      </w:r>
      <w:r w:rsidR="000E10C4" w:rsidRPr="007A2258">
        <w:t xml:space="preserve">considered the </w:t>
      </w:r>
      <w:r w:rsidRPr="007A2258">
        <w:t xml:space="preserve">Kirby model was more likely to accurately predict HIV incidence and prevalence in the future given the calibration approach used, and it was further noted that the time horizon for the Kirby model was 14 years in comparison to 20 years for the resubmission’s model and hence </w:t>
      </w:r>
      <w:r w:rsidR="004624B4" w:rsidRPr="007A2258">
        <w:t>was associated with less uncertainty regarding the predicted incidence and prevalence of HIV</w:t>
      </w:r>
      <w:r w:rsidRPr="007A2258">
        <w:t xml:space="preserve">.  </w:t>
      </w:r>
    </w:p>
    <w:p w:rsidR="00744BFD" w:rsidRPr="007A2258" w:rsidRDefault="004F1369" w:rsidP="007A2258">
      <w:pPr>
        <w:pStyle w:val="ListParagraph"/>
        <w:numPr>
          <w:ilvl w:val="1"/>
          <w:numId w:val="23"/>
        </w:numPr>
        <w:jc w:val="both"/>
      </w:pPr>
      <w:r w:rsidRPr="007A2258">
        <w:t xml:space="preserve">The </w:t>
      </w:r>
      <w:r w:rsidR="00744BFD" w:rsidRPr="007A2258">
        <w:t xml:space="preserve">results for the </w:t>
      </w:r>
      <w:r w:rsidR="003B70D8" w:rsidRPr="007A2258">
        <w:t xml:space="preserve">Kirby model </w:t>
      </w:r>
      <w:r w:rsidRPr="007A2258">
        <w:t>are presented for</w:t>
      </w:r>
      <w:r w:rsidR="003B70D8" w:rsidRPr="007A2258">
        <w:t xml:space="preserve"> a number of scenarios based on </w:t>
      </w:r>
      <w:r w:rsidR="00744BFD" w:rsidRPr="007A2258">
        <w:t xml:space="preserve">different </w:t>
      </w:r>
      <w:r w:rsidR="003B70D8" w:rsidRPr="007A2258">
        <w:t>uptake in individuals at high, medium or low risk of infection. The uptake scenarios rang</w:t>
      </w:r>
      <w:r w:rsidR="00744BFD" w:rsidRPr="007A2258">
        <w:t>ed</w:t>
      </w:r>
      <w:r w:rsidR="003B70D8" w:rsidRPr="007A2258">
        <w:t xml:space="preserve"> from 30-0-0 (</w:t>
      </w:r>
      <w:r w:rsidR="00744BFD" w:rsidRPr="007A2258">
        <w:t xml:space="preserve">30% uptake in high risk, 0% in medium risk, 0% in low risk; </w:t>
      </w:r>
      <w:r w:rsidR="003B70D8" w:rsidRPr="007A2258">
        <w:t xml:space="preserve">8.4% </w:t>
      </w:r>
      <w:r w:rsidR="00744BFD" w:rsidRPr="007A2258">
        <w:t xml:space="preserve">overall </w:t>
      </w:r>
      <w:r w:rsidR="003B70D8" w:rsidRPr="007A2258">
        <w:t xml:space="preserve">uptake) to 90-90-90 (90% </w:t>
      </w:r>
      <w:r w:rsidR="00744BFD" w:rsidRPr="007A2258">
        <w:t xml:space="preserve">overall </w:t>
      </w:r>
      <w:r w:rsidR="003B70D8" w:rsidRPr="007A2258">
        <w:t xml:space="preserve">uptake). </w:t>
      </w:r>
      <w:r w:rsidR="00744BFD" w:rsidRPr="007A2258">
        <w:t>The result</w:t>
      </w:r>
      <w:r w:rsidR="00200887" w:rsidRPr="007A2258">
        <w:t>s</w:t>
      </w:r>
      <w:r w:rsidR="00744BFD" w:rsidRPr="007A2258">
        <w:t xml:space="preserve"> are summarised in Table </w:t>
      </w:r>
      <w:r w:rsidR="00200887" w:rsidRPr="007A2258">
        <w:t>18</w:t>
      </w:r>
      <w:r w:rsidR="00744BFD" w:rsidRPr="007A2258">
        <w:t>.</w:t>
      </w:r>
      <w:r w:rsidR="004C1589" w:rsidRPr="007A2258">
        <w:t xml:space="preserve"> The Kirby model </w:t>
      </w:r>
      <w:r w:rsidR="00277386" w:rsidRPr="007A2258">
        <w:t>used a monthly cost for TDF/FTC of $</w:t>
      </w:r>
      <w:r w:rsidR="004E43C3">
        <w:rPr>
          <w:noProof/>
          <w:color w:val="000000"/>
          <w:highlight w:val="black"/>
        </w:rPr>
        <w:t>''''''''''''''</w:t>
      </w:r>
      <w:r w:rsidR="00277386" w:rsidRPr="007A2258">
        <w:t>compared with $</w:t>
      </w:r>
      <w:r w:rsidR="004E43C3">
        <w:rPr>
          <w:noProof/>
          <w:color w:val="000000"/>
          <w:highlight w:val="black"/>
        </w:rPr>
        <w:t>'''''''''''''</w:t>
      </w:r>
      <w:r w:rsidR="00277386" w:rsidRPr="007A2258">
        <w:t xml:space="preserve"> in this </w:t>
      </w:r>
      <w:r w:rsidR="00804378" w:rsidRPr="007A2258">
        <w:t>re</w:t>
      </w:r>
      <w:r w:rsidR="00277386" w:rsidRPr="007A2258">
        <w:t>submission.</w:t>
      </w:r>
    </w:p>
    <w:p w:rsidR="004F50B1" w:rsidRDefault="004F50B1" w:rsidP="004F50B1">
      <w:pPr>
        <w:pStyle w:val="Caption"/>
      </w:pPr>
      <w:r>
        <w:t xml:space="preserve">Table </w:t>
      </w:r>
      <w:r>
        <w:rPr>
          <w:noProof/>
        </w:rPr>
        <w:t>18</w:t>
      </w:r>
      <w:r>
        <w:t xml:space="preserve">: </w:t>
      </w:r>
      <w:r w:rsidRPr="000075D1">
        <w:t>Results of Kirby economic model</w:t>
      </w:r>
    </w:p>
    <w:tbl>
      <w:tblPr>
        <w:tblStyle w:val="TableGrid"/>
        <w:tblW w:w="5000" w:type="pct"/>
        <w:tblLook w:val="04A0" w:firstRow="1" w:lastRow="0" w:firstColumn="1" w:lastColumn="0" w:noHBand="0" w:noVBand="1"/>
      </w:tblPr>
      <w:tblGrid>
        <w:gridCol w:w="1812"/>
        <w:gridCol w:w="1559"/>
        <w:gridCol w:w="1142"/>
        <w:gridCol w:w="1641"/>
        <w:gridCol w:w="1641"/>
        <w:gridCol w:w="1447"/>
      </w:tblGrid>
      <w:tr w:rsidR="00EE3D20" w:rsidRPr="007A2258" w:rsidTr="004F50B1">
        <w:trPr>
          <w:cnfStyle w:val="100000000000" w:firstRow="1" w:lastRow="0" w:firstColumn="0" w:lastColumn="0" w:oddVBand="0" w:evenVBand="0" w:oddHBand="0" w:evenHBand="0" w:firstRowFirstColumn="0" w:firstRowLastColumn="0" w:lastRowFirstColumn="0" w:lastRowLastColumn="0"/>
        </w:trPr>
        <w:tc>
          <w:tcPr>
            <w:tcW w:w="980" w:type="pct"/>
            <w:shd w:val="clear" w:color="auto" w:fill="auto"/>
          </w:tcPr>
          <w:p w:rsidR="00EE3D20" w:rsidRPr="007A2258" w:rsidRDefault="00EE3D20" w:rsidP="00200887">
            <w:pPr>
              <w:widowControl w:val="0"/>
              <w:spacing w:before="0"/>
              <w:rPr>
                <w:rFonts w:ascii="Arial Narrow" w:eastAsia="Times New Roman" w:hAnsi="Arial Narrow" w:cs="Arial"/>
                <w:snapToGrid w:val="0"/>
                <w:sz w:val="20"/>
                <w:szCs w:val="20"/>
                <w:lang w:val="en-AU"/>
              </w:rPr>
            </w:pPr>
            <w:r w:rsidRPr="007A2258">
              <w:rPr>
                <w:rFonts w:ascii="Arial Narrow" w:eastAsia="Times New Roman" w:hAnsi="Arial Narrow" w:cs="Arial"/>
                <w:snapToGrid w:val="0"/>
                <w:sz w:val="20"/>
                <w:szCs w:val="20"/>
                <w:lang w:val="en-AU"/>
              </w:rPr>
              <w:t>Scenario</w:t>
            </w:r>
            <w:r w:rsidR="004B4534" w:rsidRPr="007A2258">
              <w:rPr>
                <w:rFonts w:ascii="Arial Narrow" w:eastAsia="Times New Roman" w:hAnsi="Arial Narrow" w:cs="Arial"/>
                <w:snapToGrid w:val="0"/>
                <w:sz w:val="20"/>
                <w:szCs w:val="20"/>
                <w:lang w:val="en-AU"/>
              </w:rPr>
              <w:t xml:space="preserve"> (uptake in high, medium and low risk)</w:t>
            </w:r>
          </w:p>
        </w:tc>
        <w:tc>
          <w:tcPr>
            <w:tcW w:w="843" w:type="pct"/>
            <w:shd w:val="clear" w:color="auto" w:fill="auto"/>
          </w:tcPr>
          <w:p w:rsidR="00EE3D20" w:rsidRPr="007A2258" w:rsidRDefault="00EE3D20" w:rsidP="00200887">
            <w:pPr>
              <w:widowControl w:val="0"/>
              <w:spacing w:before="0"/>
              <w:rPr>
                <w:rFonts w:ascii="Arial Narrow" w:eastAsia="Times New Roman" w:hAnsi="Arial Narrow" w:cs="Arial"/>
                <w:snapToGrid w:val="0"/>
                <w:sz w:val="20"/>
                <w:szCs w:val="20"/>
                <w:lang w:val="en-AU"/>
              </w:rPr>
            </w:pPr>
            <w:r w:rsidRPr="007A2258">
              <w:rPr>
                <w:rFonts w:ascii="Arial Narrow" w:eastAsia="Times New Roman" w:hAnsi="Arial Narrow" w:cs="Arial"/>
                <w:snapToGrid w:val="0"/>
                <w:sz w:val="20"/>
                <w:szCs w:val="20"/>
                <w:lang w:val="en-AU"/>
              </w:rPr>
              <w:t>Overall uptake</w:t>
            </w:r>
          </w:p>
          <w:p w:rsidR="00EE3D20" w:rsidRPr="007A2258" w:rsidRDefault="00EE3D20" w:rsidP="00200887">
            <w:pPr>
              <w:widowControl w:val="0"/>
              <w:spacing w:before="0"/>
              <w:rPr>
                <w:rFonts w:ascii="Arial Narrow" w:eastAsia="Times New Roman" w:hAnsi="Arial Narrow" w:cs="Arial"/>
                <w:snapToGrid w:val="0"/>
                <w:sz w:val="20"/>
                <w:szCs w:val="20"/>
                <w:lang w:val="en-AU"/>
              </w:rPr>
            </w:pPr>
            <w:r w:rsidRPr="007A2258">
              <w:rPr>
                <w:rFonts w:ascii="Arial Narrow" w:eastAsia="Times New Roman" w:hAnsi="Arial Narrow" w:cs="Arial"/>
                <w:snapToGrid w:val="0"/>
                <w:sz w:val="20"/>
                <w:szCs w:val="20"/>
                <w:lang w:val="en-AU"/>
              </w:rPr>
              <w:t>All</w:t>
            </w:r>
            <w:r w:rsidR="00DB3308" w:rsidRPr="007A2258">
              <w:rPr>
                <w:rFonts w:ascii="Arial Narrow" w:eastAsia="Times New Roman" w:hAnsi="Arial Narrow" w:cs="Arial"/>
                <w:snapToGrid w:val="0"/>
                <w:sz w:val="20"/>
                <w:szCs w:val="20"/>
                <w:vertAlign w:val="superscript"/>
              </w:rPr>
              <w:t>a</w:t>
            </w:r>
            <w:r w:rsidRPr="007A2258">
              <w:rPr>
                <w:rFonts w:ascii="Arial Narrow" w:eastAsia="Times New Roman" w:hAnsi="Arial Narrow" w:cs="Arial"/>
                <w:snapToGrid w:val="0"/>
                <w:sz w:val="20"/>
                <w:szCs w:val="20"/>
                <w:lang w:val="en-AU"/>
              </w:rPr>
              <w:t>/high-med risk</w:t>
            </w:r>
            <w:r w:rsidR="00DB3308" w:rsidRPr="007A2258">
              <w:rPr>
                <w:rFonts w:ascii="Arial Narrow" w:eastAsia="Times New Roman" w:hAnsi="Arial Narrow" w:cs="Arial"/>
                <w:snapToGrid w:val="0"/>
                <w:sz w:val="20"/>
                <w:szCs w:val="20"/>
                <w:vertAlign w:val="superscript"/>
              </w:rPr>
              <w:t>b</w:t>
            </w:r>
          </w:p>
        </w:tc>
        <w:tc>
          <w:tcPr>
            <w:tcW w:w="618" w:type="pct"/>
            <w:shd w:val="clear" w:color="auto" w:fill="auto"/>
          </w:tcPr>
          <w:p w:rsidR="00EE3D20" w:rsidRPr="007A2258" w:rsidRDefault="00EE3D20" w:rsidP="00200887">
            <w:pPr>
              <w:widowControl w:val="0"/>
              <w:spacing w:before="0"/>
              <w:rPr>
                <w:rFonts w:ascii="Arial Narrow" w:eastAsia="Times New Roman" w:hAnsi="Arial Narrow" w:cs="Arial"/>
                <w:snapToGrid w:val="0"/>
                <w:sz w:val="20"/>
                <w:szCs w:val="20"/>
                <w:lang w:val="en-AU"/>
              </w:rPr>
            </w:pPr>
            <w:r w:rsidRPr="007A2258">
              <w:rPr>
                <w:rFonts w:ascii="Arial Narrow" w:eastAsia="Times New Roman" w:hAnsi="Arial Narrow" w:cs="Arial"/>
                <w:snapToGrid w:val="0"/>
                <w:sz w:val="20"/>
                <w:szCs w:val="20"/>
                <w:lang w:val="en-AU"/>
              </w:rPr>
              <w:t>Infections averted</w:t>
            </w:r>
          </w:p>
        </w:tc>
        <w:tc>
          <w:tcPr>
            <w:tcW w:w="888" w:type="pct"/>
            <w:shd w:val="clear" w:color="auto" w:fill="auto"/>
          </w:tcPr>
          <w:p w:rsidR="00EE3D20" w:rsidRPr="007A2258" w:rsidRDefault="00EE3D20" w:rsidP="00200887">
            <w:pPr>
              <w:widowControl w:val="0"/>
              <w:spacing w:before="0"/>
              <w:rPr>
                <w:rFonts w:ascii="Arial Narrow" w:eastAsia="Times New Roman" w:hAnsi="Arial Narrow" w:cs="Arial"/>
                <w:snapToGrid w:val="0"/>
                <w:sz w:val="20"/>
                <w:szCs w:val="20"/>
                <w:lang w:val="en-AU"/>
              </w:rPr>
            </w:pPr>
            <w:r w:rsidRPr="007A2258">
              <w:rPr>
                <w:rFonts w:ascii="Arial Narrow" w:eastAsia="Times New Roman" w:hAnsi="Arial Narrow" w:cs="Arial"/>
                <w:snapToGrid w:val="0"/>
                <w:sz w:val="20"/>
                <w:szCs w:val="20"/>
                <w:lang w:val="en-AU"/>
              </w:rPr>
              <w:t>QALYs gained (discounted)</w:t>
            </w:r>
          </w:p>
        </w:tc>
        <w:tc>
          <w:tcPr>
            <w:tcW w:w="888" w:type="pct"/>
            <w:shd w:val="clear" w:color="auto" w:fill="auto"/>
          </w:tcPr>
          <w:p w:rsidR="00EE3D20" w:rsidRPr="007A2258" w:rsidRDefault="00EE3D20" w:rsidP="00200887">
            <w:pPr>
              <w:widowControl w:val="0"/>
              <w:spacing w:before="0"/>
              <w:rPr>
                <w:rFonts w:ascii="Arial Narrow" w:eastAsia="Times New Roman" w:hAnsi="Arial Narrow" w:cs="Arial"/>
                <w:snapToGrid w:val="0"/>
                <w:sz w:val="20"/>
                <w:szCs w:val="20"/>
                <w:lang w:val="en-AU"/>
              </w:rPr>
            </w:pPr>
            <w:r w:rsidRPr="007A2258">
              <w:rPr>
                <w:rFonts w:ascii="Arial Narrow" w:eastAsia="Times New Roman" w:hAnsi="Arial Narrow" w:cs="Arial"/>
                <w:snapToGrid w:val="0"/>
                <w:sz w:val="20"/>
                <w:szCs w:val="20"/>
                <w:lang w:val="en-AU"/>
              </w:rPr>
              <w:t>Incremental costs (discounted)</w:t>
            </w:r>
          </w:p>
        </w:tc>
        <w:tc>
          <w:tcPr>
            <w:tcW w:w="784" w:type="pct"/>
            <w:shd w:val="clear" w:color="auto" w:fill="auto"/>
          </w:tcPr>
          <w:p w:rsidR="00EE3D20" w:rsidRPr="007A2258" w:rsidRDefault="00EE3D20" w:rsidP="00200887">
            <w:pPr>
              <w:widowControl w:val="0"/>
              <w:spacing w:before="0"/>
              <w:rPr>
                <w:rFonts w:ascii="Arial Narrow" w:eastAsia="Times New Roman" w:hAnsi="Arial Narrow" w:cs="Arial"/>
                <w:snapToGrid w:val="0"/>
                <w:sz w:val="20"/>
                <w:szCs w:val="20"/>
                <w:lang w:val="en-AU"/>
              </w:rPr>
            </w:pPr>
            <w:r w:rsidRPr="007A2258">
              <w:rPr>
                <w:rFonts w:ascii="Arial Narrow" w:eastAsia="Times New Roman" w:hAnsi="Arial Narrow" w:cs="Arial"/>
                <w:snapToGrid w:val="0"/>
                <w:sz w:val="20"/>
                <w:szCs w:val="20"/>
                <w:lang w:val="en-AU"/>
              </w:rPr>
              <w:t>Cost per QALY gained</w:t>
            </w:r>
          </w:p>
        </w:tc>
      </w:tr>
      <w:tr w:rsidR="004B4534" w:rsidRPr="007A2258" w:rsidTr="004F50B1">
        <w:tc>
          <w:tcPr>
            <w:tcW w:w="980" w:type="pct"/>
            <w:shd w:val="clear" w:color="auto" w:fill="auto"/>
          </w:tcPr>
          <w:p w:rsidR="004B4534" w:rsidRPr="007A2258" w:rsidRDefault="004B4534" w:rsidP="00200887">
            <w:pPr>
              <w:widowControl w:val="0"/>
              <w:spacing w:before="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lang w:val="en-AU"/>
              </w:rPr>
              <w:t>30-0-0</w:t>
            </w:r>
          </w:p>
        </w:tc>
        <w:tc>
          <w:tcPr>
            <w:tcW w:w="843" w:type="pct"/>
            <w:shd w:val="clear" w:color="auto" w:fill="auto"/>
          </w:tcPr>
          <w:p w:rsidR="004B4534" w:rsidRPr="007A2258" w:rsidRDefault="00DB3308" w:rsidP="00200887">
            <w:pPr>
              <w:widowControl w:val="0"/>
              <w:spacing w:before="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9%/26%</w:t>
            </w:r>
          </w:p>
        </w:tc>
        <w:tc>
          <w:tcPr>
            <w:tcW w:w="618" w:type="pct"/>
            <w:shd w:val="clear" w:color="auto" w:fill="auto"/>
          </w:tcPr>
          <w:p w:rsidR="004B4534" w:rsidRPr="007A2258" w:rsidRDefault="009A363C" w:rsidP="00200887">
            <w:pPr>
              <w:widowControl w:val="0"/>
              <w:spacing w:before="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4110</w:t>
            </w:r>
          </w:p>
        </w:tc>
        <w:tc>
          <w:tcPr>
            <w:tcW w:w="888" w:type="pct"/>
            <w:shd w:val="clear" w:color="auto" w:fill="auto"/>
          </w:tcPr>
          <w:p w:rsidR="004B4534" w:rsidRPr="007A2258" w:rsidRDefault="009A363C" w:rsidP="00200887">
            <w:pPr>
              <w:widowControl w:val="0"/>
              <w:spacing w:before="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1870</w:t>
            </w:r>
          </w:p>
        </w:tc>
        <w:tc>
          <w:tcPr>
            <w:tcW w:w="888" w:type="pct"/>
            <w:shd w:val="clear" w:color="auto" w:fill="auto"/>
          </w:tcPr>
          <w:p w:rsidR="004B4534" w:rsidRPr="007A2258" w:rsidRDefault="00AC242C" w:rsidP="00200887">
            <w:pPr>
              <w:widowControl w:val="0"/>
              <w:spacing w:before="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9A363C" w:rsidRPr="00221A90">
              <w:rPr>
                <w:rFonts w:ascii="Arial Narrow" w:eastAsia="Times New Roman" w:hAnsi="Arial Narrow" w:cs="Arial"/>
                <w:snapToGrid w:val="0"/>
                <w:sz w:val="20"/>
                <w:szCs w:val="20"/>
              </w:rPr>
              <w:t>224</w:t>
            </w:r>
            <w:r w:rsidRPr="00221A90">
              <w:rPr>
                <w:rFonts w:ascii="Arial Narrow" w:eastAsia="Times New Roman" w:hAnsi="Arial Narrow" w:cs="Arial"/>
                <w:snapToGrid w:val="0"/>
                <w:sz w:val="20"/>
                <w:szCs w:val="20"/>
              </w:rPr>
              <w:t>,</w:t>
            </w:r>
            <w:r w:rsidR="009A363C" w:rsidRPr="00221A90">
              <w:rPr>
                <w:rFonts w:ascii="Arial Narrow" w:eastAsia="Times New Roman" w:hAnsi="Arial Narrow" w:cs="Arial"/>
                <w:snapToGrid w:val="0"/>
                <w:sz w:val="20"/>
                <w:szCs w:val="20"/>
              </w:rPr>
              <w:t>256</w:t>
            </w:r>
            <w:r w:rsidRPr="00221A90">
              <w:rPr>
                <w:rFonts w:ascii="Arial Narrow" w:eastAsia="Times New Roman" w:hAnsi="Arial Narrow" w:cs="Arial"/>
                <w:snapToGrid w:val="0"/>
                <w:sz w:val="20"/>
                <w:szCs w:val="20"/>
              </w:rPr>
              <w:t>,</w:t>
            </w:r>
            <w:r w:rsidR="009A363C" w:rsidRPr="00221A90">
              <w:rPr>
                <w:rFonts w:ascii="Arial Narrow" w:eastAsia="Times New Roman" w:hAnsi="Arial Narrow" w:cs="Arial"/>
                <w:snapToGrid w:val="0"/>
                <w:sz w:val="20"/>
                <w:szCs w:val="20"/>
              </w:rPr>
              <w:t>430</w:t>
            </w:r>
          </w:p>
        </w:tc>
        <w:tc>
          <w:tcPr>
            <w:tcW w:w="784" w:type="pct"/>
            <w:shd w:val="clear" w:color="auto" w:fill="auto"/>
          </w:tcPr>
          <w:p w:rsidR="004B4534" w:rsidRPr="007A2258" w:rsidRDefault="00AC242C" w:rsidP="00200887">
            <w:pPr>
              <w:widowControl w:val="0"/>
              <w:spacing w:before="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lang w:val="en-AU"/>
              </w:rPr>
              <w:t>$</w:t>
            </w:r>
            <w:r w:rsidR="009A363C" w:rsidRPr="007A2258">
              <w:rPr>
                <w:rFonts w:ascii="Arial Narrow" w:eastAsia="Times New Roman" w:hAnsi="Arial Narrow" w:cs="Arial"/>
                <w:snapToGrid w:val="0"/>
                <w:sz w:val="20"/>
                <w:szCs w:val="20"/>
                <w:lang w:val="en-AU"/>
              </w:rPr>
              <w:t>127</w:t>
            </w:r>
            <w:r w:rsidRPr="007A2258">
              <w:rPr>
                <w:rFonts w:ascii="Arial Narrow" w:eastAsia="Times New Roman" w:hAnsi="Arial Narrow" w:cs="Arial"/>
                <w:snapToGrid w:val="0"/>
                <w:sz w:val="20"/>
                <w:szCs w:val="20"/>
                <w:lang w:val="en-AU"/>
              </w:rPr>
              <w:t>,</w:t>
            </w:r>
            <w:r w:rsidR="009A363C" w:rsidRPr="007A2258">
              <w:rPr>
                <w:rFonts w:ascii="Arial Narrow" w:eastAsia="Times New Roman" w:hAnsi="Arial Narrow" w:cs="Arial"/>
                <w:snapToGrid w:val="0"/>
                <w:sz w:val="20"/>
                <w:szCs w:val="20"/>
                <w:lang w:val="en-AU"/>
              </w:rPr>
              <w:t>550</w:t>
            </w:r>
          </w:p>
        </w:tc>
      </w:tr>
      <w:tr w:rsidR="00EE3D20" w:rsidRPr="007A2258" w:rsidTr="004F50B1">
        <w:tc>
          <w:tcPr>
            <w:tcW w:w="980" w:type="pct"/>
            <w:shd w:val="clear" w:color="auto" w:fill="auto"/>
          </w:tcPr>
          <w:p w:rsidR="00EE3D20" w:rsidRPr="007A2258" w:rsidRDefault="00EE3D20" w:rsidP="00200887">
            <w:pPr>
              <w:widowControl w:val="0"/>
              <w:spacing w:before="0"/>
              <w:rPr>
                <w:rFonts w:ascii="Arial Narrow" w:eastAsia="Times New Roman" w:hAnsi="Arial Narrow" w:cs="Arial"/>
                <w:snapToGrid w:val="0"/>
                <w:sz w:val="20"/>
                <w:szCs w:val="20"/>
                <w:lang w:val="en-AU"/>
              </w:rPr>
            </w:pPr>
            <w:r w:rsidRPr="007A2258">
              <w:rPr>
                <w:rFonts w:ascii="Arial Narrow" w:eastAsia="Times New Roman" w:hAnsi="Arial Narrow" w:cs="Arial"/>
                <w:snapToGrid w:val="0"/>
                <w:sz w:val="20"/>
                <w:szCs w:val="20"/>
                <w:lang w:val="en-AU"/>
              </w:rPr>
              <w:t>60-0-0</w:t>
            </w:r>
          </w:p>
        </w:tc>
        <w:tc>
          <w:tcPr>
            <w:tcW w:w="843" w:type="pct"/>
            <w:shd w:val="clear" w:color="auto" w:fill="auto"/>
          </w:tcPr>
          <w:p w:rsidR="00EE3D20" w:rsidRPr="007A2258" w:rsidRDefault="00DB3308" w:rsidP="00200887">
            <w:pPr>
              <w:widowControl w:val="0"/>
              <w:spacing w:before="0"/>
              <w:rPr>
                <w:rFonts w:ascii="Arial Narrow" w:eastAsia="Times New Roman" w:hAnsi="Arial Narrow" w:cs="Arial"/>
                <w:snapToGrid w:val="0"/>
                <w:sz w:val="20"/>
                <w:szCs w:val="20"/>
                <w:lang w:val="en-AU"/>
              </w:rPr>
            </w:pPr>
            <w:r w:rsidRPr="007A2258">
              <w:rPr>
                <w:rFonts w:ascii="Arial Narrow" w:eastAsia="Times New Roman" w:hAnsi="Arial Narrow" w:cs="Arial"/>
                <w:snapToGrid w:val="0"/>
                <w:sz w:val="20"/>
                <w:szCs w:val="20"/>
                <w:lang w:val="en-AU"/>
              </w:rPr>
              <w:t>17%/53%</w:t>
            </w:r>
          </w:p>
        </w:tc>
        <w:tc>
          <w:tcPr>
            <w:tcW w:w="618" w:type="pct"/>
            <w:shd w:val="clear" w:color="auto" w:fill="auto"/>
          </w:tcPr>
          <w:p w:rsidR="00EE3D20" w:rsidRPr="007A2258" w:rsidRDefault="009A363C" w:rsidP="00200887">
            <w:pPr>
              <w:widowControl w:val="0"/>
              <w:spacing w:before="0"/>
              <w:rPr>
                <w:rFonts w:ascii="Arial Narrow" w:eastAsia="Times New Roman" w:hAnsi="Arial Narrow" w:cs="Arial"/>
                <w:snapToGrid w:val="0"/>
                <w:sz w:val="20"/>
                <w:szCs w:val="20"/>
                <w:lang w:val="en-AU"/>
              </w:rPr>
            </w:pPr>
            <w:r w:rsidRPr="007A2258">
              <w:rPr>
                <w:rFonts w:ascii="Arial Narrow" w:eastAsia="Times New Roman" w:hAnsi="Arial Narrow" w:cs="Arial"/>
                <w:snapToGrid w:val="0"/>
                <w:sz w:val="20"/>
                <w:szCs w:val="20"/>
                <w:lang w:val="en-AU"/>
              </w:rPr>
              <w:t>7060</w:t>
            </w:r>
          </w:p>
        </w:tc>
        <w:tc>
          <w:tcPr>
            <w:tcW w:w="888" w:type="pct"/>
            <w:shd w:val="clear" w:color="auto" w:fill="auto"/>
          </w:tcPr>
          <w:p w:rsidR="00EE3D20" w:rsidRPr="007A2258" w:rsidRDefault="009A363C" w:rsidP="00200887">
            <w:pPr>
              <w:widowControl w:val="0"/>
              <w:spacing w:before="0"/>
              <w:rPr>
                <w:rFonts w:ascii="Arial Narrow" w:eastAsia="Times New Roman" w:hAnsi="Arial Narrow" w:cs="Arial"/>
                <w:snapToGrid w:val="0"/>
                <w:sz w:val="20"/>
                <w:szCs w:val="20"/>
                <w:lang w:val="en-AU"/>
              </w:rPr>
            </w:pPr>
            <w:r w:rsidRPr="007A2258">
              <w:rPr>
                <w:rFonts w:ascii="Arial Narrow" w:eastAsia="Times New Roman" w:hAnsi="Arial Narrow" w:cs="Arial"/>
                <w:snapToGrid w:val="0"/>
                <w:sz w:val="20"/>
                <w:szCs w:val="20"/>
                <w:lang w:val="en-AU"/>
              </w:rPr>
              <w:t>3410</w:t>
            </w:r>
          </w:p>
        </w:tc>
        <w:tc>
          <w:tcPr>
            <w:tcW w:w="888" w:type="pct"/>
            <w:shd w:val="clear" w:color="auto" w:fill="auto"/>
          </w:tcPr>
          <w:p w:rsidR="00EE3D20" w:rsidRPr="007A2258" w:rsidRDefault="00AC242C" w:rsidP="00200887">
            <w:pPr>
              <w:widowControl w:val="0"/>
              <w:spacing w:before="0"/>
              <w:rPr>
                <w:rFonts w:ascii="Arial Narrow" w:eastAsia="Times New Roman" w:hAnsi="Arial Narrow" w:cs="Arial"/>
                <w:snapToGrid w:val="0"/>
                <w:sz w:val="20"/>
                <w:szCs w:val="20"/>
                <w:lang w:val="en-AU"/>
              </w:rPr>
            </w:pPr>
            <w:r w:rsidRPr="007A2258">
              <w:rPr>
                <w:rFonts w:ascii="Arial Narrow" w:eastAsia="Times New Roman" w:hAnsi="Arial Narrow" w:cs="Arial"/>
                <w:snapToGrid w:val="0"/>
                <w:sz w:val="20"/>
                <w:szCs w:val="20"/>
                <w:lang w:val="en-AU"/>
              </w:rPr>
              <w:t>$</w:t>
            </w:r>
            <w:r w:rsidR="009A363C" w:rsidRPr="00221A90">
              <w:rPr>
                <w:rFonts w:ascii="Arial Narrow" w:eastAsia="Times New Roman" w:hAnsi="Arial Narrow" w:cs="Arial"/>
                <w:snapToGrid w:val="0"/>
                <w:sz w:val="20"/>
                <w:szCs w:val="20"/>
                <w:lang w:val="en-AU"/>
              </w:rPr>
              <w:t>503</w:t>
            </w:r>
            <w:r w:rsidRPr="00221A90">
              <w:rPr>
                <w:rFonts w:ascii="Arial Narrow" w:eastAsia="Times New Roman" w:hAnsi="Arial Narrow" w:cs="Arial"/>
                <w:snapToGrid w:val="0"/>
                <w:sz w:val="20"/>
                <w:szCs w:val="20"/>
                <w:lang w:val="en-AU"/>
              </w:rPr>
              <w:t>,</w:t>
            </w:r>
            <w:r w:rsidR="009A363C" w:rsidRPr="00221A90">
              <w:rPr>
                <w:rFonts w:ascii="Arial Narrow" w:eastAsia="Times New Roman" w:hAnsi="Arial Narrow" w:cs="Arial"/>
                <w:snapToGrid w:val="0"/>
                <w:sz w:val="20"/>
                <w:szCs w:val="20"/>
                <w:lang w:val="en-AU"/>
              </w:rPr>
              <w:t>263</w:t>
            </w:r>
            <w:r w:rsidRPr="00221A90">
              <w:rPr>
                <w:rFonts w:ascii="Arial Narrow" w:eastAsia="Times New Roman" w:hAnsi="Arial Narrow" w:cs="Arial"/>
                <w:snapToGrid w:val="0"/>
                <w:sz w:val="20"/>
                <w:szCs w:val="20"/>
                <w:lang w:val="en-AU"/>
              </w:rPr>
              <w:t>,</w:t>
            </w:r>
            <w:r w:rsidR="009A363C" w:rsidRPr="00221A90">
              <w:rPr>
                <w:rFonts w:ascii="Arial Narrow" w:eastAsia="Times New Roman" w:hAnsi="Arial Narrow" w:cs="Arial"/>
                <w:snapToGrid w:val="0"/>
                <w:sz w:val="20"/>
                <w:szCs w:val="20"/>
                <w:lang w:val="en-AU"/>
              </w:rPr>
              <w:t>520</w:t>
            </w:r>
          </w:p>
        </w:tc>
        <w:tc>
          <w:tcPr>
            <w:tcW w:w="784" w:type="pct"/>
            <w:shd w:val="clear" w:color="auto" w:fill="auto"/>
          </w:tcPr>
          <w:p w:rsidR="00EE3D20" w:rsidRPr="007A2258" w:rsidRDefault="00AC242C" w:rsidP="00200887">
            <w:pPr>
              <w:widowControl w:val="0"/>
              <w:spacing w:before="0"/>
              <w:rPr>
                <w:rFonts w:ascii="Arial Narrow" w:eastAsia="Times New Roman" w:hAnsi="Arial Narrow" w:cs="Arial"/>
                <w:snapToGrid w:val="0"/>
                <w:sz w:val="20"/>
                <w:szCs w:val="20"/>
                <w:lang w:val="en-AU"/>
              </w:rPr>
            </w:pPr>
            <w:r w:rsidRPr="007A2258">
              <w:rPr>
                <w:rFonts w:ascii="Arial Narrow" w:eastAsia="Times New Roman" w:hAnsi="Arial Narrow" w:cs="Arial"/>
                <w:snapToGrid w:val="0"/>
                <w:sz w:val="20"/>
                <w:szCs w:val="20"/>
                <w:lang w:val="en-AU"/>
              </w:rPr>
              <w:t>$</w:t>
            </w:r>
            <w:r w:rsidR="009A363C" w:rsidRPr="007A2258">
              <w:rPr>
                <w:rFonts w:ascii="Arial Narrow" w:eastAsia="Times New Roman" w:hAnsi="Arial Narrow" w:cs="Arial"/>
                <w:snapToGrid w:val="0"/>
                <w:sz w:val="20"/>
                <w:szCs w:val="20"/>
                <w:lang w:val="en-AU"/>
              </w:rPr>
              <w:t>157</w:t>
            </w:r>
            <w:r w:rsidRPr="007A2258">
              <w:rPr>
                <w:rFonts w:ascii="Arial Narrow" w:eastAsia="Times New Roman" w:hAnsi="Arial Narrow" w:cs="Arial"/>
                <w:snapToGrid w:val="0"/>
                <w:sz w:val="20"/>
                <w:szCs w:val="20"/>
                <w:lang w:val="en-AU"/>
              </w:rPr>
              <w:t>,</w:t>
            </w:r>
            <w:r w:rsidR="009A363C" w:rsidRPr="007A2258">
              <w:rPr>
                <w:rFonts w:ascii="Arial Narrow" w:eastAsia="Times New Roman" w:hAnsi="Arial Narrow" w:cs="Arial"/>
                <w:snapToGrid w:val="0"/>
                <w:sz w:val="20"/>
                <w:szCs w:val="20"/>
                <w:lang w:val="en-AU"/>
              </w:rPr>
              <w:t>960</w:t>
            </w:r>
          </w:p>
        </w:tc>
      </w:tr>
      <w:tr w:rsidR="00C60366" w:rsidRPr="007A2258" w:rsidTr="004F50B1">
        <w:tc>
          <w:tcPr>
            <w:tcW w:w="980" w:type="pct"/>
            <w:shd w:val="clear" w:color="auto" w:fill="auto"/>
          </w:tcPr>
          <w:p w:rsidR="00C60366" w:rsidRPr="007A2258" w:rsidRDefault="00C60366" w:rsidP="00200887">
            <w:pPr>
              <w:widowControl w:val="0"/>
              <w:spacing w:before="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90-0-0</w:t>
            </w:r>
          </w:p>
        </w:tc>
        <w:tc>
          <w:tcPr>
            <w:tcW w:w="843" w:type="pct"/>
            <w:shd w:val="clear" w:color="auto" w:fill="auto"/>
          </w:tcPr>
          <w:p w:rsidR="00C60366" w:rsidRPr="007A2258" w:rsidRDefault="00DB3308" w:rsidP="00200887">
            <w:pPr>
              <w:widowControl w:val="0"/>
              <w:spacing w:before="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25%/79%</w:t>
            </w:r>
          </w:p>
        </w:tc>
        <w:tc>
          <w:tcPr>
            <w:tcW w:w="618" w:type="pct"/>
            <w:shd w:val="clear" w:color="auto" w:fill="auto"/>
          </w:tcPr>
          <w:p w:rsidR="00C60366" w:rsidRPr="007A2258" w:rsidRDefault="009A363C" w:rsidP="00200887">
            <w:pPr>
              <w:widowControl w:val="0"/>
              <w:spacing w:before="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8910</w:t>
            </w:r>
          </w:p>
        </w:tc>
        <w:tc>
          <w:tcPr>
            <w:tcW w:w="888" w:type="pct"/>
            <w:shd w:val="clear" w:color="auto" w:fill="auto"/>
          </w:tcPr>
          <w:p w:rsidR="00C60366" w:rsidRPr="007A2258" w:rsidRDefault="009A363C" w:rsidP="00200887">
            <w:pPr>
              <w:widowControl w:val="0"/>
              <w:spacing w:before="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4480</w:t>
            </w:r>
          </w:p>
        </w:tc>
        <w:tc>
          <w:tcPr>
            <w:tcW w:w="888" w:type="pct"/>
            <w:shd w:val="clear" w:color="auto" w:fill="auto"/>
          </w:tcPr>
          <w:p w:rsidR="00C60366" w:rsidRPr="007A2258" w:rsidRDefault="00AC242C" w:rsidP="00200887">
            <w:pPr>
              <w:widowControl w:val="0"/>
              <w:spacing w:before="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9A363C" w:rsidRPr="00221A90">
              <w:rPr>
                <w:rFonts w:ascii="Arial Narrow" w:eastAsia="Times New Roman" w:hAnsi="Arial Narrow" w:cs="Arial"/>
                <w:snapToGrid w:val="0"/>
                <w:sz w:val="20"/>
                <w:szCs w:val="20"/>
              </w:rPr>
              <w:t>807</w:t>
            </w:r>
            <w:r w:rsidRPr="00221A90">
              <w:rPr>
                <w:rFonts w:ascii="Arial Narrow" w:eastAsia="Times New Roman" w:hAnsi="Arial Narrow" w:cs="Arial"/>
                <w:snapToGrid w:val="0"/>
                <w:sz w:val="20"/>
                <w:szCs w:val="20"/>
              </w:rPr>
              <w:t>,</w:t>
            </w:r>
            <w:r w:rsidR="009A363C" w:rsidRPr="00221A90">
              <w:rPr>
                <w:rFonts w:ascii="Arial Narrow" w:eastAsia="Times New Roman" w:hAnsi="Arial Narrow" w:cs="Arial"/>
                <w:snapToGrid w:val="0"/>
                <w:sz w:val="20"/>
                <w:szCs w:val="20"/>
              </w:rPr>
              <w:t>794</w:t>
            </w:r>
            <w:r w:rsidRPr="00221A90">
              <w:rPr>
                <w:rFonts w:ascii="Arial Narrow" w:eastAsia="Times New Roman" w:hAnsi="Arial Narrow" w:cs="Arial"/>
                <w:snapToGrid w:val="0"/>
                <w:sz w:val="20"/>
                <w:szCs w:val="20"/>
              </w:rPr>
              <w:t>,</w:t>
            </w:r>
            <w:r w:rsidR="009A363C" w:rsidRPr="00221A90">
              <w:rPr>
                <w:rFonts w:ascii="Arial Narrow" w:eastAsia="Times New Roman" w:hAnsi="Arial Narrow" w:cs="Arial"/>
                <w:snapToGrid w:val="0"/>
                <w:sz w:val="20"/>
                <w:szCs w:val="20"/>
              </w:rPr>
              <w:t>350</w:t>
            </w:r>
          </w:p>
        </w:tc>
        <w:tc>
          <w:tcPr>
            <w:tcW w:w="784" w:type="pct"/>
            <w:shd w:val="clear" w:color="auto" w:fill="auto"/>
          </w:tcPr>
          <w:p w:rsidR="00C60366" w:rsidRPr="007A2258" w:rsidDel="00C60366" w:rsidRDefault="00AC242C" w:rsidP="00200887">
            <w:pPr>
              <w:widowControl w:val="0"/>
              <w:spacing w:before="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9A363C" w:rsidRPr="007A2258">
              <w:rPr>
                <w:rFonts w:ascii="Arial Narrow" w:eastAsia="Times New Roman" w:hAnsi="Arial Narrow" w:cs="Arial"/>
                <w:snapToGrid w:val="0"/>
                <w:sz w:val="20"/>
                <w:szCs w:val="20"/>
              </w:rPr>
              <w:t>191</w:t>
            </w:r>
            <w:r w:rsidRPr="007A2258">
              <w:rPr>
                <w:rFonts w:ascii="Arial Narrow" w:eastAsia="Times New Roman" w:hAnsi="Arial Narrow" w:cs="Arial"/>
                <w:snapToGrid w:val="0"/>
                <w:sz w:val="20"/>
                <w:szCs w:val="20"/>
              </w:rPr>
              <w:t>,</w:t>
            </w:r>
            <w:r w:rsidR="009A363C" w:rsidRPr="007A2258">
              <w:rPr>
                <w:rFonts w:ascii="Arial Narrow" w:eastAsia="Times New Roman" w:hAnsi="Arial Narrow" w:cs="Arial"/>
                <w:snapToGrid w:val="0"/>
                <w:sz w:val="20"/>
                <w:szCs w:val="20"/>
              </w:rPr>
              <w:t>660</w:t>
            </w:r>
          </w:p>
        </w:tc>
      </w:tr>
      <w:tr w:rsidR="004B4534" w:rsidRPr="007A2258" w:rsidTr="004F50B1">
        <w:tc>
          <w:tcPr>
            <w:tcW w:w="980" w:type="pct"/>
            <w:shd w:val="clear" w:color="auto" w:fill="auto"/>
          </w:tcPr>
          <w:p w:rsidR="004B4534" w:rsidRPr="007A2258" w:rsidRDefault="004B4534" w:rsidP="00200887">
            <w:pPr>
              <w:widowControl w:val="0"/>
              <w:spacing w:before="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lang w:val="en-AU"/>
              </w:rPr>
              <w:t>90-20-0</w:t>
            </w:r>
          </w:p>
        </w:tc>
        <w:tc>
          <w:tcPr>
            <w:tcW w:w="843" w:type="pct"/>
            <w:shd w:val="clear" w:color="auto" w:fill="auto"/>
          </w:tcPr>
          <w:p w:rsidR="004B4534" w:rsidRPr="007A2258" w:rsidRDefault="00DB3308" w:rsidP="00200887">
            <w:pPr>
              <w:widowControl w:val="0"/>
              <w:spacing w:before="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26%/81%</w:t>
            </w:r>
          </w:p>
        </w:tc>
        <w:tc>
          <w:tcPr>
            <w:tcW w:w="618" w:type="pct"/>
            <w:shd w:val="clear" w:color="auto" w:fill="auto"/>
          </w:tcPr>
          <w:p w:rsidR="004B4534" w:rsidRPr="007A2258" w:rsidRDefault="009A363C" w:rsidP="00200887">
            <w:pPr>
              <w:widowControl w:val="0"/>
              <w:spacing w:before="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8940</w:t>
            </w:r>
          </w:p>
        </w:tc>
        <w:tc>
          <w:tcPr>
            <w:tcW w:w="888" w:type="pct"/>
            <w:shd w:val="clear" w:color="auto" w:fill="auto"/>
          </w:tcPr>
          <w:p w:rsidR="004B4534" w:rsidRPr="007A2258" w:rsidRDefault="009A363C" w:rsidP="00200887">
            <w:pPr>
              <w:widowControl w:val="0"/>
              <w:spacing w:before="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4510</w:t>
            </w:r>
          </w:p>
        </w:tc>
        <w:tc>
          <w:tcPr>
            <w:tcW w:w="888" w:type="pct"/>
            <w:shd w:val="clear" w:color="auto" w:fill="auto"/>
          </w:tcPr>
          <w:p w:rsidR="004B4534" w:rsidRPr="007A2258" w:rsidRDefault="00AC242C" w:rsidP="00200887">
            <w:pPr>
              <w:widowControl w:val="0"/>
              <w:spacing w:before="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9A363C" w:rsidRPr="007A2258">
              <w:rPr>
                <w:rFonts w:ascii="Arial Narrow" w:eastAsia="Times New Roman" w:hAnsi="Arial Narrow" w:cs="Arial"/>
                <w:snapToGrid w:val="0"/>
                <w:sz w:val="20"/>
                <w:szCs w:val="20"/>
              </w:rPr>
              <w:t>850</w:t>
            </w:r>
            <w:r w:rsidRPr="007A2258">
              <w:rPr>
                <w:rFonts w:ascii="Arial Narrow" w:eastAsia="Times New Roman" w:hAnsi="Arial Narrow" w:cs="Arial"/>
                <w:snapToGrid w:val="0"/>
                <w:sz w:val="20"/>
                <w:szCs w:val="20"/>
              </w:rPr>
              <w:t>,</w:t>
            </w:r>
            <w:r w:rsidR="009A363C" w:rsidRPr="007A2258">
              <w:rPr>
                <w:rFonts w:ascii="Arial Narrow" w:eastAsia="Times New Roman" w:hAnsi="Arial Narrow" w:cs="Arial"/>
                <w:snapToGrid w:val="0"/>
                <w:sz w:val="20"/>
                <w:szCs w:val="20"/>
              </w:rPr>
              <w:t>809</w:t>
            </w:r>
            <w:r w:rsidRPr="007A2258">
              <w:rPr>
                <w:rFonts w:ascii="Arial Narrow" w:eastAsia="Times New Roman" w:hAnsi="Arial Narrow" w:cs="Arial"/>
                <w:snapToGrid w:val="0"/>
                <w:sz w:val="20"/>
                <w:szCs w:val="20"/>
              </w:rPr>
              <w:t>,</w:t>
            </w:r>
            <w:r w:rsidR="009A363C" w:rsidRPr="007A2258">
              <w:rPr>
                <w:rFonts w:ascii="Arial Narrow" w:eastAsia="Times New Roman" w:hAnsi="Arial Narrow" w:cs="Arial"/>
                <w:snapToGrid w:val="0"/>
                <w:sz w:val="20"/>
                <w:szCs w:val="20"/>
              </w:rPr>
              <w:t>840</w:t>
            </w:r>
          </w:p>
        </w:tc>
        <w:tc>
          <w:tcPr>
            <w:tcW w:w="784" w:type="pct"/>
            <w:shd w:val="clear" w:color="auto" w:fill="auto"/>
          </w:tcPr>
          <w:p w:rsidR="004B4534" w:rsidRPr="007A2258" w:rsidRDefault="00AC242C" w:rsidP="00200887">
            <w:pPr>
              <w:widowControl w:val="0"/>
              <w:spacing w:before="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lang w:val="en-AU"/>
              </w:rPr>
              <w:t>$</w:t>
            </w:r>
            <w:r w:rsidR="009A363C" w:rsidRPr="007A2258">
              <w:rPr>
                <w:rFonts w:ascii="Arial Narrow" w:eastAsia="Times New Roman" w:hAnsi="Arial Narrow" w:cs="Arial"/>
                <w:snapToGrid w:val="0"/>
                <w:sz w:val="20"/>
                <w:szCs w:val="20"/>
                <w:lang w:val="en-AU"/>
              </w:rPr>
              <w:t>200</w:t>
            </w:r>
            <w:r w:rsidRPr="007A2258">
              <w:rPr>
                <w:rFonts w:ascii="Arial Narrow" w:eastAsia="Times New Roman" w:hAnsi="Arial Narrow" w:cs="Arial"/>
                <w:snapToGrid w:val="0"/>
                <w:sz w:val="20"/>
                <w:szCs w:val="20"/>
                <w:lang w:val="en-AU"/>
              </w:rPr>
              <w:t>,</w:t>
            </w:r>
            <w:r w:rsidR="009A363C" w:rsidRPr="007A2258">
              <w:rPr>
                <w:rFonts w:ascii="Arial Narrow" w:eastAsia="Times New Roman" w:hAnsi="Arial Narrow" w:cs="Arial"/>
                <w:snapToGrid w:val="0"/>
                <w:sz w:val="20"/>
                <w:szCs w:val="20"/>
                <w:lang w:val="en-AU"/>
              </w:rPr>
              <w:t>910</w:t>
            </w:r>
          </w:p>
        </w:tc>
      </w:tr>
      <w:tr w:rsidR="004B4534" w:rsidRPr="007A2258" w:rsidTr="004F50B1">
        <w:tc>
          <w:tcPr>
            <w:tcW w:w="980" w:type="pct"/>
            <w:shd w:val="clear" w:color="auto" w:fill="auto"/>
          </w:tcPr>
          <w:p w:rsidR="004B4534" w:rsidRPr="007A2258" w:rsidRDefault="004B4534" w:rsidP="00200887">
            <w:pPr>
              <w:widowControl w:val="0"/>
              <w:spacing w:before="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lang w:val="en-AU"/>
              </w:rPr>
              <w:t>90-60-0</w:t>
            </w:r>
          </w:p>
        </w:tc>
        <w:tc>
          <w:tcPr>
            <w:tcW w:w="843" w:type="pct"/>
            <w:shd w:val="clear" w:color="auto" w:fill="auto"/>
          </w:tcPr>
          <w:p w:rsidR="004B4534" w:rsidRPr="007A2258" w:rsidRDefault="00DB3308" w:rsidP="00200887">
            <w:pPr>
              <w:widowControl w:val="0"/>
              <w:spacing w:before="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28%/86%</w:t>
            </w:r>
          </w:p>
        </w:tc>
        <w:tc>
          <w:tcPr>
            <w:tcW w:w="618" w:type="pct"/>
            <w:shd w:val="clear" w:color="auto" w:fill="auto"/>
          </w:tcPr>
          <w:p w:rsidR="004B4534" w:rsidRPr="007A2258" w:rsidRDefault="009A363C" w:rsidP="00200887">
            <w:pPr>
              <w:widowControl w:val="0"/>
              <w:spacing w:before="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9010</w:t>
            </w:r>
          </w:p>
        </w:tc>
        <w:tc>
          <w:tcPr>
            <w:tcW w:w="888" w:type="pct"/>
            <w:shd w:val="clear" w:color="auto" w:fill="auto"/>
          </w:tcPr>
          <w:p w:rsidR="004B4534" w:rsidRPr="007A2258" w:rsidRDefault="009A363C" w:rsidP="00200887">
            <w:pPr>
              <w:widowControl w:val="0"/>
              <w:spacing w:before="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4550</w:t>
            </w:r>
          </w:p>
        </w:tc>
        <w:tc>
          <w:tcPr>
            <w:tcW w:w="888" w:type="pct"/>
            <w:shd w:val="clear" w:color="auto" w:fill="auto"/>
          </w:tcPr>
          <w:p w:rsidR="004B4534" w:rsidRPr="007A2258" w:rsidRDefault="00AC242C" w:rsidP="00200887">
            <w:pPr>
              <w:widowControl w:val="0"/>
              <w:spacing w:before="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9A363C" w:rsidRPr="007A2258">
              <w:rPr>
                <w:rFonts w:ascii="Arial Narrow" w:eastAsia="Times New Roman" w:hAnsi="Arial Narrow" w:cs="Arial"/>
                <w:snapToGrid w:val="0"/>
                <w:sz w:val="20"/>
                <w:szCs w:val="20"/>
              </w:rPr>
              <w:t>940</w:t>
            </w:r>
            <w:r w:rsidRPr="007A2258">
              <w:rPr>
                <w:rFonts w:ascii="Arial Narrow" w:eastAsia="Times New Roman" w:hAnsi="Arial Narrow" w:cs="Arial"/>
                <w:snapToGrid w:val="0"/>
                <w:sz w:val="20"/>
                <w:szCs w:val="20"/>
              </w:rPr>
              <w:t>,</w:t>
            </w:r>
            <w:r w:rsidR="009A363C" w:rsidRPr="007A2258">
              <w:rPr>
                <w:rFonts w:ascii="Arial Narrow" w:eastAsia="Times New Roman" w:hAnsi="Arial Narrow" w:cs="Arial"/>
                <w:snapToGrid w:val="0"/>
                <w:sz w:val="20"/>
                <w:szCs w:val="20"/>
              </w:rPr>
              <w:t>933</w:t>
            </w:r>
            <w:r w:rsidRPr="007A2258">
              <w:rPr>
                <w:rFonts w:ascii="Arial Narrow" w:eastAsia="Times New Roman" w:hAnsi="Arial Narrow" w:cs="Arial"/>
                <w:snapToGrid w:val="0"/>
                <w:sz w:val="20"/>
                <w:szCs w:val="20"/>
              </w:rPr>
              <w:t>,</w:t>
            </w:r>
            <w:r w:rsidR="009A363C" w:rsidRPr="007A2258">
              <w:rPr>
                <w:rFonts w:ascii="Arial Narrow" w:eastAsia="Times New Roman" w:hAnsi="Arial Narrow" w:cs="Arial"/>
                <w:snapToGrid w:val="0"/>
                <w:sz w:val="20"/>
                <w:szCs w:val="20"/>
              </w:rPr>
              <w:t>410</w:t>
            </w:r>
          </w:p>
        </w:tc>
        <w:tc>
          <w:tcPr>
            <w:tcW w:w="784" w:type="pct"/>
            <w:shd w:val="clear" w:color="auto" w:fill="auto"/>
          </w:tcPr>
          <w:p w:rsidR="004B4534" w:rsidRPr="007A2258" w:rsidRDefault="00AC242C" w:rsidP="00200887">
            <w:pPr>
              <w:widowControl w:val="0"/>
              <w:spacing w:before="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lang w:val="en-AU"/>
              </w:rPr>
              <w:t>$</w:t>
            </w:r>
            <w:r w:rsidR="009A363C" w:rsidRPr="007A2258">
              <w:rPr>
                <w:rFonts w:ascii="Arial Narrow" w:eastAsia="Times New Roman" w:hAnsi="Arial Narrow" w:cs="Arial"/>
                <w:snapToGrid w:val="0"/>
                <w:sz w:val="20"/>
                <w:szCs w:val="20"/>
                <w:lang w:val="en-AU"/>
              </w:rPr>
              <w:t>218</w:t>
            </w:r>
            <w:r w:rsidRPr="007A2258">
              <w:rPr>
                <w:rFonts w:ascii="Arial Narrow" w:eastAsia="Times New Roman" w:hAnsi="Arial Narrow" w:cs="Arial"/>
                <w:snapToGrid w:val="0"/>
                <w:sz w:val="20"/>
                <w:szCs w:val="20"/>
                <w:lang w:val="en-AU"/>
              </w:rPr>
              <w:t>,</w:t>
            </w:r>
            <w:r w:rsidR="009A363C" w:rsidRPr="007A2258">
              <w:rPr>
                <w:rFonts w:ascii="Arial Narrow" w:eastAsia="Times New Roman" w:hAnsi="Arial Narrow" w:cs="Arial"/>
                <w:snapToGrid w:val="0"/>
                <w:sz w:val="20"/>
                <w:szCs w:val="20"/>
                <w:lang w:val="en-AU"/>
              </w:rPr>
              <w:t>440</w:t>
            </w:r>
          </w:p>
        </w:tc>
      </w:tr>
      <w:tr w:rsidR="004B4534" w:rsidRPr="007A2258" w:rsidTr="004F50B1">
        <w:tc>
          <w:tcPr>
            <w:tcW w:w="980" w:type="pct"/>
            <w:shd w:val="clear" w:color="auto" w:fill="auto"/>
          </w:tcPr>
          <w:p w:rsidR="004B4534" w:rsidRPr="007A2258" w:rsidRDefault="004B4534" w:rsidP="00200887">
            <w:pPr>
              <w:widowControl w:val="0"/>
              <w:spacing w:before="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lang w:val="en-AU"/>
              </w:rPr>
              <w:t>90-20-10</w:t>
            </w:r>
          </w:p>
        </w:tc>
        <w:tc>
          <w:tcPr>
            <w:tcW w:w="843" w:type="pct"/>
            <w:shd w:val="clear" w:color="auto" w:fill="auto"/>
          </w:tcPr>
          <w:p w:rsidR="004B4534" w:rsidRPr="007A2258" w:rsidRDefault="00DB3308" w:rsidP="00200887">
            <w:pPr>
              <w:widowControl w:val="0"/>
              <w:spacing w:before="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33%/81%</w:t>
            </w:r>
          </w:p>
        </w:tc>
        <w:tc>
          <w:tcPr>
            <w:tcW w:w="618" w:type="pct"/>
            <w:shd w:val="clear" w:color="auto" w:fill="auto"/>
          </w:tcPr>
          <w:p w:rsidR="004B4534" w:rsidRPr="007A2258" w:rsidRDefault="009A363C" w:rsidP="00200887">
            <w:pPr>
              <w:widowControl w:val="0"/>
              <w:spacing w:before="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9210</w:t>
            </w:r>
          </w:p>
        </w:tc>
        <w:tc>
          <w:tcPr>
            <w:tcW w:w="888" w:type="pct"/>
            <w:shd w:val="clear" w:color="auto" w:fill="auto"/>
          </w:tcPr>
          <w:p w:rsidR="004B4534" w:rsidRPr="007A2258" w:rsidRDefault="009A363C" w:rsidP="00200887">
            <w:pPr>
              <w:widowControl w:val="0"/>
              <w:spacing w:before="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4680</w:t>
            </w:r>
          </w:p>
        </w:tc>
        <w:tc>
          <w:tcPr>
            <w:tcW w:w="888" w:type="pct"/>
            <w:shd w:val="clear" w:color="auto" w:fill="auto"/>
          </w:tcPr>
          <w:p w:rsidR="004B4534" w:rsidRPr="007A2258" w:rsidRDefault="00AC242C" w:rsidP="00200887">
            <w:pPr>
              <w:widowControl w:val="0"/>
              <w:spacing w:before="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9A363C" w:rsidRPr="007A2258">
              <w:rPr>
                <w:rFonts w:ascii="Arial Narrow" w:eastAsia="Times New Roman" w:hAnsi="Arial Narrow" w:cs="Arial"/>
                <w:snapToGrid w:val="0"/>
                <w:sz w:val="20"/>
                <w:szCs w:val="20"/>
              </w:rPr>
              <w:t>1</w:t>
            </w:r>
            <w:r w:rsidRPr="007A2258">
              <w:rPr>
                <w:rFonts w:ascii="Arial Narrow" w:eastAsia="Times New Roman" w:hAnsi="Arial Narrow" w:cs="Arial"/>
                <w:snapToGrid w:val="0"/>
                <w:sz w:val="20"/>
                <w:szCs w:val="20"/>
              </w:rPr>
              <w:t>,</w:t>
            </w:r>
            <w:r w:rsidR="009A363C" w:rsidRPr="007A2258">
              <w:rPr>
                <w:rFonts w:ascii="Arial Narrow" w:eastAsia="Times New Roman" w:hAnsi="Arial Narrow" w:cs="Arial"/>
                <w:snapToGrid w:val="0"/>
                <w:sz w:val="20"/>
                <w:szCs w:val="20"/>
              </w:rPr>
              <w:t>266</w:t>
            </w:r>
            <w:r w:rsidRPr="007A2258">
              <w:rPr>
                <w:rFonts w:ascii="Arial Narrow" w:eastAsia="Times New Roman" w:hAnsi="Arial Narrow" w:cs="Arial"/>
                <w:snapToGrid w:val="0"/>
                <w:sz w:val="20"/>
                <w:szCs w:val="20"/>
              </w:rPr>
              <w:t>,</w:t>
            </w:r>
            <w:r w:rsidR="009A363C" w:rsidRPr="007A2258">
              <w:rPr>
                <w:rFonts w:ascii="Arial Narrow" w:eastAsia="Times New Roman" w:hAnsi="Arial Narrow" w:cs="Arial"/>
                <w:snapToGrid w:val="0"/>
                <w:sz w:val="20"/>
                <w:szCs w:val="20"/>
              </w:rPr>
              <w:t>376</w:t>
            </w:r>
            <w:r w:rsidRPr="007A2258">
              <w:rPr>
                <w:rFonts w:ascii="Arial Narrow" w:eastAsia="Times New Roman" w:hAnsi="Arial Narrow" w:cs="Arial"/>
                <w:snapToGrid w:val="0"/>
                <w:sz w:val="20"/>
                <w:szCs w:val="20"/>
              </w:rPr>
              <w:t>,</w:t>
            </w:r>
            <w:r w:rsidR="009A363C" w:rsidRPr="007A2258">
              <w:rPr>
                <w:rFonts w:ascii="Arial Narrow" w:eastAsia="Times New Roman" w:hAnsi="Arial Narrow" w:cs="Arial"/>
                <w:snapToGrid w:val="0"/>
                <w:sz w:val="20"/>
                <w:szCs w:val="20"/>
              </w:rPr>
              <w:t>800</w:t>
            </w:r>
          </w:p>
        </w:tc>
        <w:tc>
          <w:tcPr>
            <w:tcW w:w="784" w:type="pct"/>
            <w:shd w:val="clear" w:color="auto" w:fill="auto"/>
          </w:tcPr>
          <w:p w:rsidR="004B4534" w:rsidRPr="007A2258" w:rsidRDefault="00AC242C" w:rsidP="00200887">
            <w:pPr>
              <w:widowControl w:val="0"/>
              <w:spacing w:before="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lang w:val="en-AU"/>
              </w:rPr>
              <w:t>$</w:t>
            </w:r>
            <w:r w:rsidR="009A363C" w:rsidRPr="007A2258">
              <w:rPr>
                <w:rFonts w:ascii="Arial Narrow" w:eastAsia="Times New Roman" w:hAnsi="Arial Narrow" w:cs="Arial"/>
                <w:snapToGrid w:val="0"/>
                <w:sz w:val="20"/>
                <w:szCs w:val="20"/>
                <w:lang w:val="en-AU"/>
              </w:rPr>
              <w:t>275</w:t>
            </w:r>
            <w:r w:rsidRPr="007A2258">
              <w:rPr>
                <w:rFonts w:ascii="Arial Narrow" w:eastAsia="Times New Roman" w:hAnsi="Arial Narrow" w:cs="Arial"/>
                <w:snapToGrid w:val="0"/>
                <w:sz w:val="20"/>
                <w:szCs w:val="20"/>
                <w:lang w:val="en-AU"/>
              </w:rPr>
              <w:t>,</w:t>
            </w:r>
            <w:r w:rsidR="009A363C" w:rsidRPr="007A2258">
              <w:rPr>
                <w:rFonts w:ascii="Arial Narrow" w:eastAsia="Times New Roman" w:hAnsi="Arial Narrow" w:cs="Arial"/>
                <w:snapToGrid w:val="0"/>
                <w:sz w:val="20"/>
                <w:szCs w:val="20"/>
                <w:lang w:val="en-AU"/>
              </w:rPr>
              <w:t>600</w:t>
            </w:r>
          </w:p>
        </w:tc>
      </w:tr>
      <w:tr w:rsidR="004B4534" w:rsidRPr="007A2258" w:rsidTr="004F50B1">
        <w:tc>
          <w:tcPr>
            <w:tcW w:w="980" w:type="pct"/>
            <w:shd w:val="clear" w:color="auto" w:fill="auto"/>
          </w:tcPr>
          <w:p w:rsidR="004B4534" w:rsidRPr="007A2258" w:rsidRDefault="004B4534" w:rsidP="00200887">
            <w:pPr>
              <w:widowControl w:val="0"/>
              <w:spacing w:before="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lang w:val="en-AU"/>
              </w:rPr>
              <w:t>90-60-30</w:t>
            </w:r>
          </w:p>
        </w:tc>
        <w:tc>
          <w:tcPr>
            <w:tcW w:w="843" w:type="pct"/>
            <w:shd w:val="clear" w:color="auto" w:fill="auto"/>
          </w:tcPr>
          <w:p w:rsidR="004B4534" w:rsidRPr="007A2258" w:rsidRDefault="00DB3308" w:rsidP="00200887">
            <w:pPr>
              <w:widowControl w:val="0"/>
              <w:spacing w:before="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48%/86%</w:t>
            </w:r>
          </w:p>
        </w:tc>
        <w:tc>
          <w:tcPr>
            <w:tcW w:w="618" w:type="pct"/>
            <w:shd w:val="clear" w:color="auto" w:fill="auto"/>
          </w:tcPr>
          <w:p w:rsidR="004B4534" w:rsidRPr="007A2258" w:rsidRDefault="009A363C" w:rsidP="00200887">
            <w:pPr>
              <w:widowControl w:val="0"/>
              <w:spacing w:before="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9710</w:t>
            </w:r>
          </w:p>
        </w:tc>
        <w:tc>
          <w:tcPr>
            <w:tcW w:w="888" w:type="pct"/>
            <w:shd w:val="clear" w:color="auto" w:fill="auto"/>
          </w:tcPr>
          <w:p w:rsidR="004B4534" w:rsidRPr="007A2258" w:rsidRDefault="009A363C" w:rsidP="00200887">
            <w:pPr>
              <w:widowControl w:val="0"/>
              <w:spacing w:before="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5000</w:t>
            </w:r>
          </w:p>
        </w:tc>
        <w:tc>
          <w:tcPr>
            <w:tcW w:w="888" w:type="pct"/>
            <w:shd w:val="clear" w:color="auto" w:fill="auto"/>
          </w:tcPr>
          <w:p w:rsidR="004B4534" w:rsidRPr="007A2258" w:rsidRDefault="00AC242C" w:rsidP="00200887">
            <w:pPr>
              <w:widowControl w:val="0"/>
              <w:spacing w:before="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9A363C" w:rsidRPr="007A2258">
              <w:rPr>
                <w:rFonts w:ascii="Arial Narrow" w:eastAsia="Times New Roman" w:hAnsi="Arial Narrow" w:cs="Arial"/>
                <w:snapToGrid w:val="0"/>
                <w:sz w:val="20"/>
                <w:szCs w:val="20"/>
              </w:rPr>
              <w:t>2</w:t>
            </w:r>
            <w:r w:rsidRPr="007A2258">
              <w:rPr>
                <w:rFonts w:ascii="Arial Narrow" w:eastAsia="Times New Roman" w:hAnsi="Arial Narrow" w:cs="Arial"/>
                <w:snapToGrid w:val="0"/>
                <w:sz w:val="20"/>
                <w:szCs w:val="20"/>
              </w:rPr>
              <w:t>,</w:t>
            </w:r>
            <w:r w:rsidR="009A363C" w:rsidRPr="007A2258">
              <w:rPr>
                <w:rFonts w:ascii="Arial Narrow" w:eastAsia="Times New Roman" w:hAnsi="Arial Narrow" w:cs="Arial"/>
                <w:snapToGrid w:val="0"/>
                <w:sz w:val="20"/>
                <w:szCs w:val="20"/>
              </w:rPr>
              <w:t>128</w:t>
            </w:r>
            <w:r w:rsidRPr="007A2258">
              <w:rPr>
                <w:rFonts w:ascii="Arial Narrow" w:eastAsia="Times New Roman" w:hAnsi="Arial Narrow" w:cs="Arial"/>
                <w:snapToGrid w:val="0"/>
                <w:sz w:val="20"/>
                <w:szCs w:val="20"/>
              </w:rPr>
              <w:t>,</w:t>
            </w:r>
            <w:r w:rsidR="009A363C" w:rsidRPr="007A2258">
              <w:rPr>
                <w:rFonts w:ascii="Arial Narrow" w:eastAsia="Times New Roman" w:hAnsi="Arial Narrow" w:cs="Arial"/>
                <w:snapToGrid w:val="0"/>
                <w:sz w:val="20"/>
                <w:szCs w:val="20"/>
              </w:rPr>
              <w:t>668</w:t>
            </w:r>
            <w:r w:rsidRPr="007A2258">
              <w:rPr>
                <w:rFonts w:ascii="Arial Narrow" w:eastAsia="Times New Roman" w:hAnsi="Arial Narrow" w:cs="Arial"/>
                <w:snapToGrid w:val="0"/>
                <w:sz w:val="20"/>
                <w:szCs w:val="20"/>
              </w:rPr>
              <w:t>,</w:t>
            </w:r>
            <w:r w:rsidR="009A363C" w:rsidRPr="007A2258">
              <w:rPr>
                <w:rFonts w:ascii="Arial Narrow" w:eastAsia="Times New Roman" w:hAnsi="Arial Narrow" w:cs="Arial"/>
                <w:snapToGrid w:val="0"/>
                <w:sz w:val="20"/>
                <w:szCs w:val="20"/>
              </w:rPr>
              <w:t>660</w:t>
            </w:r>
          </w:p>
        </w:tc>
        <w:tc>
          <w:tcPr>
            <w:tcW w:w="784" w:type="pct"/>
            <w:shd w:val="clear" w:color="auto" w:fill="auto"/>
          </w:tcPr>
          <w:p w:rsidR="004B4534" w:rsidRPr="007A2258" w:rsidRDefault="00AC242C" w:rsidP="00200887">
            <w:pPr>
              <w:widowControl w:val="0"/>
              <w:spacing w:before="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lang w:val="en-AU"/>
              </w:rPr>
              <w:t>$423,490</w:t>
            </w:r>
          </w:p>
        </w:tc>
      </w:tr>
      <w:tr w:rsidR="004B4534" w:rsidRPr="007A2258" w:rsidTr="004F50B1">
        <w:tc>
          <w:tcPr>
            <w:tcW w:w="980" w:type="pct"/>
            <w:shd w:val="clear" w:color="auto" w:fill="auto"/>
          </w:tcPr>
          <w:p w:rsidR="004B4534" w:rsidRPr="007A2258" w:rsidRDefault="004B4534" w:rsidP="00200887">
            <w:pPr>
              <w:widowControl w:val="0"/>
              <w:spacing w:before="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lang w:val="en-AU"/>
              </w:rPr>
              <w:t>90-90-90</w:t>
            </w:r>
          </w:p>
        </w:tc>
        <w:tc>
          <w:tcPr>
            <w:tcW w:w="843" w:type="pct"/>
            <w:shd w:val="clear" w:color="auto" w:fill="auto"/>
          </w:tcPr>
          <w:p w:rsidR="004B4534" w:rsidRPr="007A2258" w:rsidRDefault="00B8497F" w:rsidP="00200887">
            <w:pPr>
              <w:widowControl w:val="0"/>
              <w:spacing w:before="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90%/90%</w:t>
            </w:r>
          </w:p>
        </w:tc>
        <w:tc>
          <w:tcPr>
            <w:tcW w:w="618" w:type="pct"/>
            <w:shd w:val="clear" w:color="auto" w:fill="auto"/>
          </w:tcPr>
          <w:p w:rsidR="004B4534" w:rsidRPr="007A2258" w:rsidRDefault="009A363C" w:rsidP="00200887">
            <w:pPr>
              <w:widowControl w:val="0"/>
              <w:spacing w:before="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10660</w:t>
            </w:r>
          </w:p>
        </w:tc>
        <w:tc>
          <w:tcPr>
            <w:tcW w:w="888" w:type="pct"/>
            <w:shd w:val="clear" w:color="auto" w:fill="auto"/>
          </w:tcPr>
          <w:p w:rsidR="004B4534" w:rsidRPr="007A2258" w:rsidRDefault="009A363C" w:rsidP="00200887">
            <w:pPr>
              <w:widowControl w:val="0"/>
              <w:spacing w:before="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5770</w:t>
            </w:r>
          </w:p>
        </w:tc>
        <w:tc>
          <w:tcPr>
            <w:tcW w:w="888" w:type="pct"/>
            <w:shd w:val="clear" w:color="auto" w:fill="auto"/>
          </w:tcPr>
          <w:p w:rsidR="004B4534" w:rsidRPr="007A2258" w:rsidRDefault="00AC242C" w:rsidP="00200887">
            <w:pPr>
              <w:widowControl w:val="0"/>
              <w:spacing w:before="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rPr>
              <w:t>$</w:t>
            </w:r>
            <w:r w:rsidR="009A363C" w:rsidRPr="007A2258">
              <w:rPr>
                <w:rFonts w:ascii="Arial Narrow" w:eastAsia="Times New Roman" w:hAnsi="Arial Narrow" w:cs="Arial"/>
                <w:snapToGrid w:val="0"/>
                <w:sz w:val="20"/>
                <w:szCs w:val="20"/>
              </w:rPr>
              <w:t>4</w:t>
            </w:r>
            <w:r w:rsidRPr="007A2258">
              <w:rPr>
                <w:rFonts w:ascii="Arial Narrow" w:eastAsia="Times New Roman" w:hAnsi="Arial Narrow" w:cs="Arial"/>
                <w:snapToGrid w:val="0"/>
                <w:sz w:val="20"/>
                <w:szCs w:val="20"/>
              </w:rPr>
              <w:t>,</w:t>
            </w:r>
            <w:r w:rsidR="009A363C" w:rsidRPr="007A2258">
              <w:rPr>
                <w:rFonts w:ascii="Arial Narrow" w:eastAsia="Times New Roman" w:hAnsi="Arial Narrow" w:cs="Arial"/>
                <w:snapToGrid w:val="0"/>
                <w:sz w:val="20"/>
                <w:szCs w:val="20"/>
              </w:rPr>
              <w:t>451</w:t>
            </w:r>
            <w:r w:rsidRPr="007A2258">
              <w:rPr>
                <w:rFonts w:ascii="Arial Narrow" w:eastAsia="Times New Roman" w:hAnsi="Arial Narrow" w:cs="Arial"/>
                <w:snapToGrid w:val="0"/>
                <w:sz w:val="20"/>
                <w:szCs w:val="20"/>
              </w:rPr>
              <w:t>,</w:t>
            </w:r>
            <w:r w:rsidR="009A363C" w:rsidRPr="007A2258">
              <w:rPr>
                <w:rFonts w:ascii="Arial Narrow" w:eastAsia="Times New Roman" w:hAnsi="Arial Narrow" w:cs="Arial"/>
                <w:snapToGrid w:val="0"/>
                <w:sz w:val="20"/>
                <w:szCs w:val="20"/>
              </w:rPr>
              <w:t>195</w:t>
            </w:r>
            <w:r w:rsidRPr="007A2258">
              <w:rPr>
                <w:rFonts w:ascii="Arial Narrow" w:eastAsia="Times New Roman" w:hAnsi="Arial Narrow" w:cs="Arial"/>
                <w:snapToGrid w:val="0"/>
                <w:sz w:val="20"/>
                <w:szCs w:val="20"/>
              </w:rPr>
              <w:t>,</w:t>
            </w:r>
            <w:r w:rsidR="009A363C" w:rsidRPr="007A2258">
              <w:rPr>
                <w:rFonts w:ascii="Arial Narrow" w:eastAsia="Times New Roman" w:hAnsi="Arial Narrow" w:cs="Arial"/>
                <w:snapToGrid w:val="0"/>
                <w:sz w:val="20"/>
                <w:szCs w:val="20"/>
              </w:rPr>
              <w:t>750</w:t>
            </w:r>
          </w:p>
        </w:tc>
        <w:tc>
          <w:tcPr>
            <w:tcW w:w="784" w:type="pct"/>
            <w:shd w:val="clear" w:color="auto" w:fill="auto"/>
          </w:tcPr>
          <w:p w:rsidR="004B4534" w:rsidRPr="007A2258" w:rsidRDefault="00AC242C" w:rsidP="00200887">
            <w:pPr>
              <w:widowControl w:val="0"/>
              <w:spacing w:before="0"/>
              <w:rPr>
                <w:rFonts w:ascii="Arial Narrow" w:eastAsia="Times New Roman" w:hAnsi="Arial Narrow" w:cs="Arial"/>
                <w:snapToGrid w:val="0"/>
                <w:sz w:val="20"/>
                <w:szCs w:val="20"/>
              </w:rPr>
            </w:pPr>
            <w:r w:rsidRPr="007A2258">
              <w:rPr>
                <w:rFonts w:ascii="Arial Narrow" w:eastAsia="Times New Roman" w:hAnsi="Arial Narrow" w:cs="Arial"/>
                <w:snapToGrid w:val="0"/>
                <w:sz w:val="20"/>
                <w:szCs w:val="20"/>
                <w:lang w:val="en-AU"/>
              </w:rPr>
              <w:t>$759,120</w:t>
            </w:r>
          </w:p>
        </w:tc>
      </w:tr>
    </w:tbl>
    <w:p w:rsidR="00DB3308" w:rsidRPr="007A2258" w:rsidRDefault="00DB3308" w:rsidP="00712DBD">
      <w:pPr>
        <w:pStyle w:val="ListParagraph"/>
        <w:spacing w:before="0" w:after="0"/>
        <w:ind w:left="0"/>
        <w:jc w:val="both"/>
        <w:rPr>
          <w:rFonts w:ascii="Arial Narrow" w:hAnsi="Arial Narrow"/>
          <w:sz w:val="20"/>
          <w:szCs w:val="20"/>
        </w:rPr>
      </w:pPr>
      <w:r w:rsidRPr="007A2258">
        <w:rPr>
          <w:rFonts w:ascii="Arial Narrow" w:hAnsi="Arial Narrow"/>
          <w:sz w:val="20"/>
          <w:szCs w:val="20"/>
        </w:rPr>
        <w:t>a Based on high risk = 28.2%, medium risk = 4% and low risk = 67.8% of all gay men.</w:t>
      </w:r>
    </w:p>
    <w:p w:rsidR="00DB3308" w:rsidRPr="007A2258" w:rsidRDefault="00746B1D" w:rsidP="00712DBD">
      <w:pPr>
        <w:pStyle w:val="ListParagraph"/>
        <w:spacing w:before="0" w:after="0"/>
        <w:ind w:left="0"/>
        <w:jc w:val="both"/>
        <w:rPr>
          <w:rFonts w:ascii="Arial Narrow" w:hAnsi="Arial Narrow"/>
          <w:sz w:val="20"/>
          <w:szCs w:val="20"/>
        </w:rPr>
      </w:pPr>
      <w:r w:rsidRPr="007A2258">
        <w:rPr>
          <w:rFonts w:ascii="Arial Narrow" w:hAnsi="Arial Narrow"/>
          <w:sz w:val="20"/>
          <w:szCs w:val="20"/>
        </w:rPr>
        <w:t>b</w:t>
      </w:r>
      <w:r w:rsidR="00DB3308" w:rsidRPr="007A2258">
        <w:rPr>
          <w:rFonts w:ascii="Arial Narrow" w:hAnsi="Arial Narrow"/>
          <w:sz w:val="20"/>
          <w:szCs w:val="20"/>
        </w:rPr>
        <w:t xml:space="preserve"> Based on </w:t>
      </w:r>
      <w:r w:rsidR="00ED1EAC" w:rsidRPr="007A2258">
        <w:rPr>
          <w:rFonts w:ascii="Arial Narrow" w:hAnsi="Arial Narrow"/>
          <w:sz w:val="20"/>
          <w:szCs w:val="20"/>
        </w:rPr>
        <w:t>high risk = 88% (28.2/(28.2+4)) and medium risk = 12% (4/(28.2+4) of medium-high risk gay men.</w:t>
      </w:r>
    </w:p>
    <w:p w:rsidR="00F82A98" w:rsidRPr="007A2258" w:rsidRDefault="00200887" w:rsidP="00200887">
      <w:pPr>
        <w:pStyle w:val="ListParagraph"/>
        <w:ind w:left="0"/>
        <w:jc w:val="both"/>
        <w:rPr>
          <w:rFonts w:ascii="Arial Narrow" w:hAnsi="Arial Narrow"/>
          <w:sz w:val="20"/>
          <w:szCs w:val="20"/>
        </w:rPr>
      </w:pPr>
      <w:r w:rsidRPr="007A2258">
        <w:rPr>
          <w:rFonts w:ascii="Arial Narrow" w:hAnsi="Arial Narrow"/>
          <w:sz w:val="20"/>
          <w:szCs w:val="20"/>
        </w:rPr>
        <w:t>Source: Kirby Institute and the Centre for Social Research in Health</w:t>
      </w:r>
      <w:r w:rsidR="009A363C" w:rsidRPr="007A2258">
        <w:rPr>
          <w:rFonts w:ascii="Arial Narrow" w:hAnsi="Arial Narrow"/>
          <w:sz w:val="20"/>
          <w:szCs w:val="20"/>
        </w:rPr>
        <w:t xml:space="preserve"> (February 2017)</w:t>
      </w:r>
      <w:r w:rsidRPr="007A2258">
        <w:rPr>
          <w:rFonts w:ascii="Arial Narrow" w:hAnsi="Arial Narrow"/>
          <w:sz w:val="20"/>
          <w:szCs w:val="20"/>
        </w:rPr>
        <w:t>. Discussion paper: Estimates of the number of people eligible for PrEP in Australia, and related cost-effectiveness</w:t>
      </w:r>
      <w:r w:rsidR="009A363C" w:rsidRPr="007A2258">
        <w:rPr>
          <w:rFonts w:ascii="Arial Narrow" w:hAnsi="Arial Narrow"/>
          <w:sz w:val="20"/>
          <w:szCs w:val="20"/>
        </w:rPr>
        <w:t>. Appendix, Table 7.</w:t>
      </w:r>
      <w:r w:rsidRPr="007A2258">
        <w:rPr>
          <w:rFonts w:ascii="Arial Narrow" w:hAnsi="Arial Narrow"/>
          <w:sz w:val="20"/>
          <w:szCs w:val="20"/>
        </w:rPr>
        <w:t xml:space="preserve"> </w:t>
      </w:r>
    </w:p>
    <w:p w:rsidR="009A363C" w:rsidRPr="007A2258" w:rsidRDefault="009A363C" w:rsidP="009A363C">
      <w:pPr>
        <w:keepNext/>
        <w:jc w:val="center"/>
        <w:rPr>
          <w:b/>
          <w:szCs w:val="24"/>
          <w:u w:val="single"/>
        </w:rPr>
      </w:pPr>
      <w:r w:rsidRPr="007A2258">
        <w:rPr>
          <w:b/>
          <w:szCs w:val="24"/>
          <w:u w:val="single"/>
        </w:rPr>
        <w:t>Committee-In-Confidence information</w:t>
      </w:r>
    </w:p>
    <w:p w:rsidR="009A363C" w:rsidRPr="00FE4AED" w:rsidRDefault="00FE4AED" w:rsidP="00FE4AED">
      <w:pPr>
        <w:ind w:left="720" w:hanging="720"/>
        <w:jc w:val="both"/>
        <w:rPr>
          <w:highlight w:val="black"/>
        </w:rPr>
      </w:pPr>
      <w:r>
        <w:rPr>
          <w:noProof/>
          <w:color w:val="000000"/>
          <w:highlight w:val="black"/>
        </w:rPr>
        <w:t>'''''''''''''' ''''''''' '''''''''''''' '''''''''''''''' '''''' ''''''''''''''''''''' '''''''''''''' '''''''''''''' '''''' ''''''' '''''''''''''''''''' ''''''''''''' '''' ''''''''' ''''''''''' '''''''' ''''''''''''''' '''''''''''' '''''' ''''''''''''''''''' '''' '''''''''' ''''''</w:t>
      </w:r>
    </w:p>
    <w:p w:rsidR="009A363C" w:rsidRPr="00FE4AED" w:rsidRDefault="00FE4AED" w:rsidP="00AC242C">
      <w:pPr>
        <w:pStyle w:val="Caption"/>
        <w:rPr>
          <w:highlight w:val="black"/>
        </w:rPr>
      </w:pPr>
      <w:r>
        <w:rPr>
          <w:noProof/>
          <w:color w:val="000000"/>
          <w:highlight w:val="black"/>
        </w:rPr>
        <w:t xml:space="preserve">'''''''''' '''' ''' '''''''''''''' '''' '''''''''''' ''''''''''''''''''' '''''''''''' </w:t>
      </w:r>
    </w:p>
    <w:tbl>
      <w:tblPr>
        <w:tblStyle w:val="TableGrid"/>
        <w:tblW w:w="5000" w:type="pct"/>
        <w:tblLook w:val="04A0" w:firstRow="1" w:lastRow="0" w:firstColumn="1" w:lastColumn="0" w:noHBand="0" w:noVBand="1"/>
      </w:tblPr>
      <w:tblGrid>
        <w:gridCol w:w="1811"/>
        <w:gridCol w:w="1558"/>
        <w:gridCol w:w="1142"/>
        <w:gridCol w:w="1641"/>
        <w:gridCol w:w="1641"/>
        <w:gridCol w:w="1449"/>
      </w:tblGrid>
      <w:tr w:rsidR="009A363C" w:rsidRPr="001F21B8" w:rsidTr="009A363C">
        <w:trPr>
          <w:cnfStyle w:val="100000000000" w:firstRow="1" w:lastRow="0" w:firstColumn="0" w:lastColumn="0" w:oddVBand="0" w:evenVBand="0" w:oddHBand="0" w:evenHBand="0" w:firstRowFirstColumn="0" w:firstRowLastColumn="0" w:lastRowFirstColumn="0" w:lastRowLastColumn="0"/>
        </w:trPr>
        <w:tc>
          <w:tcPr>
            <w:tcW w:w="979"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lang w:val="en-AU"/>
              </w:rPr>
            </w:pPr>
            <w:r>
              <w:rPr>
                <w:rFonts w:ascii="Arial Narrow" w:eastAsia="Times New Roman" w:hAnsi="Arial Narrow" w:cs="Arial"/>
                <w:noProof/>
                <w:snapToGrid w:val="0"/>
                <w:color w:val="000000"/>
                <w:sz w:val="20"/>
                <w:szCs w:val="20"/>
                <w:highlight w:val="black"/>
                <w:lang w:val="en-AU"/>
              </w:rPr>
              <w:t>'''''''''''''''''''' ''''''''''''''' '''' '''''''''' '''''''''''''''''' '''''''' ''''''' '''''''''</w:t>
            </w:r>
          </w:p>
        </w:tc>
        <w:tc>
          <w:tcPr>
            <w:tcW w:w="843"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lang w:val="en-AU"/>
              </w:rPr>
            </w:pPr>
            <w:r>
              <w:rPr>
                <w:rFonts w:ascii="Arial Narrow" w:eastAsia="Times New Roman" w:hAnsi="Arial Narrow" w:cs="Arial"/>
                <w:noProof/>
                <w:snapToGrid w:val="0"/>
                <w:color w:val="000000"/>
                <w:sz w:val="20"/>
                <w:szCs w:val="20"/>
                <w:highlight w:val="black"/>
                <w:lang w:val="en-AU"/>
              </w:rPr>
              <w:t>'''''''''''''''' ''''''''''''</w:t>
            </w:r>
          </w:p>
          <w:p w:rsidR="009A363C" w:rsidRPr="00FE4AED" w:rsidRDefault="00FE4AED" w:rsidP="009A363C">
            <w:pPr>
              <w:widowControl w:val="0"/>
              <w:spacing w:before="0"/>
              <w:rPr>
                <w:rFonts w:ascii="Arial Narrow" w:eastAsia="Times New Roman" w:hAnsi="Arial Narrow" w:cs="Arial"/>
                <w:snapToGrid w:val="0"/>
                <w:sz w:val="20"/>
                <w:szCs w:val="20"/>
                <w:highlight w:val="black"/>
                <w:lang w:val="en-AU"/>
              </w:rPr>
            </w:pPr>
            <w:r>
              <w:rPr>
                <w:rFonts w:ascii="Arial Narrow" w:eastAsia="Times New Roman" w:hAnsi="Arial Narrow" w:cs="Arial"/>
                <w:noProof/>
                <w:snapToGrid w:val="0"/>
                <w:color w:val="000000"/>
                <w:sz w:val="20"/>
                <w:szCs w:val="20"/>
                <w:highlight w:val="black"/>
                <w:lang w:val="en-AU"/>
              </w:rPr>
              <w:t>''''''''''''''''''''''''''''' ''''''''''''</w:t>
            </w:r>
          </w:p>
        </w:tc>
        <w:tc>
          <w:tcPr>
            <w:tcW w:w="618"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lang w:val="en-AU"/>
              </w:rPr>
            </w:pPr>
            <w:r>
              <w:rPr>
                <w:rFonts w:ascii="Arial Narrow" w:eastAsia="Times New Roman" w:hAnsi="Arial Narrow" w:cs="Arial"/>
                <w:noProof/>
                <w:snapToGrid w:val="0"/>
                <w:color w:val="000000"/>
                <w:sz w:val="20"/>
                <w:szCs w:val="20"/>
                <w:highlight w:val="black"/>
                <w:lang w:val="en-AU"/>
              </w:rPr>
              <w:t>'''''''''''''''''''' '''''''''''''''</w:t>
            </w:r>
          </w:p>
        </w:tc>
        <w:tc>
          <w:tcPr>
            <w:tcW w:w="888"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lang w:val="en-AU"/>
              </w:rPr>
            </w:pPr>
            <w:r>
              <w:rPr>
                <w:rFonts w:ascii="Arial Narrow" w:eastAsia="Times New Roman" w:hAnsi="Arial Narrow" w:cs="Arial"/>
                <w:noProof/>
                <w:snapToGrid w:val="0"/>
                <w:color w:val="000000"/>
                <w:sz w:val="20"/>
                <w:szCs w:val="20"/>
                <w:highlight w:val="black"/>
                <w:lang w:val="en-AU"/>
              </w:rPr>
              <w:t>''''''''''''''' ''''''''''''''' '''''''''''''''''''''''''</w:t>
            </w:r>
          </w:p>
        </w:tc>
        <w:tc>
          <w:tcPr>
            <w:tcW w:w="888"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lang w:val="en-AU"/>
              </w:rPr>
            </w:pPr>
            <w:r>
              <w:rPr>
                <w:rFonts w:ascii="Arial Narrow" w:eastAsia="Times New Roman" w:hAnsi="Arial Narrow" w:cs="Arial"/>
                <w:noProof/>
                <w:snapToGrid w:val="0"/>
                <w:color w:val="000000"/>
                <w:sz w:val="20"/>
                <w:szCs w:val="20"/>
                <w:highlight w:val="black"/>
                <w:lang w:val="en-AU"/>
              </w:rPr>
              <w:t>'''''''''''''''''''''''''' '''''''''''' ''''''''''''''''''''''''''''</w:t>
            </w:r>
          </w:p>
        </w:tc>
        <w:tc>
          <w:tcPr>
            <w:tcW w:w="784"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lang w:val="en-AU"/>
              </w:rPr>
            </w:pPr>
            <w:r>
              <w:rPr>
                <w:rFonts w:ascii="Arial Narrow" w:eastAsia="Times New Roman" w:hAnsi="Arial Narrow" w:cs="Arial"/>
                <w:noProof/>
                <w:snapToGrid w:val="0"/>
                <w:color w:val="000000"/>
                <w:sz w:val="20"/>
                <w:szCs w:val="20"/>
                <w:highlight w:val="black"/>
                <w:lang w:val="en-AU"/>
              </w:rPr>
              <w:t>'''''''''' ''''''' '''''''''''' '''''''''''''</w:t>
            </w:r>
          </w:p>
        </w:tc>
      </w:tr>
      <w:tr w:rsidR="009A363C" w:rsidRPr="001F21B8" w:rsidTr="009A363C">
        <w:tc>
          <w:tcPr>
            <w:tcW w:w="979"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lang w:val="en-AU"/>
              </w:rPr>
              <w:t>'''''''''''''''</w:t>
            </w:r>
          </w:p>
        </w:tc>
        <w:tc>
          <w:tcPr>
            <w:tcW w:w="843"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618"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888"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888"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784"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lang w:val="en-AU"/>
              </w:rPr>
              <w:t>''''''''''''''''''''''''</w:t>
            </w:r>
          </w:p>
        </w:tc>
      </w:tr>
      <w:tr w:rsidR="009A363C" w:rsidRPr="001F21B8" w:rsidTr="009A363C">
        <w:tc>
          <w:tcPr>
            <w:tcW w:w="979"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lang w:val="en-AU"/>
              </w:rPr>
            </w:pPr>
            <w:r>
              <w:rPr>
                <w:rFonts w:ascii="Arial Narrow" w:eastAsia="Times New Roman" w:hAnsi="Arial Narrow" w:cs="Arial"/>
                <w:noProof/>
                <w:snapToGrid w:val="0"/>
                <w:color w:val="000000"/>
                <w:sz w:val="20"/>
                <w:szCs w:val="20"/>
                <w:highlight w:val="black"/>
                <w:lang w:val="en-AU"/>
              </w:rPr>
              <w:t>''''''''''''''</w:t>
            </w:r>
          </w:p>
        </w:tc>
        <w:tc>
          <w:tcPr>
            <w:tcW w:w="843"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lang w:val="en-AU"/>
              </w:rPr>
            </w:pPr>
            <w:r>
              <w:rPr>
                <w:rFonts w:ascii="Arial Narrow" w:eastAsia="Times New Roman" w:hAnsi="Arial Narrow" w:cs="Arial"/>
                <w:noProof/>
                <w:snapToGrid w:val="0"/>
                <w:color w:val="000000"/>
                <w:sz w:val="20"/>
                <w:szCs w:val="20"/>
                <w:highlight w:val="black"/>
                <w:lang w:val="en-AU"/>
              </w:rPr>
              <w:t>'''''''''''''''''''''''</w:t>
            </w:r>
          </w:p>
        </w:tc>
        <w:tc>
          <w:tcPr>
            <w:tcW w:w="618"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lang w:val="en-AU"/>
              </w:rPr>
            </w:pPr>
            <w:r>
              <w:rPr>
                <w:rFonts w:ascii="Arial Narrow" w:eastAsia="Times New Roman" w:hAnsi="Arial Narrow" w:cs="Arial"/>
                <w:noProof/>
                <w:snapToGrid w:val="0"/>
                <w:color w:val="000000"/>
                <w:sz w:val="20"/>
                <w:szCs w:val="20"/>
                <w:highlight w:val="black"/>
                <w:lang w:val="en-AU"/>
              </w:rPr>
              <w:t>'''''''''''''</w:t>
            </w:r>
          </w:p>
        </w:tc>
        <w:tc>
          <w:tcPr>
            <w:tcW w:w="888"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lang w:val="en-AU"/>
              </w:rPr>
            </w:pPr>
            <w:r>
              <w:rPr>
                <w:rFonts w:ascii="Arial Narrow" w:eastAsia="Times New Roman" w:hAnsi="Arial Narrow" w:cs="Arial"/>
                <w:noProof/>
                <w:snapToGrid w:val="0"/>
                <w:color w:val="000000"/>
                <w:sz w:val="20"/>
                <w:szCs w:val="20"/>
                <w:highlight w:val="black"/>
                <w:lang w:val="en-AU"/>
              </w:rPr>
              <w:t>''''''''''''</w:t>
            </w:r>
          </w:p>
        </w:tc>
        <w:tc>
          <w:tcPr>
            <w:tcW w:w="888"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lang w:val="en-AU"/>
              </w:rPr>
            </w:pPr>
            <w:r>
              <w:rPr>
                <w:rFonts w:ascii="Arial Narrow" w:eastAsia="Times New Roman" w:hAnsi="Arial Narrow" w:cs="Arial"/>
                <w:noProof/>
                <w:snapToGrid w:val="0"/>
                <w:color w:val="000000"/>
                <w:sz w:val="20"/>
                <w:szCs w:val="20"/>
                <w:highlight w:val="black"/>
                <w:lang w:val="en-AU"/>
              </w:rPr>
              <w:t>''''''''''''''''''''''''''''''''</w:t>
            </w:r>
          </w:p>
        </w:tc>
        <w:tc>
          <w:tcPr>
            <w:tcW w:w="784"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lang w:val="en-AU"/>
              </w:rPr>
            </w:pPr>
            <w:r>
              <w:rPr>
                <w:rFonts w:ascii="Arial Narrow" w:eastAsia="Times New Roman" w:hAnsi="Arial Narrow" w:cs="Arial"/>
                <w:noProof/>
                <w:snapToGrid w:val="0"/>
                <w:color w:val="000000"/>
                <w:sz w:val="20"/>
                <w:szCs w:val="20"/>
                <w:highlight w:val="black"/>
                <w:lang w:val="en-AU"/>
              </w:rPr>
              <w:t>''''''''''''''''''''</w:t>
            </w:r>
          </w:p>
        </w:tc>
      </w:tr>
      <w:tr w:rsidR="009A363C" w:rsidRPr="001F21B8" w:rsidTr="009A363C">
        <w:tc>
          <w:tcPr>
            <w:tcW w:w="979"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843"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618"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888"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888"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784" w:type="pct"/>
            <w:shd w:val="clear" w:color="auto" w:fill="auto"/>
          </w:tcPr>
          <w:p w:rsidR="009A363C" w:rsidRPr="00FE4AED" w:rsidDel="00C60366" w:rsidRDefault="00FE4AED" w:rsidP="009A363C">
            <w:pPr>
              <w:widowControl w:val="0"/>
              <w:spacing w:before="0"/>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r>
      <w:tr w:rsidR="009A363C" w:rsidRPr="001F21B8" w:rsidTr="009A363C">
        <w:tc>
          <w:tcPr>
            <w:tcW w:w="979"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lang w:val="en-AU"/>
              </w:rPr>
              <w:t>'''''''''''''''''</w:t>
            </w:r>
          </w:p>
        </w:tc>
        <w:tc>
          <w:tcPr>
            <w:tcW w:w="843"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618"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888"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888"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784"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lang w:val="en-AU"/>
              </w:rPr>
              <w:t>''''''''''''''''''''''''</w:t>
            </w:r>
          </w:p>
        </w:tc>
      </w:tr>
      <w:tr w:rsidR="009A363C" w:rsidRPr="001F21B8" w:rsidTr="009A363C">
        <w:tc>
          <w:tcPr>
            <w:tcW w:w="979"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lang w:val="en-AU"/>
              </w:rPr>
              <w:t>''''''''''''''''''</w:t>
            </w:r>
          </w:p>
        </w:tc>
        <w:tc>
          <w:tcPr>
            <w:tcW w:w="843"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618"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888"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888"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784"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lang w:val="en-AU"/>
              </w:rPr>
              <w:t>''''''''''''''''''''''</w:t>
            </w:r>
          </w:p>
        </w:tc>
      </w:tr>
      <w:tr w:rsidR="009A363C" w:rsidRPr="001F21B8" w:rsidTr="009A363C">
        <w:tc>
          <w:tcPr>
            <w:tcW w:w="979"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lang w:val="en-AU"/>
              </w:rPr>
              <w:t>'''''''''''''''''''''''</w:t>
            </w:r>
          </w:p>
        </w:tc>
        <w:tc>
          <w:tcPr>
            <w:tcW w:w="843"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618"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888"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888"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784"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lang w:val="en-AU"/>
              </w:rPr>
              <w:t>'''''''''''''''''''''</w:t>
            </w:r>
          </w:p>
        </w:tc>
      </w:tr>
      <w:tr w:rsidR="009A363C" w:rsidRPr="001F21B8" w:rsidTr="009A363C">
        <w:tc>
          <w:tcPr>
            <w:tcW w:w="979"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lang w:val="en-AU"/>
              </w:rPr>
              <w:t>'''''''''''''''''''''''</w:t>
            </w:r>
          </w:p>
        </w:tc>
        <w:tc>
          <w:tcPr>
            <w:tcW w:w="843"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618"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888"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888"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784"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lang w:val="en-AU"/>
              </w:rPr>
              <w:t>''''''''''''''''''''''''</w:t>
            </w:r>
          </w:p>
        </w:tc>
      </w:tr>
      <w:tr w:rsidR="009A363C" w:rsidRPr="001F21B8" w:rsidTr="009A363C">
        <w:tc>
          <w:tcPr>
            <w:tcW w:w="979"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lang w:val="en-AU"/>
              </w:rPr>
              <w:t>'''''''''''''''''''''</w:t>
            </w:r>
          </w:p>
        </w:tc>
        <w:tc>
          <w:tcPr>
            <w:tcW w:w="843"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618"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888"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888"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rPr>
              <w:t>'''''''''''''''''''''''''''''''''''</w:t>
            </w:r>
          </w:p>
        </w:tc>
        <w:tc>
          <w:tcPr>
            <w:tcW w:w="784" w:type="pct"/>
            <w:shd w:val="clear" w:color="auto" w:fill="auto"/>
          </w:tcPr>
          <w:p w:rsidR="009A363C" w:rsidRPr="00FE4AED" w:rsidRDefault="00FE4AED" w:rsidP="009A363C">
            <w:pPr>
              <w:widowControl w:val="0"/>
              <w:spacing w:before="0"/>
              <w:rPr>
                <w:rFonts w:ascii="Arial Narrow" w:eastAsia="Times New Roman" w:hAnsi="Arial Narrow" w:cs="Arial"/>
                <w:snapToGrid w:val="0"/>
                <w:sz w:val="20"/>
                <w:szCs w:val="20"/>
                <w:highlight w:val="black"/>
              </w:rPr>
            </w:pPr>
            <w:r>
              <w:rPr>
                <w:rFonts w:ascii="Arial Narrow" w:eastAsia="Times New Roman" w:hAnsi="Arial Narrow" w:cs="Arial"/>
                <w:noProof/>
                <w:snapToGrid w:val="0"/>
                <w:color w:val="000000"/>
                <w:sz w:val="20"/>
                <w:szCs w:val="20"/>
                <w:highlight w:val="black"/>
                <w:lang w:val="en-AU"/>
              </w:rPr>
              <w:t>''''''''''''''''''''''</w:t>
            </w:r>
          </w:p>
        </w:tc>
      </w:tr>
    </w:tbl>
    <w:p w:rsidR="009A363C" w:rsidRPr="00FE4AED" w:rsidRDefault="00FE4AED" w:rsidP="00AC242C">
      <w:pPr>
        <w:spacing w:before="0" w:after="0"/>
        <w:jc w:val="both"/>
        <w:rPr>
          <w:rFonts w:ascii="Arial Narrow" w:hAnsi="Arial Narrow"/>
          <w:sz w:val="20"/>
          <w:szCs w:val="20"/>
          <w:highlight w:val="black"/>
        </w:rPr>
      </w:pPr>
      <w:r>
        <w:rPr>
          <w:rFonts w:ascii="Arial Narrow" w:hAnsi="Arial Narrow"/>
          <w:noProof/>
          <w:color w:val="000000"/>
          <w:sz w:val="20"/>
          <w:szCs w:val="20"/>
          <w:highlight w:val="black"/>
        </w:rPr>
        <w:t>''' '''''''''''''' ''''''' ''''''''''' '''''''' '''' ''''''''''''''''' ''''''''''''''''' '''''''' '''' '''''''' ''''''''' ''''''''' '''''''' '''' '''''''''''''''' '''' '''''' '''''''''' '''''''''''''</w:t>
      </w:r>
    </w:p>
    <w:p w:rsidR="009A363C" w:rsidRPr="00FE4AED" w:rsidRDefault="00FE4AED" w:rsidP="00AC242C">
      <w:pPr>
        <w:spacing w:before="0" w:after="0"/>
        <w:jc w:val="both"/>
        <w:rPr>
          <w:rFonts w:ascii="Arial Narrow" w:hAnsi="Arial Narrow"/>
          <w:sz w:val="20"/>
          <w:szCs w:val="20"/>
          <w:highlight w:val="black"/>
        </w:rPr>
      </w:pPr>
      <w:r>
        <w:rPr>
          <w:rFonts w:ascii="Arial Narrow" w:hAnsi="Arial Narrow"/>
          <w:noProof/>
          <w:color w:val="000000"/>
          <w:sz w:val="20"/>
          <w:szCs w:val="20"/>
          <w:highlight w:val="black"/>
        </w:rPr>
        <w:t>''' ''''''''''''''' '''''' ''''''''' '''''''' '''' ''''''''''' ''''''''''''''''''''''''''''''''''''''' ''''''''' '''''''''''''''''''' ''''''''' '''' '''''''''' '''''''''''''''''''''''''''' '''' '''''''''''''''''''''''''''''''''' '''''''' ''''''''' '''''''''''''</w:t>
      </w:r>
    </w:p>
    <w:p w:rsidR="009A363C" w:rsidRPr="00FE4AED" w:rsidRDefault="00FE4AED" w:rsidP="00AC242C">
      <w:pPr>
        <w:jc w:val="both"/>
        <w:rPr>
          <w:rFonts w:ascii="Arial Narrow" w:hAnsi="Arial Narrow"/>
          <w:sz w:val="20"/>
          <w:szCs w:val="20"/>
          <w:highlight w:val="black"/>
        </w:rPr>
      </w:pPr>
      <w:r>
        <w:rPr>
          <w:rFonts w:ascii="Arial Narrow" w:hAnsi="Arial Narrow"/>
          <w:noProof/>
          <w:color w:val="000000"/>
          <w:sz w:val="20"/>
          <w:szCs w:val="20"/>
          <w:highlight w:val="black"/>
        </w:rPr>
        <w:t xml:space="preserve">''''''''''''''''' ''''''''''''' '''''''''''''''' ''''''''' '''''''' ''''''''''''''' ''''''' '''''''''''''' ''''''''''''''''''''''''' ''''' '''''''''''''''''' '''''''''''''''''''''''''''' '''''''''''''' ''''''''''''''''''''''''' ''''' ''''''''' ''''''''''''''''''' ''''' '''''''''''''''' ''''''''''''''' ''''''' '''''''''''' '''' '''''''''''''''''''''' ''''''''' '''''''''''''''' ''''''''''''''''''''''''''''''''''''''''''' '''''''''''''''''''''' '''''''''''''''''''' '''''''''''''''''''''' '''''' ''''''''''''' '''''''''''''''''''' </w:t>
      </w:r>
    </w:p>
    <w:p w:rsidR="00AC242C" w:rsidRPr="007A2258" w:rsidRDefault="00AC242C" w:rsidP="00AC242C">
      <w:pPr>
        <w:keepNext/>
        <w:jc w:val="center"/>
        <w:rPr>
          <w:b/>
          <w:szCs w:val="24"/>
          <w:u w:val="single"/>
        </w:rPr>
      </w:pPr>
      <w:r w:rsidRPr="007A2258">
        <w:rPr>
          <w:b/>
          <w:szCs w:val="24"/>
          <w:u w:val="single"/>
        </w:rPr>
        <w:t>End Committee-In-Confidence information</w:t>
      </w:r>
    </w:p>
    <w:p w:rsidR="00AC242C" w:rsidRPr="007A2258" w:rsidRDefault="00AC242C" w:rsidP="004620D4">
      <w:pPr>
        <w:jc w:val="both"/>
        <w:rPr>
          <w:rFonts w:ascii="Arial Narrow" w:hAnsi="Arial Narrow"/>
          <w:sz w:val="20"/>
          <w:szCs w:val="20"/>
        </w:rPr>
      </w:pPr>
    </w:p>
    <w:p w:rsidR="00277386" w:rsidRPr="007A2258" w:rsidRDefault="003B70D8" w:rsidP="007A2258">
      <w:pPr>
        <w:pStyle w:val="ListParagraph"/>
        <w:numPr>
          <w:ilvl w:val="1"/>
          <w:numId w:val="23"/>
        </w:numPr>
        <w:jc w:val="both"/>
      </w:pPr>
      <w:r w:rsidRPr="007A2258">
        <w:t xml:space="preserve">Uptake of 90% for the three risk categories was considered to be the theoretical maximum across the entire population. Uptake of 90%, 60% and 30% </w:t>
      </w:r>
      <w:r w:rsidR="004624B4" w:rsidRPr="007A2258">
        <w:t xml:space="preserve">across the three risk strata </w:t>
      </w:r>
      <w:r w:rsidRPr="007A2258">
        <w:t>was considered to reflect the maximum realistic coverage. Both of these scenarios include use in low risk individuals whereas the resubmission has proposed a PBS listing for use in individuals at a high or medium risk of infection</w:t>
      </w:r>
      <w:r w:rsidR="00EE3D20" w:rsidRPr="007A2258">
        <w:t xml:space="preserve"> only</w:t>
      </w:r>
      <w:r w:rsidRPr="007A2258">
        <w:t xml:space="preserve">. </w:t>
      </w:r>
    </w:p>
    <w:p w:rsidR="004F1369" w:rsidRDefault="003B70D8" w:rsidP="007A2258">
      <w:pPr>
        <w:pStyle w:val="ListParagraph"/>
        <w:numPr>
          <w:ilvl w:val="1"/>
          <w:numId w:val="23"/>
        </w:numPr>
        <w:jc w:val="both"/>
      </w:pPr>
      <w:r w:rsidRPr="007A2258">
        <w:t xml:space="preserve">The resubmission’s model assumed uptake of 60%. </w:t>
      </w:r>
      <w:r w:rsidR="00277386" w:rsidRPr="007A2258">
        <w:t>The ESC noted none of the scenarios presented for the Kirby model used an uptake rate similar to the one used in the resubmission. The evaluation suggest</w:t>
      </w:r>
      <w:r w:rsidR="00645329" w:rsidRPr="007A2258">
        <w:t>ed</w:t>
      </w:r>
      <w:r w:rsidR="00277386" w:rsidRPr="007A2258">
        <w:t xml:space="preserve"> </w:t>
      </w:r>
      <w:r w:rsidR="004624B4" w:rsidRPr="007A2258">
        <w:t xml:space="preserve">the </w:t>
      </w:r>
      <w:r w:rsidR="00277386" w:rsidRPr="007A2258">
        <w:t xml:space="preserve">Scenario 90-60-30 is the closest to the resubmission </w:t>
      </w:r>
      <w:r w:rsidR="00645329" w:rsidRPr="007A2258">
        <w:t>with an overall</w:t>
      </w:r>
      <w:r w:rsidR="00277386" w:rsidRPr="007A2258">
        <w:t xml:space="preserve"> 48.1% uptake rate</w:t>
      </w:r>
      <w:r w:rsidR="00645329" w:rsidRPr="007A2258">
        <w:t>. For this scenario the</w:t>
      </w:r>
      <w:r w:rsidR="00277386" w:rsidRPr="007A2258">
        <w:t xml:space="preserve"> ICER </w:t>
      </w:r>
      <w:r w:rsidR="00645329" w:rsidRPr="007A2258">
        <w:t>is</w:t>
      </w:r>
      <w:r w:rsidR="00277386" w:rsidRPr="007A2258">
        <w:t xml:space="preserve"> </w:t>
      </w:r>
      <w:r w:rsidR="008E58F7">
        <w:t>more than $200,000</w:t>
      </w:r>
      <w:r w:rsidR="00645329" w:rsidRPr="007A2258">
        <w:t xml:space="preserve"> per QALY gained</w:t>
      </w:r>
      <w:r w:rsidR="00EE3D20" w:rsidRPr="007A2258">
        <w:t>.</w:t>
      </w:r>
      <w:r w:rsidR="00645329" w:rsidRPr="007A2258">
        <w:t xml:space="preserve"> </w:t>
      </w:r>
      <w:r w:rsidR="00EE3D20" w:rsidRPr="007A2258">
        <w:t>H</w:t>
      </w:r>
      <w:r w:rsidR="00645329" w:rsidRPr="007A2258">
        <w:t>owever</w:t>
      </w:r>
      <w:r w:rsidR="00EA241B" w:rsidRPr="007A2258">
        <w:t>,</w:t>
      </w:r>
      <w:r w:rsidR="00645329" w:rsidRPr="007A2258">
        <w:t xml:space="preserve"> this includes use in low risk individuals for which PrEP use is less cost-effective. For the Scenario 60-0-0 (overall uptake</w:t>
      </w:r>
      <w:r w:rsidR="00EE3D20" w:rsidRPr="007A2258">
        <w:t xml:space="preserve"> 17%</w:t>
      </w:r>
      <w:r w:rsidR="00645329" w:rsidRPr="007A2258">
        <w:t>, high-med</w:t>
      </w:r>
      <w:r w:rsidR="00EE3D20" w:rsidRPr="007A2258">
        <w:t>ium</w:t>
      </w:r>
      <w:r w:rsidR="00645329" w:rsidRPr="007A2258">
        <w:t xml:space="preserve"> uptake </w:t>
      </w:r>
      <w:r w:rsidR="00EE3D20" w:rsidRPr="007A2258">
        <w:t>53%</w:t>
      </w:r>
      <w:r w:rsidR="00645329" w:rsidRPr="007A2258">
        <w:t xml:space="preserve">) the ICER is </w:t>
      </w:r>
      <w:r w:rsidR="00EA241B" w:rsidRPr="007A2258">
        <w:t>$</w:t>
      </w:r>
      <w:r w:rsidR="008E58F7">
        <w:t>105,000/QALY - $200,000/QALY</w:t>
      </w:r>
      <w:r w:rsidR="00EA241B" w:rsidRPr="007A2258">
        <w:t>.</w:t>
      </w:r>
      <w:r w:rsidR="00AC242C" w:rsidRPr="007A2258">
        <w:t xml:space="preserve"> </w:t>
      </w:r>
    </w:p>
    <w:p w:rsidR="001D7615" w:rsidRPr="007A2258" w:rsidRDefault="001D7615" w:rsidP="001D7615">
      <w:pPr>
        <w:pStyle w:val="ListParagraph"/>
        <w:numPr>
          <w:ilvl w:val="1"/>
          <w:numId w:val="23"/>
        </w:numPr>
        <w:jc w:val="both"/>
      </w:pPr>
      <w:r w:rsidRPr="007A2258">
        <w:t>The</w:t>
      </w:r>
      <w:r>
        <w:t xml:space="preserve"> PBAC noted that with the Kirby model the ICER increased as the uptake of PrEP increased, reflecting diminishing returns as the number of individuals using PrEP increased, particularly when uptake extended to medium and low risk individuals.</w:t>
      </w:r>
    </w:p>
    <w:p w:rsidR="002536DD" w:rsidRPr="007A2258" w:rsidRDefault="00726097" w:rsidP="007A2258">
      <w:pPr>
        <w:pStyle w:val="ListParagraph"/>
        <w:numPr>
          <w:ilvl w:val="1"/>
          <w:numId w:val="23"/>
        </w:numPr>
        <w:jc w:val="both"/>
      </w:pPr>
      <w:r w:rsidRPr="007A2258">
        <w:t>The ESC</w:t>
      </w:r>
      <w:r w:rsidR="00DC4769">
        <w:t xml:space="preserve"> and PBAC</w:t>
      </w:r>
      <w:r w:rsidRPr="007A2258">
        <w:t xml:space="preserve"> noted both models assumed high efficacy and adherence. The resubmission assumed 100% efficacy and 90% adherence</w:t>
      </w:r>
      <w:r w:rsidR="00BB2C8B" w:rsidRPr="007A2258">
        <w:t xml:space="preserve"> </w:t>
      </w:r>
      <w:r w:rsidR="00632E1D" w:rsidRPr="007A2258">
        <w:t>i.e.</w:t>
      </w:r>
      <w:r w:rsidR="00BB2C8B" w:rsidRPr="007A2258">
        <w:t xml:space="preserve"> 100% efficacy in 90% of individuals and 0% efficacy in the remaining 10%. It was not possible to test varying levels of adherence in the resubmission’s model. The Kirby model assumed 99% efficacy for 7 doses per week, 96% for 4 doses per week and 76% for 2 doses per week. The base case analysis assumed 90% adherence. The ESC noted a reduction in adherence lead</w:t>
      </w:r>
      <w:r w:rsidR="00E7645E" w:rsidRPr="007A2258">
        <w:t>s</w:t>
      </w:r>
      <w:r w:rsidR="00BB2C8B" w:rsidRPr="007A2258">
        <w:t xml:space="preserve"> to improved cost-effectiveness of PrEP as a result of the relatively high efficacy with only 2-4 doses per week. </w:t>
      </w:r>
    </w:p>
    <w:p w:rsidR="00E92FDB" w:rsidRPr="007A2258" w:rsidRDefault="002536DD" w:rsidP="007A2258">
      <w:pPr>
        <w:pStyle w:val="ListParagraph"/>
        <w:numPr>
          <w:ilvl w:val="1"/>
          <w:numId w:val="23"/>
        </w:numPr>
        <w:jc w:val="both"/>
      </w:pPr>
      <w:r w:rsidRPr="007A2258">
        <w:t xml:space="preserve">Both models assumed patients would be treated with PrEP for the model duration (14 years for the Kirby model and 20 years </w:t>
      </w:r>
      <w:r w:rsidR="00E933CF" w:rsidRPr="007A2258">
        <w:t xml:space="preserve">with 10% discontinuing each year </w:t>
      </w:r>
      <w:r w:rsidRPr="007A2258">
        <w:t>for the resubmission model</w:t>
      </w:r>
      <w:r w:rsidR="00DC4DEC" w:rsidRPr="007A2258">
        <w:t xml:space="preserve">). </w:t>
      </w:r>
      <w:r w:rsidR="00E92FDB" w:rsidRPr="007A2258">
        <w:t xml:space="preserve">The ESC </w:t>
      </w:r>
      <w:r w:rsidR="00DC4769">
        <w:t xml:space="preserve">and PBAC </w:t>
      </w:r>
      <w:r w:rsidR="00E92FDB" w:rsidRPr="007A2258">
        <w:t xml:space="preserve">noted </w:t>
      </w:r>
      <w:r w:rsidRPr="007A2258">
        <w:t xml:space="preserve">it is proposed that </w:t>
      </w:r>
      <w:r w:rsidR="00E92FDB" w:rsidRPr="007A2258">
        <w:t>patients are reassessed for eligibility</w:t>
      </w:r>
      <w:r w:rsidR="00DC4DEC" w:rsidRPr="007A2258">
        <w:t xml:space="preserve"> for PrEP</w:t>
      </w:r>
      <w:r w:rsidR="00E92FDB" w:rsidRPr="007A2258">
        <w:t xml:space="preserve"> every 3 months and considered it likely patients will cease PrEP (and possibly restart at a separate time) as their circumstances change</w:t>
      </w:r>
      <w:r w:rsidRPr="007A2258">
        <w:t xml:space="preserve">, however </w:t>
      </w:r>
      <w:r w:rsidR="00DC4DEC" w:rsidRPr="007A2258">
        <w:t xml:space="preserve">neither model assessed the impact of intermittent </w:t>
      </w:r>
      <w:r w:rsidR="00EE3D20" w:rsidRPr="007A2258">
        <w:t>PrEP</w:t>
      </w:r>
      <w:r w:rsidR="00E92FDB" w:rsidRPr="007A2258">
        <w:t>.</w:t>
      </w:r>
    </w:p>
    <w:p w:rsidR="004C3316" w:rsidRPr="007A2258" w:rsidRDefault="00DC4DEC" w:rsidP="00C04D13">
      <w:pPr>
        <w:pStyle w:val="ListParagraph"/>
        <w:numPr>
          <w:ilvl w:val="1"/>
          <w:numId w:val="23"/>
        </w:numPr>
        <w:jc w:val="both"/>
      </w:pPr>
      <w:r w:rsidRPr="007A2258">
        <w:t xml:space="preserve">The ESC </w:t>
      </w:r>
      <w:r w:rsidR="00DC4769">
        <w:t>and PB</w:t>
      </w:r>
      <w:r w:rsidR="00856E80">
        <w:t>A</w:t>
      </w:r>
      <w:r w:rsidR="00DC4769">
        <w:t xml:space="preserve">C </w:t>
      </w:r>
      <w:r w:rsidRPr="007A2258">
        <w:t xml:space="preserve">noted neither model </w:t>
      </w:r>
      <w:r w:rsidR="004C3316" w:rsidRPr="007A2258">
        <w:t>included the potential for changes in risk behaviour associated with condomless sex to increase the incidence of STIs. Th</w:t>
      </w:r>
      <w:r w:rsidR="00C04D13">
        <w:t>e ESC noted th</w:t>
      </w:r>
      <w:r w:rsidR="004C3316" w:rsidRPr="007A2258">
        <w:t>is would be anticipated to increase the costs of treatment associated with a PrEP + SOC regime, and to reduce the associated QALYs</w:t>
      </w:r>
      <w:r w:rsidR="00C04D13">
        <w:t>, but that t</w:t>
      </w:r>
      <w:r w:rsidR="004C3316" w:rsidRPr="007A2258">
        <w:t>he magnitude of the impact of TDF/FTC on STI incidence is currently unknown.</w:t>
      </w:r>
      <w:r w:rsidR="00DC4769">
        <w:t xml:space="preserve"> </w:t>
      </w:r>
      <w:r w:rsidR="00C04D13">
        <w:t xml:space="preserve">The PBAC noted the increase in the reported cases of STIs in the clinical studies </w:t>
      </w:r>
      <w:r w:rsidR="00235E44">
        <w:t>and</w:t>
      </w:r>
      <w:r w:rsidR="00C04D13">
        <w:t xml:space="preserve"> considered in clinical practice the requirement of a medical practitioner visit every 3 months to obtain a prescription for TDF/FTC is likely to increase monitoring for STIs and result in earlier diagnosis.</w:t>
      </w:r>
    </w:p>
    <w:p w:rsidR="00AC242C" w:rsidRDefault="00B562D5" w:rsidP="007A2258">
      <w:pPr>
        <w:pStyle w:val="ListParagraph"/>
        <w:numPr>
          <w:ilvl w:val="1"/>
          <w:numId w:val="23"/>
        </w:numPr>
        <w:jc w:val="both"/>
      </w:pPr>
      <w:r w:rsidRPr="007A2258">
        <w:t xml:space="preserve">The ESC noted that the Kirby model assessed the impact </w:t>
      </w:r>
      <w:r w:rsidR="00EE3D20" w:rsidRPr="007A2258">
        <w:t xml:space="preserve">of a reduction in condom use on the impact of HIV transmission. </w:t>
      </w:r>
      <w:r w:rsidR="00AC242C" w:rsidRPr="007A2258">
        <w:t>For Scenario 90-0-0 and a 50% decrease in use of condoms in men taking PrEP the base case ICER increased from $</w:t>
      </w:r>
      <w:r w:rsidR="008E58F7">
        <w:t>105,000/QALY</w:t>
      </w:r>
      <w:r w:rsidR="00005C68">
        <w:t xml:space="preserve"> - $200,000/QALY</w:t>
      </w:r>
      <w:r w:rsidR="00AC242C" w:rsidRPr="007A2258">
        <w:t xml:space="preserve"> to</w:t>
      </w:r>
      <w:r w:rsidR="00005C68">
        <w:t xml:space="preserve"> more than</w:t>
      </w:r>
      <w:r w:rsidR="00AC242C" w:rsidRPr="007A2258">
        <w:t xml:space="preserve"> $</w:t>
      </w:r>
      <w:r w:rsidR="00005C68">
        <w:t>200,000</w:t>
      </w:r>
      <w:r w:rsidR="00AC242C" w:rsidRPr="007A2258">
        <w:t xml:space="preserve"> per QALY gained.</w:t>
      </w:r>
    </w:p>
    <w:p w:rsidR="00F400F7" w:rsidRPr="007A2258" w:rsidRDefault="00F400F7" w:rsidP="004620D4">
      <w:pPr>
        <w:pStyle w:val="ListParagraph"/>
        <w:keepNext/>
        <w:jc w:val="center"/>
        <w:rPr>
          <w:b/>
          <w:szCs w:val="24"/>
          <w:u w:val="single"/>
        </w:rPr>
      </w:pPr>
      <w:r w:rsidRPr="007A2258">
        <w:rPr>
          <w:b/>
          <w:szCs w:val="24"/>
          <w:u w:val="single"/>
        </w:rPr>
        <w:t>Committee-In-Confidence information</w:t>
      </w:r>
    </w:p>
    <w:p w:rsidR="00B562D5" w:rsidRPr="00FE4AED" w:rsidRDefault="00FE4AED" w:rsidP="00FE4AED">
      <w:pPr>
        <w:ind w:left="720" w:hanging="720"/>
        <w:jc w:val="both"/>
        <w:rPr>
          <w:highlight w:val="black"/>
        </w:rPr>
      </w:pPr>
      <w:r>
        <w:rPr>
          <w:noProof/>
          <w:color w:val="000000"/>
          <w:highlight w:val="black"/>
        </w:rPr>
        <w:t>''''''''''''''''''''' ''''' '''''' '''''''''''''''' '''''''''''' ''''''''' '''''''''''' '''''' '''''''''''''' '''''''''''' ''''''' ''' '''''''' '''''''''''''''' '''' ''''''' '''' ''''''''''''''''''' ''' ''''''''' '''''''''''' '''''''''' ''''''' ''''''''' ''''''''' '''''''' '''''''''''''''''' '''''''''' ''''''''''''''''' '''' ''''''''''''''''' '''''' ''''''''' '''''''''''''''</w:t>
      </w:r>
    </w:p>
    <w:p w:rsidR="00F400F7" w:rsidRPr="007A2258" w:rsidRDefault="00F400F7" w:rsidP="004620D4">
      <w:pPr>
        <w:pStyle w:val="ListParagraph"/>
        <w:keepNext/>
        <w:jc w:val="center"/>
        <w:rPr>
          <w:b/>
          <w:szCs w:val="24"/>
          <w:u w:val="single"/>
        </w:rPr>
      </w:pPr>
      <w:r w:rsidRPr="007A2258">
        <w:rPr>
          <w:b/>
          <w:szCs w:val="24"/>
          <w:u w:val="single"/>
        </w:rPr>
        <w:t>End Committee-In-Confidence information</w:t>
      </w:r>
    </w:p>
    <w:p w:rsidR="001D7615" w:rsidRDefault="001D7615" w:rsidP="001D7615">
      <w:pPr>
        <w:pStyle w:val="ListParagraph"/>
        <w:numPr>
          <w:ilvl w:val="1"/>
          <w:numId w:val="23"/>
        </w:numPr>
        <w:jc w:val="both"/>
      </w:pPr>
      <w:r>
        <w:t>The PBAC considered that the Kirby model was likely to be more robust and reliable than the model included in the resubmission for a number of reasons, including:</w:t>
      </w:r>
    </w:p>
    <w:p w:rsidR="001D7615" w:rsidRDefault="001D7615" w:rsidP="001D7615">
      <w:pPr>
        <w:pStyle w:val="ListParagraph"/>
        <w:numPr>
          <w:ilvl w:val="0"/>
          <w:numId w:val="28"/>
        </w:numPr>
        <w:jc w:val="both"/>
      </w:pPr>
      <w:r>
        <w:t>Uptake was modelled separately for high, medium and low risk MSM populations;</w:t>
      </w:r>
    </w:p>
    <w:p w:rsidR="001D7615" w:rsidRDefault="001D7615" w:rsidP="001D7615">
      <w:pPr>
        <w:pStyle w:val="ListParagraph"/>
        <w:numPr>
          <w:ilvl w:val="0"/>
          <w:numId w:val="28"/>
        </w:numPr>
        <w:jc w:val="both"/>
      </w:pPr>
      <w:r>
        <w:t>The rate of infection was dependent on the type and number of risk events, and differed with different modes of transmission (as opposed to the single ‘risk multiplier’ in the submission model);</w:t>
      </w:r>
    </w:p>
    <w:p w:rsidR="001D7615" w:rsidRDefault="001D7615" w:rsidP="001D7615">
      <w:pPr>
        <w:pStyle w:val="ListParagraph"/>
        <w:numPr>
          <w:ilvl w:val="0"/>
          <w:numId w:val="28"/>
        </w:numPr>
        <w:jc w:val="both"/>
      </w:pPr>
      <w:r>
        <w:t>The model was calibrated against existing HIV epidemiology in Australia (2000 – 2015), which was likely to be a better predictor of HIV incidence and prevalence into the future; and</w:t>
      </w:r>
    </w:p>
    <w:p w:rsidR="001D7615" w:rsidRDefault="001D7615" w:rsidP="001D7615">
      <w:pPr>
        <w:pStyle w:val="ListParagraph"/>
        <w:numPr>
          <w:ilvl w:val="0"/>
          <w:numId w:val="28"/>
        </w:numPr>
        <w:jc w:val="both"/>
      </w:pPr>
      <w:r>
        <w:t>The shorter time horizon (14 years in the Kirby model vs. 20 years in the submission model) provided more certainty in the model extrapolation.</w:t>
      </w:r>
    </w:p>
    <w:p w:rsidR="00C317F3" w:rsidRPr="007A2258" w:rsidRDefault="00C317F3" w:rsidP="00C846BE">
      <w:pPr>
        <w:pStyle w:val="Heading2"/>
      </w:pPr>
      <w:r w:rsidRPr="007A2258">
        <w:t>Drug cost/patient</w:t>
      </w:r>
      <w:bookmarkEnd w:id="23"/>
      <w:r w:rsidR="00CB0977" w:rsidRPr="007A2258">
        <w:t>/year: $</w:t>
      </w:r>
      <w:bookmarkEnd w:id="24"/>
      <w:r w:rsidR="004E43C3">
        <w:rPr>
          <w:noProof/>
          <w:color w:val="000000"/>
          <w:highlight w:val="black"/>
        </w:rPr>
        <w:t>'''''''''''</w:t>
      </w:r>
    </w:p>
    <w:p w:rsidR="00CB0977" w:rsidRPr="007A2258" w:rsidRDefault="00CB0977" w:rsidP="007A2258">
      <w:pPr>
        <w:pStyle w:val="ListParagraph"/>
        <w:numPr>
          <w:ilvl w:val="1"/>
          <w:numId w:val="23"/>
        </w:numPr>
        <w:jc w:val="both"/>
      </w:pPr>
      <w:r w:rsidRPr="007A2258">
        <w:t>The cost per pack of TDF/FTC (30 days treatment) was $</w:t>
      </w:r>
      <w:r w:rsidR="004E43C3">
        <w:rPr>
          <w:noProof/>
          <w:color w:val="000000"/>
          <w:highlight w:val="black"/>
        </w:rPr>
        <w:t>''''''''''''''</w:t>
      </w:r>
      <w:r w:rsidRPr="007A2258">
        <w:t>. The cost per pack in the July 2016 submission was $</w:t>
      </w:r>
      <w:r w:rsidR="004E43C3">
        <w:rPr>
          <w:noProof/>
          <w:color w:val="000000"/>
          <w:highlight w:val="black"/>
        </w:rPr>
        <w:t>''''''''''''</w:t>
      </w:r>
      <w:r w:rsidRPr="007A2258">
        <w:t xml:space="preserve">. </w:t>
      </w:r>
      <w:r w:rsidRPr="007D1CAF">
        <w:t>The higher cost per pack</w:t>
      </w:r>
      <w:r w:rsidRPr="007A2258">
        <w:t xml:space="preserve"> is due to the </w:t>
      </w:r>
      <w:r w:rsidR="004617A2" w:rsidRPr="007D1CAF">
        <w:t>increased mark-ups associated with</w:t>
      </w:r>
      <w:r w:rsidRPr="007D1CAF">
        <w:t xml:space="preserve"> a Section 85 listing</w:t>
      </w:r>
      <w:r w:rsidRPr="007A2258">
        <w:t>.</w:t>
      </w:r>
    </w:p>
    <w:p w:rsidR="00CB0977" w:rsidRDefault="00CB0977" w:rsidP="007A2258">
      <w:pPr>
        <w:pStyle w:val="ListParagraph"/>
        <w:numPr>
          <w:ilvl w:val="1"/>
          <w:numId w:val="23"/>
        </w:numPr>
        <w:jc w:val="both"/>
      </w:pPr>
      <w:r w:rsidRPr="007A2258">
        <w:t>Based on 90% adherence, the resubmission assumed 10.95 ((365/30)*0.9) packs per patient per year at a cost of $</w:t>
      </w:r>
      <w:r w:rsidR="004E43C3">
        <w:rPr>
          <w:noProof/>
          <w:color w:val="000000"/>
          <w:highlight w:val="black"/>
        </w:rPr>
        <w:t>''''''''''''</w:t>
      </w:r>
      <w:r w:rsidRPr="007A2258">
        <w:t xml:space="preserve">. </w:t>
      </w:r>
    </w:p>
    <w:p w:rsidR="00C317F3" w:rsidRPr="007A2258" w:rsidRDefault="00C317F3" w:rsidP="00C846BE">
      <w:pPr>
        <w:pStyle w:val="Heading2"/>
      </w:pPr>
      <w:bookmarkStart w:id="25" w:name="_Toc413139284"/>
      <w:bookmarkStart w:id="26" w:name="_Toc482191222"/>
      <w:r w:rsidRPr="007A2258">
        <w:t>Estimated PBS usage &amp; financial implications</w:t>
      </w:r>
      <w:bookmarkEnd w:id="25"/>
      <w:bookmarkEnd w:id="26"/>
    </w:p>
    <w:p w:rsidR="007A2258" w:rsidRPr="007A2258" w:rsidRDefault="007A2258" w:rsidP="007A2258">
      <w:pPr>
        <w:pStyle w:val="ListParagraph"/>
        <w:numPr>
          <w:ilvl w:val="1"/>
          <w:numId w:val="23"/>
        </w:numPr>
        <w:jc w:val="both"/>
      </w:pPr>
      <w:bookmarkStart w:id="27" w:name="_Toc413139285"/>
      <w:bookmarkStart w:id="28" w:name="_Toc476306895"/>
      <w:bookmarkStart w:id="29" w:name="_Toc482191223"/>
      <w:bookmarkStart w:id="30" w:name="_Toc413139287"/>
      <w:r w:rsidRPr="007A2258">
        <w:t>This resubmission was considered by DUSC.</w:t>
      </w:r>
    </w:p>
    <w:p w:rsidR="007A2258" w:rsidRPr="007A2258" w:rsidRDefault="007A2258" w:rsidP="007A2258">
      <w:pPr>
        <w:pStyle w:val="ListParagraph"/>
        <w:numPr>
          <w:ilvl w:val="1"/>
          <w:numId w:val="23"/>
        </w:numPr>
        <w:jc w:val="both"/>
      </w:pPr>
      <w:r w:rsidRPr="007A2258">
        <w:t>The financial impact analysis presented in the resubmission takes an epidemiological, prevalence-based approach but the subject and treatment flows are derived from the underlying dynamic transmission model</w:t>
      </w:r>
      <w:r w:rsidR="001F5D5A">
        <w:t xml:space="preserve"> described above</w:t>
      </w:r>
      <w:r w:rsidRPr="007A2258">
        <w:t xml:space="preserve">. Therefore, the financial forecasts are subject to the assumptions of that model. The same approach was used in the July 2016 submission. </w:t>
      </w:r>
    </w:p>
    <w:p w:rsidR="004F50B1" w:rsidRDefault="004F50B1" w:rsidP="004F50B1">
      <w:pPr>
        <w:pStyle w:val="Caption"/>
      </w:pPr>
      <w:r>
        <w:t xml:space="preserve">Table </w:t>
      </w:r>
      <w:r>
        <w:rPr>
          <w:noProof/>
        </w:rPr>
        <w:t>19</w:t>
      </w:r>
      <w:r w:rsidRPr="00BE3959">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43"/>
        <w:gridCol w:w="1133"/>
        <w:gridCol w:w="1161"/>
        <w:gridCol w:w="1161"/>
        <w:gridCol w:w="1161"/>
        <w:gridCol w:w="1161"/>
        <w:gridCol w:w="1162"/>
      </w:tblGrid>
      <w:tr w:rsidR="007A2258" w:rsidRPr="007A2258" w:rsidTr="00B2657B">
        <w:trPr>
          <w:tblHeader/>
        </w:trPr>
        <w:tc>
          <w:tcPr>
            <w:tcW w:w="1180" w:type="pct"/>
            <w:shd w:val="clear" w:color="auto" w:fill="auto"/>
            <w:vAlign w:val="center"/>
          </w:tcPr>
          <w:p w:rsidR="007A2258" w:rsidRPr="007A2258" w:rsidRDefault="007A2258" w:rsidP="00B2657B">
            <w:pPr>
              <w:keepNext/>
              <w:spacing w:before="40" w:after="40"/>
              <w:rPr>
                <w:rFonts w:ascii="Arial Narrow" w:eastAsia="Calibri" w:hAnsi="Arial Narrow" w:cs="Arial"/>
                <w:sz w:val="20"/>
                <w:szCs w:val="20"/>
              </w:rPr>
            </w:pPr>
          </w:p>
        </w:tc>
        <w:tc>
          <w:tcPr>
            <w:tcW w:w="624" w:type="pct"/>
            <w:shd w:val="clear" w:color="auto" w:fill="auto"/>
            <w:vAlign w:val="center"/>
          </w:tcPr>
          <w:p w:rsidR="007A2258" w:rsidRPr="007A2258" w:rsidRDefault="007A2258" w:rsidP="00B2657B">
            <w:pPr>
              <w:keepNext/>
              <w:spacing w:before="40" w:after="40"/>
              <w:jc w:val="center"/>
              <w:rPr>
                <w:rFonts w:ascii="Arial Narrow" w:eastAsia="Calibri" w:hAnsi="Arial Narrow" w:cs="Arial"/>
                <w:b/>
                <w:sz w:val="20"/>
                <w:szCs w:val="20"/>
              </w:rPr>
            </w:pPr>
            <w:r w:rsidRPr="007A2258">
              <w:rPr>
                <w:rFonts w:ascii="Arial Narrow" w:eastAsia="Calibri" w:hAnsi="Arial Narrow" w:cs="Arial"/>
                <w:b/>
                <w:sz w:val="20"/>
                <w:szCs w:val="20"/>
              </w:rPr>
              <w:t>Year 1</w:t>
            </w:r>
          </w:p>
        </w:tc>
        <w:tc>
          <w:tcPr>
            <w:tcW w:w="639" w:type="pct"/>
            <w:shd w:val="clear" w:color="auto" w:fill="auto"/>
            <w:vAlign w:val="center"/>
          </w:tcPr>
          <w:p w:rsidR="007A2258" w:rsidRPr="007A2258" w:rsidRDefault="007A2258" w:rsidP="00B2657B">
            <w:pPr>
              <w:keepNext/>
              <w:spacing w:before="40" w:after="40"/>
              <w:jc w:val="center"/>
              <w:rPr>
                <w:rFonts w:ascii="Arial Narrow" w:eastAsia="Calibri" w:hAnsi="Arial Narrow" w:cs="Arial"/>
                <w:b/>
                <w:sz w:val="20"/>
                <w:szCs w:val="20"/>
              </w:rPr>
            </w:pPr>
            <w:r w:rsidRPr="007A2258">
              <w:rPr>
                <w:rFonts w:ascii="Arial Narrow" w:eastAsia="Calibri" w:hAnsi="Arial Narrow" w:cs="Arial"/>
                <w:b/>
                <w:sz w:val="20"/>
                <w:szCs w:val="20"/>
              </w:rPr>
              <w:t>Year 2</w:t>
            </w:r>
          </w:p>
        </w:tc>
        <w:tc>
          <w:tcPr>
            <w:tcW w:w="639" w:type="pct"/>
            <w:shd w:val="clear" w:color="auto" w:fill="auto"/>
            <w:vAlign w:val="center"/>
          </w:tcPr>
          <w:p w:rsidR="007A2258" w:rsidRPr="007A2258" w:rsidRDefault="007A2258" w:rsidP="00B2657B">
            <w:pPr>
              <w:keepNext/>
              <w:spacing w:before="40" w:after="40"/>
              <w:jc w:val="center"/>
              <w:rPr>
                <w:rFonts w:ascii="Arial Narrow" w:eastAsia="Calibri" w:hAnsi="Arial Narrow" w:cs="Arial"/>
                <w:b/>
                <w:sz w:val="20"/>
                <w:szCs w:val="20"/>
              </w:rPr>
            </w:pPr>
            <w:r w:rsidRPr="007A2258">
              <w:rPr>
                <w:rFonts w:ascii="Arial Narrow" w:eastAsia="Calibri" w:hAnsi="Arial Narrow" w:cs="Arial"/>
                <w:b/>
                <w:sz w:val="20"/>
                <w:szCs w:val="20"/>
              </w:rPr>
              <w:t>Year 3</w:t>
            </w:r>
          </w:p>
        </w:tc>
        <w:tc>
          <w:tcPr>
            <w:tcW w:w="639" w:type="pct"/>
            <w:shd w:val="clear" w:color="auto" w:fill="auto"/>
            <w:vAlign w:val="center"/>
          </w:tcPr>
          <w:p w:rsidR="007A2258" w:rsidRPr="007A2258" w:rsidRDefault="007A2258" w:rsidP="00B2657B">
            <w:pPr>
              <w:keepNext/>
              <w:spacing w:before="40" w:after="40"/>
              <w:jc w:val="center"/>
              <w:rPr>
                <w:rFonts w:ascii="Arial Narrow" w:eastAsia="Calibri" w:hAnsi="Arial Narrow" w:cs="Arial"/>
                <w:b/>
                <w:sz w:val="20"/>
                <w:szCs w:val="20"/>
              </w:rPr>
            </w:pPr>
            <w:r w:rsidRPr="007A2258">
              <w:rPr>
                <w:rFonts w:ascii="Arial Narrow" w:eastAsia="Calibri" w:hAnsi="Arial Narrow" w:cs="Arial"/>
                <w:b/>
                <w:sz w:val="20"/>
                <w:szCs w:val="20"/>
              </w:rPr>
              <w:t>Year 4</w:t>
            </w:r>
          </w:p>
        </w:tc>
        <w:tc>
          <w:tcPr>
            <w:tcW w:w="639" w:type="pct"/>
            <w:shd w:val="clear" w:color="auto" w:fill="auto"/>
            <w:vAlign w:val="center"/>
          </w:tcPr>
          <w:p w:rsidR="007A2258" w:rsidRPr="007A2258" w:rsidRDefault="007A2258" w:rsidP="00B2657B">
            <w:pPr>
              <w:keepNext/>
              <w:spacing w:before="40" w:after="40"/>
              <w:jc w:val="center"/>
              <w:rPr>
                <w:rFonts w:ascii="Arial Narrow" w:eastAsia="Calibri" w:hAnsi="Arial Narrow" w:cs="Arial"/>
                <w:b/>
                <w:sz w:val="20"/>
                <w:szCs w:val="20"/>
              </w:rPr>
            </w:pPr>
            <w:r w:rsidRPr="007A2258">
              <w:rPr>
                <w:rFonts w:ascii="Arial Narrow" w:eastAsia="Calibri" w:hAnsi="Arial Narrow" w:cs="Arial"/>
                <w:b/>
                <w:sz w:val="20"/>
                <w:szCs w:val="20"/>
              </w:rPr>
              <w:t>Year 5</w:t>
            </w:r>
          </w:p>
        </w:tc>
        <w:tc>
          <w:tcPr>
            <w:tcW w:w="640" w:type="pct"/>
          </w:tcPr>
          <w:p w:rsidR="007A2258" w:rsidRPr="007A2258" w:rsidRDefault="007A2258" w:rsidP="00B2657B">
            <w:pPr>
              <w:keepNext/>
              <w:spacing w:before="40" w:after="40"/>
              <w:jc w:val="center"/>
              <w:rPr>
                <w:rFonts w:ascii="Arial Narrow" w:eastAsia="Calibri" w:hAnsi="Arial Narrow" w:cs="Arial"/>
                <w:b/>
                <w:sz w:val="20"/>
                <w:szCs w:val="20"/>
              </w:rPr>
            </w:pPr>
            <w:r w:rsidRPr="007A2258">
              <w:rPr>
                <w:rFonts w:ascii="Arial Narrow" w:eastAsia="Calibri" w:hAnsi="Arial Narrow" w:cs="Arial"/>
                <w:b/>
                <w:sz w:val="20"/>
                <w:szCs w:val="20"/>
              </w:rPr>
              <w:t>Year 6</w:t>
            </w:r>
          </w:p>
        </w:tc>
      </w:tr>
      <w:tr w:rsidR="007A2258" w:rsidRPr="007A2258" w:rsidTr="00B2657B">
        <w:tc>
          <w:tcPr>
            <w:tcW w:w="5000" w:type="pct"/>
            <w:gridSpan w:val="7"/>
            <w:shd w:val="clear" w:color="auto" w:fill="auto"/>
            <w:vAlign w:val="center"/>
          </w:tcPr>
          <w:p w:rsidR="007A2258" w:rsidRPr="007A2258" w:rsidRDefault="007A2258" w:rsidP="00B2657B">
            <w:pPr>
              <w:keepNext/>
              <w:spacing w:before="40" w:after="40"/>
              <w:rPr>
                <w:rFonts w:ascii="Arial Narrow" w:eastAsia="Calibri" w:hAnsi="Arial Narrow" w:cs="Arial"/>
                <w:b/>
                <w:bCs/>
                <w:sz w:val="20"/>
                <w:szCs w:val="20"/>
              </w:rPr>
            </w:pPr>
            <w:r w:rsidRPr="007A2258">
              <w:rPr>
                <w:rFonts w:ascii="Arial Narrow" w:eastAsia="Calibri" w:hAnsi="Arial Narrow" w:cs="Arial"/>
                <w:b/>
                <w:bCs/>
                <w:sz w:val="20"/>
                <w:szCs w:val="20"/>
              </w:rPr>
              <w:t>Estimated extent of use</w:t>
            </w:r>
          </w:p>
        </w:tc>
      </w:tr>
      <w:tr w:rsidR="007A2258" w:rsidRPr="007A2258" w:rsidTr="00B2657B">
        <w:tc>
          <w:tcPr>
            <w:tcW w:w="1180" w:type="pct"/>
            <w:shd w:val="clear" w:color="auto" w:fill="auto"/>
            <w:vAlign w:val="center"/>
          </w:tcPr>
          <w:p w:rsidR="007A2258" w:rsidRPr="007A2258" w:rsidRDefault="007A2258" w:rsidP="00B2657B">
            <w:pPr>
              <w:keepNext/>
              <w:spacing w:before="40" w:after="40"/>
              <w:rPr>
                <w:rFonts w:ascii="Times" w:eastAsia="Times New Roman" w:hAnsi="Times" w:cs="Times New Roman"/>
                <w:sz w:val="20"/>
                <w:szCs w:val="20"/>
              </w:rPr>
            </w:pPr>
            <w:r w:rsidRPr="007A2258">
              <w:rPr>
                <w:rFonts w:ascii="Arial Narrow" w:eastAsia="Calibri" w:hAnsi="Arial Narrow" w:cs="Arial"/>
                <w:sz w:val="20"/>
                <w:szCs w:val="20"/>
              </w:rPr>
              <w:t>Number of patients treated</w:t>
            </w:r>
          </w:p>
        </w:tc>
        <w:tc>
          <w:tcPr>
            <w:tcW w:w="624" w:type="pct"/>
            <w:shd w:val="clear" w:color="auto" w:fill="auto"/>
            <w:vAlign w:val="center"/>
          </w:tcPr>
          <w:p w:rsidR="007A2258" w:rsidRPr="007A2258" w:rsidRDefault="007A2258" w:rsidP="00B2657B">
            <w:pPr>
              <w:keepNext/>
              <w:spacing w:before="40" w:after="40"/>
              <w:jc w:val="center"/>
              <w:rPr>
                <w:rFonts w:ascii="Arial Narrow" w:eastAsia="Calibri" w:hAnsi="Arial Narrow" w:cs="Arial"/>
                <w:bCs/>
                <w:sz w:val="20"/>
                <w:szCs w:val="20"/>
              </w:rPr>
            </w:pPr>
            <w:r w:rsidRPr="007A2258">
              <w:rPr>
                <w:rFonts w:ascii="Arial Narrow" w:eastAsia="Times New Roman" w:hAnsi="Arial Narrow" w:cs="Arial"/>
                <w:snapToGrid w:val="0"/>
                <w:sz w:val="20"/>
                <w:szCs w:val="20"/>
              </w:rPr>
              <w:t>8,763</w:t>
            </w:r>
          </w:p>
        </w:tc>
        <w:tc>
          <w:tcPr>
            <w:tcW w:w="639" w:type="pct"/>
            <w:shd w:val="clear" w:color="auto" w:fill="auto"/>
            <w:vAlign w:val="center"/>
          </w:tcPr>
          <w:p w:rsidR="007A2258" w:rsidRPr="007A2258" w:rsidRDefault="007A2258" w:rsidP="00B2657B">
            <w:pPr>
              <w:keepNext/>
              <w:spacing w:before="40" w:after="40"/>
              <w:jc w:val="center"/>
              <w:rPr>
                <w:rFonts w:ascii="Arial Narrow" w:eastAsia="Calibri" w:hAnsi="Arial Narrow" w:cs="Arial"/>
                <w:bCs/>
                <w:sz w:val="20"/>
                <w:szCs w:val="20"/>
              </w:rPr>
            </w:pPr>
            <w:r w:rsidRPr="007A2258">
              <w:rPr>
                <w:rFonts w:ascii="Arial Narrow" w:eastAsia="Times New Roman" w:hAnsi="Arial Narrow" w:cs="Arial"/>
                <w:snapToGrid w:val="0"/>
                <w:sz w:val="20"/>
                <w:szCs w:val="20"/>
              </w:rPr>
              <w:t>22,076</w:t>
            </w:r>
          </w:p>
        </w:tc>
        <w:tc>
          <w:tcPr>
            <w:tcW w:w="639" w:type="pct"/>
            <w:shd w:val="clear" w:color="auto" w:fill="auto"/>
            <w:vAlign w:val="center"/>
          </w:tcPr>
          <w:p w:rsidR="007A2258" w:rsidRPr="007A2258" w:rsidRDefault="007A2258" w:rsidP="00B2657B">
            <w:pPr>
              <w:keepNext/>
              <w:spacing w:before="40" w:after="40"/>
              <w:jc w:val="center"/>
              <w:rPr>
                <w:rFonts w:ascii="Arial Narrow" w:eastAsia="Calibri" w:hAnsi="Arial Narrow" w:cs="Arial"/>
                <w:bCs/>
                <w:sz w:val="20"/>
                <w:szCs w:val="20"/>
              </w:rPr>
            </w:pPr>
            <w:r w:rsidRPr="007A2258">
              <w:rPr>
                <w:rFonts w:ascii="Arial Narrow" w:eastAsia="Times New Roman" w:hAnsi="Arial Narrow" w:cs="Arial"/>
                <w:snapToGrid w:val="0"/>
                <w:sz w:val="20"/>
                <w:szCs w:val="20"/>
              </w:rPr>
              <w:t>26,857</w:t>
            </w:r>
          </w:p>
        </w:tc>
        <w:tc>
          <w:tcPr>
            <w:tcW w:w="639" w:type="pct"/>
            <w:shd w:val="clear" w:color="auto" w:fill="auto"/>
            <w:vAlign w:val="center"/>
          </w:tcPr>
          <w:p w:rsidR="007A2258" w:rsidRPr="007A2258" w:rsidRDefault="007A2258" w:rsidP="00B2657B">
            <w:pPr>
              <w:keepNext/>
              <w:spacing w:before="40" w:after="40"/>
              <w:jc w:val="center"/>
              <w:rPr>
                <w:rFonts w:ascii="Arial Narrow" w:eastAsia="Calibri" w:hAnsi="Arial Narrow" w:cs="Arial"/>
                <w:bCs/>
                <w:sz w:val="20"/>
                <w:szCs w:val="20"/>
              </w:rPr>
            </w:pPr>
            <w:r w:rsidRPr="007A2258">
              <w:rPr>
                <w:rFonts w:ascii="Arial Narrow" w:eastAsia="Times New Roman" w:hAnsi="Arial Narrow" w:cs="Arial"/>
                <w:snapToGrid w:val="0"/>
                <w:sz w:val="20"/>
                <w:szCs w:val="20"/>
              </w:rPr>
              <w:t>28,717</w:t>
            </w:r>
          </w:p>
        </w:tc>
        <w:tc>
          <w:tcPr>
            <w:tcW w:w="639" w:type="pct"/>
            <w:shd w:val="clear" w:color="auto" w:fill="auto"/>
            <w:vAlign w:val="center"/>
          </w:tcPr>
          <w:p w:rsidR="007A2258" w:rsidRPr="007A2258" w:rsidRDefault="007A2258" w:rsidP="00B2657B">
            <w:pPr>
              <w:keepNext/>
              <w:spacing w:before="40" w:after="40"/>
              <w:jc w:val="center"/>
              <w:rPr>
                <w:rFonts w:ascii="Arial Narrow" w:eastAsia="Calibri" w:hAnsi="Arial Narrow" w:cs="Arial"/>
                <w:bCs/>
                <w:sz w:val="20"/>
                <w:szCs w:val="20"/>
              </w:rPr>
            </w:pPr>
            <w:r w:rsidRPr="007A2258">
              <w:rPr>
                <w:rFonts w:ascii="Arial Narrow" w:eastAsia="Times New Roman" w:hAnsi="Arial Narrow" w:cs="Arial"/>
                <w:snapToGrid w:val="0"/>
                <w:sz w:val="20"/>
                <w:szCs w:val="20"/>
              </w:rPr>
              <w:t>29,397</w:t>
            </w:r>
          </w:p>
        </w:tc>
        <w:tc>
          <w:tcPr>
            <w:tcW w:w="640" w:type="pct"/>
            <w:vAlign w:val="center"/>
          </w:tcPr>
          <w:p w:rsidR="007A2258" w:rsidRPr="007A2258" w:rsidRDefault="007A2258" w:rsidP="00B2657B">
            <w:pPr>
              <w:keepNext/>
              <w:spacing w:before="40" w:after="40"/>
              <w:jc w:val="center"/>
              <w:rPr>
                <w:rFonts w:ascii="Arial Narrow" w:eastAsia="Calibri" w:hAnsi="Arial Narrow" w:cs="Arial"/>
                <w:bCs/>
                <w:sz w:val="20"/>
                <w:szCs w:val="20"/>
              </w:rPr>
            </w:pPr>
            <w:r w:rsidRPr="007A2258">
              <w:rPr>
                <w:rFonts w:ascii="Arial Narrow" w:eastAsia="Times New Roman" w:hAnsi="Arial Narrow" w:cs="Arial"/>
                <w:snapToGrid w:val="0"/>
                <w:sz w:val="20"/>
                <w:szCs w:val="20"/>
              </w:rPr>
              <w:t>29,614</w:t>
            </w:r>
          </w:p>
        </w:tc>
      </w:tr>
      <w:tr w:rsidR="007A2258" w:rsidRPr="007A2258" w:rsidTr="00B2657B">
        <w:tc>
          <w:tcPr>
            <w:tcW w:w="1180" w:type="pct"/>
            <w:shd w:val="clear" w:color="auto" w:fill="auto"/>
            <w:vAlign w:val="center"/>
          </w:tcPr>
          <w:p w:rsidR="007A2258" w:rsidRPr="007A2258" w:rsidRDefault="007A2258" w:rsidP="00B2657B">
            <w:pPr>
              <w:keepNext/>
              <w:spacing w:before="40" w:after="40"/>
              <w:rPr>
                <w:rFonts w:ascii="Times" w:eastAsia="Times New Roman" w:hAnsi="Times" w:cs="Times New Roman"/>
                <w:sz w:val="20"/>
                <w:szCs w:val="20"/>
              </w:rPr>
            </w:pPr>
            <w:r w:rsidRPr="007A2258">
              <w:rPr>
                <w:rFonts w:ascii="Arial Narrow" w:eastAsia="Calibri" w:hAnsi="Arial Narrow" w:cs="Arial"/>
                <w:sz w:val="20"/>
                <w:szCs w:val="20"/>
              </w:rPr>
              <w:t>Number of scripts dispensed</w:t>
            </w:r>
            <w:r w:rsidRPr="007A2258">
              <w:rPr>
                <w:rFonts w:ascii="Arial Narrow" w:eastAsia="Calibri" w:hAnsi="Arial Narrow" w:cs="Arial"/>
                <w:sz w:val="20"/>
                <w:szCs w:val="20"/>
                <w:vertAlign w:val="superscript"/>
              </w:rPr>
              <w:t>a</w:t>
            </w:r>
          </w:p>
        </w:tc>
        <w:tc>
          <w:tcPr>
            <w:tcW w:w="624" w:type="pct"/>
            <w:shd w:val="clear" w:color="auto" w:fill="auto"/>
            <w:vAlign w:val="center"/>
          </w:tcPr>
          <w:p w:rsidR="007A2258" w:rsidRPr="007A2258" w:rsidRDefault="007A2258" w:rsidP="00B2657B">
            <w:pPr>
              <w:keepNext/>
              <w:spacing w:before="40" w:after="40"/>
              <w:jc w:val="center"/>
              <w:rPr>
                <w:rFonts w:ascii="Arial Narrow" w:eastAsia="Calibri" w:hAnsi="Arial Narrow" w:cs="Arial"/>
                <w:bCs/>
                <w:sz w:val="20"/>
                <w:szCs w:val="20"/>
              </w:rPr>
            </w:pPr>
            <w:r w:rsidRPr="007A2258">
              <w:rPr>
                <w:rFonts w:ascii="Arial Narrow" w:eastAsia="Times New Roman" w:hAnsi="Arial Narrow" w:cs="Arial"/>
                <w:snapToGrid w:val="0"/>
                <w:sz w:val="20"/>
                <w:szCs w:val="20"/>
              </w:rPr>
              <w:t>95,951</w:t>
            </w:r>
          </w:p>
        </w:tc>
        <w:tc>
          <w:tcPr>
            <w:tcW w:w="639" w:type="pct"/>
            <w:shd w:val="clear" w:color="auto" w:fill="auto"/>
            <w:vAlign w:val="center"/>
          </w:tcPr>
          <w:p w:rsidR="007A2258" w:rsidRPr="007A2258" w:rsidRDefault="007A2258" w:rsidP="00B2657B">
            <w:pPr>
              <w:keepNext/>
              <w:spacing w:before="40" w:after="40"/>
              <w:jc w:val="center"/>
              <w:rPr>
                <w:rFonts w:ascii="Arial Narrow" w:eastAsia="Calibri" w:hAnsi="Arial Narrow" w:cs="Arial"/>
                <w:bCs/>
                <w:sz w:val="20"/>
                <w:szCs w:val="20"/>
              </w:rPr>
            </w:pPr>
            <w:r w:rsidRPr="007A2258">
              <w:rPr>
                <w:rFonts w:ascii="Arial Narrow" w:eastAsia="Times New Roman" w:hAnsi="Arial Narrow" w:cs="Arial"/>
                <w:snapToGrid w:val="0"/>
                <w:sz w:val="20"/>
                <w:szCs w:val="20"/>
              </w:rPr>
              <w:t>241,729</w:t>
            </w:r>
          </w:p>
        </w:tc>
        <w:tc>
          <w:tcPr>
            <w:tcW w:w="639" w:type="pct"/>
            <w:shd w:val="clear" w:color="auto" w:fill="auto"/>
            <w:vAlign w:val="center"/>
          </w:tcPr>
          <w:p w:rsidR="007A2258" w:rsidRPr="007A2258" w:rsidRDefault="007A2258" w:rsidP="00B2657B">
            <w:pPr>
              <w:keepNext/>
              <w:spacing w:before="40" w:after="40"/>
              <w:jc w:val="center"/>
              <w:rPr>
                <w:rFonts w:ascii="Arial Narrow" w:eastAsia="Calibri" w:hAnsi="Arial Narrow" w:cs="Arial"/>
                <w:bCs/>
                <w:sz w:val="20"/>
                <w:szCs w:val="20"/>
              </w:rPr>
            </w:pPr>
            <w:r w:rsidRPr="007A2258">
              <w:rPr>
                <w:rFonts w:ascii="Arial Narrow" w:eastAsia="Times New Roman" w:hAnsi="Arial Narrow" w:cs="Arial"/>
                <w:snapToGrid w:val="0"/>
                <w:sz w:val="20"/>
                <w:szCs w:val="20"/>
              </w:rPr>
              <w:t>294,081</w:t>
            </w:r>
          </w:p>
        </w:tc>
        <w:tc>
          <w:tcPr>
            <w:tcW w:w="639" w:type="pct"/>
            <w:shd w:val="clear" w:color="auto" w:fill="auto"/>
            <w:vAlign w:val="center"/>
          </w:tcPr>
          <w:p w:rsidR="007A2258" w:rsidRPr="007A2258" w:rsidRDefault="007A2258" w:rsidP="00B2657B">
            <w:pPr>
              <w:keepNext/>
              <w:spacing w:before="40" w:after="40"/>
              <w:jc w:val="center"/>
              <w:rPr>
                <w:rFonts w:ascii="Arial Narrow" w:eastAsia="Calibri" w:hAnsi="Arial Narrow" w:cs="Arial"/>
                <w:bCs/>
                <w:sz w:val="20"/>
                <w:szCs w:val="20"/>
              </w:rPr>
            </w:pPr>
            <w:r w:rsidRPr="007A2258">
              <w:rPr>
                <w:rFonts w:ascii="Arial Narrow" w:eastAsia="Times New Roman" w:hAnsi="Arial Narrow" w:cs="Arial"/>
                <w:snapToGrid w:val="0"/>
                <w:sz w:val="20"/>
                <w:szCs w:val="20"/>
              </w:rPr>
              <w:t>314,447</w:t>
            </w:r>
          </w:p>
        </w:tc>
        <w:tc>
          <w:tcPr>
            <w:tcW w:w="639" w:type="pct"/>
            <w:shd w:val="clear" w:color="auto" w:fill="auto"/>
            <w:vAlign w:val="center"/>
          </w:tcPr>
          <w:p w:rsidR="007A2258" w:rsidRPr="007A2258" w:rsidRDefault="007A2258" w:rsidP="00B2657B">
            <w:pPr>
              <w:keepNext/>
              <w:spacing w:before="40" w:after="40"/>
              <w:jc w:val="center"/>
              <w:rPr>
                <w:rFonts w:ascii="Arial Narrow" w:eastAsia="Calibri" w:hAnsi="Arial Narrow" w:cs="Arial"/>
                <w:bCs/>
                <w:sz w:val="20"/>
                <w:szCs w:val="20"/>
              </w:rPr>
            </w:pPr>
            <w:r w:rsidRPr="007A2258">
              <w:rPr>
                <w:rFonts w:ascii="Arial Narrow" w:eastAsia="Times New Roman" w:hAnsi="Arial Narrow" w:cs="Arial"/>
                <w:snapToGrid w:val="0"/>
                <w:sz w:val="20"/>
                <w:szCs w:val="20"/>
              </w:rPr>
              <w:t>321,893</w:t>
            </w:r>
          </w:p>
        </w:tc>
        <w:tc>
          <w:tcPr>
            <w:tcW w:w="640" w:type="pct"/>
            <w:vAlign w:val="center"/>
          </w:tcPr>
          <w:p w:rsidR="007A2258" w:rsidRPr="007A2258" w:rsidRDefault="007A2258" w:rsidP="00B2657B">
            <w:pPr>
              <w:keepNext/>
              <w:spacing w:before="40" w:after="40"/>
              <w:jc w:val="center"/>
              <w:rPr>
                <w:rFonts w:ascii="Arial Narrow" w:eastAsia="Calibri" w:hAnsi="Arial Narrow" w:cs="Arial"/>
                <w:bCs/>
                <w:sz w:val="20"/>
                <w:szCs w:val="20"/>
              </w:rPr>
            </w:pPr>
            <w:r w:rsidRPr="007A2258">
              <w:rPr>
                <w:rFonts w:ascii="Arial Narrow" w:eastAsia="Times New Roman" w:hAnsi="Arial Narrow" w:cs="Arial"/>
                <w:snapToGrid w:val="0"/>
                <w:sz w:val="20"/>
                <w:szCs w:val="20"/>
              </w:rPr>
              <w:t>324,272</w:t>
            </w:r>
          </w:p>
        </w:tc>
      </w:tr>
      <w:tr w:rsidR="007A2258" w:rsidRPr="007A2258" w:rsidTr="00B2657B">
        <w:tc>
          <w:tcPr>
            <w:tcW w:w="5000" w:type="pct"/>
            <w:gridSpan w:val="7"/>
            <w:shd w:val="clear" w:color="auto" w:fill="auto"/>
            <w:vAlign w:val="center"/>
          </w:tcPr>
          <w:p w:rsidR="007A2258" w:rsidRPr="007A2258" w:rsidRDefault="007A2258" w:rsidP="00B2657B">
            <w:pPr>
              <w:keepNext/>
              <w:spacing w:before="40" w:after="40"/>
              <w:rPr>
                <w:rFonts w:ascii="Arial Narrow" w:eastAsia="Calibri" w:hAnsi="Arial Narrow" w:cs="Arial"/>
                <w:b/>
                <w:bCs/>
                <w:sz w:val="20"/>
                <w:szCs w:val="20"/>
              </w:rPr>
            </w:pPr>
            <w:r w:rsidRPr="007A2258">
              <w:rPr>
                <w:rFonts w:ascii="Arial Narrow" w:eastAsia="Calibri" w:hAnsi="Arial Narrow" w:cs="Arial"/>
                <w:b/>
                <w:bCs/>
                <w:sz w:val="20"/>
                <w:szCs w:val="20"/>
              </w:rPr>
              <w:t>Estimated financial implications of TDF/FTC</w:t>
            </w:r>
          </w:p>
        </w:tc>
      </w:tr>
      <w:tr w:rsidR="007A2258" w:rsidRPr="007A2258" w:rsidTr="00B2657B">
        <w:tc>
          <w:tcPr>
            <w:tcW w:w="1180" w:type="pct"/>
            <w:shd w:val="clear" w:color="auto" w:fill="auto"/>
            <w:vAlign w:val="center"/>
          </w:tcPr>
          <w:p w:rsidR="007A2258" w:rsidRPr="007A2258" w:rsidRDefault="007A2258" w:rsidP="00B2657B">
            <w:pPr>
              <w:keepNext/>
              <w:spacing w:before="40" w:after="40"/>
              <w:rPr>
                <w:rFonts w:ascii="Arial Narrow" w:eastAsia="Calibri" w:hAnsi="Arial Narrow" w:cs="Arial"/>
                <w:sz w:val="20"/>
                <w:szCs w:val="20"/>
              </w:rPr>
            </w:pPr>
            <w:r w:rsidRPr="007A2258">
              <w:rPr>
                <w:rFonts w:ascii="Arial Narrow" w:eastAsia="Calibri" w:hAnsi="Arial Narrow" w:cs="Arial"/>
                <w:sz w:val="20"/>
                <w:szCs w:val="20"/>
              </w:rPr>
              <w:t>Cost to PBS/RPBS</w:t>
            </w:r>
          </w:p>
        </w:tc>
        <w:tc>
          <w:tcPr>
            <w:tcW w:w="624" w:type="pct"/>
            <w:shd w:val="clear" w:color="auto" w:fill="auto"/>
            <w:vAlign w:val="bottom"/>
          </w:tcPr>
          <w:p w:rsidR="007A2258" w:rsidRPr="007A2258" w:rsidRDefault="007A2258" w:rsidP="00B2657B">
            <w:pPr>
              <w:keepNext/>
              <w:spacing w:before="40" w:after="40"/>
              <w:rPr>
                <w:rFonts w:ascii="Arial Narrow" w:eastAsia="Calibri" w:hAnsi="Arial Narrow" w:cs="Arial"/>
                <w:sz w:val="20"/>
                <w:szCs w:val="20"/>
              </w:rPr>
            </w:pPr>
            <w:r w:rsidRPr="007A2258">
              <w:rPr>
                <w:rFonts w:ascii="Arial Narrow" w:eastAsia="Calibri" w:hAnsi="Arial Narrow" w:cs="Arial"/>
                <w:sz w:val="20"/>
                <w:szCs w:val="20"/>
              </w:rPr>
              <w:t>$</w:t>
            </w:r>
            <w:r w:rsidR="004E43C3">
              <w:rPr>
                <w:rFonts w:ascii="Arial Narrow" w:eastAsia="Calibri" w:hAnsi="Arial Narrow" w:cs="Arial"/>
                <w:noProof/>
                <w:color w:val="000000"/>
                <w:sz w:val="20"/>
                <w:szCs w:val="20"/>
                <w:highlight w:val="black"/>
              </w:rPr>
              <w:t>''''''''''''''''''''''''''''</w:t>
            </w:r>
          </w:p>
        </w:tc>
        <w:tc>
          <w:tcPr>
            <w:tcW w:w="639" w:type="pct"/>
            <w:shd w:val="clear" w:color="auto" w:fill="auto"/>
            <w:vAlign w:val="bottom"/>
          </w:tcPr>
          <w:p w:rsidR="007A2258" w:rsidRPr="007A2258" w:rsidRDefault="007A2258" w:rsidP="00B2657B">
            <w:pPr>
              <w:keepNext/>
              <w:spacing w:before="40" w:after="40"/>
              <w:rPr>
                <w:rFonts w:ascii="Arial Narrow" w:eastAsia="Calibri" w:hAnsi="Arial Narrow" w:cs="Arial"/>
                <w:sz w:val="20"/>
                <w:szCs w:val="20"/>
              </w:rPr>
            </w:pPr>
            <w:r w:rsidRPr="007A2258">
              <w:rPr>
                <w:rFonts w:ascii="Arial Narrow" w:eastAsia="Calibri" w:hAnsi="Arial Narrow" w:cs="Arial"/>
                <w:sz w:val="20"/>
                <w:szCs w:val="20"/>
              </w:rPr>
              <w:t>$</w:t>
            </w:r>
            <w:r w:rsidR="004E43C3">
              <w:rPr>
                <w:rFonts w:ascii="Arial Narrow" w:eastAsia="Calibri" w:hAnsi="Arial Narrow" w:cs="Arial"/>
                <w:noProof/>
                <w:color w:val="000000"/>
                <w:sz w:val="20"/>
                <w:szCs w:val="20"/>
                <w:highlight w:val="black"/>
              </w:rPr>
              <w:t>''''''''''''''''''''''''''''''''</w:t>
            </w:r>
          </w:p>
        </w:tc>
        <w:tc>
          <w:tcPr>
            <w:tcW w:w="639" w:type="pct"/>
            <w:shd w:val="clear" w:color="auto" w:fill="auto"/>
            <w:vAlign w:val="bottom"/>
          </w:tcPr>
          <w:p w:rsidR="007A2258" w:rsidRPr="007A2258" w:rsidRDefault="007A2258" w:rsidP="00B2657B">
            <w:pPr>
              <w:keepNext/>
              <w:spacing w:before="40" w:after="40"/>
              <w:rPr>
                <w:rFonts w:ascii="Arial Narrow" w:eastAsia="Calibri" w:hAnsi="Arial Narrow" w:cs="Arial"/>
                <w:sz w:val="20"/>
                <w:szCs w:val="20"/>
              </w:rPr>
            </w:pPr>
            <w:r w:rsidRPr="007A2258">
              <w:rPr>
                <w:rFonts w:ascii="Arial Narrow" w:eastAsia="Calibri" w:hAnsi="Arial Narrow" w:cs="Arial"/>
                <w:sz w:val="20"/>
                <w:szCs w:val="20"/>
              </w:rPr>
              <w:t>$</w:t>
            </w:r>
            <w:r w:rsidR="004E43C3">
              <w:rPr>
                <w:rFonts w:ascii="Arial Narrow" w:eastAsia="Calibri" w:hAnsi="Arial Narrow" w:cs="Arial"/>
                <w:noProof/>
                <w:color w:val="000000"/>
                <w:sz w:val="20"/>
                <w:szCs w:val="20"/>
                <w:highlight w:val="black"/>
              </w:rPr>
              <w:t>''''''''''''''''''''''''''''</w:t>
            </w:r>
          </w:p>
        </w:tc>
        <w:tc>
          <w:tcPr>
            <w:tcW w:w="639" w:type="pct"/>
            <w:shd w:val="clear" w:color="auto" w:fill="auto"/>
            <w:vAlign w:val="bottom"/>
          </w:tcPr>
          <w:p w:rsidR="007A2258" w:rsidRPr="007A2258" w:rsidRDefault="007A2258" w:rsidP="00B2657B">
            <w:pPr>
              <w:keepNext/>
              <w:spacing w:before="40" w:after="40"/>
              <w:rPr>
                <w:rFonts w:ascii="Arial Narrow" w:eastAsia="Calibri" w:hAnsi="Arial Narrow" w:cs="Arial"/>
                <w:sz w:val="20"/>
                <w:szCs w:val="20"/>
              </w:rPr>
            </w:pPr>
            <w:r w:rsidRPr="007A2258">
              <w:rPr>
                <w:rFonts w:ascii="Arial Narrow" w:eastAsia="Calibri" w:hAnsi="Arial Narrow" w:cs="Arial"/>
                <w:sz w:val="20"/>
                <w:szCs w:val="20"/>
              </w:rPr>
              <w:t>$</w:t>
            </w:r>
            <w:r w:rsidR="004E43C3">
              <w:rPr>
                <w:rFonts w:ascii="Arial Narrow" w:eastAsia="Calibri" w:hAnsi="Arial Narrow" w:cs="Arial"/>
                <w:noProof/>
                <w:color w:val="000000"/>
                <w:sz w:val="20"/>
                <w:szCs w:val="20"/>
                <w:highlight w:val="black"/>
              </w:rPr>
              <w:t>'''''''''''''''''''''''''''''</w:t>
            </w:r>
          </w:p>
        </w:tc>
        <w:tc>
          <w:tcPr>
            <w:tcW w:w="639" w:type="pct"/>
            <w:shd w:val="clear" w:color="auto" w:fill="auto"/>
            <w:vAlign w:val="bottom"/>
          </w:tcPr>
          <w:p w:rsidR="007A2258" w:rsidRPr="007A2258" w:rsidRDefault="007A2258" w:rsidP="00B2657B">
            <w:pPr>
              <w:keepNext/>
              <w:spacing w:before="40" w:after="40"/>
              <w:rPr>
                <w:rFonts w:ascii="Arial Narrow" w:eastAsia="Calibri" w:hAnsi="Arial Narrow" w:cs="Arial"/>
                <w:sz w:val="20"/>
                <w:szCs w:val="20"/>
              </w:rPr>
            </w:pPr>
            <w:r w:rsidRPr="007A2258">
              <w:rPr>
                <w:rFonts w:ascii="Arial Narrow" w:eastAsia="Calibri" w:hAnsi="Arial Narrow" w:cs="Arial"/>
                <w:sz w:val="20"/>
                <w:szCs w:val="20"/>
              </w:rPr>
              <w:t>$</w:t>
            </w:r>
            <w:r w:rsidR="004E43C3">
              <w:rPr>
                <w:rFonts w:ascii="Arial Narrow" w:eastAsia="Calibri" w:hAnsi="Arial Narrow" w:cs="Arial"/>
                <w:noProof/>
                <w:color w:val="000000"/>
                <w:sz w:val="20"/>
                <w:szCs w:val="20"/>
                <w:highlight w:val="black"/>
              </w:rPr>
              <w:t>''''''''''''''''''''''''''''</w:t>
            </w:r>
          </w:p>
        </w:tc>
        <w:tc>
          <w:tcPr>
            <w:tcW w:w="640" w:type="pct"/>
            <w:vAlign w:val="bottom"/>
          </w:tcPr>
          <w:p w:rsidR="007A2258" w:rsidRPr="007A2258" w:rsidRDefault="007A2258" w:rsidP="00B2657B">
            <w:pPr>
              <w:keepNext/>
              <w:spacing w:before="40" w:after="40"/>
              <w:rPr>
                <w:rFonts w:ascii="Arial Narrow" w:eastAsia="Calibri" w:hAnsi="Arial Narrow" w:cs="Arial"/>
                <w:sz w:val="20"/>
                <w:szCs w:val="20"/>
              </w:rPr>
            </w:pPr>
            <w:r w:rsidRPr="007A2258">
              <w:rPr>
                <w:rFonts w:ascii="Arial Narrow" w:eastAsia="Calibri" w:hAnsi="Arial Narrow" w:cs="Arial"/>
                <w:sz w:val="20"/>
                <w:szCs w:val="20"/>
              </w:rPr>
              <w:t>$</w:t>
            </w:r>
            <w:r w:rsidR="004E43C3">
              <w:rPr>
                <w:rFonts w:ascii="Arial Narrow" w:eastAsia="Calibri" w:hAnsi="Arial Narrow" w:cs="Arial"/>
                <w:noProof/>
                <w:color w:val="000000"/>
                <w:sz w:val="20"/>
                <w:szCs w:val="20"/>
                <w:highlight w:val="black"/>
              </w:rPr>
              <w:t>''''''''''''''''''''''''''''''''</w:t>
            </w:r>
          </w:p>
        </w:tc>
      </w:tr>
      <w:tr w:rsidR="007A2258" w:rsidRPr="007A2258" w:rsidTr="00B2657B">
        <w:tc>
          <w:tcPr>
            <w:tcW w:w="1180" w:type="pct"/>
            <w:shd w:val="clear" w:color="auto" w:fill="auto"/>
            <w:vAlign w:val="center"/>
          </w:tcPr>
          <w:p w:rsidR="007A2258" w:rsidRPr="007A2258" w:rsidRDefault="007A2258" w:rsidP="00B2657B">
            <w:pPr>
              <w:keepNext/>
              <w:spacing w:before="40" w:after="40"/>
              <w:rPr>
                <w:rFonts w:ascii="Arial Narrow" w:eastAsia="Calibri" w:hAnsi="Arial Narrow" w:cs="Arial"/>
                <w:sz w:val="20"/>
                <w:szCs w:val="20"/>
              </w:rPr>
            </w:pPr>
            <w:r w:rsidRPr="007A2258">
              <w:rPr>
                <w:rFonts w:ascii="Arial Narrow" w:eastAsia="Calibri" w:hAnsi="Arial Narrow" w:cs="Arial"/>
                <w:sz w:val="20"/>
                <w:szCs w:val="20"/>
              </w:rPr>
              <w:t>Copayments</w:t>
            </w:r>
          </w:p>
        </w:tc>
        <w:tc>
          <w:tcPr>
            <w:tcW w:w="624" w:type="pct"/>
            <w:shd w:val="clear" w:color="auto" w:fill="auto"/>
            <w:vAlign w:val="bottom"/>
          </w:tcPr>
          <w:p w:rsidR="007A2258" w:rsidRPr="007A2258" w:rsidRDefault="007A2258" w:rsidP="00B2657B">
            <w:pPr>
              <w:keepNext/>
              <w:spacing w:before="40" w:after="40"/>
              <w:rPr>
                <w:rFonts w:ascii="Arial Narrow" w:eastAsia="Calibri" w:hAnsi="Arial Narrow" w:cs="Arial"/>
                <w:bCs/>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c>
          <w:tcPr>
            <w:tcW w:w="639" w:type="pct"/>
            <w:shd w:val="clear" w:color="auto" w:fill="auto"/>
            <w:vAlign w:val="bottom"/>
          </w:tcPr>
          <w:p w:rsidR="007A2258" w:rsidRPr="007A2258" w:rsidRDefault="007A2258" w:rsidP="00B2657B">
            <w:pPr>
              <w:keepNext/>
              <w:spacing w:before="40" w:after="40"/>
              <w:rPr>
                <w:rFonts w:ascii="Arial Narrow" w:eastAsia="Calibri" w:hAnsi="Arial Narrow" w:cs="Arial"/>
                <w:bCs/>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c>
          <w:tcPr>
            <w:tcW w:w="639" w:type="pct"/>
            <w:shd w:val="clear" w:color="auto" w:fill="auto"/>
            <w:vAlign w:val="bottom"/>
          </w:tcPr>
          <w:p w:rsidR="007A2258" w:rsidRPr="007A2258" w:rsidRDefault="007A2258" w:rsidP="00B2657B">
            <w:pPr>
              <w:keepNext/>
              <w:spacing w:before="40" w:after="40"/>
              <w:rPr>
                <w:rFonts w:ascii="Arial Narrow" w:eastAsia="Calibri" w:hAnsi="Arial Narrow" w:cs="Arial"/>
                <w:bCs/>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c>
          <w:tcPr>
            <w:tcW w:w="639" w:type="pct"/>
            <w:shd w:val="clear" w:color="auto" w:fill="auto"/>
            <w:vAlign w:val="bottom"/>
          </w:tcPr>
          <w:p w:rsidR="007A2258" w:rsidRPr="007A2258" w:rsidRDefault="007A2258" w:rsidP="00B2657B">
            <w:pPr>
              <w:keepNext/>
              <w:spacing w:before="40" w:after="40"/>
              <w:rPr>
                <w:rFonts w:ascii="Arial Narrow" w:eastAsia="Calibri" w:hAnsi="Arial Narrow" w:cs="Arial"/>
                <w:bCs/>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c>
          <w:tcPr>
            <w:tcW w:w="639" w:type="pct"/>
            <w:shd w:val="clear" w:color="auto" w:fill="auto"/>
            <w:vAlign w:val="bottom"/>
          </w:tcPr>
          <w:p w:rsidR="007A2258" w:rsidRPr="007A2258" w:rsidRDefault="007A2258" w:rsidP="00B2657B">
            <w:pPr>
              <w:keepNext/>
              <w:spacing w:before="40" w:after="40"/>
              <w:rPr>
                <w:rFonts w:ascii="Arial Narrow" w:eastAsia="Calibri" w:hAnsi="Arial Narrow" w:cs="Arial"/>
                <w:bCs/>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c>
          <w:tcPr>
            <w:tcW w:w="640" w:type="pct"/>
            <w:vAlign w:val="bottom"/>
          </w:tcPr>
          <w:p w:rsidR="007A2258" w:rsidRPr="007A2258" w:rsidRDefault="007A2258" w:rsidP="00B2657B">
            <w:pPr>
              <w:keepNext/>
              <w:spacing w:before="40" w:after="40"/>
              <w:rPr>
                <w:rFonts w:ascii="Arial Narrow" w:eastAsia="Calibri" w:hAnsi="Arial Narrow" w:cs="Arial"/>
                <w:bCs/>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r>
      <w:tr w:rsidR="007A2258" w:rsidRPr="007A2258" w:rsidTr="00B2657B">
        <w:tc>
          <w:tcPr>
            <w:tcW w:w="1180" w:type="pct"/>
            <w:shd w:val="clear" w:color="auto" w:fill="auto"/>
            <w:vAlign w:val="center"/>
          </w:tcPr>
          <w:p w:rsidR="007A2258" w:rsidRPr="007A2258" w:rsidRDefault="007A2258" w:rsidP="00B2657B">
            <w:pPr>
              <w:keepNext/>
              <w:spacing w:before="40" w:after="40"/>
              <w:rPr>
                <w:rFonts w:ascii="Arial Narrow" w:eastAsia="Calibri" w:hAnsi="Arial Narrow" w:cs="Arial"/>
                <w:sz w:val="20"/>
                <w:szCs w:val="20"/>
              </w:rPr>
            </w:pPr>
            <w:r w:rsidRPr="007A2258">
              <w:rPr>
                <w:rFonts w:ascii="Arial Narrow" w:eastAsia="Calibri" w:hAnsi="Arial Narrow" w:cs="Arial"/>
                <w:sz w:val="20"/>
                <w:szCs w:val="20"/>
              </w:rPr>
              <w:t>Net cost to PBS/RPBS less copayments</w:t>
            </w:r>
          </w:p>
        </w:tc>
        <w:tc>
          <w:tcPr>
            <w:tcW w:w="624" w:type="pct"/>
            <w:shd w:val="clear" w:color="auto" w:fill="auto"/>
            <w:vAlign w:val="bottom"/>
          </w:tcPr>
          <w:p w:rsidR="007A2258" w:rsidRPr="007A2258" w:rsidRDefault="007A2258" w:rsidP="00B2657B">
            <w:pPr>
              <w:keepNext/>
              <w:spacing w:before="40" w:after="40"/>
              <w:rPr>
                <w:rFonts w:ascii="Arial Narrow" w:eastAsia="Calibri" w:hAnsi="Arial Narrow" w:cs="Arial"/>
                <w:bCs/>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c>
          <w:tcPr>
            <w:tcW w:w="639" w:type="pct"/>
            <w:shd w:val="clear" w:color="auto" w:fill="auto"/>
            <w:vAlign w:val="bottom"/>
          </w:tcPr>
          <w:p w:rsidR="007A2258" w:rsidRPr="007A2258" w:rsidRDefault="007A2258" w:rsidP="00B2657B">
            <w:pPr>
              <w:keepNext/>
              <w:spacing w:before="40" w:after="40"/>
              <w:rPr>
                <w:rFonts w:ascii="Arial Narrow" w:eastAsia="Calibri" w:hAnsi="Arial Narrow" w:cs="Arial"/>
                <w:bCs/>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c>
          <w:tcPr>
            <w:tcW w:w="639" w:type="pct"/>
            <w:shd w:val="clear" w:color="auto" w:fill="auto"/>
            <w:vAlign w:val="bottom"/>
          </w:tcPr>
          <w:p w:rsidR="007A2258" w:rsidRPr="007A2258" w:rsidRDefault="007A2258" w:rsidP="00B2657B">
            <w:pPr>
              <w:keepNext/>
              <w:spacing w:before="40" w:after="40"/>
              <w:rPr>
                <w:rFonts w:ascii="Arial Narrow" w:eastAsia="Calibri" w:hAnsi="Arial Narrow" w:cs="Arial"/>
                <w:bCs/>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c>
          <w:tcPr>
            <w:tcW w:w="639" w:type="pct"/>
            <w:shd w:val="clear" w:color="auto" w:fill="auto"/>
            <w:vAlign w:val="bottom"/>
          </w:tcPr>
          <w:p w:rsidR="007A2258" w:rsidRPr="007A2258" w:rsidRDefault="007A2258" w:rsidP="00B2657B">
            <w:pPr>
              <w:keepNext/>
              <w:spacing w:before="40" w:after="40"/>
              <w:rPr>
                <w:rFonts w:ascii="Arial Narrow" w:eastAsia="Calibri" w:hAnsi="Arial Narrow" w:cs="Arial"/>
                <w:bCs/>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c>
          <w:tcPr>
            <w:tcW w:w="639" w:type="pct"/>
            <w:shd w:val="clear" w:color="auto" w:fill="auto"/>
            <w:vAlign w:val="bottom"/>
          </w:tcPr>
          <w:p w:rsidR="007A2258" w:rsidRPr="007A2258" w:rsidRDefault="007A2258" w:rsidP="00B2657B">
            <w:pPr>
              <w:keepNext/>
              <w:spacing w:before="40" w:after="40"/>
              <w:rPr>
                <w:rFonts w:ascii="Arial Narrow" w:eastAsia="Calibri" w:hAnsi="Arial Narrow" w:cs="Arial"/>
                <w:bCs/>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c>
          <w:tcPr>
            <w:tcW w:w="640" w:type="pct"/>
            <w:vAlign w:val="bottom"/>
          </w:tcPr>
          <w:p w:rsidR="007A2258" w:rsidRPr="007A2258" w:rsidRDefault="007A2258" w:rsidP="00B2657B">
            <w:pPr>
              <w:keepNext/>
              <w:spacing w:before="40" w:after="40"/>
              <w:rPr>
                <w:rFonts w:ascii="Arial Narrow" w:eastAsia="Calibri" w:hAnsi="Arial Narrow" w:cs="Arial"/>
                <w:bCs/>
                <w:sz w:val="20"/>
                <w:szCs w:val="20"/>
              </w:rPr>
            </w:pPr>
            <w:r w:rsidRPr="007A2258">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r>
      <w:tr w:rsidR="007A2258" w:rsidRPr="007A2258" w:rsidTr="00B2657B">
        <w:tc>
          <w:tcPr>
            <w:tcW w:w="5000" w:type="pct"/>
            <w:gridSpan w:val="7"/>
            <w:shd w:val="clear" w:color="auto" w:fill="auto"/>
            <w:vAlign w:val="center"/>
          </w:tcPr>
          <w:p w:rsidR="007A2258" w:rsidRPr="007A2258" w:rsidRDefault="007A2258" w:rsidP="00B2657B">
            <w:pPr>
              <w:keepNext/>
              <w:spacing w:before="40" w:after="40"/>
              <w:rPr>
                <w:rFonts w:ascii="Arial Narrow" w:eastAsia="Calibri" w:hAnsi="Arial Narrow" w:cs="Arial"/>
                <w:b/>
                <w:bCs/>
                <w:sz w:val="20"/>
                <w:szCs w:val="20"/>
              </w:rPr>
            </w:pPr>
            <w:r w:rsidRPr="007A2258">
              <w:rPr>
                <w:rFonts w:ascii="Arial Narrow" w:eastAsia="Calibri" w:hAnsi="Arial Narrow" w:cs="Arial"/>
                <w:b/>
                <w:bCs/>
                <w:sz w:val="20"/>
                <w:szCs w:val="20"/>
              </w:rPr>
              <w:t xml:space="preserve">Net financial implications </w:t>
            </w:r>
          </w:p>
        </w:tc>
      </w:tr>
      <w:tr w:rsidR="007A2258" w:rsidRPr="007A2258" w:rsidTr="00B2657B">
        <w:tc>
          <w:tcPr>
            <w:tcW w:w="1180" w:type="pct"/>
            <w:shd w:val="clear" w:color="auto" w:fill="auto"/>
            <w:vAlign w:val="center"/>
          </w:tcPr>
          <w:p w:rsidR="007A2258" w:rsidRPr="007A2258" w:rsidRDefault="007A2258" w:rsidP="00B2657B">
            <w:pPr>
              <w:keepNext/>
              <w:spacing w:before="40" w:after="40"/>
              <w:rPr>
                <w:rFonts w:ascii="Times" w:eastAsia="Times New Roman" w:hAnsi="Times" w:cs="Times New Roman"/>
                <w:sz w:val="20"/>
                <w:szCs w:val="20"/>
              </w:rPr>
            </w:pPr>
            <w:r w:rsidRPr="007A2258">
              <w:rPr>
                <w:rFonts w:ascii="Arial Narrow" w:eastAsia="Calibri" w:hAnsi="Arial Narrow" w:cs="Arial"/>
                <w:sz w:val="20"/>
                <w:szCs w:val="20"/>
              </w:rPr>
              <w:t xml:space="preserve">Net cost to MBS </w:t>
            </w:r>
          </w:p>
        </w:tc>
        <w:tc>
          <w:tcPr>
            <w:tcW w:w="624" w:type="pct"/>
            <w:shd w:val="clear" w:color="auto" w:fill="auto"/>
            <w:vAlign w:val="bottom"/>
          </w:tcPr>
          <w:p w:rsidR="007A2258" w:rsidRPr="007A2258" w:rsidRDefault="007A2258" w:rsidP="00B2657B">
            <w:pPr>
              <w:keepNext/>
              <w:spacing w:before="40" w:after="40"/>
              <w:rPr>
                <w:rFonts w:ascii="Arial Narrow" w:eastAsia="Calibri" w:hAnsi="Arial Narrow" w:cs="Arial"/>
                <w:bCs/>
                <w:sz w:val="20"/>
                <w:szCs w:val="20"/>
              </w:rPr>
            </w:pPr>
            <w:r w:rsidRPr="007A2258">
              <w:rPr>
                <w:rFonts w:ascii="Arial Narrow" w:eastAsia="Times New Roman" w:hAnsi="Arial Narrow" w:cs="Arial"/>
                <w:snapToGrid w:val="0"/>
                <w:sz w:val="20"/>
                <w:szCs w:val="20"/>
              </w:rPr>
              <w:t>$5,214,663</w:t>
            </w:r>
          </w:p>
        </w:tc>
        <w:tc>
          <w:tcPr>
            <w:tcW w:w="639" w:type="pct"/>
            <w:shd w:val="clear" w:color="auto" w:fill="auto"/>
            <w:vAlign w:val="bottom"/>
          </w:tcPr>
          <w:p w:rsidR="007A2258" w:rsidRPr="007A2258" w:rsidRDefault="007A2258" w:rsidP="00B2657B">
            <w:pPr>
              <w:keepNext/>
              <w:spacing w:before="40" w:after="40"/>
              <w:rPr>
                <w:rFonts w:ascii="Arial Narrow" w:eastAsia="Calibri" w:hAnsi="Arial Narrow" w:cs="Arial"/>
                <w:bCs/>
                <w:sz w:val="20"/>
                <w:szCs w:val="20"/>
              </w:rPr>
            </w:pPr>
            <w:r w:rsidRPr="007A2258">
              <w:rPr>
                <w:rFonts w:ascii="Arial Narrow" w:eastAsia="Times New Roman" w:hAnsi="Arial Narrow" w:cs="Arial"/>
                <w:snapToGrid w:val="0"/>
                <w:sz w:val="20"/>
                <w:szCs w:val="20"/>
              </w:rPr>
              <w:t>$13,137,229</w:t>
            </w:r>
          </w:p>
        </w:tc>
        <w:tc>
          <w:tcPr>
            <w:tcW w:w="639" w:type="pct"/>
            <w:shd w:val="clear" w:color="auto" w:fill="auto"/>
            <w:vAlign w:val="bottom"/>
          </w:tcPr>
          <w:p w:rsidR="007A2258" w:rsidRPr="007A2258" w:rsidRDefault="007A2258" w:rsidP="00B2657B">
            <w:pPr>
              <w:keepNext/>
              <w:spacing w:before="40" w:after="40"/>
              <w:rPr>
                <w:rFonts w:ascii="Arial Narrow" w:eastAsia="Calibri" w:hAnsi="Arial Narrow" w:cs="Arial"/>
                <w:bCs/>
                <w:sz w:val="20"/>
                <w:szCs w:val="20"/>
              </w:rPr>
            </w:pPr>
            <w:r w:rsidRPr="007A2258">
              <w:rPr>
                <w:rFonts w:ascii="Arial Narrow" w:eastAsia="Times New Roman" w:hAnsi="Arial Narrow" w:cs="Arial"/>
                <w:snapToGrid w:val="0"/>
                <w:sz w:val="20"/>
                <w:szCs w:val="20"/>
              </w:rPr>
              <w:t>$15,982,452</w:t>
            </w:r>
          </w:p>
        </w:tc>
        <w:tc>
          <w:tcPr>
            <w:tcW w:w="639" w:type="pct"/>
            <w:shd w:val="clear" w:color="auto" w:fill="auto"/>
            <w:vAlign w:val="bottom"/>
          </w:tcPr>
          <w:p w:rsidR="007A2258" w:rsidRPr="007A2258" w:rsidRDefault="007A2258" w:rsidP="00B2657B">
            <w:pPr>
              <w:keepNext/>
              <w:spacing w:before="40" w:after="40"/>
              <w:rPr>
                <w:rFonts w:ascii="Arial Narrow" w:eastAsia="Calibri" w:hAnsi="Arial Narrow" w:cs="Arial"/>
                <w:bCs/>
                <w:sz w:val="20"/>
                <w:szCs w:val="20"/>
              </w:rPr>
            </w:pPr>
            <w:r w:rsidRPr="007A2258">
              <w:rPr>
                <w:rFonts w:ascii="Arial Narrow" w:eastAsia="Times New Roman" w:hAnsi="Arial Narrow" w:cs="Arial"/>
                <w:snapToGrid w:val="0"/>
                <w:sz w:val="20"/>
                <w:szCs w:val="20"/>
              </w:rPr>
              <w:t>$17,089,239</w:t>
            </w:r>
          </w:p>
        </w:tc>
        <w:tc>
          <w:tcPr>
            <w:tcW w:w="639" w:type="pct"/>
            <w:shd w:val="clear" w:color="auto" w:fill="auto"/>
            <w:vAlign w:val="bottom"/>
          </w:tcPr>
          <w:p w:rsidR="007A2258" w:rsidRPr="007A2258" w:rsidRDefault="007A2258" w:rsidP="00B2657B">
            <w:pPr>
              <w:keepNext/>
              <w:spacing w:before="40" w:after="40"/>
              <w:rPr>
                <w:rFonts w:ascii="Arial Narrow" w:eastAsia="Calibri" w:hAnsi="Arial Narrow" w:cs="Arial"/>
                <w:bCs/>
                <w:sz w:val="20"/>
                <w:szCs w:val="20"/>
              </w:rPr>
            </w:pPr>
            <w:r w:rsidRPr="007A2258">
              <w:rPr>
                <w:rFonts w:ascii="Arial Narrow" w:eastAsia="Times New Roman" w:hAnsi="Arial Narrow" w:cs="Arial"/>
                <w:snapToGrid w:val="0"/>
                <w:sz w:val="20"/>
                <w:szCs w:val="20"/>
              </w:rPr>
              <w:t>$17,493,907</w:t>
            </w:r>
          </w:p>
        </w:tc>
        <w:tc>
          <w:tcPr>
            <w:tcW w:w="640" w:type="pct"/>
            <w:vAlign w:val="bottom"/>
          </w:tcPr>
          <w:p w:rsidR="007A2258" w:rsidRPr="007A2258" w:rsidRDefault="007A2258" w:rsidP="00B2657B">
            <w:pPr>
              <w:keepNext/>
              <w:spacing w:before="40" w:after="40"/>
              <w:rPr>
                <w:rFonts w:ascii="Arial Narrow" w:eastAsia="Calibri" w:hAnsi="Arial Narrow" w:cs="Arial"/>
                <w:bCs/>
                <w:sz w:val="20"/>
                <w:szCs w:val="20"/>
              </w:rPr>
            </w:pPr>
            <w:r w:rsidRPr="007A2258">
              <w:rPr>
                <w:rFonts w:ascii="Arial Narrow" w:eastAsia="Times New Roman" w:hAnsi="Arial Narrow" w:cs="Arial"/>
                <w:snapToGrid w:val="0"/>
                <w:sz w:val="20"/>
                <w:szCs w:val="20"/>
              </w:rPr>
              <w:t>$17,623,242</w:t>
            </w:r>
          </w:p>
        </w:tc>
      </w:tr>
      <w:tr w:rsidR="007A2258" w:rsidRPr="007A2258" w:rsidTr="00B2657B">
        <w:tc>
          <w:tcPr>
            <w:tcW w:w="1180" w:type="pct"/>
            <w:shd w:val="clear" w:color="auto" w:fill="auto"/>
            <w:vAlign w:val="center"/>
          </w:tcPr>
          <w:p w:rsidR="007A2258" w:rsidRPr="007A2258" w:rsidRDefault="007A2258" w:rsidP="00B2657B">
            <w:pPr>
              <w:keepNext/>
              <w:spacing w:before="40" w:after="40"/>
              <w:rPr>
                <w:rFonts w:ascii="Arial Narrow" w:eastAsia="Calibri" w:hAnsi="Arial Narrow" w:cs="Arial"/>
                <w:sz w:val="20"/>
                <w:szCs w:val="20"/>
              </w:rPr>
            </w:pPr>
            <w:r w:rsidRPr="007A2258">
              <w:rPr>
                <w:rFonts w:ascii="Arial Narrow" w:eastAsia="Calibri" w:hAnsi="Arial Narrow" w:cs="Arial"/>
                <w:sz w:val="20"/>
                <w:szCs w:val="20"/>
              </w:rPr>
              <w:t>Overall impact on government health budgets</w:t>
            </w:r>
          </w:p>
        </w:tc>
        <w:tc>
          <w:tcPr>
            <w:tcW w:w="624" w:type="pct"/>
            <w:shd w:val="clear" w:color="auto" w:fill="auto"/>
            <w:vAlign w:val="bottom"/>
          </w:tcPr>
          <w:p w:rsidR="007A2258" w:rsidRPr="002D6105" w:rsidRDefault="007A2258" w:rsidP="00B2657B">
            <w:pPr>
              <w:keepNext/>
              <w:spacing w:before="40" w:after="40"/>
              <w:rPr>
                <w:rFonts w:ascii="Arial Narrow" w:eastAsia="Calibri" w:hAnsi="Arial Narrow" w:cs="Arial"/>
                <w:bCs/>
                <w:sz w:val="20"/>
                <w:szCs w:val="20"/>
              </w:rPr>
            </w:pPr>
            <w:r w:rsidRPr="002D6105">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c>
          <w:tcPr>
            <w:tcW w:w="639" w:type="pct"/>
            <w:shd w:val="clear" w:color="auto" w:fill="auto"/>
            <w:vAlign w:val="bottom"/>
          </w:tcPr>
          <w:p w:rsidR="007A2258" w:rsidRPr="002D6105" w:rsidRDefault="007A2258" w:rsidP="00B2657B">
            <w:pPr>
              <w:keepNext/>
              <w:spacing w:before="40" w:after="40"/>
              <w:rPr>
                <w:rFonts w:ascii="Arial Narrow" w:eastAsia="Calibri" w:hAnsi="Arial Narrow" w:cs="Arial"/>
                <w:bCs/>
                <w:sz w:val="20"/>
                <w:szCs w:val="20"/>
              </w:rPr>
            </w:pPr>
            <w:r w:rsidRPr="002D6105">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c>
          <w:tcPr>
            <w:tcW w:w="639" w:type="pct"/>
            <w:shd w:val="clear" w:color="auto" w:fill="auto"/>
            <w:vAlign w:val="bottom"/>
          </w:tcPr>
          <w:p w:rsidR="007A2258" w:rsidRPr="002D6105" w:rsidRDefault="007A2258" w:rsidP="00B2657B">
            <w:pPr>
              <w:keepNext/>
              <w:spacing w:before="40" w:after="40"/>
              <w:rPr>
                <w:rFonts w:ascii="Arial Narrow" w:eastAsia="Calibri" w:hAnsi="Arial Narrow" w:cs="Arial"/>
                <w:bCs/>
                <w:sz w:val="20"/>
                <w:szCs w:val="20"/>
              </w:rPr>
            </w:pPr>
            <w:r w:rsidRPr="002D6105">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c>
          <w:tcPr>
            <w:tcW w:w="639" w:type="pct"/>
            <w:shd w:val="clear" w:color="auto" w:fill="auto"/>
            <w:vAlign w:val="bottom"/>
          </w:tcPr>
          <w:p w:rsidR="007A2258" w:rsidRPr="002D6105" w:rsidRDefault="007A2258" w:rsidP="00B2657B">
            <w:pPr>
              <w:keepNext/>
              <w:spacing w:before="40" w:after="40"/>
              <w:rPr>
                <w:rFonts w:ascii="Arial Narrow" w:eastAsia="Calibri" w:hAnsi="Arial Narrow" w:cs="Arial"/>
                <w:bCs/>
                <w:sz w:val="20"/>
                <w:szCs w:val="20"/>
              </w:rPr>
            </w:pPr>
            <w:r w:rsidRPr="002D6105">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c>
          <w:tcPr>
            <w:tcW w:w="639" w:type="pct"/>
            <w:shd w:val="clear" w:color="auto" w:fill="auto"/>
            <w:vAlign w:val="bottom"/>
          </w:tcPr>
          <w:p w:rsidR="007A2258" w:rsidRPr="002D6105" w:rsidRDefault="007A2258" w:rsidP="00B2657B">
            <w:pPr>
              <w:keepNext/>
              <w:spacing w:before="40" w:after="40"/>
              <w:rPr>
                <w:rFonts w:ascii="Arial Narrow" w:eastAsia="Calibri" w:hAnsi="Arial Narrow" w:cs="Arial"/>
                <w:bCs/>
                <w:sz w:val="20"/>
                <w:szCs w:val="20"/>
              </w:rPr>
            </w:pPr>
            <w:r w:rsidRPr="002D6105">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c>
          <w:tcPr>
            <w:tcW w:w="640" w:type="pct"/>
            <w:vAlign w:val="bottom"/>
          </w:tcPr>
          <w:p w:rsidR="007A2258" w:rsidRPr="002D6105" w:rsidRDefault="007A2258" w:rsidP="00B2657B">
            <w:pPr>
              <w:keepNext/>
              <w:spacing w:before="40" w:after="40"/>
              <w:rPr>
                <w:rFonts w:ascii="Arial Narrow" w:eastAsia="Calibri" w:hAnsi="Arial Narrow" w:cs="Arial"/>
                <w:bCs/>
                <w:sz w:val="20"/>
                <w:szCs w:val="20"/>
              </w:rPr>
            </w:pPr>
            <w:r w:rsidRPr="002D6105">
              <w:rPr>
                <w:rFonts w:ascii="Arial Narrow" w:eastAsia="Times New Roman" w:hAnsi="Arial Narrow" w:cs="Arial"/>
                <w:snapToGrid w:val="0"/>
                <w:sz w:val="20"/>
                <w:szCs w:val="20"/>
              </w:rPr>
              <w:t>$</w:t>
            </w:r>
            <w:r w:rsidR="004E43C3">
              <w:rPr>
                <w:rFonts w:ascii="Arial Narrow" w:eastAsia="Times New Roman" w:hAnsi="Arial Narrow" w:cs="Arial"/>
                <w:noProof/>
                <w:snapToGrid w:val="0"/>
                <w:color w:val="000000"/>
                <w:sz w:val="20"/>
                <w:szCs w:val="20"/>
                <w:highlight w:val="black"/>
              </w:rPr>
              <w:t>'''''''''''''''''''''''''''''</w:t>
            </w:r>
          </w:p>
        </w:tc>
      </w:tr>
    </w:tbl>
    <w:p w:rsidR="007A2258" w:rsidRPr="007A2258" w:rsidRDefault="007A2258" w:rsidP="007A2258">
      <w:pPr>
        <w:widowControl w:val="0"/>
        <w:spacing w:before="0" w:after="120"/>
        <w:contextualSpacing/>
        <w:jc w:val="both"/>
        <w:rPr>
          <w:rFonts w:ascii="Arial Narrow" w:eastAsia="Times New Roman" w:hAnsi="Arial Narrow" w:cs="Arial"/>
          <w:snapToGrid w:val="0"/>
          <w:sz w:val="18"/>
          <w:szCs w:val="20"/>
        </w:rPr>
      </w:pPr>
      <w:r w:rsidRPr="007A2258">
        <w:rPr>
          <w:rFonts w:ascii="Arial Narrow" w:eastAsia="Times New Roman" w:hAnsi="Arial Narrow" w:cs="Arial"/>
          <w:snapToGrid w:val="0"/>
          <w:sz w:val="18"/>
          <w:szCs w:val="20"/>
          <w:vertAlign w:val="superscript"/>
        </w:rPr>
        <w:t>a</w:t>
      </w:r>
      <w:r w:rsidRPr="007A2258">
        <w:rPr>
          <w:rFonts w:ascii="Arial Narrow" w:eastAsia="Times New Roman" w:hAnsi="Arial Narrow" w:cs="Arial"/>
          <w:snapToGrid w:val="0"/>
          <w:sz w:val="18"/>
          <w:szCs w:val="20"/>
        </w:rPr>
        <w:t>Assuming 10.95 per year as estimated by the submission.</w:t>
      </w:r>
    </w:p>
    <w:p w:rsidR="007A2258" w:rsidRPr="007A2258" w:rsidRDefault="007A2258" w:rsidP="007A2258">
      <w:pPr>
        <w:widowControl w:val="0"/>
        <w:spacing w:before="0" w:after="120"/>
        <w:contextualSpacing/>
        <w:jc w:val="both"/>
        <w:rPr>
          <w:rFonts w:ascii="Arial Narrow" w:eastAsia="Times New Roman" w:hAnsi="Arial Narrow" w:cs="Arial"/>
          <w:snapToGrid w:val="0"/>
          <w:sz w:val="18"/>
          <w:szCs w:val="20"/>
        </w:rPr>
      </w:pPr>
      <w:r w:rsidRPr="007A2258">
        <w:rPr>
          <w:rFonts w:ascii="Arial Narrow" w:eastAsia="Times New Roman" w:hAnsi="Arial Narrow" w:cs="Arial"/>
          <w:snapToGrid w:val="0"/>
          <w:sz w:val="18"/>
          <w:szCs w:val="20"/>
        </w:rPr>
        <w:t>Source Table E.3, p.102Table E.4; Table E.5, p.103 of the resubmission</w:t>
      </w:r>
    </w:p>
    <w:p w:rsidR="007A2258" w:rsidRPr="007A2258" w:rsidRDefault="007A2258" w:rsidP="007A2258">
      <w:pPr>
        <w:widowControl w:val="0"/>
        <w:spacing w:before="0" w:after="120"/>
        <w:contextualSpacing/>
        <w:jc w:val="both"/>
        <w:rPr>
          <w:rFonts w:ascii="Arial Narrow" w:eastAsia="Times New Roman" w:hAnsi="Arial Narrow" w:cs="Arial"/>
          <w:snapToGrid w:val="0"/>
          <w:sz w:val="18"/>
          <w:szCs w:val="20"/>
        </w:rPr>
      </w:pPr>
    </w:p>
    <w:p w:rsidR="007A2258" w:rsidRPr="007A2258" w:rsidRDefault="00CB51BF" w:rsidP="007A2258">
      <w:pPr>
        <w:pStyle w:val="ListParagraph"/>
        <w:numPr>
          <w:ilvl w:val="1"/>
          <w:numId w:val="23"/>
        </w:numPr>
        <w:jc w:val="both"/>
        <w:rPr>
          <w:szCs w:val="24"/>
        </w:rPr>
      </w:pPr>
      <w:r>
        <w:rPr>
          <w:szCs w:val="24"/>
        </w:rPr>
        <w:t>The submission estimated that the cost to the PBS/RPBS of listing TNF/FTC for PrEP at the proposed price would be</w:t>
      </w:r>
      <w:r w:rsidR="00005C68">
        <w:rPr>
          <w:szCs w:val="24"/>
        </w:rPr>
        <w:t xml:space="preserve"> substantially more than</w:t>
      </w:r>
      <w:r>
        <w:rPr>
          <w:szCs w:val="24"/>
        </w:rPr>
        <w:t xml:space="preserve"> $</w:t>
      </w:r>
      <w:r w:rsidR="00005C68">
        <w:rPr>
          <w:szCs w:val="24"/>
        </w:rPr>
        <w:t>100 million</w:t>
      </w:r>
      <w:r>
        <w:rPr>
          <w:szCs w:val="24"/>
        </w:rPr>
        <w:t xml:space="preserve"> over 6 years. However, t</w:t>
      </w:r>
      <w:r w:rsidR="007A2258" w:rsidRPr="007A2258">
        <w:rPr>
          <w:szCs w:val="24"/>
        </w:rPr>
        <w:t>he DUSC considered the estimates presented in the submission to be underestimated in the first listing year and high over the remaining forward estimates period. The main issues are:</w:t>
      </w:r>
    </w:p>
    <w:p w:rsidR="007A2258" w:rsidRPr="007A2258" w:rsidRDefault="007A2258" w:rsidP="007A2258">
      <w:pPr>
        <w:pStyle w:val="ListParagraph"/>
        <w:numPr>
          <w:ilvl w:val="0"/>
          <w:numId w:val="24"/>
        </w:numPr>
        <w:spacing w:before="0" w:after="0"/>
        <w:ind w:left="851" w:hanging="284"/>
        <w:jc w:val="both"/>
        <w:rPr>
          <w:rFonts w:eastAsia="Times New Roman" w:cs="Arial"/>
          <w:snapToGrid w:val="0"/>
          <w:szCs w:val="20"/>
        </w:rPr>
      </w:pPr>
      <w:r w:rsidRPr="007A2258">
        <w:rPr>
          <w:rFonts w:eastAsia="Times New Roman" w:cs="Arial"/>
          <w:snapToGrid w:val="0"/>
          <w:szCs w:val="20"/>
        </w:rPr>
        <w:t>The reliability of projecting the treated population based on the dynamic transmission model is uncertain. The estimate of the susceptible population at risk of acquiring HIV could not be verified. The model is highly sensitive to the way the force of infection is applied between the acute and chronic infection states.</w:t>
      </w:r>
    </w:p>
    <w:p w:rsidR="007A2258" w:rsidRPr="007A2258" w:rsidRDefault="007A2258" w:rsidP="007A2258">
      <w:pPr>
        <w:pStyle w:val="ListParagraph"/>
        <w:numPr>
          <w:ilvl w:val="0"/>
          <w:numId w:val="24"/>
        </w:numPr>
        <w:spacing w:before="0" w:after="0"/>
        <w:ind w:left="851" w:hanging="284"/>
        <w:jc w:val="both"/>
        <w:rPr>
          <w:rFonts w:eastAsia="Times New Roman" w:cs="Arial"/>
          <w:snapToGrid w:val="0"/>
          <w:szCs w:val="20"/>
        </w:rPr>
      </w:pPr>
      <w:r w:rsidRPr="007A2258">
        <w:rPr>
          <w:rFonts w:eastAsia="Times New Roman" w:cs="Arial"/>
          <w:snapToGrid w:val="0"/>
          <w:szCs w:val="20"/>
        </w:rPr>
        <w:t xml:space="preserve">The forecasted treated population for Year 1 was likely to be an underestimate. Individuals receiving PrEP through existing demonstration projects would be expected to transition to PBS subsidised PrEP. It was estimated that around 8,000 individuals were enrolled in demonstration projects. </w:t>
      </w:r>
    </w:p>
    <w:p w:rsidR="007A2258" w:rsidRPr="007A2258" w:rsidRDefault="007A2258" w:rsidP="007A2258">
      <w:pPr>
        <w:pStyle w:val="ListParagraph"/>
        <w:numPr>
          <w:ilvl w:val="0"/>
          <w:numId w:val="24"/>
        </w:numPr>
        <w:spacing w:before="0" w:after="0"/>
        <w:ind w:left="851" w:hanging="284"/>
        <w:jc w:val="both"/>
        <w:rPr>
          <w:rFonts w:eastAsia="Times New Roman" w:cs="Arial"/>
          <w:snapToGrid w:val="0"/>
          <w:szCs w:val="20"/>
        </w:rPr>
      </w:pPr>
      <w:r w:rsidRPr="007A2258">
        <w:rPr>
          <w:rFonts w:eastAsia="Times New Roman" w:cs="Arial"/>
          <w:snapToGrid w:val="0"/>
          <w:szCs w:val="20"/>
        </w:rPr>
        <w:t>The projected treated population from Year 2 is likely to be overestimated. The eligible population for males who have sex with males (MSM) is considered to be between 20,000 and 26,000.</w:t>
      </w:r>
      <w:r w:rsidR="00AB76AC">
        <w:rPr>
          <w:rFonts w:eastAsia="Times New Roman" w:cs="Arial"/>
          <w:snapToGrid w:val="0"/>
          <w:szCs w:val="20"/>
        </w:rPr>
        <w:t xml:space="preserve"> </w:t>
      </w:r>
      <w:r w:rsidRPr="007A2258">
        <w:rPr>
          <w:rFonts w:eastAsia="Times New Roman" w:cs="Arial"/>
          <w:snapToGrid w:val="0"/>
          <w:szCs w:val="20"/>
        </w:rPr>
        <w:t>While the heterosexual population will also have access to PrEP, this population is relatively small (representing around 19% of infections) compared to the MSM population. The assumption of a treatment uptake of 90% in the outer years appears high in the context of only 75% of individuals with HIV being treated with antiretroviral therapy (ART).</w:t>
      </w:r>
      <w:r w:rsidRPr="00F638B4">
        <w:rPr>
          <w:rFonts w:eastAsia="Times New Roman"/>
          <w:snapToGrid w:val="0"/>
          <w:szCs w:val="20"/>
          <w:vertAlign w:val="superscript"/>
        </w:rPr>
        <w:footnoteReference w:id="3"/>
      </w:r>
      <w:r w:rsidRPr="007A2258">
        <w:rPr>
          <w:rFonts w:eastAsia="Times New Roman" w:cs="Arial"/>
          <w:snapToGrid w:val="0"/>
          <w:szCs w:val="20"/>
        </w:rPr>
        <w:t xml:space="preserve"> </w:t>
      </w:r>
    </w:p>
    <w:p w:rsidR="007A2258" w:rsidRPr="007A2258" w:rsidRDefault="007A2258" w:rsidP="007A2258">
      <w:pPr>
        <w:pStyle w:val="ListParagraph"/>
        <w:numPr>
          <w:ilvl w:val="0"/>
          <w:numId w:val="24"/>
        </w:numPr>
        <w:spacing w:before="0" w:after="0"/>
        <w:ind w:left="851" w:hanging="284"/>
        <w:jc w:val="both"/>
        <w:rPr>
          <w:rFonts w:eastAsia="Times New Roman" w:cs="Arial"/>
          <w:snapToGrid w:val="0"/>
          <w:szCs w:val="20"/>
        </w:rPr>
      </w:pPr>
      <w:r w:rsidRPr="007A2258">
        <w:rPr>
          <w:rFonts w:eastAsia="Times New Roman" w:cs="Arial"/>
          <w:snapToGrid w:val="0"/>
          <w:szCs w:val="20"/>
        </w:rPr>
        <w:t xml:space="preserve">The treatment duration for PrEP is uncertain and there is no rule for stopping therapy in the proposed restriction. </w:t>
      </w:r>
    </w:p>
    <w:p w:rsidR="007A2258" w:rsidRPr="007A2258" w:rsidRDefault="007A2258" w:rsidP="007A2258">
      <w:pPr>
        <w:pStyle w:val="ListParagraph"/>
        <w:numPr>
          <w:ilvl w:val="0"/>
          <w:numId w:val="24"/>
        </w:numPr>
        <w:spacing w:before="0" w:after="0"/>
        <w:ind w:left="851" w:hanging="284"/>
        <w:jc w:val="both"/>
        <w:rPr>
          <w:rFonts w:eastAsia="Times New Roman" w:cs="Arial"/>
          <w:snapToGrid w:val="0"/>
          <w:szCs w:val="20"/>
        </w:rPr>
      </w:pPr>
      <w:r w:rsidRPr="007A2258">
        <w:rPr>
          <w:rFonts w:eastAsia="Times New Roman" w:cs="Arial"/>
          <w:snapToGrid w:val="0"/>
          <w:szCs w:val="20"/>
        </w:rPr>
        <w:t xml:space="preserve">How PrEP will be used in practice is uncertain. The financial estimates assume PrEP will be administered as a once daily dosing consistent with the approved Product Information. However intermittent and episodic dosing is being trialled, and if adopted in practice, the number of prescriptions and cost to the PBS could be substantially lower than predicted. Reducing adherence to moderate levels has a minor impact on the epidemiological impact of PrEP intervention. </w:t>
      </w:r>
    </w:p>
    <w:p w:rsidR="007A2258" w:rsidRPr="007A2258" w:rsidRDefault="007A2258" w:rsidP="007A2258">
      <w:pPr>
        <w:pStyle w:val="ListParagraph"/>
        <w:numPr>
          <w:ilvl w:val="0"/>
          <w:numId w:val="24"/>
        </w:numPr>
        <w:spacing w:before="0" w:after="0"/>
        <w:ind w:left="851" w:hanging="284"/>
        <w:jc w:val="both"/>
        <w:rPr>
          <w:rFonts w:eastAsia="Times New Roman" w:cs="Arial"/>
          <w:snapToGrid w:val="0"/>
          <w:szCs w:val="20"/>
        </w:rPr>
      </w:pPr>
      <w:r w:rsidRPr="007A2258">
        <w:rPr>
          <w:rFonts w:eastAsia="Times New Roman" w:cs="Arial"/>
          <w:snapToGrid w:val="0"/>
          <w:szCs w:val="20"/>
        </w:rPr>
        <w:t xml:space="preserve">The success of PrEP relies on medication adherence, notwithstanding the promotion of safer sexual practices remains critically important. Strategies to promote adherence to these practices were not reported in the submission. </w:t>
      </w:r>
    </w:p>
    <w:p w:rsidR="007A2258" w:rsidRDefault="007A2258" w:rsidP="007A2258">
      <w:pPr>
        <w:pStyle w:val="ListParagraph"/>
        <w:numPr>
          <w:ilvl w:val="0"/>
          <w:numId w:val="24"/>
        </w:numPr>
        <w:spacing w:before="0" w:after="0"/>
        <w:ind w:left="851" w:hanging="284"/>
        <w:jc w:val="both"/>
        <w:rPr>
          <w:rFonts w:eastAsia="Times New Roman" w:cs="Arial"/>
          <w:snapToGrid w:val="0"/>
          <w:szCs w:val="20"/>
        </w:rPr>
      </w:pPr>
      <w:r w:rsidRPr="007A2258">
        <w:rPr>
          <w:rFonts w:eastAsia="Times New Roman" w:cs="Arial"/>
          <w:snapToGrid w:val="0"/>
          <w:szCs w:val="20"/>
        </w:rPr>
        <w:t>Individuals who are currently diagnosed and treated with antiretroviral therapy (ART) will have a lower viral load and thus will be less likely to infect the person taking PrEP. In 2015, around 75% of people living with diagnosed HIV received ART out of a target of 90%.</w:t>
      </w:r>
      <w:r w:rsidRPr="00F638B4">
        <w:rPr>
          <w:rFonts w:eastAsia="Times New Roman"/>
          <w:snapToGrid w:val="0"/>
          <w:szCs w:val="20"/>
          <w:vertAlign w:val="superscript"/>
        </w:rPr>
        <w:footnoteReference w:id="4"/>
      </w:r>
      <w:r w:rsidRPr="007A2258">
        <w:rPr>
          <w:rFonts w:eastAsia="Times New Roman" w:cs="Arial"/>
          <w:snapToGrid w:val="0"/>
          <w:szCs w:val="20"/>
        </w:rPr>
        <w:t xml:space="preserve"> This suggests there are potential systems issues in delivering ART which may also affect the implementation of PrEP.</w:t>
      </w:r>
    </w:p>
    <w:p w:rsidR="00D44B8F" w:rsidRDefault="00D44B8F" w:rsidP="00D44B8F">
      <w:pPr>
        <w:spacing w:before="0" w:after="0"/>
        <w:jc w:val="both"/>
        <w:rPr>
          <w:rFonts w:eastAsia="Times New Roman" w:cs="Arial"/>
          <w:snapToGrid w:val="0"/>
          <w:szCs w:val="20"/>
        </w:rPr>
      </w:pPr>
    </w:p>
    <w:p w:rsidR="00D44B8F" w:rsidRPr="00D44B8F" w:rsidRDefault="00D32CD3" w:rsidP="00D44B8F">
      <w:pPr>
        <w:pStyle w:val="ListParagraph"/>
        <w:numPr>
          <w:ilvl w:val="1"/>
          <w:numId w:val="23"/>
        </w:numPr>
        <w:jc w:val="both"/>
      </w:pPr>
      <w:r>
        <w:t>The PBAC</w:t>
      </w:r>
      <w:r w:rsidR="00F476BC">
        <w:t xml:space="preserve"> considered the utilisation and financial estimates were highly uncertain</w:t>
      </w:r>
      <w:r w:rsidR="00AB76AC">
        <w:t>, and in particular</w:t>
      </w:r>
      <w:r w:rsidR="00F476BC">
        <w:t xml:space="preserve"> the uptake of PrEP </w:t>
      </w:r>
      <w:r w:rsidR="00AB76AC">
        <w:t>is uncertain</w:t>
      </w:r>
      <w:r w:rsidR="00F476BC">
        <w:t xml:space="preserve">. </w:t>
      </w:r>
      <w:r w:rsidR="00AB76AC">
        <w:t>Overall t</w:t>
      </w:r>
      <w:r w:rsidR="00F476BC">
        <w:t xml:space="preserve">he </w:t>
      </w:r>
      <w:r w:rsidR="00AB76AC">
        <w:t>PBAC</w:t>
      </w:r>
      <w:r w:rsidR="00F476BC">
        <w:t xml:space="preserve"> agreed with the DUSC and considered the utilisation estimates were likely to be underestimated in the first year and likely to be overestimated in years 2-6.</w:t>
      </w:r>
    </w:p>
    <w:p w:rsidR="007A2258" w:rsidRPr="007A2258" w:rsidRDefault="007A2258" w:rsidP="007A2258">
      <w:pPr>
        <w:pStyle w:val="Heading2"/>
      </w:pPr>
      <w:r w:rsidRPr="007A2258">
        <w:t>Quality Use of Medicines</w:t>
      </w:r>
    </w:p>
    <w:p w:rsidR="003E66D5" w:rsidRDefault="00AB76AC" w:rsidP="00AB76AC">
      <w:pPr>
        <w:pStyle w:val="ListParagraph"/>
        <w:numPr>
          <w:ilvl w:val="1"/>
          <w:numId w:val="23"/>
        </w:numPr>
        <w:spacing w:before="0" w:after="120"/>
        <w:jc w:val="both"/>
      </w:pPr>
      <w:r w:rsidRPr="007A2258">
        <w:t>The resubmission did not address the specific quality use of medicines principles that apply to TDF/FTC as PrEP</w:t>
      </w:r>
      <w:r>
        <w:t>, including those previously raised by DUSC in relation to the July 2016 submission</w:t>
      </w:r>
      <w:r w:rsidRPr="007A2258">
        <w:t xml:space="preserve">. </w:t>
      </w:r>
    </w:p>
    <w:p w:rsidR="007A2258" w:rsidRPr="007A2258" w:rsidRDefault="007A2258" w:rsidP="007A2258">
      <w:pPr>
        <w:pStyle w:val="ListParagraph"/>
        <w:numPr>
          <w:ilvl w:val="1"/>
          <w:numId w:val="23"/>
        </w:numPr>
        <w:spacing w:before="0" w:after="120"/>
        <w:jc w:val="both"/>
      </w:pPr>
      <w:r w:rsidRPr="007A2258">
        <w:t>The ESC noted the resubmission proposed that management of the PrEP program be administered by ASHM. However, it does not contain any further information about the administration or nature of the program, other than the following: “The proposed PrEP Prescriber Program is modelled on that which currently applies to PBS prescribing of mifepristone and misoprostol and would consist of a brief online registration and training requirement aimed at assisting prescribers to identify those subjects at medium to high risk of HIV infection and maximising quality use of medicines principles in relation to Truvada (PrEP).” (March 2017 Resubmission, p 25). The ESC noted that the costs of the Prescriber Program may not have been adequately captured in the economic model, although the marginal costs may be minimal if the Program is managed through existing clinics and utilises the systems already in place.</w:t>
      </w:r>
    </w:p>
    <w:p w:rsidR="0067771A" w:rsidRPr="007A2258" w:rsidRDefault="0067771A" w:rsidP="0067771A">
      <w:pPr>
        <w:pStyle w:val="ListParagraph"/>
        <w:numPr>
          <w:ilvl w:val="1"/>
          <w:numId w:val="23"/>
        </w:numPr>
        <w:spacing w:before="0" w:after="120"/>
        <w:jc w:val="both"/>
      </w:pPr>
      <w:r>
        <w:t xml:space="preserve">The resubmission </w:t>
      </w:r>
      <w:r w:rsidRPr="007A2258">
        <w:t xml:space="preserve">did not </w:t>
      </w:r>
      <w:r w:rsidR="002D6105">
        <w:t xml:space="preserve">specifically </w:t>
      </w:r>
      <w:r w:rsidRPr="007A2258">
        <w:t>address what measures might be used to address concerns over an increase in risky (condomless) sex associated with PrEP use. This has important public health implications which were not considered in the economic model or financial estimates.</w:t>
      </w:r>
    </w:p>
    <w:p w:rsidR="007A2258" w:rsidRPr="007A2258" w:rsidRDefault="007A2258" w:rsidP="003E66D5">
      <w:pPr>
        <w:pStyle w:val="ListParagraph"/>
        <w:numPr>
          <w:ilvl w:val="1"/>
          <w:numId w:val="23"/>
        </w:numPr>
        <w:spacing w:before="0" w:after="120"/>
        <w:jc w:val="both"/>
      </w:pPr>
      <w:r w:rsidRPr="007A2258">
        <w:t>The ESC considered that adh</w:t>
      </w:r>
      <w:r w:rsidR="002D6105">
        <w:t>erence was a key issue which has</w:t>
      </w:r>
      <w:r w:rsidRPr="007A2258">
        <w:t xml:space="preserve"> a substantial effect on the efficacy of PrEP, but would be difficult to measure and ensure.</w:t>
      </w:r>
      <w:r w:rsidR="00AB76AC" w:rsidRPr="00AB76AC">
        <w:t xml:space="preserve"> </w:t>
      </w:r>
      <w:r w:rsidR="00AB76AC" w:rsidRPr="00E043BF">
        <w:t>DUSC considered that there is a high risk of non-adherence as the target population may be mainly young and otherwise healthy individuals with no regular medication taking behaviours established.</w:t>
      </w:r>
      <w:r w:rsidR="003E66D5" w:rsidRPr="003E66D5">
        <w:t xml:space="preserve"> DUSC considered that provision of adherence support, such as through PrEP services, had not been adequately addressed in the previous submission.</w:t>
      </w:r>
    </w:p>
    <w:p w:rsidR="007A2258" w:rsidRPr="007A2258" w:rsidRDefault="007A2258" w:rsidP="007A2258">
      <w:pPr>
        <w:pStyle w:val="ListParagraph"/>
        <w:numPr>
          <w:ilvl w:val="1"/>
          <w:numId w:val="23"/>
        </w:numPr>
        <w:spacing w:before="0" w:after="120"/>
        <w:jc w:val="both"/>
      </w:pPr>
      <w:r w:rsidRPr="007A2258">
        <w:t>The DUSC noted the following issues raised by the Advisory Committee on Prescription Medicines (ACPM) in making its recommendations:</w:t>
      </w:r>
    </w:p>
    <w:p w:rsidR="007A2258" w:rsidRPr="007A2258" w:rsidRDefault="007A2258" w:rsidP="007A2258">
      <w:pPr>
        <w:pStyle w:val="ListParagraph"/>
        <w:numPr>
          <w:ilvl w:val="0"/>
          <w:numId w:val="24"/>
        </w:numPr>
        <w:spacing w:before="0" w:after="0"/>
        <w:ind w:left="851" w:hanging="284"/>
        <w:jc w:val="both"/>
        <w:rPr>
          <w:rFonts w:eastAsia="Times New Roman" w:cs="Arial"/>
          <w:snapToGrid w:val="0"/>
          <w:szCs w:val="20"/>
        </w:rPr>
      </w:pPr>
      <w:r w:rsidRPr="007A2258">
        <w:rPr>
          <w:rFonts w:eastAsia="Times New Roman" w:cs="Arial"/>
          <w:snapToGrid w:val="0"/>
          <w:szCs w:val="20"/>
        </w:rPr>
        <w:t>The long term safety of PrEP is unknown.</w:t>
      </w:r>
    </w:p>
    <w:p w:rsidR="007A2258" w:rsidRPr="007A2258" w:rsidRDefault="007A2258" w:rsidP="007A2258">
      <w:pPr>
        <w:pStyle w:val="ListParagraph"/>
        <w:numPr>
          <w:ilvl w:val="0"/>
          <w:numId w:val="24"/>
        </w:numPr>
        <w:spacing w:before="0" w:after="0"/>
        <w:ind w:left="851" w:hanging="284"/>
        <w:jc w:val="both"/>
        <w:rPr>
          <w:rFonts w:eastAsia="Times New Roman" w:cs="Arial"/>
          <w:snapToGrid w:val="0"/>
          <w:szCs w:val="20"/>
        </w:rPr>
      </w:pPr>
      <w:r w:rsidRPr="007A2258">
        <w:rPr>
          <w:rFonts w:eastAsia="Times New Roman" w:cs="Arial"/>
          <w:snapToGrid w:val="0"/>
          <w:szCs w:val="20"/>
        </w:rPr>
        <w:t>There is a need for active surveillance for bone and renal toxicity.</w:t>
      </w:r>
    </w:p>
    <w:p w:rsidR="007A2258" w:rsidRDefault="007A2258" w:rsidP="007A2258">
      <w:pPr>
        <w:pStyle w:val="ListParagraph"/>
        <w:numPr>
          <w:ilvl w:val="0"/>
          <w:numId w:val="24"/>
        </w:numPr>
        <w:spacing w:before="0" w:after="0"/>
        <w:ind w:left="851" w:hanging="284"/>
        <w:jc w:val="both"/>
        <w:rPr>
          <w:rFonts w:eastAsia="Times New Roman" w:cs="Arial"/>
          <w:snapToGrid w:val="0"/>
          <w:szCs w:val="20"/>
        </w:rPr>
      </w:pPr>
      <w:r w:rsidRPr="007A2258">
        <w:rPr>
          <w:rFonts w:eastAsia="Times New Roman" w:cs="Arial"/>
          <w:snapToGrid w:val="0"/>
          <w:szCs w:val="20"/>
        </w:rPr>
        <w:t>There is a lack of data on bone safety, in particular for women. Consideration should be given about warnings to women for use longer than one to two years.</w:t>
      </w:r>
    </w:p>
    <w:p w:rsidR="00E043BF" w:rsidRPr="00E043BF" w:rsidRDefault="00E043BF" w:rsidP="00E043BF">
      <w:pPr>
        <w:spacing w:before="0" w:after="0"/>
        <w:jc w:val="both"/>
        <w:rPr>
          <w:rFonts w:eastAsia="Times New Roman" w:cs="Arial"/>
          <w:snapToGrid w:val="0"/>
          <w:szCs w:val="20"/>
        </w:rPr>
      </w:pPr>
    </w:p>
    <w:p w:rsidR="00CD7B5A" w:rsidRDefault="00CD7B5A" w:rsidP="00E043BF">
      <w:pPr>
        <w:pStyle w:val="ListParagraph"/>
        <w:numPr>
          <w:ilvl w:val="1"/>
          <w:numId w:val="23"/>
        </w:numPr>
        <w:spacing w:before="0" w:after="120"/>
        <w:jc w:val="both"/>
      </w:pPr>
      <w:r>
        <w:t xml:space="preserve">The </w:t>
      </w:r>
      <w:r w:rsidR="002D6105">
        <w:t>PBAC</w:t>
      </w:r>
      <w:r>
        <w:t xml:space="preserve"> also noted the submission did not address the risk the development of viral resistance to </w:t>
      </w:r>
      <w:r w:rsidR="00097CA5">
        <w:t>TDF/FTC</w:t>
      </w:r>
      <w:r>
        <w:t>, and considered the risk was unclear due to the lack of long-term efficacy and safety data for</w:t>
      </w:r>
      <w:r w:rsidR="005E4261">
        <w:t xml:space="preserve"> use as</w:t>
      </w:r>
      <w:r>
        <w:t xml:space="preserve"> PrEP.</w:t>
      </w:r>
    </w:p>
    <w:bookmarkEnd w:id="27"/>
    <w:bookmarkEnd w:id="28"/>
    <w:bookmarkEnd w:id="29"/>
    <w:p w:rsidR="000430BE" w:rsidRPr="007A2258" w:rsidRDefault="000430BE" w:rsidP="000430BE">
      <w:pPr>
        <w:pStyle w:val="Heading2"/>
      </w:pPr>
      <w:r w:rsidRPr="007A2258">
        <w:t>Financial Management – Risk Sharing Arrangements</w:t>
      </w:r>
    </w:p>
    <w:p w:rsidR="0058641A" w:rsidRDefault="00FF1FE5" w:rsidP="007A2258">
      <w:pPr>
        <w:pStyle w:val="ListParagraph"/>
        <w:numPr>
          <w:ilvl w:val="1"/>
          <w:numId w:val="23"/>
        </w:numPr>
        <w:spacing w:before="0" w:after="120"/>
        <w:jc w:val="both"/>
      </w:pPr>
      <w:r w:rsidRPr="007A2258">
        <w:t xml:space="preserve">The resubmission </w:t>
      </w:r>
      <w:r w:rsidR="005E54E3" w:rsidRPr="007A2258">
        <w:t>did</w:t>
      </w:r>
      <w:r w:rsidRPr="007A2258">
        <w:t xml:space="preserve"> not state </w:t>
      </w:r>
      <w:r w:rsidR="00795AF1" w:rsidRPr="007A2258">
        <w:t>if</w:t>
      </w:r>
      <w:r w:rsidRPr="007A2258">
        <w:t xml:space="preserve"> the sponsor is willing to enter into</w:t>
      </w:r>
      <w:r w:rsidR="0058641A" w:rsidRPr="007A2258">
        <w:t xml:space="preserve"> a risk sharing arrangement regarding the use of TDF/FTC as PrEP. </w:t>
      </w:r>
      <w:bookmarkEnd w:id="30"/>
      <w:r w:rsidR="005D71E8">
        <w:t xml:space="preserve">The PBAC </w:t>
      </w:r>
      <w:r w:rsidR="00DC15F2">
        <w:t xml:space="preserve">recommended </w:t>
      </w:r>
      <w:r w:rsidR="005D71E8">
        <w:t>consider</w:t>
      </w:r>
      <w:r w:rsidR="00DC15F2">
        <w:t>ation be given to</w:t>
      </w:r>
      <w:r w:rsidR="005D71E8">
        <w:t xml:space="preserve"> a risk sharing</w:t>
      </w:r>
      <w:r w:rsidR="00CD7B5A">
        <w:t xml:space="preserve"> arrangement </w:t>
      </w:r>
      <w:r w:rsidR="00097CA5">
        <w:t xml:space="preserve">as a component of any listing for TDF/FTC for PrEP </w:t>
      </w:r>
      <w:r w:rsidR="00CD7B5A">
        <w:t>to address the substantial uncertainties in the utilisation and financial estimates</w:t>
      </w:r>
      <w:r w:rsidR="00DC15F2">
        <w:t xml:space="preserve">, noting however that with the </w:t>
      </w:r>
      <w:r w:rsidR="00CB51BF">
        <w:t>1</w:t>
      </w:r>
      <w:r w:rsidR="00DC15F2">
        <w:t xml:space="preserve"> August 2017 listing of generic brands of Truvada, the financial risk to Government will likely be mitigated by price reductions resulting from the operations of price disclosure</w:t>
      </w:r>
      <w:r w:rsidR="00CD7B5A">
        <w:t>.</w:t>
      </w:r>
    </w:p>
    <w:p w:rsidR="00F063E4" w:rsidRPr="007A2258" w:rsidRDefault="007A2258" w:rsidP="00F063E4">
      <w:pPr>
        <w:spacing w:before="0" w:after="120"/>
        <w:jc w:val="both"/>
        <w:rPr>
          <w:i/>
        </w:rPr>
      </w:pPr>
      <w:r w:rsidRPr="007A2258">
        <w:rPr>
          <w:i/>
        </w:rPr>
        <w:t>For more detail on PBAC’s view, see section 7 “PBAC outcome”</w:t>
      </w:r>
    </w:p>
    <w:p w:rsidR="007A2258" w:rsidRPr="007A2258" w:rsidRDefault="007A2258" w:rsidP="007A2258">
      <w:pPr>
        <w:pStyle w:val="Heading1"/>
        <w:numPr>
          <w:ilvl w:val="0"/>
          <w:numId w:val="23"/>
        </w:numPr>
        <w:ind w:left="709" w:hanging="709"/>
      </w:pPr>
      <w:r w:rsidRPr="00B24C96">
        <w:t>PBAC Outcome</w:t>
      </w:r>
    </w:p>
    <w:p w:rsidR="007A2258" w:rsidRPr="005E4261" w:rsidRDefault="00D32CD3" w:rsidP="007A2258">
      <w:pPr>
        <w:pStyle w:val="ListParagraph"/>
        <w:numPr>
          <w:ilvl w:val="1"/>
          <w:numId w:val="23"/>
        </w:numPr>
        <w:spacing w:before="0" w:after="120"/>
        <w:jc w:val="both"/>
        <w:rPr>
          <w:snapToGrid w:val="0"/>
        </w:rPr>
      </w:pPr>
      <w:r w:rsidRPr="00222909">
        <w:rPr>
          <w:rFonts w:cs="Arial"/>
          <w:snapToGrid w:val="0"/>
          <w:szCs w:val="20"/>
        </w:rPr>
        <w:t>The PBAC deferred making a recommendation on tenofovir with emtricitabine</w:t>
      </w:r>
      <w:r w:rsidR="00965813">
        <w:rPr>
          <w:rFonts w:cs="Arial"/>
          <w:snapToGrid w:val="0"/>
          <w:szCs w:val="20"/>
        </w:rPr>
        <w:t xml:space="preserve"> (TDF/FTC)</w:t>
      </w:r>
      <w:r w:rsidRPr="00222909">
        <w:rPr>
          <w:rFonts w:cs="Arial"/>
          <w:snapToGrid w:val="0"/>
          <w:szCs w:val="20"/>
        </w:rPr>
        <w:t xml:space="preserve"> for HIV Pre-exposure Prophylaxis (PrEP) </w:t>
      </w:r>
      <w:r w:rsidR="005E4261">
        <w:rPr>
          <w:rFonts w:cs="Arial"/>
          <w:snapToGrid w:val="0"/>
          <w:szCs w:val="20"/>
        </w:rPr>
        <w:t>to seek additional results for the cost-effectiveness model developed by the Kirby Institute</w:t>
      </w:r>
      <w:r w:rsidR="00C72094" w:rsidRPr="00222909">
        <w:rPr>
          <w:rFonts w:cs="Arial"/>
          <w:snapToGrid w:val="0"/>
          <w:szCs w:val="20"/>
        </w:rPr>
        <w:t>.</w:t>
      </w:r>
      <w:r w:rsidR="005E4261">
        <w:rPr>
          <w:rFonts w:cs="Arial"/>
          <w:snapToGrid w:val="0"/>
          <w:szCs w:val="20"/>
        </w:rPr>
        <w:t xml:space="preserve"> Specifically the Committee requested </w:t>
      </w:r>
      <w:r w:rsidR="009B083B">
        <w:rPr>
          <w:rFonts w:cs="Arial"/>
          <w:snapToGrid w:val="0"/>
          <w:szCs w:val="20"/>
        </w:rPr>
        <w:t xml:space="preserve">additional analyses considering </w:t>
      </w:r>
      <w:r w:rsidR="005E4261">
        <w:rPr>
          <w:rFonts w:cs="Arial"/>
          <w:snapToGrid w:val="0"/>
          <w:szCs w:val="20"/>
        </w:rPr>
        <w:t>alternative uptake scenarios where the extent of uptake is reduced and use is limited to medium and high risk individuals, and varying the TDF/FTC price.</w:t>
      </w:r>
    </w:p>
    <w:p w:rsidR="00146361" w:rsidRPr="00146361" w:rsidRDefault="00146361" w:rsidP="00146361">
      <w:pPr>
        <w:pStyle w:val="ListParagraph"/>
        <w:numPr>
          <w:ilvl w:val="1"/>
          <w:numId w:val="23"/>
        </w:numPr>
        <w:spacing w:before="0" w:after="120"/>
        <w:jc w:val="both"/>
        <w:rPr>
          <w:snapToGrid w:val="0"/>
        </w:rPr>
      </w:pPr>
      <w:r w:rsidRPr="00146361">
        <w:rPr>
          <w:snapToGrid w:val="0"/>
        </w:rPr>
        <w:t xml:space="preserve">The PBAC recalled the July 2016 PrEP submission was rejected on the basis of unacceptable and uncertain cost-effectiveness at the proposed price. </w:t>
      </w:r>
      <w:r w:rsidR="00DC15F2">
        <w:rPr>
          <w:snapToGrid w:val="0"/>
        </w:rPr>
        <w:t>At that time, t</w:t>
      </w:r>
      <w:r w:rsidRPr="00146361">
        <w:rPr>
          <w:snapToGrid w:val="0"/>
        </w:rPr>
        <w:t>he PBAC considered attempts to severely restrict the eligible population based on individual risk calculation in the submission may not have been feasible, appropriate or acceptable to clinicians and consumers, and considered it may be more appropriate for a broader group of individuals to have access to PrEP. Further, the Committee had concerns regarding the applicability of the trial data with the majority of data generated in communities known to have a substantially higher incidence of HIV infection (and therefore higher risk) than the Australian population, and considered it uncertain if other safe sex practices would be utilised to the same extent in the Australian population.</w:t>
      </w:r>
      <w:r>
        <w:rPr>
          <w:snapToGrid w:val="0"/>
        </w:rPr>
        <w:t xml:space="preserve"> </w:t>
      </w:r>
      <w:r w:rsidRPr="00146361">
        <w:rPr>
          <w:snapToGrid w:val="0"/>
        </w:rPr>
        <w:t xml:space="preserve">The </w:t>
      </w:r>
      <w:r>
        <w:rPr>
          <w:snapToGrid w:val="0"/>
        </w:rPr>
        <w:t>Committee</w:t>
      </w:r>
      <w:r w:rsidRPr="00146361">
        <w:rPr>
          <w:snapToGrid w:val="0"/>
        </w:rPr>
        <w:t xml:space="preserve"> </w:t>
      </w:r>
      <w:r w:rsidR="00DC15F2">
        <w:rPr>
          <w:snapToGrid w:val="0"/>
        </w:rPr>
        <w:t xml:space="preserve">also </w:t>
      </w:r>
      <w:r w:rsidRPr="00146361">
        <w:rPr>
          <w:snapToGrid w:val="0"/>
        </w:rPr>
        <w:t xml:space="preserve">considered that the economic models presented </w:t>
      </w:r>
      <w:r>
        <w:rPr>
          <w:snapToGrid w:val="0"/>
        </w:rPr>
        <w:t xml:space="preserve">in the July 2016 submission </w:t>
      </w:r>
      <w:r w:rsidRPr="00146361">
        <w:rPr>
          <w:snapToGrid w:val="0"/>
        </w:rPr>
        <w:t>lacked face validity and were biased towards underestimating future need.</w:t>
      </w:r>
    </w:p>
    <w:p w:rsidR="005E4261" w:rsidRPr="005245F7" w:rsidRDefault="005E4261" w:rsidP="005E4261">
      <w:pPr>
        <w:pStyle w:val="ListParagraph"/>
        <w:numPr>
          <w:ilvl w:val="1"/>
          <w:numId w:val="23"/>
        </w:numPr>
        <w:spacing w:before="0" w:after="120"/>
        <w:jc w:val="both"/>
        <w:rPr>
          <w:snapToGrid w:val="0"/>
        </w:rPr>
      </w:pPr>
      <w:r>
        <w:t xml:space="preserve">The PBAC noted the resubmission appropriately proposed listing for a broader population of individuals compared with the July 2016 submission. The PBAC considered it reasonable for the eligible population to include medium and high risk individuals as defined in </w:t>
      </w:r>
      <w:r w:rsidRPr="00C369DC">
        <w:t>the ASHM Guidelines</w:t>
      </w:r>
      <w:r>
        <w:t xml:space="preserve">, including people who share injecting equipment. The PBAC considered that TDF/FTC for PrEP should be listed as a General Schedule item to ensure </w:t>
      </w:r>
      <w:r w:rsidR="00DC15F2">
        <w:t xml:space="preserve">widest </w:t>
      </w:r>
      <w:r>
        <w:t>access, and should include provision for nurse- practitioner prescribing.</w:t>
      </w:r>
      <w:r w:rsidR="005245F7">
        <w:t xml:space="preserve"> The PBAC noted the requested price for TDF/FTC was the same as in the July 2016 submission and that TDF/FTC was previously considered not cost-effective at this price. </w:t>
      </w:r>
    </w:p>
    <w:p w:rsidR="005245F7" w:rsidRPr="002272DB" w:rsidRDefault="005245F7" w:rsidP="005245F7">
      <w:pPr>
        <w:pStyle w:val="ListParagraph"/>
        <w:numPr>
          <w:ilvl w:val="1"/>
          <w:numId w:val="23"/>
        </w:numPr>
        <w:spacing w:before="0" w:after="120"/>
        <w:jc w:val="both"/>
        <w:rPr>
          <w:rFonts w:cs="Arial"/>
          <w:snapToGrid w:val="0"/>
          <w:szCs w:val="20"/>
        </w:rPr>
      </w:pPr>
      <w:r w:rsidRPr="002272DB">
        <w:rPr>
          <w:rFonts w:cs="Arial"/>
          <w:snapToGrid w:val="0"/>
          <w:szCs w:val="20"/>
        </w:rPr>
        <w:t>The PBAC</w:t>
      </w:r>
      <w:r>
        <w:rPr>
          <w:rFonts w:cs="Arial"/>
          <w:snapToGrid w:val="0"/>
          <w:szCs w:val="20"/>
        </w:rPr>
        <w:t xml:space="preserve"> reaffirmed it</w:t>
      </w:r>
      <w:r w:rsidRPr="002272DB">
        <w:rPr>
          <w:rFonts w:cs="Arial"/>
          <w:snapToGrid w:val="0"/>
          <w:szCs w:val="20"/>
        </w:rPr>
        <w:t xml:space="preserve"> accepted </w:t>
      </w:r>
      <w:r>
        <w:rPr>
          <w:rFonts w:cs="Arial"/>
          <w:snapToGrid w:val="0"/>
          <w:szCs w:val="20"/>
        </w:rPr>
        <w:t>standard of care (</w:t>
      </w:r>
      <w:r w:rsidRPr="002272DB">
        <w:rPr>
          <w:rFonts w:cs="Arial"/>
          <w:snapToGrid w:val="0"/>
          <w:szCs w:val="20"/>
        </w:rPr>
        <w:t>SOC</w:t>
      </w:r>
      <w:r>
        <w:rPr>
          <w:rFonts w:cs="Arial"/>
          <w:snapToGrid w:val="0"/>
          <w:szCs w:val="20"/>
        </w:rPr>
        <w:t>)</w:t>
      </w:r>
      <w:r w:rsidRPr="002272DB">
        <w:rPr>
          <w:rFonts w:cs="Arial"/>
          <w:snapToGrid w:val="0"/>
          <w:szCs w:val="20"/>
        </w:rPr>
        <w:t>, a combination of other safe sex practices, as the appropriate comparator</w:t>
      </w:r>
      <w:r>
        <w:rPr>
          <w:rFonts w:cs="Arial"/>
          <w:snapToGrid w:val="0"/>
          <w:szCs w:val="20"/>
        </w:rPr>
        <w:t xml:space="preserve"> for TDF/FTC plus SOC</w:t>
      </w:r>
      <w:r w:rsidRPr="002272DB">
        <w:rPr>
          <w:rFonts w:cs="Arial"/>
          <w:snapToGrid w:val="0"/>
          <w:szCs w:val="20"/>
        </w:rPr>
        <w:t>.</w:t>
      </w:r>
    </w:p>
    <w:p w:rsidR="005245F7" w:rsidRPr="005E4261" w:rsidRDefault="005245F7" w:rsidP="005E4261">
      <w:pPr>
        <w:pStyle w:val="ListParagraph"/>
        <w:numPr>
          <w:ilvl w:val="1"/>
          <w:numId w:val="23"/>
        </w:numPr>
        <w:spacing w:before="0" w:after="120"/>
        <w:jc w:val="both"/>
        <w:rPr>
          <w:snapToGrid w:val="0"/>
        </w:rPr>
      </w:pPr>
      <w:r w:rsidRPr="001329DB">
        <w:rPr>
          <w:rFonts w:cs="Arial"/>
          <w:snapToGrid w:val="0"/>
          <w:szCs w:val="20"/>
        </w:rPr>
        <w:t xml:space="preserve">The PBAC </w:t>
      </w:r>
      <w:r>
        <w:rPr>
          <w:rFonts w:cs="Arial"/>
          <w:snapToGrid w:val="0"/>
          <w:szCs w:val="20"/>
        </w:rPr>
        <w:t xml:space="preserve">recalled the July 2016 submission included the results for six randomised trials comparing TDF/FTC with SOC however, </w:t>
      </w:r>
      <w:r w:rsidRPr="001329DB">
        <w:rPr>
          <w:rFonts w:cs="Arial"/>
          <w:snapToGrid w:val="0"/>
          <w:szCs w:val="20"/>
        </w:rPr>
        <w:t xml:space="preserve">the </w:t>
      </w:r>
      <w:r>
        <w:rPr>
          <w:rFonts w:cs="Arial"/>
          <w:snapToGrid w:val="0"/>
          <w:szCs w:val="20"/>
        </w:rPr>
        <w:t>efficacy estimate used in the economic model (relative risk reduction in HIV infections of 90%)</w:t>
      </w:r>
      <w:r w:rsidRPr="001329DB">
        <w:rPr>
          <w:rFonts w:cs="Arial"/>
          <w:snapToGrid w:val="0"/>
          <w:szCs w:val="20"/>
        </w:rPr>
        <w:t xml:space="preserve"> </w:t>
      </w:r>
      <w:r>
        <w:rPr>
          <w:rFonts w:cs="Arial"/>
          <w:snapToGrid w:val="0"/>
          <w:szCs w:val="20"/>
        </w:rPr>
        <w:t>was</w:t>
      </w:r>
      <w:r w:rsidRPr="001329DB">
        <w:rPr>
          <w:rFonts w:cs="Arial"/>
          <w:snapToGrid w:val="0"/>
          <w:szCs w:val="20"/>
        </w:rPr>
        <w:t xml:space="preserve"> sourced from the case control analysis of adherent subjects from </w:t>
      </w:r>
      <w:r w:rsidR="005F0A0F">
        <w:rPr>
          <w:rFonts w:cs="Arial"/>
          <w:snapToGrid w:val="0"/>
          <w:szCs w:val="20"/>
        </w:rPr>
        <w:t xml:space="preserve">only </w:t>
      </w:r>
      <w:r>
        <w:rPr>
          <w:rFonts w:cs="Arial"/>
          <w:snapToGrid w:val="0"/>
          <w:szCs w:val="20"/>
        </w:rPr>
        <w:t>two of the randomised trials (</w:t>
      </w:r>
      <w:r w:rsidRPr="001329DB">
        <w:rPr>
          <w:rFonts w:cs="Arial"/>
          <w:snapToGrid w:val="0"/>
          <w:szCs w:val="20"/>
        </w:rPr>
        <w:t>iPrEx and Partner’s PrEP</w:t>
      </w:r>
      <w:r>
        <w:rPr>
          <w:rFonts w:cs="Arial"/>
          <w:snapToGrid w:val="0"/>
          <w:szCs w:val="20"/>
        </w:rPr>
        <w:t>)</w:t>
      </w:r>
      <w:r w:rsidR="00DF4BCE">
        <w:rPr>
          <w:rFonts w:cs="Arial"/>
          <w:snapToGrid w:val="0"/>
          <w:szCs w:val="20"/>
        </w:rPr>
        <w:t xml:space="preserve"> trials, which were</w:t>
      </w:r>
      <w:r w:rsidRPr="001329DB">
        <w:rPr>
          <w:rFonts w:cs="Arial"/>
          <w:snapToGrid w:val="0"/>
          <w:szCs w:val="20"/>
        </w:rPr>
        <w:t xml:space="preserve"> presented in the original July 2016 submission. </w:t>
      </w:r>
      <w:r w:rsidR="00DC2F28">
        <w:rPr>
          <w:rFonts w:cs="Arial"/>
          <w:snapToGrid w:val="0"/>
          <w:szCs w:val="20"/>
        </w:rPr>
        <w:t xml:space="preserve">This estimate of efficacy was also used in the economic model in the resubmission. </w:t>
      </w:r>
    </w:p>
    <w:p w:rsidR="00DC2F28" w:rsidRPr="00DA1A5E" w:rsidRDefault="00DC2F28" w:rsidP="007A2258">
      <w:pPr>
        <w:pStyle w:val="ListParagraph"/>
        <w:numPr>
          <w:ilvl w:val="1"/>
          <w:numId w:val="23"/>
        </w:numPr>
        <w:spacing w:before="0" w:after="120"/>
        <w:jc w:val="both"/>
        <w:rPr>
          <w:snapToGrid w:val="0"/>
        </w:rPr>
      </w:pPr>
      <w:r w:rsidRPr="001329DB">
        <w:rPr>
          <w:rFonts w:cs="Arial"/>
          <w:snapToGrid w:val="0"/>
          <w:szCs w:val="20"/>
        </w:rPr>
        <w:t xml:space="preserve">The PBAC noted the new </w:t>
      </w:r>
      <w:r>
        <w:rPr>
          <w:rFonts w:cs="Arial"/>
          <w:snapToGrid w:val="0"/>
          <w:szCs w:val="20"/>
        </w:rPr>
        <w:t xml:space="preserve">evidence provided in the resubmission included two randomised trials assessing intermittent dosing regimens </w:t>
      </w:r>
      <w:r w:rsidRPr="001329DB">
        <w:rPr>
          <w:rFonts w:cs="Arial"/>
          <w:snapToGrid w:val="0"/>
          <w:szCs w:val="20"/>
        </w:rPr>
        <w:t>of TDF/FTC</w:t>
      </w:r>
      <w:r>
        <w:rPr>
          <w:rFonts w:cs="Arial"/>
          <w:snapToGrid w:val="0"/>
          <w:szCs w:val="20"/>
        </w:rPr>
        <w:t xml:space="preserve"> (IPERGAY and ADAPT) </w:t>
      </w:r>
      <w:r w:rsidR="002B0F3A">
        <w:rPr>
          <w:rFonts w:cs="Arial"/>
          <w:snapToGrid w:val="0"/>
          <w:szCs w:val="20"/>
        </w:rPr>
        <w:t xml:space="preserve">and five non-randomised observational studies. In the IPERGAY trial a reduction in the relative risk of HIV infection of 82-86% was observed. The PBAC noted this reduction with intermittent TDF/FTC was slightly lower than observed with adherent individuals using daily TDF/FTC. The PBAC noted intermittent use of TDF/FTC as per the regimen used in the IPERGAY trial appeared effective, and considered that there would be a considerable amount of intermittent use in clinical practice. The PBAC noted the economic model and financial forecasts presented in the resubmission </w:t>
      </w:r>
      <w:r w:rsidR="00DA1A5E">
        <w:rPr>
          <w:rFonts w:cs="Arial"/>
          <w:snapToGrid w:val="0"/>
          <w:szCs w:val="20"/>
        </w:rPr>
        <w:t>were based on</w:t>
      </w:r>
      <w:r w:rsidR="002B0F3A">
        <w:rPr>
          <w:rFonts w:cs="Arial"/>
          <w:snapToGrid w:val="0"/>
          <w:szCs w:val="20"/>
        </w:rPr>
        <w:t xml:space="preserve"> daily use of TDF/FTC.</w:t>
      </w:r>
    </w:p>
    <w:p w:rsidR="00DA1A5E" w:rsidRPr="00DA1A5E" w:rsidRDefault="00DA1A5E" w:rsidP="007A2258">
      <w:pPr>
        <w:pStyle w:val="ListParagraph"/>
        <w:numPr>
          <w:ilvl w:val="1"/>
          <w:numId w:val="23"/>
        </w:numPr>
        <w:spacing w:before="0" w:after="120"/>
        <w:jc w:val="both"/>
        <w:rPr>
          <w:snapToGrid w:val="0"/>
        </w:rPr>
      </w:pPr>
      <w:r>
        <w:rPr>
          <w:rFonts w:cs="Arial"/>
          <w:snapToGrid w:val="0"/>
          <w:szCs w:val="20"/>
        </w:rPr>
        <w:t>The PBAC noted, with the exception of VicPrEP, results were not available for the Australian demonstration programs. No additional results were presented for VicPrEP were presented in the resubmission compared with the July 2016 submission and these results were limited due to the short duration of follow-up.</w:t>
      </w:r>
    </w:p>
    <w:p w:rsidR="00DA1A5E" w:rsidRPr="007A2258" w:rsidRDefault="00DA1A5E" w:rsidP="00DA1A5E">
      <w:pPr>
        <w:pStyle w:val="ListParagraph"/>
        <w:numPr>
          <w:ilvl w:val="1"/>
          <w:numId w:val="23"/>
        </w:numPr>
        <w:jc w:val="both"/>
      </w:pPr>
      <w:r>
        <w:rPr>
          <w:rFonts w:cs="Arial"/>
          <w:snapToGrid w:val="0"/>
          <w:szCs w:val="20"/>
        </w:rPr>
        <w:t xml:space="preserve"> </w:t>
      </w:r>
      <w:r>
        <w:t xml:space="preserve">The PBAC noted the increase in the reported cases of STIs in the IPERGAY trial and observational studies </w:t>
      </w:r>
      <w:r w:rsidR="00557FCB">
        <w:t>and</w:t>
      </w:r>
      <w:r>
        <w:t xml:space="preserve"> considered in clinical practice the requirement of a medical practitioner visit every 3 months to obtain a prescription for TDF/FTC is likely to increase monitoring for STIs and result in earlier diagnosis.</w:t>
      </w:r>
    </w:p>
    <w:p w:rsidR="00DA1A5E" w:rsidRPr="002272DB" w:rsidRDefault="00DA1A5E" w:rsidP="00336CFD">
      <w:pPr>
        <w:pStyle w:val="ListParagraph"/>
        <w:numPr>
          <w:ilvl w:val="1"/>
          <w:numId w:val="23"/>
        </w:numPr>
        <w:spacing w:before="0" w:after="120"/>
        <w:jc w:val="both"/>
        <w:rPr>
          <w:rFonts w:cs="Arial"/>
          <w:snapToGrid w:val="0"/>
          <w:szCs w:val="20"/>
        </w:rPr>
      </w:pPr>
      <w:r w:rsidRPr="002272DB">
        <w:rPr>
          <w:rFonts w:cs="Arial"/>
          <w:snapToGrid w:val="0"/>
          <w:szCs w:val="20"/>
        </w:rPr>
        <w:t xml:space="preserve">The PBAC accepted, based on the evidence presented, that </w:t>
      </w:r>
      <w:r>
        <w:rPr>
          <w:rFonts w:cs="Arial"/>
          <w:snapToGrid w:val="0"/>
          <w:szCs w:val="20"/>
        </w:rPr>
        <w:t xml:space="preserve">TDF/FTC </w:t>
      </w:r>
      <w:r w:rsidRPr="002272DB">
        <w:rPr>
          <w:rFonts w:cs="Arial"/>
          <w:snapToGrid w:val="0"/>
          <w:szCs w:val="20"/>
        </w:rPr>
        <w:t>as PrEP</w:t>
      </w:r>
      <w:r>
        <w:rPr>
          <w:rFonts w:cs="Arial"/>
          <w:snapToGrid w:val="0"/>
          <w:szCs w:val="20"/>
        </w:rPr>
        <w:t xml:space="preserve"> appeared to be effective in reducing the transmission of HIV</w:t>
      </w:r>
      <w:r w:rsidRPr="002272DB">
        <w:rPr>
          <w:rFonts w:cs="Arial"/>
          <w:snapToGrid w:val="0"/>
          <w:szCs w:val="20"/>
        </w:rPr>
        <w:t xml:space="preserve">. </w:t>
      </w:r>
    </w:p>
    <w:p w:rsidR="00336CFD" w:rsidRPr="006C1F7C" w:rsidRDefault="00336CFD" w:rsidP="00336CFD">
      <w:pPr>
        <w:pStyle w:val="ListParagraph"/>
        <w:numPr>
          <w:ilvl w:val="1"/>
          <w:numId w:val="23"/>
        </w:numPr>
        <w:spacing w:before="0" w:after="120"/>
        <w:jc w:val="both"/>
      </w:pPr>
      <w:r w:rsidRPr="006C1F7C">
        <w:t>The PBAC reaffirmed its previous advice that it considered the claim of non-inferior comparative safety was not strongly supported by the available data, however giv</w:t>
      </w:r>
      <w:r>
        <w:t>en the duration of experience with</w:t>
      </w:r>
      <w:r w:rsidRPr="006C1F7C">
        <w:t xml:space="preserve"> </w:t>
      </w:r>
      <w:r>
        <w:t>TDF/FTC</w:t>
      </w:r>
      <w:r w:rsidRPr="006C1F7C">
        <w:t xml:space="preserve"> for the treatment of HIV, the claim of non-inferior comparative safety was probably reasonable. The PBAC noted there was an increase in adverse events over SOC</w:t>
      </w:r>
      <w:r>
        <w:t xml:space="preserve"> in the IPERGAY trial</w:t>
      </w:r>
      <w:r w:rsidRPr="006C1F7C">
        <w:t xml:space="preserve">, </w:t>
      </w:r>
      <w:r>
        <w:t>including</w:t>
      </w:r>
      <w:r w:rsidRPr="006C1F7C">
        <w:t xml:space="preserve"> gastrointestinal </w:t>
      </w:r>
      <w:r>
        <w:t>events</w:t>
      </w:r>
      <w:r w:rsidRPr="006C1F7C">
        <w:t xml:space="preserve"> and increased serum creatinine levels.</w:t>
      </w:r>
      <w:r>
        <w:t xml:space="preserve"> The PBAC also considered long-term use of TDF/FTC may be associated with bone loss and reduced renal function.</w:t>
      </w:r>
    </w:p>
    <w:p w:rsidR="00DA1A5E" w:rsidRDefault="00336CFD" w:rsidP="007A2258">
      <w:pPr>
        <w:pStyle w:val="ListParagraph"/>
        <w:numPr>
          <w:ilvl w:val="1"/>
          <w:numId w:val="23"/>
        </w:numPr>
        <w:spacing w:before="0" w:after="120"/>
        <w:jc w:val="both"/>
        <w:rPr>
          <w:snapToGrid w:val="0"/>
        </w:rPr>
      </w:pPr>
      <w:r>
        <w:rPr>
          <w:snapToGrid w:val="0"/>
        </w:rPr>
        <w:t xml:space="preserve">The PBAC noted a number of revisions had been made to the economic model included in the July 2016 submission, and that in general the model assumptions were more conservative. The PBAC noted the results of the economic model were fundamentally different with an incremental cost-effectiveness ratio (ICER) of </w:t>
      </w:r>
      <w:r w:rsidR="00172606">
        <w:rPr>
          <w:snapToGrid w:val="0"/>
        </w:rPr>
        <w:t xml:space="preserve">more than </w:t>
      </w:r>
      <w:r>
        <w:rPr>
          <w:snapToGrid w:val="0"/>
        </w:rPr>
        <w:t>$</w:t>
      </w:r>
      <w:r w:rsidR="00172606">
        <w:rPr>
          <w:snapToGrid w:val="0"/>
        </w:rPr>
        <w:t>200,000</w:t>
      </w:r>
      <w:r>
        <w:rPr>
          <w:snapToGrid w:val="0"/>
        </w:rPr>
        <w:t xml:space="preserve"> per QALY gained (compared with TDF/FTC being dominant), the eligible population being approximately four times larger, the number of infections avoided increasing from 1,969 to 13,550 and the number of deaths avoided increasing from 82 to 458.</w:t>
      </w:r>
    </w:p>
    <w:p w:rsidR="001B00B9" w:rsidRPr="007A2258" w:rsidRDefault="00336CFD" w:rsidP="001B00B9">
      <w:pPr>
        <w:pStyle w:val="ListParagraph"/>
        <w:numPr>
          <w:ilvl w:val="1"/>
          <w:numId w:val="23"/>
        </w:numPr>
        <w:jc w:val="both"/>
      </w:pPr>
      <w:r>
        <w:rPr>
          <w:snapToGrid w:val="0"/>
        </w:rPr>
        <w:t xml:space="preserve">The PBAC noted the issues raised by ESC regarding the economic model including </w:t>
      </w:r>
      <w:r w:rsidR="001B00B9">
        <w:rPr>
          <w:snapToGrid w:val="0"/>
        </w:rPr>
        <w:t>h</w:t>
      </w:r>
      <w:r>
        <w:rPr>
          <w:snapToGrid w:val="0"/>
        </w:rPr>
        <w:t xml:space="preserve">ow the incidence of HIV was modelled over time and </w:t>
      </w:r>
      <w:r w:rsidR="001B00B9">
        <w:rPr>
          <w:snapToGrid w:val="0"/>
        </w:rPr>
        <w:t xml:space="preserve">how the incident cases were distributed across the susceptible population. The PBAC also noted </w:t>
      </w:r>
      <w:r w:rsidR="001B00B9">
        <w:t>the economic model assumed that individuals essentially remain on PrEP indefinitely and considered that this was not reflective of the way PrEP would be used in practice. Further, the Committee noted that the impact of adherence with TDF/FTC could not be tested in the model.</w:t>
      </w:r>
      <w:r w:rsidR="00BF2A1E">
        <w:t xml:space="preserve"> </w:t>
      </w:r>
    </w:p>
    <w:p w:rsidR="00336CFD" w:rsidRPr="001B00B9" w:rsidRDefault="001B00B9" w:rsidP="007A2258">
      <w:pPr>
        <w:pStyle w:val="ListParagraph"/>
        <w:numPr>
          <w:ilvl w:val="1"/>
          <w:numId w:val="23"/>
        </w:numPr>
        <w:spacing w:before="0" w:after="120"/>
        <w:jc w:val="both"/>
        <w:rPr>
          <w:snapToGrid w:val="0"/>
        </w:rPr>
      </w:pPr>
      <w:r>
        <w:t xml:space="preserve">The PBAC noted that many of the scenarios tested in the sensitivity analyses resulted in an ICER that was lower than the base case, and hence that the model was </w:t>
      </w:r>
      <w:r w:rsidR="009B083B">
        <w:t xml:space="preserve">likely </w:t>
      </w:r>
      <w:r>
        <w:t>conservative, potentially overestimating the ICER. The PBAC noted that the price of TDF/FTC was a key driver of the cost-effectiveness of PrEP, and considered despite the issues noted with the economic model, that TDF/FTC was not cost-effective at the requested price.</w:t>
      </w:r>
    </w:p>
    <w:p w:rsidR="001B00B9" w:rsidRPr="00DC2F28" w:rsidRDefault="001B00B9" w:rsidP="007A2258">
      <w:pPr>
        <w:pStyle w:val="ListParagraph"/>
        <w:numPr>
          <w:ilvl w:val="1"/>
          <w:numId w:val="23"/>
        </w:numPr>
        <w:spacing w:before="0" w:after="120"/>
        <w:jc w:val="both"/>
        <w:rPr>
          <w:snapToGrid w:val="0"/>
        </w:rPr>
      </w:pPr>
      <w:r>
        <w:t xml:space="preserve">The PBAC noted the resubmission included an economic model developed by the Kirby Institute assessing the cost-effectiveness of PrEP in MSM, and that the ESC considered </w:t>
      </w:r>
      <w:r w:rsidRPr="007A2258">
        <w:t xml:space="preserve">the Kirby model was more likely to accurately predict HIV incidence and prevalence in the future given the calibration approach used, and </w:t>
      </w:r>
      <w:r>
        <w:t>as</w:t>
      </w:r>
      <w:r w:rsidRPr="007A2258">
        <w:t xml:space="preserve"> the time horizon for the Kirby model was 14 years in comparison to 20 years for the resubmission’s model and was associated with less uncertainty regarding the predicted incidence and prevalence of HIV.</w:t>
      </w:r>
    </w:p>
    <w:p w:rsidR="002F127F" w:rsidRDefault="002F127F" w:rsidP="002F127F">
      <w:pPr>
        <w:pStyle w:val="ListParagraph"/>
        <w:numPr>
          <w:ilvl w:val="1"/>
          <w:numId w:val="23"/>
        </w:numPr>
        <w:jc w:val="both"/>
      </w:pPr>
      <w:r>
        <w:t>The PBAC agreed with ESC and considered that the Kirby model was likely to be more robust and reliable than the model included in the resubmission because:</w:t>
      </w:r>
    </w:p>
    <w:p w:rsidR="002F127F" w:rsidRDefault="002F127F" w:rsidP="002F127F">
      <w:pPr>
        <w:pStyle w:val="ListParagraph"/>
        <w:numPr>
          <w:ilvl w:val="0"/>
          <w:numId w:val="28"/>
        </w:numPr>
        <w:jc w:val="both"/>
      </w:pPr>
      <w:r>
        <w:t>Uptake was modelled separately for high, medium and low risk MSM populations;</w:t>
      </w:r>
    </w:p>
    <w:p w:rsidR="002F127F" w:rsidRDefault="002F127F" w:rsidP="002F127F">
      <w:pPr>
        <w:pStyle w:val="ListParagraph"/>
        <w:numPr>
          <w:ilvl w:val="0"/>
          <w:numId w:val="28"/>
        </w:numPr>
        <w:jc w:val="both"/>
      </w:pPr>
      <w:r>
        <w:t>The rate of infection was dependent on the type and number of risk events, and differed with different modes of transmission (as opposed to the single ‘risk multiplier’ in the submission model);</w:t>
      </w:r>
    </w:p>
    <w:p w:rsidR="002F127F" w:rsidRDefault="002F127F" w:rsidP="002F127F">
      <w:pPr>
        <w:pStyle w:val="ListParagraph"/>
        <w:numPr>
          <w:ilvl w:val="0"/>
          <w:numId w:val="28"/>
        </w:numPr>
        <w:jc w:val="both"/>
      </w:pPr>
      <w:r>
        <w:t>The model was calibrated against existing HIV epidemiology in Australia (2000 – 2015), which was likely to be a better predictor of HIV incidence and prevalence into the future; and</w:t>
      </w:r>
    </w:p>
    <w:p w:rsidR="002F127F" w:rsidRDefault="002F127F" w:rsidP="002F127F">
      <w:pPr>
        <w:pStyle w:val="ListParagraph"/>
        <w:numPr>
          <w:ilvl w:val="0"/>
          <w:numId w:val="28"/>
        </w:numPr>
        <w:jc w:val="both"/>
      </w:pPr>
      <w:r>
        <w:t>The shorter time horizon (14 years in the Kirby model vs. 20 years in the submission model) provided more certainty in the model extrapolation.</w:t>
      </w:r>
    </w:p>
    <w:p w:rsidR="00222909" w:rsidRPr="00B44D98" w:rsidRDefault="002F127F" w:rsidP="00B44D98">
      <w:pPr>
        <w:pStyle w:val="ListParagraph"/>
        <w:numPr>
          <w:ilvl w:val="1"/>
          <w:numId w:val="23"/>
        </w:numPr>
        <w:spacing w:before="0" w:after="120"/>
        <w:jc w:val="both"/>
        <w:rPr>
          <w:snapToGrid w:val="0"/>
        </w:rPr>
      </w:pPr>
      <w:r w:rsidRPr="007A2258">
        <w:t xml:space="preserve">The </w:t>
      </w:r>
      <w:r>
        <w:t xml:space="preserve">PBAC noted the </w:t>
      </w:r>
      <w:r w:rsidRPr="007A2258">
        <w:t xml:space="preserve">results for the Kirby model </w:t>
      </w:r>
      <w:r>
        <w:t>were</w:t>
      </w:r>
      <w:r w:rsidRPr="007A2258">
        <w:t xml:space="preserve"> presented for a number of scenarios based on different uptake in individuals at high, medium or low risk of infection. The uptake scenarios ranged from 30-0-0 (30% uptake in high risk, 0% in medium risk, 0% in low risk; 8.4% overall uptake) to 90-90-90 (90% overall uptake).</w:t>
      </w:r>
      <w:r>
        <w:t xml:space="preserve"> </w:t>
      </w:r>
      <w:r w:rsidR="006E3770">
        <w:t>Although, the PBAC considered that</w:t>
      </w:r>
      <w:r w:rsidR="00B44D98" w:rsidRPr="00B44D98">
        <w:t xml:space="preserve"> </w:t>
      </w:r>
      <w:r w:rsidR="006E3770">
        <w:t>TDF/FTC</w:t>
      </w:r>
      <w:r w:rsidR="00B44D98" w:rsidRPr="00B44D98">
        <w:t xml:space="preserve"> was not cost effective at the requested price for any of the uptake scenarios modelled in the Kirby model</w:t>
      </w:r>
      <w:r w:rsidR="006E3770">
        <w:t>,</w:t>
      </w:r>
      <w:r w:rsidR="00B44D98">
        <w:t xml:space="preserve"> </w:t>
      </w:r>
      <w:r w:rsidR="006E3770">
        <w:t>t</w:t>
      </w:r>
      <w:r>
        <w:t xml:space="preserve">he PBAC noted that only two of the scenarios presented considered use in individuals at high and medium risk of infection, the population proposed in the resubmission which the PBAC agreed to be appropriate. Further, both of the scenarios assumed 90% uptake in high risk individuals and the PBAC considered that this level of uptake was unlikely to be achieved in clinical practice. </w:t>
      </w:r>
      <w:r w:rsidR="00BF2A1E" w:rsidRPr="00BF2A1E">
        <w:rPr>
          <w:rFonts w:cs="Arial"/>
          <w:snapToGrid w:val="0"/>
          <w:szCs w:val="20"/>
        </w:rPr>
        <w:t>The PBAC</w:t>
      </w:r>
      <w:r w:rsidRPr="00BF2A1E">
        <w:rPr>
          <w:rFonts w:cs="Arial"/>
          <w:snapToGrid w:val="0"/>
          <w:szCs w:val="20"/>
        </w:rPr>
        <w:t xml:space="preserve"> </w:t>
      </w:r>
      <w:r w:rsidR="00BF2A1E" w:rsidRPr="00BF2A1E">
        <w:rPr>
          <w:rFonts w:cs="Arial"/>
          <w:snapToGrid w:val="0"/>
          <w:szCs w:val="20"/>
        </w:rPr>
        <w:t xml:space="preserve">considered </w:t>
      </w:r>
      <w:r w:rsidRPr="00BF2A1E">
        <w:rPr>
          <w:rFonts w:cs="Arial"/>
          <w:snapToGrid w:val="0"/>
          <w:szCs w:val="20"/>
        </w:rPr>
        <w:t xml:space="preserve">alternative scenarios </w:t>
      </w:r>
      <w:r w:rsidR="00BF2A1E" w:rsidRPr="00BF2A1E">
        <w:rPr>
          <w:rFonts w:cs="Arial"/>
          <w:snapToGrid w:val="0"/>
          <w:szCs w:val="20"/>
        </w:rPr>
        <w:t xml:space="preserve">assuming lower </w:t>
      </w:r>
      <w:r w:rsidRPr="00BF2A1E">
        <w:rPr>
          <w:rFonts w:cs="Arial"/>
          <w:snapToGrid w:val="0"/>
          <w:szCs w:val="20"/>
        </w:rPr>
        <w:t xml:space="preserve">uptake </w:t>
      </w:r>
      <w:r w:rsidR="00BF2A1E" w:rsidRPr="00BF2A1E">
        <w:rPr>
          <w:rFonts w:cs="Arial"/>
          <w:snapToGrid w:val="0"/>
          <w:szCs w:val="20"/>
        </w:rPr>
        <w:t xml:space="preserve">in </w:t>
      </w:r>
      <w:r w:rsidRPr="00BF2A1E">
        <w:rPr>
          <w:rFonts w:cs="Arial"/>
          <w:snapToGrid w:val="0"/>
          <w:szCs w:val="20"/>
        </w:rPr>
        <w:t>medium and high risk individuals</w:t>
      </w:r>
      <w:r w:rsidR="00BF2A1E" w:rsidRPr="00BF2A1E">
        <w:rPr>
          <w:rFonts w:cs="Arial"/>
          <w:snapToGrid w:val="0"/>
          <w:szCs w:val="20"/>
        </w:rPr>
        <w:t xml:space="preserve"> would be informative</w:t>
      </w:r>
      <w:r w:rsidRPr="00BF2A1E">
        <w:rPr>
          <w:rFonts w:cs="Arial"/>
          <w:snapToGrid w:val="0"/>
          <w:szCs w:val="20"/>
        </w:rPr>
        <w:t>.</w:t>
      </w:r>
      <w:r w:rsidR="00B44D98">
        <w:rPr>
          <w:rFonts w:cs="Arial"/>
          <w:snapToGrid w:val="0"/>
          <w:szCs w:val="20"/>
        </w:rPr>
        <w:t xml:space="preserve">   </w:t>
      </w:r>
    </w:p>
    <w:p w:rsidR="00B44D98" w:rsidRPr="006E3770" w:rsidRDefault="00B44D98" w:rsidP="006E3770">
      <w:pPr>
        <w:pStyle w:val="ListParagraph"/>
        <w:numPr>
          <w:ilvl w:val="1"/>
          <w:numId w:val="23"/>
        </w:numPr>
        <w:rPr>
          <w:snapToGrid w:val="0"/>
        </w:rPr>
      </w:pPr>
      <w:r w:rsidRPr="006E3770">
        <w:rPr>
          <w:snapToGrid w:val="0"/>
        </w:rPr>
        <w:t>The</w:t>
      </w:r>
      <w:r w:rsidR="006E3770" w:rsidRPr="006E3770">
        <w:rPr>
          <w:snapToGrid w:val="0"/>
        </w:rPr>
        <w:t xml:space="preserve"> PBAC further requested sensitivity analyses varying the TDF/FTC price to be undertaken for these additional scenarios.  </w:t>
      </w:r>
      <w:r w:rsidR="00CB51BF">
        <w:rPr>
          <w:snapToGrid w:val="0"/>
        </w:rPr>
        <w:t>T</w:t>
      </w:r>
      <w:r w:rsidR="006E3770" w:rsidRPr="006E3770">
        <w:rPr>
          <w:snapToGrid w:val="0"/>
        </w:rPr>
        <w:t xml:space="preserve">he PBAC recalled that the </w:t>
      </w:r>
      <w:r w:rsidRPr="006E3770">
        <w:rPr>
          <w:snapToGrid w:val="0"/>
        </w:rPr>
        <w:t xml:space="preserve">threshold of incremental QALYs gained for treatments with large </w:t>
      </w:r>
      <w:r w:rsidR="00CB51BF">
        <w:rPr>
          <w:snapToGrid w:val="0"/>
        </w:rPr>
        <w:t>opportunity costs</w:t>
      </w:r>
      <w:r w:rsidRPr="006E3770">
        <w:rPr>
          <w:snapToGrid w:val="0"/>
        </w:rPr>
        <w:t>, such as population preventative interventions including lipid-lowering, anti-hypertensive drugs and vaccines was at the lower end of the ICER range that PBAC has accepted because these treatments typically have a high opportunity cost.</w:t>
      </w:r>
      <w:r w:rsidRPr="00CB51BF">
        <w:rPr>
          <w:snapToGrid w:val="0"/>
        </w:rPr>
        <w:t xml:space="preserve"> Though not completely analogous to a vaccination program such as against Human Papillomavirus (HPV), the PBAC consi</w:t>
      </w:r>
      <w:r w:rsidR="00CB51BF">
        <w:rPr>
          <w:snapToGrid w:val="0"/>
        </w:rPr>
        <w:t>dered that subsidisation of PrEP</w:t>
      </w:r>
      <w:r w:rsidRPr="00CB51BF">
        <w:rPr>
          <w:snapToGrid w:val="0"/>
        </w:rPr>
        <w:t>, like the HPV vaccine, would provide</w:t>
      </w:r>
      <w:r w:rsidRPr="006E3770">
        <w:rPr>
          <w:snapToGrid w:val="0"/>
        </w:rPr>
        <w:t xml:space="preserve"> both direct benefits to the treated individual and wider benefits to so</w:t>
      </w:r>
      <w:r w:rsidR="00CB51BF">
        <w:rPr>
          <w:snapToGrid w:val="0"/>
        </w:rPr>
        <w:t xml:space="preserve">ciety with reductions </w:t>
      </w:r>
      <w:r w:rsidRPr="006E3770">
        <w:rPr>
          <w:snapToGrid w:val="0"/>
        </w:rPr>
        <w:t xml:space="preserve">in the prevalence of </w:t>
      </w:r>
      <w:r w:rsidR="00CB51BF">
        <w:rPr>
          <w:snapToGrid w:val="0"/>
        </w:rPr>
        <w:t>HIV infection over time</w:t>
      </w:r>
      <w:r w:rsidRPr="006E3770">
        <w:rPr>
          <w:snapToGrid w:val="0"/>
        </w:rPr>
        <w:t xml:space="preserve">. </w:t>
      </w:r>
      <w:r w:rsidR="00CB51BF">
        <w:rPr>
          <w:snapToGrid w:val="0"/>
        </w:rPr>
        <w:t xml:space="preserve"> </w:t>
      </w:r>
      <w:r w:rsidRPr="006E3770">
        <w:rPr>
          <w:snapToGrid w:val="0"/>
        </w:rPr>
        <w:t xml:space="preserve">The PBAC considered that the acceptable ICER/QALY for </w:t>
      </w:r>
      <w:r w:rsidR="00CB51BF">
        <w:rPr>
          <w:snapToGrid w:val="0"/>
        </w:rPr>
        <w:t>PrEP</w:t>
      </w:r>
      <w:r w:rsidRPr="006E3770">
        <w:rPr>
          <w:snapToGrid w:val="0"/>
        </w:rPr>
        <w:t xml:space="preserve"> should be at the low end of the range previously accepted for these other popula</w:t>
      </w:r>
      <w:r w:rsidR="00CB51BF">
        <w:rPr>
          <w:snapToGrid w:val="0"/>
        </w:rPr>
        <w:t>tion preventative interventions with large opportunity costs.</w:t>
      </w:r>
    </w:p>
    <w:p w:rsidR="007A2258" w:rsidRPr="00325F77" w:rsidRDefault="00325F77" w:rsidP="007A2258">
      <w:pPr>
        <w:pStyle w:val="ListParagraph"/>
        <w:numPr>
          <w:ilvl w:val="1"/>
          <w:numId w:val="23"/>
        </w:numPr>
        <w:spacing w:before="0" w:after="120"/>
        <w:jc w:val="both"/>
        <w:rPr>
          <w:rFonts w:cs="Arial"/>
          <w:snapToGrid w:val="0"/>
          <w:szCs w:val="20"/>
        </w:rPr>
      </w:pPr>
      <w:r w:rsidRPr="00325F77">
        <w:rPr>
          <w:rFonts w:cs="Arial"/>
          <w:snapToGrid w:val="0"/>
          <w:szCs w:val="20"/>
        </w:rPr>
        <w:t>The PBAC considered the utilisation estimates were highly uncertain and difficult to predict, however agreed with DUSC that utilisation was likely underestimated in year 1 and overestimated in years 2-5.</w:t>
      </w:r>
      <w:r w:rsidR="00001A3C">
        <w:rPr>
          <w:rFonts w:cs="Arial"/>
          <w:snapToGrid w:val="0"/>
          <w:szCs w:val="20"/>
        </w:rPr>
        <w:t xml:space="preserve"> The PBAC noted that the submission estimated annual expenditure exceeding $</w:t>
      </w:r>
      <w:r w:rsidR="00172606">
        <w:rPr>
          <w:rFonts w:cs="Arial"/>
          <w:snapToGrid w:val="0"/>
          <w:szCs w:val="20"/>
        </w:rPr>
        <w:t xml:space="preserve">100 </w:t>
      </w:r>
      <w:r w:rsidR="00001A3C">
        <w:rPr>
          <w:rFonts w:cs="Arial"/>
          <w:snapToGrid w:val="0"/>
          <w:szCs w:val="20"/>
        </w:rPr>
        <w:t>million per year in five of the six years of the estimates and considered the opportunity cost was unacceptably high at the proposed price.</w:t>
      </w:r>
    </w:p>
    <w:p w:rsidR="007A2258" w:rsidRPr="00CC418B" w:rsidRDefault="00403C88" w:rsidP="00CC418B">
      <w:pPr>
        <w:pStyle w:val="ListParagraph"/>
        <w:numPr>
          <w:ilvl w:val="1"/>
          <w:numId w:val="23"/>
        </w:numPr>
        <w:spacing w:before="0" w:after="120"/>
        <w:jc w:val="both"/>
        <w:rPr>
          <w:rFonts w:cs="Arial"/>
          <w:snapToGrid w:val="0"/>
          <w:szCs w:val="20"/>
        </w:rPr>
      </w:pPr>
      <w:r>
        <w:t>The PBAC noted that, depending on the further information being sought, there may be considerable uncertainties associated with the cost effective usage of this drug and consideration should be given to how to best manage those uncertainties if a recommendation is made for a PBS listing in future</w:t>
      </w:r>
      <w:r w:rsidR="00BA19AA">
        <w:t xml:space="preserve">. </w:t>
      </w:r>
      <w:r w:rsidR="007A2258" w:rsidRPr="00325F77">
        <w:rPr>
          <w:rFonts w:cs="Arial"/>
          <w:snapToGrid w:val="0"/>
          <w:szCs w:val="20"/>
        </w:rPr>
        <w:t>The PBAC noted that this submission is</w:t>
      </w:r>
      <w:r w:rsidR="00E037B9" w:rsidRPr="00325F77">
        <w:rPr>
          <w:rFonts w:cs="Arial"/>
          <w:snapToGrid w:val="0"/>
          <w:szCs w:val="20"/>
        </w:rPr>
        <w:t xml:space="preserve"> not eligible</w:t>
      </w:r>
      <w:r w:rsidR="007A2258" w:rsidRPr="00325F77">
        <w:rPr>
          <w:rFonts w:cs="Arial"/>
          <w:snapToGrid w:val="0"/>
          <w:szCs w:val="20"/>
        </w:rPr>
        <w:t xml:space="preserve"> for an Independent Review</w:t>
      </w:r>
      <w:r w:rsidR="00E037B9" w:rsidRPr="00325F77">
        <w:rPr>
          <w:rFonts w:cs="Arial"/>
          <w:snapToGrid w:val="0"/>
          <w:szCs w:val="20"/>
        </w:rPr>
        <w:t xml:space="preserve"> as it was deferred</w:t>
      </w:r>
      <w:r w:rsidR="007A2258" w:rsidRPr="00325F77">
        <w:rPr>
          <w:rFonts w:cs="Arial"/>
          <w:snapToGrid w:val="0"/>
          <w:szCs w:val="20"/>
        </w:rPr>
        <w:t xml:space="preserve">. </w:t>
      </w:r>
    </w:p>
    <w:p w:rsidR="007A2258" w:rsidRPr="007838EF" w:rsidRDefault="007A2258" w:rsidP="007838EF">
      <w:pPr>
        <w:pStyle w:val="Heading2"/>
      </w:pPr>
      <w:r w:rsidRPr="007D1CAF">
        <w:rPr>
          <w:i w:val="0"/>
        </w:rPr>
        <w:t>Outcome</w:t>
      </w:r>
      <w:r w:rsidR="00A13113" w:rsidRPr="007D1CAF">
        <w:rPr>
          <w:i w:val="0"/>
        </w:rPr>
        <w:t>:</w:t>
      </w:r>
      <w:r w:rsidR="00A13113" w:rsidRPr="00EA6EA9">
        <w:t xml:space="preserve"> </w:t>
      </w:r>
      <w:r w:rsidR="007838EF">
        <w:br/>
      </w:r>
      <w:r w:rsidRPr="007838EF">
        <w:rPr>
          <w:rFonts w:cs="Arial"/>
          <w:b w:val="0"/>
          <w:bCs/>
          <w:i w:val="0"/>
          <w:snapToGrid w:val="0"/>
          <w:sz w:val="24"/>
          <w:szCs w:val="24"/>
          <w:lang w:val="en-GB"/>
        </w:rPr>
        <w:t xml:space="preserve">Deferred </w:t>
      </w:r>
    </w:p>
    <w:p w:rsidR="007A2258" w:rsidRDefault="007A2258" w:rsidP="007A2258">
      <w:pPr>
        <w:widowControl w:val="0"/>
        <w:spacing w:after="0"/>
        <w:jc w:val="both"/>
        <w:rPr>
          <w:rFonts w:cs="Arial"/>
          <w:bCs/>
          <w:snapToGrid w:val="0"/>
          <w:szCs w:val="24"/>
          <w:highlight w:val="yellow"/>
          <w:lang w:val="en-GB"/>
        </w:rPr>
      </w:pPr>
    </w:p>
    <w:p w:rsidR="00090963" w:rsidRPr="00090963" w:rsidRDefault="00090963" w:rsidP="00090963">
      <w:pPr>
        <w:pStyle w:val="Heading1"/>
        <w:numPr>
          <w:ilvl w:val="0"/>
          <w:numId w:val="23"/>
        </w:numPr>
        <w:ind w:left="709" w:hanging="709"/>
      </w:pPr>
      <w:r w:rsidRPr="00090963">
        <w:t>Context for Decision</w:t>
      </w:r>
    </w:p>
    <w:p w:rsidR="00090963" w:rsidRPr="00440A84" w:rsidRDefault="00090963" w:rsidP="00090963">
      <w:pPr>
        <w:spacing w:after="0"/>
        <w:ind w:left="426"/>
        <w:jc w:val="both"/>
        <w:rPr>
          <w:rFonts w:cs="Arial"/>
          <w:szCs w:val="24"/>
        </w:rPr>
      </w:pPr>
    </w:p>
    <w:p w:rsidR="00090963" w:rsidRPr="00440A84" w:rsidRDefault="00090963" w:rsidP="002E7CD1">
      <w:pPr>
        <w:spacing w:after="0"/>
        <w:jc w:val="both"/>
        <w:rPr>
          <w:rFonts w:cs="Arial"/>
          <w:szCs w:val="24"/>
        </w:rPr>
      </w:pPr>
      <w:r w:rsidRPr="00440A84">
        <w:rPr>
          <w:rFonts w:cs="Arial"/>
          <w:szCs w:val="24"/>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90963" w:rsidRPr="00090963" w:rsidRDefault="00090963" w:rsidP="00090963">
      <w:pPr>
        <w:pStyle w:val="Heading1"/>
        <w:numPr>
          <w:ilvl w:val="0"/>
          <w:numId w:val="23"/>
        </w:numPr>
        <w:ind w:left="709" w:hanging="709"/>
      </w:pPr>
      <w:r w:rsidRPr="00090963">
        <w:t>Sponsor’s Comment</w:t>
      </w:r>
    </w:p>
    <w:p w:rsidR="00090963" w:rsidRPr="00440A84" w:rsidRDefault="00090963" w:rsidP="00090963">
      <w:pPr>
        <w:spacing w:after="0"/>
        <w:ind w:left="426"/>
        <w:jc w:val="both"/>
        <w:rPr>
          <w:rFonts w:cs="Arial"/>
          <w:bCs/>
          <w:szCs w:val="24"/>
          <w:highlight w:val="yellow"/>
          <w:lang w:val="en-GB"/>
        </w:rPr>
      </w:pPr>
    </w:p>
    <w:p w:rsidR="00090963" w:rsidRPr="00904455" w:rsidRDefault="00414C58" w:rsidP="00904455">
      <w:pPr>
        <w:rPr>
          <w:rFonts w:cs="Arial"/>
          <w:bCs/>
          <w:szCs w:val="24"/>
          <w:lang w:val="en-GB"/>
        </w:rPr>
      </w:pPr>
      <w:r w:rsidRPr="00414C58">
        <w:rPr>
          <w:rFonts w:cs="Arial"/>
          <w:bCs/>
          <w:szCs w:val="24"/>
          <w:lang w:val="en-GB"/>
        </w:rPr>
        <w:t>Gilead will continue to work with the PBAC to achieve a recommendation for pre-exposure prophylaxis against HIV infection. Gilead is aware that there are now generic companies providing multiple brands o</w:t>
      </w:r>
      <w:r>
        <w:rPr>
          <w:rFonts w:cs="Arial"/>
          <w:bCs/>
          <w:szCs w:val="24"/>
          <w:lang w:val="en-GB"/>
        </w:rPr>
        <w:t>f tenofovir with emtricitabine.</w:t>
      </w:r>
    </w:p>
    <w:sectPr w:rsidR="00090963" w:rsidRPr="00904455" w:rsidSect="00884803">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291C8B" w15:done="0"/>
  <w15:commentEx w15:paraId="6BF38D72" w15:done="0"/>
  <w15:commentEx w15:paraId="7ACE858C" w15:done="0"/>
  <w15:commentEx w15:paraId="21F9CF1A" w15:done="0"/>
  <w15:commentEx w15:paraId="754FCE03" w15:done="0"/>
  <w15:commentEx w15:paraId="0F286859" w15:done="0"/>
  <w15:commentEx w15:paraId="54D5AE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3C3" w:rsidRDefault="004E43C3" w:rsidP="00BA3306">
      <w:pPr>
        <w:spacing w:before="0" w:after="0"/>
      </w:pPr>
      <w:r>
        <w:separator/>
      </w:r>
    </w:p>
  </w:endnote>
  <w:endnote w:type="continuationSeparator" w:id="0">
    <w:p w:rsidR="004E43C3" w:rsidRDefault="004E43C3" w:rsidP="00BA33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3C3" w:rsidRDefault="004E43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455" w:rsidRDefault="00904455">
    <w:pPr>
      <w:pStyle w:val="Footer"/>
    </w:pPr>
  </w:p>
  <w:p w:rsidR="00904455" w:rsidRPr="007A2258" w:rsidRDefault="00904455" w:rsidP="007A2258">
    <w:pPr>
      <w:pStyle w:val="Footer"/>
      <w:ind w:left="360"/>
      <w:jc w:val="center"/>
      <w:rPr>
        <w:noProof/>
        <w:sz w:val="20"/>
      </w:rPr>
    </w:pPr>
    <w:r w:rsidRPr="00651169">
      <w:rPr>
        <w:sz w:val="20"/>
      </w:rPr>
      <w:fldChar w:fldCharType="begin"/>
    </w:r>
    <w:r w:rsidRPr="00651169">
      <w:rPr>
        <w:sz w:val="20"/>
      </w:rPr>
      <w:instrText xml:space="preserve"> PAGE   \* MERGEFORMAT </w:instrText>
    </w:r>
    <w:r w:rsidRPr="00651169">
      <w:rPr>
        <w:sz w:val="20"/>
      </w:rPr>
      <w:fldChar w:fldCharType="separate"/>
    </w:r>
    <w:r w:rsidR="004E43C3">
      <w:rPr>
        <w:noProof/>
        <w:sz w:val="20"/>
      </w:rPr>
      <w:t>8</w:t>
    </w:r>
    <w:r w:rsidRPr="00651169">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3C3" w:rsidRDefault="004E43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3C3" w:rsidRDefault="004E43C3" w:rsidP="00BA3306">
      <w:pPr>
        <w:spacing w:before="0" w:after="0"/>
      </w:pPr>
      <w:r>
        <w:separator/>
      </w:r>
    </w:p>
  </w:footnote>
  <w:footnote w:type="continuationSeparator" w:id="0">
    <w:p w:rsidR="004E43C3" w:rsidRDefault="004E43C3" w:rsidP="00BA3306">
      <w:pPr>
        <w:spacing w:before="0" w:after="0"/>
      </w:pPr>
      <w:r>
        <w:continuationSeparator/>
      </w:r>
    </w:p>
  </w:footnote>
  <w:footnote w:id="1">
    <w:p w:rsidR="00904455" w:rsidRDefault="00904455">
      <w:pPr>
        <w:pStyle w:val="FootnoteText"/>
      </w:pPr>
      <w:r>
        <w:rPr>
          <w:rStyle w:val="FootnoteReference"/>
        </w:rPr>
        <w:footnoteRef/>
      </w:r>
      <w:r>
        <w:t xml:space="preserve"> </w:t>
      </w:r>
      <w:r w:rsidRPr="00B75A5B">
        <w:t>Wright, Edwina, et al. Austr</w:t>
      </w:r>
      <w:r>
        <w:t>a</w:t>
      </w:r>
      <w:r w:rsidRPr="00B75A5B">
        <w:t>lasian Society for HIV, Viral Hepatitis, and Sexual Health Medicine - HIV Pre-Exposure Prophylaxis: clinical guidelines. Journal of Virus Eradication, 2017; 3: 168-184. Accessed 5 July 2017.</w:t>
      </w:r>
      <w:r>
        <w:t xml:space="preserve"> Open access, available at </w:t>
      </w:r>
      <w:hyperlink r:id="rId1" w:history="1">
        <w:r w:rsidRPr="00D0090B">
          <w:rPr>
            <w:rStyle w:val="Hyperlink"/>
          </w:rPr>
          <w:t>http://viruseradication.com/journal-details/Australasian_Society_for_HIV,_Viral_Hepatitis_and_Sexual_Health_Medicine_HIV_pre-exposure_prophylaxis:_clinical_guidelines/</w:t>
        </w:r>
      </w:hyperlink>
      <w:r>
        <w:t xml:space="preserve"> </w:t>
      </w:r>
    </w:p>
  </w:footnote>
  <w:footnote w:id="2">
    <w:p w:rsidR="00904455" w:rsidRPr="008F773B" w:rsidRDefault="00904455">
      <w:pPr>
        <w:pStyle w:val="FootnoteText"/>
      </w:pPr>
      <w:r>
        <w:rPr>
          <w:rStyle w:val="FootnoteReference"/>
        </w:rPr>
        <w:footnoteRef/>
      </w:r>
      <w:r>
        <w:t xml:space="preserve"> Van der Straten, Ariane, </w:t>
      </w:r>
      <w:r>
        <w:rPr>
          <w:i/>
        </w:rPr>
        <w:t>et al</w:t>
      </w:r>
      <w:r>
        <w:t xml:space="preserve">. Unraveling the divergent results of pre-exposure prophylaxis trials for HIV prevention. AIDS, 2012, 26: F13-F19. </w:t>
      </w:r>
      <w:r w:rsidRPr="008F773B">
        <w:t>doi: 10.1097/QAD.0b013e3283522272</w:t>
      </w:r>
    </w:p>
  </w:footnote>
  <w:footnote w:id="3">
    <w:p w:rsidR="00904455" w:rsidRPr="008F59B5" w:rsidRDefault="00904455" w:rsidP="007A2258">
      <w:pPr>
        <w:pStyle w:val="FootnoteText"/>
        <w:rPr>
          <w:rFonts w:ascii="Arial Narrow" w:hAnsi="Arial Narrow"/>
          <w:szCs w:val="18"/>
        </w:rPr>
      </w:pPr>
      <w:r w:rsidRPr="008F59B5">
        <w:rPr>
          <w:rStyle w:val="FootnoteReference"/>
          <w:rFonts w:ascii="Arial Narrow" w:hAnsi="Arial Narrow"/>
          <w:szCs w:val="18"/>
        </w:rPr>
        <w:footnoteRef/>
      </w:r>
      <w:r w:rsidRPr="008F59B5">
        <w:rPr>
          <w:rFonts w:ascii="Arial Narrow" w:hAnsi="Arial Narrow"/>
          <w:szCs w:val="18"/>
        </w:rPr>
        <w:t xml:space="preserve"> The Kirby Institute. National Blood-borne Viruses and Sexually Transmissible Infections Surveillance and Monitoring Report, 2016. The Kirby Institute, UNSW Sydney, Sydney, NSW. Table 5 p69.</w:t>
      </w:r>
    </w:p>
  </w:footnote>
  <w:footnote w:id="4">
    <w:p w:rsidR="00904455" w:rsidRDefault="00904455" w:rsidP="007A2258">
      <w:pPr>
        <w:pStyle w:val="FootnoteText"/>
      </w:pPr>
      <w:r w:rsidRPr="008F59B5">
        <w:rPr>
          <w:rStyle w:val="FootnoteReference"/>
          <w:rFonts w:ascii="Arial Narrow" w:hAnsi="Arial Narrow"/>
          <w:szCs w:val="18"/>
        </w:rPr>
        <w:footnoteRef/>
      </w:r>
      <w:r w:rsidRPr="008F59B5">
        <w:rPr>
          <w:rFonts w:ascii="Arial Narrow" w:hAnsi="Arial Narrow"/>
          <w:i/>
          <w:szCs w:val="18"/>
        </w:rPr>
        <w:t xml:space="preserve"> </w:t>
      </w:r>
      <w:r w:rsidRPr="008F59B5">
        <w:rPr>
          <w:rStyle w:val="Emphasis"/>
          <w:rFonts w:ascii="Arial Narrow" w:hAnsi="Arial Narrow" w:cs="Helvetica"/>
          <w:color w:val="222222"/>
          <w:szCs w:val="18"/>
          <w:shd w:val="clear" w:color="auto" w:fill="FFFFFF"/>
        </w:rPr>
        <w:t>Seventh National HIV Strategy 2014–2017.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3C3" w:rsidRDefault="004E43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455" w:rsidRPr="00DF217D" w:rsidRDefault="00904455" w:rsidP="007A2258">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July 2017 </w:t>
    </w:r>
    <w:r w:rsidRPr="00DF217D">
      <w:rPr>
        <w:i/>
        <w:color w:val="808080"/>
      </w:rPr>
      <w:t>PBAC</w:t>
    </w:r>
    <w:r>
      <w:rPr>
        <w:i/>
        <w:color w:val="808080"/>
      </w:rPr>
      <w:t xml:space="preserve"> </w:t>
    </w:r>
    <w:r w:rsidRPr="00DF217D">
      <w:rPr>
        <w:i/>
        <w:color w:val="808080"/>
      </w:rPr>
      <w:t>Meeting</w:t>
    </w:r>
  </w:p>
  <w:p w:rsidR="00904455" w:rsidRPr="00DF217D" w:rsidRDefault="00904455" w:rsidP="007A2258">
    <w:pPr>
      <w:pStyle w:val="Header"/>
      <w:ind w:left="360"/>
      <w:jc w:val="center"/>
      <w:rPr>
        <w:i/>
        <w:color w:val="808080"/>
      </w:rPr>
    </w:pPr>
  </w:p>
  <w:p w:rsidR="00904455" w:rsidRDefault="00904455" w:rsidP="00C317F3">
    <w:pPr>
      <w:pStyle w:val="Header"/>
      <w:tabs>
        <w:tab w:val="left" w:pos="1725"/>
        <w:tab w:val="left" w:pos="772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3C3" w:rsidRDefault="004E43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51A1"/>
    <w:multiLevelType w:val="hybridMultilevel"/>
    <w:tmpl w:val="1812F2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02517C93"/>
    <w:multiLevelType w:val="hybridMultilevel"/>
    <w:tmpl w:val="B6349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DB6EC1"/>
    <w:multiLevelType w:val="hybridMultilevel"/>
    <w:tmpl w:val="EA00BD8C"/>
    <w:styleLink w:val="Headings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12950"/>
    <w:multiLevelType w:val="multilevel"/>
    <w:tmpl w:val="4DBC7B22"/>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1145C85"/>
    <w:multiLevelType w:val="hybridMultilevel"/>
    <w:tmpl w:val="4B0694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6C11715"/>
    <w:multiLevelType w:val="hybridMultilevel"/>
    <w:tmpl w:val="537E58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4817385"/>
    <w:multiLevelType w:val="hybridMultilevel"/>
    <w:tmpl w:val="E886038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352D2B95"/>
    <w:multiLevelType w:val="hybridMultilevel"/>
    <w:tmpl w:val="556434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354D0729"/>
    <w:multiLevelType w:val="multilevel"/>
    <w:tmpl w:val="B380C7EC"/>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7A14CCF"/>
    <w:multiLevelType w:val="hybridMultilevel"/>
    <w:tmpl w:val="E0C21B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nsid w:val="38491594"/>
    <w:multiLevelType w:val="hybridMultilevel"/>
    <w:tmpl w:val="AD8C449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3E377373"/>
    <w:multiLevelType w:val="multilevel"/>
    <w:tmpl w:val="4C46A85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A141718"/>
    <w:multiLevelType w:val="hybridMultilevel"/>
    <w:tmpl w:val="43E625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CDF4709"/>
    <w:multiLevelType w:val="hybridMultilevel"/>
    <w:tmpl w:val="200CE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FDF6767"/>
    <w:multiLevelType w:val="hybridMultilevel"/>
    <w:tmpl w:val="2D547C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6FA0F66"/>
    <w:multiLevelType w:val="hybridMultilevel"/>
    <w:tmpl w:val="FD7873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2B45379"/>
    <w:multiLevelType w:val="multilevel"/>
    <w:tmpl w:val="27E61530"/>
    <w:styleLink w:val="Style2"/>
    <w:lvl w:ilvl="0">
      <w:start w:val="2"/>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3">
    <w:nsid w:val="63F872E9"/>
    <w:multiLevelType w:val="hybridMultilevel"/>
    <w:tmpl w:val="2A5EA8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653604AE"/>
    <w:multiLevelType w:val="hybridMultilevel"/>
    <w:tmpl w:val="96F6093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nsid w:val="6DB21894"/>
    <w:multiLevelType w:val="hybridMultilevel"/>
    <w:tmpl w:val="97C4BEB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nsid w:val="70CC1E6E"/>
    <w:multiLevelType w:val="hybridMultilevel"/>
    <w:tmpl w:val="4AF066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73FC5650"/>
    <w:multiLevelType w:val="multilevel"/>
    <w:tmpl w:val="0A5CA9C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7A0E4336"/>
    <w:multiLevelType w:val="hybridMultilevel"/>
    <w:tmpl w:val="77624A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0"/>
  </w:num>
  <w:num w:numId="2">
    <w:abstractNumId w:val="15"/>
  </w:num>
  <w:num w:numId="3">
    <w:abstractNumId w:val="2"/>
  </w:num>
  <w:num w:numId="4">
    <w:abstractNumId w:val="7"/>
  </w:num>
  <w:num w:numId="5">
    <w:abstractNumId w:val="21"/>
  </w:num>
  <w:num w:numId="6">
    <w:abstractNumId w:val="27"/>
  </w:num>
  <w:num w:numId="7">
    <w:abstractNumId w:val="16"/>
  </w:num>
  <w:num w:numId="8">
    <w:abstractNumId w:val="1"/>
  </w:num>
  <w:num w:numId="9">
    <w:abstractNumId w:val="14"/>
  </w:num>
  <w:num w:numId="10">
    <w:abstractNumId w:val="26"/>
  </w:num>
  <w:num w:numId="11">
    <w:abstractNumId w:val="6"/>
  </w:num>
  <w:num w:numId="12">
    <w:abstractNumId w:val="12"/>
  </w:num>
  <w:num w:numId="13">
    <w:abstractNumId w:val="0"/>
  </w:num>
  <w:num w:numId="14">
    <w:abstractNumId w:val="28"/>
  </w:num>
  <w:num w:numId="15">
    <w:abstractNumId w:val="17"/>
  </w:num>
  <w:num w:numId="16">
    <w:abstractNumId w:val="5"/>
  </w:num>
  <w:num w:numId="17">
    <w:abstractNumId w:val="23"/>
  </w:num>
  <w:num w:numId="18">
    <w:abstractNumId w:val="11"/>
  </w:num>
  <w:num w:numId="19">
    <w:abstractNumId w:val="24"/>
  </w:num>
  <w:num w:numId="20">
    <w:abstractNumId w:val="25"/>
  </w:num>
  <w:num w:numId="21">
    <w:abstractNumId w:val="22"/>
  </w:num>
  <w:num w:numId="22">
    <w:abstractNumId w:val="13"/>
  </w:num>
  <w:num w:numId="23">
    <w:abstractNumId w:val="3"/>
  </w:num>
  <w:num w:numId="24">
    <w:abstractNumId w:val="19"/>
  </w:num>
  <w:num w:numId="25">
    <w:abstractNumId w:val="18"/>
  </w:num>
  <w:num w:numId="26">
    <w:abstractNumId w:val="4"/>
  </w:num>
  <w:num w:numId="27">
    <w:abstractNumId w:val="8"/>
  </w:num>
  <w:num w:numId="28">
    <w:abstractNumId w:val="9"/>
  </w:num>
  <w:num w:numId="29">
    <w:abstractNumId w:val="10"/>
  </w:num>
  <w:numIdMacAtCleanup w:val="2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rsten Howard">
    <w15:presenceInfo w15:providerId="AD" w15:userId="S-1-5-21-653478955-3067283134-999092648-386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29"/>
    <w:rsid w:val="00001A3C"/>
    <w:rsid w:val="00001AB4"/>
    <w:rsid w:val="00004E21"/>
    <w:rsid w:val="00005C68"/>
    <w:rsid w:val="0001066F"/>
    <w:rsid w:val="0001224B"/>
    <w:rsid w:val="00013222"/>
    <w:rsid w:val="0002095B"/>
    <w:rsid w:val="00025C9C"/>
    <w:rsid w:val="00031D9D"/>
    <w:rsid w:val="000330AF"/>
    <w:rsid w:val="0003322F"/>
    <w:rsid w:val="00034404"/>
    <w:rsid w:val="00037626"/>
    <w:rsid w:val="000430BE"/>
    <w:rsid w:val="000431A1"/>
    <w:rsid w:val="000461CF"/>
    <w:rsid w:val="000522E6"/>
    <w:rsid w:val="00053D97"/>
    <w:rsid w:val="00057F71"/>
    <w:rsid w:val="0006087D"/>
    <w:rsid w:val="00062067"/>
    <w:rsid w:val="0006222E"/>
    <w:rsid w:val="00065C62"/>
    <w:rsid w:val="00065CDE"/>
    <w:rsid w:val="00065F4A"/>
    <w:rsid w:val="000749A6"/>
    <w:rsid w:val="000767B0"/>
    <w:rsid w:val="000769E8"/>
    <w:rsid w:val="00080FF3"/>
    <w:rsid w:val="000847FE"/>
    <w:rsid w:val="00086133"/>
    <w:rsid w:val="00090963"/>
    <w:rsid w:val="00092400"/>
    <w:rsid w:val="00095598"/>
    <w:rsid w:val="000960D9"/>
    <w:rsid w:val="000975D2"/>
    <w:rsid w:val="00097CA5"/>
    <w:rsid w:val="000A0EF9"/>
    <w:rsid w:val="000A2694"/>
    <w:rsid w:val="000A2EF1"/>
    <w:rsid w:val="000A3531"/>
    <w:rsid w:val="000A3751"/>
    <w:rsid w:val="000A6FBD"/>
    <w:rsid w:val="000B44BD"/>
    <w:rsid w:val="000B56CD"/>
    <w:rsid w:val="000B6B69"/>
    <w:rsid w:val="000C0142"/>
    <w:rsid w:val="000C6A40"/>
    <w:rsid w:val="000D0023"/>
    <w:rsid w:val="000D111A"/>
    <w:rsid w:val="000D2E00"/>
    <w:rsid w:val="000E10C4"/>
    <w:rsid w:val="000F2534"/>
    <w:rsid w:val="000F3652"/>
    <w:rsid w:val="000F50A6"/>
    <w:rsid w:val="00103148"/>
    <w:rsid w:val="001174D3"/>
    <w:rsid w:val="0012030C"/>
    <w:rsid w:val="00121AFA"/>
    <w:rsid w:val="00126672"/>
    <w:rsid w:val="0012680B"/>
    <w:rsid w:val="00126C49"/>
    <w:rsid w:val="0012701F"/>
    <w:rsid w:val="001279AE"/>
    <w:rsid w:val="001329DB"/>
    <w:rsid w:val="00136E76"/>
    <w:rsid w:val="0013747F"/>
    <w:rsid w:val="00146361"/>
    <w:rsid w:val="001468C6"/>
    <w:rsid w:val="00146C47"/>
    <w:rsid w:val="00151C9D"/>
    <w:rsid w:val="00152291"/>
    <w:rsid w:val="00164E3F"/>
    <w:rsid w:val="00165A49"/>
    <w:rsid w:val="00172606"/>
    <w:rsid w:val="00173577"/>
    <w:rsid w:val="00176AA5"/>
    <w:rsid w:val="0017720E"/>
    <w:rsid w:val="00177893"/>
    <w:rsid w:val="00182646"/>
    <w:rsid w:val="00184221"/>
    <w:rsid w:val="00186307"/>
    <w:rsid w:val="00186EBC"/>
    <w:rsid w:val="00195DA4"/>
    <w:rsid w:val="001A0142"/>
    <w:rsid w:val="001B00B9"/>
    <w:rsid w:val="001B00CE"/>
    <w:rsid w:val="001B2807"/>
    <w:rsid w:val="001B6389"/>
    <w:rsid w:val="001B7A5A"/>
    <w:rsid w:val="001C04CC"/>
    <w:rsid w:val="001C051E"/>
    <w:rsid w:val="001C1721"/>
    <w:rsid w:val="001D337F"/>
    <w:rsid w:val="001D5DE3"/>
    <w:rsid w:val="001D663C"/>
    <w:rsid w:val="001D7615"/>
    <w:rsid w:val="001E0757"/>
    <w:rsid w:val="001E2528"/>
    <w:rsid w:val="001E5918"/>
    <w:rsid w:val="001F073C"/>
    <w:rsid w:val="001F21B8"/>
    <w:rsid w:val="001F2912"/>
    <w:rsid w:val="001F5D5A"/>
    <w:rsid w:val="001F71BF"/>
    <w:rsid w:val="00200296"/>
    <w:rsid w:val="00200887"/>
    <w:rsid w:val="00201ADB"/>
    <w:rsid w:val="0020266A"/>
    <w:rsid w:val="00202827"/>
    <w:rsid w:val="00204988"/>
    <w:rsid w:val="002058E5"/>
    <w:rsid w:val="00210FAA"/>
    <w:rsid w:val="00217D8A"/>
    <w:rsid w:val="00221A90"/>
    <w:rsid w:val="00222909"/>
    <w:rsid w:val="002234A6"/>
    <w:rsid w:val="002259E6"/>
    <w:rsid w:val="002272DB"/>
    <w:rsid w:val="00235E44"/>
    <w:rsid w:val="002425EA"/>
    <w:rsid w:val="00242A73"/>
    <w:rsid w:val="00242EA0"/>
    <w:rsid w:val="00243685"/>
    <w:rsid w:val="002536DD"/>
    <w:rsid w:val="0025613F"/>
    <w:rsid w:val="002610D4"/>
    <w:rsid w:val="00261DC6"/>
    <w:rsid w:val="00264623"/>
    <w:rsid w:val="002707A0"/>
    <w:rsid w:val="00274E7D"/>
    <w:rsid w:val="00277386"/>
    <w:rsid w:val="00280B5B"/>
    <w:rsid w:val="002836DF"/>
    <w:rsid w:val="00286A55"/>
    <w:rsid w:val="00291E5D"/>
    <w:rsid w:val="002928F4"/>
    <w:rsid w:val="0029474B"/>
    <w:rsid w:val="002A4503"/>
    <w:rsid w:val="002A4CD8"/>
    <w:rsid w:val="002B0F3A"/>
    <w:rsid w:val="002B3E0A"/>
    <w:rsid w:val="002B4941"/>
    <w:rsid w:val="002B5D74"/>
    <w:rsid w:val="002B7ADB"/>
    <w:rsid w:val="002C1D2F"/>
    <w:rsid w:val="002C4593"/>
    <w:rsid w:val="002D2FCA"/>
    <w:rsid w:val="002D6076"/>
    <w:rsid w:val="002D6105"/>
    <w:rsid w:val="002D73E9"/>
    <w:rsid w:val="002D7823"/>
    <w:rsid w:val="002E2D3C"/>
    <w:rsid w:val="002E476A"/>
    <w:rsid w:val="002E4C2D"/>
    <w:rsid w:val="002E4CE1"/>
    <w:rsid w:val="002E5DEA"/>
    <w:rsid w:val="002E724A"/>
    <w:rsid w:val="002E7CD1"/>
    <w:rsid w:val="002F127F"/>
    <w:rsid w:val="002F311E"/>
    <w:rsid w:val="002F521E"/>
    <w:rsid w:val="002F71B8"/>
    <w:rsid w:val="00301EA1"/>
    <w:rsid w:val="003024B2"/>
    <w:rsid w:val="00302FCC"/>
    <w:rsid w:val="003047D5"/>
    <w:rsid w:val="003054A9"/>
    <w:rsid w:val="003062AE"/>
    <w:rsid w:val="00310974"/>
    <w:rsid w:val="00315514"/>
    <w:rsid w:val="003175A8"/>
    <w:rsid w:val="00317C82"/>
    <w:rsid w:val="003233EB"/>
    <w:rsid w:val="00325F77"/>
    <w:rsid w:val="003263AC"/>
    <w:rsid w:val="00326DBE"/>
    <w:rsid w:val="0032768E"/>
    <w:rsid w:val="00334ACF"/>
    <w:rsid w:val="00334DD2"/>
    <w:rsid w:val="00336CFD"/>
    <w:rsid w:val="00341A14"/>
    <w:rsid w:val="00344201"/>
    <w:rsid w:val="00346AD4"/>
    <w:rsid w:val="00346EE6"/>
    <w:rsid w:val="003470F2"/>
    <w:rsid w:val="00351381"/>
    <w:rsid w:val="003530A6"/>
    <w:rsid w:val="003531F6"/>
    <w:rsid w:val="00353627"/>
    <w:rsid w:val="00355F72"/>
    <w:rsid w:val="00356C3C"/>
    <w:rsid w:val="00357657"/>
    <w:rsid w:val="003639A6"/>
    <w:rsid w:val="003679AE"/>
    <w:rsid w:val="003718FB"/>
    <w:rsid w:val="00375BC2"/>
    <w:rsid w:val="0038281C"/>
    <w:rsid w:val="00385A64"/>
    <w:rsid w:val="00386D1A"/>
    <w:rsid w:val="003960A6"/>
    <w:rsid w:val="00397170"/>
    <w:rsid w:val="003A300E"/>
    <w:rsid w:val="003A3433"/>
    <w:rsid w:val="003A537E"/>
    <w:rsid w:val="003A660F"/>
    <w:rsid w:val="003B095E"/>
    <w:rsid w:val="003B1222"/>
    <w:rsid w:val="003B1AF8"/>
    <w:rsid w:val="003B70D8"/>
    <w:rsid w:val="003C061B"/>
    <w:rsid w:val="003C09B9"/>
    <w:rsid w:val="003C0EAF"/>
    <w:rsid w:val="003C0EC9"/>
    <w:rsid w:val="003C1A9F"/>
    <w:rsid w:val="003C3674"/>
    <w:rsid w:val="003D0B3E"/>
    <w:rsid w:val="003D11A9"/>
    <w:rsid w:val="003D1547"/>
    <w:rsid w:val="003D23CB"/>
    <w:rsid w:val="003D2A37"/>
    <w:rsid w:val="003D40C4"/>
    <w:rsid w:val="003D69EF"/>
    <w:rsid w:val="003E0EDB"/>
    <w:rsid w:val="003E4CA2"/>
    <w:rsid w:val="003E6475"/>
    <w:rsid w:val="003E66D5"/>
    <w:rsid w:val="003E7609"/>
    <w:rsid w:val="003F105A"/>
    <w:rsid w:val="003F6199"/>
    <w:rsid w:val="00400D49"/>
    <w:rsid w:val="004033BF"/>
    <w:rsid w:val="00403C88"/>
    <w:rsid w:val="0041190F"/>
    <w:rsid w:val="004136BC"/>
    <w:rsid w:val="00414C58"/>
    <w:rsid w:val="00421450"/>
    <w:rsid w:val="00427E55"/>
    <w:rsid w:val="00433ED9"/>
    <w:rsid w:val="00437BB5"/>
    <w:rsid w:val="0044181A"/>
    <w:rsid w:val="00446DBF"/>
    <w:rsid w:val="004539A1"/>
    <w:rsid w:val="00453BAE"/>
    <w:rsid w:val="00453D59"/>
    <w:rsid w:val="004617A2"/>
    <w:rsid w:val="004619BB"/>
    <w:rsid w:val="004620D4"/>
    <w:rsid w:val="004624B4"/>
    <w:rsid w:val="00465D3F"/>
    <w:rsid w:val="0046621E"/>
    <w:rsid w:val="00472D4D"/>
    <w:rsid w:val="0049065C"/>
    <w:rsid w:val="0049195A"/>
    <w:rsid w:val="004919DD"/>
    <w:rsid w:val="00493F22"/>
    <w:rsid w:val="00494F7C"/>
    <w:rsid w:val="004A2DF5"/>
    <w:rsid w:val="004A4EF3"/>
    <w:rsid w:val="004B3C00"/>
    <w:rsid w:val="004B4534"/>
    <w:rsid w:val="004B7C05"/>
    <w:rsid w:val="004C1589"/>
    <w:rsid w:val="004C3316"/>
    <w:rsid w:val="004D0CD0"/>
    <w:rsid w:val="004D1006"/>
    <w:rsid w:val="004D3828"/>
    <w:rsid w:val="004D436B"/>
    <w:rsid w:val="004D45DF"/>
    <w:rsid w:val="004E0C0B"/>
    <w:rsid w:val="004E162A"/>
    <w:rsid w:val="004E2125"/>
    <w:rsid w:val="004E43C3"/>
    <w:rsid w:val="004F1369"/>
    <w:rsid w:val="004F3688"/>
    <w:rsid w:val="004F3AAE"/>
    <w:rsid w:val="004F4BDE"/>
    <w:rsid w:val="004F50B1"/>
    <w:rsid w:val="004F7CAC"/>
    <w:rsid w:val="00505BFC"/>
    <w:rsid w:val="00507DB5"/>
    <w:rsid w:val="00511320"/>
    <w:rsid w:val="005143F9"/>
    <w:rsid w:val="00516566"/>
    <w:rsid w:val="005218C3"/>
    <w:rsid w:val="005245F7"/>
    <w:rsid w:val="00525325"/>
    <w:rsid w:val="00531C11"/>
    <w:rsid w:val="0053310F"/>
    <w:rsid w:val="00533F3A"/>
    <w:rsid w:val="00535C74"/>
    <w:rsid w:val="005361AB"/>
    <w:rsid w:val="00541D43"/>
    <w:rsid w:val="00542068"/>
    <w:rsid w:val="00542446"/>
    <w:rsid w:val="00543AF9"/>
    <w:rsid w:val="00547122"/>
    <w:rsid w:val="005518EE"/>
    <w:rsid w:val="005544BA"/>
    <w:rsid w:val="0055532F"/>
    <w:rsid w:val="005558A9"/>
    <w:rsid w:val="00557FCB"/>
    <w:rsid w:val="00561B5C"/>
    <w:rsid w:val="00561D24"/>
    <w:rsid w:val="0056392A"/>
    <w:rsid w:val="0056608F"/>
    <w:rsid w:val="005727EA"/>
    <w:rsid w:val="0057600F"/>
    <w:rsid w:val="00576ADE"/>
    <w:rsid w:val="00577CFD"/>
    <w:rsid w:val="00577DEF"/>
    <w:rsid w:val="0058218B"/>
    <w:rsid w:val="0058641A"/>
    <w:rsid w:val="00586B49"/>
    <w:rsid w:val="005951A7"/>
    <w:rsid w:val="00597972"/>
    <w:rsid w:val="005A24C8"/>
    <w:rsid w:val="005A76D4"/>
    <w:rsid w:val="005C28F5"/>
    <w:rsid w:val="005D5BA1"/>
    <w:rsid w:val="005D71E8"/>
    <w:rsid w:val="005E3EBC"/>
    <w:rsid w:val="005E4261"/>
    <w:rsid w:val="005E49B2"/>
    <w:rsid w:val="005E54E3"/>
    <w:rsid w:val="005F0A0F"/>
    <w:rsid w:val="005F0AE8"/>
    <w:rsid w:val="005F2A6B"/>
    <w:rsid w:val="005F40C1"/>
    <w:rsid w:val="005F577E"/>
    <w:rsid w:val="005F65B5"/>
    <w:rsid w:val="005F72F7"/>
    <w:rsid w:val="0060150F"/>
    <w:rsid w:val="00601868"/>
    <w:rsid w:val="006024D3"/>
    <w:rsid w:val="00605A12"/>
    <w:rsid w:val="00606EF9"/>
    <w:rsid w:val="0060706A"/>
    <w:rsid w:val="00607758"/>
    <w:rsid w:val="00610D5E"/>
    <w:rsid w:val="00610E35"/>
    <w:rsid w:val="006110E8"/>
    <w:rsid w:val="006117F9"/>
    <w:rsid w:val="00613467"/>
    <w:rsid w:val="006171FC"/>
    <w:rsid w:val="00622BB9"/>
    <w:rsid w:val="00624315"/>
    <w:rsid w:val="0062545B"/>
    <w:rsid w:val="0062552A"/>
    <w:rsid w:val="00632E1D"/>
    <w:rsid w:val="006332BE"/>
    <w:rsid w:val="0063466A"/>
    <w:rsid w:val="006408C3"/>
    <w:rsid w:val="0064520D"/>
    <w:rsid w:val="00645329"/>
    <w:rsid w:val="0064620D"/>
    <w:rsid w:val="00651A27"/>
    <w:rsid w:val="0065472D"/>
    <w:rsid w:val="00657754"/>
    <w:rsid w:val="00662DFF"/>
    <w:rsid w:val="00664356"/>
    <w:rsid w:val="006650FE"/>
    <w:rsid w:val="00671F2C"/>
    <w:rsid w:val="00672062"/>
    <w:rsid w:val="00672120"/>
    <w:rsid w:val="006746C4"/>
    <w:rsid w:val="00676C61"/>
    <w:rsid w:val="006774D7"/>
    <w:rsid w:val="0067771A"/>
    <w:rsid w:val="00681969"/>
    <w:rsid w:val="0068795F"/>
    <w:rsid w:val="00691913"/>
    <w:rsid w:val="006A138B"/>
    <w:rsid w:val="006A7EF9"/>
    <w:rsid w:val="006B140A"/>
    <w:rsid w:val="006C1F7C"/>
    <w:rsid w:val="006C4906"/>
    <w:rsid w:val="006C4E6F"/>
    <w:rsid w:val="006C4FDF"/>
    <w:rsid w:val="006C590B"/>
    <w:rsid w:val="006D0554"/>
    <w:rsid w:val="006D23DA"/>
    <w:rsid w:val="006D3271"/>
    <w:rsid w:val="006D3ECC"/>
    <w:rsid w:val="006E3770"/>
    <w:rsid w:val="006E6DA9"/>
    <w:rsid w:val="006E7302"/>
    <w:rsid w:val="006F0DD9"/>
    <w:rsid w:val="006F161E"/>
    <w:rsid w:val="006F21CC"/>
    <w:rsid w:val="006F5891"/>
    <w:rsid w:val="006F69ED"/>
    <w:rsid w:val="0070073E"/>
    <w:rsid w:val="00704E78"/>
    <w:rsid w:val="0071231F"/>
    <w:rsid w:val="00712C73"/>
    <w:rsid w:val="00712DBD"/>
    <w:rsid w:val="00723E1E"/>
    <w:rsid w:val="00725DFA"/>
    <w:rsid w:val="00726097"/>
    <w:rsid w:val="007372CA"/>
    <w:rsid w:val="00744BFD"/>
    <w:rsid w:val="00746B1D"/>
    <w:rsid w:val="007473F5"/>
    <w:rsid w:val="007509A6"/>
    <w:rsid w:val="00750B5A"/>
    <w:rsid w:val="007528A7"/>
    <w:rsid w:val="007528DD"/>
    <w:rsid w:val="0075689B"/>
    <w:rsid w:val="00757439"/>
    <w:rsid w:val="00767E8B"/>
    <w:rsid w:val="00771A1A"/>
    <w:rsid w:val="00772C70"/>
    <w:rsid w:val="00777C48"/>
    <w:rsid w:val="00783767"/>
    <w:rsid w:val="007838EF"/>
    <w:rsid w:val="007847FA"/>
    <w:rsid w:val="00790910"/>
    <w:rsid w:val="00791DE1"/>
    <w:rsid w:val="00792740"/>
    <w:rsid w:val="00795AF1"/>
    <w:rsid w:val="00796895"/>
    <w:rsid w:val="007A1F92"/>
    <w:rsid w:val="007A2258"/>
    <w:rsid w:val="007A2C3D"/>
    <w:rsid w:val="007A3A8C"/>
    <w:rsid w:val="007B0E0C"/>
    <w:rsid w:val="007B2D82"/>
    <w:rsid w:val="007C1E62"/>
    <w:rsid w:val="007C1FDB"/>
    <w:rsid w:val="007C26E5"/>
    <w:rsid w:val="007C36EA"/>
    <w:rsid w:val="007C547D"/>
    <w:rsid w:val="007C6471"/>
    <w:rsid w:val="007C720A"/>
    <w:rsid w:val="007D1092"/>
    <w:rsid w:val="007D1CAF"/>
    <w:rsid w:val="007D2621"/>
    <w:rsid w:val="007E72C6"/>
    <w:rsid w:val="007F070B"/>
    <w:rsid w:val="007F08CA"/>
    <w:rsid w:val="007F33F3"/>
    <w:rsid w:val="007F3B6E"/>
    <w:rsid w:val="00800C5A"/>
    <w:rsid w:val="00803EBD"/>
    <w:rsid w:val="00804378"/>
    <w:rsid w:val="00806171"/>
    <w:rsid w:val="00806434"/>
    <w:rsid w:val="00810810"/>
    <w:rsid w:val="00811B95"/>
    <w:rsid w:val="00812E2F"/>
    <w:rsid w:val="00813288"/>
    <w:rsid w:val="00817398"/>
    <w:rsid w:val="00821A29"/>
    <w:rsid w:val="00823233"/>
    <w:rsid w:val="00824426"/>
    <w:rsid w:val="00826295"/>
    <w:rsid w:val="00830E52"/>
    <w:rsid w:val="008324E3"/>
    <w:rsid w:val="00836E8D"/>
    <w:rsid w:val="00837140"/>
    <w:rsid w:val="00845946"/>
    <w:rsid w:val="008476A0"/>
    <w:rsid w:val="008477BA"/>
    <w:rsid w:val="00850A0E"/>
    <w:rsid w:val="00852BAC"/>
    <w:rsid w:val="00852F38"/>
    <w:rsid w:val="00854221"/>
    <w:rsid w:val="00856C34"/>
    <w:rsid w:val="00856E80"/>
    <w:rsid w:val="0086147A"/>
    <w:rsid w:val="0086480E"/>
    <w:rsid w:val="00865DC1"/>
    <w:rsid w:val="00871C9D"/>
    <w:rsid w:val="008732EF"/>
    <w:rsid w:val="008737F1"/>
    <w:rsid w:val="00874554"/>
    <w:rsid w:val="008750F9"/>
    <w:rsid w:val="00875341"/>
    <w:rsid w:val="0087536F"/>
    <w:rsid w:val="00880A40"/>
    <w:rsid w:val="00884803"/>
    <w:rsid w:val="008869F4"/>
    <w:rsid w:val="00893EEF"/>
    <w:rsid w:val="0089603C"/>
    <w:rsid w:val="008A2E2C"/>
    <w:rsid w:val="008A4880"/>
    <w:rsid w:val="008A52B1"/>
    <w:rsid w:val="008A5FC6"/>
    <w:rsid w:val="008B07B6"/>
    <w:rsid w:val="008B5B32"/>
    <w:rsid w:val="008C29F4"/>
    <w:rsid w:val="008C42A2"/>
    <w:rsid w:val="008C6489"/>
    <w:rsid w:val="008D0A20"/>
    <w:rsid w:val="008D47BA"/>
    <w:rsid w:val="008D78FF"/>
    <w:rsid w:val="008E2FD8"/>
    <w:rsid w:val="008E3B1E"/>
    <w:rsid w:val="008E58F7"/>
    <w:rsid w:val="008E65B7"/>
    <w:rsid w:val="008F5760"/>
    <w:rsid w:val="008F773B"/>
    <w:rsid w:val="00900996"/>
    <w:rsid w:val="00900FE6"/>
    <w:rsid w:val="00902DA3"/>
    <w:rsid w:val="00904455"/>
    <w:rsid w:val="009044FE"/>
    <w:rsid w:val="009105B4"/>
    <w:rsid w:val="00911519"/>
    <w:rsid w:val="009144DA"/>
    <w:rsid w:val="00914DA7"/>
    <w:rsid w:val="00915F63"/>
    <w:rsid w:val="0091725C"/>
    <w:rsid w:val="009177E9"/>
    <w:rsid w:val="00920F57"/>
    <w:rsid w:val="00927E7E"/>
    <w:rsid w:val="009331CF"/>
    <w:rsid w:val="009334AC"/>
    <w:rsid w:val="00937278"/>
    <w:rsid w:val="00942010"/>
    <w:rsid w:val="0094320A"/>
    <w:rsid w:val="00946E66"/>
    <w:rsid w:val="00947BE0"/>
    <w:rsid w:val="00947C46"/>
    <w:rsid w:val="0095170D"/>
    <w:rsid w:val="00951FDB"/>
    <w:rsid w:val="0095307F"/>
    <w:rsid w:val="009554FA"/>
    <w:rsid w:val="00955526"/>
    <w:rsid w:val="00962C9E"/>
    <w:rsid w:val="00962FAA"/>
    <w:rsid w:val="00965813"/>
    <w:rsid w:val="00966C09"/>
    <w:rsid w:val="00967021"/>
    <w:rsid w:val="00967FE1"/>
    <w:rsid w:val="00972054"/>
    <w:rsid w:val="009730F1"/>
    <w:rsid w:val="00984441"/>
    <w:rsid w:val="009844CF"/>
    <w:rsid w:val="00984DD8"/>
    <w:rsid w:val="009859D9"/>
    <w:rsid w:val="0099085F"/>
    <w:rsid w:val="00990E72"/>
    <w:rsid w:val="009925DB"/>
    <w:rsid w:val="00993CC9"/>
    <w:rsid w:val="00997106"/>
    <w:rsid w:val="009A363C"/>
    <w:rsid w:val="009A66AF"/>
    <w:rsid w:val="009A6F74"/>
    <w:rsid w:val="009B083B"/>
    <w:rsid w:val="009B3321"/>
    <w:rsid w:val="009B386F"/>
    <w:rsid w:val="009B7363"/>
    <w:rsid w:val="009C1071"/>
    <w:rsid w:val="009D24CB"/>
    <w:rsid w:val="009D258B"/>
    <w:rsid w:val="009D3628"/>
    <w:rsid w:val="009D36F5"/>
    <w:rsid w:val="009D469C"/>
    <w:rsid w:val="009D4C2A"/>
    <w:rsid w:val="009D6914"/>
    <w:rsid w:val="009E0704"/>
    <w:rsid w:val="009E1C22"/>
    <w:rsid w:val="009E2481"/>
    <w:rsid w:val="009E2DA2"/>
    <w:rsid w:val="009E6378"/>
    <w:rsid w:val="009E6738"/>
    <w:rsid w:val="009F3631"/>
    <w:rsid w:val="009F3790"/>
    <w:rsid w:val="009F567F"/>
    <w:rsid w:val="009F7CEB"/>
    <w:rsid w:val="00A040FD"/>
    <w:rsid w:val="00A0426A"/>
    <w:rsid w:val="00A04C0D"/>
    <w:rsid w:val="00A04D16"/>
    <w:rsid w:val="00A07DD9"/>
    <w:rsid w:val="00A13113"/>
    <w:rsid w:val="00A20B1A"/>
    <w:rsid w:val="00A22A39"/>
    <w:rsid w:val="00A254D2"/>
    <w:rsid w:val="00A314CA"/>
    <w:rsid w:val="00A323B8"/>
    <w:rsid w:val="00A37EC0"/>
    <w:rsid w:val="00A40B2E"/>
    <w:rsid w:val="00A41E5D"/>
    <w:rsid w:val="00A43021"/>
    <w:rsid w:val="00A455FD"/>
    <w:rsid w:val="00A51544"/>
    <w:rsid w:val="00A535FB"/>
    <w:rsid w:val="00A60251"/>
    <w:rsid w:val="00A62B42"/>
    <w:rsid w:val="00A6374D"/>
    <w:rsid w:val="00A70172"/>
    <w:rsid w:val="00A77106"/>
    <w:rsid w:val="00A779FC"/>
    <w:rsid w:val="00A81F82"/>
    <w:rsid w:val="00A841B0"/>
    <w:rsid w:val="00A85A2B"/>
    <w:rsid w:val="00A86614"/>
    <w:rsid w:val="00A86F3C"/>
    <w:rsid w:val="00A92427"/>
    <w:rsid w:val="00A93543"/>
    <w:rsid w:val="00A94EFC"/>
    <w:rsid w:val="00A9621E"/>
    <w:rsid w:val="00AA03FD"/>
    <w:rsid w:val="00AA1681"/>
    <w:rsid w:val="00AA2D31"/>
    <w:rsid w:val="00AA2FA1"/>
    <w:rsid w:val="00AA4EAC"/>
    <w:rsid w:val="00AA51C1"/>
    <w:rsid w:val="00AA6156"/>
    <w:rsid w:val="00AA73AC"/>
    <w:rsid w:val="00AA7B77"/>
    <w:rsid w:val="00AB187A"/>
    <w:rsid w:val="00AB514A"/>
    <w:rsid w:val="00AB608D"/>
    <w:rsid w:val="00AB76AC"/>
    <w:rsid w:val="00AC242C"/>
    <w:rsid w:val="00AC2B4A"/>
    <w:rsid w:val="00AC50E3"/>
    <w:rsid w:val="00AC510A"/>
    <w:rsid w:val="00AD0041"/>
    <w:rsid w:val="00AD47A4"/>
    <w:rsid w:val="00AD51C9"/>
    <w:rsid w:val="00AD5A93"/>
    <w:rsid w:val="00AE1AA8"/>
    <w:rsid w:val="00AE2A68"/>
    <w:rsid w:val="00AF0DF9"/>
    <w:rsid w:val="00AF207E"/>
    <w:rsid w:val="00AF4BE4"/>
    <w:rsid w:val="00B022F6"/>
    <w:rsid w:val="00B02536"/>
    <w:rsid w:val="00B0573E"/>
    <w:rsid w:val="00B05A6C"/>
    <w:rsid w:val="00B06F68"/>
    <w:rsid w:val="00B11EA0"/>
    <w:rsid w:val="00B144E0"/>
    <w:rsid w:val="00B17FDB"/>
    <w:rsid w:val="00B21BB1"/>
    <w:rsid w:val="00B22690"/>
    <w:rsid w:val="00B25D68"/>
    <w:rsid w:val="00B2657B"/>
    <w:rsid w:val="00B2777B"/>
    <w:rsid w:val="00B32E7E"/>
    <w:rsid w:val="00B36E5C"/>
    <w:rsid w:val="00B4418A"/>
    <w:rsid w:val="00B448ED"/>
    <w:rsid w:val="00B44D98"/>
    <w:rsid w:val="00B53628"/>
    <w:rsid w:val="00B5491D"/>
    <w:rsid w:val="00B55605"/>
    <w:rsid w:val="00B562A6"/>
    <w:rsid w:val="00B562D5"/>
    <w:rsid w:val="00B578A9"/>
    <w:rsid w:val="00B60E94"/>
    <w:rsid w:val="00B616DE"/>
    <w:rsid w:val="00B66C37"/>
    <w:rsid w:val="00B67119"/>
    <w:rsid w:val="00B67B57"/>
    <w:rsid w:val="00B71675"/>
    <w:rsid w:val="00B71B62"/>
    <w:rsid w:val="00B71DFA"/>
    <w:rsid w:val="00B75A5B"/>
    <w:rsid w:val="00B75BC0"/>
    <w:rsid w:val="00B7796D"/>
    <w:rsid w:val="00B805B1"/>
    <w:rsid w:val="00B80B83"/>
    <w:rsid w:val="00B8497F"/>
    <w:rsid w:val="00B863A0"/>
    <w:rsid w:val="00B9116D"/>
    <w:rsid w:val="00B92451"/>
    <w:rsid w:val="00BA01AB"/>
    <w:rsid w:val="00BA19AA"/>
    <w:rsid w:val="00BA3306"/>
    <w:rsid w:val="00BA3942"/>
    <w:rsid w:val="00BA73EE"/>
    <w:rsid w:val="00BB2C8B"/>
    <w:rsid w:val="00BB7199"/>
    <w:rsid w:val="00BC740D"/>
    <w:rsid w:val="00BD03EC"/>
    <w:rsid w:val="00BD15F5"/>
    <w:rsid w:val="00BE2605"/>
    <w:rsid w:val="00BE3124"/>
    <w:rsid w:val="00BE3CAA"/>
    <w:rsid w:val="00BE3E5F"/>
    <w:rsid w:val="00BE567C"/>
    <w:rsid w:val="00BE583A"/>
    <w:rsid w:val="00BF2A1E"/>
    <w:rsid w:val="00BF3E06"/>
    <w:rsid w:val="00C03641"/>
    <w:rsid w:val="00C04D13"/>
    <w:rsid w:val="00C07417"/>
    <w:rsid w:val="00C07BBA"/>
    <w:rsid w:val="00C17368"/>
    <w:rsid w:val="00C21FB7"/>
    <w:rsid w:val="00C22BD4"/>
    <w:rsid w:val="00C23FEA"/>
    <w:rsid w:val="00C317F3"/>
    <w:rsid w:val="00C35031"/>
    <w:rsid w:val="00C369DC"/>
    <w:rsid w:val="00C42EB1"/>
    <w:rsid w:val="00C44C37"/>
    <w:rsid w:val="00C45C49"/>
    <w:rsid w:val="00C46AE5"/>
    <w:rsid w:val="00C47654"/>
    <w:rsid w:val="00C50493"/>
    <w:rsid w:val="00C54E59"/>
    <w:rsid w:val="00C57E4D"/>
    <w:rsid w:val="00C60366"/>
    <w:rsid w:val="00C6040A"/>
    <w:rsid w:val="00C624B5"/>
    <w:rsid w:val="00C626E2"/>
    <w:rsid w:val="00C628C8"/>
    <w:rsid w:val="00C64CA0"/>
    <w:rsid w:val="00C70355"/>
    <w:rsid w:val="00C72094"/>
    <w:rsid w:val="00C7519E"/>
    <w:rsid w:val="00C81A12"/>
    <w:rsid w:val="00C84501"/>
    <w:rsid w:val="00C846BE"/>
    <w:rsid w:val="00C86A2D"/>
    <w:rsid w:val="00C87BFC"/>
    <w:rsid w:val="00C93A38"/>
    <w:rsid w:val="00C963DE"/>
    <w:rsid w:val="00C96968"/>
    <w:rsid w:val="00CA0BB3"/>
    <w:rsid w:val="00CA0C26"/>
    <w:rsid w:val="00CB07A8"/>
    <w:rsid w:val="00CB0977"/>
    <w:rsid w:val="00CB2971"/>
    <w:rsid w:val="00CB4508"/>
    <w:rsid w:val="00CB51BF"/>
    <w:rsid w:val="00CB5389"/>
    <w:rsid w:val="00CB7A1B"/>
    <w:rsid w:val="00CB7D9F"/>
    <w:rsid w:val="00CC10E1"/>
    <w:rsid w:val="00CC418B"/>
    <w:rsid w:val="00CC7F19"/>
    <w:rsid w:val="00CD08E7"/>
    <w:rsid w:val="00CD12E3"/>
    <w:rsid w:val="00CD2820"/>
    <w:rsid w:val="00CD6327"/>
    <w:rsid w:val="00CD7B5A"/>
    <w:rsid w:val="00CE246D"/>
    <w:rsid w:val="00CE2B78"/>
    <w:rsid w:val="00CE3AA3"/>
    <w:rsid w:val="00CE4580"/>
    <w:rsid w:val="00CE74A3"/>
    <w:rsid w:val="00CF2302"/>
    <w:rsid w:val="00CF2511"/>
    <w:rsid w:val="00CF6BEC"/>
    <w:rsid w:val="00D034DD"/>
    <w:rsid w:val="00D035BD"/>
    <w:rsid w:val="00D04952"/>
    <w:rsid w:val="00D06A16"/>
    <w:rsid w:val="00D1078F"/>
    <w:rsid w:val="00D10E60"/>
    <w:rsid w:val="00D12CD2"/>
    <w:rsid w:val="00D14D23"/>
    <w:rsid w:val="00D159A1"/>
    <w:rsid w:val="00D15D8B"/>
    <w:rsid w:val="00D15FE6"/>
    <w:rsid w:val="00D17984"/>
    <w:rsid w:val="00D17DCD"/>
    <w:rsid w:val="00D20435"/>
    <w:rsid w:val="00D24DAD"/>
    <w:rsid w:val="00D25916"/>
    <w:rsid w:val="00D25F99"/>
    <w:rsid w:val="00D329E6"/>
    <w:rsid w:val="00D32CD3"/>
    <w:rsid w:val="00D37972"/>
    <w:rsid w:val="00D40896"/>
    <w:rsid w:val="00D41534"/>
    <w:rsid w:val="00D44B8F"/>
    <w:rsid w:val="00D451FC"/>
    <w:rsid w:val="00D5306A"/>
    <w:rsid w:val="00D542CD"/>
    <w:rsid w:val="00D5547A"/>
    <w:rsid w:val="00D63C48"/>
    <w:rsid w:val="00D64289"/>
    <w:rsid w:val="00D6667B"/>
    <w:rsid w:val="00D71400"/>
    <w:rsid w:val="00D75DE6"/>
    <w:rsid w:val="00D91DE0"/>
    <w:rsid w:val="00D92222"/>
    <w:rsid w:val="00D95394"/>
    <w:rsid w:val="00D970E7"/>
    <w:rsid w:val="00DA032B"/>
    <w:rsid w:val="00DA0456"/>
    <w:rsid w:val="00DA062A"/>
    <w:rsid w:val="00DA1A5E"/>
    <w:rsid w:val="00DA55BB"/>
    <w:rsid w:val="00DA73EE"/>
    <w:rsid w:val="00DA79F4"/>
    <w:rsid w:val="00DA7F23"/>
    <w:rsid w:val="00DB3308"/>
    <w:rsid w:val="00DB6DD7"/>
    <w:rsid w:val="00DC04AD"/>
    <w:rsid w:val="00DC15F2"/>
    <w:rsid w:val="00DC1743"/>
    <w:rsid w:val="00DC2F28"/>
    <w:rsid w:val="00DC4769"/>
    <w:rsid w:val="00DC4CC9"/>
    <w:rsid w:val="00DC4DEC"/>
    <w:rsid w:val="00DC7746"/>
    <w:rsid w:val="00DD1DE3"/>
    <w:rsid w:val="00DD3049"/>
    <w:rsid w:val="00DE30E2"/>
    <w:rsid w:val="00DE3A9A"/>
    <w:rsid w:val="00DE45A6"/>
    <w:rsid w:val="00DE5D21"/>
    <w:rsid w:val="00DE6421"/>
    <w:rsid w:val="00DF16C0"/>
    <w:rsid w:val="00DF4BCE"/>
    <w:rsid w:val="00DF548B"/>
    <w:rsid w:val="00E00E8D"/>
    <w:rsid w:val="00E037B9"/>
    <w:rsid w:val="00E04370"/>
    <w:rsid w:val="00E043BF"/>
    <w:rsid w:val="00E04E78"/>
    <w:rsid w:val="00E05070"/>
    <w:rsid w:val="00E05FBC"/>
    <w:rsid w:val="00E06F5B"/>
    <w:rsid w:val="00E10B7D"/>
    <w:rsid w:val="00E14A65"/>
    <w:rsid w:val="00E16D55"/>
    <w:rsid w:val="00E227EA"/>
    <w:rsid w:val="00E23660"/>
    <w:rsid w:val="00E24B98"/>
    <w:rsid w:val="00E2761D"/>
    <w:rsid w:val="00E301AB"/>
    <w:rsid w:val="00E316C1"/>
    <w:rsid w:val="00E31A1E"/>
    <w:rsid w:val="00E34484"/>
    <w:rsid w:val="00E36D9F"/>
    <w:rsid w:val="00E37424"/>
    <w:rsid w:val="00E45180"/>
    <w:rsid w:val="00E45305"/>
    <w:rsid w:val="00E46AC9"/>
    <w:rsid w:val="00E47EA1"/>
    <w:rsid w:val="00E53DB6"/>
    <w:rsid w:val="00E54FB3"/>
    <w:rsid w:val="00E55904"/>
    <w:rsid w:val="00E55E72"/>
    <w:rsid w:val="00E57933"/>
    <w:rsid w:val="00E57E0A"/>
    <w:rsid w:val="00E62952"/>
    <w:rsid w:val="00E64BB7"/>
    <w:rsid w:val="00E65C68"/>
    <w:rsid w:val="00E66614"/>
    <w:rsid w:val="00E702F1"/>
    <w:rsid w:val="00E733FB"/>
    <w:rsid w:val="00E738F8"/>
    <w:rsid w:val="00E739DE"/>
    <w:rsid w:val="00E7420E"/>
    <w:rsid w:val="00E75940"/>
    <w:rsid w:val="00E7645E"/>
    <w:rsid w:val="00E8269B"/>
    <w:rsid w:val="00E85ABC"/>
    <w:rsid w:val="00E92FDB"/>
    <w:rsid w:val="00E930FA"/>
    <w:rsid w:val="00E933CF"/>
    <w:rsid w:val="00EA1B29"/>
    <w:rsid w:val="00EA241B"/>
    <w:rsid w:val="00EA2F84"/>
    <w:rsid w:val="00EA3664"/>
    <w:rsid w:val="00EA66E6"/>
    <w:rsid w:val="00EA6EA9"/>
    <w:rsid w:val="00EB35E4"/>
    <w:rsid w:val="00EB426B"/>
    <w:rsid w:val="00EB528B"/>
    <w:rsid w:val="00EB5E6D"/>
    <w:rsid w:val="00EB6428"/>
    <w:rsid w:val="00EC0DD8"/>
    <w:rsid w:val="00EC7C7C"/>
    <w:rsid w:val="00ED1EAC"/>
    <w:rsid w:val="00ED578E"/>
    <w:rsid w:val="00ED7F9D"/>
    <w:rsid w:val="00EE20D2"/>
    <w:rsid w:val="00EE3D20"/>
    <w:rsid w:val="00EE50ED"/>
    <w:rsid w:val="00EF3278"/>
    <w:rsid w:val="00EF76C7"/>
    <w:rsid w:val="00F049EC"/>
    <w:rsid w:val="00F063E4"/>
    <w:rsid w:val="00F06FB8"/>
    <w:rsid w:val="00F26B4B"/>
    <w:rsid w:val="00F2706C"/>
    <w:rsid w:val="00F3094A"/>
    <w:rsid w:val="00F400F7"/>
    <w:rsid w:val="00F40854"/>
    <w:rsid w:val="00F41549"/>
    <w:rsid w:val="00F476BC"/>
    <w:rsid w:val="00F514C8"/>
    <w:rsid w:val="00F525D3"/>
    <w:rsid w:val="00F54AFF"/>
    <w:rsid w:val="00F56314"/>
    <w:rsid w:val="00F56898"/>
    <w:rsid w:val="00F57812"/>
    <w:rsid w:val="00F638B4"/>
    <w:rsid w:val="00F66584"/>
    <w:rsid w:val="00F72B42"/>
    <w:rsid w:val="00F733F3"/>
    <w:rsid w:val="00F73A39"/>
    <w:rsid w:val="00F74139"/>
    <w:rsid w:val="00F75D3A"/>
    <w:rsid w:val="00F80139"/>
    <w:rsid w:val="00F80BDD"/>
    <w:rsid w:val="00F82A98"/>
    <w:rsid w:val="00F82C1B"/>
    <w:rsid w:val="00F8313E"/>
    <w:rsid w:val="00F872E2"/>
    <w:rsid w:val="00F87C31"/>
    <w:rsid w:val="00F902A2"/>
    <w:rsid w:val="00F91273"/>
    <w:rsid w:val="00F9212E"/>
    <w:rsid w:val="00F94821"/>
    <w:rsid w:val="00FA0329"/>
    <w:rsid w:val="00FA1B5D"/>
    <w:rsid w:val="00FA5452"/>
    <w:rsid w:val="00FA65D0"/>
    <w:rsid w:val="00FB2F5C"/>
    <w:rsid w:val="00FB57DB"/>
    <w:rsid w:val="00FB5B71"/>
    <w:rsid w:val="00FB6BD8"/>
    <w:rsid w:val="00FC06E3"/>
    <w:rsid w:val="00FC22AB"/>
    <w:rsid w:val="00FC594B"/>
    <w:rsid w:val="00FC5F0D"/>
    <w:rsid w:val="00FD0DA5"/>
    <w:rsid w:val="00FD336B"/>
    <w:rsid w:val="00FD7841"/>
    <w:rsid w:val="00FE2090"/>
    <w:rsid w:val="00FE2431"/>
    <w:rsid w:val="00FE39C4"/>
    <w:rsid w:val="00FE3E96"/>
    <w:rsid w:val="00FE4AED"/>
    <w:rsid w:val="00FE4C58"/>
    <w:rsid w:val="00FE6746"/>
    <w:rsid w:val="00FE73D1"/>
    <w:rsid w:val="00FE797E"/>
    <w:rsid w:val="00FF0191"/>
    <w:rsid w:val="00FF1FE5"/>
    <w:rsid w:val="00FF2550"/>
    <w:rsid w:val="00FF255D"/>
    <w:rsid w:val="00FF3E27"/>
    <w:rsid w:val="00FF47DE"/>
    <w:rsid w:val="00FF610D"/>
    <w:rsid w:val="00FF7B1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qFormat="1"/>
    <w:lsdException w:name="toc 2" w:uiPriority="39" w:qFormat="1"/>
    <w:lsdException w:name="toc 3" w:uiPriority="39" w:qFormat="1"/>
    <w:lsdException w:name="toc 4" w:uiPriority="9"/>
    <w:lsdException w:name="toc 5" w:uiPriority="9"/>
    <w:lsdException w:name="toc 6" w:uiPriority="9"/>
    <w:lsdException w:name="toc 7" w:uiPriority="9"/>
    <w:lsdException w:name="toc 8" w:uiPriority="9"/>
    <w:lsdException w:name="toc 9" w:uiPriority="9"/>
    <w:lsdException w:name="footnote text" w:uiPriority="0"/>
    <w:lsdException w:name="caption" w:uiPriority="35" w:qFormat="1"/>
    <w:lsdException w:name="footnote reference" w:uiPriority="0"/>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FollowedHyperlink" w:uiPriority="0"/>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5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63C"/>
    <w:pPr>
      <w:spacing w:before="120" w:line="240" w:lineRule="auto"/>
    </w:pPr>
    <w:rPr>
      <w:sz w:val="24"/>
    </w:rPr>
  </w:style>
  <w:style w:type="paragraph" w:styleId="Heading1">
    <w:name w:val="heading 1"/>
    <w:basedOn w:val="Normal"/>
    <w:next w:val="Normal"/>
    <w:link w:val="Heading1Char"/>
    <w:uiPriority w:val="1"/>
    <w:qFormat/>
    <w:rsid w:val="00D24DAD"/>
    <w:pPr>
      <w:keepNext/>
      <w:keepLines/>
      <w:spacing w:before="40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24DAD"/>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1"/>
    <w:rsid w:val="00186307"/>
    <w:rPr>
      <w:rFonts w:eastAsiaTheme="majorEastAsia" w:cstheme="majorBidi"/>
      <w:b/>
      <w:sz w:val="28"/>
      <w:szCs w:val="28"/>
    </w:rPr>
  </w:style>
  <w:style w:type="paragraph" w:styleId="ListParagraph">
    <w:name w:val="List Paragraph"/>
    <w:aliases w:val="BulletPoints,Footnote,Bullet point,List Paragraph1,List Paragraph11,Recommendation"/>
    <w:basedOn w:val="Normal"/>
    <w:link w:val="ListParagraphChar"/>
    <w:uiPriority w:val="72"/>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7"/>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0F50A6"/>
    <w:pPr>
      <w:keepNext/>
      <w:spacing w:after="40"/>
    </w:pPr>
    <w:rPr>
      <w:rFonts w:ascii="Arial Narrow" w:hAnsi="Arial Narrow"/>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BB7199"/>
    <w:pPr>
      <w:ind w:left="709"/>
    </w:pPr>
  </w:style>
  <w:style w:type="paragraph" w:styleId="FootnoteText">
    <w:name w:val="footnote text"/>
    <w:basedOn w:val="Normal"/>
    <w:link w:val="FootnoteTextChar"/>
    <w:unhideWhenUsed/>
    <w:rsid w:val="00BA3306"/>
    <w:pPr>
      <w:spacing w:before="0" w:after="0"/>
    </w:pPr>
    <w:rPr>
      <w:sz w:val="18"/>
      <w:szCs w:val="20"/>
    </w:rPr>
  </w:style>
  <w:style w:type="character" w:customStyle="1" w:styleId="FootnoteTextChar">
    <w:name w:val="Footnote Text Char"/>
    <w:basedOn w:val="DefaultParagraphFont"/>
    <w:link w:val="FootnoteText"/>
    <w:rsid w:val="00BA3306"/>
    <w:rPr>
      <w:sz w:val="18"/>
      <w:szCs w:val="20"/>
    </w:rPr>
  </w:style>
  <w:style w:type="character" w:styleId="FootnoteReference">
    <w:name w:val="footnote reference"/>
    <w:basedOn w:val="DefaultParagraphFont"/>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0F50A6"/>
    <w:rPr>
      <w:rFonts w:ascii="Arial Narrow" w:hAnsi="Arial Narrow"/>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qFormat/>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qFormat/>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uiPriority w:val="2"/>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qFormat/>
    <w:rsid w:val="00C317F3"/>
    <w:p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qFormat/>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22"/>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Footnote Char,Bullet point Char,List Paragraph1 Char,List Paragraph11 Char,Recommendation Char"/>
    <w:basedOn w:val="DefaultParagraphFont"/>
    <w:link w:val="ListParagraph"/>
    <w:uiPriority w:val="72"/>
    <w:locked/>
    <w:rsid w:val="0095170D"/>
    <w:rPr>
      <w:sz w:val="24"/>
    </w:rPr>
  </w:style>
  <w:style w:type="numbering" w:customStyle="1" w:styleId="Headings">
    <w:name w:val="Headings"/>
    <w:uiPriority w:val="99"/>
    <w:rsid w:val="00C317F3"/>
    <w:pPr>
      <w:numPr>
        <w:numId w:val="4"/>
      </w:numPr>
    </w:pPr>
  </w:style>
  <w:style w:type="character" w:styleId="FollowedHyperlink">
    <w:name w:val="FollowedHyperlink"/>
    <w:basedOn w:val="DefaultParagraphFont"/>
    <w:semiHidden/>
    <w:unhideWhenUsed/>
    <w:rsid w:val="00177893"/>
    <w:rPr>
      <w:color w:val="954F72" w:themeColor="followedHyperlink"/>
      <w:u w:val="single"/>
    </w:rPr>
  </w:style>
  <w:style w:type="paragraph" w:customStyle="1" w:styleId="BulletLast">
    <w:name w:val="Bullet Last"/>
    <w:basedOn w:val="Normal"/>
    <w:qFormat/>
    <w:rsid w:val="00E46AC9"/>
    <w:pPr>
      <w:numPr>
        <w:numId w:val="5"/>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table" w:customStyle="1" w:styleId="TableGridbeth1">
    <w:name w:val="Table Gridbeth1"/>
    <w:basedOn w:val="TableNormal"/>
    <w:next w:val="TableGrid"/>
    <w:uiPriority w:val="59"/>
    <w:rsid w:val="00E14A6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1">
    <w:name w:val="Table Gridbeth11"/>
    <w:basedOn w:val="TableNormal"/>
    <w:next w:val="TableGrid"/>
    <w:uiPriority w:val="59"/>
    <w:rsid w:val="0089603C"/>
    <w:pPr>
      <w:spacing w:after="0" w:line="240" w:lineRule="auto"/>
    </w:pPr>
    <w:rPr>
      <w:rFonts w:ascii="Calibri" w:eastAsia="Calibri" w:hAnsi="Calibri" w:cs="Arial"/>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TableGridbeth2">
    <w:name w:val="Table Gridbeth2"/>
    <w:basedOn w:val="TableNormal"/>
    <w:next w:val="TableGrid"/>
    <w:uiPriority w:val="59"/>
    <w:rsid w:val="007C647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C547D"/>
  </w:style>
  <w:style w:type="table" w:customStyle="1" w:styleId="TableGridbeth3">
    <w:name w:val="Table Gridbeth3"/>
    <w:basedOn w:val="TableNormal"/>
    <w:next w:val="TableGrid"/>
    <w:uiPriority w:val="59"/>
    <w:rsid w:val="007C547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C547D"/>
  </w:style>
  <w:style w:type="table" w:customStyle="1" w:styleId="TableGridbeth12">
    <w:name w:val="Table Gridbeth12"/>
    <w:basedOn w:val="TableNormal"/>
    <w:next w:val="TableGrid"/>
    <w:uiPriority w:val="59"/>
    <w:rsid w:val="007C547D"/>
    <w:pPr>
      <w:spacing w:after="0" w:line="240" w:lineRule="auto"/>
    </w:pPr>
    <w:rPr>
      <w:rFonts w:ascii="Calibri" w:eastAsia="Calibri" w:hAnsi="Calibri" w:cs="Arial"/>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GridTableLight1">
    <w:name w:val="Grid Table Light1"/>
    <w:basedOn w:val="TableNormal"/>
    <w:uiPriority w:val="40"/>
    <w:rsid w:val="007C547D"/>
    <w:pPr>
      <w:spacing w:after="0" w:line="240" w:lineRule="auto"/>
    </w:pPr>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0">
    <w:name w:val="Plain Table 21"/>
    <w:basedOn w:val="TableNormal"/>
    <w:uiPriority w:val="42"/>
    <w:rsid w:val="007C547D"/>
    <w:pPr>
      <w:spacing w:after="0" w:line="240" w:lineRule="auto"/>
    </w:pPr>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Headings1">
    <w:name w:val="Headings1"/>
    <w:uiPriority w:val="99"/>
    <w:rsid w:val="007C547D"/>
    <w:pPr>
      <w:numPr>
        <w:numId w:val="3"/>
      </w:numPr>
    </w:pPr>
  </w:style>
  <w:style w:type="character" w:customStyle="1" w:styleId="FollowedHyperlink1">
    <w:name w:val="FollowedHyperlink1"/>
    <w:basedOn w:val="DefaultParagraphFont"/>
    <w:uiPriority w:val="99"/>
    <w:semiHidden/>
    <w:unhideWhenUsed/>
    <w:rsid w:val="007C547D"/>
    <w:rPr>
      <w:color w:val="954F72"/>
      <w:u w:val="single"/>
    </w:rPr>
  </w:style>
  <w:style w:type="table" w:customStyle="1" w:styleId="TableGrid1">
    <w:name w:val="Table Grid1"/>
    <w:basedOn w:val="TableNormal"/>
    <w:next w:val="TableGrid"/>
    <w:uiPriority w:val="39"/>
    <w:rsid w:val="007C5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C5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C5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C5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qFormat/>
    <w:rsid w:val="007C547D"/>
    <w:pPr>
      <w:spacing w:before="0" w:after="0"/>
    </w:pPr>
    <w:rPr>
      <w:rFonts w:ascii="Candara" w:eastAsia="MS Gothic" w:hAnsi="Candara" w:cs="Times New Roman"/>
      <w:sz w:val="20"/>
      <w:lang w:bidi="en-US"/>
    </w:rPr>
  </w:style>
  <w:style w:type="character" w:customStyle="1" w:styleId="TableChar">
    <w:name w:val="Table Char"/>
    <w:basedOn w:val="DefaultParagraphFont"/>
    <w:link w:val="Table"/>
    <w:locked/>
    <w:rsid w:val="007C547D"/>
    <w:rPr>
      <w:rFonts w:ascii="Candara" w:eastAsia="MS Gothic" w:hAnsi="Candara" w:cs="Times New Roman"/>
      <w:sz w:val="20"/>
      <w:lang w:bidi="en-US"/>
    </w:rPr>
  </w:style>
  <w:style w:type="character" w:customStyle="1" w:styleId="FontBold">
    <w:name w:val="Font Bold"/>
    <w:basedOn w:val="DefaultParagraphFont"/>
    <w:uiPriority w:val="1"/>
    <w:qFormat/>
    <w:rsid w:val="007C547D"/>
    <w:rPr>
      <w:rFonts w:ascii="Candara" w:hAnsi="Candara"/>
      <w:b/>
      <w:sz w:val="24"/>
    </w:rPr>
  </w:style>
  <w:style w:type="character" w:customStyle="1" w:styleId="SmallBold">
    <w:name w:val="Small Bold"/>
    <w:basedOn w:val="DefaultParagraphFont"/>
    <w:uiPriority w:val="4"/>
    <w:qFormat/>
    <w:rsid w:val="007C547D"/>
    <w:rPr>
      <w:rFonts w:ascii="Candara" w:hAnsi="Candara"/>
      <w:b/>
      <w:sz w:val="20"/>
      <w:lang w:val="en-AU"/>
    </w:rPr>
  </w:style>
  <w:style w:type="paragraph" w:customStyle="1" w:styleId="TableCentre">
    <w:name w:val="Table Centre"/>
    <w:basedOn w:val="Table"/>
    <w:qFormat/>
    <w:rsid w:val="007C547D"/>
    <w:pPr>
      <w:jc w:val="center"/>
    </w:pPr>
  </w:style>
  <w:style w:type="paragraph" w:customStyle="1" w:styleId="Default">
    <w:name w:val="Default"/>
    <w:rsid w:val="007C547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apple-converted-space">
    <w:name w:val="apple-converted-space"/>
    <w:basedOn w:val="DefaultParagraphFont"/>
    <w:rsid w:val="007C547D"/>
  </w:style>
  <w:style w:type="character" w:customStyle="1" w:styleId="Small">
    <w:name w:val="Small"/>
    <w:basedOn w:val="DefaultParagraphFont"/>
    <w:uiPriority w:val="4"/>
    <w:qFormat/>
    <w:rsid w:val="007C547D"/>
    <w:rPr>
      <w:rFonts w:ascii="Candara" w:hAnsi="Candara"/>
      <w:sz w:val="20"/>
    </w:rPr>
  </w:style>
  <w:style w:type="numbering" w:customStyle="1" w:styleId="Style2">
    <w:name w:val="Style2"/>
    <w:uiPriority w:val="99"/>
    <w:rsid w:val="007C547D"/>
    <w:pPr>
      <w:numPr>
        <w:numId w:val="21"/>
      </w:numPr>
    </w:pPr>
  </w:style>
  <w:style w:type="character" w:customStyle="1" w:styleId="Mention">
    <w:name w:val="Mention"/>
    <w:basedOn w:val="DefaultParagraphFont"/>
    <w:uiPriority w:val="99"/>
    <w:semiHidden/>
    <w:unhideWhenUsed/>
    <w:rsid w:val="00A254D2"/>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qFormat="1"/>
    <w:lsdException w:name="toc 2" w:uiPriority="39" w:qFormat="1"/>
    <w:lsdException w:name="toc 3" w:uiPriority="39" w:qFormat="1"/>
    <w:lsdException w:name="toc 4" w:uiPriority="9"/>
    <w:lsdException w:name="toc 5" w:uiPriority="9"/>
    <w:lsdException w:name="toc 6" w:uiPriority="9"/>
    <w:lsdException w:name="toc 7" w:uiPriority="9"/>
    <w:lsdException w:name="toc 8" w:uiPriority="9"/>
    <w:lsdException w:name="toc 9" w:uiPriority="9"/>
    <w:lsdException w:name="footnote text" w:uiPriority="0"/>
    <w:lsdException w:name="caption" w:uiPriority="35" w:qFormat="1"/>
    <w:lsdException w:name="footnote reference" w:uiPriority="0"/>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FollowedHyperlink" w:uiPriority="0"/>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59" w:unhideWhenUsed="0"/>
    <w:lsdException w:name="Placeholder Text"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63C"/>
    <w:pPr>
      <w:spacing w:before="120" w:line="240" w:lineRule="auto"/>
    </w:pPr>
    <w:rPr>
      <w:sz w:val="24"/>
    </w:rPr>
  </w:style>
  <w:style w:type="paragraph" w:styleId="Heading1">
    <w:name w:val="heading 1"/>
    <w:basedOn w:val="Normal"/>
    <w:next w:val="Normal"/>
    <w:link w:val="Heading1Char"/>
    <w:uiPriority w:val="1"/>
    <w:qFormat/>
    <w:rsid w:val="00D24DAD"/>
    <w:pPr>
      <w:keepNext/>
      <w:keepLines/>
      <w:spacing w:before="40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24DAD"/>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1"/>
    <w:rsid w:val="00186307"/>
    <w:rPr>
      <w:rFonts w:eastAsiaTheme="majorEastAsia" w:cstheme="majorBidi"/>
      <w:b/>
      <w:sz w:val="28"/>
      <w:szCs w:val="28"/>
    </w:rPr>
  </w:style>
  <w:style w:type="paragraph" w:styleId="ListParagraph">
    <w:name w:val="List Paragraph"/>
    <w:aliases w:val="BulletPoints,Footnote,Bullet point,List Paragraph1,List Paragraph11,Recommendation"/>
    <w:basedOn w:val="Normal"/>
    <w:link w:val="ListParagraphChar"/>
    <w:uiPriority w:val="72"/>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7"/>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0F50A6"/>
    <w:pPr>
      <w:keepNext/>
      <w:spacing w:after="40"/>
    </w:pPr>
    <w:rPr>
      <w:rFonts w:ascii="Arial Narrow" w:hAnsi="Arial Narrow"/>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BB7199"/>
    <w:pPr>
      <w:ind w:left="709"/>
    </w:pPr>
  </w:style>
  <w:style w:type="paragraph" w:styleId="FootnoteText">
    <w:name w:val="footnote text"/>
    <w:basedOn w:val="Normal"/>
    <w:link w:val="FootnoteTextChar"/>
    <w:unhideWhenUsed/>
    <w:rsid w:val="00BA3306"/>
    <w:pPr>
      <w:spacing w:before="0" w:after="0"/>
    </w:pPr>
    <w:rPr>
      <w:sz w:val="18"/>
      <w:szCs w:val="20"/>
    </w:rPr>
  </w:style>
  <w:style w:type="character" w:customStyle="1" w:styleId="FootnoteTextChar">
    <w:name w:val="Footnote Text Char"/>
    <w:basedOn w:val="DefaultParagraphFont"/>
    <w:link w:val="FootnoteText"/>
    <w:rsid w:val="00BA3306"/>
    <w:rPr>
      <w:sz w:val="18"/>
      <w:szCs w:val="20"/>
    </w:rPr>
  </w:style>
  <w:style w:type="character" w:styleId="FootnoteReference">
    <w:name w:val="footnote reference"/>
    <w:basedOn w:val="DefaultParagraphFont"/>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0F50A6"/>
    <w:rPr>
      <w:rFonts w:ascii="Arial Narrow" w:hAnsi="Arial Narrow"/>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qFormat/>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qFormat/>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7"/>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uiPriority w:val="2"/>
    <w:qFormat/>
    <w:rsid w:val="00C317F3"/>
    <w:pPr>
      <w:spacing w:before="0" w:after="0"/>
    </w:pPr>
    <w:rPr>
      <w:rFonts w:ascii="Arial Narrow" w:eastAsia="Times New Roman" w:hAnsi="Arial Narrow" w:cs="Times New Roman"/>
      <w:sz w:val="20"/>
      <w:szCs w:val="20"/>
    </w:rPr>
  </w:style>
  <w:style w:type="character" w:customStyle="1" w:styleId="TabletextChar">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qFormat/>
    <w:rsid w:val="00C317F3"/>
    <w:p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qFormat/>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22"/>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Footnote Char,Bullet point Char,List Paragraph1 Char,List Paragraph11 Char,Recommendation Char"/>
    <w:basedOn w:val="DefaultParagraphFont"/>
    <w:link w:val="ListParagraph"/>
    <w:uiPriority w:val="72"/>
    <w:locked/>
    <w:rsid w:val="0095170D"/>
    <w:rPr>
      <w:sz w:val="24"/>
    </w:rPr>
  </w:style>
  <w:style w:type="numbering" w:customStyle="1" w:styleId="Headings">
    <w:name w:val="Headings"/>
    <w:uiPriority w:val="99"/>
    <w:rsid w:val="00C317F3"/>
    <w:pPr>
      <w:numPr>
        <w:numId w:val="4"/>
      </w:numPr>
    </w:pPr>
  </w:style>
  <w:style w:type="character" w:styleId="FollowedHyperlink">
    <w:name w:val="FollowedHyperlink"/>
    <w:basedOn w:val="DefaultParagraphFont"/>
    <w:semiHidden/>
    <w:unhideWhenUsed/>
    <w:rsid w:val="00177893"/>
    <w:rPr>
      <w:color w:val="954F72" w:themeColor="followedHyperlink"/>
      <w:u w:val="single"/>
    </w:rPr>
  </w:style>
  <w:style w:type="paragraph" w:customStyle="1" w:styleId="BulletLast">
    <w:name w:val="Bullet Last"/>
    <w:basedOn w:val="Normal"/>
    <w:qFormat/>
    <w:rsid w:val="00E46AC9"/>
    <w:pPr>
      <w:numPr>
        <w:numId w:val="5"/>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table" w:customStyle="1" w:styleId="TableGridbeth1">
    <w:name w:val="Table Gridbeth1"/>
    <w:basedOn w:val="TableNormal"/>
    <w:next w:val="TableGrid"/>
    <w:uiPriority w:val="59"/>
    <w:rsid w:val="00E14A6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11">
    <w:name w:val="Table Gridbeth11"/>
    <w:basedOn w:val="TableNormal"/>
    <w:next w:val="TableGrid"/>
    <w:uiPriority w:val="59"/>
    <w:rsid w:val="0089603C"/>
    <w:pPr>
      <w:spacing w:after="0" w:line="240" w:lineRule="auto"/>
    </w:pPr>
    <w:rPr>
      <w:rFonts w:ascii="Calibri" w:eastAsia="Calibri" w:hAnsi="Calibri" w:cs="Arial"/>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TableGridbeth2">
    <w:name w:val="Table Gridbeth2"/>
    <w:basedOn w:val="TableNormal"/>
    <w:next w:val="TableGrid"/>
    <w:uiPriority w:val="59"/>
    <w:rsid w:val="007C647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C547D"/>
  </w:style>
  <w:style w:type="table" w:customStyle="1" w:styleId="TableGridbeth3">
    <w:name w:val="Table Gridbeth3"/>
    <w:basedOn w:val="TableNormal"/>
    <w:next w:val="TableGrid"/>
    <w:uiPriority w:val="59"/>
    <w:rsid w:val="007C547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C547D"/>
  </w:style>
  <w:style w:type="table" w:customStyle="1" w:styleId="TableGridbeth12">
    <w:name w:val="Table Gridbeth12"/>
    <w:basedOn w:val="TableNormal"/>
    <w:next w:val="TableGrid"/>
    <w:uiPriority w:val="59"/>
    <w:rsid w:val="007C547D"/>
    <w:pPr>
      <w:spacing w:after="0" w:line="240" w:lineRule="auto"/>
    </w:pPr>
    <w:rPr>
      <w:rFonts w:ascii="Calibri" w:eastAsia="Calibri" w:hAnsi="Calibri" w:cs="Arial"/>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GridTableLight1">
    <w:name w:val="Grid Table Light1"/>
    <w:basedOn w:val="TableNormal"/>
    <w:uiPriority w:val="40"/>
    <w:rsid w:val="007C547D"/>
    <w:pPr>
      <w:spacing w:after="0" w:line="240" w:lineRule="auto"/>
    </w:pPr>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0">
    <w:name w:val="Plain Table 21"/>
    <w:basedOn w:val="TableNormal"/>
    <w:uiPriority w:val="42"/>
    <w:rsid w:val="007C547D"/>
    <w:pPr>
      <w:spacing w:after="0" w:line="240" w:lineRule="auto"/>
    </w:pPr>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Headings1">
    <w:name w:val="Headings1"/>
    <w:uiPriority w:val="99"/>
    <w:rsid w:val="007C547D"/>
    <w:pPr>
      <w:numPr>
        <w:numId w:val="3"/>
      </w:numPr>
    </w:pPr>
  </w:style>
  <w:style w:type="character" w:customStyle="1" w:styleId="FollowedHyperlink1">
    <w:name w:val="FollowedHyperlink1"/>
    <w:basedOn w:val="DefaultParagraphFont"/>
    <w:uiPriority w:val="99"/>
    <w:semiHidden/>
    <w:unhideWhenUsed/>
    <w:rsid w:val="007C547D"/>
    <w:rPr>
      <w:color w:val="954F72"/>
      <w:u w:val="single"/>
    </w:rPr>
  </w:style>
  <w:style w:type="table" w:customStyle="1" w:styleId="TableGrid1">
    <w:name w:val="Table Grid1"/>
    <w:basedOn w:val="TableNormal"/>
    <w:next w:val="TableGrid"/>
    <w:uiPriority w:val="39"/>
    <w:rsid w:val="007C5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C5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C5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C5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qFormat/>
    <w:rsid w:val="007C547D"/>
    <w:pPr>
      <w:spacing w:before="0" w:after="0"/>
    </w:pPr>
    <w:rPr>
      <w:rFonts w:ascii="Candara" w:eastAsia="MS Gothic" w:hAnsi="Candara" w:cs="Times New Roman"/>
      <w:sz w:val="20"/>
      <w:lang w:bidi="en-US"/>
    </w:rPr>
  </w:style>
  <w:style w:type="character" w:customStyle="1" w:styleId="TableChar">
    <w:name w:val="Table Char"/>
    <w:basedOn w:val="DefaultParagraphFont"/>
    <w:link w:val="Table"/>
    <w:locked/>
    <w:rsid w:val="007C547D"/>
    <w:rPr>
      <w:rFonts w:ascii="Candara" w:eastAsia="MS Gothic" w:hAnsi="Candara" w:cs="Times New Roman"/>
      <w:sz w:val="20"/>
      <w:lang w:bidi="en-US"/>
    </w:rPr>
  </w:style>
  <w:style w:type="character" w:customStyle="1" w:styleId="FontBold">
    <w:name w:val="Font Bold"/>
    <w:basedOn w:val="DefaultParagraphFont"/>
    <w:uiPriority w:val="1"/>
    <w:qFormat/>
    <w:rsid w:val="007C547D"/>
    <w:rPr>
      <w:rFonts w:ascii="Candara" w:hAnsi="Candara"/>
      <w:b/>
      <w:sz w:val="24"/>
    </w:rPr>
  </w:style>
  <w:style w:type="character" w:customStyle="1" w:styleId="SmallBold">
    <w:name w:val="Small Bold"/>
    <w:basedOn w:val="DefaultParagraphFont"/>
    <w:uiPriority w:val="4"/>
    <w:qFormat/>
    <w:rsid w:val="007C547D"/>
    <w:rPr>
      <w:rFonts w:ascii="Candara" w:hAnsi="Candara"/>
      <w:b/>
      <w:sz w:val="20"/>
      <w:lang w:val="en-AU"/>
    </w:rPr>
  </w:style>
  <w:style w:type="paragraph" w:customStyle="1" w:styleId="TableCentre">
    <w:name w:val="Table Centre"/>
    <w:basedOn w:val="Table"/>
    <w:qFormat/>
    <w:rsid w:val="007C547D"/>
    <w:pPr>
      <w:jc w:val="center"/>
    </w:pPr>
  </w:style>
  <w:style w:type="paragraph" w:customStyle="1" w:styleId="Default">
    <w:name w:val="Default"/>
    <w:rsid w:val="007C547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apple-converted-space">
    <w:name w:val="apple-converted-space"/>
    <w:basedOn w:val="DefaultParagraphFont"/>
    <w:rsid w:val="007C547D"/>
  </w:style>
  <w:style w:type="character" w:customStyle="1" w:styleId="Small">
    <w:name w:val="Small"/>
    <w:basedOn w:val="DefaultParagraphFont"/>
    <w:uiPriority w:val="4"/>
    <w:qFormat/>
    <w:rsid w:val="007C547D"/>
    <w:rPr>
      <w:rFonts w:ascii="Candara" w:hAnsi="Candara"/>
      <w:sz w:val="20"/>
    </w:rPr>
  </w:style>
  <w:style w:type="numbering" w:customStyle="1" w:styleId="Style2">
    <w:name w:val="Style2"/>
    <w:uiPriority w:val="99"/>
    <w:rsid w:val="007C547D"/>
    <w:pPr>
      <w:numPr>
        <w:numId w:val="21"/>
      </w:numPr>
    </w:pPr>
  </w:style>
  <w:style w:type="character" w:customStyle="1" w:styleId="Mention">
    <w:name w:val="Mention"/>
    <w:basedOn w:val="DefaultParagraphFont"/>
    <w:uiPriority w:val="99"/>
    <w:semiHidden/>
    <w:unhideWhenUsed/>
    <w:rsid w:val="00A254D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45833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1.xml"/><Relationship Id="rId23" Type="http://schemas.microsoft.com/office/2011/relationships/commentsExtended" Target="commentsExtended.xml"/><Relationship Id="rId10" Type="http://schemas.openxmlformats.org/officeDocument/2006/relationships/chart" Target="charts/chart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iruseradication.com/journal-details/Australasian_Society_for_HIV,_Viral_Hepatitis_and_Sexual_Health_Medicine_HIV_pre-exposure_prophylaxis:_clinical_guideline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ndrew%20Manton\Documents\Sync\HEARS\Projects\Gilead%20-%20Truvada%20(PrEP)%20PBAC%20resubmission\AA%20-%20Final%20Submission\Attachments\Models\Section%20D\Section%20D%20Workbook.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ndrew%20Manton\Documents\Sync\HEARS\Projects\Gilead%20-%20Truvada%20(PrEP)%20PBAC%20resubmission\AA%20-%20Final%20Submission\Attachments\Models\Section%20D\Section%20D%20Workboo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Predicted HIV prevalence by stage without PrEP</a:t>
            </a:r>
          </a:p>
        </c:rich>
      </c:tx>
      <c:layout/>
      <c:overlay val="0"/>
      <c:spPr>
        <a:noFill/>
        <a:ln>
          <a:noFill/>
        </a:ln>
        <a:effectLst/>
      </c:spPr>
    </c:title>
    <c:autoTitleDeleted val="0"/>
    <c:plotArea>
      <c:layout>
        <c:manualLayout>
          <c:layoutTarget val="inner"/>
          <c:xMode val="edge"/>
          <c:yMode val="edge"/>
          <c:x val="8.8805236694810732E-2"/>
          <c:y val="2.2630901050842069E-2"/>
          <c:w val="0.82073006602215792"/>
          <c:h val="0.56980750568784833"/>
        </c:manualLayout>
      </c:layout>
      <c:areaChart>
        <c:grouping val="stacked"/>
        <c:varyColors val="0"/>
        <c:ser>
          <c:idx val="2"/>
          <c:order val="0"/>
          <c:tx>
            <c:strRef>
              <c:f>Validity!$D$2</c:f>
              <c:strCache>
                <c:ptCount val="1"/>
                <c:pt idx="0">
                  <c:v>Primary</c:v>
                </c:pt>
              </c:strCache>
            </c:strRef>
          </c:tx>
          <c:spPr>
            <a:solidFill>
              <a:schemeClr val="accent3"/>
            </a:solidFill>
            <a:ln>
              <a:noFill/>
            </a:ln>
            <a:effectLst/>
          </c:spPr>
          <c:cat>
            <c:numRef>
              <c:f>Validity!$A$4:$A$242</c:f>
              <c:numCache>
                <c:formatCode>General</c:formatCode>
                <c:ptCount val="239"/>
                <c:pt idx="0">
                  <c:v>0</c:v>
                </c:pt>
                <c:pt idx="1">
                  <c:v>0</c:v>
                </c:pt>
                <c:pt idx="2">
                  <c:v>0</c:v>
                </c:pt>
                <c:pt idx="3">
                  <c:v>0</c:v>
                </c:pt>
                <c:pt idx="4">
                  <c:v>0</c:v>
                </c:pt>
                <c:pt idx="5">
                  <c:v>0</c:v>
                </c:pt>
                <c:pt idx="6">
                  <c:v>0</c:v>
                </c:pt>
                <c:pt idx="7">
                  <c:v>0</c:v>
                </c:pt>
                <c:pt idx="8">
                  <c:v>0</c:v>
                </c:pt>
                <c:pt idx="9">
                  <c:v>0</c:v>
                </c:pt>
                <c:pt idx="10">
                  <c:v>0</c:v>
                </c:pt>
                <c:pt idx="11">
                  <c:v>1</c:v>
                </c:pt>
                <c:pt idx="12">
                  <c:v>1</c:v>
                </c:pt>
                <c:pt idx="13">
                  <c:v>1</c:v>
                </c:pt>
                <c:pt idx="14">
                  <c:v>1</c:v>
                </c:pt>
                <c:pt idx="15">
                  <c:v>1</c:v>
                </c:pt>
                <c:pt idx="16">
                  <c:v>1</c:v>
                </c:pt>
                <c:pt idx="17">
                  <c:v>1</c:v>
                </c:pt>
                <c:pt idx="18">
                  <c:v>1</c:v>
                </c:pt>
                <c:pt idx="19">
                  <c:v>1</c:v>
                </c:pt>
                <c:pt idx="20">
                  <c:v>1</c:v>
                </c:pt>
                <c:pt idx="21">
                  <c:v>1</c:v>
                </c:pt>
                <c:pt idx="22">
                  <c:v>1</c:v>
                </c:pt>
                <c:pt idx="23">
                  <c:v>2</c:v>
                </c:pt>
                <c:pt idx="24">
                  <c:v>2</c:v>
                </c:pt>
                <c:pt idx="25">
                  <c:v>2</c:v>
                </c:pt>
                <c:pt idx="26">
                  <c:v>2</c:v>
                </c:pt>
                <c:pt idx="27">
                  <c:v>2</c:v>
                </c:pt>
                <c:pt idx="28">
                  <c:v>2</c:v>
                </c:pt>
                <c:pt idx="29">
                  <c:v>2</c:v>
                </c:pt>
                <c:pt idx="30">
                  <c:v>2</c:v>
                </c:pt>
                <c:pt idx="31">
                  <c:v>2</c:v>
                </c:pt>
                <c:pt idx="32">
                  <c:v>2</c:v>
                </c:pt>
                <c:pt idx="33">
                  <c:v>2</c:v>
                </c:pt>
                <c:pt idx="34">
                  <c:v>2</c:v>
                </c:pt>
                <c:pt idx="35">
                  <c:v>3</c:v>
                </c:pt>
                <c:pt idx="36">
                  <c:v>3</c:v>
                </c:pt>
                <c:pt idx="37">
                  <c:v>3</c:v>
                </c:pt>
                <c:pt idx="38">
                  <c:v>3</c:v>
                </c:pt>
                <c:pt idx="39">
                  <c:v>3</c:v>
                </c:pt>
                <c:pt idx="40">
                  <c:v>3</c:v>
                </c:pt>
                <c:pt idx="41">
                  <c:v>3</c:v>
                </c:pt>
                <c:pt idx="42">
                  <c:v>3</c:v>
                </c:pt>
                <c:pt idx="43">
                  <c:v>3</c:v>
                </c:pt>
                <c:pt idx="44">
                  <c:v>3</c:v>
                </c:pt>
                <c:pt idx="45">
                  <c:v>3</c:v>
                </c:pt>
                <c:pt idx="46">
                  <c:v>3</c:v>
                </c:pt>
                <c:pt idx="47">
                  <c:v>4</c:v>
                </c:pt>
                <c:pt idx="48">
                  <c:v>4</c:v>
                </c:pt>
                <c:pt idx="49">
                  <c:v>4</c:v>
                </c:pt>
                <c:pt idx="50">
                  <c:v>4</c:v>
                </c:pt>
                <c:pt idx="51">
                  <c:v>4</c:v>
                </c:pt>
                <c:pt idx="52">
                  <c:v>4</c:v>
                </c:pt>
                <c:pt idx="53">
                  <c:v>4</c:v>
                </c:pt>
                <c:pt idx="54">
                  <c:v>4</c:v>
                </c:pt>
                <c:pt idx="55">
                  <c:v>4</c:v>
                </c:pt>
                <c:pt idx="56">
                  <c:v>4</c:v>
                </c:pt>
                <c:pt idx="57">
                  <c:v>4</c:v>
                </c:pt>
                <c:pt idx="58">
                  <c:v>4</c:v>
                </c:pt>
                <c:pt idx="59">
                  <c:v>5</c:v>
                </c:pt>
                <c:pt idx="60">
                  <c:v>5</c:v>
                </c:pt>
                <c:pt idx="61">
                  <c:v>5</c:v>
                </c:pt>
                <c:pt idx="62">
                  <c:v>5</c:v>
                </c:pt>
                <c:pt idx="63">
                  <c:v>5</c:v>
                </c:pt>
                <c:pt idx="64">
                  <c:v>5</c:v>
                </c:pt>
                <c:pt idx="65">
                  <c:v>5</c:v>
                </c:pt>
                <c:pt idx="66">
                  <c:v>5</c:v>
                </c:pt>
                <c:pt idx="67">
                  <c:v>5</c:v>
                </c:pt>
                <c:pt idx="68">
                  <c:v>5</c:v>
                </c:pt>
                <c:pt idx="69">
                  <c:v>5</c:v>
                </c:pt>
                <c:pt idx="70">
                  <c:v>5</c:v>
                </c:pt>
                <c:pt idx="71">
                  <c:v>6</c:v>
                </c:pt>
                <c:pt idx="72">
                  <c:v>6</c:v>
                </c:pt>
                <c:pt idx="73">
                  <c:v>6</c:v>
                </c:pt>
                <c:pt idx="74">
                  <c:v>6</c:v>
                </c:pt>
                <c:pt idx="75">
                  <c:v>6</c:v>
                </c:pt>
                <c:pt idx="76">
                  <c:v>6</c:v>
                </c:pt>
                <c:pt idx="77">
                  <c:v>6</c:v>
                </c:pt>
                <c:pt idx="78">
                  <c:v>6</c:v>
                </c:pt>
                <c:pt idx="79">
                  <c:v>6</c:v>
                </c:pt>
                <c:pt idx="80">
                  <c:v>6</c:v>
                </c:pt>
                <c:pt idx="81">
                  <c:v>6</c:v>
                </c:pt>
                <c:pt idx="82">
                  <c:v>6</c:v>
                </c:pt>
                <c:pt idx="83">
                  <c:v>7</c:v>
                </c:pt>
                <c:pt idx="84">
                  <c:v>7</c:v>
                </c:pt>
                <c:pt idx="85">
                  <c:v>7</c:v>
                </c:pt>
                <c:pt idx="86">
                  <c:v>7</c:v>
                </c:pt>
                <c:pt idx="87">
                  <c:v>7</c:v>
                </c:pt>
                <c:pt idx="88">
                  <c:v>7</c:v>
                </c:pt>
                <c:pt idx="89">
                  <c:v>7</c:v>
                </c:pt>
                <c:pt idx="90">
                  <c:v>7</c:v>
                </c:pt>
                <c:pt idx="91">
                  <c:v>7</c:v>
                </c:pt>
                <c:pt idx="92">
                  <c:v>7</c:v>
                </c:pt>
                <c:pt idx="93">
                  <c:v>7</c:v>
                </c:pt>
                <c:pt idx="94">
                  <c:v>7</c:v>
                </c:pt>
                <c:pt idx="95">
                  <c:v>8</c:v>
                </c:pt>
                <c:pt idx="96">
                  <c:v>8</c:v>
                </c:pt>
                <c:pt idx="97">
                  <c:v>8</c:v>
                </c:pt>
                <c:pt idx="98">
                  <c:v>8</c:v>
                </c:pt>
                <c:pt idx="99">
                  <c:v>8</c:v>
                </c:pt>
                <c:pt idx="100">
                  <c:v>8</c:v>
                </c:pt>
                <c:pt idx="101">
                  <c:v>8</c:v>
                </c:pt>
                <c:pt idx="102">
                  <c:v>8</c:v>
                </c:pt>
                <c:pt idx="103">
                  <c:v>8</c:v>
                </c:pt>
                <c:pt idx="104">
                  <c:v>8</c:v>
                </c:pt>
                <c:pt idx="105">
                  <c:v>8</c:v>
                </c:pt>
                <c:pt idx="106">
                  <c:v>8</c:v>
                </c:pt>
                <c:pt idx="107">
                  <c:v>9</c:v>
                </c:pt>
                <c:pt idx="108">
                  <c:v>9</c:v>
                </c:pt>
                <c:pt idx="109">
                  <c:v>9</c:v>
                </c:pt>
                <c:pt idx="110">
                  <c:v>9</c:v>
                </c:pt>
                <c:pt idx="111">
                  <c:v>9</c:v>
                </c:pt>
                <c:pt idx="112">
                  <c:v>9</c:v>
                </c:pt>
                <c:pt idx="113">
                  <c:v>9</c:v>
                </c:pt>
                <c:pt idx="114">
                  <c:v>9</c:v>
                </c:pt>
                <c:pt idx="115">
                  <c:v>9</c:v>
                </c:pt>
                <c:pt idx="116">
                  <c:v>9</c:v>
                </c:pt>
                <c:pt idx="117">
                  <c:v>9</c:v>
                </c:pt>
                <c:pt idx="118">
                  <c:v>9</c:v>
                </c:pt>
                <c:pt idx="119">
                  <c:v>10</c:v>
                </c:pt>
                <c:pt idx="120">
                  <c:v>10</c:v>
                </c:pt>
                <c:pt idx="121">
                  <c:v>10</c:v>
                </c:pt>
                <c:pt idx="122">
                  <c:v>10</c:v>
                </c:pt>
                <c:pt idx="123">
                  <c:v>10</c:v>
                </c:pt>
                <c:pt idx="124">
                  <c:v>10</c:v>
                </c:pt>
                <c:pt idx="125">
                  <c:v>10</c:v>
                </c:pt>
                <c:pt idx="126">
                  <c:v>10</c:v>
                </c:pt>
                <c:pt idx="127">
                  <c:v>10</c:v>
                </c:pt>
                <c:pt idx="128">
                  <c:v>10</c:v>
                </c:pt>
                <c:pt idx="129">
                  <c:v>10</c:v>
                </c:pt>
                <c:pt idx="130">
                  <c:v>10</c:v>
                </c:pt>
                <c:pt idx="131">
                  <c:v>11</c:v>
                </c:pt>
                <c:pt idx="132">
                  <c:v>11</c:v>
                </c:pt>
                <c:pt idx="133">
                  <c:v>11</c:v>
                </c:pt>
                <c:pt idx="134">
                  <c:v>11</c:v>
                </c:pt>
                <c:pt idx="135">
                  <c:v>11</c:v>
                </c:pt>
                <c:pt idx="136">
                  <c:v>11</c:v>
                </c:pt>
                <c:pt idx="137">
                  <c:v>11</c:v>
                </c:pt>
                <c:pt idx="138">
                  <c:v>11</c:v>
                </c:pt>
                <c:pt idx="139">
                  <c:v>11</c:v>
                </c:pt>
                <c:pt idx="140">
                  <c:v>11</c:v>
                </c:pt>
                <c:pt idx="141">
                  <c:v>11</c:v>
                </c:pt>
                <c:pt idx="142">
                  <c:v>11</c:v>
                </c:pt>
                <c:pt idx="143">
                  <c:v>12</c:v>
                </c:pt>
                <c:pt idx="144">
                  <c:v>12</c:v>
                </c:pt>
                <c:pt idx="145">
                  <c:v>12</c:v>
                </c:pt>
                <c:pt idx="146">
                  <c:v>12</c:v>
                </c:pt>
                <c:pt idx="147">
                  <c:v>12</c:v>
                </c:pt>
                <c:pt idx="148">
                  <c:v>12</c:v>
                </c:pt>
                <c:pt idx="149">
                  <c:v>12</c:v>
                </c:pt>
                <c:pt idx="150">
                  <c:v>12</c:v>
                </c:pt>
                <c:pt idx="151">
                  <c:v>12</c:v>
                </c:pt>
                <c:pt idx="152">
                  <c:v>12</c:v>
                </c:pt>
                <c:pt idx="153">
                  <c:v>12</c:v>
                </c:pt>
                <c:pt idx="154">
                  <c:v>12</c:v>
                </c:pt>
                <c:pt idx="155">
                  <c:v>13</c:v>
                </c:pt>
                <c:pt idx="156">
                  <c:v>13</c:v>
                </c:pt>
                <c:pt idx="157">
                  <c:v>13</c:v>
                </c:pt>
                <c:pt idx="158">
                  <c:v>13</c:v>
                </c:pt>
                <c:pt idx="159">
                  <c:v>13</c:v>
                </c:pt>
                <c:pt idx="160">
                  <c:v>13</c:v>
                </c:pt>
                <c:pt idx="161">
                  <c:v>13</c:v>
                </c:pt>
                <c:pt idx="162">
                  <c:v>13</c:v>
                </c:pt>
                <c:pt idx="163">
                  <c:v>13</c:v>
                </c:pt>
                <c:pt idx="164">
                  <c:v>13</c:v>
                </c:pt>
                <c:pt idx="165">
                  <c:v>13</c:v>
                </c:pt>
                <c:pt idx="166">
                  <c:v>13</c:v>
                </c:pt>
                <c:pt idx="167">
                  <c:v>14</c:v>
                </c:pt>
                <c:pt idx="168">
                  <c:v>14</c:v>
                </c:pt>
                <c:pt idx="169">
                  <c:v>14</c:v>
                </c:pt>
                <c:pt idx="170">
                  <c:v>14</c:v>
                </c:pt>
                <c:pt idx="171">
                  <c:v>14</c:v>
                </c:pt>
                <c:pt idx="172">
                  <c:v>14</c:v>
                </c:pt>
                <c:pt idx="173">
                  <c:v>14</c:v>
                </c:pt>
                <c:pt idx="174">
                  <c:v>14</c:v>
                </c:pt>
                <c:pt idx="175">
                  <c:v>14</c:v>
                </c:pt>
                <c:pt idx="176">
                  <c:v>14</c:v>
                </c:pt>
                <c:pt idx="177">
                  <c:v>14</c:v>
                </c:pt>
                <c:pt idx="178">
                  <c:v>14</c:v>
                </c:pt>
                <c:pt idx="179">
                  <c:v>15</c:v>
                </c:pt>
                <c:pt idx="180">
                  <c:v>15</c:v>
                </c:pt>
                <c:pt idx="181">
                  <c:v>15</c:v>
                </c:pt>
                <c:pt idx="182">
                  <c:v>15</c:v>
                </c:pt>
                <c:pt idx="183">
                  <c:v>15</c:v>
                </c:pt>
                <c:pt idx="184">
                  <c:v>15</c:v>
                </c:pt>
                <c:pt idx="185">
                  <c:v>15</c:v>
                </c:pt>
                <c:pt idx="186">
                  <c:v>15</c:v>
                </c:pt>
                <c:pt idx="187">
                  <c:v>15</c:v>
                </c:pt>
                <c:pt idx="188">
                  <c:v>15</c:v>
                </c:pt>
                <c:pt idx="189">
                  <c:v>15</c:v>
                </c:pt>
                <c:pt idx="190">
                  <c:v>15</c:v>
                </c:pt>
                <c:pt idx="191">
                  <c:v>16</c:v>
                </c:pt>
                <c:pt idx="192">
                  <c:v>16</c:v>
                </c:pt>
                <c:pt idx="193">
                  <c:v>16</c:v>
                </c:pt>
                <c:pt idx="194">
                  <c:v>16</c:v>
                </c:pt>
                <c:pt idx="195">
                  <c:v>16</c:v>
                </c:pt>
                <c:pt idx="196">
                  <c:v>16</c:v>
                </c:pt>
                <c:pt idx="197">
                  <c:v>16</c:v>
                </c:pt>
                <c:pt idx="198">
                  <c:v>16</c:v>
                </c:pt>
                <c:pt idx="199">
                  <c:v>16</c:v>
                </c:pt>
                <c:pt idx="200">
                  <c:v>16</c:v>
                </c:pt>
                <c:pt idx="201">
                  <c:v>16</c:v>
                </c:pt>
                <c:pt idx="202">
                  <c:v>16</c:v>
                </c:pt>
                <c:pt idx="203">
                  <c:v>17</c:v>
                </c:pt>
                <c:pt idx="204">
                  <c:v>17</c:v>
                </c:pt>
                <c:pt idx="205">
                  <c:v>17</c:v>
                </c:pt>
                <c:pt idx="206">
                  <c:v>17</c:v>
                </c:pt>
                <c:pt idx="207">
                  <c:v>17</c:v>
                </c:pt>
                <c:pt idx="208">
                  <c:v>17</c:v>
                </c:pt>
                <c:pt idx="209">
                  <c:v>17</c:v>
                </c:pt>
                <c:pt idx="210">
                  <c:v>17</c:v>
                </c:pt>
                <c:pt idx="211">
                  <c:v>17</c:v>
                </c:pt>
                <c:pt idx="212">
                  <c:v>17</c:v>
                </c:pt>
                <c:pt idx="213">
                  <c:v>17</c:v>
                </c:pt>
                <c:pt idx="214">
                  <c:v>17</c:v>
                </c:pt>
                <c:pt idx="215">
                  <c:v>18</c:v>
                </c:pt>
                <c:pt idx="216">
                  <c:v>18</c:v>
                </c:pt>
                <c:pt idx="217">
                  <c:v>18</c:v>
                </c:pt>
                <c:pt idx="218">
                  <c:v>18</c:v>
                </c:pt>
                <c:pt idx="219">
                  <c:v>18</c:v>
                </c:pt>
                <c:pt idx="220">
                  <c:v>18</c:v>
                </c:pt>
                <c:pt idx="221">
                  <c:v>18</c:v>
                </c:pt>
                <c:pt idx="222">
                  <c:v>18</c:v>
                </c:pt>
                <c:pt idx="223">
                  <c:v>18</c:v>
                </c:pt>
                <c:pt idx="224">
                  <c:v>18</c:v>
                </c:pt>
                <c:pt idx="225">
                  <c:v>18</c:v>
                </c:pt>
                <c:pt idx="226">
                  <c:v>18</c:v>
                </c:pt>
                <c:pt idx="227">
                  <c:v>19</c:v>
                </c:pt>
                <c:pt idx="228">
                  <c:v>19</c:v>
                </c:pt>
                <c:pt idx="229">
                  <c:v>19</c:v>
                </c:pt>
                <c:pt idx="230">
                  <c:v>19</c:v>
                </c:pt>
                <c:pt idx="231">
                  <c:v>19</c:v>
                </c:pt>
                <c:pt idx="232">
                  <c:v>19</c:v>
                </c:pt>
                <c:pt idx="233">
                  <c:v>19</c:v>
                </c:pt>
                <c:pt idx="234">
                  <c:v>19</c:v>
                </c:pt>
                <c:pt idx="235">
                  <c:v>19</c:v>
                </c:pt>
                <c:pt idx="236">
                  <c:v>19</c:v>
                </c:pt>
                <c:pt idx="237">
                  <c:v>19</c:v>
                </c:pt>
                <c:pt idx="238">
                  <c:v>19</c:v>
                </c:pt>
              </c:numCache>
            </c:numRef>
          </c:cat>
          <c:val>
            <c:numRef>
              <c:f>Validity!$D$4:$D$242</c:f>
              <c:numCache>
                <c:formatCode>General</c:formatCode>
                <c:ptCount val="239"/>
                <c:pt idx="0">
                  <c:v>270</c:v>
                </c:pt>
                <c:pt idx="1">
                  <c:v>255</c:v>
                </c:pt>
                <c:pt idx="2">
                  <c:v>264</c:v>
                </c:pt>
                <c:pt idx="3">
                  <c:v>267</c:v>
                </c:pt>
                <c:pt idx="4">
                  <c:v>283</c:v>
                </c:pt>
                <c:pt idx="5">
                  <c:v>289</c:v>
                </c:pt>
                <c:pt idx="6">
                  <c:v>281</c:v>
                </c:pt>
                <c:pt idx="7">
                  <c:v>268</c:v>
                </c:pt>
                <c:pt idx="8">
                  <c:v>278</c:v>
                </c:pt>
                <c:pt idx="9">
                  <c:v>300</c:v>
                </c:pt>
                <c:pt idx="10">
                  <c:v>307</c:v>
                </c:pt>
                <c:pt idx="11">
                  <c:v>292</c:v>
                </c:pt>
                <c:pt idx="12">
                  <c:v>280</c:v>
                </c:pt>
                <c:pt idx="13">
                  <c:v>263</c:v>
                </c:pt>
                <c:pt idx="14">
                  <c:v>260</c:v>
                </c:pt>
                <c:pt idx="15">
                  <c:v>265</c:v>
                </c:pt>
                <c:pt idx="16">
                  <c:v>279</c:v>
                </c:pt>
                <c:pt idx="17">
                  <c:v>275</c:v>
                </c:pt>
                <c:pt idx="18">
                  <c:v>276</c:v>
                </c:pt>
                <c:pt idx="19">
                  <c:v>269</c:v>
                </c:pt>
                <c:pt idx="20">
                  <c:v>277</c:v>
                </c:pt>
                <c:pt idx="21">
                  <c:v>257</c:v>
                </c:pt>
                <c:pt idx="22">
                  <c:v>245</c:v>
                </c:pt>
                <c:pt idx="23">
                  <c:v>242</c:v>
                </c:pt>
                <c:pt idx="24">
                  <c:v>259</c:v>
                </c:pt>
                <c:pt idx="25">
                  <c:v>275</c:v>
                </c:pt>
                <c:pt idx="26">
                  <c:v>289</c:v>
                </c:pt>
                <c:pt idx="27">
                  <c:v>278</c:v>
                </c:pt>
                <c:pt idx="28">
                  <c:v>277</c:v>
                </c:pt>
                <c:pt idx="29">
                  <c:v>268</c:v>
                </c:pt>
                <c:pt idx="30">
                  <c:v>265</c:v>
                </c:pt>
                <c:pt idx="31">
                  <c:v>256</c:v>
                </c:pt>
                <c:pt idx="32">
                  <c:v>259</c:v>
                </c:pt>
                <c:pt idx="33">
                  <c:v>261</c:v>
                </c:pt>
                <c:pt idx="34">
                  <c:v>277</c:v>
                </c:pt>
                <c:pt idx="35">
                  <c:v>260</c:v>
                </c:pt>
                <c:pt idx="36">
                  <c:v>270</c:v>
                </c:pt>
                <c:pt idx="37">
                  <c:v>261</c:v>
                </c:pt>
                <c:pt idx="38">
                  <c:v>271</c:v>
                </c:pt>
                <c:pt idx="39">
                  <c:v>272</c:v>
                </c:pt>
                <c:pt idx="40">
                  <c:v>272</c:v>
                </c:pt>
                <c:pt idx="41">
                  <c:v>259</c:v>
                </c:pt>
                <c:pt idx="42">
                  <c:v>248</c:v>
                </c:pt>
                <c:pt idx="43">
                  <c:v>251</c:v>
                </c:pt>
                <c:pt idx="44">
                  <c:v>254</c:v>
                </c:pt>
                <c:pt idx="45">
                  <c:v>245</c:v>
                </c:pt>
                <c:pt idx="46">
                  <c:v>242</c:v>
                </c:pt>
                <c:pt idx="47">
                  <c:v>239</c:v>
                </c:pt>
                <c:pt idx="48">
                  <c:v>241</c:v>
                </c:pt>
                <c:pt idx="49">
                  <c:v>235</c:v>
                </c:pt>
                <c:pt idx="50">
                  <c:v>251</c:v>
                </c:pt>
                <c:pt idx="51">
                  <c:v>249</c:v>
                </c:pt>
                <c:pt idx="52">
                  <c:v>250</c:v>
                </c:pt>
                <c:pt idx="53">
                  <c:v>229</c:v>
                </c:pt>
                <c:pt idx="54">
                  <c:v>239</c:v>
                </c:pt>
                <c:pt idx="55">
                  <c:v>246</c:v>
                </c:pt>
                <c:pt idx="56">
                  <c:v>242</c:v>
                </c:pt>
                <c:pt idx="57">
                  <c:v>253</c:v>
                </c:pt>
                <c:pt idx="58">
                  <c:v>252</c:v>
                </c:pt>
                <c:pt idx="59">
                  <c:v>273</c:v>
                </c:pt>
                <c:pt idx="60">
                  <c:v>259</c:v>
                </c:pt>
                <c:pt idx="61">
                  <c:v>258</c:v>
                </c:pt>
                <c:pt idx="62">
                  <c:v>252</c:v>
                </c:pt>
                <c:pt idx="63">
                  <c:v>249</c:v>
                </c:pt>
                <c:pt idx="64">
                  <c:v>250</c:v>
                </c:pt>
                <c:pt idx="65">
                  <c:v>252</c:v>
                </c:pt>
                <c:pt idx="66">
                  <c:v>257</c:v>
                </c:pt>
                <c:pt idx="67">
                  <c:v>245</c:v>
                </c:pt>
                <c:pt idx="68">
                  <c:v>234</c:v>
                </c:pt>
                <c:pt idx="69">
                  <c:v>226</c:v>
                </c:pt>
                <c:pt idx="70">
                  <c:v>263</c:v>
                </c:pt>
                <c:pt idx="71">
                  <c:v>260</c:v>
                </c:pt>
                <c:pt idx="72">
                  <c:v>254</c:v>
                </c:pt>
                <c:pt idx="73">
                  <c:v>218</c:v>
                </c:pt>
                <c:pt idx="74">
                  <c:v>234</c:v>
                </c:pt>
                <c:pt idx="75">
                  <c:v>244</c:v>
                </c:pt>
                <c:pt idx="76">
                  <c:v>242</c:v>
                </c:pt>
                <c:pt idx="77">
                  <c:v>231</c:v>
                </c:pt>
                <c:pt idx="78">
                  <c:v>230</c:v>
                </c:pt>
                <c:pt idx="79">
                  <c:v>247</c:v>
                </c:pt>
                <c:pt idx="80">
                  <c:v>247</c:v>
                </c:pt>
                <c:pt idx="81">
                  <c:v>253</c:v>
                </c:pt>
                <c:pt idx="82">
                  <c:v>244</c:v>
                </c:pt>
                <c:pt idx="83">
                  <c:v>264</c:v>
                </c:pt>
                <c:pt idx="84">
                  <c:v>250</c:v>
                </c:pt>
                <c:pt idx="85">
                  <c:v>256</c:v>
                </c:pt>
                <c:pt idx="86">
                  <c:v>239</c:v>
                </c:pt>
                <c:pt idx="87">
                  <c:v>248</c:v>
                </c:pt>
                <c:pt idx="88">
                  <c:v>240</c:v>
                </c:pt>
                <c:pt idx="89">
                  <c:v>244</c:v>
                </c:pt>
                <c:pt idx="90">
                  <c:v>252</c:v>
                </c:pt>
                <c:pt idx="91">
                  <c:v>253</c:v>
                </c:pt>
                <c:pt idx="92">
                  <c:v>249</c:v>
                </c:pt>
                <c:pt idx="93">
                  <c:v>249</c:v>
                </c:pt>
                <c:pt idx="94">
                  <c:v>257</c:v>
                </c:pt>
                <c:pt idx="95">
                  <c:v>249</c:v>
                </c:pt>
                <c:pt idx="96">
                  <c:v>247</c:v>
                </c:pt>
                <c:pt idx="97">
                  <c:v>228</c:v>
                </c:pt>
                <c:pt idx="98">
                  <c:v>232</c:v>
                </c:pt>
                <c:pt idx="99">
                  <c:v>222</c:v>
                </c:pt>
                <c:pt idx="100">
                  <c:v>221</c:v>
                </c:pt>
                <c:pt idx="101">
                  <c:v>218</c:v>
                </c:pt>
                <c:pt idx="102">
                  <c:v>223</c:v>
                </c:pt>
                <c:pt idx="103">
                  <c:v>227</c:v>
                </c:pt>
                <c:pt idx="104">
                  <c:v>227</c:v>
                </c:pt>
                <c:pt idx="105">
                  <c:v>230</c:v>
                </c:pt>
                <c:pt idx="106">
                  <c:v>233</c:v>
                </c:pt>
                <c:pt idx="107">
                  <c:v>240</c:v>
                </c:pt>
                <c:pt idx="108">
                  <c:v>236</c:v>
                </c:pt>
                <c:pt idx="109">
                  <c:v>226</c:v>
                </c:pt>
                <c:pt idx="110">
                  <c:v>228</c:v>
                </c:pt>
                <c:pt idx="111">
                  <c:v>224</c:v>
                </c:pt>
                <c:pt idx="112">
                  <c:v>238</c:v>
                </c:pt>
                <c:pt idx="113">
                  <c:v>233</c:v>
                </c:pt>
                <c:pt idx="114">
                  <c:v>243</c:v>
                </c:pt>
                <c:pt idx="115">
                  <c:v>247</c:v>
                </c:pt>
                <c:pt idx="116">
                  <c:v>257</c:v>
                </c:pt>
                <c:pt idx="117">
                  <c:v>262</c:v>
                </c:pt>
                <c:pt idx="118">
                  <c:v>248</c:v>
                </c:pt>
                <c:pt idx="119">
                  <c:v>232</c:v>
                </c:pt>
                <c:pt idx="120">
                  <c:v>217</c:v>
                </c:pt>
                <c:pt idx="121">
                  <c:v>215</c:v>
                </c:pt>
                <c:pt idx="122">
                  <c:v>234</c:v>
                </c:pt>
                <c:pt idx="123">
                  <c:v>225</c:v>
                </c:pt>
                <c:pt idx="124">
                  <c:v>222</c:v>
                </c:pt>
                <c:pt idx="125">
                  <c:v>207</c:v>
                </c:pt>
                <c:pt idx="126">
                  <c:v>211</c:v>
                </c:pt>
                <c:pt idx="127">
                  <c:v>220</c:v>
                </c:pt>
                <c:pt idx="128">
                  <c:v>212</c:v>
                </c:pt>
                <c:pt idx="129">
                  <c:v>207</c:v>
                </c:pt>
                <c:pt idx="130">
                  <c:v>193</c:v>
                </c:pt>
                <c:pt idx="131">
                  <c:v>207</c:v>
                </c:pt>
                <c:pt idx="132">
                  <c:v>220</c:v>
                </c:pt>
                <c:pt idx="133">
                  <c:v>235</c:v>
                </c:pt>
                <c:pt idx="134">
                  <c:v>223</c:v>
                </c:pt>
                <c:pt idx="135">
                  <c:v>223</c:v>
                </c:pt>
                <c:pt idx="136">
                  <c:v>217</c:v>
                </c:pt>
                <c:pt idx="137">
                  <c:v>225</c:v>
                </c:pt>
                <c:pt idx="138">
                  <c:v>207</c:v>
                </c:pt>
                <c:pt idx="139">
                  <c:v>202</c:v>
                </c:pt>
                <c:pt idx="140">
                  <c:v>203</c:v>
                </c:pt>
                <c:pt idx="141">
                  <c:v>217</c:v>
                </c:pt>
                <c:pt idx="142">
                  <c:v>218</c:v>
                </c:pt>
                <c:pt idx="143">
                  <c:v>205</c:v>
                </c:pt>
                <c:pt idx="144">
                  <c:v>202</c:v>
                </c:pt>
                <c:pt idx="145">
                  <c:v>213</c:v>
                </c:pt>
                <c:pt idx="146">
                  <c:v>208</c:v>
                </c:pt>
                <c:pt idx="147">
                  <c:v>210</c:v>
                </c:pt>
                <c:pt idx="148">
                  <c:v>216</c:v>
                </c:pt>
                <c:pt idx="149">
                  <c:v>247</c:v>
                </c:pt>
                <c:pt idx="150">
                  <c:v>250</c:v>
                </c:pt>
                <c:pt idx="151">
                  <c:v>239</c:v>
                </c:pt>
                <c:pt idx="152">
                  <c:v>225</c:v>
                </c:pt>
                <c:pt idx="153">
                  <c:v>233</c:v>
                </c:pt>
                <c:pt idx="154">
                  <c:v>236</c:v>
                </c:pt>
                <c:pt idx="155">
                  <c:v>232</c:v>
                </c:pt>
                <c:pt idx="156">
                  <c:v>230</c:v>
                </c:pt>
                <c:pt idx="157">
                  <c:v>228</c:v>
                </c:pt>
                <c:pt idx="158">
                  <c:v>227</c:v>
                </c:pt>
                <c:pt idx="159">
                  <c:v>226</c:v>
                </c:pt>
                <c:pt idx="160">
                  <c:v>227</c:v>
                </c:pt>
                <c:pt idx="161">
                  <c:v>230</c:v>
                </c:pt>
                <c:pt idx="162">
                  <c:v>226</c:v>
                </c:pt>
                <c:pt idx="163">
                  <c:v>234</c:v>
                </c:pt>
                <c:pt idx="164">
                  <c:v>251</c:v>
                </c:pt>
                <c:pt idx="165">
                  <c:v>253</c:v>
                </c:pt>
                <c:pt idx="166">
                  <c:v>248</c:v>
                </c:pt>
                <c:pt idx="167">
                  <c:v>227</c:v>
                </c:pt>
                <c:pt idx="168">
                  <c:v>224</c:v>
                </c:pt>
                <c:pt idx="169">
                  <c:v>231</c:v>
                </c:pt>
                <c:pt idx="170">
                  <c:v>252</c:v>
                </c:pt>
                <c:pt idx="171">
                  <c:v>261</c:v>
                </c:pt>
                <c:pt idx="172">
                  <c:v>259</c:v>
                </c:pt>
                <c:pt idx="173">
                  <c:v>253</c:v>
                </c:pt>
                <c:pt idx="174">
                  <c:v>241</c:v>
                </c:pt>
                <c:pt idx="175">
                  <c:v>240</c:v>
                </c:pt>
                <c:pt idx="176">
                  <c:v>236</c:v>
                </c:pt>
                <c:pt idx="177">
                  <c:v>228</c:v>
                </c:pt>
                <c:pt idx="178">
                  <c:v>227</c:v>
                </c:pt>
                <c:pt idx="179">
                  <c:v>216</c:v>
                </c:pt>
                <c:pt idx="180">
                  <c:v>230</c:v>
                </c:pt>
                <c:pt idx="181">
                  <c:v>242</c:v>
                </c:pt>
                <c:pt idx="182">
                  <c:v>252</c:v>
                </c:pt>
                <c:pt idx="183">
                  <c:v>252</c:v>
                </c:pt>
                <c:pt idx="184">
                  <c:v>245</c:v>
                </c:pt>
                <c:pt idx="185">
                  <c:v>251</c:v>
                </c:pt>
                <c:pt idx="186">
                  <c:v>267</c:v>
                </c:pt>
                <c:pt idx="187">
                  <c:v>263</c:v>
                </c:pt>
                <c:pt idx="188">
                  <c:v>250</c:v>
                </c:pt>
                <c:pt idx="189">
                  <c:v>226</c:v>
                </c:pt>
                <c:pt idx="190">
                  <c:v>227</c:v>
                </c:pt>
                <c:pt idx="191">
                  <c:v>235</c:v>
                </c:pt>
                <c:pt idx="192">
                  <c:v>237</c:v>
                </c:pt>
                <c:pt idx="193">
                  <c:v>263</c:v>
                </c:pt>
                <c:pt idx="194">
                  <c:v>250</c:v>
                </c:pt>
                <c:pt idx="195">
                  <c:v>262</c:v>
                </c:pt>
                <c:pt idx="196">
                  <c:v>254</c:v>
                </c:pt>
                <c:pt idx="197">
                  <c:v>285</c:v>
                </c:pt>
                <c:pt idx="198">
                  <c:v>289</c:v>
                </c:pt>
                <c:pt idx="199">
                  <c:v>267</c:v>
                </c:pt>
                <c:pt idx="200">
                  <c:v>242</c:v>
                </c:pt>
                <c:pt idx="201">
                  <c:v>233</c:v>
                </c:pt>
                <c:pt idx="202">
                  <c:v>240</c:v>
                </c:pt>
                <c:pt idx="203">
                  <c:v>243</c:v>
                </c:pt>
                <c:pt idx="204">
                  <c:v>254</c:v>
                </c:pt>
                <c:pt idx="205">
                  <c:v>258</c:v>
                </c:pt>
                <c:pt idx="206">
                  <c:v>274</c:v>
                </c:pt>
                <c:pt idx="207">
                  <c:v>270</c:v>
                </c:pt>
                <c:pt idx="208">
                  <c:v>276</c:v>
                </c:pt>
                <c:pt idx="209">
                  <c:v>256</c:v>
                </c:pt>
                <c:pt idx="210">
                  <c:v>266</c:v>
                </c:pt>
                <c:pt idx="211">
                  <c:v>238</c:v>
                </c:pt>
                <c:pt idx="212">
                  <c:v>259</c:v>
                </c:pt>
                <c:pt idx="213">
                  <c:v>253</c:v>
                </c:pt>
                <c:pt idx="214">
                  <c:v>260</c:v>
                </c:pt>
                <c:pt idx="215">
                  <c:v>248</c:v>
                </c:pt>
                <c:pt idx="216">
                  <c:v>238</c:v>
                </c:pt>
                <c:pt idx="217">
                  <c:v>236</c:v>
                </c:pt>
                <c:pt idx="218">
                  <c:v>244</c:v>
                </c:pt>
                <c:pt idx="219">
                  <c:v>249</c:v>
                </c:pt>
                <c:pt idx="220">
                  <c:v>251</c:v>
                </c:pt>
                <c:pt idx="221">
                  <c:v>254</c:v>
                </c:pt>
                <c:pt idx="222">
                  <c:v>246</c:v>
                </c:pt>
                <c:pt idx="223">
                  <c:v>238</c:v>
                </c:pt>
                <c:pt idx="224">
                  <c:v>223</c:v>
                </c:pt>
                <c:pt idx="225">
                  <c:v>212</c:v>
                </c:pt>
                <c:pt idx="226">
                  <c:v>216</c:v>
                </c:pt>
                <c:pt idx="227">
                  <c:v>223</c:v>
                </c:pt>
                <c:pt idx="228">
                  <c:v>235</c:v>
                </c:pt>
                <c:pt idx="229">
                  <c:v>240</c:v>
                </c:pt>
                <c:pt idx="230">
                  <c:v>236</c:v>
                </c:pt>
                <c:pt idx="231">
                  <c:v>244</c:v>
                </c:pt>
                <c:pt idx="232">
                  <c:v>250</c:v>
                </c:pt>
                <c:pt idx="233">
                  <c:v>258</c:v>
                </c:pt>
                <c:pt idx="234">
                  <c:v>251</c:v>
                </c:pt>
                <c:pt idx="235">
                  <c:v>266</c:v>
                </c:pt>
                <c:pt idx="236">
                  <c:v>254</c:v>
                </c:pt>
                <c:pt idx="237">
                  <c:v>263</c:v>
                </c:pt>
                <c:pt idx="238">
                  <c:v>253</c:v>
                </c:pt>
              </c:numCache>
            </c:numRef>
          </c:val>
          <c:extLst xmlns:c16r2="http://schemas.microsoft.com/office/drawing/2015/06/chart">
            <c:ext xmlns:c16="http://schemas.microsoft.com/office/drawing/2014/chart" uri="{C3380CC4-5D6E-409C-BE32-E72D297353CC}">
              <c16:uniqueId val="{00000000-97B5-42CF-8AEE-E48FCD6A34E7}"/>
            </c:ext>
          </c:extLst>
        </c:ser>
        <c:ser>
          <c:idx val="3"/>
          <c:order val="1"/>
          <c:tx>
            <c:strRef>
              <c:f>Validity!$E$2</c:f>
              <c:strCache>
                <c:ptCount val="1"/>
                <c:pt idx="0">
                  <c:v>Stage 1</c:v>
                </c:pt>
              </c:strCache>
            </c:strRef>
          </c:tx>
          <c:spPr>
            <a:solidFill>
              <a:schemeClr val="accent4"/>
            </a:solidFill>
            <a:ln>
              <a:noFill/>
            </a:ln>
            <a:effectLst/>
          </c:spPr>
          <c:cat>
            <c:numRef>
              <c:f>Validity!$A$4:$A$242</c:f>
              <c:numCache>
                <c:formatCode>General</c:formatCode>
                <c:ptCount val="239"/>
                <c:pt idx="0">
                  <c:v>0</c:v>
                </c:pt>
                <c:pt idx="1">
                  <c:v>0</c:v>
                </c:pt>
                <c:pt idx="2">
                  <c:v>0</c:v>
                </c:pt>
                <c:pt idx="3">
                  <c:v>0</c:v>
                </c:pt>
                <c:pt idx="4">
                  <c:v>0</c:v>
                </c:pt>
                <c:pt idx="5">
                  <c:v>0</c:v>
                </c:pt>
                <c:pt idx="6">
                  <c:v>0</c:v>
                </c:pt>
                <c:pt idx="7">
                  <c:v>0</c:v>
                </c:pt>
                <c:pt idx="8">
                  <c:v>0</c:v>
                </c:pt>
                <c:pt idx="9">
                  <c:v>0</c:v>
                </c:pt>
                <c:pt idx="10">
                  <c:v>0</c:v>
                </c:pt>
                <c:pt idx="11">
                  <c:v>1</c:v>
                </c:pt>
                <c:pt idx="12">
                  <c:v>1</c:v>
                </c:pt>
                <c:pt idx="13">
                  <c:v>1</c:v>
                </c:pt>
                <c:pt idx="14">
                  <c:v>1</c:v>
                </c:pt>
                <c:pt idx="15">
                  <c:v>1</c:v>
                </c:pt>
                <c:pt idx="16">
                  <c:v>1</c:v>
                </c:pt>
                <c:pt idx="17">
                  <c:v>1</c:v>
                </c:pt>
                <c:pt idx="18">
                  <c:v>1</c:v>
                </c:pt>
                <c:pt idx="19">
                  <c:v>1</c:v>
                </c:pt>
                <c:pt idx="20">
                  <c:v>1</c:v>
                </c:pt>
                <c:pt idx="21">
                  <c:v>1</c:v>
                </c:pt>
                <c:pt idx="22">
                  <c:v>1</c:v>
                </c:pt>
                <c:pt idx="23">
                  <c:v>2</c:v>
                </c:pt>
                <c:pt idx="24">
                  <c:v>2</c:v>
                </c:pt>
                <c:pt idx="25">
                  <c:v>2</c:v>
                </c:pt>
                <c:pt idx="26">
                  <c:v>2</c:v>
                </c:pt>
                <c:pt idx="27">
                  <c:v>2</c:v>
                </c:pt>
                <c:pt idx="28">
                  <c:v>2</c:v>
                </c:pt>
                <c:pt idx="29">
                  <c:v>2</c:v>
                </c:pt>
                <c:pt idx="30">
                  <c:v>2</c:v>
                </c:pt>
                <c:pt idx="31">
                  <c:v>2</c:v>
                </c:pt>
                <c:pt idx="32">
                  <c:v>2</c:v>
                </c:pt>
                <c:pt idx="33">
                  <c:v>2</c:v>
                </c:pt>
                <c:pt idx="34">
                  <c:v>2</c:v>
                </c:pt>
                <c:pt idx="35">
                  <c:v>3</c:v>
                </c:pt>
                <c:pt idx="36">
                  <c:v>3</c:v>
                </c:pt>
                <c:pt idx="37">
                  <c:v>3</c:v>
                </c:pt>
                <c:pt idx="38">
                  <c:v>3</c:v>
                </c:pt>
                <c:pt idx="39">
                  <c:v>3</c:v>
                </c:pt>
                <c:pt idx="40">
                  <c:v>3</c:v>
                </c:pt>
                <c:pt idx="41">
                  <c:v>3</c:v>
                </c:pt>
                <c:pt idx="42">
                  <c:v>3</c:v>
                </c:pt>
                <c:pt idx="43">
                  <c:v>3</c:v>
                </c:pt>
                <c:pt idx="44">
                  <c:v>3</c:v>
                </c:pt>
                <c:pt idx="45">
                  <c:v>3</c:v>
                </c:pt>
                <c:pt idx="46">
                  <c:v>3</c:v>
                </c:pt>
                <c:pt idx="47">
                  <c:v>4</c:v>
                </c:pt>
                <c:pt idx="48">
                  <c:v>4</c:v>
                </c:pt>
                <c:pt idx="49">
                  <c:v>4</c:v>
                </c:pt>
                <c:pt idx="50">
                  <c:v>4</c:v>
                </c:pt>
                <c:pt idx="51">
                  <c:v>4</c:v>
                </c:pt>
                <c:pt idx="52">
                  <c:v>4</c:v>
                </c:pt>
                <c:pt idx="53">
                  <c:v>4</c:v>
                </c:pt>
                <c:pt idx="54">
                  <c:v>4</c:v>
                </c:pt>
                <c:pt idx="55">
                  <c:v>4</c:v>
                </c:pt>
                <c:pt idx="56">
                  <c:v>4</c:v>
                </c:pt>
                <c:pt idx="57">
                  <c:v>4</c:v>
                </c:pt>
                <c:pt idx="58">
                  <c:v>4</c:v>
                </c:pt>
                <c:pt idx="59">
                  <c:v>5</c:v>
                </c:pt>
                <c:pt idx="60">
                  <c:v>5</c:v>
                </c:pt>
                <c:pt idx="61">
                  <c:v>5</c:v>
                </c:pt>
                <c:pt idx="62">
                  <c:v>5</c:v>
                </c:pt>
                <c:pt idx="63">
                  <c:v>5</c:v>
                </c:pt>
                <c:pt idx="64">
                  <c:v>5</c:v>
                </c:pt>
                <c:pt idx="65">
                  <c:v>5</c:v>
                </c:pt>
                <c:pt idx="66">
                  <c:v>5</c:v>
                </c:pt>
                <c:pt idx="67">
                  <c:v>5</c:v>
                </c:pt>
                <c:pt idx="68">
                  <c:v>5</c:v>
                </c:pt>
                <c:pt idx="69">
                  <c:v>5</c:v>
                </c:pt>
                <c:pt idx="70">
                  <c:v>5</c:v>
                </c:pt>
                <c:pt idx="71">
                  <c:v>6</c:v>
                </c:pt>
                <c:pt idx="72">
                  <c:v>6</c:v>
                </c:pt>
                <c:pt idx="73">
                  <c:v>6</c:v>
                </c:pt>
                <c:pt idx="74">
                  <c:v>6</c:v>
                </c:pt>
                <c:pt idx="75">
                  <c:v>6</c:v>
                </c:pt>
                <c:pt idx="76">
                  <c:v>6</c:v>
                </c:pt>
                <c:pt idx="77">
                  <c:v>6</c:v>
                </c:pt>
                <c:pt idx="78">
                  <c:v>6</c:v>
                </c:pt>
                <c:pt idx="79">
                  <c:v>6</c:v>
                </c:pt>
                <c:pt idx="80">
                  <c:v>6</c:v>
                </c:pt>
                <c:pt idx="81">
                  <c:v>6</c:v>
                </c:pt>
                <c:pt idx="82">
                  <c:v>6</c:v>
                </c:pt>
                <c:pt idx="83">
                  <c:v>7</c:v>
                </c:pt>
                <c:pt idx="84">
                  <c:v>7</c:v>
                </c:pt>
                <c:pt idx="85">
                  <c:v>7</c:v>
                </c:pt>
                <c:pt idx="86">
                  <c:v>7</c:v>
                </c:pt>
                <c:pt idx="87">
                  <c:v>7</c:v>
                </c:pt>
                <c:pt idx="88">
                  <c:v>7</c:v>
                </c:pt>
                <c:pt idx="89">
                  <c:v>7</c:v>
                </c:pt>
                <c:pt idx="90">
                  <c:v>7</c:v>
                </c:pt>
                <c:pt idx="91">
                  <c:v>7</c:v>
                </c:pt>
                <c:pt idx="92">
                  <c:v>7</c:v>
                </c:pt>
                <c:pt idx="93">
                  <c:v>7</c:v>
                </c:pt>
                <c:pt idx="94">
                  <c:v>7</c:v>
                </c:pt>
                <c:pt idx="95">
                  <c:v>8</c:v>
                </c:pt>
                <c:pt idx="96">
                  <c:v>8</c:v>
                </c:pt>
                <c:pt idx="97">
                  <c:v>8</c:v>
                </c:pt>
                <c:pt idx="98">
                  <c:v>8</c:v>
                </c:pt>
                <c:pt idx="99">
                  <c:v>8</c:v>
                </c:pt>
                <c:pt idx="100">
                  <c:v>8</c:v>
                </c:pt>
                <c:pt idx="101">
                  <c:v>8</c:v>
                </c:pt>
                <c:pt idx="102">
                  <c:v>8</c:v>
                </c:pt>
                <c:pt idx="103">
                  <c:v>8</c:v>
                </c:pt>
                <c:pt idx="104">
                  <c:v>8</c:v>
                </c:pt>
                <c:pt idx="105">
                  <c:v>8</c:v>
                </c:pt>
                <c:pt idx="106">
                  <c:v>8</c:v>
                </c:pt>
                <c:pt idx="107">
                  <c:v>9</c:v>
                </c:pt>
                <c:pt idx="108">
                  <c:v>9</c:v>
                </c:pt>
                <c:pt idx="109">
                  <c:v>9</c:v>
                </c:pt>
                <c:pt idx="110">
                  <c:v>9</c:v>
                </c:pt>
                <c:pt idx="111">
                  <c:v>9</c:v>
                </c:pt>
                <c:pt idx="112">
                  <c:v>9</c:v>
                </c:pt>
                <c:pt idx="113">
                  <c:v>9</c:v>
                </c:pt>
                <c:pt idx="114">
                  <c:v>9</c:v>
                </c:pt>
                <c:pt idx="115">
                  <c:v>9</c:v>
                </c:pt>
                <c:pt idx="116">
                  <c:v>9</c:v>
                </c:pt>
                <c:pt idx="117">
                  <c:v>9</c:v>
                </c:pt>
                <c:pt idx="118">
                  <c:v>9</c:v>
                </c:pt>
                <c:pt idx="119">
                  <c:v>10</c:v>
                </c:pt>
                <c:pt idx="120">
                  <c:v>10</c:v>
                </c:pt>
                <c:pt idx="121">
                  <c:v>10</c:v>
                </c:pt>
                <c:pt idx="122">
                  <c:v>10</c:v>
                </c:pt>
                <c:pt idx="123">
                  <c:v>10</c:v>
                </c:pt>
                <c:pt idx="124">
                  <c:v>10</c:v>
                </c:pt>
                <c:pt idx="125">
                  <c:v>10</c:v>
                </c:pt>
                <c:pt idx="126">
                  <c:v>10</c:v>
                </c:pt>
                <c:pt idx="127">
                  <c:v>10</c:v>
                </c:pt>
                <c:pt idx="128">
                  <c:v>10</c:v>
                </c:pt>
                <c:pt idx="129">
                  <c:v>10</c:v>
                </c:pt>
                <c:pt idx="130">
                  <c:v>10</c:v>
                </c:pt>
                <c:pt idx="131">
                  <c:v>11</c:v>
                </c:pt>
                <c:pt idx="132">
                  <c:v>11</c:v>
                </c:pt>
                <c:pt idx="133">
                  <c:v>11</c:v>
                </c:pt>
                <c:pt idx="134">
                  <c:v>11</c:v>
                </c:pt>
                <c:pt idx="135">
                  <c:v>11</c:v>
                </c:pt>
                <c:pt idx="136">
                  <c:v>11</c:v>
                </c:pt>
                <c:pt idx="137">
                  <c:v>11</c:v>
                </c:pt>
                <c:pt idx="138">
                  <c:v>11</c:v>
                </c:pt>
                <c:pt idx="139">
                  <c:v>11</c:v>
                </c:pt>
                <c:pt idx="140">
                  <c:v>11</c:v>
                </c:pt>
                <c:pt idx="141">
                  <c:v>11</c:v>
                </c:pt>
                <c:pt idx="142">
                  <c:v>11</c:v>
                </c:pt>
                <c:pt idx="143">
                  <c:v>12</c:v>
                </c:pt>
                <c:pt idx="144">
                  <c:v>12</c:v>
                </c:pt>
                <c:pt idx="145">
                  <c:v>12</c:v>
                </c:pt>
                <c:pt idx="146">
                  <c:v>12</c:v>
                </c:pt>
                <c:pt idx="147">
                  <c:v>12</c:v>
                </c:pt>
                <c:pt idx="148">
                  <c:v>12</c:v>
                </c:pt>
                <c:pt idx="149">
                  <c:v>12</c:v>
                </c:pt>
                <c:pt idx="150">
                  <c:v>12</c:v>
                </c:pt>
                <c:pt idx="151">
                  <c:v>12</c:v>
                </c:pt>
                <c:pt idx="152">
                  <c:v>12</c:v>
                </c:pt>
                <c:pt idx="153">
                  <c:v>12</c:v>
                </c:pt>
                <c:pt idx="154">
                  <c:v>12</c:v>
                </c:pt>
                <c:pt idx="155">
                  <c:v>13</c:v>
                </c:pt>
                <c:pt idx="156">
                  <c:v>13</c:v>
                </c:pt>
                <c:pt idx="157">
                  <c:v>13</c:v>
                </c:pt>
                <c:pt idx="158">
                  <c:v>13</c:v>
                </c:pt>
                <c:pt idx="159">
                  <c:v>13</c:v>
                </c:pt>
                <c:pt idx="160">
                  <c:v>13</c:v>
                </c:pt>
                <c:pt idx="161">
                  <c:v>13</c:v>
                </c:pt>
                <c:pt idx="162">
                  <c:v>13</c:v>
                </c:pt>
                <c:pt idx="163">
                  <c:v>13</c:v>
                </c:pt>
                <c:pt idx="164">
                  <c:v>13</c:v>
                </c:pt>
                <c:pt idx="165">
                  <c:v>13</c:v>
                </c:pt>
                <c:pt idx="166">
                  <c:v>13</c:v>
                </c:pt>
                <c:pt idx="167">
                  <c:v>14</c:v>
                </c:pt>
                <c:pt idx="168">
                  <c:v>14</c:v>
                </c:pt>
                <c:pt idx="169">
                  <c:v>14</c:v>
                </c:pt>
                <c:pt idx="170">
                  <c:v>14</c:v>
                </c:pt>
                <c:pt idx="171">
                  <c:v>14</c:v>
                </c:pt>
                <c:pt idx="172">
                  <c:v>14</c:v>
                </c:pt>
                <c:pt idx="173">
                  <c:v>14</c:v>
                </c:pt>
                <c:pt idx="174">
                  <c:v>14</c:v>
                </c:pt>
                <c:pt idx="175">
                  <c:v>14</c:v>
                </c:pt>
                <c:pt idx="176">
                  <c:v>14</c:v>
                </c:pt>
                <c:pt idx="177">
                  <c:v>14</c:v>
                </c:pt>
                <c:pt idx="178">
                  <c:v>14</c:v>
                </c:pt>
                <c:pt idx="179">
                  <c:v>15</c:v>
                </c:pt>
                <c:pt idx="180">
                  <c:v>15</c:v>
                </c:pt>
                <c:pt idx="181">
                  <c:v>15</c:v>
                </c:pt>
                <c:pt idx="182">
                  <c:v>15</c:v>
                </c:pt>
                <c:pt idx="183">
                  <c:v>15</c:v>
                </c:pt>
                <c:pt idx="184">
                  <c:v>15</c:v>
                </c:pt>
                <c:pt idx="185">
                  <c:v>15</c:v>
                </c:pt>
                <c:pt idx="186">
                  <c:v>15</c:v>
                </c:pt>
                <c:pt idx="187">
                  <c:v>15</c:v>
                </c:pt>
                <c:pt idx="188">
                  <c:v>15</c:v>
                </c:pt>
                <c:pt idx="189">
                  <c:v>15</c:v>
                </c:pt>
                <c:pt idx="190">
                  <c:v>15</c:v>
                </c:pt>
                <c:pt idx="191">
                  <c:v>16</c:v>
                </c:pt>
                <c:pt idx="192">
                  <c:v>16</c:v>
                </c:pt>
                <c:pt idx="193">
                  <c:v>16</c:v>
                </c:pt>
                <c:pt idx="194">
                  <c:v>16</c:v>
                </c:pt>
                <c:pt idx="195">
                  <c:v>16</c:v>
                </c:pt>
                <c:pt idx="196">
                  <c:v>16</c:v>
                </c:pt>
                <c:pt idx="197">
                  <c:v>16</c:v>
                </c:pt>
                <c:pt idx="198">
                  <c:v>16</c:v>
                </c:pt>
                <c:pt idx="199">
                  <c:v>16</c:v>
                </c:pt>
                <c:pt idx="200">
                  <c:v>16</c:v>
                </c:pt>
                <c:pt idx="201">
                  <c:v>16</c:v>
                </c:pt>
                <c:pt idx="202">
                  <c:v>16</c:v>
                </c:pt>
                <c:pt idx="203">
                  <c:v>17</c:v>
                </c:pt>
                <c:pt idx="204">
                  <c:v>17</c:v>
                </c:pt>
                <c:pt idx="205">
                  <c:v>17</c:v>
                </c:pt>
                <c:pt idx="206">
                  <c:v>17</c:v>
                </c:pt>
                <c:pt idx="207">
                  <c:v>17</c:v>
                </c:pt>
                <c:pt idx="208">
                  <c:v>17</c:v>
                </c:pt>
                <c:pt idx="209">
                  <c:v>17</c:v>
                </c:pt>
                <c:pt idx="210">
                  <c:v>17</c:v>
                </c:pt>
                <c:pt idx="211">
                  <c:v>17</c:v>
                </c:pt>
                <c:pt idx="212">
                  <c:v>17</c:v>
                </c:pt>
                <c:pt idx="213">
                  <c:v>17</c:v>
                </c:pt>
                <c:pt idx="214">
                  <c:v>17</c:v>
                </c:pt>
                <c:pt idx="215">
                  <c:v>18</c:v>
                </c:pt>
                <c:pt idx="216">
                  <c:v>18</c:v>
                </c:pt>
                <c:pt idx="217">
                  <c:v>18</c:v>
                </c:pt>
                <c:pt idx="218">
                  <c:v>18</c:v>
                </c:pt>
                <c:pt idx="219">
                  <c:v>18</c:v>
                </c:pt>
                <c:pt idx="220">
                  <c:v>18</c:v>
                </c:pt>
                <c:pt idx="221">
                  <c:v>18</c:v>
                </c:pt>
                <c:pt idx="222">
                  <c:v>18</c:v>
                </c:pt>
                <c:pt idx="223">
                  <c:v>18</c:v>
                </c:pt>
                <c:pt idx="224">
                  <c:v>18</c:v>
                </c:pt>
                <c:pt idx="225">
                  <c:v>18</c:v>
                </c:pt>
                <c:pt idx="226">
                  <c:v>18</c:v>
                </c:pt>
                <c:pt idx="227">
                  <c:v>19</c:v>
                </c:pt>
                <c:pt idx="228">
                  <c:v>19</c:v>
                </c:pt>
                <c:pt idx="229">
                  <c:v>19</c:v>
                </c:pt>
                <c:pt idx="230">
                  <c:v>19</c:v>
                </c:pt>
                <c:pt idx="231">
                  <c:v>19</c:v>
                </c:pt>
                <c:pt idx="232">
                  <c:v>19</c:v>
                </c:pt>
                <c:pt idx="233">
                  <c:v>19</c:v>
                </c:pt>
                <c:pt idx="234">
                  <c:v>19</c:v>
                </c:pt>
                <c:pt idx="235">
                  <c:v>19</c:v>
                </c:pt>
                <c:pt idx="236">
                  <c:v>19</c:v>
                </c:pt>
                <c:pt idx="237">
                  <c:v>19</c:v>
                </c:pt>
                <c:pt idx="238">
                  <c:v>19</c:v>
                </c:pt>
              </c:numCache>
            </c:numRef>
          </c:cat>
          <c:val>
            <c:numRef>
              <c:f>Validity!$E$4:$E$242</c:f>
              <c:numCache>
                <c:formatCode>General</c:formatCode>
                <c:ptCount val="239"/>
                <c:pt idx="0">
                  <c:v>20785</c:v>
                </c:pt>
                <c:pt idx="1">
                  <c:v>20844</c:v>
                </c:pt>
                <c:pt idx="2">
                  <c:v>20863</c:v>
                </c:pt>
                <c:pt idx="3">
                  <c:v>20879</c:v>
                </c:pt>
                <c:pt idx="4">
                  <c:v>20910</c:v>
                </c:pt>
                <c:pt idx="5">
                  <c:v>20936</c:v>
                </c:pt>
                <c:pt idx="6">
                  <c:v>21003</c:v>
                </c:pt>
                <c:pt idx="7">
                  <c:v>21055</c:v>
                </c:pt>
                <c:pt idx="8">
                  <c:v>21099</c:v>
                </c:pt>
                <c:pt idx="9">
                  <c:v>21142</c:v>
                </c:pt>
                <c:pt idx="10">
                  <c:v>21168</c:v>
                </c:pt>
                <c:pt idx="11">
                  <c:v>21210</c:v>
                </c:pt>
                <c:pt idx="12">
                  <c:v>21277</c:v>
                </c:pt>
                <c:pt idx="13">
                  <c:v>21338</c:v>
                </c:pt>
                <c:pt idx="14">
                  <c:v>21393</c:v>
                </c:pt>
                <c:pt idx="15">
                  <c:v>21442</c:v>
                </c:pt>
                <c:pt idx="16">
                  <c:v>21508</c:v>
                </c:pt>
                <c:pt idx="17">
                  <c:v>21533</c:v>
                </c:pt>
                <c:pt idx="18">
                  <c:v>21587</c:v>
                </c:pt>
                <c:pt idx="19">
                  <c:v>21630</c:v>
                </c:pt>
                <c:pt idx="20">
                  <c:v>21678</c:v>
                </c:pt>
                <c:pt idx="21">
                  <c:v>21753</c:v>
                </c:pt>
                <c:pt idx="22">
                  <c:v>21788</c:v>
                </c:pt>
                <c:pt idx="23">
                  <c:v>21868</c:v>
                </c:pt>
                <c:pt idx="24">
                  <c:v>21900</c:v>
                </c:pt>
                <c:pt idx="25">
                  <c:v>21947</c:v>
                </c:pt>
                <c:pt idx="26">
                  <c:v>21998</c:v>
                </c:pt>
                <c:pt idx="27">
                  <c:v>22084</c:v>
                </c:pt>
                <c:pt idx="28">
                  <c:v>22125</c:v>
                </c:pt>
                <c:pt idx="29">
                  <c:v>22188</c:v>
                </c:pt>
                <c:pt idx="30">
                  <c:v>22238</c:v>
                </c:pt>
                <c:pt idx="31">
                  <c:v>22279</c:v>
                </c:pt>
                <c:pt idx="32">
                  <c:v>22335</c:v>
                </c:pt>
                <c:pt idx="33">
                  <c:v>22395</c:v>
                </c:pt>
                <c:pt idx="34">
                  <c:v>22425</c:v>
                </c:pt>
                <c:pt idx="35">
                  <c:v>22487</c:v>
                </c:pt>
                <c:pt idx="36">
                  <c:v>22555</c:v>
                </c:pt>
                <c:pt idx="37">
                  <c:v>22615</c:v>
                </c:pt>
                <c:pt idx="38">
                  <c:v>22637</c:v>
                </c:pt>
                <c:pt idx="39">
                  <c:v>22708</c:v>
                </c:pt>
                <c:pt idx="40">
                  <c:v>22765</c:v>
                </c:pt>
                <c:pt idx="41">
                  <c:v>22802</c:v>
                </c:pt>
                <c:pt idx="42">
                  <c:v>22873</c:v>
                </c:pt>
                <c:pt idx="43">
                  <c:v>22960</c:v>
                </c:pt>
                <c:pt idx="44">
                  <c:v>23010</c:v>
                </c:pt>
                <c:pt idx="45">
                  <c:v>23068</c:v>
                </c:pt>
                <c:pt idx="46">
                  <c:v>23135</c:v>
                </c:pt>
                <c:pt idx="47">
                  <c:v>23193</c:v>
                </c:pt>
                <c:pt idx="48">
                  <c:v>23261</c:v>
                </c:pt>
                <c:pt idx="49">
                  <c:v>23348</c:v>
                </c:pt>
                <c:pt idx="50">
                  <c:v>23405</c:v>
                </c:pt>
                <c:pt idx="51">
                  <c:v>23483</c:v>
                </c:pt>
                <c:pt idx="52">
                  <c:v>23534</c:v>
                </c:pt>
                <c:pt idx="53">
                  <c:v>23608</c:v>
                </c:pt>
                <c:pt idx="54">
                  <c:v>23688</c:v>
                </c:pt>
                <c:pt idx="55">
                  <c:v>23743</c:v>
                </c:pt>
                <c:pt idx="56">
                  <c:v>23794</c:v>
                </c:pt>
                <c:pt idx="57">
                  <c:v>23880</c:v>
                </c:pt>
                <c:pt idx="58">
                  <c:v>23960</c:v>
                </c:pt>
                <c:pt idx="59">
                  <c:v>24024</c:v>
                </c:pt>
                <c:pt idx="60">
                  <c:v>24143</c:v>
                </c:pt>
                <c:pt idx="61">
                  <c:v>24210</c:v>
                </c:pt>
                <c:pt idx="62">
                  <c:v>24273</c:v>
                </c:pt>
                <c:pt idx="63">
                  <c:v>24338</c:v>
                </c:pt>
                <c:pt idx="64">
                  <c:v>24391</c:v>
                </c:pt>
                <c:pt idx="65">
                  <c:v>24476</c:v>
                </c:pt>
                <c:pt idx="66">
                  <c:v>24560</c:v>
                </c:pt>
                <c:pt idx="67">
                  <c:v>24627</c:v>
                </c:pt>
                <c:pt idx="68">
                  <c:v>24717</c:v>
                </c:pt>
                <c:pt idx="69">
                  <c:v>24816</c:v>
                </c:pt>
                <c:pt idx="70">
                  <c:v>24902</c:v>
                </c:pt>
                <c:pt idx="71">
                  <c:v>24964</c:v>
                </c:pt>
                <c:pt idx="72">
                  <c:v>25035</c:v>
                </c:pt>
                <c:pt idx="73">
                  <c:v>25126</c:v>
                </c:pt>
                <c:pt idx="74">
                  <c:v>25179</c:v>
                </c:pt>
                <c:pt idx="75">
                  <c:v>25227</c:v>
                </c:pt>
                <c:pt idx="76">
                  <c:v>25328</c:v>
                </c:pt>
                <c:pt idx="77">
                  <c:v>25431</c:v>
                </c:pt>
                <c:pt idx="78">
                  <c:v>25524</c:v>
                </c:pt>
                <c:pt idx="79">
                  <c:v>25612</c:v>
                </c:pt>
                <c:pt idx="80">
                  <c:v>25696</c:v>
                </c:pt>
                <c:pt idx="81">
                  <c:v>25764</c:v>
                </c:pt>
                <c:pt idx="82">
                  <c:v>25824</c:v>
                </c:pt>
                <c:pt idx="83">
                  <c:v>25888</c:v>
                </c:pt>
                <c:pt idx="84">
                  <c:v>25959</c:v>
                </c:pt>
                <c:pt idx="85">
                  <c:v>26040</c:v>
                </c:pt>
                <c:pt idx="86">
                  <c:v>26123</c:v>
                </c:pt>
                <c:pt idx="87">
                  <c:v>26186</c:v>
                </c:pt>
                <c:pt idx="88">
                  <c:v>26289</c:v>
                </c:pt>
                <c:pt idx="89">
                  <c:v>26389</c:v>
                </c:pt>
                <c:pt idx="90">
                  <c:v>26482</c:v>
                </c:pt>
                <c:pt idx="91">
                  <c:v>26576</c:v>
                </c:pt>
                <c:pt idx="92">
                  <c:v>26657</c:v>
                </c:pt>
                <c:pt idx="93">
                  <c:v>26762</c:v>
                </c:pt>
                <c:pt idx="94">
                  <c:v>26858</c:v>
                </c:pt>
                <c:pt idx="95">
                  <c:v>26932</c:v>
                </c:pt>
                <c:pt idx="96">
                  <c:v>27041</c:v>
                </c:pt>
                <c:pt idx="97">
                  <c:v>27152</c:v>
                </c:pt>
                <c:pt idx="98">
                  <c:v>27229</c:v>
                </c:pt>
                <c:pt idx="99">
                  <c:v>27298</c:v>
                </c:pt>
                <c:pt idx="100">
                  <c:v>27362</c:v>
                </c:pt>
                <c:pt idx="101">
                  <c:v>27478</c:v>
                </c:pt>
                <c:pt idx="102">
                  <c:v>27573</c:v>
                </c:pt>
                <c:pt idx="103">
                  <c:v>27650</c:v>
                </c:pt>
                <c:pt idx="104">
                  <c:v>27733</c:v>
                </c:pt>
                <c:pt idx="105">
                  <c:v>27825</c:v>
                </c:pt>
                <c:pt idx="106">
                  <c:v>27908</c:v>
                </c:pt>
                <c:pt idx="107">
                  <c:v>27981</c:v>
                </c:pt>
                <c:pt idx="108">
                  <c:v>28054</c:v>
                </c:pt>
                <c:pt idx="109">
                  <c:v>28144</c:v>
                </c:pt>
                <c:pt idx="110">
                  <c:v>28248</c:v>
                </c:pt>
                <c:pt idx="111">
                  <c:v>28360</c:v>
                </c:pt>
                <c:pt idx="112">
                  <c:v>28432</c:v>
                </c:pt>
                <c:pt idx="113">
                  <c:v>28514</c:v>
                </c:pt>
                <c:pt idx="114">
                  <c:v>28591</c:v>
                </c:pt>
                <c:pt idx="115">
                  <c:v>28684</c:v>
                </c:pt>
                <c:pt idx="116">
                  <c:v>28756</c:v>
                </c:pt>
                <c:pt idx="117">
                  <c:v>28859</c:v>
                </c:pt>
                <c:pt idx="118">
                  <c:v>28969</c:v>
                </c:pt>
                <c:pt idx="119">
                  <c:v>29055</c:v>
                </c:pt>
                <c:pt idx="120">
                  <c:v>29163</c:v>
                </c:pt>
                <c:pt idx="121">
                  <c:v>29233</c:v>
                </c:pt>
                <c:pt idx="122">
                  <c:v>29306</c:v>
                </c:pt>
                <c:pt idx="123">
                  <c:v>29386</c:v>
                </c:pt>
                <c:pt idx="124">
                  <c:v>29462</c:v>
                </c:pt>
                <c:pt idx="125">
                  <c:v>29576</c:v>
                </c:pt>
                <c:pt idx="126">
                  <c:v>29685</c:v>
                </c:pt>
                <c:pt idx="127">
                  <c:v>29761</c:v>
                </c:pt>
                <c:pt idx="128">
                  <c:v>29847</c:v>
                </c:pt>
                <c:pt idx="129">
                  <c:v>29941</c:v>
                </c:pt>
                <c:pt idx="130">
                  <c:v>30003</c:v>
                </c:pt>
                <c:pt idx="131">
                  <c:v>30074</c:v>
                </c:pt>
                <c:pt idx="132">
                  <c:v>30163</c:v>
                </c:pt>
                <c:pt idx="133">
                  <c:v>30238</c:v>
                </c:pt>
                <c:pt idx="134">
                  <c:v>30336</c:v>
                </c:pt>
                <c:pt idx="135">
                  <c:v>30418</c:v>
                </c:pt>
                <c:pt idx="136">
                  <c:v>30510</c:v>
                </c:pt>
                <c:pt idx="137">
                  <c:v>30580</c:v>
                </c:pt>
                <c:pt idx="138">
                  <c:v>30666</c:v>
                </c:pt>
                <c:pt idx="139">
                  <c:v>30742</c:v>
                </c:pt>
                <c:pt idx="140">
                  <c:v>30839</c:v>
                </c:pt>
                <c:pt idx="141">
                  <c:v>30916</c:v>
                </c:pt>
                <c:pt idx="142">
                  <c:v>30994</c:v>
                </c:pt>
                <c:pt idx="143">
                  <c:v>31090</c:v>
                </c:pt>
                <c:pt idx="144">
                  <c:v>31185</c:v>
                </c:pt>
                <c:pt idx="145">
                  <c:v>31243</c:v>
                </c:pt>
                <c:pt idx="146">
                  <c:v>31301</c:v>
                </c:pt>
                <c:pt idx="147">
                  <c:v>31386</c:v>
                </c:pt>
                <c:pt idx="148">
                  <c:v>31471</c:v>
                </c:pt>
                <c:pt idx="149">
                  <c:v>31545</c:v>
                </c:pt>
                <c:pt idx="150">
                  <c:v>31623</c:v>
                </c:pt>
                <c:pt idx="151">
                  <c:v>31729</c:v>
                </c:pt>
                <c:pt idx="152">
                  <c:v>31844</c:v>
                </c:pt>
                <c:pt idx="153">
                  <c:v>31923</c:v>
                </c:pt>
                <c:pt idx="154">
                  <c:v>32000</c:v>
                </c:pt>
                <c:pt idx="155">
                  <c:v>32063</c:v>
                </c:pt>
                <c:pt idx="156">
                  <c:v>32159</c:v>
                </c:pt>
                <c:pt idx="157">
                  <c:v>32219</c:v>
                </c:pt>
                <c:pt idx="158">
                  <c:v>32308</c:v>
                </c:pt>
                <c:pt idx="159">
                  <c:v>32382</c:v>
                </c:pt>
                <c:pt idx="160">
                  <c:v>32445</c:v>
                </c:pt>
                <c:pt idx="161">
                  <c:v>32495</c:v>
                </c:pt>
                <c:pt idx="162">
                  <c:v>32562</c:v>
                </c:pt>
                <c:pt idx="163">
                  <c:v>32620</c:v>
                </c:pt>
                <c:pt idx="164">
                  <c:v>32687</c:v>
                </c:pt>
                <c:pt idx="165">
                  <c:v>32761</c:v>
                </c:pt>
                <c:pt idx="166">
                  <c:v>32821</c:v>
                </c:pt>
                <c:pt idx="167">
                  <c:v>32918</c:v>
                </c:pt>
                <c:pt idx="168">
                  <c:v>32995</c:v>
                </c:pt>
                <c:pt idx="169">
                  <c:v>33093</c:v>
                </c:pt>
                <c:pt idx="170">
                  <c:v>33157</c:v>
                </c:pt>
                <c:pt idx="171">
                  <c:v>33250</c:v>
                </c:pt>
                <c:pt idx="172">
                  <c:v>33327</c:v>
                </c:pt>
                <c:pt idx="173">
                  <c:v>33386</c:v>
                </c:pt>
                <c:pt idx="174">
                  <c:v>33471</c:v>
                </c:pt>
                <c:pt idx="175">
                  <c:v>33546</c:v>
                </c:pt>
                <c:pt idx="176">
                  <c:v>33626</c:v>
                </c:pt>
                <c:pt idx="177">
                  <c:v>33719</c:v>
                </c:pt>
                <c:pt idx="178">
                  <c:v>33789</c:v>
                </c:pt>
                <c:pt idx="179">
                  <c:v>33851</c:v>
                </c:pt>
                <c:pt idx="180">
                  <c:v>33917</c:v>
                </c:pt>
                <c:pt idx="181">
                  <c:v>33957</c:v>
                </c:pt>
                <c:pt idx="182">
                  <c:v>34013</c:v>
                </c:pt>
                <c:pt idx="183">
                  <c:v>34068</c:v>
                </c:pt>
                <c:pt idx="184">
                  <c:v>34164</c:v>
                </c:pt>
                <c:pt idx="185">
                  <c:v>34226</c:v>
                </c:pt>
                <c:pt idx="186">
                  <c:v>34290</c:v>
                </c:pt>
                <c:pt idx="187">
                  <c:v>34357</c:v>
                </c:pt>
                <c:pt idx="188">
                  <c:v>34421</c:v>
                </c:pt>
                <c:pt idx="189">
                  <c:v>34494</c:v>
                </c:pt>
                <c:pt idx="190">
                  <c:v>34567</c:v>
                </c:pt>
                <c:pt idx="191">
                  <c:v>34626</c:v>
                </c:pt>
                <c:pt idx="192">
                  <c:v>34689</c:v>
                </c:pt>
                <c:pt idx="193">
                  <c:v>34764</c:v>
                </c:pt>
                <c:pt idx="194">
                  <c:v>34815</c:v>
                </c:pt>
                <c:pt idx="195">
                  <c:v>34866</c:v>
                </c:pt>
                <c:pt idx="196">
                  <c:v>34971</c:v>
                </c:pt>
                <c:pt idx="197">
                  <c:v>35019</c:v>
                </c:pt>
                <c:pt idx="198">
                  <c:v>35086</c:v>
                </c:pt>
                <c:pt idx="199">
                  <c:v>35158</c:v>
                </c:pt>
                <c:pt idx="200">
                  <c:v>35235</c:v>
                </c:pt>
                <c:pt idx="201">
                  <c:v>35316</c:v>
                </c:pt>
                <c:pt idx="202">
                  <c:v>35373</c:v>
                </c:pt>
                <c:pt idx="203">
                  <c:v>35421</c:v>
                </c:pt>
                <c:pt idx="204">
                  <c:v>35499</c:v>
                </c:pt>
                <c:pt idx="205">
                  <c:v>35566</c:v>
                </c:pt>
                <c:pt idx="206">
                  <c:v>35635</c:v>
                </c:pt>
                <c:pt idx="207">
                  <c:v>35697</c:v>
                </c:pt>
                <c:pt idx="208">
                  <c:v>35776</c:v>
                </c:pt>
                <c:pt idx="209">
                  <c:v>35849</c:v>
                </c:pt>
                <c:pt idx="210">
                  <c:v>35928</c:v>
                </c:pt>
                <c:pt idx="211">
                  <c:v>35994</c:v>
                </c:pt>
                <c:pt idx="212">
                  <c:v>36066</c:v>
                </c:pt>
                <c:pt idx="213">
                  <c:v>36120</c:v>
                </c:pt>
                <c:pt idx="214">
                  <c:v>36173</c:v>
                </c:pt>
                <c:pt idx="215">
                  <c:v>36228</c:v>
                </c:pt>
                <c:pt idx="216">
                  <c:v>36292</c:v>
                </c:pt>
                <c:pt idx="217">
                  <c:v>36341</c:v>
                </c:pt>
                <c:pt idx="218">
                  <c:v>36391</c:v>
                </c:pt>
                <c:pt idx="219">
                  <c:v>36442</c:v>
                </c:pt>
                <c:pt idx="220">
                  <c:v>36520</c:v>
                </c:pt>
                <c:pt idx="221">
                  <c:v>36564</c:v>
                </c:pt>
                <c:pt idx="222">
                  <c:v>36616</c:v>
                </c:pt>
                <c:pt idx="223">
                  <c:v>36657</c:v>
                </c:pt>
                <c:pt idx="224">
                  <c:v>36711</c:v>
                </c:pt>
                <c:pt idx="225">
                  <c:v>36769</c:v>
                </c:pt>
                <c:pt idx="226">
                  <c:v>36812</c:v>
                </c:pt>
                <c:pt idx="227">
                  <c:v>36862</c:v>
                </c:pt>
                <c:pt idx="228">
                  <c:v>36897</c:v>
                </c:pt>
                <c:pt idx="229">
                  <c:v>36932</c:v>
                </c:pt>
                <c:pt idx="230">
                  <c:v>36990</c:v>
                </c:pt>
                <c:pt idx="231">
                  <c:v>37009</c:v>
                </c:pt>
                <c:pt idx="232">
                  <c:v>37038</c:v>
                </c:pt>
                <c:pt idx="233">
                  <c:v>37081</c:v>
                </c:pt>
                <c:pt idx="234">
                  <c:v>37144</c:v>
                </c:pt>
                <c:pt idx="235">
                  <c:v>37205</c:v>
                </c:pt>
                <c:pt idx="236">
                  <c:v>37257</c:v>
                </c:pt>
                <c:pt idx="237">
                  <c:v>37308</c:v>
                </c:pt>
                <c:pt idx="238">
                  <c:v>37354</c:v>
                </c:pt>
              </c:numCache>
            </c:numRef>
          </c:val>
          <c:extLst xmlns:c16r2="http://schemas.microsoft.com/office/drawing/2015/06/chart">
            <c:ext xmlns:c16="http://schemas.microsoft.com/office/drawing/2014/chart" uri="{C3380CC4-5D6E-409C-BE32-E72D297353CC}">
              <c16:uniqueId val="{00000001-97B5-42CF-8AEE-E48FCD6A34E7}"/>
            </c:ext>
          </c:extLst>
        </c:ser>
        <c:ser>
          <c:idx val="4"/>
          <c:order val="2"/>
          <c:tx>
            <c:strRef>
              <c:f>Validity!$F$2</c:f>
              <c:strCache>
                <c:ptCount val="1"/>
                <c:pt idx="0">
                  <c:v>Stage 2</c:v>
                </c:pt>
              </c:strCache>
            </c:strRef>
          </c:tx>
          <c:spPr>
            <a:solidFill>
              <a:schemeClr val="accent5"/>
            </a:solidFill>
            <a:ln>
              <a:noFill/>
            </a:ln>
            <a:effectLst/>
          </c:spPr>
          <c:cat>
            <c:numRef>
              <c:f>Validity!$A$4:$A$242</c:f>
              <c:numCache>
                <c:formatCode>General</c:formatCode>
                <c:ptCount val="239"/>
                <c:pt idx="0">
                  <c:v>0</c:v>
                </c:pt>
                <c:pt idx="1">
                  <c:v>0</c:v>
                </c:pt>
                <c:pt idx="2">
                  <c:v>0</c:v>
                </c:pt>
                <c:pt idx="3">
                  <c:v>0</c:v>
                </c:pt>
                <c:pt idx="4">
                  <c:v>0</c:v>
                </c:pt>
                <c:pt idx="5">
                  <c:v>0</c:v>
                </c:pt>
                <c:pt idx="6">
                  <c:v>0</c:v>
                </c:pt>
                <c:pt idx="7">
                  <c:v>0</c:v>
                </c:pt>
                <c:pt idx="8">
                  <c:v>0</c:v>
                </c:pt>
                <c:pt idx="9">
                  <c:v>0</c:v>
                </c:pt>
                <c:pt idx="10">
                  <c:v>0</c:v>
                </c:pt>
                <c:pt idx="11">
                  <c:v>1</c:v>
                </c:pt>
                <c:pt idx="12">
                  <c:v>1</c:v>
                </c:pt>
                <c:pt idx="13">
                  <c:v>1</c:v>
                </c:pt>
                <c:pt idx="14">
                  <c:v>1</c:v>
                </c:pt>
                <c:pt idx="15">
                  <c:v>1</c:v>
                </c:pt>
                <c:pt idx="16">
                  <c:v>1</c:v>
                </c:pt>
                <c:pt idx="17">
                  <c:v>1</c:v>
                </c:pt>
                <c:pt idx="18">
                  <c:v>1</c:v>
                </c:pt>
                <c:pt idx="19">
                  <c:v>1</c:v>
                </c:pt>
                <c:pt idx="20">
                  <c:v>1</c:v>
                </c:pt>
                <c:pt idx="21">
                  <c:v>1</c:v>
                </c:pt>
                <c:pt idx="22">
                  <c:v>1</c:v>
                </c:pt>
                <c:pt idx="23">
                  <c:v>2</c:v>
                </c:pt>
                <c:pt idx="24">
                  <c:v>2</c:v>
                </c:pt>
                <c:pt idx="25">
                  <c:v>2</c:v>
                </c:pt>
                <c:pt idx="26">
                  <c:v>2</c:v>
                </c:pt>
                <c:pt idx="27">
                  <c:v>2</c:v>
                </c:pt>
                <c:pt idx="28">
                  <c:v>2</c:v>
                </c:pt>
                <c:pt idx="29">
                  <c:v>2</c:v>
                </c:pt>
                <c:pt idx="30">
                  <c:v>2</c:v>
                </c:pt>
                <c:pt idx="31">
                  <c:v>2</c:v>
                </c:pt>
                <c:pt idx="32">
                  <c:v>2</c:v>
                </c:pt>
                <c:pt idx="33">
                  <c:v>2</c:v>
                </c:pt>
                <c:pt idx="34">
                  <c:v>2</c:v>
                </c:pt>
                <c:pt idx="35">
                  <c:v>3</c:v>
                </c:pt>
                <c:pt idx="36">
                  <c:v>3</c:v>
                </c:pt>
                <c:pt idx="37">
                  <c:v>3</c:v>
                </c:pt>
                <c:pt idx="38">
                  <c:v>3</c:v>
                </c:pt>
                <c:pt idx="39">
                  <c:v>3</c:v>
                </c:pt>
                <c:pt idx="40">
                  <c:v>3</c:v>
                </c:pt>
                <c:pt idx="41">
                  <c:v>3</c:v>
                </c:pt>
                <c:pt idx="42">
                  <c:v>3</c:v>
                </c:pt>
                <c:pt idx="43">
                  <c:v>3</c:v>
                </c:pt>
                <c:pt idx="44">
                  <c:v>3</c:v>
                </c:pt>
                <c:pt idx="45">
                  <c:v>3</c:v>
                </c:pt>
                <c:pt idx="46">
                  <c:v>3</c:v>
                </c:pt>
                <c:pt idx="47">
                  <c:v>4</c:v>
                </c:pt>
                <c:pt idx="48">
                  <c:v>4</c:v>
                </c:pt>
                <c:pt idx="49">
                  <c:v>4</c:v>
                </c:pt>
                <c:pt idx="50">
                  <c:v>4</c:v>
                </c:pt>
                <c:pt idx="51">
                  <c:v>4</c:v>
                </c:pt>
                <c:pt idx="52">
                  <c:v>4</c:v>
                </c:pt>
                <c:pt idx="53">
                  <c:v>4</c:v>
                </c:pt>
                <c:pt idx="54">
                  <c:v>4</c:v>
                </c:pt>
                <c:pt idx="55">
                  <c:v>4</c:v>
                </c:pt>
                <c:pt idx="56">
                  <c:v>4</c:v>
                </c:pt>
                <c:pt idx="57">
                  <c:v>4</c:v>
                </c:pt>
                <c:pt idx="58">
                  <c:v>4</c:v>
                </c:pt>
                <c:pt idx="59">
                  <c:v>5</c:v>
                </c:pt>
                <c:pt idx="60">
                  <c:v>5</c:v>
                </c:pt>
                <c:pt idx="61">
                  <c:v>5</c:v>
                </c:pt>
                <c:pt idx="62">
                  <c:v>5</c:v>
                </c:pt>
                <c:pt idx="63">
                  <c:v>5</c:v>
                </c:pt>
                <c:pt idx="64">
                  <c:v>5</c:v>
                </c:pt>
                <c:pt idx="65">
                  <c:v>5</c:v>
                </c:pt>
                <c:pt idx="66">
                  <c:v>5</c:v>
                </c:pt>
                <c:pt idx="67">
                  <c:v>5</c:v>
                </c:pt>
                <c:pt idx="68">
                  <c:v>5</c:v>
                </c:pt>
                <c:pt idx="69">
                  <c:v>5</c:v>
                </c:pt>
                <c:pt idx="70">
                  <c:v>5</c:v>
                </c:pt>
                <c:pt idx="71">
                  <c:v>6</c:v>
                </c:pt>
                <c:pt idx="72">
                  <c:v>6</c:v>
                </c:pt>
                <c:pt idx="73">
                  <c:v>6</c:v>
                </c:pt>
                <c:pt idx="74">
                  <c:v>6</c:v>
                </c:pt>
                <c:pt idx="75">
                  <c:v>6</c:v>
                </c:pt>
                <c:pt idx="76">
                  <c:v>6</c:v>
                </c:pt>
                <c:pt idx="77">
                  <c:v>6</c:v>
                </c:pt>
                <c:pt idx="78">
                  <c:v>6</c:v>
                </c:pt>
                <c:pt idx="79">
                  <c:v>6</c:v>
                </c:pt>
                <c:pt idx="80">
                  <c:v>6</c:v>
                </c:pt>
                <c:pt idx="81">
                  <c:v>6</c:v>
                </c:pt>
                <c:pt idx="82">
                  <c:v>6</c:v>
                </c:pt>
                <c:pt idx="83">
                  <c:v>7</c:v>
                </c:pt>
                <c:pt idx="84">
                  <c:v>7</c:v>
                </c:pt>
                <c:pt idx="85">
                  <c:v>7</c:v>
                </c:pt>
                <c:pt idx="86">
                  <c:v>7</c:v>
                </c:pt>
                <c:pt idx="87">
                  <c:v>7</c:v>
                </c:pt>
                <c:pt idx="88">
                  <c:v>7</c:v>
                </c:pt>
                <c:pt idx="89">
                  <c:v>7</c:v>
                </c:pt>
                <c:pt idx="90">
                  <c:v>7</c:v>
                </c:pt>
                <c:pt idx="91">
                  <c:v>7</c:v>
                </c:pt>
                <c:pt idx="92">
                  <c:v>7</c:v>
                </c:pt>
                <c:pt idx="93">
                  <c:v>7</c:v>
                </c:pt>
                <c:pt idx="94">
                  <c:v>7</c:v>
                </c:pt>
                <c:pt idx="95">
                  <c:v>8</c:v>
                </c:pt>
                <c:pt idx="96">
                  <c:v>8</c:v>
                </c:pt>
                <c:pt idx="97">
                  <c:v>8</c:v>
                </c:pt>
                <c:pt idx="98">
                  <c:v>8</c:v>
                </c:pt>
                <c:pt idx="99">
                  <c:v>8</c:v>
                </c:pt>
                <c:pt idx="100">
                  <c:v>8</c:v>
                </c:pt>
                <c:pt idx="101">
                  <c:v>8</c:v>
                </c:pt>
                <c:pt idx="102">
                  <c:v>8</c:v>
                </c:pt>
                <c:pt idx="103">
                  <c:v>8</c:v>
                </c:pt>
                <c:pt idx="104">
                  <c:v>8</c:v>
                </c:pt>
                <c:pt idx="105">
                  <c:v>8</c:v>
                </c:pt>
                <c:pt idx="106">
                  <c:v>8</c:v>
                </c:pt>
                <c:pt idx="107">
                  <c:v>9</c:v>
                </c:pt>
                <c:pt idx="108">
                  <c:v>9</c:v>
                </c:pt>
                <c:pt idx="109">
                  <c:v>9</c:v>
                </c:pt>
                <c:pt idx="110">
                  <c:v>9</c:v>
                </c:pt>
                <c:pt idx="111">
                  <c:v>9</c:v>
                </c:pt>
                <c:pt idx="112">
                  <c:v>9</c:v>
                </c:pt>
                <c:pt idx="113">
                  <c:v>9</c:v>
                </c:pt>
                <c:pt idx="114">
                  <c:v>9</c:v>
                </c:pt>
                <c:pt idx="115">
                  <c:v>9</c:v>
                </c:pt>
                <c:pt idx="116">
                  <c:v>9</c:v>
                </c:pt>
                <c:pt idx="117">
                  <c:v>9</c:v>
                </c:pt>
                <c:pt idx="118">
                  <c:v>9</c:v>
                </c:pt>
                <c:pt idx="119">
                  <c:v>10</c:v>
                </c:pt>
                <c:pt idx="120">
                  <c:v>10</c:v>
                </c:pt>
                <c:pt idx="121">
                  <c:v>10</c:v>
                </c:pt>
                <c:pt idx="122">
                  <c:v>10</c:v>
                </c:pt>
                <c:pt idx="123">
                  <c:v>10</c:v>
                </c:pt>
                <c:pt idx="124">
                  <c:v>10</c:v>
                </c:pt>
                <c:pt idx="125">
                  <c:v>10</c:v>
                </c:pt>
                <c:pt idx="126">
                  <c:v>10</c:v>
                </c:pt>
                <c:pt idx="127">
                  <c:v>10</c:v>
                </c:pt>
                <c:pt idx="128">
                  <c:v>10</c:v>
                </c:pt>
                <c:pt idx="129">
                  <c:v>10</c:v>
                </c:pt>
                <c:pt idx="130">
                  <c:v>10</c:v>
                </c:pt>
                <c:pt idx="131">
                  <c:v>11</c:v>
                </c:pt>
                <c:pt idx="132">
                  <c:v>11</c:v>
                </c:pt>
                <c:pt idx="133">
                  <c:v>11</c:v>
                </c:pt>
                <c:pt idx="134">
                  <c:v>11</c:v>
                </c:pt>
                <c:pt idx="135">
                  <c:v>11</c:v>
                </c:pt>
                <c:pt idx="136">
                  <c:v>11</c:v>
                </c:pt>
                <c:pt idx="137">
                  <c:v>11</c:v>
                </c:pt>
                <c:pt idx="138">
                  <c:v>11</c:v>
                </c:pt>
                <c:pt idx="139">
                  <c:v>11</c:v>
                </c:pt>
                <c:pt idx="140">
                  <c:v>11</c:v>
                </c:pt>
                <c:pt idx="141">
                  <c:v>11</c:v>
                </c:pt>
                <c:pt idx="142">
                  <c:v>11</c:v>
                </c:pt>
                <c:pt idx="143">
                  <c:v>12</c:v>
                </c:pt>
                <c:pt idx="144">
                  <c:v>12</c:v>
                </c:pt>
                <c:pt idx="145">
                  <c:v>12</c:v>
                </c:pt>
                <c:pt idx="146">
                  <c:v>12</c:v>
                </c:pt>
                <c:pt idx="147">
                  <c:v>12</c:v>
                </c:pt>
                <c:pt idx="148">
                  <c:v>12</c:v>
                </c:pt>
                <c:pt idx="149">
                  <c:v>12</c:v>
                </c:pt>
                <c:pt idx="150">
                  <c:v>12</c:v>
                </c:pt>
                <c:pt idx="151">
                  <c:v>12</c:v>
                </c:pt>
                <c:pt idx="152">
                  <c:v>12</c:v>
                </c:pt>
                <c:pt idx="153">
                  <c:v>12</c:v>
                </c:pt>
                <c:pt idx="154">
                  <c:v>12</c:v>
                </c:pt>
                <c:pt idx="155">
                  <c:v>13</c:v>
                </c:pt>
                <c:pt idx="156">
                  <c:v>13</c:v>
                </c:pt>
                <c:pt idx="157">
                  <c:v>13</c:v>
                </c:pt>
                <c:pt idx="158">
                  <c:v>13</c:v>
                </c:pt>
                <c:pt idx="159">
                  <c:v>13</c:v>
                </c:pt>
                <c:pt idx="160">
                  <c:v>13</c:v>
                </c:pt>
                <c:pt idx="161">
                  <c:v>13</c:v>
                </c:pt>
                <c:pt idx="162">
                  <c:v>13</c:v>
                </c:pt>
                <c:pt idx="163">
                  <c:v>13</c:v>
                </c:pt>
                <c:pt idx="164">
                  <c:v>13</c:v>
                </c:pt>
                <c:pt idx="165">
                  <c:v>13</c:v>
                </c:pt>
                <c:pt idx="166">
                  <c:v>13</c:v>
                </c:pt>
                <c:pt idx="167">
                  <c:v>14</c:v>
                </c:pt>
                <c:pt idx="168">
                  <c:v>14</c:v>
                </c:pt>
                <c:pt idx="169">
                  <c:v>14</c:v>
                </c:pt>
                <c:pt idx="170">
                  <c:v>14</c:v>
                </c:pt>
                <c:pt idx="171">
                  <c:v>14</c:v>
                </c:pt>
                <c:pt idx="172">
                  <c:v>14</c:v>
                </c:pt>
                <c:pt idx="173">
                  <c:v>14</c:v>
                </c:pt>
                <c:pt idx="174">
                  <c:v>14</c:v>
                </c:pt>
                <c:pt idx="175">
                  <c:v>14</c:v>
                </c:pt>
                <c:pt idx="176">
                  <c:v>14</c:v>
                </c:pt>
                <c:pt idx="177">
                  <c:v>14</c:v>
                </c:pt>
                <c:pt idx="178">
                  <c:v>14</c:v>
                </c:pt>
                <c:pt idx="179">
                  <c:v>15</c:v>
                </c:pt>
                <c:pt idx="180">
                  <c:v>15</c:v>
                </c:pt>
                <c:pt idx="181">
                  <c:v>15</c:v>
                </c:pt>
                <c:pt idx="182">
                  <c:v>15</c:v>
                </c:pt>
                <c:pt idx="183">
                  <c:v>15</c:v>
                </c:pt>
                <c:pt idx="184">
                  <c:v>15</c:v>
                </c:pt>
                <c:pt idx="185">
                  <c:v>15</c:v>
                </c:pt>
                <c:pt idx="186">
                  <c:v>15</c:v>
                </c:pt>
                <c:pt idx="187">
                  <c:v>15</c:v>
                </c:pt>
                <c:pt idx="188">
                  <c:v>15</c:v>
                </c:pt>
                <c:pt idx="189">
                  <c:v>15</c:v>
                </c:pt>
                <c:pt idx="190">
                  <c:v>15</c:v>
                </c:pt>
                <c:pt idx="191">
                  <c:v>16</c:v>
                </c:pt>
                <c:pt idx="192">
                  <c:v>16</c:v>
                </c:pt>
                <c:pt idx="193">
                  <c:v>16</c:v>
                </c:pt>
                <c:pt idx="194">
                  <c:v>16</c:v>
                </c:pt>
                <c:pt idx="195">
                  <c:v>16</c:v>
                </c:pt>
                <c:pt idx="196">
                  <c:v>16</c:v>
                </c:pt>
                <c:pt idx="197">
                  <c:v>16</c:v>
                </c:pt>
                <c:pt idx="198">
                  <c:v>16</c:v>
                </c:pt>
                <c:pt idx="199">
                  <c:v>16</c:v>
                </c:pt>
                <c:pt idx="200">
                  <c:v>16</c:v>
                </c:pt>
                <c:pt idx="201">
                  <c:v>16</c:v>
                </c:pt>
                <c:pt idx="202">
                  <c:v>16</c:v>
                </c:pt>
                <c:pt idx="203">
                  <c:v>17</c:v>
                </c:pt>
                <c:pt idx="204">
                  <c:v>17</c:v>
                </c:pt>
                <c:pt idx="205">
                  <c:v>17</c:v>
                </c:pt>
                <c:pt idx="206">
                  <c:v>17</c:v>
                </c:pt>
                <c:pt idx="207">
                  <c:v>17</c:v>
                </c:pt>
                <c:pt idx="208">
                  <c:v>17</c:v>
                </c:pt>
                <c:pt idx="209">
                  <c:v>17</c:v>
                </c:pt>
                <c:pt idx="210">
                  <c:v>17</c:v>
                </c:pt>
                <c:pt idx="211">
                  <c:v>17</c:v>
                </c:pt>
                <c:pt idx="212">
                  <c:v>17</c:v>
                </c:pt>
                <c:pt idx="213">
                  <c:v>17</c:v>
                </c:pt>
                <c:pt idx="214">
                  <c:v>17</c:v>
                </c:pt>
                <c:pt idx="215">
                  <c:v>18</c:v>
                </c:pt>
                <c:pt idx="216">
                  <c:v>18</c:v>
                </c:pt>
                <c:pt idx="217">
                  <c:v>18</c:v>
                </c:pt>
                <c:pt idx="218">
                  <c:v>18</c:v>
                </c:pt>
                <c:pt idx="219">
                  <c:v>18</c:v>
                </c:pt>
                <c:pt idx="220">
                  <c:v>18</c:v>
                </c:pt>
                <c:pt idx="221">
                  <c:v>18</c:v>
                </c:pt>
                <c:pt idx="222">
                  <c:v>18</c:v>
                </c:pt>
                <c:pt idx="223">
                  <c:v>18</c:v>
                </c:pt>
                <c:pt idx="224">
                  <c:v>18</c:v>
                </c:pt>
                <c:pt idx="225">
                  <c:v>18</c:v>
                </c:pt>
                <c:pt idx="226">
                  <c:v>18</c:v>
                </c:pt>
                <c:pt idx="227">
                  <c:v>19</c:v>
                </c:pt>
                <c:pt idx="228">
                  <c:v>19</c:v>
                </c:pt>
                <c:pt idx="229">
                  <c:v>19</c:v>
                </c:pt>
                <c:pt idx="230">
                  <c:v>19</c:v>
                </c:pt>
                <c:pt idx="231">
                  <c:v>19</c:v>
                </c:pt>
                <c:pt idx="232">
                  <c:v>19</c:v>
                </c:pt>
                <c:pt idx="233">
                  <c:v>19</c:v>
                </c:pt>
                <c:pt idx="234">
                  <c:v>19</c:v>
                </c:pt>
                <c:pt idx="235">
                  <c:v>19</c:v>
                </c:pt>
                <c:pt idx="236">
                  <c:v>19</c:v>
                </c:pt>
                <c:pt idx="237">
                  <c:v>19</c:v>
                </c:pt>
                <c:pt idx="238">
                  <c:v>19</c:v>
                </c:pt>
              </c:numCache>
            </c:numRef>
          </c:cat>
          <c:val>
            <c:numRef>
              <c:f>Validity!$F$4:$F$242</c:f>
              <c:numCache>
                <c:formatCode>General</c:formatCode>
                <c:ptCount val="239"/>
                <c:pt idx="0">
                  <c:v>4570</c:v>
                </c:pt>
                <c:pt idx="1">
                  <c:v>4569</c:v>
                </c:pt>
                <c:pt idx="2">
                  <c:v>4572</c:v>
                </c:pt>
                <c:pt idx="3">
                  <c:v>4602</c:v>
                </c:pt>
                <c:pt idx="4">
                  <c:v>4608</c:v>
                </c:pt>
                <c:pt idx="5">
                  <c:v>4623</c:v>
                </c:pt>
                <c:pt idx="6">
                  <c:v>4587</c:v>
                </c:pt>
                <c:pt idx="7">
                  <c:v>4587</c:v>
                </c:pt>
                <c:pt idx="8">
                  <c:v>4564</c:v>
                </c:pt>
                <c:pt idx="9">
                  <c:v>4551</c:v>
                </c:pt>
                <c:pt idx="10">
                  <c:v>4565</c:v>
                </c:pt>
                <c:pt idx="11">
                  <c:v>4581</c:v>
                </c:pt>
                <c:pt idx="12">
                  <c:v>4581</c:v>
                </c:pt>
                <c:pt idx="13">
                  <c:v>4567</c:v>
                </c:pt>
                <c:pt idx="14">
                  <c:v>4541</c:v>
                </c:pt>
                <c:pt idx="15">
                  <c:v>4529</c:v>
                </c:pt>
                <c:pt idx="16">
                  <c:v>4483</c:v>
                </c:pt>
                <c:pt idx="17">
                  <c:v>4477</c:v>
                </c:pt>
                <c:pt idx="18">
                  <c:v>4459</c:v>
                </c:pt>
                <c:pt idx="19">
                  <c:v>4457</c:v>
                </c:pt>
                <c:pt idx="20">
                  <c:v>4406</c:v>
                </c:pt>
                <c:pt idx="21">
                  <c:v>4379</c:v>
                </c:pt>
                <c:pt idx="22">
                  <c:v>4391</c:v>
                </c:pt>
                <c:pt idx="23">
                  <c:v>4346</c:v>
                </c:pt>
                <c:pt idx="24">
                  <c:v>4339</c:v>
                </c:pt>
                <c:pt idx="25">
                  <c:v>4317</c:v>
                </c:pt>
                <c:pt idx="26">
                  <c:v>4288</c:v>
                </c:pt>
                <c:pt idx="27">
                  <c:v>4249</c:v>
                </c:pt>
                <c:pt idx="28">
                  <c:v>4255</c:v>
                </c:pt>
                <c:pt idx="29">
                  <c:v>4267</c:v>
                </c:pt>
                <c:pt idx="30">
                  <c:v>4251</c:v>
                </c:pt>
                <c:pt idx="31">
                  <c:v>4229</c:v>
                </c:pt>
                <c:pt idx="32">
                  <c:v>4224</c:v>
                </c:pt>
                <c:pt idx="33">
                  <c:v>4198</c:v>
                </c:pt>
                <c:pt idx="34">
                  <c:v>4192</c:v>
                </c:pt>
                <c:pt idx="35">
                  <c:v>4174</c:v>
                </c:pt>
                <c:pt idx="36">
                  <c:v>4143</c:v>
                </c:pt>
                <c:pt idx="37">
                  <c:v>4138</c:v>
                </c:pt>
                <c:pt idx="38">
                  <c:v>4152</c:v>
                </c:pt>
                <c:pt idx="39">
                  <c:v>4148</c:v>
                </c:pt>
                <c:pt idx="40">
                  <c:v>4132</c:v>
                </c:pt>
                <c:pt idx="41">
                  <c:v>4162</c:v>
                </c:pt>
                <c:pt idx="42">
                  <c:v>4157</c:v>
                </c:pt>
                <c:pt idx="43">
                  <c:v>4137</c:v>
                </c:pt>
                <c:pt idx="44">
                  <c:v>4114</c:v>
                </c:pt>
                <c:pt idx="45">
                  <c:v>4110</c:v>
                </c:pt>
                <c:pt idx="46">
                  <c:v>4123</c:v>
                </c:pt>
                <c:pt idx="47">
                  <c:v>4120</c:v>
                </c:pt>
                <c:pt idx="48">
                  <c:v>4102</c:v>
                </c:pt>
                <c:pt idx="49">
                  <c:v>4074</c:v>
                </c:pt>
                <c:pt idx="50">
                  <c:v>4051</c:v>
                </c:pt>
                <c:pt idx="51">
                  <c:v>4058</c:v>
                </c:pt>
                <c:pt idx="52">
                  <c:v>4086</c:v>
                </c:pt>
                <c:pt idx="53">
                  <c:v>4071</c:v>
                </c:pt>
                <c:pt idx="54">
                  <c:v>4074</c:v>
                </c:pt>
                <c:pt idx="55">
                  <c:v>4088</c:v>
                </c:pt>
                <c:pt idx="56">
                  <c:v>4096</c:v>
                </c:pt>
                <c:pt idx="57">
                  <c:v>4081</c:v>
                </c:pt>
                <c:pt idx="58">
                  <c:v>4049</c:v>
                </c:pt>
                <c:pt idx="59">
                  <c:v>4037</c:v>
                </c:pt>
                <c:pt idx="60">
                  <c:v>4004</c:v>
                </c:pt>
                <c:pt idx="61">
                  <c:v>4009</c:v>
                </c:pt>
                <c:pt idx="62">
                  <c:v>4019</c:v>
                </c:pt>
                <c:pt idx="63">
                  <c:v>4026</c:v>
                </c:pt>
                <c:pt idx="64">
                  <c:v>4034</c:v>
                </c:pt>
                <c:pt idx="65">
                  <c:v>3989</c:v>
                </c:pt>
                <c:pt idx="66">
                  <c:v>3944</c:v>
                </c:pt>
                <c:pt idx="67">
                  <c:v>3951</c:v>
                </c:pt>
                <c:pt idx="68">
                  <c:v>3928</c:v>
                </c:pt>
                <c:pt idx="69">
                  <c:v>3890</c:v>
                </c:pt>
                <c:pt idx="70">
                  <c:v>3903</c:v>
                </c:pt>
                <c:pt idx="71">
                  <c:v>3913</c:v>
                </c:pt>
                <c:pt idx="72">
                  <c:v>3902</c:v>
                </c:pt>
                <c:pt idx="73">
                  <c:v>3923</c:v>
                </c:pt>
                <c:pt idx="74">
                  <c:v>3916</c:v>
                </c:pt>
                <c:pt idx="75">
                  <c:v>3950</c:v>
                </c:pt>
                <c:pt idx="76">
                  <c:v>3905</c:v>
                </c:pt>
                <c:pt idx="77">
                  <c:v>3880</c:v>
                </c:pt>
                <c:pt idx="78">
                  <c:v>3851</c:v>
                </c:pt>
                <c:pt idx="79">
                  <c:v>3801</c:v>
                </c:pt>
                <c:pt idx="80">
                  <c:v>3801</c:v>
                </c:pt>
                <c:pt idx="81">
                  <c:v>3814</c:v>
                </c:pt>
                <c:pt idx="82">
                  <c:v>3848</c:v>
                </c:pt>
                <c:pt idx="83">
                  <c:v>3856</c:v>
                </c:pt>
                <c:pt idx="84">
                  <c:v>3882</c:v>
                </c:pt>
                <c:pt idx="85">
                  <c:v>3889</c:v>
                </c:pt>
                <c:pt idx="86">
                  <c:v>3915</c:v>
                </c:pt>
                <c:pt idx="87">
                  <c:v>3923</c:v>
                </c:pt>
                <c:pt idx="88">
                  <c:v>3913</c:v>
                </c:pt>
                <c:pt idx="89">
                  <c:v>3921</c:v>
                </c:pt>
                <c:pt idx="90">
                  <c:v>3908</c:v>
                </c:pt>
                <c:pt idx="91">
                  <c:v>3893</c:v>
                </c:pt>
                <c:pt idx="92">
                  <c:v>3903</c:v>
                </c:pt>
                <c:pt idx="93">
                  <c:v>3869</c:v>
                </c:pt>
                <c:pt idx="94">
                  <c:v>3835</c:v>
                </c:pt>
                <c:pt idx="95">
                  <c:v>3837</c:v>
                </c:pt>
                <c:pt idx="96">
                  <c:v>3819</c:v>
                </c:pt>
                <c:pt idx="97">
                  <c:v>3798</c:v>
                </c:pt>
                <c:pt idx="98">
                  <c:v>3792</c:v>
                </c:pt>
                <c:pt idx="99">
                  <c:v>3809</c:v>
                </c:pt>
                <c:pt idx="100">
                  <c:v>3780</c:v>
                </c:pt>
                <c:pt idx="101">
                  <c:v>3721</c:v>
                </c:pt>
                <c:pt idx="102">
                  <c:v>3713</c:v>
                </c:pt>
                <c:pt idx="103">
                  <c:v>3712</c:v>
                </c:pt>
                <c:pt idx="104">
                  <c:v>3710</c:v>
                </c:pt>
                <c:pt idx="105">
                  <c:v>3718</c:v>
                </c:pt>
                <c:pt idx="106">
                  <c:v>3698</c:v>
                </c:pt>
                <c:pt idx="107">
                  <c:v>3703</c:v>
                </c:pt>
                <c:pt idx="108">
                  <c:v>3715</c:v>
                </c:pt>
                <c:pt idx="109">
                  <c:v>3718</c:v>
                </c:pt>
                <c:pt idx="110">
                  <c:v>3689</c:v>
                </c:pt>
                <c:pt idx="111">
                  <c:v>3686</c:v>
                </c:pt>
                <c:pt idx="112">
                  <c:v>3708</c:v>
                </c:pt>
                <c:pt idx="113">
                  <c:v>3699</c:v>
                </c:pt>
                <c:pt idx="114">
                  <c:v>3694</c:v>
                </c:pt>
                <c:pt idx="115">
                  <c:v>3675</c:v>
                </c:pt>
                <c:pt idx="116">
                  <c:v>3688</c:v>
                </c:pt>
                <c:pt idx="117">
                  <c:v>3680</c:v>
                </c:pt>
                <c:pt idx="118">
                  <c:v>3653</c:v>
                </c:pt>
                <c:pt idx="119">
                  <c:v>3653</c:v>
                </c:pt>
                <c:pt idx="120">
                  <c:v>3643</c:v>
                </c:pt>
                <c:pt idx="121">
                  <c:v>3632</c:v>
                </c:pt>
                <c:pt idx="122">
                  <c:v>3622</c:v>
                </c:pt>
                <c:pt idx="123">
                  <c:v>3625</c:v>
                </c:pt>
                <c:pt idx="124">
                  <c:v>3628</c:v>
                </c:pt>
                <c:pt idx="125">
                  <c:v>3614</c:v>
                </c:pt>
                <c:pt idx="126">
                  <c:v>3574</c:v>
                </c:pt>
                <c:pt idx="127">
                  <c:v>3573</c:v>
                </c:pt>
                <c:pt idx="128">
                  <c:v>3547</c:v>
                </c:pt>
                <c:pt idx="129">
                  <c:v>3531</c:v>
                </c:pt>
                <c:pt idx="130">
                  <c:v>3543</c:v>
                </c:pt>
                <c:pt idx="131">
                  <c:v>3538</c:v>
                </c:pt>
                <c:pt idx="132">
                  <c:v>3520</c:v>
                </c:pt>
                <c:pt idx="133">
                  <c:v>3513</c:v>
                </c:pt>
                <c:pt idx="134">
                  <c:v>3493</c:v>
                </c:pt>
                <c:pt idx="135">
                  <c:v>3490</c:v>
                </c:pt>
                <c:pt idx="136">
                  <c:v>3497</c:v>
                </c:pt>
                <c:pt idx="137">
                  <c:v>3487</c:v>
                </c:pt>
                <c:pt idx="138">
                  <c:v>3481</c:v>
                </c:pt>
                <c:pt idx="139">
                  <c:v>3473</c:v>
                </c:pt>
                <c:pt idx="140">
                  <c:v>3440</c:v>
                </c:pt>
                <c:pt idx="141">
                  <c:v>3423</c:v>
                </c:pt>
                <c:pt idx="142">
                  <c:v>3415</c:v>
                </c:pt>
                <c:pt idx="143">
                  <c:v>3396</c:v>
                </c:pt>
                <c:pt idx="144">
                  <c:v>3362</c:v>
                </c:pt>
                <c:pt idx="145">
                  <c:v>3374</c:v>
                </c:pt>
                <c:pt idx="146">
                  <c:v>3379</c:v>
                </c:pt>
                <c:pt idx="147">
                  <c:v>3373</c:v>
                </c:pt>
                <c:pt idx="148">
                  <c:v>3374</c:v>
                </c:pt>
                <c:pt idx="149">
                  <c:v>3351</c:v>
                </c:pt>
                <c:pt idx="150">
                  <c:v>3335</c:v>
                </c:pt>
                <c:pt idx="151">
                  <c:v>3306</c:v>
                </c:pt>
                <c:pt idx="152">
                  <c:v>3301</c:v>
                </c:pt>
                <c:pt idx="153">
                  <c:v>3317</c:v>
                </c:pt>
                <c:pt idx="154">
                  <c:v>3299</c:v>
                </c:pt>
                <c:pt idx="155">
                  <c:v>3304</c:v>
                </c:pt>
                <c:pt idx="156">
                  <c:v>3285</c:v>
                </c:pt>
                <c:pt idx="157">
                  <c:v>3291</c:v>
                </c:pt>
                <c:pt idx="158">
                  <c:v>3270</c:v>
                </c:pt>
                <c:pt idx="159">
                  <c:v>3274</c:v>
                </c:pt>
                <c:pt idx="160">
                  <c:v>3277</c:v>
                </c:pt>
                <c:pt idx="161">
                  <c:v>3288</c:v>
                </c:pt>
                <c:pt idx="162">
                  <c:v>3292</c:v>
                </c:pt>
                <c:pt idx="163">
                  <c:v>3305</c:v>
                </c:pt>
                <c:pt idx="164">
                  <c:v>3305</c:v>
                </c:pt>
                <c:pt idx="165">
                  <c:v>3323</c:v>
                </c:pt>
                <c:pt idx="166">
                  <c:v>3316</c:v>
                </c:pt>
                <c:pt idx="167">
                  <c:v>3298</c:v>
                </c:pt>
                <c:pt idx="168">
                  <c:v>3285</c:v>
                </c:pt>
                <c:pt idx="169">
                  <c:v>3260</c:v>
                </c:pt>
                <c:pt idx="170">
                  <c:v>3261</c:v>
                </c:pt>
                <c:pt idx="171">
                  <c:v>3242</c:v>
                </c:pt>
                <c:pt idx="172">
                  <c:v>3208</c:v>
                </c:pt>
                <c:pt idx="173">
                  <c:v>3219</c:v>
                </c:pt>
                <c:pt idx="174">
                  <c:v>3223</c:v>
                </c:pt>
                <c:pt idx="175">
                  <c:v>3207</c:v>
                </c:pt>
                <c:pt idx="176">
                  <c:v>3218</c:v>
                </c:pt>
                <c:pt idx="177">
                  <c:v>3204</c:v>
                </c:pt>
                <c:pt idx="178">
                  <c:v>3195</c:v>
                </c:pt>
                <c:pt idx="179">
                  <c:v>3193</c:v>
                </c:pt>
                <c:pt idx="180">
                  <c:v>3182</c:v>
                </c:pt>
                <c:pt idx="181">
                  <c:v>3210</c:v>
                </c:pt>
                <c:pt idx="182">
                  <c:v>3204</c:v>
                </c:pt>
                <c:pt idx="183">
                  <c:v>3219</c:v>
                </c:pt>
                <c:pt idx="184">
                  <c:v>3196</c:v>
                </c:pt>
                <c:pt idx="185">
                  <c:v>3181</c:v>
                </c:pt>
                <c:pt idx="186">
                  <c:v>3193</c:v>
                </c:pt>
                <c:pt idx="187">
                  <c:v>3200</c:v>
                </c:pt>
                <c:pt idx="188">
                  <c:v>3212</c:v>
                </c:pt>
                <c:pt idx="189">
                  <c:v>3221</c:v>
                </c:pt>
                <c:pt idx="190">
                  <c:v>3233</c:v>
                </c:pt>
                <c:pt idx="191">
                  <c:v>3215</c:v>
                </c:pt>
                <c:pt idx="192">
                  <c:v>3215</c:v>
                </c:pt>
                <c:pt idx="193">
                  <c:v>3215</c:v>
                </c:pt>
                <c:pt idx="194">
                  <c:v>3233</c:v>
                </c:pt>
                <c:pt idx="195">
                  <c:v>3228</c:v>
                </c:pt>
                <c:pt idx="196">
                  <c:v>3227</c:v>
                </c:pt>
                <c:pt idx="197">
                  <c:v>3235</c:v>
                </c:pt>
                <c:pt idx="198">
                  <c:v>3221</c:v>
                </c:pt>
                <c:pt idx="199">
                  <c:v>3237</c:v>
                </c:pt>
                <c:pt idx="200">
                  <c:v>3243</c:v>
                </c:pt>
                <c:pt idx="201">
                  <c:v>3225</c:v>
                </c:pt>
                <c:pt idx="202">
                  <c:v>3237</c:v>
                </c:pt>
                <c:pt idx="203">
                  <c:v>3229</c:v>
                </c:pt>
                <c:pt idx="204">
                  <c:v>3191</c:v>
                </c:pt>
                <c:pt idx="205">
                  <c:v>3183</c:v>
                </c:pt>
                <c:pt idx="206">
                  <c:v>3160</c:v>
                </c:pt>
                <c:pt idx="207">
                  <c:v>3170</c:v>
                </c:pt>
                <c:pt idx="208">
                  <c:v>3178</c:v>
                </c:pt>
                <c:pt idx="209">
                  <c:v>3174</c:v>
                </c:pt>
                <c:pt idx="210">
                  <c:v>3154</c:v>
                </c:pt>
                <c:pt idx="211">
                  <c:v>3148</c:v>
                </c:pt>
                <c:pt idx="212">
                  <c:v>3129</c:v>
                </c:pt>
                <c:pt idx="213">
                  <c:v>3149</c:v>
                </c:pt>
                <c:pt idx="214">
                  <c:v>3159</c:v>
                </c:pt>
                <c:pt idx="215">
                  <c:v>3176</c:v>
                </c:pt>
                <c:pt idx="216">
                  <c:v>3188</c:v>
                </c:pt>
                <c:pt idx="217">
                  <c:v>3186</c:v>
                </c:pt>
                <c:pt idx="218">
                  <c:v>3192</c:v>
                </c:pt>
                <c:pt idx="219">
                  <c:v>3192</c:v>
                </c:pt>
                <c:pt idx="220">
                  <c:v>3159</c:v>
                </c:pt>
                <c:pt idx="221">
                  <c:v>3154</c:v>
                </c:pt>
                <c:pt idx="222">
                  <c:v>3154</c:v>
                </c:pt>
                <c:pt idx="223">
                  <c:v>3138</c:v>
                </c:pt>
                <c:pt idx="224">
                  <c:v>3155</c:v>
                </c:pt>
                <c:pt idx="225">
                  <c:v>3140</c:v>
                </c:pt>
                <c:pt idx="226">
                  <c:v>3135</c:v>
                </c:pt>
                <c:pt idx="227">
                  <c:v>3139</c:v>
                </c:pt>
                <c:pt idx="228">
                  <c:v>3134</c:v>
                </c:pt>
                <c:pt idx="229">
                  <c:v>3139</c:v>
                </c:pt>
                <c:pt idx="230">
                  <c:v>3154</c:v>
                </c:pt>
                <c:pt idx="231">
                  <c:v>3158</c:v>
                </c:pt>
                <c:pt idx="232">
                  <c:v>3179</c:v>
                </c:pt>
                <c:pt idx="233">
                  <c:v>3165</c:v>
                </c:pt>
                <c:pt idx="234">
                  <c:v>3153</c:v>
                </c:pt>
                <c:pt idx="235">
                  <c:v>3159</c:v>
                </c:pt>
                <c:pt idx="236">
                  <c:v>3172</c:v>
                </c:pt>
                <c:pt idx="237">
                  <c:v>3157</c:v>
                </c:pt>
                <c:pt idx="238">
                  <c:v>3190</c:v>
                </c:pt>
              </c:numCache>
            </c:numRef>
          </c:val>
          <c:extLst xmlns:c16r2="http://schemas.microsoft.com/office/drawing/2015/06/chart">
            <c:ext xmlns:c16="http://schemas.microsoft.com/office/drawing/2014/chart" uri="{C3380CC4-5D6E-409C-BE32-E72D297353CC}">
              <c16:uniqueId val="{00000002-97B5-42CF-8AEE-E48FCD6A34E7}"/>
            </c:ext>
          </c:extLst>
        </c:ser>
        <c:ser>
          <c:idx val="5"/>
          <c:order val="3"/>
          <c:tx>
            <c:strRef>
              <c:f>Validity!$G$2</c:f>
              <c:strCache>
                <c:ptCount val="1"/>
                <c:pt idx="0">
                  <c:v>Stage 3</c:v>
                </c:pt>
              </c:strCache>
            </c:strRef>
          </c:tx>
          <c:spPr>
            <a:solidFill>
              <a:schemeClr val="accent6"/>
            </a:solidFill>
            <a:ln>
              <a:noFill/>
            </a:ln>
            <a:effectLst/>
          </c:spPr>
          <c:cat>
            <c:numRef>
              <c:f>Validity!$A$4:$A$242</c:f>
              <c:numCache>
                <c:formatCode>General</c:formatCode>
                <c:ptCount val="239"/>
                <c:pt idx="0">
                  <c:v>0</c:v>
                </c:pt>
                <c:pt idx="1">
                  <c:v>0</c:v>
                </c:pt>
                <c:pt idx="2">
                  <c:v>0</c:v>
                </c:pt>
                <c:pt idx="3">
                  <c:v>0</c:v>
                </c:pt>
                <c:pt idx="4">
                  <c:v>0</c:v>
                </c:pt>
                <c:pt idx="5">
                  <c:v>0</c:v>
                </c:pt>
                <c:pt idx="6">
                  <c:v>0</c:v>
                </c:pt>
                <c:pt idx="7">
                  <c:v>0</c:v>
                </c:pt>
                <c:pt idx="8">
                  <c:v>0</c:v>
                </c:pt>
                <c:pt idx="9">
                  <c:v>0</c:v>
                </c:pt>
                <c:pt idx="10">
                  <c:v>0</c:v>
                </c:pt>
                <c:pt idx="11">
                  <c:v>1</c:v>
                </c:pt>
                <c:pt idx="12">
                  <c:v>1</c:v>
                </c:pt>
                <c:pt idx="13">
                  <c:v>1</c:v>
                </c:pt>
                <c:pt idx="14">
                  <c:v>1</c:v>
                </c:pt>
                <c:pt idx="15">
                  <c:v>1</c:v>
                </c:pt>
                <c:pt idx="16">
                  <c:v>1</c:v>
                </c:pt>
                <c:pt idx="17">
                  <c:v>1</c:v>
                </c:pt>
                <c:pt idx="18">
                  <c:v>1</c:v>
                </c:pt>
                <c:pt idx="19">
                  <c:v>1</c:v>
                </c:pt>
                <c:pt idx="20">
                  <c:v>1</c:v>
                </c:pt>
                <c:pt idx="21">
                  <c:v>1</c:v>
                </c:pt>
                <c:pt idx="22">
                  <c:v>1</c:v>
                </c:pt>
                <c:pt idx="23">
                  <c:v>2</c:v>
                </c:pt>
                <c:pt idx="24">
                  <c:v>2</c:v>
                </c:pt>
                <c:pt idx="25">
                  <c:v>2</c:v>
                </c:pt>
                <c:pt idx="26">
                  <c:v>2</c:v>
                </c:pt>
                <c:pt idx="27">
                  <c:v>2</c:v>
                </c:pt>
                <c:pt idx="28">
                  <c:v>2</c:v>
                </c:pt>
                <c:pt idx="29">
                  <c:v>2</c:v>
                </c:pt>
                <c:pt idx="30">
                  <c:v>2</c:v>
                </c:pt>
                <c:pt idx="31">
                  <c:v>2</c:v>
                </c:pt>
                <c:pt idx="32">
                  <c:v>2</c:v>
                </c:pt>
                <c:pt idx="33">
                  <c:v>2</c:v>
                </c:pt>
                <c:pt idx="34">
                  <c:v>2</c:v>
                </c:pt>
                <c:pt idx="35">
                  <c:v>3</c:v>
                </c:pt>
                <c:pt idx="36">
                  <c:v>3</c:v>
                </c:pt>
                <c:pt idx="37">
                  <c:v>3</c:v>
                </c:pt>
                <c:pt idx="38">
                  <c:v>3</c:v>
                </c:pt>
                <c:pt idx="39">
                  <c:v>3</c:v>
                </c:pt>
                <c:pt idx="40">
                  <c:v>3</c:v>
                </c:pt>
                <c:pt idx="41">
                  <c:v>3</c:v>
                </c:pt>
                <c:pt idx="42">
                  <c:v>3</c:v>
                </c:pt>
                <c:pt idx="43">
                  <c:v>3</c:v>
                </c:pt>
                <c:pt idx="44">
                  <c:v>3</c:v>
                </c:pt>
                <c:pt idx="45">
                  <c:v>3</c:v>
                </c:pt>
                <c:pt idx="46">
                  <c:v>3</c:v>
                </c:pt>
                <c:pt idx="47">
                  <c:v>4</c:v>
                </c:pt>
                <c:pt idx="48">
                  <c:v>4</c:v>
                </c:pt>
                <c:pt idx="49">
                  <c:v>4</c:v>
                </c:pt>
                <c:pt idx="50">
                  <c:v>4</c:v>
                </c:pt>
                <c:pt idx="51">
                  <c:v>4</c:v>
                </c:pt>
                <c:pt idx="52">
                  <c:v>4</c:v>
                </c:pt>
                <c:pt idx="53">
                  <c:v>4</c:v>
                </c:pt>
                <c:pt idx="54">
                  <c:v>4</c:v>
                </c:pt>
                <c:pt idx="55">
                  <c:v>4</c:v>
                </c:pt>
                <c:pt idx="56">
                  <c:v>4</c:v>
                </c:pt>
                <c:pt idx="57">
                  <c:v>4</c:v>
                </c:pt>
                <c:pt idx="58">
                  <c:v>4</c:v>
                </c:pt>
                <c:pt idx="59">
                  <c:v>5</c:v>
                </c:pt>
                <c:pt idx="60">
                  <c:v>5</c:v>
                </c:pt>
                <c:pt idx="61">
                  <c:v>5</c:v>
                </c:pt>
                <c:pt idx="62">
                  <c:v>5</c:v>
                </c:pt>
                <c:pt idx="63">
                  <c:v>5</c:v>
                </c:pt>
                <c:pt idx="64">
                  <c:v>5</c:v>
                </c:pt>
                <c:pt idx="65">
                  <c:v>5</c:v>
                </c:pt>
                <c:pt idx="66">
                  <c:v>5</c:v>
                </c:pt>
                <c:pt idx="67">
                  <c:v>5</c:v>
                </c:pt>
                <c:pt idx="68">
                  <c:v>5</c:v>
                </c:pt>
                <c:pt idx="69">
                  <c:v>5</c:v>
                </c:pt>
                <c:pt idx="70">
                  <c:v>5</c:v>
                </c:pt>
                <c:pt idx="71">
                  <c:v>6</c:v>
                </c:pt>
                <c:pt idx="72">
                  <c:v>6</c:v>
                </c:pt>
                <c:pt idx="73">
                  <c:v>6</c:v>
                </c:pt>
                <c:pt idx="74">
                  <c:v>6</c:v>
                </c:pt>
                <c:pt idx="75">
                  <c:v>6</c:v>
                </c:pt>
                <c:pt idx="76">
                  <c:v>6</c:v>
                </c:pt>
                <c:pt idx="77">
                  <c:v>6</c:v>
                </c:pt>
                <c:pt idx="78">
                  <c:v>6</c:v>
                </c:pt>
                <c:pt idx="79">
                  <c:v>6</c:v>
                </c:pt>
                <c:pt idx="80">
                  <c:v>6</c:v>
                </c:pt>
                <c:pt idx="81">
                  <c:v>6</c:v>
                </c:pt>
                <c:pt idx="82">
                  <c:v>6</c:v>
                </c:pt>
                <c:pt idx="83">
                  <c:v>7</c:v>
                </c:pt>
                <c:pt idx="84">
                  <c:v>7</c:v>
                </c:pt>
                <c:pt idx="85">
                  <c:v>7</c:v>
                </c:pt>
                <c:pt idx="86">
                  <c:v>7</c:v>
                </c:pt>
                <c:pt idx="87">
                  <c:v>7</c:v>
                </c:pt>
                <c:pt idx="88">
                  <c:v>7</c:v>
                </c:pt>
                <c:pt idx="89">
                  <c:v>7</c:v>
                </c:pt>
                <c:pt idx="90">
                  <c:v>7</c:v>
                </c:pt>
                <c:pt idx="91">
                  <c:v>7</c:v>
                </c:pt>
                <c:pt idx="92">
                  <c:v>7</c:v>
                </c:pt>
                <c:pt idx="93">
                  <c:v>7</c:v>
                </c:pt>
                <c:pt idx="94">
                  <c:v>7</c:v>
                </c:pt>
                <c:pt idx="95">
                  <c:v>8</c:v>
                </c:pt>
                <c:pt idx="96">
                  <c:v>8</c:v>
                </c:pt>
                <c:pt idx="97">
                  <c:v>8</c:v>
                </c:pt>
                <c:pt idx="98">
                  <c:v>8</c:v>
                </c:pt>
                <c:pt idx="99">
                  <c:v>8</c:v>
                </c:pt>
                <c:pt idx="100">
                  <c:v>8</c:v>
                </c:pt>
                <c:pt idx="101">
                  <c:v>8</c:v>
                </c:pt>
                <c:pt idx="102">
                  <c:v>8</c:v>
                </c:pt>
                <c:pt idx="103">
                  <c:v>8</c:v>
                </c:pt>
                <c:pt idx="104">
                  <c:v>8</c:v>
                </c:pt>
                <c:pt idx="105">
                  <c:v>8</c:v>
                </c:pt>
                <c:pt idx="106">
                  <c:v>8</c:v>
                </c:pt>
                <c:pt idx="107">
                  <c:v>9</c:v>
                </c:pt>
                <c:pt idx="108">
                  <c:v>9</c:v>
                </c:pt>
                <c:pt idx="109">
                  <c:v>9</c:v>
                </c:pt>
                <c:pt idx="110">
                  <c:v>9</c:v>
                </c:pt>
                <c:pt idx="111">
                  <c:v>9</c:v>
                </c:pt>
                <c:pt idx="112">
                  <c:v>9</c:v>
                </c:pt>
                <c:pt idx="113">
                  <c:v>9</c:v>
                </c:pt>
                <c:pt idx="114">
                  <c:v>9</c:v>
                </c:pt>
                <c:pt idx="115">
                  <c:v>9</c:v>
                </c:pt>
                <c:pt idx="116">
                  <c:v>9</c:v>
                </c:pt>
                <c:pt idx="117">
                  <c:v>9</c:v>
                </c:pt>
                <c:pt idx="118">
                  <c:v>9</c:v>
                </c:pt>
                <c:pt idx="119">
                  <c:v>10</c:v>
                </c:pt>
                <c:pt idx="120">
                  <c:v>10</c:v>
                </c:pt>
                <c:pt idx="121">
                  <c:v>10</c:v>
                </c:pt>
                <c:pt idx="122">
                  <c:v>10</c:v>
                </c:pt>
                <c:pt idx="123">
                  <c:v>10</c:v>
                </c:pt>
                <c:pt idx="124">
                  <c:v>10</c:v>
                </c:pt>
                <c:pt idx="125">
                  <c:v>10</c:v>
                </c:pt>
                <c:pt idx="126">
                  <c:v>10</c:v>
                </c:pt>
                <c:pt idx="127">
                  <c:v>10</c:v>
                </c:pt>
                <c:pt idx="128">
                  <c:v>10</c:v>
                </c:pt>
                <c:pt idx="129">
                  <c:v>10</c:v>
                </c:pt>
                <c:pt idx="130">
                  <c:v>10</c:v>
                </c:pt>
                <c:pt idx="131">
                  <c:v>11</c:v>
                </c:pt>
                <c:pt idx="132">
                  <c:v>11</c:v>
                </c:pt>
                <c:pt idx="133">
                  <c:v>11</c:v>
                </c:pt>
                <c:pt idx="134">
                  <c:v>11</c:v>
                </c:pt>
                <c:pt idx="135">
                  <c:v>11</c:v>
                </c:pt>
                <c:pt idx="136">
                  <c:v>11</c:v>
                </c:pt>
                <c:pt idx="137">
                  <c:v>11</c:v>
                </c:pt>
                <c:pt idx="138">
                  <c:v>11</c:v>
                </c:pt>
                <c:pt idx="139">
                  <c:v>11</c:v>
                </c:pt>
                <c:pt idx="140">
                  <c:v>11</c:v>
                </c:pt>
                <c:pt idx="141">
                  <c:v>11</c:v>
                </c:pt>
                <c:pt idx="142">
                  <c:v>11</c:v>
                </c:pt>
                <c:pt idx="143">
                  <c:v>12</c:v>
                </c:pt>
                <c:pt idx="144">
                  <c:v>12</c:v>
                </c:pt>
                <c:pt idx="145">
                  <c:v>12</c:v>
                </c:pt>
                <c:pt idx="146">
                  <c:v>12</c:v>
                </c:pt>
                <c:pt idx="147">
                  <c:v>12</c:v>
                </c:pt>
                <c:pt idx="148">
                  <c:v>12</c:v>
                </c:pt>
                <c:pt idx="149">
                  <c:v>12</c:v>
                </c:pt>
                <c:pt idx="150">
                  <c:v>12</c:v>
                </c:pt>
                <c:pt idx="151">
                  <c:v>12</c:v>
                </c:pt>
                <c:pt idx="152">
                  <c:v>12</c:v>
                </c:pt>
                <c:pt idx="153">
                  <c:v>12</c:v>
                </c:pt>
                <c:pt idx="154">
                  <c:v>12</c:v>
                </c:pt>
                <c:pt idx="155">
                  <c:v>13</c:v>
                </c:pt>
                <c:pt idx="156">
                  <c:v>13</c:v>
                </c:pt>
                <c:pt idx="157">
                  <c:v>13</c:v>
                </c:pt>
                <c:pt idx="158">
                  <c:v>13</c:v>
                </c:pt>
                <c:pt idx="159">
                  <c:v>13</c:v>
                </c:pt>
                <c:pt idx="160">
                  <c:v>13</c:v>
                </c:pt>
                <c:pt idx="161">
                  <c:v>13</c:v>
                </c:pt>
                <c:pt idx="162">
                  <c:v>13</c:v>
                </c:pt>
                <c:pt idx="163">
                  <c:v>13</c:v>
                </c:pt>
                <c:pt idx="164">
                  <c:v>13</c:v>
                </c:pt>
                <c:pt idx="165">
                  <c:v>13</c:v>
                </c:pt>
                <c:pt idx="166">
                  <c:v>13</c:v>
                </c:pt>
                <c:pt idx="167">
                  <c:v>14</c:v>
                </c:pt>
                <c:pt idx="168">
                  <c:v>14</c:v>
                </c:pt>
                <c:pt idx="169">
                  <c:v>14</c:v>
                </c:pt>
                <c:pt idx="170">
                  <c:v>14</c:v>
                </c:pt>
                <c:pt idx="171">
                  <c:v>14</c:v>
                </c:pt>
                <c:pt idx="172">
                  <c:v>14</c:v>
                </c:pt>
                <c:pt idx="173">
                  <c:v>14</c:v>
                </c:pt>
                <c:pt idx="174">
                  <c:v>14</c:v>
                </c:pt>
                <c:pt idx="175">
                  <c:v>14</c:v>
                </c:pt>
                <c:pt idx="176">
                  <c:v>14</c:v>
                </c:pt>
                <c:pt idx="177">
                  <c:v>14</c:v>
                </c:pt>
                <c:pt idx="178">
                  <c:v>14</c:v>
                </c:pt>
                <c:pt idx="179">
                  <c:v>15</c:v>
                </c:pt>
                <c:pt idx="180">
                  <c:v>15</c:v>
                </c:pt>
                <c:pt idx="181">
                  <c:v>15</c:v>
                </c:pt>
                <c:pt idx="182">
                  <c:v>15</c:v>
                </c:pt>
                <c:pt idx="183">
                  <c:v>15</c:v>
                </c:pt>
                <c:pt idx="184">
                  <c:v>15</c:v>
                </c:pt>
                <c:pt idx="185">
                  <c:v>15</c:v>
                </c:pt>
                <c:pt idx="186">
                  <c:v>15</c:v>
                </c:pt>
                <c:pt idx="187">
                  <c:v>15</c:v>
                </c:pt>
                <c:pt idx="188">
                  <c:v>15</c:v>
                </c:pt>
                <c:pt idx="189">
                  <c:v>15</c:v>
                </c:pt>
                <c:pt idx="190">
                  <c:v>15</c:v>
                </c:pt>
                <c:pt idx="191">
                  <c:v>16</c:v>
                </c:pt>
                <c:pt idx="192">
                  <c:v>16</c:v>
                </c:pt>
                <c:pt idx="193">
                  <c:v>16</c:v>
                </c:pt>
                <c:pt idx="194">
                  <c:v>16</c:v>
                </c:pt>
                <c:pt idx="195">
                  <c:v>16</c:v>
                </c:pt>
                <c:pt idx="196">
                  <c:v>16</c:v>
                </c:pt>
                <c:pt idx="197">
                  <c:v>16</c:v>
                </c:pt>
                <c:pt idx="198">
                  <c:v>16</c:v>
                </c:pt>
                <c:pt idx="199">
                  <c:v>16</c:v>
                </c:pt>
                <c:pt idx="200">
                  <c:v>16</c:v>
                </c:pt>
                <c:pt idx="201">
                  <c:v>16</c:v>
                </c:pt>
                <c:pt idx="202">
                  <c:v>16</c:v>
                </c:pt>
                <c:pt idx="203">
                  <c:v>17</c:v>
                </c:pt>
                <c:pt idx="204">
                  <c:v>17</c:v>
                </c:pt>
                <c:pt idx="205">
                  <c:v>17</c:v>
                </c:pt>
                <c:pt idx="206">
                  <c:v>17</c:v>
                </c:pt>
                <c:pt idx="207">
                  <c:v>17</c:v>
                </c:pt>
                <c:pt idx="208">
                  <c:v>17</c:v>
                </c:pt>
                <c:pt idx="209">
                  <c:v>17</c:v>
                </c:pt>
                <c:pt idx="210">
                  <c:v>17</c:v>
                </c:pt>
                <c:pt idx="211">
                  <c:v>17</c:v>
                </c:pt>
                <c:pt idx="212">
                  <c:v>17</c:v>
                </c:pt>
                <c:pt idx="213">
                  <c:v>17</c:v>
                </c:pt>
                <c:pt idx="214">
                  <c:v>17</c:v>
                </c:pt>
                <c:pt idx="215">
                  <c:v>18</c:v>
                </c:pt>
                <c:pt idx="216">
                  <c:v>18</c:v>
                </c:pt>
                <c:pt idx="217">
                  <c:v>18</c:v>
                </c:pt>
                <c:pt idx="218">
                  <c:v>18</c:v>
                </c:pt>
                <c:pt idx="219">
                  <c:v>18</c:v>
                </c:pt>
                <c:pt idx="220">
                  <c:v>18</c:v>
                </c:pt>
                <c:pt idx="221">
                  <c:v>18</c:v>
                </c:pt>
                <c:pt idx="222">
                  <c:v>18</c:v>
                </c:pt>
                <c:pt idx="223">
                  <c:v>18</c:v>
                </c:pt>
                <c:pt idx="224">
                  <c:v>18</c:v>
                </c:pt>
                <c:pt idx="225">
                  <c:v>18</c:v>
                </c:pt>
                <c:pt idx="226">
                  <c:v>18</c:v>
                </c:pt>
                <c:pt idx="227">
                  <c:v>19</c:v>
                </c:pt>
                <c:pt idx="228">
                  <c:v>19</c:v>
                </c:pt>
                <c:pt idx="229">
                  <c:v>19</c:v>
                </c:pt>
                <c:pt idx="230">
                  <c:v>19</c:v>
                </c:pt>
                <c:pt idx="231">
                  <c:v>19</c:v>
                </c:pt>
                <c:pt idx="232">
                  <c:v>19</c:v>
                </c:pt>
                <c:pt idx="233">
                  <c:v>19</c:v>
                </c:pt>
                <c:pt idx="234">
                  <c:v>19</c:v>
                </c:pt>
                <c:pt idx="235">
                  <c:v>19</c:v>
                </c:pt>
                <c:pt idx="236">
                  <c:v>19</c:v>
                </c:pt>
                <c:pt idx="237">
                  <c:v>19</c:v>
                </c:pt>
                <c:pt idx="238">
                  <c:v>19</c:v>
                </c:pt>
              </c:numCache>
            </c:numRef>
          </c:cat>
          <c:val>
            <c:numRef>
              <c:f>Validity!$G$4:$G$242</c:f>
              <c:numCache>
                <c:formatCode>General</c:formatCode>
                <c:ptCount val="239"/>
                <c:pt idx="0">
                  <c:v>1795</c:v>
                </c:pt>
                <c:pt idx="1">
                  <c:v>1849</c:v>
                </c:pt>
                <c:pt idx="2">
                  <c:v>1919</c:v>
                </c:pt>
                <c:pt idx="3">
                  <c:v>1980</c:v>
                </c:pt>
                <c:pt idx="4">
                  <c:v>2048</c:v>
                </c:pt>
                <c:pt idx="5">
                  <c:v>2110</c:v>
                </c:pt>
                <c:pt idx="6">
                  <c:v>2187</c:v>
                </c:pt>
                <c:pt idx="7">
                  <c:v>2255</c:v>
                </c:pt>
                <c:pt idx="8">
                  <c:v>2344</c:v>
                </c:pt>
                <c:pt idx="9">
                  <c:v>2415</c:v>
                </c:pt>
                <c:pt idx="10">
                  <c:v>2481</c:v>
                </c:pt>
                <c:pt idx="11">
                  <c:v>2541</c:v>
                </c:pt>
                <c:pt idx="12">
                  <c:v>2597</c:v>
                </c:pt>
                <c:pt idx="13">
                  <c:v>2661</c:v>
                </c:pt>
                <c:pt idx="14">
                  <c:v>2738</c:v>
                </c:pt>
                <c:pt idx="15">
                  <c:v>2809</c:v>
                </c:pt>
                <c:pt idx="16">
                  <c:v>2885</c:v>
                </c:pt>
                <c:pt idx="17">
                  <c:v>2966</c:v>
                </c:pt>
                <c:pt idx="18">
                  <c:v>3044</c:v>
                </c:pt>
                <c:pt idx="19">
                  <c:v>3105</c:v>
                </c:pt>
                <c:pt idx="20">
                  <c:v>3194</c:v>
                </c:pt>
                <c:pt idx="21">
                  <c:v>3261</c:v>
                </c:pt>
                <c:pt idx="22">
                  <c:v>3314</c:v>
                </c:pt>
                <c:pt idx="23">
                  <c:v>3378</c:v>
                </c:pt>
                <c:pt idx="24">
                  <c:v>3456</c:v>
                </c:pt>
                <c:pt idx="25">
                  <c:v>3517</c:v>
                </c:pt>
                <c:pt idx="26">
                  <c:v>3595</c:v>
                </c:pt>
                <c:pt idx="27">
                  <c:v>3659</c:v>
                </c:pt>
                <c:pt idx="28">
                  <c:v>3711</c:v>
                </c:pt>
                <c:pt idx="29">
                  <c:v>3747</c:v>
                </c:pt>
                <c:pt idx="30">
                  <c:v>3813</c:v>
                </c:pt>
                <c:pt idx="31">
                  <c:v>3892</c:v>
                </c:pt>
                <c:pt idx="32">
                  <c:v>3943</c:v>
                </c:pt>
                <c:pt idx="33">
                  <c:v>4008</c:v>
                </c:pt>
                <c:pt idx="34">
                  <c:v>4078</c:v>
                </c:pt>
                <c:pt idx="35">
                  <c:v>4139</c:v>
                </c:pt>
                <c:pt idx="36">
                  <c:v>4206</c:v>
                </c:pt>
                <c:pt idx="37">
                  <c:v>4257</c:v>
                </c:pt>
                <c:pt idx="38">
                  <c:v>4305</c:v>
                </c:pt>
                <c:pt idx="39">
                  <c:v>4350</c:v>
                </c:pt>
                <c:pt idx="40">
                  <c:v>4402</c:v>
                </c:pt>
                <c:pt idx="41">
                  <c:v>4433</c:v>
                </c:pt>
                <c:pt idx="42">
                  <c:v>4476</c:v>
                </c:pt>
                <c:pt idx="43">
                  <c:v>4507</c:v>
                </c:pt>
                <c:pt idx="44">
                  <c:v>4568</c:v>
                </c:pt>
                <c:pt idx="45">
                  <c:v>4610</c:v>
                </c:pt>
                <c:pt idx="46">
                  <c:v>4630</c:v>
                </c:pt>
                <c:pt idx="47">
                  <c:v>4665</c:v>
                </c:pt>
                <c:pt idx="48">
                  <c:v>4704</c:v>
                </c:pt>
                <c:pt idx="49">
                  <c:v>4744</c:v>
                </c:pt>
                <c:pt idx="50">
                  <c:v>4786</c:v>
                </c:pt>
                <c:pt idx="51">
                  <c:v>4792</c:v>
                </c:pt>
                <c:pt idx="52">
                  <c:v>4805</c:v>
                </c:pt>
                <c:pt idx="53">
                  <c:v>4844</c:v>
                </c:pt>
                <c:pt idx="54">
                  <c:v>4848</c:v>
                </c:pt>
                <c:pt idx="55">
                  <c:v>4870</c:v>
                </c:pt>
                <c:pt idx="56">
                  <c:v>4893</c:v>
                </c:pt>
                <c:pt idx="57">
                  <c:v>4917</c:v>
                </c:pt>
                <c:pt idx="58">
                  <c:v>4968</c:v>
                </c:pt>
                <c:pt idx="59">
                  <c:v>4993</c:v>
                </c:pt>
                <c:pt idx="60">
                  <c:v>5016</c:v>
                </c:pt>
                <c:pt idx="61">
                  <c:v>5042</c:v>
                </c:pt>
                <c:pt idx="62">
                  <c:v>5062</c:v>
                </c:pt>
                <c:pt idx="63">
                  <c:v>5086</c:v>
                </c:pt>
                <c:pt idx="64">
                  <c:v>5116</c:v>
                </c:pt>
                <c:pt idx="65">
                  <c:v>5168</c:v>
                </c:pt>
                <c:pt idx="66">
                  <c:v>5216</c:v>
                </c:pt>
                <c:pt idx="67">
                  <c:v>5231</c:v>
                </c:pt>
                <c:pt idx="68">
                  <c:v>5255</c:v>
                </c:pt>
                <c:pt idx="69">
                  <c:v>5287</c:v>
                </c:pt>
                <c:pt idx="70">
                  <c:v>5275</c:v>
                </c:pt>
                <c:pt idx="71">
                  <c:v>5285</c:v>
                </c:pt>
                <c:pt idx="72">
                  <c:v>5308</c:v>
                </c:pt>
                <c:pt idx="73">
                  <c:v>5318</c:v>
                </c:pt>
                <c:pt idx="74">
                  <c:v>5345</c:v>
                </c:pt>
                <c:pt idx="75">
                  <c:v>5342</c:v>
                </c:pt>
                <c:pt idx="76">
                  <c:v>5367</c:v>
                </c:pt>
                <c:pt idx="77">
                  <c:v>5387</c:v>
                </c:pt>
                <c:pt idx="78">
                  <c:v>5413</c:v>
                </c:pt>
                <c:pt idx="79">
                  <c:v>5450</c:v>
                </c:pt>
                <c:pt idx="80">
                  <c:v>5447</c:v>
                </c:pt>
                <c:pt idx="81">
                  <c:v>5454</c:v>
                </c:pt>
                <c:pt idx="82">
                  <c:v>5455</c:v>
                </c:pt>
                <c:pt idx="83">
                  <c:v>5463</c:v>
                </c:pt>
                <c:pt idx="84">
                  <c:v>5462</c:v>
                </c:pt>
                <c:pt idx="85">
                  <c:v>5464</c:v>
                </c:pt>
                <c:pt idx="86">
                  <c:v>5452</c:v>
                </c:pt>
                <c:pt idx="87">
                  <c:v>5463</c:v>
                </c:pt>
                <c:pt idx="88">
                  <c:v>5463</c:v>
                </c:pt>
                <c:pt idx="89">
                  <c:v>5446</c:v>
                </c:pt>
                <c:pt idx="90">
                  <c:v>5443</c:v>
                </c:pt>
                <c:pt idx="91">
                  <c:v>5452</c:v>
                </c:pt>
                <c:pt idx="92">
                  <c:v>5445</c:v>
                </c:pt>
                <c:pt idx="93">
                  <c:v>5464</c:v>
                </c:pt>
                <c:pt idx="94">
                  <c:v>5485</c:v>
                </c:pt>
                <c:pt idx="95">
                  <c:v>5490</c:v>
                </c:pt>
                <c:pt idx="96">
                  <c:v>5498</c:v>
                </c:pt>
                <c:pt idx="97">
                  <c:v>5500</c:v>
                </c:pt>
                <c:pt idx="98">
                  <c:v>5504</c:v>
                </c:pt>
                <c:pt idx="99">
                  <c:v>5501</c:v>
                </c:pt>
                <c:pt idx="100">
                  <c:v>5535</c:v>
                </c:pt>
                <c:pt idx="101">
                  <c:v>5552</c:v>
                </c:pt>
                <c:pt idx="102">
                  <c:v>5554</c:v>
                </c:pt>
                <c:pt idx="103">
                  <c:v>5550</c:v>
                </c:pt>
                <c:pt idx="104">
                  <c:v>5538</c:v>
                </c:pt>
                <c:pt idx="105">
                  <c:v>5525</c:v>
                </c:pt>
                <c:pt idx="106">
                  <c:v>5543</c:v>
                </c:pt>
                <c:pt idx="107">
                  <c:v>5536</c:v>
                </c:pt>
                <c:pt idx="108">
                  <c:v>5539</c:v>
                </c:pt>
                <c:pt idx="109">
                  <c:v>5524</c:v>
                </c:pt>
                <c:pt idx="110">
                  <c:v>5527</c:v>
                </c:pt>
                <c:pt idx="111">
                  <c:v>5509</c:v>
                </c:pt>
                <c:pt idx="112">
                  <c:v>5484</c:v>
                </c:pt>
                <c:pt idx="113">
                  <c:v>5489</c:v>
                </c:pt>
                <c:pt idx="114">
                  <c:v>5495</c:v>
                </c:pt>
                <c:pt idx="115">
                  <c:v>5495</c:v>
                </c:pt>
                <c:pt idx="116">
                  <c:v>5493</c:v>
                </c:pt>
                <c:pt idx="117">
                  <c:v>5490</c:v>
                </c:pt>
                <c:pt idx="118">
                  <c:v>5497</c:v>
                </c:pt>
                <c:pt idx="119">
                  <c:v>5500</c:v>
                </c:pt>
                <c:pt idx="120">
                  <c:v>5498</c:v>
                </c:pt>
                <c:pt idx="121">
                  <c:v>5513</c:v>
                </c:pt>
                <c:pt idx="122">
                  <c:v>5520</c:v>
                </c:pt>
                <c:pt idx="123">
                  <c:v>5508</c:v>
                </c:pt>
                <c:pt idx="124">
                  <c:v>5501</c:v>
                </c:pt>
                <c:pt idx="125">
                  <c:v>5485</c:v>
                </c:pt>
                <c:pt idx="126">
                  <c:v>5491</c:v>
                </c:pt>
                <c:pt idx="127">
                  <c:v>5481</c:v>
                </c:pt>
                <c:pt idx="128">
                  <c:v>5489</c:v>
                </c:pt>
                <c:pt idx="129">
                  <c:v>5480</c:v>
                </c:pt>
                <c:pt idx="130">
                  <c:v>5473</c:v>
                </c:pt>
                <c:pt idx="131">
                  <c:v>5468</c:v>
                </c:pt>
                <c:pt idx="132">
                  <c:v>5468</c:v>
                </c:pt>
                <c:pt idx="133">
                  <c:v>5464</c:v>
                </c:pt>
                <c:pt idx="134">
                  <c:v>5468</c:v>
                </c:pt>
                <c:pt idx="135">
                  <c:v>5459</c:v>
                </c:pt>
                <c:pt idx="136">
                  <c:v>5435</c:v>
                </c:pt>
                <c:pt idx="137">
                  <c:v>5428</c:v>
                </c:pt>
                <c:pt idx="138">
                  <c:v>5431</c:v>
                </c:pt>
                <c:pt idx="139">
                  <c:v>5435</c:v>
                </c:pt>
                <c:pt idx="140">
                  <c:v>5449</c:v>
                </c:pt>
                <c:pt idx="141">
                  <c:v>5445</c:v>
                </c:pt>
                <c:pt idx="142">
                  <c:v>5443</c:v>
                </c:pt>
                <c:pt idx="143">
                  <c:v>5435</c:v>
                </c:pt>
                <c:pt idx="144">
                  <c:v>5436</c:v>
                </c:pt>
                <c:pt idx="145">
                  <c:v>5427</c:v>
                </c:pt>
                <c:pt idx="146">
                  <c:v>5414</c:v>
                </c:pt>
                <c:pt idx="147">
                  <c:v>5407</c:v>
                </c:pt>
                <c:pt idx="148">
                  <c:v>5391</c:v>
                </c:pt>
                <c:pt idx="149">
                  <c:v>5397</c:v>
                </c:pt>
                <c:pt idx="150">
                  <c:v>5404</c:v>
                </c:pt>
                <c:pt idx="151">
                  <c:v>5410</c:v>
                </c:pt>
                <c:pt idx="152">
                  <c:v>5393</c:v>
                </c:pt>
                <c:pt idx="153">
                  <c:v>5365</c:v>
                </c:pt>
                <c:pt idx="154">
                  <c:v>5374</c:v>
                </c:pt>
                <c:pt idx="155">
                  <c:v>5369</c:v>
                </c:pt>
                <c:pt idx="156">
                  <c:v>5368</c:v>
                </c:pt>
                <c:pt idx="157">
                  <c:v>5369</c:v>
                </c:pt>
                <c:pt idx="158">
                  <c:v>5367</c:v>
                </c:pt>
                <c:pt idx="159">
                  <c:v>5362</c:v>
                </c:pt>
                <c:pt idx="160">
                  <c:v>5365</c:v>
                </c:pt>
                <c:pt idx="161">
                  <c:v>5368</c:v>
                </c:pt>
                <c:pt idx="162">
                  <c:v>5370</c:v>
                </c:pt>
                <c:pt idx="163">
                  <c:v>5372</c:v>
                </c:pt>
                <c:pt idx="164">
                  <c:v>5373</c:v>
                </c:pt>
                <c:pt idx="165">
                  <c:v>5354</c:v>
                </c:pt>
                <c:pt idx="166">
                  <c:v>5366</c:v>
                </c:pt>
                <c:pt idx="167">
                  <c:v>5371</c:v>
                </c:pt>
                <c:pt idx="168">
                  <c:v>5368</c:v>
                </c:pt>
                <c:pt idx="169">
                  <c:v>5359</c:v>
                </c:pt>
                <c:pt idx="170">
                  <c:v>5351</c:v>
                </c:pt>
                <c:pt idx="171">
                  <c:v>5345</c:v>
                </c:pt>
                <c:pt idx="172">
                  <c:v>5378</c:v>
                </c:pt>
                <c:pt idx="173">
                  <c:v>5389</c:v>
                </c:pt>
                <c:pt idx="174">
                  <c:v>5389</c:v>
                </c:pt>
                <c:pt idx="175">
                  <c:v>5403</c:v>
                </c:pt>
                <c:pt idx="176">
                  <c:v>5392</c:v>
                </c:pt>
                <c:pt idx="177">
                  <c:v>5382</c:v>
                </c:pt>
                <c:pt idx="178">
                  <c:v>5392</c:v>
                </c:pt>
                <c:pt idx="179">
                  <c:v>5404</c:v>
                </c:pt>
                <c:pt idx="180">
                  <c:v>5407</c:v>
                </c:pt>
                <c:pt idx="181">
                  <c:v>5411</c:v>
                </c:pt>
                <c:pt idx="182">
                  <c:v>5410</c:v>
                </c:pt>
                <c:pt idx="183">
                  <c:v>5422</c:v>
                </c:pt>
                <c:pt idx="184">
                  <c:v>5429</c:v>
                </c:pt>
                <c:pt idx="185">
                  <c:v>5442</c:v>
                </c:pt>
                <c:pt idx="186">
                  <c:v>5432</c:v>
                </c:pt>
                <c:pt idx="187">
                  <c:v>5431</c:v>
                </c:pt>
                <c:pt idx="188">
                  <c:v>5435</c:v>
                </c:pt>
                <c:pt idx="189">
                  <c:v>5437</c:v>
                </c:pt>
                <c:pt idx="190">
                  <c:v>5432</c:v>
                </c:pt>
                <c:pt idx="191">
                  <c:v>5456</c:v>
                </c:pt>
                <c:pt idx="192">
                  <c:v>5449</c:v>
                </c:pt>
                <c:pt idx="193">
                  <c:v>5440</c:v>
                </c:pt>
                <c:pt idx="194">
                  <c:v>5436</c:v>
                </c:pt>
                <c:pt idx="195">
                  <c:v>5446</c:v>
                </c:pt>
                <c:pt idx="196">
                  <c:v>5441</c:v>
                </c:pt>
                <c:pt idx="197">
                  <c:v>5443</c:v>
                </c:pt>
                <c:pt idx="198">
                  <c:v>5458</c:v>
                </c:pt>
                <c:pt idx="199">
                  <c:v>5459</c:v>
                </c:pt>
                <c:pt idx="200">
                  <c:v>5444</c:v>
                </c:pt>
                <c:pt idx="201">
                  <c:v>5451</c:v>
                </c:pt>
                <c:pt idx="202">
                  <c:v>5450</c:v>
                </c:pt>
                <c:pt idx="203">
                  <c:v>5465</c:v>
                </c:pt>
                <c:pt idx="204">
                  <c:v>5497</c:v>
                </c:pt>
                <c:pt idx="205">
                  <c:v>5491</c:v>
                </c:pt>
                <c:pt idx="206">
                  <c:v>5509</c:v>
                </c:pt>
                <c:pt idx="207">
                  <c:v>5509</c:v>
                </c:pt>
                <c:pt idx="208">
                  <c:v>5505</c:v>
                </c:pt>
                <c:pt idx="209">
                  <c:v>5513</c:v>
                </c:pt>
                <c:pt idx="210">
                  <c:v>5516</c:v>
                </c:pt>
                <c:pt idx="211">
                  <c:v>5525</c:v>
                </c:pt>
                <c:pt idx="212">
                  <c:v>5523</c:v>
                </c:pt>
                <c:pt idx="213">
                  <c:v>5530</c:v>
                </c:pt>
                <c:pt idx="214">
                  <c:v>5528</c:v>
                </c:pt>
                <c:pt idx="215">
                  <c:v>5530</c:v>
                </c:pt>
                <c:pt idx="216">
                  <c:v>5525</c:v>
                </c:pt>
                <c:pt idx="217">
                  <c:v>5527</c:v>
                </c:pt>
                <c:pt idx="218">
                  <c:v>5529</c:v>
                </c:pt>
                <c:pt idx="219">
                  <c:v>5549</c:v>
                </c:pt>
                <c:pt idx="220">
                  <c:v>5557</c:v>
                </c:pt>
                <c:pt idx="221">
                  <c:v>5583</c:v>
                </c:pt>
                <c:pt idx="222">
                  <c:v>5591</c:v>
                </c:pt>
                <c:pt idx="223">
                  <c:v>5612</c:v>
                </c:pt>
                <c:pt idx="224">
                  <c:v>5608</c:v>
                </c:pt>
                <c:pt idx="225">
                  <c:v>5626</c:v>
                </c:pt>
                <c:pt idx="226">
                  <c:v>5634</c:v>
                </c:pt>
                <c:pt idx="227">
                  <c:v>5630</c:v>
                </c:pt>
                <c:pt idx="228">
                  <c:v>5644</c:v>
                </c:pt>
                <c:pt idx="229">
                  <c:v>5662</c:v>
                </c:pt>
                <c:pt idx="230">
                  <c:v>5654</c:v>
                </c:pt>
                <c:pt idx="231">
                  <c:v>5680</c:v>
                </c:pt>
                <c:pt idx="232">
                  <c:v>5683</c:v>
                </c:pt>
                <c:pt idx="233">
                  <c:v>5704</c:v>
                </c:pt>
                <c:pt idx="234">
                  <c:v>5725</c:v>
                </c:pt>
                <c:pt idx="235">
                  <c:v>5721</c:v>
                </c:pt>
                <c:pt idx="236">
                  <c:v>5720</c:v>
                </c:pt>
                <c:pt idx="237">
                  <c:v>5739</c:v>
                </c:pt>
                <c:pt idx="238">
                  <c:v>5731</c:v>
                </c:pt>
              </c:numCache>
            </c:numRef>
          </c:val>
          <c:extLst xmlns:c16r2="http://schemas.microsoft.com/office/drawing/2015/06/chart">
            <c:ext xmlns:c16="http://schemas.microsoft.com/office/drawing/2014/chart" uri="{C3380CC4-5D6E-409C-BE32-E72D297353CC}">
              <c16:uniqueId val="{00000003-97B5-42CF-8AEE-E48FCD6A34E7}"/>
            </c:ext>
          </c:extLst>
        </c:ser>
        <c:dLbls>
          <c:showLegendKey val="0"/>
          <c:showVal val="0"/>
          <c:showCatName val="0"/>
          <c:showSerName val="0"/>
          <c:showPercent val="0"/>
          <c:showBubbleSize val="0"/>
        </c:dLbls>
        <c:axId val="330822016"/>
        <c:axId val="330823936"/>
        <c:extLst xmlns:c16r2="http://schemas.microsoft.com/office/drawing/2015/06/chart">
          <c:ext xmlns:c15="http://schemas.microsoft.com/office/drawing/2012/chart" uri="{02D57815-91ED-43cb-92C2-25804820EDAC}">
            <c15:filteredAreaSeries>
              <c15:ser>
                <c:idx val="0"/>
                <c:order val="0"/>
                <c:tx>
                  <c:strRef>
                    <c:extLst>
                      <c:ext uri="{02D57815-91ED-43cb-92C2-25804820EDAC}">
                        <c15:formulaRef>
                          <c15:sqref>Validity!$A$2</c15:sqref>
                        </c15:formulaRef>
                      </c:ext>
                    </c:extLst>
                    <c:strCache>
                      <c:ptCount val="1"/>
                      <c:pt idx="0">
                        <c:v>Year</c:v>
                      </c:pt>
                    </c:strCache>
                  </c:strRef>
                </c:tx>
                <c:spPr>
                  <a:solidFill>
                    <a:schemeClr val="accent1"/>
                  </a:solidFill>
                  <a:ln>
                    <a:noFill/>
                  </a:ln>
                  <a:effectLst/>
                </c:spPr>
                <c:cat>
                  <c:numRef>
                    <c:extLst>
                      <c:ext uri="{02D57815-91ED-43cb-92C2-25804820EDAC}">
                        <c15:formulaRef>
                          <c15:sqref>Validity!$A$4:$A$242</c15:sqref>
                        </c15:formulaRef>
                      </c:ext>
                    </c:extLst>
                    <c:numCache>
                      <c:formatCode>General</c:formatCode>
                      <c:ptCount val="239"/>
                      <c:pt idx="0">
                        <c:v>0</c:v>
                      </c:pt>
                      <c:pt idx="1">
                        <c:v>0</c:v>
                      </c:pt>
                      <c:pt idx="2">
                        <c:v>0</c:v>
                      </c:pt>
                      <c:pt idx="3">
                        <c:v>0</c:v>
                      </c:pt>
                      <c:pt idx="4">
                        <c:v>0</c:v>
                      </c:pt>
                      <c:pt idx="5">
                        <c:v>0</c:v>
                      </c:pt>
                      <c:pt idx="6">
                        <c:v>0</c:v>
                      </c:pt>
                      <c:pt idx="7">
                        <c:v>0</c:v>
                      </c:pt>
                      <c:pt idx="8">
                        <c:v>0</c:v>
                      </c:pt>
                      <c:pt idx="9">
                        <c:v>0</c:v>
                      </c:pt>
                      <c:pt idx="10">
                        <c:v>0</c:v>
                      </c:pt>
                      <c:pt idx="11">
                        <c:v>1</c:v>
                      </c:pt>
                      <c:pt idx="12">
                        <c:v>1</c:v>
                      </c:pt>
                      <c:pt idx="13">
                        <c:v>1</c:v>
                      </c:pt>
                      <c:pt idx="14">
                        <c:v>1</c:v>
                      </c:pt>
                      <c:pt idx="15">
                        <c:v>1</c:v>
                      </c:pt>
                      <c:pt idx="16">
                        <c:v>1</c:v>
                      </c:pt>
                      <c:pt idx="17">
                        <c:v>1</c:v>
                      </c:pt>
                      <c:pt idx="18">
                        <c:v>1</c:v>
                      </c:pt>
                      <c:pt idx="19">
                        <c:v>1</c:v>
                      </c:pt>
                      <c:pt idx="20">
                        <c:v>1</c:v>
                      </c:pt>
                      <c:pt idx="21">
                        <c:v>1</c:v>
                      </c:pt>
                      <c:pt idx="22">
                        <c:v>1</c:v>
                      </c:pt>
                      <c:pt idx="23">
                        <c:v>2</c:v>
                      </c:pt>
                      <c:pt idx="24">
                        <c:v>2</c:v>
                      </c:pt>
                      <c:pt idx="25">
                        <c:v>2</c:v>
                      </c:pt>
                      <c:pt idx="26">
                        <c:v>2</c:v>
                      </c:pt>
                      <c:pt idx="27">
                        <c:v>2</c:v>
                      </c:pt>
                      <c:pt idx="28">
                        <c:v>2</c:v>
                      </c:pt>
                      <c:pt idx="29">
                        <c:v>2</c:v>
                      </c:pt>
                      <c:pt idx="30">
                        <c:v>2</c:v>
                      </c:pt>
                      <c:pt idx="31">
                        <c:v>2</c:v>
                      </c:pt>
                      <c:pt idx="32">
                        <c:v>2</c:v>
                      </c:pt>
                      <c:pt idx="33">
                        <c:v>2</c:v>
                      </c:pt>
                      <c:pt idx="34">
                        <c:v>2</c:v>
                      </c:pt>
                      <c:pt idx="35">
                        <c:v>3</c:v>
                      </c:pt>
                      <c:pt idx="36">
                        <c:v>3</c:v>
                      </c:pt>
                      <c:pt idx="37">
                        <c:v>3</c:v>
                      </c:pt>
                      <c:pt idx="38">
                        <c:v>3</c:v>
                      </c:pt>
                      <c:pt idx="39">
                        <c:v>3</c:v>
                      </c:pt>
                      <c:pt idx="40">
                        <c:v>3</c:v>
                      </c:pt>
                      <c:pt idx="41">
                        <c:v>3</c:v>
                      </c:pt>
                      <c:pt idx="42">
                        <c:v>3</c:v>
                      </c:pt>
                      <c:pt idx="43">
                        <c:v>3</c:v>
                      </c:pt>
                      <c:pt idx="44">
                        <c:v>3</c:v>
                      </c:pt>
                      <c:pt idx="45">
                        <c:v>3</c:v>
                      </c:pt>
                      <c:pt idx="46">
                        <c:v>3</c:v>
                      </c:pt>
                      <c:pt idx="47">
                        <c:v>4</c:v>
                      </c:pt>
                      <c:pt idx="48">
                        <c:v>4</c:v>
                      </c:pt>
                      <c:pt idx="49">
                        <c:v>4</c:v>
                      </c:pt>
                      <c:pt idx="50">
                        <c:v>4</c:v>
                      </c:pt>
                      <c:pt idx="51">
                        <c:v>4</c:v>
                      </c:pt>
                      <c:pt idx="52">
                        <c:v>4</c:v>
                      </c:pt>
                      <c:pt idx="53">
                        <c:v>4</c:v>
                      </c:pt>
                      <c:pt idx="54">
                        <c:v>4</c:v>
                      </c:pt>
                      <c:pt idx="55">
                        <c:v>4</c:v>
                      </c:pt>
                      <c:pt idx="56">
                        <c:v>4</c:v>
                      </c:pt>
                      <c:pt idx="57">
                        <c:v>4</c:v>
                      </c:pt>
                      <c:pt idx="58">
                        <c:v>4</c:v>
                      </c:pt>
                      <c:pt idx="59">
                        <c:v>5</c:v>
                      </c:pt>
                      <c:pt idx="60">
                        <c:v>5</c:v>
                      </c:pt>
                      <c:pt idx="61">
                        <c:v>5</c:v>
                      </c:pt>
                      <c:pt idx="62">
                        <c:v>5</c:v>
                      </c:pt>
                      <c:pt idx="63">
                        <c:v>5</c:v>
                      </c:pt>
                      <c:pt idx="64">
                        <c:v>5</c:v>
                      </c:pt>
                      <c:pt idx="65">
                        <c:v>5</c:v>
                      </c:pt>
                      <c:pt idx="66">
                        <c:v>5</c:v>
                      </c:pt>
                      <c:pt idx="67">
                        <c:v>5</c:v>
                      </c:pt>
                      <c:pt idx="68">
                        <c:v>5</c:v>
                      </c:pt>
                      <c:pt idx="69">
                        <c:v>5</c:v>
                      </c:pt>
                      <c:pt idx="70">
                        <c:v>5</c:v>
                      </c:pt>
                      <c:pt idx="71">
                        <c:v>6</c:v>
                      </c:pt>
                      <c:pt idx="72">
                        <c:v>6</c:v>
                      </c:pt>
                      <c:pt idx="73">
                        <c:v>6</c:v>
                      </c:pt>
                      <c:pt idx="74">
                        <c:v>6</c:v>
                      </c:pt>
                      <c:pt idx="75">
                        <c:v>6</c:v>
                      </c:pt>
                      <c:pt idx="76">
                        <c:v>6</c:v>
                      </c:pt>
                      <c:pt idx="77">
                        <c:v>6</c:v>
                      </c:pt>
                      <c:pt idx="78">
                        <c:v>6</c:v>
                      </c:pt>
                      <c:pt idx="79">
                        <c:v>6</c:v>
                      </c:pt>
                      <c:pt idx="80">
                        <c:v>6</c:v>
                      </c:pt>
                      <c:pt idx="81">
                        <c:v>6</c:v>
                      </c:pt>
                      <c:pt idx="82">
                        <c:v>6</c:v>
                      </c:pt>
                      <c:pt idx="83">
                        <c:v>7</c:v>
                      </c:pt>
                      <c:pt idx="84">
                        <c:v>7</c:v>
                      </c:pt>
                      <c:pt idx="85">
                        <c:v>7</c:v>
                      </c:pt>
                      <c:pt idx="86">
                        <c:v>7</c:v>
                      </c:pt>
                      <c:pt idx="87">
                        <c:v>7</c:v>
                      </c:pt>
                      <c:pt idx="88">
                        <c:v>7</c:v>
                      </c:pt>
                      <c:pt idx="89">
                        <c:v>7</c:v>
                      </c:pt>
                      <c:pt idx="90">
                        <c:v>7</c:v>
                      </c:pt>
                      <c:pt idx="91">
                        <c:v>7</c:v>
                      </c:pt>
                      <c:pt idx="92">
                        <c:v>7</c:v>
                      </c:pt>
                      <c:pt idx="93">
                        <c:v>7</c:v>
                      </c:pt>
                      <c:pt idx="94">
                        <c:v>7</c:v>
                      </c:pt>
                      <c:pt idx="95">
                        <c:v>8</c:v>
                      </c:pt>
                      <c:pt idx="96">
                        <c:v>8</c:v>
                      </c:pt>
                      <c:pt idx="97">
                        <c:v>8</c:v>
                      </c:pt>
                      <c:pt idx="98">
                        <c:v>8</c:v>
                      </c:pt>
                      <c:pt idx="99">
                        <c:v>8</c:v>
                      </c:pt>
                      <c:pt idx="100">
                        <c:v>8</c:v>
                      </c:pt>
                      <c:pt idx="101">
                        <c:v>8</c:v>
                      </c:pt>
                      <c:pt idx="102">
                        <c:v>8</c:v>
                      </c:pt>
                      <c:pt idx="103">
                        <c:v>8</c:v>
                      </c:pt>
                      <c:pt idx="104">
                        <c:v>8</c:v>
                      </c:pt>
                      <c:pt idx="105">
                        <c:v>8</c:v>
                      </c:pt>
                      <c:pt idx="106">
                        <c:v>8</c:v>
                      </c:pt>
                      <c:pt idx="107">
                        <c:v>9</c:v>
                      </c:pt>
                      <c:pt idx="108">
                        <c:v>9</c:v>
                      </c:pt>
                      <c:pt idx="109">
                        <c:v>9</c:v>
                      </c:pt>
                      <c:pt idx="110">
                        <c:v>9</c:v>
                      </c:pt>
                      <c:pt idx="111">
                        <c:v>9</c:v>
                      </c:pt>
                      <c:pt idx="112">
                        <c:v>9</c:v>
                      </c:pt>
                      <c:pt idx="113">
                        <c:v>9</c:v>
                      </c:pt>
                      <c:pt idx="114">
                        <c:v>9</c:v>
                      </c:pt>
                      <c:pt idx="115">
                        <c:v>9</c:v>
                      </c:pt>
                      <c:pt idx="116">
                        <c:v>9</c:v>
                      </c:pt>
                      <c:pt idx="117">
                        <c:v>9</c:v>
                      </c:pt>
                      <c:pt idx="118">
                        <c:v>9</c:v>
                      </c:pt>
                      <c:pt idx="119">
                        <c:v>10</c:v>
                      </c:pt>
                      <c:pt idx="120">
                        <c:v>10</c:v>
                      </c:pt>
                      <c:pt idx="121">
                        <c:v>10</c:v>
                      </c:pt>
                      <c:pt idx="122">
                        <c:v>10</c:v>
                      </c:pt>
                      <c:pt idx="123">
                        <c:v>10</c:v>
                      </c:pt>
                      <c:pt idx="124">
                        <c:v>10</c:v>
                      </c:pt>
                      <c:pt idx="125">
                        <c:v>10</c:v>
                      </c:pt>
                      <c:pt idx="126">
                        <c:v>10</c:v>
                      </c:pt>
                      <c:pt idx="127">
                        <c:v>10</c:v>
                      </c:pt>
                      <c:pt idx="128">
                        <c:v>10</c:v>
                      </c:pt>
                      <c:pt idx="129">
                        <c:v>10</c:v>
                      </c:pt>
                      <c:pt idx="130">
                        <c:v>10</c:v>
                      </c:pt>
                      <c:pt idx="131">
                        <c:v>11</c:v>
                      </c:pt>
                      <c:pt idx="132">
                        <c:v>11</c:v>
                      </c:pt>
                      <c:pt idx="133">
                        <c:v>11</c:v>
                      </c:pt>
                      <c:pt idx="134">
                        <c:v>11</c:v>
                      </c:pt>
                      <c:pt idx="135">
                        <c:v>11</c:v>
                      </c:pt>
                      <c:pt idx="136">
                        <c:v>11</c:v>
                      </c:pt>
                      <c:pt idx="137">
                        <c:v>11</c:v>
                      </c:pt>
                      <c:pt idx="138">
                        <c:v>11</c:v>
                      </c:pt>
                      <c:pt idx="139">
                        <c:v>11</c:v>
                      </c:pt>
                      <c:pt idx="140">
                        <c:v>11</c:v>
                      </c:pt>
                      <c:pt idx="141">
                        <c:v>11</c:v>
                      </c:pt>
                      <c:pt idx="142">
                        <c:v>11</c:v>
                      </c:pt>
                      <c:pt idx="143">
                        <c:v>12</c:v>
                      </c:pt>
                      <c:pt idx="144">
                        <c:v>12</c:v>
                      </c:pt>
                      <c:pt idx="145">
                        <c:v>12</c:v>
                      </c:pt>
                      <c:pt idx="146">
                        <c:v>12</c:v>
                      </c:pt>
                      <c:pt idx="147">
                        <c:v>12</c:v>
                      </c:pt>
                      <c:pt idx="148">
                        <c:v>12</c:v>
                      </c:pt>
                      <c:pt idx="149">
                        <c:v>12</c:v>
                      </c:pt>
                      <c:pt idx="150">
                        <c:v>12</c:v>
                      </c:pt>
                      <c:pt idx="151">
                        <c:v>12</c:v>
                      </c:pt>
                      <c:pt idx="152">
                        <c:v>12</c:v>
                      </c:pt>
                      <c:pt idx="153">
                        <c:v>12</c:v>
                      </c:pt>
                      <c:pt idx="154">
                        <c:v>12</c:v>
                      </c:pt>
                      <c:pt idx="155">
                        <c:v>13</c:v>
                      </c:pt>
                      <c:pt idx="156">
                        <c:v>13</c:v>
                      </c:pt>
                      <c:pt idx="157">
                        <c:v>13</c:v>
                      </c:pt>
                      <c:pt idx="158">
                        <c:v>13</c:v>
                      </c:pt>
                      <c:pt idx="159">
                        <c:v>13</c:v>
                      </c:pt>
                      <c:pt idx="160">
                        <c:v>13</c:v>
                      </c:pt>
                      <c:pt idx="161">
                        <c:v>13</c:v>
                      </c:pt>
                      <c:pt idx="162">
                        <c:v>13</c:v>
                      </c:pt>
                      <c:pt idx="163">
                        <c:v>13</c:v>
                      </c:pt>
                      <c:pt idx="164">
                        <c:v>13</c:v>
                      </c:pt>
                      <c:pt idx="165">
                        <c:v>13</c:v>
                      </c:pt>
                      <c:pt idx="166">
                        <c:v>13</c:v>
                      </c:pt>
                      <c:pt idx="167">
                        <c:v>14</c:v>
                      </c:pt>
                      <c:pt idx="168">
                        <c:v>14</c:v>
                      </c:pt>
                      <c:pt idx="169">
                        <c:v>14</c:v>
                      </c:pt>
                      <c:pt idx="170">
                        <c:v>14</c:v>
                      </c:pt>
                      <c:pt idx="171">
                        <c:v>14</c:v>
                      </c:pt>
                      <c:pt idx="172">
                        <c:v>14</c:v>
                      </c:pt>
                      <c:pt idx="173">
                        <c:v>14</c:v>
                      </c:pt>
                      <c:pt idx="174">
                        <c:v>14</c:v>
                      </c:pt>
                      <c:pt idx="175">
                        <c:v>14</c:v>
                      </c:pt>
                      <c:pt idx="176">
                        <c:v>14</c:v>
                      </c:pt>
                      <c:pt idx="177">
                        <c:v>14</c:v>
                      </c:pt>
                      <c:pt idx="178">
                        <c:v>14</c:v>
                      </c:pt>
                      <c:pt idx="179">
                        <c:v>15</c:v>
                      </c:pt>
                      <c:pt idx="180">
                        <c:v>15</c:v>
                      </c:pt>
                      <c:pt idx="181">
                        <c:v>15</c:v>
                      </c:pt>
                      <c:pt idx="182">
                        <c:v>15</c:v>
                      </c:pt>
                      <c:pt idx="183">
                        <c:v>15</c:v>
                      </c:pt>
                      <c:pt idx="184">
                        <c:v>15</c:v>
                      </c:pt>
                      <c:pt idx="185">
                        <c:v>15</c:v>
                      </c:pt>
                      <c:pt idx="186">
                        <c:v>15</c:v>
                      </c:pt>
                      <c:pt idx="187">
                        <c:v>15</c:v>
                      </c:pt>
                      <c:pt idx="188">
                        <c:v>15</c:v>
                      </c:pt>
                      <c:pt idx="189">
                        <c:v>15</c:v>
                      </c:pt>
                      <c:pt idx="190">
                        <c:v>15</c:v>
                      </c:pt>
                      <c:pt idx="191">
                        <c:v>16</c:v>
                      </c:pt>
                      <c:pt idx="192">
                        <c:v>16</c:v>
                      </c:pt>
                      <c:pt idx="193">
                        <c:v>16</c:v>
                      </c:pt>
                      <c:pt idx="194">
                        <c:v>16</c:v>
                      </c:pt>
                      <c:pt idx="195">
                        <c:v>16</c:v>
                      </c:pt>
                      <c:pt idx="196">
                        <c:v>16</c:v>
                      </c:pt>
                      <c:pt idx="197">
                        <c:v>16</c:v>
                      </c:pt>
                      <c:pt idx="198">
                        <c:v>16</c:v>
                      </c:pt>
                      <c:pt idx="199">
                        <c:v>16</c:v>
                      </c:pt>
                      <c:pt idx="200">
                        <c:v>16</c:v>
                      </c:pt>
                      <c:pt idx="201">
                        <c:v>16</c:v>
                      </c:pt>
                      <c:pt idx="202">
                        <c:v>16</c:v>
                      </c:pt>
                      <c:pt idx="203">
                        <c:v>17</c:v>
                      </c:pt>
                      <c:pt idx="204">
                        <c:v>17</c:v>
                      </c:pt>
                      <c:pt idx="205">
                        <c:v>17</c:v>
                      </c:pt>
                      <c:pt idx="206">
                        <c:v>17</c:v>
                      </c:pt>
                      <c:pt idx="207">
                        <c:v>17</c:v>
                      </c:pt>
                      <c:pt idx="208">
                        <c:v>17</c:v>
                      </c:pt>
                      <c:pt idx="209">
                        <c:v>17</c:v>
                      </c:pt>
                      <c:pt idx="210">
                        <c:v>17</c:v>
                      </c:pt>
                      <c:pt idx="211">
                        <c:v>17</c:v>
                      </c:pt>
                      <c:pt idx="212">
                        <c:v>17</c:v>
                      </c:pt>
                      <c:pt idx="213">
                        <c:v>17</c:v>
                      </c:pt>
                      <c:pt idx="214">
                        <c:v>17</c:v>
                      </c:pt>
                      <c:pt idx="215">
                        <c:v>18</c:v>
                      </c:pt>
                      <c:pt idx="216">
                        <c:v>18</c:v>
                      </c:pt>
                      <c:pt idx="217">
                        <c:v>18</c:v>
                      </c:pt>
                      <c:pt idx="218">
                        <c:v>18</c:v>
                      </c:pt>
                      <c:pt idx="219">
                        <c:v>18</c:v>
                      </c:pt>
                      <c:pt idx="220">
                        <c:v>18</c:v>
                      </c:pt>
                      <c:pt idx="221">
                        <c:v>18</c:v>
                      </c:pt>
                      <c:pt idx="222">
                        <c:v>18</c:v>
                      </c:pt>
                      <c:pt idx="223">
                        <c:v>18</c:v>
                      </c:pt>
                      <c:pt idx="224">
                        <c:v>18</c:v>
                      </c:pt>
                      <c:pt idx="225">
                        <c:v>18</c:v>
                      </c:pt>
                      <c:pt idx="226">
                        <c:v>18</c:v>
                      </c:pt>
                      <c:pt idx="227">
                        <c:v>19</c:v>
                      </c:pt>
                      <c:pt idx="228">
                        <c:v>19</c:v>
                      </c:pt>
                      <c:pt idx="229">
                        <c:v>19</c:v>
                      </c:pt>
                      <c:pt idx="230">
                        <c:v>19</c:v>
                      </c:pt>
                      <c:pt idx="231">
                        <c:v>19</c:v>
                      </c:pt>
                      <c:pt idx="232">
                        <c:v>19</c:v>
                      </c:pt>
                      <c:pt idx="233">
                        <c:v>19</c:v>
                      </c:pt>
                      <c:pt idx="234">
                        <c:v>19</c:v>
                      </c:pt>
                      <c:pt idx="235">
                        <c:v>19</c:v>
                      </c:pt>
                      <c:pt idx="236">
                        <c:v>19</c:v>
                      </c:pt>
                      <c:pt idx="237">
                        <c:v>19</c:v>
                      </c:pt>
                      <c:pt idx="238">
                        <c:v>19</c:v>
                      </c:pt>
                    </c:numCache>
                  </c:numRef>
                </c:cat>
                <c:val>
                  <c:numRef>
                    <c:extLst>
                      <c:ext uri="{02D57815-91ED-43cb-92C2-25804820EDAC}">
                        <c15:formulaRef>
                          <c15:sqref>Validity!$A$4:$A$242</c15:sqref>
                        </c15:formulaRef>
                      </c:ext>
                    </c:extLst>
                    <c:numCache>
                      <c:formatCode>General</c:formatCode>
                      <c:ptCount val="239"/>
                      <c:pt idx="0">
                        <c:v>0</c:v>
                      </c:pt>
                      <c:pt idx="1">
                        <c:v>0</c:v>
                      </c:pt>
                      <c:pt idx="2">
                        <c:v>0</c:v>
                      </c:pt>
                      <c:pt idx="3">
                        <c:v>0</c:v>
                      </c:pt>
                      <c:pt idx="4">
                        <c:v>0</c:v>
                      </c:pt>
                      <c:pt idx="5">
                        <c:v>0</c:v>
                      </c:pt>
                      <c:pt idx="6">
                        <c:v>0</c:v>
                      </c:pt>
                      <c:pt idx="7">
                        <c:v>0</c:v>
                      </c:pt>
                      <c:pt idx="8">
                        <c:v>0</c:v>
                      </c:pt>
                      <c:pt idx="9">
                        <c:v>0</c:v>
                      </c:pt>
                      <c:pt idx="10">
                        <c:v>0</c:v>
                      </c:pt>
                      <c:pt idx="11">
                        <c:v>1</c:v>
                      </c:pt>
                      <c:pt idx="12">
                        <c:v>1</c:v>
                      </c:pt>
                      <c:pt idx="13">
                        <c:v>1</c:v>
                      </c:pt>
                      <c:pt idx="14">
                        <c:v>1</c:v>
                      </c:pt>
                      <c:pt idx="15">
                        <c:v>1</c:v>
                      </c:pt>
                      <c:pt idx="16">
                        <c:v>1</c:v>
                      </c:pt>
                      <c:pt idx="17">
                        <c:v>1</c:v>
                      </c:pt>
                      <c:pt idx="18">
                        <c:v>1</c:v>
                      </c:pt>
                      <c:pt idx="19">
                        <c:v>1</c:v>
                      </c:pt>
                      <c:pt idx="20">
                        <c:v>1</c:v>
                      </c:pt>
                      <c:pt idx="21">
                        <c:v>1</c:v>
                      </c:pt>
                      <c:pt idx="22">
                        <c:v>1</c:v>
                      </c:pt>
                      <c:pt idx="23">
                        <c:v>2</c:v>
                      </c:pt>
                      <c:pt idx="24">
                        <c:v>2</c:v>
                      </c:pt>
                      <c:pt idx="25">
                        <c:v>2</c:v>
                      </c:pt>
                      <c:pt idx="26">
                        <c:v>2</c:v>
                      </c:pt>
                      <c:pt idx="27">
                        <c:v>2</c:v>
                      </c:pt>
                      <c:pt idx="28">
                        <c:v>2</c:v>
                      </c:pt>
                      <c:pt idx="29">
                        <c:v>2</c:v>
                      </c:pt>
                      <c:pt idx="30">
                        <c:v>2</c:v>
                      </c:pt>
                      <c:pt idx="31">
                        <c:v>2</c:v>
                      </c:pt>
                      <c:pt idx="32">
                        <c:v>2</c:v>
                      </c:pt>
                      <c:pt idx="33">
                        <c:v>2</c:v>
                      </c:pt>
                      <c:pt idx="34">
                        <c:v>2</c:v>
                      </c:pt>
                      <c:pt idx="35">
                        <c:v>3</c:v>
                      </c:pt>
                      <c:pt idx="36">
                        <c:v>3</c:v>
                      </c:pt>
                      <c:pt idx="37">
                        <c:v>3</c:v>
                      </c:pt>
                      <c:pt idx="38">
                        <c:v>3</c:v>
                      </c:pt>
                      <c:pt idx="39">
                        <c:v>3</c:v>
                      </c:pt>
                      <c:pt idx="40">
                        <c:v>3</c:v>
                      </c:pt>
                      <c:pt idx="41">
                        <c:v>3</c:v>
                      </c:pt>
                      <c:pt idx="42">
                        <c:v>3</c:v>
                      </c:pt>
                      <c:pt idx="43">
                        <c:v>3</c:v>
                      </c:pt>
                      <c:pt idx="44">
                        <c:v>3</c:v>
                      </c:pt>
                      <c:pt idx="45">
                        <c:v>3</c:v>
                      </c:pt>
                      <c:pt idx="46">
                        <c:v>3</c:v>
                      </c:pt>
                      <c:pt idx="47">
                        <c:v>4</c:v>
                      </c:pt>
                      <c:pt idx="48">
                        <c:v>4</c:v>
                      </c:pt>
                      <c:pt idx="49">
                        <c:v>4</c:v>
                      </c:pt>
                      <c:pt idx="50">
                        <c:v>4</c:v>
                      </c:pt>
                      <c:pt idx="51">
                        <c:v>4</c:v>
                      </c:pt>
                      <c:pt idx="52">
                        <c:v>4</c:v>
                      </c:pt>
                      <c:pt idx="53">
                        <c:v>4</c:v>
                      </c:pt>
                      <c:pt idx="54">
                        <c:v>4</c:v>
                      </c:pt>
                      <c:pt idx="55">
                        <c:v>4</c:v>
                      </c:pt>
                      <c:pt idx="56">
                        <c:v>4</c:v>
                      </c:pt>
                      <c:pt idx="57">
                        <c:v>4</c:v>
                      </c:pt>
                      <c:pt idx="58">
                        <c:v>4</c:v>
                      </c:pt>
                      <c:pt idx="59">
                        <c:v>5</c:v>
                      </c:pt>
                      <c:pt idx="60">
                        <c:v>5</c:v>
                      </c:pt>
                      <c:pt idx="61">
                        <c:v>5</c:v>
                      </c:pt>
                      <c:pt idx="62">
                        <c:v>5</c:v>
                      </c:pt>
                      <c:pt idx="63">
                        <c:v>5</c:v>
                      </c:pt>
                      <c:pt idx="64">
                        <c:v>5</c:v>
                      </c:pt>
                      <c:pt idx="65">
                        <c:v>5</c:v>
                      </c:pt>
                      <c:pt idx="66">
                        <c:v>5</c:v>
                      </c:pt>
                      <c:pt idx="67">
                        <c:v>5</c:v>
                      </c:pt>
                      <c:pt idx="68">
                        <c:v>5</c:v>
                      </c:pt>
                      <c:pt idx="69">
                        <c:v>5</c:v>
                      </c:pt>
                      <c:pt idx="70">
                        <c:v>5</c:v>
                      </c:pt>
                      <c:pt idx="71">
                        <c:v>6</c:v>
                      </c:pt>
                      <c:pt idx="72">
                        <c:v>6</c:v>
                      </c:pt>
                      <c:pt idx="73">
                        <c:v>6</c:v>
                      </c:pt>
                      <c:pt idx="74">
                        <c:v>6</c:v>
                      </c:pt>
                      <c:pt idx="75">
                        <c:v>6</c:v>
                      </c:pt>
                      <c:pt idx="76">
                        <c:v>6</c:v>
                      </c:pt>
                      <c:pt idx="77">
                        <c:v>6</c:v>
                      </c:pt>
                      <c:pt idx="78">
                        <c:v>6</c:v>
                      </c:pt>
                      <c:pt idx="79">
                        <c:v>6</c:v>
                      </c:pt>
                      <c:pt idx="80">
                        <c:v>6</c:v>
                      </c:pt>
                      <c:pt idx="81">
                        <c:v>6</c:v>
                      </c:pt>
                      <c:pt idx="82">
                        <c:v>6</c:v>
                      </c:pt>
                      <c:pt idx="83">
                        <c:v>7</c:v>
                      </c:pt>
                      <c:pt idx="84">
                        <c:v>7</c:v>
                      </c:pt>
                      <c:pt idx="85">
                        <c:v>7</c:v>
                      </c:pt>
                      <c:pt idx="86">
                        <c:v>7</c:v>
                      </c:pt>
                      <c:pt idx="87">
                        <c:v>7</c:v>
                      </c:pt>
                      <c:pt idx="88">
                        <c:v>7</c:v>
                      </c:pt>
                      <c:pt idx="89">
                        <c:v>7</c:v>
                      </c:pt>
                      <c:pt idx="90">
                        <c:v>7</c:v>
                      </c:pt>
                      <c:pt idx="91">
                        <c:v>7</c:v>
                      </c:pt>
                      <c:pt idx="92">
                        <c:v>7</c:v>
                      </c:pt>
                      <c:pt idx="93">
                        <c:v>7</c:v>
                      </c:pt>
                      <c:pt idx="94">
                        <c:v>7</c:v>
                      </c:pt>
                      <c:pt idx="95">
                        <c:v>8</c:v>
                      </c:pt>
                      <c:pt idx="96">
                        <c:v>8</c:v>
                      </c:pt>
                      <c:pt idx="97">
                        <c:v>8</c:v>
                      </c:pt>
                      <c:pt idx="98">
                        <c:v>8</c:v>
                      </c:pt>
                      <c:pt idx="99">
                        <c:v>8</c:v>
                      </c:pt>
                      <c:pt idx="100">
                        <c:v>8</c:v>
                      </c:pt>
                      <c:pt idx="101">
                        <c:v>8</c:v>
                      </c:pt>
                      <c:pt idx="102">
                        <c:v>8</c:v>
                      </c:pt>
                      <c:pt idx="103">
                        <c:v>8</c:v>
                      </c:pt>
                      <c:pt idx="104">
                        <c:v>8</c:v>
                      </c:pt>
                      <c:pt idx="105">
                        <c:v>8</c:v>
                      </c:pt>
                      <c:pt idx="106">
                        <c:v>8</c:v>
                      </c:pt>
                      <c:pt idx="107">
                        <c:v>9</c:v>
                      </c:pt>
                      <c:pt idx="108">
                        <c:v>9</c:v>
                      </c:pt>
                      <c:pt idx="109">
                        <c:v>9</c:v>
                      </c:pt>
                      <c:pt idx="110">
                        <c:v>9</c:v>
                      </c:pt>
                      <c:pt idx="111">
                        <c:v>9</c:v>
                      </c:pt>
                      <c:pt idx="112">
                        <c:v>9</c:v>
                      </c:pt>
                      <c:pt idx="113">
                        <c:v>9</c:v>
                      </c:pt>
                      <c:pt idx="114">
                        <c:v>9</c:v>
                      </c:pt>
                      <c:pt idx="115">
                        <c:v>9</c:v>
                      </c:pt>
                      <c:pt idx="116">
                        <c:v>9</c:v>
                      </c:pt>
                      <c:pt idx="117">
                        <c:v>9</c:v>
                      </c:pt>
                      <c:pt idx="118">
                        <c:v>9</c:v>
                      </c:pt>
                      <c:pt idx="119">
                        <c:v>10</c:v>
                      </c:pt>
                      <c:pt idx="120">
                        <c:v>10</c:v>
                      </c:pt>
                      <c:pt idx="121">
                        <c:v>10</c:v>
                      </c:pt>
                      <c:pt idx="122">
                        <c:v>10</c:v>
                      </c:pt>
                      <c:pt idx="123">
                        <c:v>10</c:v>
                      </c:pt>
                      <c:pt idx="124">
                        <c:v>10</c:v>
                      </c:pt>
                      <c:pt idx="125">
                        <c:v>10</c:v>
                      </c:pt>
                      <c:pt idx="126">
                        <c:v>10</c:v>
                      </c:pt>
                      <c:pt idx="127">
                        <c:v>10</c:v>
                      </c:pt>
                      <c:pt idx="128">
                        <c:v>10</c:v>
                      </c:pt>
                      <c:pt idx="129">
                        <c:v>10</c:v>
                      </c:pt>
                      <c:pt idx="130">
                        <c:v>10</c:v>
                      </c:pt>
                      <c:pt idx="131">
                        <c:v>11</c:v>
                      </c:pt>
                      <c:pt idx="132">
                        <c:v>11</c:v>
                      </c:pt>
                      <c:pt idx="133">
                        <c:v>11</c:v>
                      </c:pt>
                      <c:pt idx="134">
                        <c:v>11</c:v>
                      </c:pt>
                      <c:pt idx="135">
                        <c:v>11</c:v>
                      </c:pt>
                      <c:pt idx="136">
                        <c:v>11</c:v>
                      </c:pt>
                      <c:pt idx="137">
                        <c:v>11</c:v>
                      </c:pt>
                      <c:pt idx="138">
                        <c:v>11</c:v>
                      </c:pt>
                      <c:pt idx="139">
                        <c:v>11</c:v>
                      </c:pt>
                      <c:pt idx="140">
                        <c:v>11</c:v>
                      </c:pt>
                      <c:pt idx="141">
                        <c:v>11</c:v>
                      </c:pt>
                      <c:pt idx="142">
                        <c:v>11</c:v>
                      </c:pt>
                      <c:pt idx="143">
                        <c:v>12</c:v>
                      </c:pt>
                      <c:pt idx="144">
                        <c:v>12</c:v>
                      </c:pt>
                      <c:pt idx="145">
                        <c:v>12</c:v>
                      </c:pt>
                      <c:pt idx="146">
                        <c:v>12</c:v>
                      </c:pt>
                      <c:pt idx="147">
                        <c:v>12</c:v>
                      </c:pt>
                      <c:pt idx="148">
                        <c:v>12</c:v>
                      </c:pt>
                      <c:pt idx="149">
                        <c:v>12</c:v>
                      </c:pt>
                      <c:pt idx="150">
                        <c:v>12</c:v>
                      </c:pt>
                      <c:pt idx="151">
                        <c:v>12</c:v>
                      </c:pt>
                      <c:pt idx="152">
                        <c:v>12</c:v>
                      </c:pt>
                      <c:pt idx="153">
                        <c:v>12</c:v>
                      </c:pt>
                      <c:pt idx="154">
                        <c:v>12</c:v>
                      </c:pt>
                      <c:pt idx="155">
                        <c:v>13</c:v>
                      </c:pt>
                      <c:pt idx="156">
                        <c:v>13</c:v>
                      </c:pt>
                      <c:pt idx="157">
                        <c:v>13</c:v>
                      </c:pt>
                      <c:pt idx="158">
                        <c:v>13</c:v>
                      </c:pt>
                      <c:pt idx="159">
                        <c:v>13</c:v>
                      </c:pt>
                      <c:pt idx="160">
                        <c:v>13</c:v>
                      </c:pt>
                      <c:pt idx="161">
                        <c:v>13</c:v>
                      </c:pt>
                      <c:pt idx="162">
                        <c:v>13</c:v>
                      </c:pt>
                      <c:pt idx="163">
                        <c:v>13</c:v>
                      </c:pt>
                      <c:pt idx="164">
                        <c:v>13</c:v>
                      </c:pt>
                      <c:pt idx="165">
                        <c:v>13</c:v>
                      </c:pt>
                      <c:pt idx="166">
                        <c:v>13</c:v>
                      </c:pt>
                      <c:pt idx="167">
                        <c:v>14</c:v>
                      </c:pt>
                      <c:pt idx="168">
                        <c:v>14</c:v>
                      </c:pt>
                      <c:pt idx="169">
                        <c:v>14</c:v>
                      </c:pt>
                      <c:pt idx="170">
                        <c:v>14</c:v>
                      </c:pt>
                      <c:pt idx="171">
                        <c:v>14</c:v>
                      </c:pt>
                      <c:pt idx="172">
                        <c:v>14</c:v>
                      </c:pt>
                      <c:pt idx="173">
                        <c:v>14</c:v>
                      </c:pt>
                      <c:pt idx="174">
                        <c:v>14</c:v>
                      </c:pt>
                      <c:pt idx="175">
                        <c:v>14</c:v>
                      </c:pt>
                      <c:pt idx="176">
                        <c:v>14</c:v>
                      </c:pt>
                      <c:pt idx="177">
                        <c:v>14</c:v>
                      </c:pt>
                      <c:pt idx="178">
                        <c:v>14</c:v>
                      </c:pt>
                      <c:pt idx="179">
                        <c:v>15</c:v>
                      </c:pt>
                      <c:pt idx="180">
                        <c:v>15</c:v>
                      </c:pt>
                      <c:pt idx="181">
                        <c:v>15</c:v>
                      </c:pt>
                      <c:pt idx="182">
                        <c:v>15</c:v>
                      </c:pt>
                      <c:pt idx="183">
                        <c:v>15</c:v>
                      </c:pt>
                      <c:pt idx="184">
                        <c:v>15</c:v>
                      </c:pt>
                      <c:pt idx="185">
                        <c:v>15</c:v>
                      </c:pt>
                      <c:pt idx="186">
                        <c:v>15</c:v>
                      </c:pt>
                      <c:pt idx="187">
                        <c:v>15</c:v>
                      </c:pt>
                      <c:pt idx="188">
                        <c:v>15</c:v>
                      </c:pt>
                      <c:pt idx="189">
                        <c:v>15</c:v>
                      </c:pt>
                      <c:pt idx="190">
                        <c:v>15</c:v>
                      </c:pt>
                      <c:pt idx="191">
                        <c:v>16</c:v>
                      </c:pt>
                      <c:pt idx="192">
                        <c:v>16</c:v>
                      </c:pt>
                      <c:pt idx="193">
                        <c:v>16</c:v>
                      </c:pt>
                      <c:pt idx="194">
                        <c:v>16</c:v>
                      </c:pt>
                      <c:pt idx="195">
                        <c:v>16</c:v>
                      </c:pt>
                      <c:pt idx="196">
                        <c:v>16</c:v>
                      </c:pt>
                      <c:pt idx="197">
                        <c:v>16</c:v>
                      </c:pt>
                      <c:pt idx="198">
                        <c:v>16</c:v>
                      </c:pt>
                      <c:pt idx="199">
                        <c:v>16</c:v>
                      </c:pt>
                      <c:pt idx="200">
                        <c:v>16</c:v>
                      </c:pt>
                      <c:pt idx="201">
                        <c:v>16</c:v>
                      </c:pt>
                      <c:pt idx="202">
                        <c:v>16</c:v>
                      </c:pt>
                      <c:pt idx="203">
                        <c:v>17</c:v>
                      </c:pt>
                      <c:pt idx="204">
                        <c:v>17</c:v>
                      </c:pt>
                      <c:pt idx="205">
                        <c:v>17</c:v>
                      </c:pt>
                      <c:pt idx="206">
                        <c:v>17</c:v>
                      </c:pt>
                      <c:pt idx="207">
                        <c:v>17</c:v>
                      </c:pt>
                      <c:pt idx="208">
                        <c:v>17</c:v>
                      </c:pt>
                      <c:pt idx="209">
                        <c:v>17</c:v>
                      </c:pt>
                      <c:pt idx="210">
                        <c:v>17</c:v>
                      </c:pt>
                      <c:pt idx="211">
                        <c:v>17</c:v>
                      </c:pt>
                      <c:pt idx="212">
                        <c:v>17</c:v>
                      </c:pt>
                      <c:pt idx="213">
                        <c:v>17</c:v>
                      </c:pt>
                      <c:pt idx="214">
                        <c:v>17</c:v>
                      </c:pt>
                      <c:pt idx="215">
                        <c:v>18</c:v>
                      </c:pt>
                      <c:pt idx="216">
                        <c:v>18</c:v>
                      </c:pt>
                      <c:pt idx="217">
                        <c:v>18</c:v>
                      </c:pt>
                      <c:pt idx="218">
                        <c:v>18</c:v>
                      </c:pt>
                      <c:pt idx="219">
                        <c:v>18</c:v>
                      </c:pt>
                      <c:pt idx="220">
                        <c:v>18</c:v>
                      </c:pt>
                      <c:pt idx="221">
                        <c:v>18</c:v>
                      </c:pt>
                      <c:pt idx="222">
                        <c:v>18</c:v>
                      </c:pt>
                      <c:pt idx="223">
                        <c:v>18</c:v>
                      </c:pt>
                      <c:pt idx="224">
                        <c:v>18</c:v>
                      </c:pt>
                      <c:pt idx="225">
                        <c:v>18</c:v>
                      </c:pt>
                      <c:pt idx="226">
                        <c:v>18</c:v>
                      </c:pt>
                      <c:pt idx="227">
                        <c:v>19</c:v>
                      </c:pt>
                      <c:pt idx="228">
                        <c:v>19</c:v>
                      </c:pt>
                      <c:pt idx="229">
                        <c:v>19</c:v>
                      </c:pt>
                      <c:pt idx="230">
                        <c:v>19</c:v>
                      </c:pt>
                      <c:pt idx="231">
                        <c:v>19</c:v>
                      </c:pt>
                      <c:pt idx="232">
                        <c:v>19</c:v>
                      </c:pt>
                      <c:pt idx="233">
                        <c:v>19</c:v>
                      </c:pt>
                      <c:pt idx="234">
                        <c:v>19</c:v>
                      </c:pt>
                      <c:pt idx="235">
                        <c:v>19</c:v>
                      </c:pt>
                      <c:pt idx="236">
                        <c:v>19</c:v>
                      </c:pt>
                      <c:pt idx="237">
                        <c:v>19</c:v>
                      </c:pt>
                      <c:pt idx="238">
                        <c:v>19</c:v>
                      </c:pt>
                    </c:numCache>
                  </c:numRef>
                </c:val>
                <c:extLst>
                  <c:ext xmlns:c16="http://schemas.microsoft.com/office/drawing/2014/chart" uri="{C3380CC4-5D6E-409C-BE32-E72D297353CC}">
                    <c16:uniqueId val="{00000004-97B5-42CF-8AEE-E48FCD6A34E7}"/>
                  </c:ext>
                </c:extLst>
              </c15:ser>
            </c15:filteredAreaSeries>
            <c15:filteredAreaSeries>
              <c15:ser>
                <c:idx val="1"/>
                <c:order val="1"/>
                <c:tx>
                  <c:strRef>
                    <c:extLst xmlns:c15="http://schemas.microsoft.com/office/drawing/2012/chart">
                      <c:ext xmlns:c15="http://schemas.microsoft.com/office/drawing/2012/chart" uri="{02D57815-91ED-43cb-92C2-25804820EDAC}">
                        <c15:formulaRef>
                          <c15:sqref>Validity!$B$2</c15:sqref>
                        </c15:formulaRef>
                      </c:ext>
                    </c:extLst>
                    <c:strCache>
                      <c:ptCount val="1"/>
                      <c:pt idx="0">
                        <c:v>Stage</c:v>
                      </c:pt>
                    </c:strCache>
                  </c:strRef>
                </c:tx>
                <c:spPr>
                  <a:solidFill>
                    <a:schemeClr val="accent2"/>
                  </a:solidFill>
                  <a:ln>
                    <a:noFill/>
                  </a:ln>
                  <a:effectLst/>
                </c:spPr>
                <c:cat>
                  <c:numRef>
                    <c:extLst xmlns:c15="http://schemas.microsoft.com/office/drawing/2012/chart">
                      <c:ext xmlns:c15="http://schemas.microsoft.com/office/drawing/2012/chart" uri="{02D57815-91ED-43cb-92C2-25804820EDAC}">
                        <c15:formulaRef>
                          <c15:sqref>Validity!$A$4:$A$242</c15:sqref>
                        </c15:formulaRef>
                      </c:ext>
                    </c:extLst>
                    <c:numCache>
                      <c:formatCode>General</c:formatCode>
                      <c:ptCount val="239"/>
                      <c:pt idx="0">
                        <c:v>0</c:v>
                      </c:pt>
                      <c:pt idx="1">
                        <c:v>0</c:v>
                      </c:pt>
                      <c:pt idx="2">
                        <c:v>0</c:v>
                      </c:pt>
                      <c:pt idx="3">
                        <c:v>0</c:v>
                      </c:pt>
                      <c:pt idx="4">
                        <c:v>0</c:v>
                      </c:pt>
                      <c:pt idx="5">
                        <c:v>0</c:v>
                      </c:pt>
                      <c:pt idx="6">
                        <c:v>0</c:v>
                      </c:pt>
                      <c:pt idx="7">
                        <c:v>0</c:v>
                      </c:pt>
                      <c:pt idx="8">
                        <c:v>0</c:v>
                      </c:pt>
                      <c:pt idx="9">
                        <c:v>0</c:v>
                      </c:pt>
                      <c:pt idx="10">
                        <c:v>0</c:v>
                      </c:pt>
                      <c:pt idx="11">
                        <c:v>1</c:v>
                      </c:pt>
                      <c:pt idx="12">
                        <c:v>1</c:v>
                      </c:pt>
                      <c:pt idx="13">
                        <c:v>1</c:v>
                      </c:pt>
                      <c:pt idx="14">
                        <c:v>1</c:v>
                      </c:pt>
                      <c:pt idx="15">
                        <c:v>1</c:v>
                      </c:pt>
                      <c:pt idx="16">
                        <c:v>1</c:v>
                      </c:pt>
                      <c:pt idx="17">
                        <c:v>1</c:v>
                      </c:pt>
                      <c:pt idx="18">
                        <c:v>1</c:v>
                      </c:pt>
                      <c:pt idx="19">
                        <c:v>1</c:v>
                      </c:pt>
                      <c:pt idx="20">
                        <c:v>1</c:v>
                      </c:pt>
                      <c:pt idx="21">
                        <c:v>1</c:v>
                      </c:pt>
                      <c:pt idx="22">
                        <c:v>1</c:v>
                      </c:pt>
                      <c:pt idx="23">
                        <c:v>2</c:v>
                      </c:pt>
                      <c:pt idx="24">
                        <c:v>2</c:v>
                      </c:pt>
                      <c:pt idx="25">
                        <c:v>2</c:v>
                      </c:pt>
                      <c:pt idx="26">
                        <c:v>2</c:v>
                      </c:pt>
                      <c:pt idx="27">
                        <c:v>2</c:v>
                      </c:pt>
                      <c:pt idx="28">
                        <c:v>2</c:v>
                      </c:pt>
                      <c:pt idx="29">
                        <c:v>2</c:v>
                      </c:pt>
                      <c:pt idx="30">
                        <c:v>2</c:v>
                      </c:pt>
                      <c:pt idx="31">
                        <c:v>2</c:v>
                      </c:pt>
                      <c:pt idx="32">
                        <c:v>2</c:v>
                      </c:pt>
                      <c:pt idx="33">
                        <c:v>2</c:v>
                      </c:pt>
                      <c:pt idx="34">
                        <c:v>2</c:v>
                      </c:pt>
                      <c:pt idx="35">
                        <c:v>3</c:v>
                      </c:pt>
                      <c:pt idx="36">
                        <c:v>3</c:v>
                      </c:pt>
                      <c:pt idx="37">
                        <c:v>3</c:v>
                      </c:pt>
                      <c:pt idx="38">
                        <c:v>3</c:v>
                      </c:pt>
                      <c:pt idx="39">
                        <c:v>3</c:v>
                      </c:pt>
                      <c:pt idx="40">
                        <c:v>3</c:v>
                      </c:pt>
                      <c:pt idx="41">
                        <c:v>3</c:v>
                      </c:pt>
                      <c:pt idx="42">
                        <c:v>3</c:v>
                      </c:pt>
                      <c:pt idx="43">
                        <c:v>3</c:v>
                      </c:pt>
                      <c:pt idx="44">
                        <c:v>3</c:v>
                      </c:pt>
                      <c:pt idx="45">
                        <c:v>3</c:v>
                      </c:pt>
                      <c:pt idx="46">
                        <c:v>3</c:v>
                      </c:pt>
                      <c:pt idx="47">
                        <c:v>4</c:v>
                      </c:pt>
                      <c:pt idx="48">
                        <c:v>4</c:v>
                      </c:pt>
                      <c:pt idx="49">
                        <c:v>4</c:v>
                      </c:pt>
                      <c:pt idx="50">
                        <c:v>4</c:v>
                      </c:pt>
                      <c:pt idx="51">
                        <c:v>4</c:v>
                      </c:pt>
                      <c:pt idx="52">
                        <c:v>4</c:v>
                      </c:pt>
                      <c:pt idx="53">
                        <c:v>4</c:v>
                      </c:pt>
                      <c:pt idx="54">
                        <c:v>4</c:v>
                      </c:pt>
                      <c:pt idx="55">
                        <c:v>4</c:v>
                      </c:pt>
                      <c:pt idx="56">
                        <c:v>4</c:v>
                      </c:pt>
                      <c:pt idx="57">
                        <c:v>4</c:v>
                      </c:pt>
                      <c:pt idx="58">
                        <c:v>4</c:v>
                      </c:pt>
                      <c:pt idx="59">
                        <c:v>5</c:v>
                      </c:pt>
                      <c:pt idx="60">
                        <c:v>5</c:v>
                      </c:pt>
                      <c:pt idx="61">
                        <c:v>5</c:v>
                      </c:pt>
                      <c:pt idx="62">
                        <c:v>5</c:v>
                      </c:pt>
                      <c:pt idx="63">
                        <c:v>5</c:v>
                      </c:pt>
                      <c:pt idx="64">
                        <c:v>5</c:v>
                      </c:pt>
                      <c:pt idx="65">
                        <c:v>5</c:v>
                      </c:pt>
                      <c:pt idx="66">
                        <c:v>5</c:v>
                      </c:pt>
                      <c:pt idx="67">
                        <c:v>5</c:v>
                      </c:pt>
                      <c:pt idx="68">
                        <c:v>5</c:v>
                      </c:pt>
                      <c:pt idx="69">
                        <c:v>5</c:v>
                      </c:pt>
                      <c:pt idx="70">
                        <c:v>5</c:v>
                      </c:pt>
                      <c:pt idx="71">
                        <c:v>6</c:v>
                      </c:pt>
                      <c:pt idx="72">
                        <c:v>6</c:v>
                      </c:pt>
                      <c:pt idx="73">
                        <c:v>6</c:v>
                      </c:pt>
                      <c:pt idx="74">
                        <c:v>6</c:v>
                      </c:pt>
                      <c:pt idx="75">
                        <c:v>6</c:v>
                      </c:pt>
                      <c:pt idx="76">
                        <c:v>6</c:v>
                      </c:pt>
                      <c:pt idx="77">
                        <c:v>6</c:v>
                      </c:pt>
                      <c:pt idx="78">
                        <c:v>6</c:v>
                      </c:pt>
                      <c:pt idx="79">
                        <c:v>6</c:v>
                      </c:pt>
                      <c:pt idx="80">
                        <c:v>6</c:v>
                      </c:pt>
                      <c:pt idx="81">
                        <c:v>6</c:v>
                      </c:pt>
                      <c:pt idx="82">
                        <c:v>6</c:v>
                      </c:pt>
                      <c:pt idx="83">
                        <c:v>7</c:v>
                      </c:pt>
                      <c:pt idx="84">
                        <c:v>7</c:v>
                      </c:pt>
                      <c:pt idx="85">
                        <c:v>7</c:v>
                      </c:pt>
                      <c:pt idx="86">
                        <c:v>7</c:v>
                      </c:pt>
                      <c:pt idx="87">
                        <c:v>7</c:v>
                      </c:pt>
                      <c:pt idx="88">
                        <c:v>7</c:v>
                      </c:pt>
                      <c:pt idx="89">
                        <c:v>7</c:v>
                      </c:pt>
                      <c:pt idx="90">
                        <c:v>7</c:v>
                      </c:pt>
                      <c:pt idx="91">
                        <c:v>7</c:v>
                      </c:pt>
                      <c:pt idx="92">
                        <c:v>7</c:v>
                      </c:pt>
                      <c:pt idx="93">
                        <c:v>7</c:v>
                      </c:pt>
                      <c:pt idx="94">
                        <c:v>7</c:v>
                      </c:pt>
                      <c:pt idx="95">
                        <c:v>8</c:v>
                      </c:pt>
                      <c:pt idx="96">
                        <c:v>8</c:v>
                      </c:pt>
                      <c:pt idx="97">
                        <c:v>8</c:v>
                      </c:pt>
                      <c:pt idx="98">
                        <c:v>8</c:v>
                      </c:pt>
                      <c:pt idx="99">
                        <c:v>8</c:v>
                      </c:pt>
                      <c:pt idx="100">
                        <c:v>8</c:v>
                      </c:pt>
                      <c:pt idx="101">
                        <c:v>8</c:v>
                      </c:pt>
                      <c:pt idx="102">
                        <c:v>8</c:v>
                      </c:pt>
                      <c:pt idx="103">
                        <c:v>8</c:v>
                      </c:pt>
                      <c:pt idx="104">
                        <c:v>8</c:v>
                      </c:pt>
                      <c:pt idx="105">
                        <c:v>8</c:v>
                      </c:pt>
                      <c:pt idx="106">
                        <c:v>8</c:v>
                      </c:pt>
                      <c:pt idx="107">
                        <c:v>9</c:v>
                      </c:pt>
                      <c:pt idx="108">
                        <c:v>9</c:v>
                      </c:pt>
                      <c:pt idx="109">
                        <c:v>9</c:v>
                      </c:pt>
                      <c:pt idx="110">
                        <c:v>9</c:v>
                      </c:pt>
                      <c:pt idx="111">
                        <c:v>9</c:v>
                      </c:pt>
                      <c:pt idx="112">
                        <c:v>9</c:v>
                      </c:pt>
                      <c:pt idx="113">
                        <c:v>9</c:v>
                      </c:pt>
                      <c:pt idx="114">
                        <c:v>9</c:v>
                      </c:pt>
                      <c:pt idx="115">
                        <c:v>9</c:v>
                      </c:pt>
                      <c:pt idx="116">
                        <c:v>9</c:v>
                      </c:pt>
                      <c:pt idx="117">
                        <c:v>9</c:v>
                      </c:pt>
                      <c:pt idx="118">
                        <c:v>9</c:v>
                      </c:pt>
                      <c:pt idx="119">
                        <c:v>10</c:v>
                      </c:pt>
                      <c:pt idx="120">
                        <c:v>10</c:v>
                      </c:pt>
                      <c:pt idx="121">
                        <c:v>10</c:v>
                      </c:pt>
                      <c:pt idx="122">
                        <c:v>10</c:v>
                      </c:pt>
                      <c:pt idx="123">
                        <c:v>10</c:v>
                      </c:pt>
                      <c:pt idx="124">
                        <c:v>10</c:v>
                      </c:pt>
                      <c:pt idx="125">
                        <c:v>10</c:v>
                      </c:pt>
                      <c:pt idx="126">
                        <c:v>10</c:v>
                      </c:pt>
                      <c:pt idx="127">
                        <c:v>10</c:v>
                      </c:pt>
                      <c:pt idx="128">
                        <c:v>10</c:v>
                      </c:pt>
                      <c:pt idx="129">
                        <c:v>10</c:v>
                      </c:pt>
                      <c:pt idx="130">
                        <c:v>10</c:v>
                      </c:pt>
                      <c:pt idx="131">
                        <c:v>11</c:v>
                      </c:pt>
                      <c:pt idx="132">
                        <c:v>11</c:v>
                      </c:pt>
                      <c:pt idx="133">
                        <c:v>11</c:v>
                      </c:pt>
                      <c:pt idx="134">
                        <c:v>11</c:v>
                      </c:pt>
                      <c:pt idx="135">
                        <c:v>11</c:v>
                      </c:pt>
                      <c:pt idx="136">
                        <c:v>11</c:v>
                      </c:pt>
                      <c:pt idx="137">
                        <c:v>11</c:v>
                      </c:pt>
                      <c:pt idx="138">
                        <c:v>11</c:v>
                      </c:pt>
                      <c:pt idx="139">
                        <c:v>11</c:v>
                      </c:pt>
                      <c:pt idx="140">
                        <c:v>11</c:v>
                      </c:pt>
                      <c:pt idx="141">
                        <c:v>11</c:v>
                      </c:pt>
                      <c:pt idx="142">
                        <c:v>11</c:v>
                      </c:pt>
                      <c:pt idx="143">
                        <c:v>12</c:v>
                      </c:pt>
                      <c:pt idx="144">
                        <c:v>12</c:v>
                      </c:pt>
                      <c:pt idx="145">
                        <c:v>12</c:v>
                      </c:pt>
                      <c:pt idx="146">
                        <c:v>12</c:v>
                      </c:pt>
                      <c:pt idx="147">
                        <c:v>12</c:v>
                      </c:pt>
                      <c:pt idx="148">
                        <c:v>12</c:v>
                      </c:pt>
                      <c:pt idx="149">
                        <c:v>12</c:v>
                      </c:pt>
                      <c:pt idx="150">
                        <c:v>12</c:v>
                      </c:pt>
                      <c:pt idx="151">
                        <c:v>12</c:v>
                      </c:pt>
                      <c:pt idx="152">
                        <c:v>12</c:v>
                      </c:pt>
                      <c:pt idx="153">
                        <c:v>12</c:v>
                      </c:pt>
                      <c:pt idx="154">
                        <c:v>12</c:v>
                      </c:pt>
                      <c:pt idx="155">
                        <c:v>13</c:v>
                      </c:pt>
                      <c:pt idx="156">
                        <c:v>13</c:v>
                      </c:pt>
                      <c:pt idx="157">
                        <c:v>13</c:v>
                      </c:pt>
                      <c:pt idx="158">
                        <c:v>13</c:v>
                      </c:pt>
                      <c:pt idx="159">
                        <c:v>13</c:v>
                      </c:pt>
                      <c:pt idx="160">
                        <c:v>13</c:v>
                      </c:pt>
                      <c:pt idx="161">
                        <c:v>13</c:v>
                      </c:pt>
                      <c:pt idx="162">
                        <c:v>13</c:v>
                      </c:pt>
                      <c:pt idx="163">
                        <c:v>13</c:v>
                      </c:pt>
                      <c:pt idx="164">
                        <c:v>13</c:v>
                      </c:pt>
                      <c:pt idx="165">
                        <c:v>13</c:v>
                      </c:pt>
                      <c:pt idx="166">
                        <c:v>13</c:v>
                      </c:pt>
                      <c:pt idx="167">
                        <c:v>14</c:v>
                      </c:pt>
                      <c:pt idx="168">
                        <c:v>14</c:v>
                      </c:pt>
                      <c:pt idx="169">
                        <c:v>14</c:v>
                      </c:pt>
                      <c:pt idx="170">
                        <c:v>14</c:v>
                      </c:pt>
                      <c:pt idx="171">
                        <c:v>14</c:v>
                      </c:pt>
                      <c:pt idx="172">
                        <c:v>14</c:v>
                      </c:pt>
                      <c:pt idx="173">
                        <c:v>14</c:v>
                      </c:pt>
                      <c:pt idx="174">
                        <c:v>14</c:v>
                      </c:pt>
                      <c:pt idx="175">
                        <c:v>14</c:v>
                      </c:pt>
                      <c:pt idx="176">
                        <c:v>14</c:v>
                      </c:pt>
                      <c:pt idx="177">
                        <c:v>14</c:v>
                      </c:pt>
                      <c:pt idx="178">
                        <c:v>14</c:v>
                      </c:pt>
                      <c:pt idx="179">
                        <c:v>15</c:v>
                      </c:pt>
                      <c:pt idx="180">
                        <c:v>15</c:v>
                      </c:pt>
                      <c:pt idx="181">
                        <c:v>15</c:v>
                      </c:pt>
                      <c:pt idx="182">
                        <c:v>15</c:v>
                      </c:pt>
                      <c:pt idx="183">
                        <c:v>15</c:v>
                      </c:pt>
                      <c:pt idx="184">
                        <c:v>15</c:v>
                      </c:pt>
                      <c:pt idx="185">
                        <c:v>15</c:v>
                      </c:pt>
                      <c:pt idx="186">
                        <c:v>15</c:v>
                      </c:pt>
                      <c:pt idx="187">
                        <c:v>15</c:v>
                      </c:pt>
                      <c:pt idx="188">
                        <c:v>15</c:v>
                      </c:pt>
                      <c:pt idx="189">
                        <c:v>15</c:v>
                      </c:pt>
                      <c:pt idx="190">
                        <c:v>15</c:v>
                      </c:pt>
                      <c:pt idx="191">
                        <c:v>16</c:v>
                      </c:pt>
                      <c:pt idx="192">
                        <c:v>16</c:v>
                      </c:pt>
                      <c:pt idx="193">
                        <c:v>16</c:v>
                      </c:pt>
                      <c:pt idx="194">
                        <c:v>16</c:v>
                      </c:pt>
                      <c:pt idx="195">
                        <c:v>16</c:v>
                      </c:pt>
                      <c:pt idx="196">
                        <c:v>16</c:v>
                      </c:pt>
                      <c:pt idx="197">
                        <c:v>16</c:v>
                      </c:pt>
                      <c:pt idx="198">
                        <c:v>16</c:v>
                      </c:pt>
                      <c:pt idx="199">
                        <c:v>16</c:v>
                      </c:pt>
                      <c:pt idx="200">
                        <c:v>16</c:v>
                      </c:pt>
                      <c:pt idx="201">
                        <c:v>16</c:v>
                      </c:pt>
                      <c:pt idx="202">
                        <c:v>16</c:v>
                      </c:pt>
                      <c:pt idx="203">
                        <c:v>17</c:v>
                      </c:pt>
                      <c:pt idx="204">
                        <c:v>17</c:v>
                      </c:pt>
                      <c:pt idx="205">
                        <c:v>17</c:v>
                      </c:pt>
                      <c:pt idx="206">
                        <c:v>17</c:v>
                      </c:pt>
                      <c:pt idx="207">
                        <c:v>17</c:v>
                      </c:pt>
                      <c:pt idx="208">
                        <c:v>17</c:v>
                      </c:pt>
                      <c:pt idx="209">
                        <c:v>17</c:v>
                      </c:pt>
                      <c:pt idx="210">
                        <c:v>17</c:v>
                      </c:pt>
                      <c:pt idx="211">
                        <c:v>17</c:v>
                      </c:pt>
                      <c:pt idx="212">
                        <c:v>17</c:v>
                      </c:pt>
                      <c:pt idx="213">
                        <c:v>17</c:v>
                      </c:pt>
                      <c:pt idx="214">
                        <c:v>17</c:v>
                      </c:pt>
                      <c:pt idx="215">
                        <c:v>18</c:v>
                      </c:pt>
                      <c:pt idx="216">
                        <c:v>18</c:v>
                      </c:pt>
                      <c:pt idx="217">
                        <c:v>18</c:v>
                      </c:pt>
                      <c:pt idx="218">
                        <c:v>18</c:v>
                      </c:pt>
                      <c:pt idx="219">
                        <c:v>18</c:v>
                      </c:pt>
                      <c:pt idx="220">
                        <c:v>18</c:v>
                      </c:pt>
                      <c:pt idx="221">
                        <c:v>18</c:v>
                      </c:pt>
                      <c:pt idx="222">
                        <c:v>18</c:v>
                      </c:pt>
                      <c:pt idx="223">
                        <c:v>18</c:v>
                      </c:pt>
                      <c:pt idx="224">
                        <c:v>18</c:v>
                      </c:pt>
                      <c:pt idx="225">
                        <c:v>18</c:v>
                      </c:pt>
                      <c:pt idx="226">
                        <c:v>18</c:v>
                      </c:pt>
                      <c:pt idx="227">
                        <c:v>19</c:v>
                      </c:pt>
                      <c:pt idx="228">
                        <c:v>19</c:v>
                      </c:pt>
                      <c:pt idx="229">
                        <c:v>19</c:v>
                      </c:pt>
                      <c:pt idx="230">
                        <c:v>19</c:v>
                      </c:pt>
                      <c:pt idx="231">
                        <c:v>19</c:v>
                      </c:pt>
                      <c:pt idx="232">
                        <c:v>19</c:v>
                      </c:pt>
                      <c:pt idx="233">
                        <c:v>19</c:v>
                      </c:pt>
                      <c:pt idx="234">
                        <c:v>19</c:v>
                      </c:pt>
                      <c:pt idx="235">
                        <c:v>19</c:v>
                      </c:pt>
                      <c:pt idx="236">
                        <c:v>19</c:v>
                      </c:pt>
                      <c:pt idx="237">
                        <c:v>19</c:v>
                      </c:pt>
                      <c:pt idx="238">
                        <c:v>19</c:v>
                      </c:pt>
                    </c:numCache>
                  </c:numRef>
                </c:cat>
                <c:val>
                  <c:numRef>
                    <c:extLst xmlns:c15="http://schemas.microsoft.com/office/drawing/2012/chart">
                      <c:ext xmlns:c15="http://schemas.microsoft.com/office/drawing/2012/chart" uri="{02D57815-91ED-43cb-92C2-25804820EDAC}">
                        <c15:formulaRef>
                          <c15:sqref>Validity!$B$4:$B$242</c15:sqref>
                        </c15:formulaRef>
                      </c:ext>
                    </c:extLst>
                    <c:numCache>
                      <c:formatCode>General</c:formatCode>
                      <c:ptCount val="23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pt idx="100">
                        <c:v>101</c:v>
                      </c:pt>
                      <c:pt idx="101">
                        <c:v>102</c:v>
                      </c:pt>
                      <c:pt idx="102">
                        <c:v>103</c:v>
                      </c:pt>
                      <c:pt idx="103">
                        <c:v>104</c:v>
                      </c:pt>
                      <c:pt idx="104">
                        <c:v>105</c:v>
                      </c:pt>
                      <c:pt idx="105">
                        <c:v>106</c:v>
                      </c:pt>
                      <c:pt idx="106">
                        <c:v>107</c:v>
                      </c:pt>
                      <c:pt idx="107">
                        <c:v>108</c:v>
                      </c:pt>
                      <c:pt idx="108">
                        <c:v>109</c:v>
                      </c:pt>
                      <c:pt idx="109">
                        <c:v>110</c:v>
                      </c:pt>
                      <c:pt idx="110">
                        <c:v>111</c:v>
                      </c:pt>
                      <c:pt idx="111">
                        <c:v>112</c:v>
                      </c:pt>
                      <c:pt idx="112">
                        <c:v>113</c:v>
                      </c:pt>
                      <c:pt idx="113">
                        <c:v>114</c:v>
                      </c:pt>
                      <c:pt idx="114">
                        <c:v>115</c:v>
                      </c:pt>
                      <c:pt idx="115">
                        <c:v>116</c:v>
                      </c:pt>
                      <c:pt idx="116">
                        <c:v>117</c:v>
                      </c:pt>
                      <c:pt idx="117">
                        <c:v>118</c:v>
                      </c:pt>
                      <c:pt idx="118">
                        <c:v>119</c:v>
                      </c:pt>
                      <c:pt idx="119">
                        <c:v>120</c:v>
                      </c:pt>
                      <c:pt idx="120">
                        <c:v>121</c:v>
                      </c:pt>
                      <c:pt idx="121">
                        <c:v>122</c:v>
                      </c:pt>
                      <c:pt idx="122">
                        <c:v>123</c:v>
                      </c:pt>
                      <c:pt idx="123">
                        <c:v>124</c:v>
                      </c:pt>
                      <c:pt idx="124">
                        <c:v>125</c:v>
                      </c:pt>
                      <c:pt idx="125">
                        <c:v>126</c:v>
                      </c:pt>
                      <c:pt idx="126">
                        <c:v>127</c:v>
                      </c:pt>
                      <c:pt idx="127">
                        <c:v>128</c:v>
                      </c:pt>
                      <c:pt idx="128">
                        <c:v>129</c:v>
                      </c:pt>
                      <c:pt idx="129">
                        <c:v>130</c:v>
                      </c:pt>
                      <c:pt idx="130">
                        <c:v>131</c:v>
                      </c:pt>
                      <c:pt idx="131">
                        <c:v>132</c:v>
                      </c:pt>
                      <c:pt idx="132">
                        <c:v>133</c:v>
                      </c:pt>
                      <c:pt idx="133">
                        <c:v>134</c:v>
                      </c:pt>
                      <c:pt idx="134">
                        <c:v>135</c:v>
                      </c:pt>
                      <c:pt idx="135">
                        <c:v>136</c:v>
                      </c:pt>
                      <c:pt idx="136">
                        <c:v>137</c:v>
                      </c:pt>
                      <c:pt idx="137">
                        <c:v>138</c:v>
                      </c:pt>
                      <c:pt idx="138">
                        <c:v>139</c:v>
                      </c:pt>
                      <c:pt idx="139">
                        <c:v>140</c:v>
                      </c:pt>
                      <c:pt idx="140">
                        <c:v>141</c:v>
                      </c:pt>
                      <c:pt idx="141">
                        <c:v>142</c:v>
                      </c:pt>
                      <c:pt idx="142">
                        <c:v>143</c:v>
                      </c:pt>
                      <c:pt idx="143">
                        <c:v>144</c:v>
                      </c:pt>
                      <c:pt idx="144">
                        <c:v>145</c:v>
                      </c:pt>
                      <c:pt idx="145">
                        <c:v>146</c:v>
                      </c:pt>
                      <c:pt idx="146">
                        <c:v>147</c:v>
                      </c:pt>
                      <c:pt idx="147">
                        <c:v>148</c:v>
                      </c:pt>
                      <c:pt idx="148">
                        <c:v>149</c:v>
                      </c:pt>
                      <c:pt idx="149">
                        <c:v>150</c:v>
                      </c:pt>
                      <c:pt idx="150">
                        <c:v>151</c:v>
                      </c:pt>
                      <c:pt idx="151">
                        <c:v>152</c:v>
                      </c:pt>
                      <c:pt idx="152">
                        <c:v>153</c:v>
                      </c:pt>
                      <c:pt idx="153">
                        <c:v>154</c:v>
                      </c:pt>
                      <c:pt idx="154">
                        <c:v>155</c:v>
                      </c:pt>
                      <c:pt idx="155">
                        <c:v>156</c:v>
                      </c:pt>
                      <c:pt idx="156">
                        <c:v>157</c:v>
                      </c:pt>
                      <c:pt idx="157">
                        <c:v>158</c:v>
                      </c:pt>
                      <c:pt idx="158">
                        <c:v>159</c:v>
                      </c:pt>
                      <c:pt idx="159">
                        <c:v>160</c:v>
                      </c:pt>
                      <c:pt idx="160">
                        <c:v>161</c:v>
                      </c:pt>
                      <c:pt idx="161">
                        <c:v>162</c:v>
                      </c:pt>
                      <c:pt idx="162">
                        <c:v>163</c:v>
                      </c:pt>
                      <c:pt idx="163">
                        <c:v>164</c:v>
                      </c:pt>
                      <c:pt idx="164">
                        <c:v>165</c:v>
                      </c:pt>
                      <c:pt idx="165">
                        <c:v>166</c:v>
                      </c:pt>
                      <c:pt idx="166">
                        <c:v>167</c:v>
                      </c:pt>
                      <c:pt idx="167">
                        <c:v>168</c:v>
                      </c:pt>
                      <c:pt idx="168">
                        <c:v>169</c:v>
                      </c:pt>
                      <c:pt idx="169">
                        <c:v>170</c:v>
                      </c:pt>
                      <c:pt idx="170">
                        <c:v>171</c:v>
                      </c:pt>
                      <c:pt idx="171">
                        <c:v>172</c:v>
                      </c:pt>
                      <c:pt idx="172">
                        <c:v>173</c:v>
                      </c:pt>
                      <c:pt idx="173">
                        <c:v>174</c:v>
                      </c:pt>
                      <c:pt idx="174">
                        <c:v>175</c:v>
                      </c:pt>
                      <c:pt idx="175">
                        <c:v>176</c:v>
                      </c:pt>
                      <c:pt idx="176">
                        <c:v>177</c:v>
                      </c:pt>
                      <c:pt idx="177">
                        <c:v>178</c:v>
                      </c:pt>
                      <c:pt idx="178">
                        <c:v>179</c:v>
                      </c:pt>
                      <c:pt idx="179">
                        <c:v>180</c:v>
                      </c:pt>
                      <c:pt idx="180">
                        <c:v>181</c:v>
                      </c:pt>
                      <c:pt idx="181">
                        <c:v>182</c:v>
                      </c:pt>
                      <c:pt idx="182">
                        <c:v>183</c:v>
                      </c:pt>
                      <c:pt idx="183">
                        <c:v>184</c:v>
                      </c:pt>
                      <c:pt idx="184">
                        <c:v>185</c:v>
                      </c:pt>
                      <c:pt idx="185">
                        <c:v>186</c:v>
                      </c:pt>
                      <c:pt idx="186">
                        <c:v>187</c:v>
                      </c:pt>
                      <c:pt idx="187">
                        <c:v>188</c:v>
                      </c:pt>
                      <c:pt idx="188">
                        <c:v>189</c:v>
                      </c:pt>
                      <c:pt idx="189">
                        <c:v>190</c:v>
                      </c:pt>
                      <c:pt idx="190">
                        <c:v>191</c:v>
                      </c:pt>
                      <c:pt idx="191">
                        <c:v>192</c:v>
                      </c:pt>
                      <c:pt idx="192">
                        <c:v>193</c:v>
                      </c:pt>
                      <c:pt idx="193">
                        <c:v>194</c:v>
                      </c:pt>
                      <c:pt idx="194">
                        <c:v>195</c:v>
                      </c:pt>
                      <c:pt idx="195">
                        <c:v>196</c:v>
                      </c:pt>
                      <c:pt idx="196">
                        <c:v>197</c:v>
                      </c:pt>
                      <c:pt idx="197">
                        <c:v>198</c:v>
                      </c:pt>
                      <c:pt idx="198">
                        <c:v>199</c:v>
                      </c:pt>
                      <c:pt idx="199">
                        <c:v>200</c:v>
                      </c:pt>
                      <c:pt idx="200">
                        <c:v>201</c:v>
                      </c:pt>
                      <c:pt idx="201">
                        <c:v>202</c:v>
                      </c:pt>
                      <c:pt idx="202">
                        <c:v>203</c:v>
                      </c:pt>
                      <c:pt idx="203">
                        <c:v>204</c:v>
                      </c:pt>
                      <c:pt idx="204">
                        <c:v>205</c:v>
                      </c:pt>
                      <c:pt idx="205">
                        <c:v>206</c:v>
                      </c:pt>
                      <c:pt idx="206">
                        <c:v>207</c:v>
                      </c:pt>
                      <c:pt idx="207">
                        <c:v>208</c:v>
                      </c:pt>
                      <c:pt idx="208">
                        <c:v>209</c:v>
                      </c:pt>
                      <c:pt idx="209">
                        <c:v>210</c:v>
                      </c:pt>
                      <c:pt idx="210">
                        <c:v>211</c:v>
                      </c:pt>
                      <c:pt idx="211">
                        <c:v>212</c:v>
                      </c:pt>
                      <c:pt idx="212">
                        <c:v>213</c:v>
                      </c:pt>
                      <c:pt idx="213">
                        <c:v>214</c:v>
                      </c:pt>
                      <c:pt idx="214">
                        <c:v>215</c:v>
                      </c:pt>
                      <c:pt idx="215">
                        <c:v>216</c:v>
                      </c:pt>
                      <c:pt idx="216">
                        <c:v>217</c:v>
                      </c:pt>
                      <c:pt idx="217">
                        <c:v>218</c:v>
                      </c:pt>
                      <c:pt idx="218">
                        <c:v>219</c:v>
                      </c:pt>
                      <c:pt idx="219">
                        <c:v>220</c:v>
                      </c:pt>
                      <c:pt idx="220">
                        <c:v>221</c:v>
                      </c:pt>
                      <c:pt idx="221">
                        <c:v>222</c:v>
                      </c:pt>
                      <c:pt idx="222">
                        <c:v>223</c:v>
                      </c:pt>
                      <c:pt idx="223">
                        <c:v>224</c:v>
                      </c:pt>
                      <c:pt idx="224">
                        <c:v>225</c:v>
                      </c:pt>
                      <c:pt idx="225">
                        <c:v>226</c:v>
                      </c:pt>
                      <c:pt idx="226">
                        <c:v>227</c:v>
                      </c:pt>
                      <c:pt idx="227">
                        <c:v>228</c:v>
                      </c:pt>
                      <c:pt idx="228">
                        <c:v>229</c:v>
                      </c:pt>
                      <c:pt idx="229">
                        <c:v>230</c:v>
                      </c:pt>
                      <c:pt idx="230">
                        <c:v>231</c:v>
                      </c:pt>
                      <c:pt idx="231">
                        <c:v>232</c:v>
                      </c:pt>
                      <c:pt idx="232">
                        <c:v>233</c:v>
                      </c:pt>
                      <c:pt idx="233">
                        <c:v>234</c:v>
                      </c:pt>
                      <c:pt idx="234">
                        <c:v>235</c:v>
                      </c:pt>
                      <c:pt idx="235">
                        <c:v>236</c:v>
                      </c:pt>
                      <c:pt idx="236">
                        <c:v>237</c:v>
                      </c:pt>
                      <c:pt idx="237">
                        <c:v>238</c:v>
                      </c:pt>
                      <c:pt idx="238">
                        <c:v>239</c:v>
                      </c:pt>
                    </c:numCache>
                  </c:numRef>
                </c:val>
                <c:extLst xmlns:c15="http://schemas.microsoft.com/office/drawing/2012/chart">
                  <c:ext xmlns:c16="http://schemas.microsoft.com/office/drawing/2014/chart" uri="{C3380CC4-5D6E-409C-BE32-E72D297353CC}">
                    <c16:uniqueId val="{00000005-97B5-42CF-8AEE-E48FCD6A34E7}"/>
                  </c:ext>
                </c:extLst>
              </c15:ser>
            </c15:filteredAreaSeries>
            <c15:filteredAreaSeries>
              <c15:ser>
                <c:idx val="6"/>
                <c:order val="6"/>
                <c:tx>
                  <c:strRef>
                    <c:extLst xmlns:c15="http://schemas.microsoft.com/office/drawing/2012/chart">
                      <c:ext xmlns:c15="http://schemas.microsoft.com/office/drawing/2012/chart" uri="{02D57815-91ED-43cb-92C2-25804820EDAC}">
                        <c15:formulaRef>
                          <c15:sqref>Validity!$H$2</c15:sqref>
                        </c15:formulaRef>
                      </c:ext>
                    </c:extLst>
                    <c:strCache>
                      <c:ptCount val="1"/>
                      <c:pt idx="0">
                        <c:v>Prevalent</c:v>
                      </c:pt>
                    </c:strCache>
                  </c:strRef>
                </c:tx>
                <c:spPr>
                  <a:solidFill>
                    <a:schemeClr val="accent1">
                      <a:lumMod val="60000"/>
                    </a:schemeClr>
                  </a:solidFill>
                  <a:ln>
                    <a:noFill/>
                  </a:ln>
                  <a:effectLst/>
                </c:spPr>
                <c:cat>
                  <c:numRef>
                    <c:extLst xmlns:c15="http://schemas.microsoft.com/office/drawing/2012/chart">
                      <c:ext xmlns:c15="http://schemas.microsoft.com/office/drawing/2012/chart" uri="{02D57815-91ED-43cb-92C2-25804820EDAC}">
                        <c15:formulaRef>
                          <c15:sqref>Validity!$A$4:$A$242</c15:sqref>
                        </c15:formulaRef>
                      </c:ext>
                    </c:extLst>
                    <c:numCache>
                      <c:formatCode>General</c:formatCode>
                      <c:ptCount val="239"/>
                      <c:pt idx="0">
                        <c:v>0</c:v>
                      </c:pt>
                      <c:pt idx="1">
                        <c:v>0</c:v>
                      </c:pt>
                      <c:pt idx="2">
                        <c:v>0</c:v>
                      </c:pt>
                      <c:pt idx="3">
                        <c:v>0</c:v>
                      </c:pt>
                      <c:pt idx="4">
                        <c:v>0</c:v>
                      </c:pt>
                      <c:pt idx="5">
                        <c:v>0</c:v>
                      </c:pt>
                      <c:pt idx="6">
                        <c:v>0</c:v>
                      </c:pt>
                      <c:pt idx="7">
                        <c:v>0</c:v>
                      </c:pt>
                      <c:pt idx="8">
                        <c:v>0</c:v>
                      </c:pt>
                      <c:pt idx="9">
                        <c:v>0</c:v>
                      </c:pt>
                      <c:pt idx="10">
                        <c:v>0</c:v>
                      </c:pt>
                      <c:pt idx="11">
                        <c:v>1</c:v>
                      </c:pt>
                      <c:pt idx="12">
                        <c:v>1</c:v>
                      </c:pt>
                      <c:pt idx="13">
                        <c:v>1</c:v>
                      </c:pt>
                      <c:pt idx="14">
                        <c:v>1</c:v>
                      </c:pt>
                      <c:pt idx="15">
                        <c:v>1</c:v>
                      </c:pt>
                      <c:pt idx="16">
                        <c:v>1</c:v>
                      </c:pt>
                      <c:pt idx="17">
                        <c:v>1</c:v>
                      </c:pt>
                      <c:pt idx="18">
                        <c:v>1</c:v>
                      </c:pt>
                      <c:pt idx="19">
                        <c:v>1</c:v>
                      </c:pt>
                      <c:pt idx="20">
                        <c:v>1</c:v>
                      </c:pt>
                      <c:pt idx="21">
                        <c:v>1</c:v>
                      </c:pt>
                      <c:pt idx="22">
                        <c:v>1</c:v>
                      </c:pt>
                      <c:pt idx="23">
                        <c:v>2</c:v>
                      </c:pt>
                      <c:pt idx="24">
                        <c:v>2</c:v>
                      </c:pt>
                      <c:pt idx="25">
                        <c:v>2</c:v>
                      </c:pt>
                      <c:pt idx="26">
                        <c:v>2</c:v>
                      </c:pt>
                      <c:pt idx="27">
                        <c:v>2</c:v>
                      </c:pt>
                      <c:pt idx="28">
                        <c:v>2</c:v>
                      </c:pt>
                      <c:pt idx="29">
                        <c:v>2</c:v>
                      </c:pt>
                      <c:pt idx="30">
                        <c:v>2</c:v>
                      </c:pt>
                      <c:pt idx="31">
                        <c:v>2</c:v>
                      </c:pt>
                      <c:pt idx="32">
                        <c:v>2</c:v>
                      </c:pt>
                      <c:pt idx="33">
                        <c:v>2</c:v>
                      </c:pt>
                      <c:pt idx="34">
                        <c:v>2</c:v>
                      </c:pt>
                      <c:pt idx="35">
                        <c:v>3</c:v>
                      </c:pt>
                      <c:pt idx="36">
                        <c:v>3</c:v>
                      </c:pt>
                      <c:pt idx="37">
                        <c:v>3</c:v>
                      </c:pt>
                      <c:pt idx="38">
                        <c:v>3</c:v>
                      </c:pt>
                      <c:pt idx="39">
                        <c:v>3</c:v>
                      </c:pt>
                      <c:pt idx="40">
                        <c:v>3</c:v>
                      </c:pt>
                      <c:pt idx="41">
                        <c:v>3</c:v>
                      </c:pt>
                      <c:pt idx="42">
                        <c:v>3</c:v>
                      </c:pt>
                      <c:pt idx="43">
                        <c:v>3</c:v>
                      </c:pt>
                      <c:pt idx="44">
                        <c:v>3</c:v>
                      </c:pt>
                      <c:pt idx="45">
                        <c:v>3</c:v>
                      </c:pt>
                      <c:pt idx="46">
                        <c:v>3</c:v>
                      </c:pt>
                      <c:pt idx="47">
                        <c:v>4</c:v>
                      </c:pt>
                      <c:pt idx="48">
                        <c:v>4</c:v>
                      </c:pt>
                      <c:pt idx="49">
                        <c:v>4</c:v>
                      </c:pt>
                      <c:pt idx="50">
                        <c:v>4</c:v>
                      </c:pt>
                      <c:pt idx="51">
                        <c:v>4</c:v>
                      </c:pt>
                      <c:pt idx="52">
                        <c:v>4</c:v>
                      </c:pt>
                      <c:pt idx="53">
                        <c:v>4</c:v>
                      </c:pt>
                      <c:pt idx="54">
                        <c:v>4</c:v>
                      </c:pt>
                      <c:pt idx="55">
                        <c:v>4</c:v>
                      </c:pt>
                      <c:pt idx="56">
                        <c:v>4</c:v>
                      </c:pt>
                      <c:pt idx="57">
                        <c:v>4</c:v>
                      </c:pt>
                      <c:pt idx="58">
                        <c:v>4</c:v>
                      </c:pt>
                      <c:pt idx="59">
                        <c:v>5</c:v>
                      </c:pt>
                      <c:pt idx="60">
                        <c:v>5</c:v>
                      </c:pt>
                      <c:pt idx="61">
                        <c:v>5</c:v>
                      </c:pt>
                      <c:pt idx="62">
                        <c:v>5</c:v>
                      </c:pt>
                      <c:pt idx="63">
                        <c:v>5</c:v>
                      </c:pt>
                      <c:pt idx="64">
                        <c:v>5</c:v>
                      </c:pt>
                      <c:pt idx="65">
                        <c:v>5</c:v>
                      </c:pt>
                      <c:pt idx="66">
                        <c:v>5</c:v>
                      </c:pt>
                      <c:pt idx="67">
                        <c:v>5</c:v>
                      </c:pt>
                      <c:pt idx="68">
                        <c:v>5</c:v>
                      </c:pt>
                      <c:pt idx="69">
                        <c:v>5</c:v>
                      </c:pt>
                      <c:pt idx="70">
                        <c:v>5</c:v>
                      </c:pt>
                      <c:pt idx="71">
                        <c:v>6</c:v>
                      </c:pt>
                      <c:pt idx="72">
                        <c:v>6</c:v>
                      </c:pt>
                      <c:pt idx="73">
                        <c:v>6</c:v>
                      </c:pt>
                      <c:pt idx="74">
                        <c:v>6</c:v>
                      </c:pt>
                      <c:pt idx="75">
                        <c:v>6</c:v>
                      </c:pt>
                      <c:pt idx="76">
                        <c:v>6</c:v>
                      </c:pt>
                      <c:pt idx="77">
                        <c:v>6</c:v>
                      </c:pt>
                      <c:pt idx="78">
                        <c:v>6</c:v>
                      </c:pt>
                      <c:pt idx="79">
                        <c:v>6</c:v>
                      </c:pt>
                      <c:pt idx="80">
                        <c:v>6</c:v>
                      </c:pt>
                      <c:pt idx="81">
                        <c:v>6</c:v>
                      </c:pt>
                      <c:pt idx="82">
                        <c:v>6</c:v>
                      </c:pt>
                      <c:pt idx="83">
                        <c:v>7</c:v>
                      </c:pt>
                      <c:pt idx="84">
                        <c:v>7</c:v>
                      </c:pt>
                      <c:pt idx="85">
                        <c:v>7</c:v>
                      </c:pt>
                      <c:pt idx="86">
                        <c:v>7</c:v>
                      </c:pt>
                      <c:pt idx="87">
                        <c:v>7</c:v>
                      </c:pt>
                      <c:pt idx="88">
                        <c:v>7</c:v>
                      </c:pt>
                      <c:pt idx="89">
                        <c:v>7</c:v>
                      </c:pt>
                      <c:pt idx="90">
                        <c:v>7</c:v>
                      </c:pt>
                      <c:pt idx="91">
                        <c:v>7</c:v>
                      </c:pt>
                      <c:pt idx="92">
                        <c:v>7</c:v>
                      </c:pt>
                      <c:pt idx="93">
                        <c:v>7</c:v>
                      </c:pt>
                      <c:pt idx="94">
                        <c:v>7</c:v>
                      </c:pt>
                      <c:pt idx="95">
                        <c:v>8</c:v>
                      </c:pt>
                      <c:pt idx="96">
                        <c:v>8</c:v>
                      </c:pt>
                      <c:pt idx="97">
                        <c:v>8</c:v>
                      </c:pt>
                      <c:pt idx="98">
                        <c:v>8</c:v>
                      </c:pt>
                      <c:pt idx="99">
                        <c:v>8</c:v>
                      </c:pt>
                      <c:pt idx="100">
                        <c:v>8</c:v>
                      </c:pt>
                      <c:pt idx="101">
                        <c:v>8</c:v>
                      </c:pt>
                      <c:pt idx="102">
                        <c:v>8</c:v>
                      </c:pt>
                      <c:pt idx="103">
                        <c:v>8</c:v>
                      </c:pt>
                      <c:pt idx="104">
                        <c:v>8</c:v>
                      </c:pt>
                      <c:pt idx="105">
                        <c:v>8</c:v>
                      </c:pt>
                      <c:pt idx="106">
                        <c:v>8</c:v>
                      </c:pt>
                      <c:pt idx="107">
                        <c:v>9</c:v>
                      </c:pt>
                      <c:pt idx="108">
                        <c:v>9</c:v>
                      </c:pt>
                      <c:pt idx="109">
                        <c:v>9</c:v>
                      </c:pt>
                      <c:pt idx="110">
                        <c:v>9</c:v>
                      </c:pt>
                      <c:pt idx="111">
                        <c:v>9</c:v>
                      </c:pt>
                      <c:pt idx="112">
                        <c:v>9</c:v>
                      </c:pt>
                      <c:pt idx="113">
                        <c:v>9</c:v>
                      </c:pt>
                      <c:pt idx="114">
                        <c:v>9</c:v>
                      </c:pt>
                      <c:pt idx="115">
                        <c:v>9</c:v>
                      </c:pt>
                      <c:pt idx="116">
                        <c:v>9</c:v>
                      </c:pt>
                      <c:pt idx="117">
                        <c:v>9</c:v>
                      </c:pt>
                      <c:pt idx="118">
                        <c:v>9</c:v>
                      </c:pt>
                      <c:pt idx="119">
                        <c:v>10</c:v>
                      </c:pt>
                      <c:pt idx="120">
                        <c:v>10</c:v>
                      </c:pt>
                      <c:pt idx="121">
                        <c:v>10</c:v>
                      </c:pt>
                      <c:pt idx="122">
                        <c:v>10</c:v>
                      </c:pt>
                      <c:pt idx="123">
                        <c:v>10</c:v>
                      </c:pt>
                      <c:pt idx="124">
                        <c:v>10</c:v>
                      </c:pt>
                      <c:pt idx="125">
                        <c:v>10</c:v>
                      </c:pt>
                      <c:pt idx="126">
                        <c:v>10</c:v>
                      </c:pt>
                      <c:pt idx="127">
                        <c:v>10</c:v>
                      </c:pt>
                      <c:pt idx="128">
                        <c:v>10</c:v>
                      </c:pt>
                      <c:pt idx="129">
                        <c:v>10</c:v>
                      </c:pt>
                      <c:pt idx="130">
                        <c:v>10</c:v>
                      </c:pt>
                      <c:pt idx="131">
                        <c:v>11</c:v>
                      </c:pt>
                      <c:pt idx="132">
                        <c:v>11</c:v>
                      </c:pt>
                      <c:pt idx="133">
                        <c:v>11</c:v>
                      </c:pt>
                      <c:pt idx="134">
                        <c:v>11</c:v>
                      </c:pt>
                      <c:pt idx="135">
                        <c:v>11</c:v>
                      </c:pt>
                      <c:pt idx="136">
                        <c:v>11</c:v>
                      </c:pt>
                      <c:pt idx="137">
                        <c:v>11</c:v>
                      </c:pt>
                      <c:pt idx="138">
                        <c:v>11</c:v>
                      </c:pt>
                      <c:pt idx="139">
                        <c:v>11</c:v>
                      </c:pt>
                      <c:pt idx="140">
                        <c:v>11</c:v>
                      </c:pt>
                      <c:pt idx="141">
                        <c:v>11</c:v>
                      </c:pt>
                      <c:pt idx="142">
                        <c:v>11</c:v>
                      </c:pt>
                      <c:pt idx="143">
                        <c:v>12</c:v>
                      </c:pt>
                      <c:pt idx="144">
                        <c:v>12</c:v>
                      </c:pt>
                      <c:pt idx="145">
                        <c:v>12</c:v>
                      </c:pt>
                      <c:pt idx="146">
                        <c:v>12</c:v>
                      </c:pt>
                      <c:pt idx="147">
                        <c:v>12</c:v>
                      </c:pt>
                      <c:pt idx="148">
                        <c:v>12</c:v>
                      </c:pt>
                      <c:pt idx="149">
                        <c:v>12</c:v>
                      </c:pt>
                      <c:pt idx="150">
                        <c:v>12</c:v>
                      </c:pt>
                      <c:pt idx="151">
                        <c:v>12</c:v>
                      </c:pt>
                      <c:pt idx="152">
                        <c:v>12</c:v>
                      </c:pt>
                      <c:pt idx="153">
                        <c:v>12</c:v>
                      </c:pt>
                      <c:pt idx="154">
                        <c:v>12</c:v>
                      </c:pt>
                      <c:pt idx="155">
                        <c:v>13</c:v>
                      </c:pt>
                      <c:pt idx="156">
                        <c:v>13</c:v>
                      </c:pt>
                      <c:pt idx="157">
                        <c:v>13</c:v>
                      </c:pt>
                      <c:pt idx="158">
                        <c:v>13</c:v>
                      </c:pt>
                      <c:pt idx="159">
                        <c:v>13</c:v>
                      </c:pt>
                      <c:pt idx="160">
                        <c:v>13</c:v>
                      </c:pt>
                      <c:pt idx="161">
                        <c:v>13</c:v>
                      </c:pt>
                      <c:pt idx="162">
                        <c:v>13</c:v>
                      </c:pt>
                      <c:pt idx="163">
                        <c:v>13</c:v>
                      </c:pt>
                      <c:pt idx="164">
                        <c:v>13</c:v>
                      </c:pt>
                      <c:pt idx="165">
                        <c:v>13</c:v>
                      </c:pt>
                      <c:pt idx="166">
                        <c:v>13</c:v>
                      </c:pt>
                      <c:pt idx="167">
                        <c:v>14</c:v>
                      </c:pt>
                      <c:pt idx="168">
                        <c:v>14</c:v>
                      </c:pt>
                      <c:pt idx="169">
                        <c:v>14</c:v>
                      </c:pt>
                      <c:pt idx="170">
                        <c:v>14</c:v>
                      </c:pt>
                      <c:pt idx="171">
                        <c:v>14</c:v>
                      </c:pt>
                      <c:pt idx="172">
                        <c:v>14</c:v>
                      </c:pt>
                      <c:pt idx="173">
                        <c:v>14</c:v>
                      </c:pt>
                      <c:pt idx="174">
                        <c:v>14</c:v>
                      </c:pt>
                      <c:pt idx="175">
                        <c:v>14</c:v>
                      </c:pt>
                      <c:pt idx="176">
                        <c:v>14</c:v>
                      </c:pt>
                      <c:pt idx="177">
                        <c:v>14</c:v>
                      </c:pt>
                      <c:pt idx="178">
                        <c:v>14</c:v>
                      </c:pt>
                      <c:pt idx="179">
                        <c:v>15</c:v>
                      </c:pt>
                      <c:pt idx="180">
                        <c:v>15</c:v>
                      </c:pt>
                      <c:pt idx="181">
                        <c:v>15</c:v>
                      </c:pt>
                      <c:pt idx="182">
                        <c:v>15</c:v>
                      </c:pt>
                      <c:pt idx="183">
                        <c:v>15</c:v>
                      </c:pt>
                      <c:pt idx="184">
                        <c:v>15</c:v>
                      </c:pt>
                      <c:pt idx="185">
                        <c:v>15</c:v>
                      </c:pt>
                      <c:pt idx="186">
                        <c:v>15</c:v>
                      </c:pt>
                      <c:pt idx="187">
                        <c:v>15</c:v>
                      </c:pt>
                      <c:pt idx="188">
                        <c:v>15</c:v>
                      </c:pt>
                      <c:pt idx="189">
                        <c:v>15</c:v>
                      </c:pt>
                      <c:pt idx="190">
                        <c:v>15</c:v>
                      </c:pt>
                      <c:pt idx="191">
                        <c:v>16</c:v>
                      </c:pt>
                      <c:pt idx="192">
                        <c:v>16</c:v>
                      </c:pt>
                      <c:pt idx="193">
                        <c:v>16</c:v>
                      </c:pt>
                      <c:pt idx="194">
                        <c:v>16</c:v>
                      </c:pt>
                      <c:pt idx="195">
                        <c:v>16</c:v>
                      </c:pt>
                      <c:pt idx="196">
                        <c:v>16</c:v>
                      </c:pt>
                      <c:pt idx="197">
                        <c:v>16</c:v>
                      </c:pt>
                      <c:pt idx="198">
                        <c:v>16</c:v>
                      </c:pt>
                      <c:pt idx="199">
                        <c:v>16</c:v>
                      </c:pt>
                      <c:pt idx="200">
                        <c:v>16</c:v>
                      </c:pt>
                      <c:pt idx="201">
                        <c:v>16</c:v>
                      </c:pt>
                      <c:pt idx="202">
                        <c:v>16</c:v>
                      </c:pt>
                      <c:pt idx="203">
                        <c:v>17</c:v>
                      </c:pt>
                      <c:pt idx="204">
                        <c:v>17</c:v>
                      </c:pt>
                      <c:pt idx="205">
                        <c:v>17</c:v>
                      </c:pt>
                      <c:pt idx="206">
                        <c:v>17</c:v>
                      </c:pt>
                      <c:pt idx="207">
                        <c:v>17</c:v>
                      </c:pt>
                      <c:pt idx="208">
                        <c:v>17</c:v>
                      </c:pt>
                      <c:pt idx="209">
                        <c:v>17</c:v>
                      </c:pt>
                      <c:pt idx="210">
                        <c:v>17</c:v>
                      </c:pt>
                      <c:pt idx="211">
                        <c:v>17</c:v>
                      </c:pt>
                      <c:pt idx="212">
                        <c:v>17</c:v>
                      </c:pt>
                      <c:pt idx="213">
                        <c:v>17</c:v>
                      </c:pt>
                      <c:pt idx="214">
                        <c:v>17</c:v>
                      </c:pt>
                      <c:pt idx="215">
                        <c:v>18</c:v>
                      </c:pt>
                      <c:pt idx="216">
                        <c:v>18</c:v>
                      </c:pt>
                      <c:pt idx="217">
                        <c:v>18</c:v>
                      </c:pt>
                      <c:pt idx="218">
                        <c:v>18</c:v>
                      </c:pt>
                      <c:pt idx="219">
                        <c:v>18</c:v>
                      </c:pt>
                      <c:pt idx="220">
                        <c:v>18</c:v>
                      </c:pt>
                      <c:pt idx="221">
                        <c:v>18</c:v>
                      </c:pt>
                      <c:pt idx="222">
                        <c:v>18</c:v>
                      </c:pt>
                      <c:pt idx="223">
                        <c:v>18</c:v>
                      </c:pt>
                      <c:pt idx="224">
                        <c:v>18</c:v>
                      </c:pt>
                      <c:pt idx="225">
                        <c:v>18</c:v>
                      </c:pt>
                      <c:pt idx="226">
                        <c:v>18</c:v>
                      </c:pt>
                      <c:pt idx="227">
                        <c:v>19</c:v>
                      </c:pt>
                      <c:pt idx="228">
                        <c:v>19</c:v>
                      </c:pt>
                      <c:pt idx="229">
                        <c:v>19</c:v>
                      </c:pt>
                      <c:pt idx="230">
                        <c:v>19</c:v>
                      </c:pt>
                      <c:pt idx="231">
                        <c:v>19</c:v>
                      </c:pt>
                      <c:pt idx="232">
                        <c:v>19</c:v>
                      </c:pt>
                      <c:pt idx="233">
                        <c:v>19</c:v>
                      </c:pt>
                      <c:pt idx="234">
                        <c:v>19</c:v>
                      </c:pt>
                      <c:pt idx="235">
                        <c:v>19</c:v>
                      </c:pt>
                      <c:pt idx="236">
                        <c:v>19</c:v>
                      </c:pt>
                      <c:pt idx="237">
                        <c:v>19</c:v>
                      </c:pt>
                      <c:pt idx="238">
                        <c:v>19</c:v>
                      </c:pt>
                    </c:numCache>
                  </c:numRef>
                </c:cat>
                <c:val>
                  <c:numRef>
                    <c:extLst xmlns:c15="http://schemas.microsoft.com/office/drawing/2012/chart">
                      <c:ext xmlns:c15="http://schemas.microsoft.com/office/drawing/2012/chart" uri="{02D57815-91ED-43cb-92C2-25804820EDAC}">
                        <c15:formulaRef>
                          <c15:sqref>Validity!$H$4:$H$242</c15:sqref>
                        </c15:formulaRef>
                      </c:ext>
                    </c:extLst>
                    <c:numCache>
                      <c:formatCode>General</c:formatCode>
                      <c:ptCount val="239"/>
                      <c:pt idx="0">
                        <c:v>27420</c:v>
                      </c:pt>
                      <c:pt idx="1">
                        <c:v>27517</c:v>
                      </c:pt>
                      <c:pt idx="2">
                        <c:v>27618</c:v>
                      </c:pt>
                      <c:pt idx="3">
                        <c:v>27728</c:v>
                      </c:pt>
                      <c:pt idx="4">
                        <c:v>27849</c:v>
                      </c:pt>
                      <c:pt idx="5">
                        <c:v>27958</c:v>
                      </c:pt>
                      <c:pt idx="6">
                        <c:v>28058</c:v>
                      </c:pt>
                      <c:pt idx="7">
                        <c:v>28165</c:v>
                      </c:pt>
                      <c:pt idx="8">
                        <c:v>28285</c:v>
                      </c:pt>
                      <c:pt idx="9">
                        <c:v>28408</c:v>
                      </c:pt>
                      <c:pt idx="10">
                        <c:v>28521</c:v>
                      </c:pt>
                      <c:pt idx="11">
                        <c:v>28624</c:v>
                      </c:pt>
                      <c:pt idx="12">
                        <c:v>28735</c:v>
                      </c:pt>
                      <c:pt idx="13">
                        <c:v>28829</c:v>
                      </c:pt>
                      <c:pt idx="14">
                        <c:v>28932</c:v>
                      </c:pt>
                      <c:pt idx="15">
                        <c:v>29045</c:v>
                      </c:pt>
                      <c:pt idx="16">
                        <c:v>29155</c:v>
                      </c:pt>
                      <c:pt idx="17">
                        <c:v>29251</c:v>
                      </c:pt>
                      <c:pt idx="18">
                        <c:v>29366</c:v>
                      </c:pt>
                      <c:pt idx="19">
                        <c:v>29461</c:v>
                      </c:pt>
                      <c:pt idx="20">
                        <c:v>29555</c:v>
                      </c:pt>
                      <c:pt idx="21">
                        <c:v>29650</c:v>
                      </c:pt>
                      <c:pt idx="22">
                        <c:v>29738</c:v>
                      </c:pt>
                      <c:pt idx="23">
                        <c:v>29834</c:v>
                      </c:pt>
                      <c:pt idx="24">
                        <c:v>29954</c:v>
                      </c:pt>
                      <c:pt idx="25">
                        <c:v>30056</c:v>
                      </c:pt>
                      <c:pt idx="26">
                        <c:v>30170</c:v>
                      </c:pt>
                      <c:pt idx="27">
                        <c:v>30270</c:v>
                      </c:pt>
                      <c:pt idx="28">
                        <c:v>30368</c:v>
                      </c:pt>
                      <c:pt idx="29">
                        <c:v>30470</c:v>
                      </c:pt>
                      <c:pt idx="30">
                        <c:v>30567</c:v>
                      </c:pt>
                      <c:pt idx="31">
                        <c:v>30656</c:v>
                      </c:pt>
                      <c:pt idx="32">
                        <c:v>30761</c:v>
                      </c:pt>
                      <c:pt idx="33">
                        <c:v>30862</c:v>
                      </c:pt>
                      <c:pt idx="34">
                        <c:v>30972</c:v>
                      </c:pt>
                      <c:pt idx="35">
                        <c:v>31060</c:v>
                      </c:pt>
                      <c:pt idx="36">
                        <c:v>31174</c:v>
                      </c:pt>
                      <c:pt idx="37">
                        <c:v>31271</c:v>
                      </c:pt>
                      <c:pt idx="38">
                        <c:v>31365</c:v>
                      </c:pt>
                      <c:pt idx="39">
                        <c:v>31478</c:v>
                      </c:pt>
                      <c:pt idx="40">
                        <c:v>31571</c:v>
                      </c:pt>
                      <c:pt idx="41">
                        <c:v>31656</c:v>
                      </c:pt>
                      <c:pt idx="42">
                        <c:v>31754</c:v>
                      </c:pt>
                      <c:pt idx="43">
                        <c:v>31855</c:v>
                      </c:pt>
                      <c:pt idx="44">
                        <c:v>31946</c:v>
                      </c:pt>
                      <c:pt idx="45">
                        <c:v>32033</c:v>
                      </c:pt>
                      <c:pt idx="46">
                        <c:v>32130</c:v>
                      </c:pt>
                      <c:pt idx="47">
                        <c:v>32217</c:v>
                      </c:pt>
                      <c:pt idx="48">
                        <c:v>32308</c:v>
                      </c:pt>
                      <c:pt idx="49">
                        <c:v>32401</c:v>
                      </c:pt>
                      <c:pt idx="50">
                        <c:v>32493</c:v>
                      </c:pt>
                      <c:pt idx="51">
                        <c:v>32582</c:v>
                      </c:pt>
                      <c:pt idx="52">
                        <c:v>32675</c:v>
                      </c:pt>
                      <c:pt idx="53">
                        <c:v>32752</c:v>
                      </c:pt>
                      <c:pt idx="54">
                        <c:v>32849</c:v>
                      </c:pt>
                      <c:pt idx="55">
                        <c:v>32947</c:v>
                      </c:pt>
                      <c:pt idx="56">
                        <c:v>33025</c:v>
                      </c:pt>
                      <c:pt idx="57">
                        <c:v>33131</c:v>
                      </c:pt>
                      <c:pt idx="58">
                        <c:v>33229</c:v>
                      </c:pt>
                      <c:pt idx="59">
                        <c:v>33327</c:v>
                      </c:pt>
                      <c:pt idx="60">
                        <c:v>33422</c:v>
                      </c:pt>
                      <c:pt idx="61">
                        <c:v>33519</c:v>
                      </c:pt>
                      <c:pt idx="62">
                        <c:v>33606</c:v>
                      </c:pt>
                      <c:pt idx="63">
                        <c:v>33699</c:v>
                      </c:pt>
                      <c:pt idx="64">
                        <c:v>33791</c:v>
                      </c:pt>
                      <c:pt idx="65">
                        <c:v>33885</c:v>
                      </c:pt>
                      <c:pt idx="66">
                        <c:v>33977</c:v>
                      </c:pt>
                      <c:pt idx="67">
                        <c:v>34054</c:v>
                      </c:pt>
                      <c:pt idx="68">
                        <c:v>34134</c:v>
                      </c:pt>
                      <c:pt idx="69">
                        <c:v>34219</c:v>
                      </c:pt>
                      <c:pt idx="70">
                        <c:v>34343</c:v>
                      </c:pt>
                      <c:pt idx="71">
                        <c:v>34422</c:v>
                      </c:pt>
                      <c:pt idx="72">
                        <c:v>34499</c:v>
                      </c:pt>
                      <c:pt idx="73">
                        <c:v>34585</c:v>
                      </c:pt>
                      <c:pt idx="74">
                        <c:v>34674</c:v>
                      </c:pt>
                      <c:pt idx="75">
                        <c:v>34763</c:v>
                      </c:pt>
                      <c:pt idx="76">
                        <c:v>34842</c:v>
                      </c:pt>
                      <c:pt idx="77">
                        <c:v>34929</c:v>
                      </c:pt>
                      <c:pt idx="78">
                        <c:v>35018</c:v>
                      </c:pt>
                      <c:pt idx="79">
                        <c:v>35110</c:v>
                      </c:pt>
                      <c:pt idx="80">
                        <c:v>35191</c:v>
                      </c:pt>
                      <c:pt idx="81">
                        <c:v>35285</c:v>
                      </c:pt>
                      <c:pt idx="82">
                        <c:v>35371</c:v>
                      </c:pt>
                      <c:pt idx="83">
                        <c:v>35471</c:v>
                      </c:pt>
                      <c:pt idx="84">
                        <c:v>35553</c:v>
                      </c:pt>
                      <c:pt idx="85">
                        <c:v>35649</c:v>
                      </c:pt>
                      <c:pt idx="86">
                        <c:v>35729</c:v>
                      </c:pt>
                      <c:pt idx="87">
                        <c:v>35820</c:v>
                      </c:pt>
                      <c:pt idx="88">
                        <c:v>35905</c:v>
                      </c:pt>
                      <c:pt idx="89">
                        <c:v>36000</c:v>
                      </c:pt>
                      <c:pt idx="90">
                        <c:v>36085</c:v>
                      </c:pt>
                      <c:pt idx="91">
                        <c:v>36174</c:v>
                      </c:pt>
                      <c:pt idx="92">
                        <c:v>36254</c:v>
                      </c:pt>
                      <c:pt idx="93">
                        <c:v>36344</c:v>
                      </c:pt>
                      <c:pt idx="94">
                        <c:v>36435</c:v>
                      </c:pt>
                      <c:pt idx="95">
                        <c:v>36508</c:v>
                      </c:pt>
                      <c:pt idx="96">
                        <c:v>36605</c:v>
                      </c:pt>
                      <c:pt idx="97">
                        <c:v>36678</c:v>
                      </c:pt>
                      <c:pt idx="98">
                        <c:v>36757</c:v>
                      </c:pt>
                      <c:pt idx="99">
                        <c:v>36830</c:v>
                      </c:pt>
                      <c:pt idx="100">
                        <c:v>36898</c:v>
                      </c:pt>
                      <c:pt idx="101">
                        <c:v>36969</c:v>
                      </c:pt>
                      <c:pt idx="102">
                        <c:v>37063</c:v>
                      </c:pt>
                      <c:pt idx="103">
                        <c:v>37139</c:v>
                      </c:pt>
                      <c:pt idx="104">
                        <c:v>37208</c:v>
                      </c:pt>
                      <c:pt idx="105">
                        <c:v>37298</c:v>
                      </c:pt>
                      <c:pt idx="106">
                        <c:v>37382</c:v>
                      </c:pt>
                      <c:pt idx="107">
                        <c:v>37460</c:v>
                      </c:pt>
                      <c:pt idx="108">
                        <c:v>37544</c:v>
                      </c:pt>
                      <c:pt idx="109">
                        <c:v>37612</c:v>
                      </c:pt>
                      <c:pt idx="110">
                        <c:v>37692</c:v>
                      </c:pt>
                      <c:pt idx="111">
                        <c:v>37779</c:v>
                      </c:pt>
                      <c:pt idx="112">
                        <c:v>37862</c:v>
                      </c:pt>
                      <c:pt idx="113">
                        <c:v>37935</c:v>
                      </c:pt>
                      <c:pt idx="114">
                        <c:v>38023</c:v>
                      </c:pt>
                      <c:pt idx="115">
                        <c:v>38101</c:v>
                      </c:pt>
                      <c:pt idx="116">
                        <c:v>38194</c:v>
                      </c:pt>
                      <c:pt idx="117">
                        <c:v>38291</c:v>
                      </c:pt>
                      <c:pt idx="118">
                        <c:v>38367</c:v>
                      </c:pt>
                      <c:pt idx="119">
                        <c:v>38440</c:v>
                      </c:pt>
                      <c:pt idx="120">
                        <c:v>38521</c:v>
                      </c:pt>
                      <c:pt idx="121">
                        <c:v>38593</c:v>
                      </c:pt>
                      <c:pt idx="122">
                        <c:v>38682</c:v>
                      </c:pt>
                      <c:pt idx="123">
                        <c:v>38744</c:v>
                      </c:pt>
                      <c:pt idx="124">
                        <c:v>38813</c:v>
                      </c:pt>
                      <c:pt idx="125">
                        <c:v>38882</c:v>
                      </c:pt>
                      <c:pt idx="126">
                        <c:v>38961</c:v>
                      </c:pt>
                      <c:pt idx="127">
                        <c:v>39035</c:v>
                      </c:pt>
                      <c:pt idx="128">
                        <c:v>39095</c:v>
                      </c:pt>
                      <c:pt idx="129">
                        <c:v>39159</c:v>
                      </c:pt>
                      <c:pt idx="130">
                        <c:v>39212</c:v>
                      </c:pt>
                      <c:pt idx="131">
                        <c:v>39287</c:v>
                      </c:pt>
                      <c:pt idx="132">
                        <c:v>39371</c:v>
                      </c:pt>
                      <c:pt idx="133">
                        <c:v>39450</c:v>
                      </c:pt>
                      <c:pt idx="134">
                        <c:v>39520</c:v>
                      </c:pt>
                      <c:pt idx="135">
                        <c:v>39590</c:v>
                      </c:pt>
                      <c:pt idx="136">
                        <c:v>39659</c:v>
                      </c:pt>
                      <c:pt idx="137">
                        <c:v>39720</c:v>
                      </c:pt>
                      <c:pt idx="138">
                        <c:v>39785</c:v>
                      </c:pt>
                      <c:pt idx="139">
                        <c:v>39852</c:v>
                      </c:pt>
                      <c:pt idx="140">
                        <c:v>39931</c:v>
                      </c:pt>
                      <c:pt idx="141">
                        <c:v>40001</c:v>
                      </c:pt>
                      <c:pt idx="142">
                        <c:v>40070</c:v>
                      </c:pt>
                      <c:pt idx="143">
                        <c:v>40126</c:v>
                      </c:pt>
                      <c:pt idx="144">
                        <c:v>40185</c:v>
                      </c:pt>
                      <c:pt idx="145">
                        <c:v>40257</c:v>
                      </c:pt>
                      <c:pt idx="146">
                        <c:v>40302</c:v>
                      </c:pt>
                      <c:pt idx="147">
                        <c:v>40376</c:v>
                      </c:pt>
                      <c:pt idx="148">
                        <c:v>40452</c:v>
                      </c:pt>
                      <c:pt idx="149">
                        <c:v>40540</c:v>
                      </c:pt>
                      <c:pt idx="150">
                        <c:v>40612</c:v>
                      </c:pt>
                      <c:pt idx="151">
                        <c:v>40684</c:v>
                      </c:pt>
                      <c:pt idx="152">
                        <c:v>40763</c:v>
                      </c:pt>
                      <c:pt idx="153">
                        <c:v>40838</c:v>
                      </c:pt>
                      <c:pt idx="154">
                        <c:v>40909</c:v>
                      </c:pt>
                      <c:pt idx="155">
                        <c:v>40968</c:v>
                      </c:pt>
                      <c:pt idx="156">
                        <c:v>41042</c:v>
                      </c:pt>
                      <c:pt idx="157">
                        <c:v>41107</c:v>
                      </c:pt>
                      <c:pt idx="158">
                        <c:v>41172</c:v>
                      </c:pt>
                      <c:pt idx="159">
                        <c:v>41244</c:v>
                      </c:pt>
                      <c:pt idx="160">
                        <c:v>41314</c:v>
                      </c:pt>
                      <c:pt idx="161">
                        <c:v>41381</c:v>
                      </c:pt>
                      <c:pt idx="162">
                        <c:v>41450</c:v>
                      </c:pt>
                      <c:pt idx="163">
                        <c:v>41531</c:v>
                      </c:pt>
                      <c:pt idx="164">
                        <c:v>41616</c:v>
                      </c:pt>
                      <c:pt idx="165">
                        <c:v>41691</c:v>
                      </c:pt>
                      <c:pt idx="166">
                        <c:v>41751</c:v>
                      </c:pt>
                      <c:pt idx="167">
                        <c:v>41814</c:v>
                      </c:pt>
                      <c:pt idx="168">
                        <c:v>41872</c:v>
                      </c:pt>
                      <c:pt idx="169">
                        <c:v>41943</c:v>
                      </c:pt>
                      <c:pt idx="170">
                        <c:v>42021</c:v>
                      </c:pt>
                      <c:pt idx="171">
                        <c:v>42098</c:v>
                      </c:pt>
                      <c:pt idx="172">
                        <c:v>42172</c:v>
                      </c:pt>
                      <c:pt idx="173">
                        <c:v>42247</c:v>
                      </c:pt>
                      <c:pt idx="174">
                        <c:v>42324</c:v>
                      </c:pt>
                      <c:pt idx="175">
                        <c:v>42396</c:v>
                      </c:pt>
                      <c:pt idx="176">
                        <c:v>42472</c:v>
                      </c:pt>
                      <c:pt idx="177">
                        <c:v>42533</c:v>
                      </c:pt>
                      <c:pt idx="178">
                        <c:v>42603</c:v>
                      </c:pt>
                      <c:pt idx="179">
                        <c:v>42664</c:v>
                      </c:pt>
                      <c:pt idx="180">
                        <c:v>42736</c:v>
                      </c:pt>
                      <c:pt idx="181">
                        <c:v>42820</c:v>
                      </c:pt>
                      <c:pt idx="182">
                        <c:v>42879</c:v>
                      </c:pt>
                      <c:pt idx="183">
                        <c:v>42961</c:v>
                      </c:pt>
                      <c:pt idx="184">
                        <c:v>43034</c:v>
                      </c:pt>
                      <c:pt idx="185">
                        <c:v>43100</c:v>
                      </c:pt>
                      <c:pt idx="186">
                        <c:v>43182</c:v>
                      </c:pt>
                      <c:pt idx="187">
                        <c:v>43251</c:v>
                      </c:pt>
                      <c:pt idx="188">
                        <c:v>43318</c:v>
                      </c:pt>
                      <c:pt idx="189">
                        <c:v>43378</c:v>
                      </c:pt>
                      <c:pt idx="190">
                        <c:v>43459</c:v>
                      </c:pt>
                      <c:pt idx="191">
                        <c:v>43532</c:v>
                      </c:pt>
                      <c:pt idx="192">
                        <c:v>43590</c:v>
                      </c:pt>
                      <c:pt idx="193">
                        <c:v>43682</c:v>
                      </c:pt>
                      <c:pt idx="194">
                        <c:v>43734</c:v>
                      </c:pt>
                      <c:pt idx="195">
                        <c:v>43802</c:v>
                      </c:pt>
                      <c:pt idx="196">
                        <c:v>43893</c:v>
                      </c:pt>
                      <c:pt idx="197">
                        <c:v>43982</c:v>
                      </c:pt>
                      <c:pt idx="198">
                        <c:v>44054</c:v>
                      </c:pt>
                      <c:pt idx="199">
                        <c:v>44121</c:v>
                      </c:pt>
                      <c:pt idx="200">
                        <c:v>44164</c:v>
                      </c:pt>
                      <c:pt idx="201">
                        <c:v>44225</c:v>
                      </c:pt>
                      <c:pt idx="202">
                        <c:v>44300</c:v>
                      </c:pt>
                      <c:pt idx="203">
                        <c:v>44358</c:v>
                      </c:pt>
                      <c:pt idx="204">
                        <c:v>44441</c:v>
                      </c:pt>
                      <c:pt idx="205">
                        <c:v>44498</c:v>
                      </c:pt>
                      <c:pt idx="206">
                        <c:v>44578</c:v>
                      </c:pt>
                      <c:pt idx="207">
                        <c:v>44646</c:v>
                      </c:pt>
                      <c:pt idx="208">
                        <c:v>44735</c:v>
                      </c:pt>
                      <c:pt idx="209">
                        <c:v>44792</c:v>
                      </c:pt>
                      <c:pt idx="210">
                        <c:v>44864</c:v>
                      </c:pt>
                      <c:pt idx="211">
                        <c:v>44905</c:v>
                      </c:pt>
                      <c:pt idx="212">
                        <c:v>44977</c:v>
                      </c:pt>
                      <c:pt idx="213">
                        <c:v>45052</c:v>
                      </c:pt>
                      <c:pt idx="214">
                        <c:v>45120</c:v>
                      </c:pt>
                      <c:pt idx="215">
                        <c:v>45182</c:v>
                      </c:pt>
                      <c:pt idx="216">
                        <c:v>45243</c:v>
                      </c:pt>
                      <c:pt idx="217">
                        <c:v>45290</c:v>
                      </c:pt>
                      <c:pt idx="218">
                        <c:v>45356</c:v>
                      </c:pt>
                      <c:pt idx="219">
                        <c:v>45432</c:v>
                      </c:pt>
                      <c:pt idx="220">
                        <c:v>45487</c:v>
                      </c:pt>
                      <c:pt idx="221">
                        <c:v>45555</c:v>
                      </c:pt>
                      <c:pt idx="222">
                        <c:v>45607</c:v>
                      </c:pt>
                      <c:pt idx="223">
                        <c:v>45645</c:v>
                      </c:pt>
                      <c:pt idx="224">
                        <c:v>45697</c:v>
                      </c:pt>
                      <c:pt idx="225">
                        <c:v>45747</c:v>
                      </c:pt>
                      <c:pt idx="226">
                        <c:v>45797</c:v>
                      </c:pt>
                      <c:pt idx="227">
                        <c:v>45854</c:v>
                      </c:pt>
                      <c:pt idx="228">
                        <c:v>45910</c:v>
                      </c:pt>
                      <c:pt idx="229">
                        <c:v>45973</c:v>
                      </c:pt>
                      <c:pt idx="230">
                        <c:v>46034</c:v>
                      </c:pt>
                      <c:pt idx="231">
                        <c:v>46091</c:v>
                      </c:pt>
                      <c:pt idx="232">
                        <c:v>46150</c:v>
                      </c:pt>
                      <c:pt idx="233">
                        <c:v>46208</c:v>
                      </c:pt>
                      <c:pt idx="234">
                        <c:v>46273</c:v>
                      </c:pt>
                      <c:pt idx="235">
                        <c:v>46351</c:v>
                      </c:pt>
                      <c:pt idx="236">
                        <c:v>46403</c:v>
                      </c:pt>
                      <c:pt idx="237">
                        <c:v>46467</c:v>
                      </c:pt>
                      <c:pt idx="238">
                        <c:v>46528</c:v>
                      </c:pt>
                    </c:numCache>
                  </c:numRef>
                </c:val>
                <c:extLst xmlns:c15="http://schemas.microsoft.com/office/drawing/2012/chart">
                  <c:ext xmlns:c16="http://schemas.microsoft.com/office/drawing/2014/chart" uri="{C3380CC4-5D6E-409C-BE32-E72D297353CC}">
                    <c16:uniqueId val="{00000006-97B5-42CF-8AEE-E48FCD6A34E7}"/>
                  </c:ext>
                </c:extLst>
              </c15:ser>
            </c15:filteredAreaSeries>
          </c:ext>
        </c:extLst>
      </c:areaChart>
      <c:catAx>
        <c:axId val="3308220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Years</a:t>
                </a:r>
              </a:p>
            </c:rich>
          </c:tx>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823936"/>
        <c:crosses val="autoZero"/>
        <c:auto val="1"/>
        <c:lblAlgn val="ctr"/>
        <c:lblOffset val="100"/>
        <c:tickLblSkip val="12"/>
        <c:tickMarkSkip val="12"/>
        <c:noMultiLvlLbl val="0"/>
      </c:catAx>
      <c:valAx>
        <c:axId val="3308239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Persons</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822016"/>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Predicted incidence</a:t>
            </a:r>
            <a:r>
              <a:rPr lang="en-AU" baseline="0"/>
              <a:t> of HIV infection and death without PrEP</a:t>
            </a:r>
            <a:endParaRPr lang="en-AU"/>
          </a:p>
        </c:rich>
      </c:tx>
      <c:layout/>
      <c:overlay val="0"/>
      <c:spPr>
        <a:noFill/>
        <a:ln>
          <a:noFill/>
        </a:ln>
        <a:effectLst/>
      </c:spPr>
    </c:title>
    <c:autoTitleDeleted val="0"/>
    <c:plotArea>
      <c:layout/>
      <c:lineChart>
        <c:grouping val="standard"/>
        <c:varyColors val="0"/>
        <c:ser>
          <c:idx val="1"/>
          <c:order val="0"/>
          <c:tx>
            <c:strRef>
              <c:f>Validity!$AA$27</c:f>
              <c:strCache>
                <c:ptCount val="1"/>
                <c:pt idx="0">
                  <c:v>Incidence</c:v>
                </c:pt>
              </c:strCache>
            </c:strRef>
          </c:tx>
          <c:spPr>
            <a:ln w="28575" cap="rnd">
              <a:solidFill>
                <a:schemeClr val="accent2"/>
              </a:solidFill>
              <a:round/>
            </a:ln>
            <a:effectLst/>
          </c:spPr>
          <c:marker>
            <c:symbol val="none"/>
          </c:marker>
          <c:cat>
            <c:numRef>
              <c:f>Validity!$Z$28:$Z$47</c:f>
              <c:numCache>
                <c:formatCode>General</c:formatCode>
                <c:ptCount val="2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numCache>
            </c:numRef>
          </c:cat>
          <c:val>
            <c:numRef>
              <c:f>Validity!$AA$28:$AA$47</c:f>
              <c:numCache>
                <c:formatCode>General</c:formatCode>
                <c:ptCount val="20"/>
                <c:pt idx="0">
                  <c:v>1118</c:v>
                </c:pt>
                <c:pt idx="1">
                  <c:v>1054</c:v>
                </c:pt>
                <c:pt idx="2">
                  <c:v>1078</c:v>
                </c:pt>
                <c:pt idx="3">
                  <c:v>1026</c:v>
                </c:pt>
                <c:pt idx="4">
                  <c:v>997</c:v>
                </c:pt>
                <c:pt idx="5">
                  <c:v>1000</c:v>
                </c:pt>
                <c:pt idx="6">
                  <c:v>976</c:v>
                </c:pt>
                <c:pt idx="7">
                  <c:v>983</c:v>
                </c:pt>
                <c:pt idx="8">
                  <c:v>917</c:v>
                </c:pt>
                <c:pt idx="9">
                  <c:v>951</c:v>
                </c:pt>
                <c:pt idx="10">
                  <c:v>860</c:v>
                </c:pt>
                <c:pt idx="11">
                  <c:v>859</c:v>
                </c:pt>
                <c:pt idx="12">
                  <c:v>912</c:v>
                </c:pt>
                <c:pt idx="13">
                  <c:v>935</c:v>
                </c:pt>
                <c:pt idx="14">
                  <c:v>957</c:v>
                </c:pt>
                <c:pt idx="15">
                  <c:v>988</c:v>
                </c:pt>
                <c:pt idx="16">
                  <c:v>1020</c:v>
                </c:pt>
                <c:pt idx="17">
                  <c:v>1037</c:v>
                </c:pt>
                <c:pt idx="18">
                  <c:v>945</c:v>
                </c:pt>
                <c:pt idx="19">
                  <c:v>1001</c:v>
                </c:pt>
              </c:numCache>
            </c:numRef>
          </c:val>
          <c:smooth val="0"/>
          <c:extLst xmlns:c16r2="http://schemas.microsoft.com/office/drawing/2015/06/chart">
            <c:ext xmlns:c16="http://schemas.microsoft.com/office/drawing/2014/chart" uri="{C3380CC4-5D6E-409C-BE32-E72D297353CC}">
              <c16:uniqueId val="{00000000-0979-4227-B515-17B4732BB17E}"/>
            </c:ext>
          </c:extLst>
        </c:ser>
        <c:ser>
          <c:idx val="2"/>
          <c:order val="1"/>
          <c:tx>
            <c:strRef>
              <c:f>Validity!$AB$27</c:f>
              <c:strCache>
                <c:ptCount val="1"/>
                <c:pt idx="0">
                  <c:v>Deaths</c:v>
                </c:pt>
              </c:strCache>
            </c:strRef>
          </c:tx>
          <c:spPr>
            <a:ln w="28575" cap="rnd">
              <a:solidFill>
                <a:schemeClr val="accent3"/>
              </a:solidFill>
              <a:round/>
            </a:ln>
            <a:effectLst/>
          </c:spPr>
          <c:marker>
            <c:symbol val="none"/>
          </c:marker>
          <c:cat>
            <c:numRef>
              <c:f>Validity!$Z$28:$Z$47</c:f>
              <c:numCache>
                <c:formatCode>General</c:formatCode>
                <c:ptCount val="2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numCache>
            </c:numRef>
          </c:cat>
          <c:val>
            <c:numRef>
              <c:f>Validity!$AB$28:$AB$47</c:f>
              <c:numCache>
                <c:formatCode>General</c:formatCode>
                <c:ptCount val="20"/>
                <c:pt idx="0">
                  <c:v>62</c:v>
                </c:pt>
                <c:pt idx="1">
                  <c:v>59</c:v>
                </c:pt>
                <c:pt idx="2">
                  <c:v>66</c:v>
                </c:pt>
                <c:pt idx="3">
                  <c:v>76</c:v>
                </c:pt>
                <c:pt idx="4">
                  <c:v>85</c:v>
                </c:pt>
                <c:pt idx="5">
                  <c:v>96</c:v>
                </c:pt>
                <c:pt idx="6">
                  <c:v>106</c:v>
                </c:pt>
                <c:pt idx="7">
                  <c:v>113</c:v>
                </c:pt>
                <c:pt idx="8">
                  <c:v>131</c:v>
                </c:pt>
                <c:pt idx="9">
                  <c:v>129</c:v>
                </c:pt>
                <c:pt idx="10">
                  <c:v>151</c:v>
                </c:pt>
                <c:pt idx="11">
                  <c:v>163</c:v>
                </c:pt>
                <c:pt idx="12">
                  <c:v>187</c:v>
                </c:pt>
                <c:pt idx="13">
                  <c:v>179</c:v>
                </c:pt>
                <c:pt idx="14">
                  <c:v>223</c:v>
                </c:pt>
                <c:pt idx="15">
                  <c:v>194</c:v>
                </c:pt>
                <c:pt idx="16">
                  <c:v>225</c:v>
                </c:pt>
                <c:pt idx="17">
                  <c:v>242</c:v>
                </c:pt>
                <c:pt idx="18">
                  <c:v>276</c:v>
                </c:pt>
                <c:pt idx="19">
                  <c:v>295</c:v>
                </c:pt>
              </c:numCache>
            </c:numRef>
          </c:val>
          <c:smooth val="0"/>
          <c:extLst xmlns:c16r2="http://schemas.microsoft.com/office/drawing/2015/06/chart">
            <c:ext xmlns:c16="http://schemas.microsoft.com/office/drawing/2014/chart" uri="{C3380CC4-5D6E-409C-BE32-E72D297353CC}">
              <c16:uniqueId val="{00000001-0979-4227-B515-17B4732BB17E}"/>
            </c:ext>
          </c:extLst>
        </c:ser>
        <c:dLbls>
          <c:showLegendKey val="0"/>
          <c:showVal val="0"/>
          <c:showCatName val="0"/>
          <c:showSerName val="0"/>
          <c:showPercent val="0"/>
          <c:showBubbleSize val="0"/>
        </c:dLbls>
        <c:marker val="1"/>
        <c:smooth val="0"/>
        <c:axId val="330912128"/>
        <c:axId val="330914048"/>
        <c:extLst xmlns:c16r2="http://schemas.microsoft.com/office/drawing/2015/06/chart">
          <c:ext xmlns:c15="http://schemas.microsoft.com/office/drawing/2012/chart" uri="{02D57815-91ED-43cb-92C2-25804820EDAC}">
            <c15:filteredLineSeries>
              <c15:ser>
                <c:idx val="0"/>
                <c:order val="0"/>
                <c:tx>
                  <c:strRef>
                    <c:extLst>
                      <c:ext uri="{02D57815-91ED-43cb-92C2-25804820EDAC}">
                        <c15:formulaRef>
                          <c15:sqref>Validity!$Z$27</c15:sqref>
                        </c15:formulaRef>
                      </c:ext>
                    </c:extLst>
                    <c:strCache>
                      <c:ptCount val="1"/>
                      <c:pt idx="0">
                        <c:v>Year</c:v>
                      </c:pt>
                    </c:strCache>
                  </c:strRef>
                </c:tx>
                <c:spPr>
                  <a:ln w="28575" cap="rnd">
                    <a:solidFill>
                      <a:schemeClr val="accent1"/>
                    </a:solidFill>
                    <a:round/>
                  </a:ln>
                  <a:effectLst/>
                </c:spPr>
                <c:marker>
                  <c:symbol val="none"/>
                </c:marker>
                <c:cat>
                  <c:numRef>
                    <c:extLst>
                      <c:ext uri="{02D57815-91ED-43cb-92C2-25804820EDAC}">
                        <c15:formulaRef>
                          <c15:sqref>Validity!$Z$28:$Z$47</c15:sqref>
                        </c15:formulaRef>
                      </c:ext>
                    </c:extLst>
                    <c:numCache>
                      <c:formatCode>General</c:formatCode>
                      <c:ptCount val="2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numCache>
                  </c:numRef>
                </c:cat>
                <c:val>
                  <c:numRef>
                    <c:extLst>
                      <c:ext uri="{02D57815-91ED-43cb-92C2-25804820EDAC}">
                        <c15:formulaRef>
                          <c15:sqref>Validity!$Z$28:$Z$47</c15:sqref>
                        </c15:formulaRef>
                      </c:ext>
                    </c:extLst>
                    <c:numCache>
                      <c:formatCode>General</c:formatCode>
                      <c:ptCount val="2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numCache>
                  </c:numRef>
                </c:val>
                <c:smooth val="0"/>
                <c:extLst>
                  <c:ext xmlns:c16="http://schemas.microsoft.com/office/drawing/2014/chart" uri="{C3380CC4-5D6E-409C-BE32-E72D297353CC}">
                    <c16:uniqueId val="{00000002-0979-4227-B515-17B4732BB17E}"/>
                  </c:ext>
                </c:extLst>
              </c15:ser>
            </c15:filteredLineSeries>
          </c:ext>
        </c:extLst>
      </c:lineChart>
      <c:catAx>
        <c:axId val="3309121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Years</a:t>
                </a:r>
              </a:p>
            </c:rich>
          </c:tx>
          <c:layout/>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914048"/>
        <c:crosses val="autoZero"/>
        <c:auto val="1"/>
        <c:lblAlgn val="ctr"/>
        <c:lblOffset val="100"/>
        <c:noMultiLvlLbl val="0"/>
      </c:catAx>
      <c:valAx>
        <c:axId val="33091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Events</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9121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D5367-8B62-4329-8EBA-4C8CCDB44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14267</Words>
  <Characters>81327</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2017-10-10T04:39:00Z</dcterms:created>
  <dcterms:modified xsi:type="dcterms:W3CDTF">2017-10-10T04:45:00Z</dcterms:modified>
</cp:coreProperties>
</file>