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80C" w:rsidRPr="00843E5D" w:rsidRDefault="0024657E" w:rsidP="008A50F1">
      <w:pPr>
        <w:pStyle w:val="Title"/>
        <w:ind w:left="720" w:hanging="720"/>
        <w:rPr>
          <w:rFonts w:asciiTheme="minorHAnsi" w:hAnsiTheme="minorHAnsi"/>
          <w:sz w:val="36"/>
          <w:szCs w:val="36"/>
        </w:rPr>
      </w:pPr>
      <w:bookmarkStart w:id="0" w:name="_GoBack"/>
      <w:bookmarkEnd w:id="0"/>
      <w:r w:rsidRPr="00843E5D">
        <w:rPr>
          <w:rFonts w:asciiTheme="minorHAnsi" w:hAnsiTheme="minorHAnsi"/>
          <w:sz w:val="36"/>
          <w:szCs w:val="36"/>
        </w:rPr>
        <w:t>6.14</w:t>
      </w:r>
      <w:r w:rsidR="007C0F57" w:rsidRPr="00843E5D">
        <w:rPr>
          <w:rFonts w:asciiTheme="minorHAnsi" w:hAnsiTheme="minorHAnsi"/>
          <w:sz w:val="36"/>
          <w:szCs w:val="36"/>
        </w:rPr>
        <w:tab/>
      </w:r>
      <w:r w:rsidRPr="00843E5D">
        <w:rPr>
          <w:rFonts w:asciiTheme="minorHAnsi" w:hAnsiTheme="minorHAnsi"/>
          <w:sz w:val="36"/>
          <w:szCs w:val="36"/>
        </w:rPr>
        <w:t>SECUKINUMAB</w:t>
      </w:r>
      <w:r w:rsidR="008A50F1" w:rsidRPr="00843E5D">
        <w:rPr>
          <w:rFonts w:asciiTheme="minorHAnsi" w:hAnsiTheme="minorHAnsi"/>
          <w:sz w:val="36"/>
          <w:szCs w:val="36"/>
        </w:rPr>
        <w:t xml:space="preserve"> </w:t>
      </w:r>
      <w:r w:rsidR="008A50F1" w:rsidRPr="00843E5D">
        <w:rPr>
          <w:rFonts w:asciiTheme="minorHAnsi" w:hAnsiTheme="minorHAnsi"/>
          <w:sz w:val="36"/>
          <w:szCs w:val="36"/>
        </w:rPr>
        <w:br/>
      </w:r>
      <w:r w:rsidR="00653A64" w:rsidRPr="00843E5D">
        <w:rPr>
          <w:rFonts w:asciiTheme="minorHAnsi" w:hAnsiTheme="minorHAnsi"/>
          <w:sz w:val="36"/>
          <w:szCs w:val="36"/>
        </w:rPr>
        <w:t>Injection 150 mg in 1 mL pre-filled pen</w:t>
      </w:r>
      <w:r w:rsidR="0004240E" w:rsidRPr="00843E5D">
        <w:rPr>
          <w:rFonts w:asciiTheme="minorHAnsi" w:hAnsiTheme="minorHAnsi"/>
          <w:sz w:val="36"/>
          <w:szCs w:val="36"/>
        </w:rPr>
        <w:t>,</w:t>
      </w:r>
      <w:r w:rsidR="008A50F1" w:rsidRPr="00843E5D">
        <w:rPr>
          <w:rFonts w:asciiTheme="minorHAnsi" w:hAnsiTheme="minorHAnsi"/>
          <w:sz w:val="36"/>
          <w:szCs w:val="36"/>
        </w:rPr>
        <w:t xml:space="preserve"> </w:t>
      </w:r>
      <w:r w:rsidR="008A50F1" w:rsidRPr="00843E5D">
        <w:rPr>
          <w:rFonts w:asciiTheme="minorHAnsi" w:hAnsiTheme="minorHAnsi"/>
          <w:sz w:val="36"/>
          <w:szCs w:val="36"/>
        </w:rPr>
        <w:br/>
      </w:r>
      <w:r w:rsidRPr="00843E5D">
        <w:rPr>
          <w:rFonts w:asciiTheme="minorHAnsi" w:hAnsiTheme="minorHAnsi"/>
          <w:sz w:val="36"/>
          <w:szCs w:val="36"/>
        </w:rPr>
        <w:t>Cosentyx</w:t>
      </w:r>
      <w:r w:rsidR="0004240E" w:rsidRPr="00843E5D">
        <w:rPr>
          <w:rFonts w:asciiTheme="minorHAnsi" w:hAnsiTheme="minorHAnsi"/>
          <w:sz w:val="36"/>
          <w:szCs w:val="36"/>
          <w:vertAlign w:val="superscript"/>
        </w:rPr>
        <w:t>®</w:t>
      </w:r>
      <w:r w:rsidR="00EF44A0" w:rsidRPr="00843E5D">
        <w:rPr>
          <w:rFonts w:asciiTheme="minorHAnsi" w:hAnsiTheme="minorHAnsi"/>
          <w:sz w:val="36"/>
          <w:szCs w:val="36"/>
        </w:rPr>
        <w:t xml:space="preserve">, </w:t>
      </w:r>
      <w:r w:rsidRPr="00843E5D">
        <w:rPr>
          <w:rFonts w:asciiTheme="minorHAnsi" w:hAnsiTheme="minorHAnsi"/>
          <w:sz w:val="36"/>
          <w:szCs w:val="36"/>
        </w:rPr>
        <w:t xml:space="preserve">Novartis Pharmaceuticals Australia Pty Ltd </w:t>
      </w:r>
    </w:p>
    <w:p w:rsidR="00C27B58" w:rsidRPr="00063CD3" w:rsidRDefault="00C27B58" w:rsidP="00C27B58">
      <w:pPr>
        <w:pStyle w:val="NoSpacing"/>
        <w:rPr>
          <w:rFonts w:asciiTheme="minorHAnsi" w:hAnsiTheme="minorHAnsi"/>
        </w:rPr>
      </w:pPr>
    </w:p>
    <w:p w:rsidR="00E15627" w:rsidRPr="00063CD3" w:rsidRDefault="00CE10C4" w:rsidP="00E15627">
      <w:pPr>
        <w:pStyle w:val="PBACHeading1"/>
      </w:pPr>
      <w:r w:rsidRPr="00063CD3">
        <w:t xml:space="preserve">Purpose of </w:t>
      </w:r>
      <w:r w:rsidR="0004240E" w:rsidRPr="00063CD3">
        <w:t>Application</w:t>
      </w:r>
    </w:p>
    <w:p w:rsidR="008A50F1" w:rsidRPr="00063CD3" w:rsidRDefault="008A50F1" w:rsidP="00E15627">
      <w:pPr>
        <w:rPr>
          <w:rFonts w:asciiTheme="minorHAnsi" w:hAnsiTheme="minorHAnsi"/>
        </w:rPr>
      </w:pPr>
    </w:p>
    <w:p w:rsidR="00F9629A" w:rsidRPr="00063CD3" w:rsidRDefault="00EF44A0" w:rsidP="0024657E">
      <w:pPr>
        <w:pStyle w:val="ListParagraph"/>
        <w:numPr>
          <w:ilvl w:val="1"/>
          <w:numId w:val="5"/>
        </w:numPr>
      </w:pPr>
      <w:r w:rsidRPr="00063CD3">
        <w:rPr>
          <w:szCs w:val="22"/>
        </w:rPr>
        <w:t>The mi</w:t>
      </w:r>
      <w:r w:rsidR="00FF2801" w:rsidRPr="00063CD3">
        <w:rPr>
          <w:szCs w:val="22"/>
        </w:rPr>
        <w:t>nor submission</w:t>
      </w:r>
      <w:r w:rsidR="00C7126F" w:rsidRPr="00063CD3">
        <w:rPr>
          <w:szCs w:val="22"/>
        </w:rPr>
        <w:t xml:space="preserve"> requested a change to the maximum quantity and </w:t>
      </w:r>
      <w:r w:rsidR="004D47B4" w:rsidRPr="00063CD3">
        <w:rPr>
          <w:szCs w:val="22"/>
        </w:rPr>
        <w:t>number of repeats per script of</w:t>
      </w:r>
      <w:r w:rsidR="00C7126F" w:rsidRPr="00063CD3">
        <w:rPr>
          <w:szCs w:val="22"/>
        </w:rPr>
        <w:t xml:space="preserve"> </w:t>
      </w:r>
      <w:r w:rsidR="00755EFC" w:rsidRPr="00063CD3">
        <w:rPr>
          <w:szCs w:val="22"/>
        </w:rPr>
        <w:t>secukinumab</w:t>
      </w:r>
      <w:r w:rsidR="004D47B4" w:rsidRPr="00063CD3">
        <w:rPr>
          <w:szCs w:val="22"/>
        </w:rPr>
        <w:t xml:space="preserve"> for</w:t>
      </w:r>
      <w:r w:rsidR="00755EFC" w:rsidRPr="00063CD3">
        <w:rPr>
          <w:szCs w:val="22"/>
        </w:rPr>
        <w:t xml:space="preserve"> continuing treatment </w:t>
      </w:r>
      <w:r w:rsidR="004D47B4" w:rsidRPr="00063CD3">
        <w:rPr>
          <w:szCs w:val="22"/>
        </w:rPr>
        <w:t>of severe</w:t>
      </w:r>
      <w:r w:rsidR="00C7126F" w:rsidRPr="00063CD3">
        <w:rPr>
          <w:szCs w:val="22"/>
        </w:rPr>
        <w:t xml:space="preserve"> chronic plaque psoriasis</w:t>
      </w:r>
      <w:r w:rsidR="008671C2" w:rsidRPr="00063CD3">
        <w:rPr>
          <w:szCs w:val="22"/>
        </w:rPr>
        <w:t>. The changes were requested to reduce the total number of patient c</w:t>
      </w:r>
      <w:r w:rsidR="004D47B4" w:rsidRPr="00063CD3">
        <w:rPr>
          <w:szCs w:val="22"/>
        </w:rPr>
        <w:t xml:space="preserve">o-payments per script to three to be </w:t>
      </w:r>
      <w:r w:rsidR="008671C2" w:rsidRPr="00063CD3">
        <w:rPr>
          <w:szCs w:val="22"/>
        </w:rPr>
        <w:t xml:space="preserve">consistent with the current PBS listing </w:t>
      </w:r>
      <w:r w:rsidR="004D47B4" w:rsidRPr="00063CD3">
        <w:rPr>
          <w:szCs w:val="22"/>
        </w:rPr>
        <w:t>of</w:t>
      </w:r>
      <w:r w:rsidR="008671C2" w:rsidRPr="00063CD3">
        <w:rPr>
          <w:szCs w:val="22"/>
        </w:rPr>
        <w:t xml:space="preserve"> ixekizumab for the same indication. </w:t>
      </w:r>
    </w:p>
    <w:p w:rsidR="00F6467C" w:rsidRPr="00063CD3" w:rsidRDefault="00F6467C" w:rsidP="00C27B58">
      <w:pPr>
        <w:pStyle w:val="NoSpacing"/>
        <w:rPr>
          <w:rFonts w:asciiTheme="minorHAnsi" w:hAnsiTheme="minorHAnsi"/>
        </w:rPr>
      </w:pPr>
    </w:p>
    <w:p w:rsidR="00962223" w:rsidRPr="00063CD3" w:rsidRDefault="006A12A5" w:rsidP="008A50F1">
      <w:pPr>
        <w:pStyle w:val="PBACHeading1"/>
      </w:pPr>
      <w:r w:rsidRPr="00063CD3">
        <w:t>Requested listing</w:t>
      </w:r>
    </w:p>
    <w:p w:rsidR="006A12A5" w:rsidRPr="00063CD3" w:rsidRDefault="006A12A5" w:rsidP="00882085">
      <w:pPr>
        <w:jc w:val="both"/>
        <w:rPr>
          <w:rFonts w:asciiTheme="minorHAnsi" w:hAnsiTheme="minorHAnsi"/>
          <w:b/>
          <w:sz w:val="22"/>
          <w:szCs w:val="22"/>
        </w:rPr>
      </w:pPr>
    </w:p>
    <w:p w:rsidR="00F86490" w:rsidRPr="00063CD3" w:rsidRDefault="00EF44A0" w:rsidP="009D1C55">
      <w:pPr>
        <w:pStyle w:val="ListParagraph"/>
        <w:numPr>
          <w:ilvl w:val="1"/>
          <w:numId w:val="5"/>
        </w:numPr>
        <w:rPr>
          <w:szCs w:val="22"/>
        </w:rPr>
      </w:pPr>
      <w:r w:rsidRPr="00063CD3">
        <w:rPr>
          <w:szCs w:val="22"/>
        </w:rPr>
        <w:t>The</w:t>
      </w:r>
      <w:r w:rsidR="00DD4920" w:rsidRPr="00063CD3">
        <w:rPr>
          <w:szCs w:val="22"/>
        </w:rPr>
        <w:t xml:space="preserve"> minor</w:t>
      </w:r>
      <w:r w:rsidRPr="00063CD3">
        <w:rPr>
          <w:szCs w:val="22"/>
        </w:rPr>
        <w:t xml:space="preserve"> submission </w:t>
      </w:r>
      <w:r w:rsidR="00FF2801" w:rsidRPr="00063CD3">
        <w:rPr>
          <w:szCs w:val="22"/>
        </w:rPr>
        <w:t>requested</w:t>
      </w:r>
      <w:r w:rsidRPr="00063CD3">
        <w:rPr>
          <w:szCs w:val="22"/>
        </w:rPr>
        <w:t xml:space="preserve"> </w:t>
      </w:r>
      <w:r w:rsidR="00F86490" w:rsidRPr="00063CD3">
        <w:rPr>
          <w:szCs w:val="22"/>
        </w:rPr>
        <w:t>amending the maximum quantity and number of repeats for continuing treatment of severe chronic plaque psoriasis as outlined below</w:t>
      </w:r>
      <w:r w:rsidR="009D1C55" w:rsidRPr="00063CD3">
        <w:rPr>
          <w:szCs w:val="22"/>
        </w:rPr>
        <w:t>.</w:t>
      </w:r>
      <w:r w:rsidR="00F06C72" w:rsidRPr="00063CD3">
        <w:rPr>
          <w:szCs w:val="22"/>
        </w:rPr>
        <w:t xml:space="preserve"> The requested changes are shown in </w:t>
      </w:r>
      <w:r w:rsidR="00F06C72" w:rsidRPr="00063CD3">
        <w:rPr>
          <w:i/>
          <w:szCs w:val="22"/>
        </w:rPr>
        <w:t>italics</w:t>
      </w:r>
      <w:r w:rsidR="00F06C72" w:rsidRPr="00063CD3">
        <w:rPr>
          <w:szCs w:val="22"/>
        </w:rPr>
        <w:t xml:space="preserve"> and </w:t>
      </w:r>
      <w:r w:rsidR="00B30791" w:rsidRPr="00063CD3">
        <w:rPr>
          <w:szCs w:val="22"/>
        </w:rPr>
        <w:t xml:space="preserve">deletions are in </w:t>
      </w:r>
      <w:r w:rsidR="00B30791" w:rsidRPr="00063CD3">
        <w:rPr>
          <w:strike/>
          <w:szCs w:val="22"/>
        </w:rPr>
        <w:t>strikethrough</w:t>
      </w:r>
      <w:r w:rsidR="00B30791" w:rsidRPr="00063CD3">
        <w:rPr>
          <w:szCs w:val="22"/>
        </w:rPr>
        <w:t xml:space="preserve">. </w:t>
      </w:r>
    </w:p>
    <w:p w:rsidR="00826F6D" w:rsidRPr="00063CD3" w:rsidRDefault="00826F6D" w:rsidP="00C27B58">
      <w:pPr>
        <w:pStyle w:val="NoSpacing"/>
        <w:rPr>
          <w:rFonts w:asciiTheme="minorHAnsi" w:hAnsiTheme="minorHAnsi"/>
        </w:rPr>
      </w:pPr>
    </w:p>
    <w:tbl>
      <w:tblPr>
        <w:tblW w:w="5000" w:type="pct"/>
        <w:tblLook w:val="0000" w:firstRow="0" w:lastRow="0" w:firstColumn="0" w:lastColumn="0" w:noHBand="0" w:noVBand="0"/>
      </w:tblPr>
      <w:tblGrid>
        <w:gridCol w:w="3447"/>
        <w:gridCol w:w="939"/>
        <w:gridCol w:w="784"/>
        <w:gridCol w:w="1253"/>
        <w:gridCol w:w="1253"/>
        <w:gridCol w:w="1566"/>
      </w:tblGrid>
      <w:tr w:rsidR="00826F6D" w:rsidRPr="00063CD3" w:rsidTr="001D23B9">
        <w:trPr>
          <w:cantSplit/>
          <w:trHeight w:val="918"/>
        </w:trPr>
        <w:tc>
          <w:tcPr>
            <w:tcW w:w="1865" w:type="pct"/>
            <w:tcBorders>
              <w:bottom w:val="single" w:sz="4" w:space="0" w:color="auto"/>
            </w:tcBorders>
          </w:tcPr>
          <w:p w:rsidR="00826F6D" w:rsidRPr="00063CD3" w:rsidRDefault="00826F6D" w:rsidP="00C27B58">
            <w:pPr>
              <w:keepNext/>
              <w:ind w:left="-108"/>
              <w:jc w:val="both"/>
              <w:rPr>
                <w:rFonts w:ascii="Arial Narrow" w:hAnsi="Arial Narrow" w:cs="Arial"/>
                <w:b/>
                <w:sz w:val="20"/>
                <w:szCs w:val="20"/>
              </w:rPr>
            </w:pPr>
            <w:r w:rsidRPr="00063CD3">
              <w:rPr>
                <w:rFonts w:ascii="Arial Narrow" w:hAnsi="Arial Narrow" w:cs="Arial"/>
                <w:b/>
                <w:sz w:val="20"/>
                <w:szCs w:val="20"/>
              </w:rPr>
              <w:t>Name, Restriction,</w:t>
            </w:r>
          </w:p>
          <w:p w:rsidR="00826F6D" w:rsidRPr="00063CD3" w:rsidRDefault="00826F6D" w:rsidP="00C27B58">
            <w:pPr>
              <w:keepNext/>
              <w:ind w:left="-108"/>
              <w:jc w:val="both"/>
              <w:rPr>
                <w:rFonts w:ascii="Arial Narrow" w:hAnsi="Arial Narrow" w:cs="Arial"/>
                <w:b/>
                <w:sz w:val="20"/>
                <w:szCs w:val="20"/>
              </w:rPr>
            </w:pPr>
            <w:r w:rsidRPr="00063CD3">
              <w:rPr>
                <w:rFonts w:ascii="Arial Narrow" w:hAnsi="Arial Narrow" w:cs="Arial"/>
                <w:b/>
                <w:sz w:val="20"/>
                <w:szCs w:val="20"/>
              </w:rPr>
              <w:t>Manner of administration and form</w:t>
            </w:r>
          </w:p>
        </w:tc>
        <w:tc>
          <w:tcPr>
            <w:tcW w:w="508" w:type="pct"/>
            <w:tcBorders>
              <w:bottom w:val="single" w:sz="4" w:space="0" w:color="auto"/>
            </w:tcBorders>
          </w:tcPr>
          <w:p w:rsidR="00826F6D" w:rsidRPr="00063CD3" w:rsidRDefault="00826F6D" w:rsidP="00C27B58">
            <w:pPr>
              <w:keepNext/>
              <w:ind w:left="-108"/>
              <w:jc w:val="both"/>
              <w:rPr>
                <w:rFonts w:ascii="Arial Narrow" w:hAnsi="Arial Narrow" w:cs="Arial"/>
                <w:b/>
                <w:sz w:val="20"/>
                <w:szCs w:val="20"/>
              </w:rPr>
            </w:pPr>
            <w:r w:rsidRPr="00063CD3">
              <w:rPr>
                <w:rFonts w:ascii="Arial Narrow" w:hAnsi="Arial Narrow" w:cs="Arial"/>
                <w:b/>
                <w:sz w:val="20"/>
                <w:szCs w:val="20"/>
              </w:rPr>
              <w:t>Max.</w:t>
            </w:r>
          </w:p>
          <w:p w:rsidR="00826F6D" w:rsidRPr="00063CD3" w:rsidRDefault="00826F6D" w:rsidP="00C27B58">
            <w:pPr>
              <w:keepNext/>
              <w:ind w:left="-108"/>
              <w:jc w:val="both"/>
              <w:rPr>
                <w:rFonts w:ascii="Arial Narrow" w:hAnsi="Arial Narrow" w:cs="Arial"/>
                <w:b/>
                <w:sz w:val="20"/>
                <w:szCs w:val="20"/>
              </w:rPr>
            </w:pPr>
            <w:r w:rsidRPr="00063CD3">
              <w:rPr>
                <w:rFonts w:ascii="Arial Narrow" w:hAnsi="Arial Narrow" w:cs="Arial"/>
                <w:b/>
                <w:sz w:val="20"/>
                <w:szCs w:val="20"/>
              </w:rPr>
              <w:t>Qty</w:t>
            </w:r>
          </w:p>
        </w:tc>
        <w:tc>
          <w:tcPr>
            <w:tcW w:w="424" w:type="pct"/>
            <w:tcBorders>
              <w:bottom w:val="single" w:sz="4" w:space="0" w:color="auto"/>
            </w:tcBorders>
          </w:tcPr>
          <w:p w:rsidR="00826F6D" w:rsidRPr="00063CD3" w:rsidRDefault="00826F6D" w:rsidP="00C27B58">
            <w:pPr>
              <w:keepNext/>
              <w:ind w:left="-108"/>
              <w:jc w:val="both"/>
              <w:rPr>
                <w:rFonts w:ascii="Arial Narrow" w:hAnsi="Arial Narrow" w:cs="Arial"/>
                <w:b/>
                <w:sz w:val="20"/>
                <w:szCs w:val="20"/>
              </w:rPr>
            </w:pPr>
            <w:r w:rsidRPr="00063CD3">
              <w:rPr>
                <w:rFonts w:ascii="Arial Narrow" w:hAnsi="Arial Narrow" w:cs="Arial"/>
                <w:b/>
                <w:sz w:val="20"/>
                <w:szCs w:val="20"/>
              </w:rPr>
              <w:t>№.of</w:t>
            </w:r>
          </w:p>
          <w:p w:rsidR="00826F6D" w:rsidRPr="00063CD3" w:rsidRDefault="00826F6D" w:rsidP="00C27B58">
            <w:pPr>
              <w:keepNext/>
              <w:ind w:left="-108"/>
              <w:jc w:val="both"/>
              <w:rPr>
                <w:rFonts w:ascii="Arial Narrow" w:hAnsi="Arial Narrow" w:cs="Arial"/>
                <w:b/>
                <w:sz w:val="20"/>
                <w:szCs w:val="20"/>
              </w:rPr>
            </w:pPr>
            <w:r w:rsidRPr="00063CD3">
              <w:rPr>
                <w:rFonts w:ascii="Arial Narrow" w:hAnsi="Arial Narrow" w:cs="Arial"/>
                <w:b/>
                <w:sz w:val="20"/>
                <w:szCs w:val="20"/>
              </w:rPr>
              <w:t>Rpts</w:t>
            </w:r>
          </w:p>
        </w:tc>
        <w:tc>
          <w:tcPr>
            <w:tcW w:w="678" w:type="pct"/>
            <w:tcBorders>
              <w:bottom w:val="single" w:sz="4" w:space="0" w:color="auto"/>
            </w:tcBorders>
          </w:tcPr>
          <w:p w:rsidR="00826F6D" w:rsidRPr="00063CD3" w:rsidRDefault="00826F6D" w:rsidP="00C27B58">
            <w:pPr>
              <w:keepNext/>
              <w:ind w:left="-108"/>
              <w:jc w:val="both"/>
              <w:rPr>
                <w:rFonts w:ascii="Arial Narrow" w:hAnsi="Arial Narrow" w:cs="Arial"/>
                <w:b/>
                <w:sz w:val="20"/>
                <w:szCs w:val="20"/>
              </w:rPr>
            </w:pPr>
            <w:r w:rsidRPr="00063CD3">
              <w:rPr>
                <w:rFonts w:ascii="Arial Narrow" w:hAnsi="Arial Narrow" w:cs="Arial"/>
                <w:b/>
                <w:sz w:val="20"/>
                <w:szCs w:val="20"/>
              </w:rPr>
              <w:t>Dispensed Price for Max. Qty</w:t>
            </w:r>
          </w:p>
        </w:tc>
        <w:tc>
          <w:tcPr>
            <w:tcW w:w="1525" w:type="pct"/>
            <w:gridSpan w:val="2"/>
            <w:tcBorders>
              <w:bottom w:val="single" w:sz="4" w:space="0" w:color="auto"/>
            </w:tcBorders>
          </w:tcPr>
          <w:p w:rsidR="00826F6D" w:rsidRPr="00C4091E" w:rsidRDefault="00826F6D" w:rsidP="00C27B58">
            <w:pPr>
              <w:keepNext/>
              <w:jc w:val="both"/>
              <w:rPr>
                <w:rFonts w:ascii="Arial Narrow" w:hAnsi="Arial Narrow" w:cs="Arial"/>
                <w:b/>
                <w:sz w:val="20"/>
                <w:szCs w:val="20"/>
              </w:rPr>
            </w:pPr>
            <w:r w:rsidRPr="00063CD3">
              <w:rPr>
                <w:rFonts w:ascii="Arial Narrow" w:hAnsi="Arial Narrow" w:cs="Arial"/>
                <w:b/>
                <w:sz w:val="20"/>
                <w:szCs w:val="20"/>
              </w:rPr>
              <w:t>Proprietary Name and Manufacturer</w:t>
            </w:r>
          </w:p>
        </w:tc>
      </w:tr>
      <w:tr w:rsidR="00826F6D" w:rsidRPr="00063CD3" w:rsidTr="001D23B9">
        <w:trPr>
          <w:cantSplit/>
          <w:trHeight w:val="918"/>
        </w:trPr>
        <w:tc>
          <w:tcPr>
            <w:tcW w:w="1865" w:type="pct"/>
          </w:tcPr>
          <w:p w:rsidR="00826F6D" w:rsidRPr="00063CD3" w:rsidRDefault="00811C62" w:rsidP="00C27B58">
            <w:pPr>
              <w:keepNext/>
              <w:ind w:left="-108"/>
              <w:jc w:val="both"/>
              <w:rPr>
                <w:rFonts w:ascii="Arial Narrow" w:hAnsi="Arial Narrow" w:cs="Arial"/>
                <w:sz w:val="20"/>
                <w:szCs w:val="20"/>
              </w:rPr>
            </w:pPr>
            <w:r w:rsidRPr="00063CD3">
              <w:rPr>
                <w:rFonts w:ascii="Arial Narrow" w:hAnsi="Arial Narrow" w:cs="Arial"/>
                <w:smallCaps/>
                <w:sz w:val="20"/>
                <w:szCs w:val="20"/>
              </w:rPr>
              <w:t>SECUKINUMAB</w:t>
            </w:r>
          </w:p>
          <w:p w:rsidR="00826F6D" w:rsidRPr="00063CD3" w:rsidRDefault="00811C62" w:rsidP="00C27B58">
            <w:pPr>
              <w:keepNext/>
              <w:ind w:left="-108"/>
              <w:jc w:val="both"/>
              <w:rPr>
                <w:rFonts w:ascii="Arial Narrow" w:hAnsi="Arial Narrow" w:cs="Arial"/>
                <w:sz w:val="20"/>
                <w:szCs w:val="20"/>
              </w:rPr>
            </w:pPr>
            <w:r w:rsidRPr="00063CD3">
              <w:rPr>
                <w:rFonts w:ascii="Arial Narrow" w:hAnsi="Arial Narrow" w:cs="Arial"/>
                <w:sz w:val="20"/>
                <w:szCs w:val="20"/>
              </w:rPr>
              <w:t>secukinumab 150 mg/mL injection, 2 x 1 mL injection devices</w:t>
            </w:r>
          </w:p>
        </w:tc>
        <w:tc>
          <w:tcPr>
            <w:tcW w:w="508" w:type="pct"/>
          </w:tcPr>
          <w:p w:rsidR="00826F6D" w:rsidRPr="00063CD3" w:rsidRDefault="00826F6D" w:rsidP="00C27B58">
            <w:pPr>
              <w:keepNext/>
              <w:ind w:left="-108"/>
              <w:jc w:val="both"/>
              <w:rPr>
                <w:rFonts w:ascii="Arial Narrow" w:hAnsi="Arial Narrow" w:cs="Arial"/>
                <w:sz w:val="20"/>
                <w:szCs w:val="20"/>
              </w:rPr>
            </w:pPr>
          </w:p>
          <w:p w:rsidR="00826F6D" w:rsidRPr="00063CD3" w:rsidRDefault="00DD4920" w:rsidP="00C27B58">
            <w:pPr>
              <w:keepNext/>
              <w:ind w:left="-108"/>
              <w:jc w:val="both"/>
              <w:rPr>
                <w:rFonts w:ascii="Arial Narrow" w:hAnsi="Arial Narrow" w:cs="Arial"/>
                <w:i/>
                <w:sz w:val="20"/>
                <w:szCs w:val="20"/>
              </w:rPr>
            </w:pPr>
            <w:r w:rsidRPr="00063CD3">
              <w:rPr>
                <w:rFonts w:ascii="Arial Narrow" w:hAnsi="Arial Narrow" w:cs="Arial"/>
                <w:sz w:val="20"/>
                <w:szCs w:val="20"/>
              </w:rPr>
              <w:t xml:space="preserve"> </w:t>
            </w:r>
            <w:r w:rsidR="009D1C55" w:rsidRPr="00063CD3">
              <w:rPr>
                <w:rFonts w:ascii="Arial Narrow" w:hAnsi="Arial Narrow" w:cs="Arial"/>
                <w:strike/>
                <w:sz w:val="20"/>
                <w:szCs w:val="20"/>
              </w:rPr>
              <w:t>1</w:t>
            </w:r>
            <w:r w:rsidR="009D1C55" w:rsidRPr="00063CD3">
              <w:rPr>
                <w:rFonts w:ascii="Arial Narrow" w:hAnsi="Arial Narrow" w:cs="Arial"/>
                <w:i/>
                <w:sz w:val="20"/>
                <w:szCs w:val="20"/>
              </w:rPr>
              <w:t>2</w:t>
            </w:r>
          </w:p>
        </w:tc>
        <w:tc>
          <w:tcPr>
            <w:tcW w:w="424" w:type="pct"/>
          </w:tcPr>
          <w:p w:rsidR="00826F6D" w:rsidRPr="00063CD3" w:rsidRDefault="00826F6D" w:rsidP="00C27B58">
            <w:pPr>
              <w:keepNext/>
              <w:ind w:left="-108"/>
              <w:jc w:val="both"/>
              <w:rPr>
                <w:rFonts w:ascii="Arial Narrow" w:hAnsi="Arial Narrow" w:cs="Arial"/>
                <w:sz w:val="20"/>
                <w:szCs w:val="20"/>
              </w:rPr>
            </w:pPr>
          </w:p>
          <w:p w:rsidR="00826F6D" w:rsidRPr="00063CD3" w:rsidRDefault="009D1C55" w:rsidP="00C27B58">
            <w:pPr>
              <w:keepNext/>
              <w:ind w:left="-108"/>
              <w:jc w:val="both"/>
              <w:rPr>
                <w:rFonts w:ascii="Arial Narrow" w:hAnsi="Arial Narrow" w:cs="Arial"/>
                <w:i/>
                <w:sz w:val="20"/>
                <w:szCs w:val="20"/>
              </w:rPr>
            </w:pPr>
            <w:r w:rsidRPr="00063CD3">
              <w:rPr>
                <w:rFonts w:ascii="Arial Narrow" w:hAnsi="Arial Narrow" w:cs="Arial"/>
                <w:strike/>
                <w:sz w:val="20"/>
                <w:szCs w:val="20"/>
              </w:rPr>
              <w:t>5</w:t>
            </w:r>
            <w:r w:rsidRPr="00063CD3">
              <w:rPr>
                <w:rFonts w:ascii="Arial Narrow" w:hAnsi="Arial Narrow" w:cs="Arial"/>
                <w:i/>
                <w:sz w:val="20"/>
                <w:szCs w:val="20"/>
              </w:rPr>
              <w:t>2</w:t>
            </w:r>
          </w:p>
        </w:tc>
        <w:tc>
          <w:tcPr>
            <w:tcW w:w="678" w:type="pct"/>
          </w:tcPr>
          <w:p w:rsidR="00826F6D" w:rsidRPr="00063CD3" w:rsidRDefault="00826F6D" w:rsidP="00C27B58">
            <w:pPr>
              <w:keepNext/>
              <w:ind w:left="-108"/>
              <w:jc w:val="both"/>
              <w:rPr>
                <w:rFonts w:ascii="Arial Narrow" w:hAnsi="Arial Narrow" w:cs="Arial"/>
                <w:sz w:val="20"/>
                <w:szCs w:val="20"/>
              </w:rPr>
            </w:pPr>
          </w:p>
          <w:p w:rsidR="00826F6D" w:rsidRPr="00063CD3" w:rsidRDefault="00F86490" w:rsidP="005D6D80">
            <w:pPr>
              <w:keepNext/>
              <w:ind w:left="-108"/>
              <w:jc w:val="both"/>
              <w:rPr>
                <w:rFonts w:ascii="Arial Narrow" w:hAnsi="Arial Narrow" w:cs="Arial"/>
                <w:sz w:val="20"/>
                <w:szCs w:val="20"/>
              </w:rPr>
            </w:pPr>
            <w:r w:rsidRPr="00063CD3">
              <w:rPr>
                <w:rFonts w:ascii="Arial Narrow" w:hAnsi="Arial Narrow" w:cs="Arial"/>
                <w:sz w:val="20"/>
                <w:szCs w:val="20"/>
              </w:rPr>
              <w:t>$1585.75</w:t>
            </w:r>
          </w:p>
        </w:tc>
        <w:tc>
          <w:tcPr>
            <w:tcW w:w="678" w:type="pct"/>
          </w:tcPr>
          <w:p w:rsidR="00C27B58" w:rsidRPr="00063CD3" w:rsidRDefault="00C27B58" w:rsidP="00C27B58">
            <w:pPr>
              <w:keepNext/>
              <w:jc w:val="both"/>
              <w:rPr>
                <w:rFonts w:ascii="Arial Narrow" w:hAnsi="Arial Narrow" w:cs="Arial"/>
                <w:sz w:val="20"/>
                <w:szCs w:val="20"/>
              </w:rPr>
            </w:pPr>
          </w:p>
          <w:p w:rsidR="00826F6D" w:rsidRPr="00063CD3" w:rsidRDefault="00F86490" w:rsidP="00C27B58">
            <w:pPr>
              <w:keepNext/>
              <w:jc w:val="both"/>
              <w:rPr>
                <w:rFonts w:ascii="Arial Narrow" w:hAnsi="Arial Narrow" w:cs="Arial"/>
                <w:sz w:val="20"/>
                <w:szCs w:val="20"/>
              </w:rPr>
            </w:pPr>
            <w:r w:rsidRPr="00063CD3">
              <w:rPr>
                <w:rFonts w:ascii="Arial Narrow" w:hAnsi="Arial Narrow" w:cs="Arial"/>
                <w:sz w:val="20"/>
                <w:szCs w:val="20"/>
              </w:rPr>
              <w:t>Cosentyx®</w:t>
            </w:r>
          </w:p>
        </w:tc>
        <w:tc>
          <w:tcPr>
            <w:tcW w:w="847" w:type="pct"/>
          </w:tcPr>
          <w:p w:rsidR="00C27B58" w:rsidRPr="00063CD3" w:rsidRDefault="00C27B58" w:rsidP="00F86490">
            <w:pPr>
              <w:keepNext/>
              <w:rPr>
                <w:rFonts w:ascii="Arial Narrow" w:hAnsi="Arial Narrow" w:cs="Arial"/>
                <w:sz w:val="20"/>
                <w:szCs w:val="20"/>
              </w:rPr>
            </w:pPr>
          </w:p>
          <w:p w:rsidR="00826F6D" w:rsidRPr="00063CD3" w:rsidRDefault="00F86490" w:rsidP="00F86490">
            <w:pPr>
              <w:keepNext/>
              <w:jc w:val="both"/>
              <w:rPr>
                <w:rFonts w:ascii="Arial Narrow" w:hAnsi="Arial Narrow" w:cs="Arial"/>
                <w:sz w:val="20"/>
                <w:szCs w:val="20"/>
              </w:rPr>
            </w:pPr>
            <w:r w:rsidRPr="00063CD3">
              <w:rPr>
                <w:rFonts w:ascii="Arial Narrow" w:hAnsi="Arial Narrow" w:cs="Arial"/>
                <w:sz w:val="20"/>
                <w:szCs w:val="20"/>
              </w:rPr>
              <w:t>Novartis Pharmaceuticals Australia Pty Ltd</w:t>
            </w:r>
          </w:p>
        </w:tc>
      </w:tr>
    </w:tbl>
    <w:p w:rsidR="009D1C55" w:rsidRPr="00063CD3" w:rsidRDefault="009D1C55" w:rsidP="009D1C55"/>
    <w:p w:rsidR="00CE10C4" w:rsidRPr="00063CD3" w:rsidRDefault="00CE10C4" w:rsidP="008A50F1">
      <w:pPr>
        <w:pStyle w:val="PBACHeading1"/>
      </w:pPr>
      <w:r w:rsidRPr="00063CD3">
        <w:t>Background</w:t>
      </w:r>
    </w:p>
    <w:p w:rsidR="006B0D94" w:rsidRPr="00063CD3" w:rsidRDefault="006B0D94" w:rsidP="00882085">
      <w:pPr>
        <w:pStyle w:val="ListParagraph"/>
        <w:rPr>
          <w:szCs w:val="22"/>
        </w:rPr>
      </w:pPr>
    </w:p>
    <w:p w:rsidR="006A12A5" w:rsidRPr="00063CD3" w:rsidRDefault="006A7789" w:rsidP="00882085">
      <w:pPr>
        <w:pStyle w:val="ListParagraph"/>
        <w:numPr>
          <w:ilvl w:val="1"/>
          <w:numId w:val="5"/>
        </w:numPr>
        <w:rPr>
          <w:szCs w:val="22"/>
        </w:rPr>
      </w:pPr>
      <w:r w:rsidRPr="00063CD3">
        <w:rPr>
          <w:szCs w:val="22"/>
        </w:rPr>
        <w:t>Secukinumab was recommended by the PBAC for the treatment of severe chronic plaque psoriasis that is refractory to treatment with non-biological disease modifying anti rheumatic drugs (DMARDs) at its March 2015 meeting.</w:t>
      </w:r>
    </w:p>
    <w:p w:rsidR="00F816CC" w:rsidRPr="00063CD3" w:rsidRDefault="00F816CC" w:rsidP="00F816CC">
      <w:pPr>
        <w:pStyle w:val="ListParagraph"/>
        <w:rPr>
          <w:szCs w:val="22"/>
        </w:rPr>
      </w:pPr>
    </w:p>
    <w:p w:rsidR="00E5622A" w:rsidRPr="00063CD3" w:rsidRDefault="00F816CC" w:rsidP="00882085">
      <w:pPr>
        <w:pStyle w:val="ListParagraph"/>
        <w:numPr>
          <w:ilvl w:val="1"/>
          <w:numId w:val="5"/>
        </w:numPr>
        <w:rPr>
          <w:szCs w:val="22"/>
        </w:rPr>
      </w:pPr>
      <w:r w:rsidRPr="00063CD3">
        <w:rPr>
          <w:szCs w:val="22"/>
        </w:rPr>
        <w:t xml:space="preserve">At its July 2016 meeting, </w:t>
      </w:r>
      <w:r w:rsidR="00E11B78" w:rsidRPr="00063CD3">
        <w:rPr>
          <w:szCs w:val="22"/>
        </w:rPr>
        <w:t xml:space="preserve">the PBAC recommended ixekizumab for the same indication. </w:t>
      </w:r>
      <w:r w:rsidR="00F06C72" w:rsidRPr="00063CD3">
        <w:rPr>
          <w:szCs w:val="22"/>
        </w:rPr>
        <w:t xml:space="preserve">The </w:t>
      </w:r>
      <w:r w:rsidR="00E11B78" w:rsidRPr="00063CD3">
        <w:rPr>
          <w:szCs w:val="22"/>
        </w:rPr>
        <w:t xml:space="preserve">PBAC </w:t>
      </w:r>
      <w:r w:rsidR="00AB3B3E" w:rsidRPr="00063CD3">
        <w:rPr>
          <w:szCs w:val="22"/>
        </w:rPr>
        <w:t xml:space="preserve">advised </w:t>
      </w:r>
      <w:r w:rsidR="00E11B78" w:rsidRPr="00063CD3">
        <w:rPr>
          <w:szCs w:val="22"/>
        </w:rPr>
        <w:t xml:space="preserve">that ixekizumab should be treated as interchangeable on an individual patient basis </w:t>
      </w:r>
      <w:r w:rsidR="00F06C72" w:rsidRPr="00063CD3">
        <w:rPr>
          <w:szCs w:val="22"/>
        </w:rPr>
        <w:t xml:space="preserve">with adalimumab, etanercept and secukinumab according to </w:t>
      </w:r>
      <w:r w:rsidR="00F6467C" w:rsidRPr="00063CD3">
        <w:rPr>
          <w:szCs w:val="22"/>
        </w:rPr>
        <w:t>S</w:t>
      </w:r>
      <w:r w:rsidR="00F06C72" w:rsidRPr="00063CD3">
        <w:rPr>
          <w:szCs w:val="22"/>
        </w:rPr>
        <w:t>101(3BA) advice.</w:t>
      </w:r>
    </w:p>
    <w:p w:rsidR="00E5622A" w:rsidRPr="00063CD3" w:rsidRDefault="00E5622A" w:rsidP="00E5622A">
      <w:pPr>
        <w:pStyle w:val="ListParagraph"/>
        <w:rPr>
          <w:szCs w:val="22"/>
        </w:rPr>
      </w:pPr>
    </w:p>
    <w:p w:rsidR="007E0213" w:rsidRPr="00063CD3" w:rsidRDefault="00E5622A" w:rsidP="007E0213">
      <w:pPr>
        <w:pStyle w:val="ListParagraph"/>
        <w:numPr>
          <w:ilvl w:val="1"/>
          <w:numId w:val="5"/>
        </w:numPr>
        <w:rPr>
          <w:szCs w:val="22"/>
        </w:rPr>
      </w:pPr>
      <w:r w:rsidRPr="00063CD3">
        <w:rPr>
          <w:szCs w:val="22"/>
        </w:rPr>
        <w:lastRenderedPageBreak/>
        <w:t>The maintenance dose</w:t>
      </w:r>
      <w:r w:rsidR="0082644D" w:rsidRPr="00063CD3">
        <w:rPr>
          <w:szCs w:val="22"/>
        </w:rPr>
        <w:t xml:space="preserve"> for</w:t>
      </w:r>
      <w:r w:rsidRPr="00063CD3">
        <w:rPr>
          <w:szCs w:val="22"/>
        </w:rPr>
        <w:t xml:space="preserve"> secukinumab </w:t>
      </w:r>
      <w:r w:rsidR="007E0213" w:rsidRPr="00063CD3">
        <w:rPr>
          <w:szCs w:val="22"/>
        </w:rPr>
        <w:t>is 300 mg every four weeks (beginning in week four of treatment). The current secukinumab restriction for the continuing treatment of severe chronic plaque psoriasis provides a maximum quantity of one pack containing a maximum quantity of two units of 150 mg/mL injections and five repeats per script. Each prescription therefore supplies approximately one month (four weeks) of continuing treatment.</w:t>
      </w:r>
    </w:p>
    <w:p w:rsidR="007E0213" w:rsidRPr="00E13BA7" w:rsidRDefault="007E0213" w:rsidP="0068322A">
      <w:pPr>
        <w:rPr>
          <w:rFonts w:asciiTheme="minorHAnsi" w:hAnsiTheme="minorHAnsi"/>
          <w:szCs w:val="22"/>
        </w:rPr>
      </w:pPr>
    </w:p>
    <w:p w:rsidR="007E0213" w:rsidRPr="00063CD3" w:rsidRDefault="007E0213" w:rsidP="007E0213">
      <w:pPr>
        <w:pStyle w:val="ListParagraph"/>
        <w:numPr>
          <w:ilvl w:val="1"/>
          <w:numId w:val="5"/>
        </w:numPr>
        <w:rPr>
          <w:szCs w:val="22"/>
        </w:rPr>
      </w:pPr>
      <w:r w:rsidRPr="00063CD3">
        <w:rPr>
          <w:szCs w:val="22"/>
        </w:rPr>
        <w:t>The m</w:t>
      </w:r>
      <w:r w:rsidR="0082644D" w:rsidRPr="00063CD3">
        <w:rPr>
          <w:szCs w:val="22"/>
        </w:rPr>
        <w:t>aintenance dose for</w:t>
      </w:r>
      <w:r w:rsidRPr="00063CD3">
        <w:rPr>
          <w:szCs w:val="22"/>
        </w:rPr>
        <w:t xml:space="preserve"> ixekizumab </w:t>
      </w:r>
      <w:r w:rsidR="0068322A" w:rsidRPr="00063CD3">
        <w:rPr>
          <w:szCs w:val="22"/>
        </w:rPr>
        <w:t>is 80</w:t>
      </w:r>
      <w:r w:rsidRPr="00063CD3">
        <w:rPr>
          <w:szCs w:val="22"/>
        </w:rPr>
        <w:t xml:space="preserve"> mg every four weeks (beginning in week 16 of treatment)</w:t>
      </w:r>
      <w:r w:rsidR="0068322A" w:rsidRPr="00063CD3">
        <w:rPr>
          <w:szCs w:val="22"/>
        </w:rPr>
        <w:t xml:space="preserve">. </w:t>
      </w:r>
      <w:r w:rsidRPr="00063CD3">
        <w:rPr>
          <w:szCs w:val="22"/>
        </w:rPr>
        <w:t xml:space="preserve">The current ixekizumab restriction for the same indication provides a maximum quantity of one pack containing a maximum quantity of two units of 80 mg/mL injections and two repeats per script. Accordingly, each </w:t>
      </w:r>
      <w:r w:rsidR="00063CD3" w:rsidRPr="00063CD3">
        <w:rPr>
          <w:szCs w:val="22"/>
        </w:rPr>
        <w:t>dispens</w:t>
      </w:r>
      <w:r w:rsidR="00063CD3">
        <w:rPr>
          <w:szCs w:val="22"/>
        </w:rPr>
        <w:t>ing</w:t>
      </w:r>
      <w:r w:rsidR="00063CD3" w:rsidRPr="00063CD3">
        <w:rPr>
          <w:szCs w:val="22"/>
        </w:rPr>
        <w:t xml:space="preserve"> </w:t>
      </w:r>
      <w:r w:rsidRPr="00063CD3">
        <w:rPr>
          <w:szCs w:val="22"/>
        </w:rPr>
        <w:t xml:space="preserve">supplies approximately two months (eight weeks) of treatment. </w:t>
      </w:r>
    </w:p>
    <w:p w:rsidR="00AB3B3E" w:rsidRPr="00063CD3" w:rsidRDefault="00AB3B3E" w:rsidP="0022105A">
      <w:pPr>
        <w:pStyle w:val="ListParagraph"/>
        <w:rPr>
          <w:szCs w:val="22"/>
        </w:rPr>
      </w:pPr>
    </w:p>
    <w:p w:rsidR="008A1956" w:rsidRPr="00B91CC3" w:rsidRDefault="00E62587" w:rsidP="00C94CBC">
      <w:pPr>
        <w:ind w:firstLine="720"/>
        <w:jc w:val="both"/>
        <w:rPr>
          <w:rFonts w:asciiTheme="minorHAnsi" w:hAnsiTheme="minorHAnsi"/>
          <w:sz w:val="20"/>
          <w:szCs w:val="22"/>
        </w:rPr>
      </w:pPr>
      <w:r w:rsidRPr="00B91CC3">
        <w:rPr>
          <w:rFonts w:asciiTheme="minorHAnsi" w:hAnsiTheme="minorHAnsi"/>
          <w:i/>
          <w:sz w:val="22"/>
        </w:rPr>
        <w:t xml:space="preserve">For more detail on PBAC’s view, see section </w:t>
      </w:r>
      <w:r w:rsidR="00867B13">
        <w:rPr>
          <w:rFonts w:asciiTheme="minorHAnsi" w:hAnsiTheme="minorHAnsi"/>
          <w:i/>
          <w:sz w:val="22"/>
        </w:rPr>
        <w:t>5</w:t>
      </w:r>
      <w:r w:rsidRPr="00B91CC3">
        <w:rPr>
          <w:rFonts w:asciiTheme="minorHAnsi" w:hAnsiTheme="minorHAnsi"/>
          <w:i/>
          <w:sz w:val="22"/>
        </w:rPr>
        <w:t xml:space="preserve"> “PBAC outcome.”</w:t>
      </w:r>
    </w:p>
    <w:p w:rsidR="00E62587" w:rsidRPr="00063CD3" w:rsidRDefault="00E62587" w:rsidP="00476245">
      <w:pPr>
        <w:jc w:val="both"/>
        <w:rPr>
          <w:rFonts w:asciiTheme="minorHAnsi" w:hAnsiTheme="minorHAnsi"/>
          <w:sz w:val="22"/>
          <w:szCs w:val="22"/>
        </w:rPr>
      </w:pPr>
    </w:p>
    <w:p w:rsidR="000B558D" w:rsidRPr="00063CD3" w:rsidRDefault="008D7A41" w:rsidP="008A50F1">
      <w:pPr>
        <w:pStyle w:val="PBACHeading1"/>
      </w:pPr>
      <w:r w:rsidRPr="00063CD3">
        <w:t>C</w:t>
      </w:r>
      <w:r w:rsidR="00D84934" w:rsidRPr="00063CD3">
        <w:t>onsideration of the evidence</w:t>
      </w:r>
    </w:p>
    <w:p w:rsidR="00BB7EC3" w:rsidRPr="00063CD3" w:rsidRDefault="00BB7EC3" w:rsidP="00F9629A">
      <w:pPr>
        <w:jc w:val="both"/>
        <w:rPr>
          <w:rFonts w:asciiTheme="minorHAnsi" w:hAnsiTheme="minorHAnsi"/>
          <w:sz w:val="22"/>
          <w:szCs w:val="22"/>
        </w:rPr>
      </w:pPr>
    </w:p>
    <w:p w:rsidR="00E62587" w:rsidRPr="00063CD3" w:rsidRDefault="00E62587" w:rsidP="00E62587">
      <w:pPr>
        <w:pStyle w:val="Heading2"/>
      </w:pPr>
      <w:r w:rsidRPr="00063CD3">
        <w:t>Sponsor hearing</w:t>
      </w:r>
    </w:p>
    <w:p w:rsidR="00E62587" w:rsidRPr="00063CD3" w:rsidRDefault="00E62587" w:rsidP="00E62587"/>
    <w:p w:rsidR="00E62587" w:rsidRPr="00063CD3" w:rsidRDefault="00E62587" w:rsidP="00E62587">
      <w:pPr>
        <w:pStyle w:val="ListParagraph"/>
        <w:numPr>
          <w:ilvl w:val="1"/>
          <w:numId w:val="5"/>
        </w:numPr>
        <w:rPr>
          <w:szCs w:val="22"/>
        </w:rPr>
      </w:pPr>
      <w:r w:rsidRPr="00063CD3">
        <w:rPr>
          <w:szCs w:val="22"/>
        </w:rPr>
        <w:t xml:space="preserve">There was no hearing for this item as it was a minor submission. </w:t>
      </w:r>
    </w:p>
    <w:p w:rsidR="00C0683B" w:rsidRPr="00063CD3" w:rsidRDefault="00C0683B" w:rsidP="00C0683B">
      <w:pPr>
        <w:pStyle w:val="ListParagraph"/>
        <w:rPr>
          <w:szCs w:val="22"/>
        </w:rPr>
      </w:pPr>
    </w:p>
    <w:p w:rsidR="00C0683B" w:rsidRPr="00063CD3" w:rsidRDefault="00C0683B" w:rsidP="00C0683B">
      <w:pPr>
        <w:pStyle w:val="Heading2"/>
      </w:pPr>
      <w:r w:rsidRPr="00063CD3">
        <w:t>Consumer comments</w:t>
      </w:r>
    </w:p>
    <w:p w:rsidR="00C0683B" w:rsidRPr="00063CD3" w:rsidRDefault="00C0683B" w:rsidP="00C0683B"/>
    <w:p w:rsidR="00C0683B" w:rsidRPr="00063CD3" w:rsidRDefault="00C0683B" w:rsidP="00C0683B">
      <w:pPr>
        <w:pStyle w:val="ListParagraph"/>
        <w:numPr>
          <w:ilvl w:val="1"/>
          <w:numId w:val="5"/>
        </w:numPr>
        <w:rPr>
          <w:szCs w:val="22"/>
        </w:rPr>
      </w:pPr>
      <w:r w:rsidRPr="00063CD3">
        <w:rPr>
          <w:szCs w:val="22"/>
        </w:rPr>
        <w:t xml:space="preserve">The PBAC noted that no consumer comments were received for this item. </w:t>
      </w:r>
    </w:p>
    <w:p w:rsidR="00E62587" w:rsidRPr="00063CD3" w:rsidRDefault="00E62587" w:rsidP="00F9629A">
      <w:pPr>
        <w:jc w:val="both"/>
        <w:rPr>
          <w:rFonts w:asciiTheme="minorHAnsi" w:hAnsiTheme="minorHAnsi"/>
          <w:sz w:val="22"/>
          <w:szCs w:val="22"/>
        </w:rPr>
      </w:pPr>
    </w:p>
    <w:p w:rsidR="00D84934" w:rsidRPr="00063CD3" w:rsidRDefault="00913B69" w:rsidP="00B1059E">
      <w:pPr>
        <w:pStyle w:val="Heading2"/>
      </w:pPr>
      <w:r w:rsidRPr="00063CD3">
        <w:t xml:space="preserve">Patient co-payment costs per year </w:t>
      </w:r>
    </w:p>
    <w:p w:rsidR="00D84934" w:rsidRPr="00063CD3" w:rsidRDefault="00D84934" w:rsidP="00F9629A">
      <w:pPr>
        <w:jc w:val="both"/>
        <w:rPr>
          <w:rFonts w:asciiTheme="minorHAnsi" w:hAnsiTheme="minorHAnsi"/>
          <w:sz w:val="22"/>
          <w:szCs w:val="22"/>
        </w:rPr>
      </w:pPr>
    </w:p>
    <w:p w:rsidR="000141A1" w:rsidRPr="00063CD3" w:rsidRDefault="000141A1" w:rsidP="00E62587">
      <w:pPr>
        <w:pStyle w:val="ListParagraph"/>
        <w:numPr>
          <w:ilvl w:val="1"/>
          <w:numId w:val="5"/>
        </w:numPr>
        <w:rPr>
          <w:szCs w:val="22"/>
        </w:rPr>
      </w:pPr>
      <w:r w:rsidRPr="00063CD3">
        <w:rPr>
          <w:szCs w:val="22"/>
        </w:rPr>
        <w:t>The submission</w:t>
      </w:r>
      <w:r w:rsidR="00B56278" w:rsidRPr="00063CD3">
        <w:rPr>
          <w:szCs w:val="22"/>
        </w:rPr>
        <w:t xml:space="preserve"> noted that the current PBS restriction for secukinumab for the </w:t>
      </w:r>
      <w:r w:rsidR="00A737C9" w:rsidRPr="00063CD3">
        <w:rPr>
          <w:szCs w:val="22"/>
        </w:rPr>
        <w:t xml:space="preserve">continuing </w:t>
      </w:r>
      <w:r w:rsidR="00B56278" w:rsidRPr="00063CD3">
        <w:rPr>
          <w:szCs w:val="22"/>
        </w:rPr>
        <w:t>treatment of severe chronic plaque psoriasis does not authorise increases in the maximum quantity or number of repeats. The minor submission</w:t>
      </w:r>
      <w:r w:rsidRPr="00063CD3">
        <w:rPr>
          <w:szCs w:val="22"/>
        </w:rPr>
        <w:t xml:space="preserve"> claimed that for some patients, </w:t>
      </w:r>
      <w:r w:rsidR="00B91CC3">
        <w:rPr>
          <w:szCs w:val="22"/>
        </w:rPr>
        <w:t>this</w:t>
      </w:r>
      <w:r w:rsidRPr="00063CD3">
        <w:rPr>
          <w:szCs w:val="22"/>
        </w:rPr>
        <w:t xml:space="preserve"> raise</w:t>
      </w:r>
      <w:r w:rsidR="00B91CC3">
        <w:rPr>
          <w:szCs w:val="22"/>
        </w:rPr>
        <w:t>s</w:t>
      </w:r>
      <w:r w:rsidRPr="00063CD3">
        <w:rPr>
          <w:szCs w:val="22"/>
        </w:rPr>
        <w:t xml:space="preserve"> affordability issues. </w:t>
      </w:r>
    </w:p>
    <w:p w:rsidR="000141A1" w:rsidRPr="00063CD3" w:rsidRDefault="000141A1" w:rsidP="000141A1">
      <w:pPr>
        <w:pStyle w:val="ListParagraph"/>
        <w:rPr>
          <w:szCs w:val="22"/>
        </w:rPr>
      </w:pPr>
    </w:p>
    <w:p w:rsidR="00D173FD" w:rsidRPr="00063CD3" w:rsidRDefault="00913B69" w:rsidP="00E62587">
      <w:pPr>
        <w:pStyle w:val="ListParagraph"/>
        <w:numPr>
          <w:ilvl w:val="1"/>
          <w:numId w:val="5"/>
        </w:numPr>
        <w:rPr>
          <w:szCs w:val="22"/>
        </w:rPr>
      </w:pPr>
      <w:r w:rsidRPr="00063CD3">
        <w:rPr>
          <w:szCs w:val="22"/>
        </w:rPr>
        <w:t xml:space="preserve">The minor submission </w:t>
      </w:r>
      <w:r w:rsidR="00A737C9" w:rsidRPr="00063CD3">
        <w:rPr>
          <w:szCs w:val="22"/>
        </w:rPr>
        <w:t>stated</w:t>
      </w:r>
      <w:r w:rsidR="00F81307" w:rsidRPr="00063CD3">
        <w:rPr>
          <w:szCs w:val="22"/>
        </w:rPr>
        <w:t xml:space="preserve"> </w:t>
      </w:r>
      <w:r w:rsidRPr="00063CD3">
        <w:rPr>
          <w:szCs w:val="22"/>
        </w:rPr>
        <w:t xml:space="preserve">that over </w:t>
      </w:r>
      <w:r w:rsidR="00A737C9" w:rsidRPr="00063CD3">
        <w:rPr>
          <w:szCs w:val="22"/>
        </w:rPr>
        <w:t>one year</w:t>
      </w:r>
      <w:r w:rsidRPr="00063CD3">
        <w:rPr>
          <w:szCs w:val="22"/>
        </w:rPr>
        <w:t xml:space="preserve">, a patient on secukinumab </w:t>
      </w:r>
      <w:r w:rsidR="00A737C9" w:rsidRPr="00063CD3">
        <w:rPr>
          <w:szCs w:val="22"/>
        </w:rPr>
        <w:t xml:space="preserve">continuing </w:t>
      </w:r>
      <w:r w:rsidRPr="00063CD3">
        <w:rPr>
          <w:szCs w:val="22"/>
        </w:rPr>
        <w:t xml:space="preserve">treatment for severe chronic plaque psoriasis </w:t>
      </w:r>
      <w:r w:rsidR="00850D3C" w:rsidRPr="00063CD3">
        <w:rPr>
          <w:szCs w:val="22"/>
        </w:rPr>
        <w:t>would be required to pay 12 co-payments compared with 6.5 co-payme</w:t>
      </w:r>
      <w:r w:rsidR="00D173FD" w:rsidRPr="00063CD3">
        <w:rPr>
          <w:szCs w:val="22"/>
        </w:rPr>
        <w:t>nts for patients on ixekizumab. Based on these figures, the minor submission calculated that the total co-payment costs per year for a general patient on secukinumab would be $465.60 compared with $252.30 for a general patient on ixekizumab.</w:t>
      </w:r>
      <w:r w:rsidR="00B91CC3">
        <w:rPr>
          <w:szCs w:val="22"/>
        </w:rPr>
        <w:t xml:space="preserve"> This is summarised in Table 1. </w:t>
      </w:r>
    </w:p>
    <w:p w:rsidR="00D173FD" w:rsidRPr="00063CD3" w:rsidRDefault="00D173FD" w:rsidP="00D173FD">
      <w:pPr>
        <w:pStyle w:val="ListParagraph"/>
        <w:rPr>
          <w:szCs w:val="22"/>
        </w:rPr>
      </w:pPr>
    </w:p>
    <w:p w:rsidR="009852FB" w:rsidRPr="00E13BA7" w:rsidRDefault="009852FB" w:rsidP="009852FB">
      <w:pPr>
        <w:pStyle w:val="ListParagraph"/>
        <w:rPr>
          <w:szCs w:val="22"/>
        </w:rPr>
      </w:pPr>
    </w:p>
    <w:p w:rsidR="002C5741" w:rsidRPr="002C5741" w:rsidRDefault="002C5741" w:rsidP="002C5741">
      <w:pPr>
        <w:ind w:left="720"/>
        <w:rPr>
          <w:rFonts w:ascii="Arial Narrow" w:hAnsi="Arial Narrow"/>
          <w:b/>
          <w:sz w:val="20"/>
          <w:szCs w:val="22"/>
        </w:rPr>
      </w:pPr>
      <w:r w:rsidRPr="002C5741">
        <w:rPr>
          <w:rFonts w:ascii="Arial Narrow" w:hAnsi="Arial Narrow"/>
          <w:b/>
          <w:sz w:val="20"/>
          <w:szCs w:val="22"/>
        </w:rPr>
        <w:lastRenderedPageBreak/>
        <w:t>Table 1: Total patient co-payment costs of secukinumab versus ixekizumab continuing therapy for severe chronic plaque psoriasis</w:t>
      </w:r>
    </w:p>
    <w:tbl>
      <w:tblPr>
        <w:tblStyle w:val="TableGrid"/>
        <w:tblW w:w="0" w:type="auto"/>
        <w:tblInd w:w="720" w:type="dxa"/>
        <w:tblLook w:val="04A0" w:firstRow="1" w:lastRow="0" w:firstColumn="1" w:lastColumn="0" w:noHBand="0" w:noVBand="1"/>
        <w:tblCaption w:val="Total patient co-payment costs of secukinumab versus ixekizumab continuing therapy for severe chronic plaque psoriasis"/>
      </w:tblPr>
      <w:tblGrid>
        <w:gridCol w:w="1183"/>
        <w:gridCol w:w="2113"/>
        <w:gridCol w:w="2419"/>
        <w:gridCol w:w="2807"/>
      </w:tblGrid>
      <w:tr w:rsidR="007A384B" w:rsidRPr="00063CD3" w:rsidTr="002C5741">
        <w:trPr>
          <w:tblHeader/>
        </w:trPr>
        <w:tc>
          <w:tcPr>
            <w:tcW w:w="0" w:type="auto"/>
          </w:tcPr>
          <w:p w:rsidR="00B66EE2" w:rsidRPr="001F3536" w:rsidRDefault="00B66EE2" w:rsidP="00850D3C">
            <w:pPr>
              <w:pStyle w:val="ListParagraph"/>
              <w:ind w:left="0"/>
              <w:rPr>
                <w:rFonts w:ascii="Arial Narrow" w:hAnsi="Arial Narrow"/>
                <w:b/>
                <w:sz w:val="20"/>
                <w:szCs w:val="22"/>
              </w:rPr>
            </w:pPr>
          </w:p>
        </w:tc>
        <w:tc>
          <w:tcPr>
            <w:tcW w:w="0" w:type="auto"/>
          </w:tcPr>
          <w:p w:rsidR="00B66EE2" w:rsidRPr="001F3536" w:rsidRDefault="00B66EE2" w:rsidP="007A384B">
            <w:pPr>
              <w:pStyle w:val="ListParagraph"/>
              <w:ind w:left="0"/>
              <w:jc w:val="left"/>
              <w:rPr>
                <w:rFonts w:ascii="Arial Narrow" w:hAnsi="Arial Narrow"/>
                <w:sz w:val="20"/>
                <w:szCs w:val="22"/>
              </w:rPr>
            </w:pPr>
            <w:r w:rsidRPr="001F3536">
              <w:rPr>
                <w:rFonts w:ascii="Arial Narrow" w:hAnsi="Arial Narrow"/>
                <w:sz w:val="20"/>
                <w:szCs w:val="22"/>
              </w:rPr>
              <w:t xml:space="preserve">Number of </w:t>
            </w:r>
            <w:r w:rsidR="007A384B" w:rsidRPr="001F3536">
              <w:rPr>
                <w:rFonts w:ascii="Arial Narrow" w:hAnsi="Arial Narrow"/>
                <w:sz w:val="20"/>
                <w:szCs w:val="22"/>
              </w:rPr>
              <w:t>patient co-payments per year</w:t>
            </w:r>
          </w:p>
        </w:tc>
        <w:tc>
          <w:tcPr>
            <w:tcW w:w="0" w:type="auto"/>
          </w:tcPr>
          <w:p w:rsidR="00B66EE2" w:rsidRPr="001F3536" w:rsidRDefault="00B66EE2" w:rsidP="00F77E7E">
            <w:pPr>
              <w:pStyle w:val="ListParagraph"/>
              <w:ind w:left="0"/>
              <w:jc w:val="left"/>
              <w:rPr>
                <w:rFonts w:ascii="Arial Narrow" w:hAnsi="Arial Narrow"/>
                <w:sz w:val="20"/>
                <w:szCs w:val="22"/>
              </w:rPr>
            </w:pPr>
            <w:r w:rsidRPr="001F3536">
              <w:rPr>
                <w:rFonts w:ascii="Arial Narrow" w:hAnsi="Arial Narrow"/>
                <w:sz w:val="20"/>
                <w:szCs w:val="22"/>
              </w:rPr>
              <w:t>Total co-payment costs per year (general patient)</w:t>
            </w:r>
          </w:p>
        </w:tc>
        <w:tc>
          <w:tcPr>
            <w:tcW w:w="0" w:type="auto"/>
          </w:tcPr>
          <w:p w:rsidR="00B66EE2" w:rsidRPr="001F3536" w:rsidRDefault="00B66EE2" w:rsidP="00F77E7E">
            <w:pPr>
              <w:pStyle w:val="ListParagraph"/>
              <w:ind w:left="0"/>
              <w:rPr>
                <w:rFonts w:ascii="Arial Narrow" w:hAnsi="Arial Narrow"/>
                <w:sz w:val="20"/>
                <w:szCs w:val="22"/>
              </w:rPr>
            </w:pPr>
            <w:r w:rsidRPr="001F3536">
              <w:rPr>
                <w:rFonts w:ascii="Arial Narrow" w:hAnsi="Arial Narrow"/>
                <w:sz w:val="20"/>
                <w:szCs w:val="22"/>
              </w:rPr>
              <w:t>Total co-payment costs per year (concessional patient)</w:t>
            </w:r>
          </w:p>
        </w:tc>
      </w:tr>
      <w:tr w:rsidR="00B66EE2" w:rsidRPr="00063CD3" w:rsidTr="001000A1">
        <w:tc>
          <w:tcPr>
            <w:tcW w:w="0" w:type="auto"/>
            <w:gridSpan w:val="4"/>
          </w:tcPr>
          <w:p w:rsidR="00B66EE2" w:rsidRPr="001F3536" w:rsidRDefault="00B66EE2" w:rsidP="001E2444">
            <w:pPr>
              <w:pStyle w:val="ListParagraph"/>
              <w:ind w:left="0"/>
              <w:jc w:val="center"/>
              <w:rPr>
                <w:rFonts w:ascii="Arial Narrow" w:hAnsi="Arial Narrow"/>
                <w:sz w:val="20"/>
                <w:szCs w:val="22"/>
              </w:rPr>
            </w:pPr>
            <w:r w:rsidRPr="001F3536">
              <w:rPr>
                <w:rFonts w:ascii="Arial Narrow" w:hAnsi="Arial Narrow"/>
                <w:sz w:val="20"/>
                <w:szCs w:val="22"/>
              </w:rPr>
              <w:t xml:space="preserve">48 weeks per year </w:t>
            </w:r>
          </w:p>
        </w:tc>
      </w:tr>
      <w:tr w:rsidR="007A384B" w:rsidRPr="00063CD3" w:rsidTr="00F77E7E">
        <w:tc>
          <w:tcPr>
            <w:tcW w:w="0" w:type="auto"/>
          </w:tcPr>
          <w:p w:rsidR="00B66EE2" w:rsidRPr="001F3536" w:rsidRDefault="00B66EE2" w:rsidP="00850D3C">
            <w:pPr>
              <w:pStyle w:val="ListParagraph"/>
              <w:ind w:left="0"/>
              <w:rPr>
                <w:rFonts w:ascii="Arial Narrow" w:hAnsi="Arial Narrow"/>
                <w:sz w:val="20"/>
                <w:szCs w:val="22"/>
              </w:rPr>
            </w:pPr>
            <w:r w:rsidRPr="001F3536">
              <w:rPr>
                <w:rFonts w:ascii="Arial Narrow" w:hAnsi="Arial Narrow"/>
                <w:sz w:val="20"/>
                <w:szCs w:val="22"/>
              </w:rPr>
              <w:t>secukinumab</w:t>
            </w:r>
          </w:p>
        </w:tc>
        <w:tc>
          <w:tcPr>
            <w:tcW w:w="0" w:type="auto"/>
          </w:tcPr>
          <w:p w:rsidR="00B66EE2" w:rsidRPr="001F3536" w:rsidRDefault="00B66EE2" w:rsidP="00C4091E">
            <w:pPr>
              <w:pStyle w:val="ListParagraph"/>
              <w:ind w:left="0"/>
              <w:jc w:val="right"/>
              <w:rPr>
                <w:rFonts w:ascii="Arial Narrow" w:hAnsi="Arial Narrow"/>
                <w:sz w:val="20"/>
                <w:szCs w:val="22"/>
              </w:rPr>
            </w:pPr>
            <w:r w:rsidRPr="001F3536">
              <w:rPr>
                <w:rFonts w:ascii="Arial Narrow" w:hAnsi="Arial Narrow"/>
                <w:sz w:val="20"/>
                <w:szCs w:val="22"/>
              </w:rPr>
              <w:t>12</w:t>
            </w:r>
          </w:p>
        </w:tc>
        <w:tc>
          <w:tcPr>
            <w:tcW w:w="0" w:type="auto"/>
          </w:tcPr>
          <w:p w:rsidR="00B66EE2" w:rsidRPr="001F3536" w:rsidRDefault="00B66EE2" w:rsidP="00C4091E">
            <w:pPr>
              <w:pStyle w:val="ListParagraph"/>
              <w:ind w:left="0"/>
              <w:jc w:val="right"/>
              <w:rPr>
                <w:rFonts w:ascii="Arial Narrow" w:hAnsi="Arial Narrow"/>
                <w:sz w:val="20"/>
                <w:szCs w:val="22"/>
              </w:rPr>
            </w:pPr>
            <w:r w:rsidRPr="001F3536">
              <w:rPr>
                <w:rFonts w:ascii="Arial Narrow" w:hAnsi="Arial Narrow"/>
                <w:sz w:val="20"/>
                <w:szCs w:val="22"/>
              </w:rPr>
              <w:t>$465.60</w:t>
            </w:r>
          </w:p>
        </w:tc>
        <w:tc>
          <w:tcPr>
            <w:tcW w:w="0" w:type="auto"/>
          </w:tcPr>
          <w:p w:rsidR="00B66EE2" w:rsidRPr="001F3536" w:rsidRDefault="00B66EE2" w:rsidP="00C4091E">
            <w:pPr>
              <w:pStyle w:val="ListParagraph"/>
              <w:ind w:left="0"/>
              <w:jc w:val="right"/>
              <w:rPr>
                <w:rFonts w:ascii="Arial Narrow" w:hAnsi="Arial Narrow"/>
                <w:sz w:val="20"/>
                <w:szCs w:val="22"/>
              </w:rPr>
            </w:pPr>
            <w:r w:rsidRPr="001F3536">
              <w:rPr>
                <w:rFonts w:ascii="Arial Narrow" w:hAnsi="Arial Narrow"/>
                <w:sz w:val="20"/>
                <w:szCs w:val="22"/>
              </w:rPr>
              <w:t>$75.60</w:t>
            </w:r>
          </w:p>
        </w:tc>
      </w:tr>
      <w:tr w:rsidR="007A384B" w:rsidRPr="00063CD3" w:rsidTr="00F77E7E">
        <w:tc>
          <w:tcPr>
            <w:tcW w:w="0" w:type="auto"/>
          </w:tcPr>
          <w:p w:rsidR="00B66EE2" w:rsidRPr="001F3536" w:rsidRDefault="001E2444" w:rsidP="00850D3C">
            <w:pPr>
              <w:pStyle w:val="ListParagraph"/>
              <w:ind w:left="0"/>
              <w:rPr>
                <w:rFonts w:ascii="Arial Narrow" w:hAnsi="Arial Narrow"/>
                <w:sz w:val="20"/>
                <w:szCs w:val="22"/>
              </w:rPr>
            </w:pPr>
            <w:r w:rsidRPr="001F3536">
              <w:rPr>
                <w:rFonts w:ascii="Arial Narrow" w:hAnsi="Arial Narrow"/>
                <w:sz w:val="20"/>
                <w:szCs w:val="22"/>
              </w:rPr>
              <w:t>ixekiz</w:t>
            </w:r>
            <w:r w:rsidR="00B66EE2" w:rsidRPr="001F3536">
              <w:rPr>
                <w:rFonts w:ascii="Arial Narrow" w:hAnsi="Arial Narrow"/>
                <w:sz w:val="20"/>
                <w:szCs w:val="22"/>
              </w:rPr>
              <w:t>umab</w:t>
            </w:r>
          </w:p>
        </w:tc>
        <w:tc>
          <w:tcPr>
            <w:tcW w:w="0" w:type="auto"/>
          </w:tcPr>
          <w:p w:rsidR="00B66EE2" w:rsidRPr="001F3536" w:rsidRDefault="00B66EE2" w:rsidP="00C4091E">
            <w:pPr>
              <w:pStyle w:val="ListParagraph"/>
              <w:ind w:left="0"/>
              <w:jc w:val="right"/>
              <w:rPr>
                <w:rFonts w:ascii="Arial Narrow" w:hAnsi="Arial Narrow"/>
                <w:sz w:val="20"/>
                <w:szCs w:val="22"/>
              </w:rPr>
            </w:pPr>
            <w:r w:rsidRPr="001F3536">
              <w:rPr>
                <w:rFonts w:ascii="Arial Narrow" w:hAnsi="Arial Narrow"/>
                <w:sz w:val="20"/>
                <w:szCs w:val="22"/>
              </w:rPr>
              <w:t>6</w:t>
            </w:r>
          </w:p>
        </w:tc>
        <w:tc>
          <w:tcPr>
            <w:tcW w:w="0" w:type="auto"/>
          </w:tcPr>
          <w:p w:rsidR="00B66EE2" w:rsidRPr="001F3536" w:rsidRDefault="00B66EE2" w:rsidP="00C4091E">
            <w:pPr>
              <w:pStyle w:val="ListParagraph"/>
              <w:ind w:left="0"/>
              <w:jc w:val="right"/>
              <w:rPr>
                <w:rFonts w:ascii="Arial Narrow" w:hAnsi="Arial Narrow"/>
                <w:sz w:val="20"/>
                <w:szCs w:val="22"/>
              </w:rPr>
            </w:pPr>
            <w:r w:rsidRPr="001F3536">
              <w:rPr>
                <w:rFonts w:ascii="Arial Narrow" w:hAnsi="Arial Narrow"/>
                <w:sz w:val="20"/>
                <w:szCs w:val="22"/>
              </w:rPr>
              <w:t>$232.80</w:t>
            </w:r>
          </w:p>
        </w:tc>
        <w:tc>
          <w:tcPr>
            <w:tcW w:w="0" w:type="auto"/>
          </w:tcPr>
          <w:p w:rsidR="00B66EE2" w:rsidRPr="001F3536" w:rsidRDefault="00B66EE2" w:rsidP="00C4091E">
            <w:pPr>
              <w:pStyle w:val="ListParagraph"/>
              <w:ind w:left="0"/>
              <w:jc w:val="right"/>
              <w:rPr>
                <w:rFonts w:ascii="Arial Narrow" w:hAnsi="Arial Narrow"/>
                <w:sz w:val="20"/>
                <w:szCs w:val="22"/>
              </w:rPr>
            </w:pPr>
            <w:r w:rsidRPr="001F3536">
              <w:rPr>
                <w:rFonts w:ascii="Arial Narrow" w:hAnsi="Arial Narrow"/>
                <w:sz w:val="20"/>
                <w:szCs w:val="22"/>
              </w:rPr>
              <w:t>$37.80</w:t>
            </w:r>
          </w:p>
        </w:tc>
      </w:tr>
      <w:tr w:rsidR="007A384B" w:rsidRPr="00063CD3" w:rsidTr="00F77E7E">
        <w:tc>
          <w:tcPr>
            <w:tcW w:w="0" w:type="auto"/>
          </w:tcPr>
          <w:p w:rsidR="00B66EE2" w:rsidRPr="001F3536" w:rsidRDefault="00B66EE2" w:rsidP="00850D3C">
            <w:pPr>
              <w:pStyle w:val="ListParagraph"/>
              <w:ind w:left="0"/>
              <w:rPr>
                <w:rFonts w:ascii="Arial Narrow" w:hAnsi="Arial Narrow"/>
                <w:sz w:val="20"/>
                <w:szCs w:val="22"/>
              </w:rPr>
            </w:pPr>
            <w:r w:rsidRPr="001F3536">
              <w:rPr>
                <w:rFonts w:ascii="Arial Narrow" w:hAnsi="Arial Narrow"/>
                <w:sz w:val="20"/>
                <w:szCs w:val="22"/>
              </w:rPr>
              <w:t>difference</w:t>
            </w:r>
          </w:p>
        </w:tc>
        <w:tc>
          <w:tcPr>
            <w:tcW w:w="0" w:type="auto"/>
          </w:tcPr>
          <w:p w:rsidR="00B66EE2" w:rsidRPr="001F3536" w:rsidRDefault="00B66EE2" w:rsidP="00C4091E">
            <w:pPr>
              <w:pStyle w:val="ListParagraph"/>
              <w:ind w:left="0"/>
              <w:jc w:val="right"/>
              <w:rPr>
                <w:rFonts w:ascii="Arial Narrow" w:hAnsi="Arial Narrow"/>
                <w:sz w:val="20"/>
                <w:szCs w:val="22"/>
              </w:rPr>
            </w:pPr>
            <w:r w:rsidRPr="001F3536">
              <w:rPr>
                <w:rFonts w:ascii="Arial Narrow" w:hAnsi="Arial Narrow"/>
                <w:sz w:val="20"/>
                <w:szCs w:val="22"/>
              </w:rPr>
              <w:t>6</w:t>
            </w:r>
          </w:p>
        </w:tc>
        <w:tc>
          <w:tcPr>
            <w:tcW w:w="0" w:type="auto"/>
          </w:tcPr>
          <w:p w:rsidR="00B66EE2" w:rsidRPr="001F3536" w:rsidRDefault="00B66EE2" w:rsidP="00C4091E">
            <w:pPr>
              <w:pStyle w:val="ListParagraph"/>
              <w:ind w:left="0"/>
              <w:jc w:val="right"/>
              <w:rPr>
                <w:rFonts w:ascii="Arial Narrow" w:hAnsi="Arial Narrow"/>
                <w:sz w:val="20"/>
                <w:szCs w:val="22"/>
              </w:rPr>
            </w:pPr>
            <w:r w:rsidRPr="001F3536">
              <w:rPr>
                <w:rFonts w:ascii="Arial Narrow" w:hAnsi="Arial Narrow"/>
                <w:sz w:val="20"/>
                <w:szCs w:val="22"/>
              </w:rPr>
              <w:t>$232.80</w:t>
            </w:r>
          </w:p>
        </w:tc>
        <w:tc>
          <w:tcPr>
            <w:tcW w:w="0" w:type="auto"/>
          </w:tcPr>
          <w:p w:rsidR="00B66EE2" w:rsidRPr="001F3536" w:rsidRDefault="00B66EE2" w:rsidP="00C4091E">
            <w:pPr>
              <w:pStyle w:val="ListParagraph"/>
              <w:ind w:left="0"/>
              <w:jc w:val="right"/>
              <w:rPr>
                <w:rFonts w:ascii="Arial Narrow" w:hAnsi="Arial Narrow"/>
                <w:sz w:val="20"/>
                <w:szCs w:val="22"/>
              </w:rPr>
            </w:pPr>
            <w:r w:rsidRPr="001F3536">
              <w:rPr>
                <w:rFonts w:ascii="Arial Narrow" w:hAnsi="Arial Narrow"/>
                <w:sz w:val="20"/>
                <w:szCs w:val="22"/>
              </w:rPr>
              <w:t>$37.80</w:t>
            </w:r>
          </w:p>
        </w:tc>
      </w:tr>
      <w:tr w:rsidR="00B66EE2" w:rsidRPr="00063CD3" w:rsidTr="007832CB">
        <w:tc>
          <w:tcPr>
            <w:tcW w:w="0" w:type="auto"/>
            <w:gridSpan w:val="4"/>
          </w:tcPr>
          <w:p w:rsidR="00B66EE2" w:rsidRPr="001F3536" w:rsidRDefault="00B66EE2" w:rsidP="001E2444">
            <w:pPr>
              <w:pStyle w:val="ListParagraph"/>
              <w:ind w:left="0"/>
              <w:jc w:val="center"/>
              <w:rPr>
                <w:rFonts w:ascii="Arial Narrow" w:hAnsi="Arial Narrow"/>
                <w:sz w:val="20"/>
                <w:szCs w:val="22"/>
              </w:rPr>
            </w:pPr>
            <w:r w:rsidRPr="001F3536">
              <w:rPr>
                <w:rFonts w:ascii="Arial Narrow" w:hAnsi="Arial Narrow"/>
                <w:sz w:val="20"/>
                <w:szCs w:val="22"/>
              </w:rPr>
              <w:t xml:space="preserve">52 weeks per year </w:t>
            </w:r>
          </w:p>
        </w:tc>
      </w:tr>
      <w:tr w:rsidR="007A384B" w:rsidRPr="00063CD3" w:rsidTr="00F77E7E">
        <w:tc>
          <w:tcPr>
            <w:tcW w:w="0" w:type="auto"/>
          </w:tcPr>
          <w:p w:rsidR="00B66EE2" w:rsidRPr="001F3536" w:rsidRDefault="001E2444" w:rsidP="00850D3C">
            <w:pPr>
              <w:pStyle w:val="ListParagraph"/>
              <w:ind w:left="0"/>
              <w:rPr>
                <w:rFonts w:ascii="Arial Narrow" w:hAnsi="Arial Narrow"/>
                <w:sz w:val="20"/>
                <w:szCs w:val="22"/>
              </w:rPr>
            </w:pPr>
            <w:r w:rsidRPr="001F3536">
              <w:rPr>
                <w:rFonts w:ascii="Arial Narrow" w:hAnsi="Arial Narrow"/>
                <w:sz w:val="20"/>
                <w:szCs w:val="22"/>
              </w:rPr>
              <w:t>secukinumab</w:t>
            </w:r>
          </w:p>
        </w:tc>
        <w:tc>
          <w:tcPr>
            <w:tcW w:w="0" w:type="auto"/>
          </w:tcPr>
          <w:p w:rsidR="00B66EE2" w:rsidRPr="001F3536" w:rsidRDefault="001E2444" w:rsidP="00C4091E">
            <w:pPr>
              <w:pStyle w:val="ListParagraph"/>
              <w:ind w:left="0"/>
              <w:jc w:val="right"/>
              <w:rPr>
                <w:rFonts w:ascii="Arial Narrow" w:hAnsi="Arial Narrow"/>
                <w:sz w:val="20"/>
                <w:szCs w:val="22"/>
              </w:rPr>
            </w:pPr>
            <w:r w:rsidRPr="001F3536">
              <w:rPr>
                <w:rFonts w:ascii="Arial Narrow" w:hAnsi="Arial Narrow"/>
                <w:sz w:val="20"/>
                <w:szCs w:val="22"/>
              </w:rPr>
              <w:t>13</w:t>
            </w:r>
          </w:p>
        </w:tc>
        <w:tc>
          <w:tcPr>
            <w:tcW w:w="0" w:type="auto"/>
          </w:tcPr>
          <w:p w:rsidR="00B66EE2" w:rsidRPr="001F3536" w:rsidRDefault="001E2444" w:rsidP="00C4091E">
            <w:pPr>
              <w:pStyle w:val="ListParagraph"/>
              <w:ind w:left="0"/>
              <w:jc w:val="right"/>
              <w:rPr>
                <w:rFonts w:ascii="Arial Narrow" w:hAnsi="Arial Narrow"/>
                <w:sz w:val="20"/>
                <w:szCs w:val="22"/>
              </w:rPr>
            </w:pPr>
            <w:r w:rsidRPr="001F3536">
              <w:rPr>
                <w:rFonts w:ascii="Arial Narrow" w:hAnsi="Arial Narrow"/>
                <w:sz w:val="20"/>
                <w:szCs w:val="22"/>
              </w:rPr>
              <w:t>$504.40</w:t>
            </w:r>
          </w:p>
        </w:tc>
        <w:tc>
          <w:tcPr>
            <w:tcW w:w="0" w:type="auto"/>
          </w:tcPr>
          <w:p w:rsidR="00B66EE2" w:rsidRPr="001F3536" w:rsidRDefault="001E2444" w:rsidP="00C4091E">
            <w:pPr>
              <w:jc w:val="right"/>
              <w:rPr>
                <w:rFonts w:ascii="Arial Narrow" w:hAnsi="Arial Narrow"/>
                <w:sz w:val="20"/>
                <w:szCs w:val="22"/>
              </w:rPr>
            </w:pPr>
            <w:r w:rsidRPr="001F3536">
              <w:rPr>
                <w:rFonts w:ascii="Arial Narrow" w:hAnsi="Arial Narrow"/>
                <w:sz w:val="20"/>
                <w:szCs w:val="22"/>
              </w:rPr>
              <w:t>$81.90</w:t>
            </w:r>
          </w:p>
        </w:tc>
      </w:tr>
      <w:tr w:rsidR="007A384B" w:rsidRPr="00063CD3" w:rsidTr="00F77E7E">
        <w:tc>
          <w:tcPr>
            <w:tcW w:w="0" w:type="auto"/>
          </w:tcPr>
          <w:p w:rsidR="00B66EE2" w:rsidRPr="001F3536" w:rsidRDefault="001E2444" w:rsidP="00850D3C">
            <w:pPr>
              <w:pStyle w:val="ListParagraph"/>
              <w:ind w:left="0"/>
              <w:rPr>
                <w:rFonts w:ascii="Arial Narrow" w:hAnsi="Arial Narrow"/>
                <w:sz w:val="20"/>
                <w:szCs w:val="22"/>
              </w:rPr>
            </w:pPr>
            <w:r w:rsidRPr="001F3536">
              <w:rPr>
                <w:rFonts w:ascii="Arial Narrow" w:hAnsi="Arial Narrow"/>
                <w:sz w:val="20"/>
                <w:szCs w:val="22"/>
              </w:rPr>
              <w:t>ixekizumab</w:t>
            </w:r>
          </w:p>
        </w:tc>
        <w:tc>
          <w:tcPr>
            <w:tcW w:w="0" w:type="auto"/>
          </w:tcPr>
          <w:p w:rsidR="00B66EE2" w:rsidRPr="001F3536" w:rsidRDefault="001E2444" w:rsidP="00C4091E">
            <w:pPr>
              <w:pStyle w:val="ListParagraph"/>
              <w:ind w:left="0"/>
              <w:jc w:val="right"/>
              <w:rPr>
                <w:rFonts w:ascii="Arial Narrow" w:hAnsi="Arial Narrow"/>
                <w:sz w:val="20"/>
                <w:szCs w:val="22"/>
              </w:rPr>
            </w:pPr>
            <w:r w:rsidRPr="001F3536">
              <w:rPr>
                <w:rFonts w:ascii="Arial Narrow" w:hAnsi="Arial Narrow"/>
                <w:sz w:val="20"/>
                <w:szCs w:val="22"/>
              </w:rPr>
              <w:t>6.5</w:t>
            </w:r>
          </w:p>
        </w:tc>
        <w:tc>
          <w:tcPr>
            <w:tcW w:w="0" w:type="auto"/>
          </w:tcPr>
          <w:p w:rsidR="00B66EE2" w:rsidRPr="001F3536" w:rsidRDefault="008F7E66" w:rsidP="00C4091E">
            <w:pPr>
              <w:pStyle w:val="ListParagraph"/>
              <w:ind w:left="0"/>
              <w:jc w:val="right"/>
              <w:rPr>
                <w:rFonts w:ascii="Arial Narrow" w:hAnsi="Arial Narrow"/>
                <w:sz w:val="20"/>
                <w:szCs w:val="22"/>
              </w:rPr>
            </w:pPr>
            <w:r w:rsidRPr="001F3536">
              <w:rPr>
                <w:rFonts w:ascii="Arial Narrow" w:hAnsi="Arial Narrow"/>
                <w:sz w:val="20"/>
                <w:szCs w:val="22"/>
              </w:rPr>
              <w:t>$252.20</w:t>
            </w:r>
          </w:p>
        </w:tc>
        <w:tc>
          <w:tcPr>
            <w:tcW w:w="0" w:type="auto"/>
          </w:tcPr>
          <w:p w:rsidR="00B66EE2" w:rsidRPr="001F3536" w:rsidRDefault="008F7E66" w:rsidP="00C4091E">
            <w:pPr>
              <w:pStyle w:val="ListParagraph"/>
              <w:ind w:left="0"/>
              <w:jc w:val="right"/>
              <w:rPr>
                <w:rFonts w:ascii="Arial Narrow" w:hAnsi="Arial Narrow"/>
                <w:sz w:val="20"/>
                <w:szCs w:val="22"/>
              </w:rPr>
            </w:pPr>
            <w:r w:rsidRPr="001F3536">
              <w:rPr>
                <w:rFonts w:ascii="Arial Narrow" w:hAnsi="Arial Narrow"/>
                <w:sz w:val="20"/>
                <w:szCs w:val="22"/>
              </w:rPr>
              <w:t>$40.95</w:t>
            </w:r>
          </w:p>
        </w:tc>
      </w:tr>
      <w:tr w:rsidR="007A384B" w:rsidRPr="00063CD3" w:rsidTr="00F77E7E">
        <w:tc>
          <w:tcPr>
            <w:tcW w:w="0" w:type="auto"/>
          </w:tcPr>
          <w:p w:rsidR="001E2444" w:rsidRPr="001F3536" w:rsidRDefault="001E2444" w:rsidP="00850D3C">
            <w:pPr>
              <w:pStyle w:val="ListParagraph"/>
              <w:ind w:left="0"/>
              <w:rPr>
                <w:rFonts w:ascii="Arial Narrow" w:hAnsi="Arial Narrow"/>
                <w:sz w:val="20"/>
                <w:szCs w:val="22"/>
              </w:rPr>
            </w:pPr>
            <w:r w:rsidRPr="001F3536">
              <w:rPr>
                <w:rFonts w:ascii="Arial Narrow" w:hAnsi="Arial Narrow"/>
                <w:sz w:val="20"/>
                <w:szCs w:val="22"/>
              </w:rPr>
              <w:t>difference</w:t>
            </w:r>
          </w:p>
        </w:tc>
        <w:tc>
          <w:tcPr>
            <w:tcW w:w="0" w:type="auto"/>
          </w:tcPr>
          <w:p w:rsidR="001E2444" w:rsidRPr="001F3536" w:rsidRDefault="001E2444" w:rsidP="00C4091E">
            <w:pPr>
              <w:pStyle w:val="ListParagraph"/>
              <w:ind w:left="0"/>
              <w:jc w:val="right"/>
              <w:rPr>
                <w:rFonts w:ascii="Arial Narrow" w:hAnsi="Arial Narrow"/>
                <w:sz w:val="20"/>
                <w:szCs w:val="22"/>
              </w:rPr>
            </w:pPr>
            <w:r w:rsidRPr="001F3536">
              <w:rPr>
                <w:rFonts w:ascii="Arial Narrow" w:hAnsi="Arial Narrow"/>
                <w:sz w:val="20"/>
                <w:szCs w:val="22"/>
              </w:rPr>
              <w:t>6.5</w:t>
            </w:r>
          </w:p>
        </w:tc>
        <w:tc>
          <w:tcPr>
            <w:tcW w:w="0" w:type="auto"/>
          </w:tcPr>
          <w:p w:rsidR="001E2444" w:rsidRPr="001F3536" w:rsidRDefault="008F7E66" w:rsidP="00C4091E">
            <w:pPr>
              <w:pStyle w:val="ListParagraph"/>
              <w:ind w:left="0"/>
              <w:jc w:val="right"/>
              <w:rPr>
                <w:rFonts w:ascii="Arial Narrow" w:hAnsi="Arial Narrow"/>
                <w:sz w:val="20"/>
                <w:szCs w:val="22"/>
              </w:rPr>
            </w:pPr>
            <w:r w:rsidRPr="001F3536">
              <w:rPr>
                <w:rFonts w:ascii="Arial Narrow" w:hAnsi="Arial Narrow"/>
                <w:sz w:val="20"/>
                <w:szCs w:val="22"/>
              </w:rPr>
              <w:t>$252.20</w:t>
            </w:r>
          </w:p>
        </w:tc>
        <w:tc>
          <w:tcPr>
            <w:tcW w:w="0" w:type="auto"/>
          </w:tcPr>
          <w:p w:rsidR="001E2444" w:rsidRPr="001F3536" w:rsidRDefault="008F7E66" w:rsidP="00C4091E">
            <w:pPr>
              <w:pStyle w:val="ListParagraph"/>
              <w:ind w:left="0"/>
              <w:jc w:val="right"/>
              <w:rPr>
                <w:rFonts w:ascii="Arial Narrow" w:hAnsi="Arial Narrow"/>
                <w:sz w:val="20"/>
                <w:szCs w:val="22"/>
              </w:rPr>
            </w:pPr>
            <w:r w:rsidRPr="001F3536">
              <w:rPr>
                <w:rFonts w:ascii="Arial Narrow" w:hAnsi="Arial Narrow"/>
                <w:sz w:val="20"/>
                <w:szCs w:val="22"/>
              </w:rPr>
              <w:t>$40.95</w:t>
            </w:r>
          </w:p>
        </w:tc>
      </w:tr>
    </w:tbl>
    <w:p w:rsidR="00850D3C" w:rsidRPr="001F3536" w:rsidRDefault="00F81307" w:rsidP="00850D3C">
      <w:pPr>
        <w:pStyle w:val="ListParagraph"/>
        <w:rPr>
          <w:rFonts w:ascii="Arial Narrow" w:hAnsi="Arial Narrow"/>
          <w:sz w:val="18"/>
          <w:szCs w:val="22"/>
        </w:rPr>
      </w:pPr>
      <w:r w:rsidRPr="001F3536">
        <w:rPr>
          <w:rFonts w:ascii="Arial Narrow" w:hAnsi="Arial Narrow"/>
          <w:sz w:val="18"/>
          <w:szCs w:val="22"/>
        </w:rPr>
        <w:t>General patient co-payment: $38.80, concessional patient co-payment: $6.30</w:t>
      </w:r>
    </w:p>
    <w:p w:rsidR="005B3140" w:rsidRPr="00063CD3" w:rsidRDefault="005B3140" w:rsidP="00850D3C">
      <w:pPr>
        <w:pStyle w:val="ListParagraph"/>
        <w:rPr>
          <w:sz w:val="18"/>
          <w:szCs w:val="22"/>
        </w:rPr>
      </w:pPr>
    </w:p>
    <w:p w:rsidR="000141A1" w:rsidRPr="00063CD3" w:rsidRDefault="000141A1" w:rsidP="00850D3C">
      <w:pPr>
        <w:pStyle w:val="ListParagraph"/>
        <w:rPr>
          <w:sz w:val="18"/>
          <w:szCs w:val="22"/>
        </w:rPr>
      </w:pPr>
    </w:p>
    <w:p w:rsidR="0076420C" w:rsidRPr="00063CD3" w:rsidRDefault="00290216" w:rsidP="00E62587">
      <w:pPr>
        <w:pStyle w:val="ListParagraph"/>
        <w:numPr>
          <w:ilvl w:val="1"/>
          <w:numId w:val="5"/>
        </w:numPr>
        <w:ind w:left="709"/>
        <w:rPr>
          <w:szCs w:val="22"/>
        </w:rPr>
      </w:pPr>
      <w:r w:rsidRPr="00063CD3">
        <w:rPr>
          <w:szCs w:val="22"/>
        </w:rPr>
        <w:t>The requested amendment for a maximum quantity of two</w:t>
      </w:r>
      <w:r w:rsidR="0082644D" w:rsidRPr="00063CD3">
        <w:rPr>
          <w:szCs w:val="22"/>
        </w:rPr>
        <w:t xml:space="preserve"> injections</w:t>
      </w:r>
      <w:r w:rsidRPr="00063CD3">
        <w:rPr>
          <w:szCs w:val="22"/>
        </w:rPr>
        <w:t xml:space="preserve"> with two repeats for </w:t>
      </w:r>
      <w:r w:rsidR="007A384B" w:rsidRPr="00063CD3">
        <w:rPr>
          <w:szCs w:val="22"/>
        </w:rPr>
        <w:t>secukinumab continuing treatment</w:t>
      </w:r>
      <w:r w:rsidR="005B3140" w:rsidRPr="00063CD3">
        <w:rPr>
          <w:szCs w:val="22"/>
        </w:rPr>
        <w:t xml:space="preserve"> would reduce the number of patient co-payments to </w:t>
      </w:r>
      <w:r w:rsidR="00B87E98" w:rsidRPr="00063CD3">
        <w:rPr>
          <w:szCs w:val="22"/>
        </w:rPr>
        <w:t>six</w:t>
      </w:r>
      <w:r w:rsidR="0071223F" w:rsidRPr="00063CD3">
        <w:rPr>
          <w:szCs w:val="22"/>
        </w:rPr>
        <w:t xml:space="preserve"> </w:t>
      </w:r>
      <w:r w:rsidR="00B91CC3">
        <w:rPr>
          <w:szCs w:val="22"/>
        </w:rPr>
        <w:t>per</w:t>
      </w:r>
      <w:r w:rsidR="0071223F" w:rsidRPr="00063CD3">
        <w:rPr>
          <w:szCs w:val="22"/>
        </w:rPr>
        <w:t xml:space="preserve"> year </w:t>
      </w:r>
      <w:r w:rsidR="006E266E">
        <w:rPr>
          <w:szCs w:val="22"/>
        </w:rPr>
        <w:t>(</w:t>
      </w:r>
      <w:r w:rsidR="0071223F" w:rsidRPr="00063CD3">
        <w:rPr>
          <w:szCs w:val="22"/>
        </w:rPr>
        <w:t>based on 48 weeks per year</w:t>
      </w:r>
      <w:r w:rsidR="006E266E">
        <w:rPr>
          <w:szCs w:val="22"/>
        </w:rPr>
        <w:t xml:space="preserve">; </w:t>
      </w:r>
      <w:r w:rsidR="0071223F" w:rsidRPr="00063CD3">
        <w:rPr>
          <w:szCs w:val="22"/>
        </w:rPr>
        <w:t xml:space="preserve">6.5 based on 52 weeks per year). </w:t>
      </w:r>
    </w:p>
    <w:p w:rsidR="00A55FEE" w:rsidRPr="00063CD3" w:rsidRDefault="00A55FEE" w:rsidP="00B56278">
      <w:pPr>
        <w:jc w:val="both"/>
        <w:rPr>
          <w:rFonts w:asciiTheme="minorHAnsi" w:hAnsiTheme="minorHAnsi"/>
          <w:b/>
          <w:i/>
          <w:sz w:val="22"/>
          <w:szCs w:val="22"/>
        </w:rPr>
      </w:pPr>
    </w:p>
    <w:p w:rsidR="005A3173" w:rsidRPr="00063CD3" w:rsidRDefault="005A3173" w:rsidP="00B1059E">
      <w:pPr>
        <w:pStyle w:val="Heading2"/>
      </w:pPr>
      <w:r w:rsidRPr="00063CD3">
        <w:t>Estimated PBS usage &amp; financial implications</w:t>
      </w:r>
    </w:p>
    <w:p w:rsidR="005A3173" w:rsidRPr="00063CD3" w:rsidRDefault="005A3173" w:rsidP="00882085">
      <w:pPr>
        <w:ind w:left="720" w:hanging="720"/>
        <w:jc w:val="both"/>
        <w:rPr>
          <w:rFonts w:asciiTheme="minorHAnsi" w:hAnsiTheme="minorHAnsi"/>
          <w:b/>
          <w:i/>
          <w:sz w:val="22"/>
          <w:szCs w:val="22"/>
        </w:rPr>
      </w:pPr>
    </w:p>
    <w:p w:rsidR="00BB7EC3" w:rsidRPr="00063CD3" w:rsidRDefault="00063CD3" w:rsidP="00E62587">
      <w:pPr>
        <w:pStyle w:val="ListParagraph"/>
        <w:numPr>
          <w:ilvl w:val="1"/>
          <w:numId w:val="5"/>
        </w:numPr>
        <w:rPr>
          <w:szCs w:val="22"/>
        </w:rPr>
      </w:pPr>
      <w:r>
        <w:rPr>
          <w:szCs w:val="22"/>
        </w:rPr>
        <w:t>While t</w:t>
      </w:r>
      <w:r w:rsidR="00703309" w:rsidRPr="00063CD3">
        <w:rPr>
          <w:szCs w:val="22"/>
        </w:rPr>
        <w:t xml:space="preserve">he requested amendment to the maximum quantity and number of repeats </w:t>
      </w:r>
      <w:r w:rsidR="00652FA5" w:rsidRPr="00063CD3">
        <w:rPr>
          <w:szCs w:val="22"/>
        </w:rPr>
        <w:t>for the secukinumab listing to reduce the number of patient co-payments result</w:t>
      </w:r>
      <w:r>
        <w:rPr>
          <w:szCs w:val="22"/>
        </w:rPr>
        <w:t>s</w:t>
      </w:r>
      <w:r w:rsidR="00652FA5" w:rsidRPr="00063CD3">
        <w:rPr>
          <w:szCs w:val="22"/>
        </w:rPr>
        <w:t xml:space="preserve"> in a cost to the PBS</w:t>
      </w:r>
      <w:r w:rsidRPr="00063CD3">
        <w:rPr>
          <w:szCs w:val="22"/>
        </w:rPr>
        <w:t>,</w:t>
      </w:r>
      <w:r w:rsidR="00652FA5" w:rsidRPr="00063CD3">
        <w:rPr>
          <w:szCs w:val="22"/>
        </w:rPr>
        <w:t xml:space="preserve"> the minor submission did not include </w:t>
      </w:r>
      <w:r w:rsidR="00484443" w:rsidRPr="00063CD3">
        <w:rPr>
          <w:szCs w:val="22"/>
        </w:rPr>
        <w:t xml:space="preserve">any estimates for this cost. </w:t>
      </w:r>
      <w:r w:rsidR="00652FA5" w:rsidRPr="00063CD3">
        <w:rPr>
          <w:szCs w:val="22"/>
        </w:rPr>
        <w:t xml:space="preserve"> </w:t>
      </w:r>
    </w:p>
    <w:p w:rsidR="00E62587" w:rsidRPr="00E13BA7" w:rsidRDefault="00E62587" w:rsidP="00E62587">
      <w:pPr>
        <w:pStyle w:val="ListParagraph"/>
        <w:rPr>
          <w:szCs w:val="22"/>
        </w:rPr>
      </w:pPr>
    </w:p>
    <w:p w:rsidR="00C0683B" w:rsidRPr="00063CD3" w:rsidRDefault="00E62587" w:rsidP="00E62587">
      <w:pPr>
        <w:pStyle w:val="ListParagraph"/>
        <w:rPr>
          <w:szCs w:val="22"/>
        </w:rPr>
      </w:pPr>
      <w:r w:rsidRPr="00063CD3">
        <w:rPr>
          <w:i/>
          <w:szCs w:val="24"/>
        </w:rPr>
        <w:t xml:space="preserve">For more detail on PBAC’s view, see section </w:t>
      </w:r>
      <w:r w:rsidR="00867B13">
        <w:rPr>
          <w:i/>
          <w:szCs w:val="24"/>
        </w:rPr>
        <w:t>5</w:t>
      </w:r>
      <w:r w:rsidR="00867B13" w:rsidRPr="00063CD3">
        <w:rPr>
          <w:i/>
          <w:szCs w:val="24"/>
        </w:rPr>
        <w:t xml:space="preserve"> </w:t>
      </w:r>
      <w:r w:rsidRPr="00063CD3">
        <w:rPr>
          <w:i/>
          <w:szCs w:val="24"/>
        </w:rPr>
        <w:t>“PBAC outcome.”</w:t>
      </w:r>
    </w:p>
    <w:p w:rsidR="00C0683B" w:rsidRPr="00063CD3" w:rsidRDefault="00C0683B" w:rsidP="00C0683B">
      <w:pPr>
        <w:rPr>
          <w:rFonts w:asciiTheme="minorHAnsi" w:hAnsiTheme="minorHAnsi"/>
          <w:lang w:eastAsia="en-US"/>
        </w:rPr>
      </w:pPr>
    </w:p>
    <w:p w:rsidR="00C0683B" w:rsidRPr="00063CD3" w:rsidRDefault="00C0683B" w:rsidP="00C0683B">
      <w:pPr>
        <w:pStyle w:val="PBACHeading1"/>
      </w:pPr>
      <w:r w:rsidRPr="00063CD3">
        <w:t xml:space="preserve">PBAC Outcome </w:t>
      </w:r>
    </w:p>
    <w:p w:rsidR="00C0683B" w:rsidRPr="00063CD3" w:rsidRDefault="00C0683B" w:rsidP="00C0683B">
      <w:pPr>
        <w:rPr>
          <w:lang w:eastAsia="en-US"/>
        </w:rPr>
      </w:pPr>
    </w:p>
    <w:p w:rsidR="00AC1F7D" w:rsidRPr="00063CD3" w:rsidRDefault="00AC1F7D" w:rsidP="00567733">
      <w:pPr>
        <w:pStyle w:val="ListParagraph"/>
        <w:numPr>
          <w:ilvl w:val="1"/>
          <w:numId w:val="5"/>
        </w:numPr>
        <w:rPr>
          <w:szCs w:val="22"/>
        </w:rPr>
      </w:pPr>
      <w:r w:rsidRPr="00063CD3">
        <w:rPr>
          <w:szCs w:val="22"/>
        </w:rPr>
        <w:t xml:space="preserve">The PBAC </w:t>
      </w:r>
      <w:r w:rsidR="00622A66" w:rsidRPr="00063CD3">
        <w:rPr>
          <w:szCs w:val="22"/>
        </w:rPr>
        <w:t>did not recommend the</w:t>
      </w:r>
      <w:r w:rsidR="00DB7EBC" w:rsidRPr="00063CD3">
        <w:rPr>
          <w:szCs w:val="22"/>
        </w:rPr>
        <w:t xml:space="preserve"> </w:t>
      </w:r>
      <w:r w:rsidR="00786EA6" w:rsidRPr="00063CD3">
        <w:rPr>
          <w:szCs w:val="22"/>
        </w:rPr>
        <w:t xml:space="preserve">minor </w:t>
      </w:r>
      <w:r w:rsidR="00DB7EBC" w:rsidRPr="00063CD3">
        <w:rPr>
          <w:szCs w:val="22"/>
        </w:rPr>
        <w:t>submission’s</w:t>
      </w:r>
      <w:r w:rsidR="00622A66" w:rsidRPr="00063CD3">
        <w:rPr>
          <w:szCs w:val="22"/>
        </w:rPr>
        <w:t xml:space="preserve"> request to amend the maximum quantity and number of repeats per </w:t>
      </w:r>
      <w:r w:rsidR="00DB7EBC" w:rsidRPr="00063CD3">
        <w:rPr>
          <w:szCs w:val="22"/>
        </w:rPr>
        <w:t>prescription</w:t>
      </w:r>
      <w:r w:rsidR="00622A66" w:rsidRPr="00063CD3">
        <w:rPr>
          <w:szCs w:val="22"/>
        </w:rPr>
        <w:t xml:space="preserve"> of secukinumab for </w:t>
      </w:r>
      <w:r w:rsidR="00145AE4" w:rsidRPr="00063CD3">
        <w:rPr>
          <w:szCs w:val="22"/>
        </w:rPr>
        <w:t xml:space="preserve">the </w:t>
      </w:r>
      <w:r w:rsidR="00622A66" w:rsidRPr="00063CD3">
        <w:rPr>
          <w:szCs w:val="22"/>
        </w:rPr>
        <w:t>continuing treatment of severe chronic plaque psoriasis</w:t>
      </w:r>
      <w:r w:rsidR="004F224D" w:rsidRPr="00063CD3">
        <w:rPr>
          <w:szCs w:val="22"/>
        </w:rPr>
        <w:t xml:space="preserve">. </w:t>
      </w:r>
    </w:p>
    <w:p w:rsidR="005F7C3A" w:rsidRPr="00063CD3" w:rsidRDefault="005F7C3A" w:rsidP="005F7C3A">
      <w:pPr>
        <w:pStyle w:val="ListParagraph"/>
        <w:rPr>
          <w:szCs w:val="22"/>
        </w:rPr>
      </w:pPr>
    </w:p>
    <w:p w:rsidR="005F7C3A" w:rsidRPr="00063CD3" w:rsidRDefault="004F224D" w:rsidP="00567733">
      <w:pPr>
        <w:pStyle w:val="ListParagraph"/>
        <w:numPr>
          <w:ilvl w:val="1"/>
          <w:numId w:val="5"/>
        </w:numPr>
        <w:rPr>
          <w:szCs w:val="22"/>
        </w:rPr>
      </w:pPr>
      <w:r w:rsidRPr="00063CD3">
        <w:rPr>
          <w:szCs w:val="22"/>
        </w:rPr>
        <w:t xml:space="preserve">The PBAC noted that the intention of the request was to align the </w:t>
      </w:r>
      <w:r w:rsidR="00C32991" w:rsidRPr="00063CD3">
        <w:rPr>
          <w:szCs w:val="22"/>
        </w:rPr>
        <w:t>maximum quantity and number of repeats of</w:t>
      </w:r>
      <w:r w:rsidR="005C4DF3" w:rsidRPr="00063CD3">
        <w:rPr>
          <w:szCs w:val="22"/>
        </w:rPr>
        <w:t xml:space="preserve"> the </w:t>
      </w:r>
      <w:r w:rsidR="00C32991" w:rsidRPr="00063CD3">
        <w:rPr>
          <w:szCs w:val="22"/>
        </w:rPr>
        <w:t>secukinumab</w:t>
      </w:r>
      <w:r w:rsidR="005C4DF3" w:rsidRPr="00063CD3">
        <w:rPr>
          <w:szCs w:val="22"/>
        </w:rPr>
        <w:t xml:space="preserve"> listing</w:t>
      </w:r>
      <w:r w:rsidRPr="00063CD3">
        <w:rPr>
          <w:szCs w:val="22"/>
        </w:rPr>
        <w:t xml:space="preserve"> to </w:t>
      </w:r>
      <w:r w:rsidR="00C32991" w:rsidRPr="00063CD3">
        <w:rPr>
          <w:szCs w:val="22"/>
        </w:rPr>
        <w:t>that of</w:t>
      </w:r>
      <w:r w:rsidRPr="00063CD3">
        <w:rPr>
          <w:szCs w:val="22"/>
        </w:rPr>
        <w:t xml:space="preserve"> ixekizumab</w:t>
      </w:r>
      <w:r w:rsidR="00DB16D6" w:rsidRPr="00063CD3">
        <w:rPr>
          <w:szCs w:val="22"/>
        </w:rPr>
        <w:t>,</w:t>
      </w:r>
      <w:r w:rsidRPr="00063CD3">
        <w:rPr>
          <w:szCs w:val="22"/>
        </w:rPr>
        <w:t xml:space="preserve"> which currently provides</w:t>
      </w:r>
      <w:r w:rsidR="00FE6AE6" w:rsidRPr="00063CD3">
        <w:rPr>
          <w:szCs w:val="22"/>
        </w:rPr>
        <w:t xml:space="preserve"> two months’ supply per </w:t>
      </w:r>
      <w:r w:rsidR="00DB7EBC" w:rsidRPr="00063CD3">
        <w:rPr>
          <w:szCs w:val="22"/>
        </w:rPr>
        <w:t>prescription</w:t>
      </w:r>
      <w:r w:rsidR="00FE6AE6" w:rsidRPr="00063CD3">
        <w:rPr>
          <w:szCs w:val="22"/>
        </w:rPr>
        <w:t xml:space="preserve">. </w:t>
      </w:r>
      <w:r w:rsidR="005F7C3A" w:rsidRPr="00063CD3">
        <w:rPr>
          <w:szCs w:val="22"/>
        </w:rPr>
        <w:t xml:space="preserve">The PBAC noted that </w:t>
      </w:r>
      <w:r w:rsidR="00E65F2E" w:rsidRPr="00063CD3">
        <w:rPr>
          <w:szCs w:val="22"/>
        </w:rPr>
        <w:t xml:space="preserve">it is </w:t>
      </w:r>
      <w:r w:rsidR="0063644E" w:rsidRPr="00063CD3">
        <w:rPr>
          <w:szCs w:val="22"/>
        </w:rPr>
        <w:t>usual</w:t>
      </w:r>
      <w:r w:rsidR="00E65F2E" w:rsidRPr="00063CD3">
        <w:rPr>
          <w:szCs w:val="22"/>
        </w:rPr>
        <w:t xml:space="preserve"> practice for drugs listed</w:t>
      </w:r>
      <w:r w:rsidR="00DB7EBC" w:rsidRPr="00063CD3">
        <w:rPr>
          <w:szCs w:val="22"/>
        </w:rPr>
        <w:t xml:space="preserve"> </w:t>
      </w:r>
      <w:r w:rsidR="00063CD3">
        <w:rPr>
          <w:szCs w:val="22"/>
        </w:rPr>
        <w:t>o</w:t>
      </w:r>
      <w:r w:rsidR="00063CD3" w:rsidRPr="00063CD3">
        <w:rPr>
          <w:szCs w:val="22"/>
        </w:rPr>
        <w:t xml:space="preserve">n </w:t>
      </w:r>
      <w:r w:rsidR="00E65F2E" w:rsidRPr="00063CD3">
        <w:rPr>
          <w:szCs w:val="22"/>
        </w:rPr>
        <w:t xml:space="preserve">the general schedule to have a maximum quantity per </w:t>
      </w:r>
      <w:r w:rsidR="00063CD3" w:rsidRPr="00063CD3">
        <w:rPr>
          <w:szCs w:val="22"/>
        </w:rPr>
        <w:t>prescription that</w:t>
      </w:r>
      <w:r w:rsidR="00E65F2E" w:rsidRPr="00063CD3">
        <w:rPr>
          <w:szCs w:val="22"/>
        </w:rPr>
        <w:t xml:space="preserve"> provides </w:t>
      </w:r>
      <w:r w:rsidR="00063CD3">
        <w:rPr>
          <w:szCs w:val="22"/>
        </w:rPr>
        <w:t xml:space="preserve">supply for </w:t>
      </w:r>
      <w:r w:rsidR="00E65F2E" w:rsidRPr="00063CD3">
        <w:rPr>
          <w:szCs w:val="22"/>
        </w:rPr>
        <w:t>one month</w:t>
      </w:r>
      <w:r w:rsidR="00BA620F" w:rsidRPr="00063CD3">
        <w:rPr>
          <w:szCs w:val="22"/>
        </w:rPr>
        <w:t>s’</w:t>
      </w:r>
      <w:r w:rsidR="00E65F2E" w:rsidRPr="00063CD3">
        <w:rPr>
          <w:szCs w:val="22"/>
        </w:rPr>
        <w:t xml:space="preserve"> </w:t>
      </w:r>
      <w:r w:rsidR="00DB7EBC" w:rsidRPr="00063CD3">
        <w:rPr>
          <w:szCs w:val="22"/>
        </w:rPr>
        <w:t>treatment</w:t>
      </w:r>
      <w:r w:rsidR="00E65F2E" w:rsidRPr="00E13BA7">
        <w:rPr>
          <w:szCs w:val="22"/>
        </w:rPr>
        <w:t xml:space="preserve">. </w:t>
      </w:r>
      <w:r w:rsidR="00B7679E" w:rsidRPr="00E13BA7">
        <w:rPr>
          <w:szCs w:val="22"/>
        </w:rPr>
        <w:t>The PBAC therefore considered that the current maximum quanti</w:t>
      </w:r>
      <w:r w:rsidR="00BA620F" w:rsidRPr="00E13BA7">
        <w:rPr>
          <w:szCs w:val="22"/>
        </w:rPr>
        <w:t>ty of one injection with five repeats</w:t>
      </w:r>
      <w:r w:rsidR="0084531B" w:rsidRPr="00063CD3">
        <w:rPr>
          <w:szCs w:val="22"/>
        </w:rPr>
        <w:t xml:space="preserve"> for secukinumab for </w:t>
      </w:r>
      <w:r w:rsidR="00FE6AE6" w:rsidRPr="00063CD3">
        <w:rPr>
          <w:szCs w:val="22"/>
        </w:rPr>
        <w:t>this indication and treatment phase</w:t>
      </w:r>
      <w:r w:rsidR="00BA620F" w:rsidRPr="00063CD3">
        <w:rPr>
          <w:szCs w:val="22"/>
        </w:rPr>
        <w:t xml:space="preserve"> </w:t>
      </w:r>
      <w:r w:rsidR="0084531B" w:rsidRPr="00063CD3">
        <w:rPr>
          <w:szCs w:val="22"/>
        </w:rPr>
        <w:t xml:space="preserve">should remain unchanged. </w:t>
      </w:r>
    </w:p>
    <w:p w:rsidR="0084531B" w:rsidRPr="00063CD3" w:rsidRDefault="0084531B" w:rsidP="00145AE4">
      <w:pPr>
        <w:rPr>
          <w:rFonts w:asciiTheme="minorHAnsi" w:hAnsiTheme="minorHAnsi"/>
          <w:szCs w:val="22"/>
        </w:rPr>
      </w:pPr>
    </w:p>
    <w:p w:rsidR="00622A66" w:rsidRPr="00063CD3" w:rsidRDefault="00145AE4" w:rsidP="0063644E">
      <w:pPr>
        <w:pStyle w:val="ListParagraph"/>
        <w:numPr>
          <w:ilvl w:val="1"/>
          <w:numId w:val="5"/>
        </w:numPr>
        <w:rPr>
          <w:szCs w:val="22"/>
        </w:rPr>
      </w:pPr>
      <w:r w:rsidRPr="00063CD3">
        <w:rPr>
          <w:szCs w:val="22"/>
        </w:rPr>
        <w:t>The PBAC noted</w:t>
      </w:r>
      <w:r w:rsidR="0063644E" w:rsidRPr="00063CD3">
        <w:rPr>
          <w:szCs w:val="22"/>
        </w:rPr>
        <w:t xml:space="preserve"> that in contrast </w:t>
      </w:r>
      <w:r w:rsidR="005C4DF3" w:rsidRPr="00063CD3">
        <w:rPr>
          <w:szCs w:val="22"/>
        </w:rPr>
        <w:t xml:space="preserve">to other </w:t>
      </w:r>
      <w:r w:rsidR="00DB7EBC" w:rsidRPr="00063CD3">
        <w:rPr>
          <w:szCs w:val="22"/>
        </w:rPr>
        <w:t xml:space="preserve">PBS subsidised </w:t>
      </w:r>
      <w:r w:rsidR="005C4DF3" w:rsidRPr="00063CD3">
        <w:rPr>
          <w:szCs w:val="22"/>
        </w:rPr>
        <w:t xml:space="preserve">biological disease modifying anti rheumatic drugs (bDMARDs) for severe </w:t>
      </w:r>
      <w:r w:rsidR="0063644E" w:rsidRPr="00063CD3">
        <w:rPr>
          <w:szCs w:val="22"/>
        </w:rPr>
        <w:t xml:space="preserve">chronic plaque psoriasis, </w:t>
      </w:r>
      <w:r w:rsidR="005C4DF3" w:rsidRPr="00063CD3">
        <w:rPr>
          <w:szCs w:val="22"/>
        </w:rPr>
        <w:t>the</w:t>
      </w:r>
      <w:r w:rsidR="00920816" w:rsidRPr="00063CD3">
        <w:rPr>
          <w:szCs w:val="22"/>
        </w:rPr>
        <w:t xml:space="preserve"> </w:t>
      </w:r>
      <w:r w:rsidR="00DB7EBC" w:rsidRPr="00063CD3">
        <w:rPr>
          <w:szCs w:val="22"/>
        </w:rPr>
        <w:t xml:space="preserve">medicinal product </w:t>
      </w:r>
      <w:r w:rsidR="00920816" w:rsidRPr="00063CD3">
        <w:rPr>
          <w:szCs w:val="22"/>
        </w:rPr>
        <w:t xml:space="preserve">pack for ixekizumab </w:t>
      </w:r>
      <w:r w:rsidR="00DB7EBC" w:rsidRPr="00063CD3">
        <w:rPr>
          <w:szCs w:val="22"/>
        </w:rPr>
        <w:t>contains</w:t>
      </w:r>
      <w:r w:rsidR="00920816" w:rsidRPr="00063CD3">
        <w:rPr>
          <w:szCs w:val="22"/>
        </w:rPr>
        <w:t xml:space="preserve"> two</w:t>
      </w:r>
      <w:r w:rsidR="00DB7EBC" w:rsidRPr="00063CD3">
        <w:rPr>
          <w:szCs w:val="22"/>
        </w:rPr>
        <w:t xml:space="preserve"> injections</w:t>
      </w:r>
      <w:r w:rsidR="00DB16D6" w:rsidRPr="00063CD3">
        <w:rPr>
          <w:szCs w:val="22"/>
        </w:rPr>
        <w:t>,</w:t>
      </w:r>
      <w:r w:rsidR="00920816" w:rsidRPr="00063CD3">
        <w:rPr>
          <w:szCs w:val="22"/>
        </w:rPr>
        <w:t xml:space="preserve"> which </w:t>
      </w:r>
      <w:r w:rsidR="004D1809" w:rsidRPr="00063CD3">
        <w:rPr>
          <w:szCs w:val="22"/>
        </w:rPr>
        <w:t>allows for</w:t>
      </w:r>
      <w:r w:rsidR="005C4DF3" w:rsidRPr="00063CD3">
        <w:rPr>
          <w:szCs w:val="22"/>
        </w:rPr>
        <w:t xml:space="preserve"> two months</w:t>
      </w:r>
      <w:r w:rsidR="004D1809" w:rsidRPr="00063CD3">
        <w:rPr>
          <w:szCs w:val="22"/>
        </w:rPr>
        <w:t>’ treatment for a single PBS prescription</w:t>
      </w:r>
      <w:r w:rsidR="005C4DF3" w:rsidRPr="00063CD3">
        <w:rPr>
          <w:szCs w:val="22"/>
        </w:rPr>
        <w:t xml:space="preserve">. </w:t>
      </w:r>
    </w:p>
    <w:p w:rsidR="005C4DF3" w:rsidRPr="00063CD3" w:rsidRDefault="005C4DF3" w:rsidP="005C4DF3">
      <w:pPr>
        <w:pStyle w:val="ListParagraph"/>
        <w:rPr>
          <w:szCs w:val="22"/>
        </w:rPr>
      </w:pPr>
    </w:p>
    <w:p w:rsidR="005C4DF3" w:rsidRPr="00E13BA7" w:rsidRDefault="005C4DF3" w:rsidP="00DB7EBC">
      <w:pPr>
        <w:pStyle w:val="ListParagraph"/>
        <w:numPr>
          <w:ilvl w:val="1"/>
          <w:numId w:val="5"/>
        </w:numPr>
        <w:rPr>
          <w:szCs w:val="22"/>
        </w:rPr>
      </w:pPr>
      <w:r w:rsidRPr="00E13BA7">
        <w:rPr>
          <w:szCs w:val="22"/>
        </w:rPr>
        <w:t xml:space="preserve">The PBAC noted that the TGA approved Product Information </w:t>
      </w:r>
      <w:r w:rsidR="002A545B" w:rsidRPr="00E13BA7">
        <w:rPr>
          <w:szCs w:val="22"/>
        </w:rPr>
        <w:t>for</w:t>
      </w:r>
      <w:r w:rsidRPr="00E13BA7">
        <w:rPr>
          <w:szCs w:val="22"/>
        </w:rPr>
        <w:t xml:space="preserve"> ixekizumab </w:t>
      </w:r>
      <w:r w:rsidR="002A545B" w:rsidRPr="00E13BA7">
        <w:rPr>
          <w:szCs w:val="22"/>
        </w:rPr>
        <w:t xml:space="preserve">indicates it </w:t>
      </w:r>
      <w:r w:rsidRPr="00E13BA7">
        <w:rPr>
          <w:szCs w:val="22"/>
        </w:rPr>
        <w:t xml:space="preserve">is </w:t>
      </w:r>
      <w:r w:rsidR="004D1809" w:rsidRPr="00E13BA7">
        <w:rPr>
          <w:szCs w:val="22"/>
        </w:rPr>
        <w:t>also available</w:t>
      </w:r>
      <w:r w:rsidRPr="00E13BA7">
        <w:rPr>
          <w:szCs w:val="22"/>
        </w:rPr>
        <w:t xml:space="preserve"> in a pack size of one</w:t>
      </w:r>
      <w:r w:rsidR="004D1809" w:rsidRPr="00E13BA7">
        <w:rPr>
          <w:szCs w:val="22"/>
        </w:rPr>
        <w:t xml:space="preserve"> injection</w:t>
      </w:r>
      <w:r w:rsidRPr="00E13BA7">
        <w:rPr>
          <w:szCs w:val="22"/>
        </w:rPr>
        <w:t xml:space="preserve">. The PBAC </w:t>
      </w:r>
      <w:r w:rsidR="004D1809" w:rsidRPr="00E13BA7">
        <w:rPr>
          <w:szCs w:val="22"/>
        </w:rPr>
        <w:t>recommended</w:t>
      </w:r>
      <w:r w:rsidRPr="00E13BA7">
        <w:rPr>
          <w:szCs w:val="22"/>
        </w:rPr>
        <w:t xml:space="preserve"> amend</w:t>
      </w:r>
      <w:r w:rsidR="00A0581E" w:rsidRPr="00E13BA7">
        <w:rPr>
          <w:szCs w:val="22"/>
        </w:rPr>
        <w:t>ing</w:t>
      </w:r>
      <w:r w:rsidRPr="00E13BA7">
        <w:rPr>
          <w:szCs w:val="22"/>
        </w:rPr>
        <w:t xml:space="preserve"> the</w:t>
      </w:r>
      <w:r w:rsidR="006E266E">
        <w:rPr>
          <w:szCs w:val="22"/>
        </w:rPr>
        <w:t xml:space="preserve"> maximum quantity of the</w:t>
      </w:r>
      <w:r w:rsidR="003A094D" w:rsidRPr="00E13BA7">
        <w:rPr>
          <w:szCs w:val="22"/>
        </w:rPr>
        <w:t xml:space="preserve"> </w:t>
      </w:r>
      <w:r w:rsidR="004D1809" w:rsidRPr="00E13BA7">
        <w:rPr>
          <w:szCs w:val="22"/>
        </w:rPr>
        <w:t xml:space="preserve">PBS </w:t>
      </w:r>
      <w:r w:rsidR="003A094D" w:rsidRPr="00E13BA7">
        <w:rPr>
          <w:szCs w:val="22"/>
        </w:rPr>
        <w:t>list</w:t>
      </w:r>
      <w:r w:rsidR="00694018" w:rsidRPr="00E13BA7">
        <w:rPr>
          <w:szCs w:val="22"/>
        </w:rPr>
        <w:t>ing</w:t>
      </w:r>
      <w:r w:rsidRPr="00E13BA7">
        <w:rPr>
          <w:szCs w:val="22"/>
        </w:rPr>
        <w:t xml:space="preserve"> for ixekizumab </w:t>
      </w:r>
      <w:r w:rsidR="00920816" w:rsidRPr="00063CD3">
        <w:rPr>
          <w:szCs w:val="22"/>
        </w:rPr>
        <w:t>from two to one</w:t>
      </w:r>
      <w:r w:rsidR="004D1809" w:rsidRPr="00063CD3">
        <w:rPr>
          <w:szCs w:val="22"/>
        </w:rPr>
        <w:t xml:space="preserve"> injection</w:t>
      </w:r>
      <w:r w:rsidR="006E266E">
        <w:rPr>
          <w:szCs w:val="22"/>
        </w:rPr>
        <w:t>,</w:t>
      </w:r>
      <w:r w:rsidR="00920816" w:rsidRPr="00063CD3">
        <w:rPr>
          <w:szCs w:val="22"/>
        </w:rPr>
        <w:t xml:space="preserve"> to align the ixekizumab listing for severe chronic plaque psoriasis with </w:t>
      </w:r>
      <w:r w:rsidR="002A545B" w:rsidRPr="00063CD3">
        <w:rPr>
          <w:szCs w:val="22"/>
        </w:rPr>
        <w:t xml:space="preserve">the PBS listings of other bDMARDs </w:t>
      </w:r>
      <w:r w:rsidR="006E266E">
        <w:rPr>
          <w:szCs w:val="22"/>
        </w:rPr>
        <w:t>and with</w:t>
      </w:r>
      <w:r w:rsidR="002A545B" w:rsidRPr="00063CD3">
        <w:rPr>
          <w:szCs w:val="22"/>
        </w:rPr>
        <w:t xml:space="preserve"> </w:t>
      </w:r>
      <w:r w:rsidR="00920816" w:rsidRPr="00063CD3">
        <w:rPr>
          <w:szCs w:val="22"/>
        </w:rPr>
        <w:t>usual practice</w:t>
      </w:r>
      <w:r w:rsidR="006E266E">
        <w:rPr>
          <w:szCs w:val="22"/>
        </w:rPr>
        <w:t xml:space="preserve"> for the supply of these medicines on the PBS</w:t>
      </w:r>
      <w:r w:rsidR="00920816" w:rsidRPr="00063CD3">
        <w:rPr>
          <w:szCs w:val="22"/>
        </w:rPr>
        <w:t xml:space="preserve">. </w:t>
      </w:r>
    </w:p>
    <w:p w:rsidR="0063644E" w:rsidRPr="00E13BA7" w:rsidRDefault="0063644E" w:rsidP="00E13BA7">
      <w:pPr>
        <w:rPr>
          <w:rFonts w:asciiTheme="minorHAnsi" w:hAnsiTheme="minorHAnsi"/>
          <w:szCs w:val="22"/>
        </w:rPr>
      </w:pPr>
    </w:p>
    <w:p w:rsidR="00567733" w:rsidRPr="00E13BA7" w:rsidRDefault="00844BD7" w:rsidP="00DB16D6">
      <w:pPr>
        <w:pStyle w:val="ListParagraph"/>
        <w:numPr>
          <w:ilvl w:val="1"/>
          <w:numId w:val="5"/>
        </w:numPr>
        <w:rPr>
          <w:szCs w:val="22"/>
        </w:rPr>
      </w:pPr>
      <w:r w:rsidRPr="00E13BA7">
        <w:rPr>
          <w:szCs w:val="22"/>
        </w:rPr>
        <w:t>The PBAC noted that the s</w:t>
      </w:r>
      <w:r w:rsidR="00457058" w:rsidRPr="00E13BA7">
        <w:rPr>
          <w:szCs w:val="22"/>
        </w:rPr>
        <w:t>ubmission is not eligible for</w:t>
      </w:r>
      <w:r w:rsidR="00567733" w:rsidRPr="00E13BA7">
        <w:rPr>
          <w:szCs w:val="22"/>
        </w:rPr>
        <w:t xml:space="preserve"> an Ind</w:t>
      </w:r>
      <w:r w:rsidR="00A0581E" w:rsidRPr="00E13BA7">
        <w:rPr>
          <w:szCs w:val="22"/>
        </w:rPr>
        <w:t xml:space="preserve">ependent Review because it is a </w:t>
      </w:r>
      <w:r w:rsidR="00567733" w:rsidRPr="00E13BA7">
        <w:rPr>
          <w:szCs w:val="22"/>
        </w:rPr>
        <w:t xml:space="preserve">request to modify an existing listing. </w:t>
      </w:r>
    </w:p>
    <w:p w:rsidR="00207D07" w:rsidRPr="00C4091E" w:rsidRDefault="00207D07" w:rsidP="00844BD7">
      <w:pPr>
        <w:widowControl w:val="0"/>
        <w:spacing w:after="120"/>
        <w:ind w:left="720"/>
        <w:jc w:val="both"/>
        <w:rPr>
          <w:rFonts w:asciiTheme="minorHAnsi" w:hAnsiTheme="minorHAnsi" w:cs="Arial"/>
          <w:bCs/>
          <w:snapToGrid w:val="0"/>
          <w:sz w:val="22"/>
          <w:szCs w:val="22"/>
          <w:lang w:eastAsia="en-US"/>
        </w:rPr>
      </w:pPr>
    </w:p>
    <w:p w:rsidR="00C0683B" w:rsidRPr="00843E5D" w:rsidRDefault="00C0683B" w:rsidP="00843E5D">
      <w:pPr>
        <w:spacing w:before="240" w:after="120"/>
        <w:jc w:val="both"/>
        <w:outlineLvl w:val="1"/>
        <w:rPr>
          <w:rFonts w:asciiTheme="minorHAnsi" w:hAnsiTheme="minorHAnsi" w:cs="Arial"/>
          <w:b/>
          <w:bCs/>
          <w:snapToGrid w:val="0"/>
          <w:lang w:eastAsia="en-US"/>
        </w:rPr>
      </w:pPr>
      <w:r w:rsidRPr="00867B13">
        <w:rPr>
          <w:rFonts w:asciiTheme="minorHAnsi" w:hAnsiTheme="minorHAnsi" w:cs="Arial"/>
          <w:b/>
          <w:bCs/>
          <w:snapToGrid w:val="0"/>
          <w:sz w:val="28"/>
          <w:szCs w:val="28"/>
          <w:lang w:eastAsia="en-US"/>
        </w:rPr>
        <w:t>Outcome:</w:t>
      </w:r>
      <w:r w:rsidR="00843E5D">
        <w:rPr>
          <w:rFonts w:asciiTheme="minorHAnsi" w:hAnsiTheme="minorHAnsi" w:cs="Arial"/>
          <w:b/>
          <w:bCs/>
          <w:snapToGrid w:val="0"/>
          <w:lang w:eastAsia="en-US"/>
        </w:rPr>
        <w:br/>
      </w:r>
      <w:r w:rsidRPr="00867B13">
        <w:rPr>
          <w:rFonts w:asciiTheme="minorHAnsi" w:hAnsiTheme="minorHAnsi" w:cs="Arial"/>
          <w:bCs/>
          <w:snapToGrid w:val="0"/>
          <w:lang w:eastAsia="en-US"/>
        </w:rPr>
        <w:t xml:space="preserve">Rejected </w:t>
      </w:r>
    </w:p>
    <w:p w:rsidR="002A545B" w:rsidRDefault="002A545B" w:rsidP="002A545B">
      <w:pPr>
        <w:spacing w:after="120"/>
        <w:jc w:val="both"/>
        <w:rPr>
          <w:rFonts w:asciiTheme="minorHAnsi" w:hAnsiTheme="minorHAnsi" w:cs="Arial"/>
          <w:bCs/>
          <w:snapToGrid w:val="0"/>
          <w:sz w:val="22"/>
          <w:szCs w:val="22"/>
          <w:lang w:eastAsia="en-US"/>
        </w:rPr>
      </w:pPr>
    </w:p>
    <w:p w:rsidR="001D23B9" w:rsidRPr="001D23B9" w:rsidRDefault="001D23B9" w:rsidP="001D23B9">
      <w:pPr>
        <w:pStyle w:val="PBACHeading1"/>
      </w:pPr>
      <w:r w:rsidRPr="001D23B9">
        <w:t>Context for Decision</w:t>
      </w:r>
    </w:p>
    <w:p w:rsidR="001D23B9" w:rsidRPr="00440A84" w:rsidRDefault="001D23B9" w:rsidP="001D23B9">
      <w:pPr>
        <w:ind w:left="426"/>
        <w:jc w:val="both"/>
        <w:rPr>
          <w:rFonts w:asciiTheme="minorHAnsi" w:hAnsiTheme="minorHAnsi" w:cs="Arial"/>
        </w:rPr>
      </w:pPr>
    </w:p>
    <w:p w:rsidR="001D23B9" w:rsidRPr="00440A84" w:rsidRDefault="001D23B9" w:rsidP="001D23B9">
      <w:pPr>
        <w:jc w:val="both"/>
        <w:rPr>
          <w:rFonts w:asciiTheme="minorHAnsi" w:hAnsiTheme="minorHAnsi" w:cs="Arial"/>
        </w:rPr>
      </w:pPr>
      <w:r w:rsidRPr="00440A84">
        <w:rPr>
          <w:rFonts w:asciiTheme="minorHAnsi" w:hAnsiTheme="minorHAnsi" w:cs="Arial"/>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1D23B9" w:rsidRPr="00440A84" w:rsidRDefault="001D23B9" w:rsidP="001D23B9">
      <w:pPr>
        <w:ind w:left="426"/>
        <w:jc w:val="both"/>
        <w:rPr>
          <w:rFonts w:asciiTheme="minorHAnsi" w:hAnsiTheme="minorHAnsi" w:cs="Arial"/>
        </w:rPr>
      </w:pPr>
    </w:p>
    <w:p w:rsidR="001D23B9" w:rsidRPr="006C2DAA" w:rsidRDefault="001D23B9" w:rsidP="001D23B9">
      <w:pPr>
        <w:pStyle w:val="PBACHeading1"/>
        <w:rPr>
          <w:b w:val="0"/>
          <w:szCs w:val="32"/>
        </w:rPr>
      </w:pPr>
      <w:r w:rsidRPr="001D23B9">
        <w:t>Sponsor’s Comment</w:t>
      </w:r>
    </w:p>
    <w:p w:rsidR="001D23B9" w:rsidRPr="00440A84" w:rsidRDefault="001D23B9" w:rsidP="001D23B9">
      <w:pPr>
        <w:ind w:left="426"/>
        <w:jc w:val="both"/>
        <w:rPr>
          <w:rFonts w:asciiTheme="minorHAnsi" w:hAnsiTheme="minorHAnsi" w:cs="Arial"/>
          <w:bCs/>
          <w:highlight w:val="yellow"/>
          <w:lang w:val="en-GB"/>
        </w:rPr>
      </w:pPr>
    </w:p>
    <w:p w:rsidR="001D23B9" w:rsidRPr="00440A84" w:rsidRDefault="001D23B9" w:rsidP="001D23B9">
      <w:pPr>
        <w:spacing w:after="120"/>
        <w:jc w:val="both"/>
        <w:rPr>
          <w:rFonts w:asciiTheme="minorHAnsi" w:hAnsiTheme="minorHAnsi" w:cs="Arial"/>
          <w:bCs/>
        </w:rPr>
      </w:pPr>
      <w:r w:rsidRPr="00440A84">
        <w:rPr>
          <w:rFonts w:asciiTheme="minorHAnsi" w:hAnsiTheme="minorHAnsi" w:cs="Arial"/>
          <w:bCs/>
        </w:rPr>
        <w:t>The sponsor had no comment.</w:t>
      </w:r>
    </w:p>
    <w:p w:rsidR="00843E5D" w:rsidRDefault="00843E5D" w:rsidP="002A545B">
      <w:pPr>
        <w:spacing w:after="120"/>
        <w:jc w:val="both"/>
        <w:rPr>
          <w:rFonts w:asciiTheme="minorHAnsi" w:hAnsiTheme="minorHAnsi" w:cs="Arial"/>
          <w:bCs/>
          <w:snapToGrid w:val="0"/>
          <w:sz w:val="22"/>
          <w:szCs w:val="22"/>
          <w:lang w:eastAsia="en-US"/>
        </w:rPr>
      </w:pPr>
    </w:p>
    <w:p w:rsidR="00C0683B" w:rsidRPr="00063CD3" w:rsidRDefault="00C0683B" w:rsidP="00C0683B">
      <w:pPr>
        <w:rPr>
          <w:lang w:eastAsia="en-US"/>
        </w:rPr>
      </w:pPr>
    </w:p>
    <w:sectPr w:rsidR="00C0683B" w:rsidRPr="00063CD3"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C0A" w:rsidRDefault="00E72C0A">
      <w:r>
        <w:separator/>
      </w:r>
    </w:p>
    <w:p w:rsidR="00E72C0A" w:rsidRDefault="00E72C0A"/>
  </w:endnote>
  <w:endnote w:type="continuationSeparator" w:id="0">
    <w:p w:rsidR="00E72C0A" w:rsidRDefault="00E72C0A">
      <w:r>
        <w:continuationSeparator/>
      </w:r>
    </w:p>
    <w:p w:rsidR="00E72C0A" w:rsidRDefault="00E72C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C7126F" w:rsidTr="005A3173">
      <w:trPr>
        <w:trHeight w:val="151"/>
      </w:trPr>
      <w:tc>
        <w:tcPr>
          <w:tcW w:w="2250" w:type="pct"/>
          <w:tcBorders>
            <w:top w:val="nil"/>
            <w:left w:val="nil"/>
            <w:bottom w:val="single" w:sz="4" w:space="0" w:color="4F81BD"/>
            <w:right w:val="nil"/>
          </w:tcBorders>
        </w:tcPr>
        <w:p w:rsidR="00C7126F" w:rsidRPr="005A3173" w:rsidRDefault="00C7126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C7126F" w:rsidRPr="005A3173" w:rsidRDefault="00C7126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C7126F" w:rsidRPr="005A3173" w:rsidRDefault="00C7126F" w:rsidP="005A3173">
          <w:pPr>
            <w:pStyle w:val="Header"/>
            <w:spacing w:line="276" w:lineRule="auto"/>
            <w:rPr>
              <w:rFonts w:ascii="Calibri" w:eastAsia="MS Gothic" w:hAnsi="Calibri"/>
              <w:b/>
              <w:bCs/>
              <w:color w:val="4F81BD"/>
            </w:rPr>
          </w:pPr>
        </w:p>
      </w:tc>
    </w:tr>
    <w:tr w:rsidR="00C7126F" w:rsidTr="005A3173">
      <w:trPr>
        <w:trHeight w:val="150"/>
      </w:trPr>
      <w:tc>
        <w:tcPr>
          <w:tcW w:w="2250" w:type="pct"/>
          <w:tcBorders>
            <w:top w:val="single" w:sz="4" w:space="0" w:color="4F81BD"/>
            <w:left w:val="nil"/>
            <w:bottom w:val="nil"/>
            <w:right w:val="nil"/>
          </w:tcBorders>
        </w:tcPr>
        <w:p w:rsidR="00C7126F" w:rsidRPr="005A3173" w:rsidRDefault="00C7126F" w:rsidP="005A3173">
          <w:pPr>
            <w:pStyle w:val="Header"/>
            <w:spacing w:line="276" w:lineRule="auto"/>
            <w:rPr>
              <w:rFonts w:ascii="Calibri" w:eastAsia="MS Gothic" w:hAnsi="Calibri"/>
              <w:b/>
              <w:bCs/>
              <w:color w:val="4F81BD"/>
            </w:rPr>
          </w:pPr>
        </w:p>
      </w:tc>
      <w:tc>
        <w:tcPr>
          <w:tcW w:w="0" w:type="auto"/>
          <w:vMerge/>
          <w:vAlign w:val="center"/>
          <w:hideMark/>
        </w:tcPr>
        <w:p w:rsidR="00C7126F" w:rsidRPr="005A3173" w:rsidRDefault="00C7126F" w:rsidP="005A3173">
          <w:pPr>
            <w:rPr>
              <w:rFonts w:ascii="Calibri" w:hAnsi="Calibri"/>
              <w:color w:val="365F91"/>
              <w:sz w:val="22"/>
              <w:szCs w:val="22"/>
            </w:rPr>
          </w:pPr>
        </w:p>
      </w:tc>
      <w:tc>
        <w:tcPr>
          <w:tcW w:w="2250" w:type="pct"/>
          <w:tcBorders>
            <w:top w:val="single" w:sz="4" w:space="0" w:color="4F81BD"/>
            <w:left w:val="nil"/>
            <w:bottom w:val="nil"/>
            <w:right w:val="nil"/>
          </w:tcBorders>
        </w:tcPr>
        <w:p w:rsidR="00C7126F" w:rsidRPr="005A3173" w:rsidRDefault="00C7126F" w:rsidP="005A3173">
          <w:pPr>
            <w:pStyle w:val="Header"/>
            <w:spacing w:line="276" w:lineRule="auto"/>
            <w:rPr>
              <w:rFonts w:ascii="Calibri" w:eastAsia="MS Gothic" w:hAnsi="Calibri"/>
              <w:b/>
              <w:bCs/>
              <w:color w:val="4F81BD"/>
            </w:rPr>
          </w:pPr>
        </w:p>
      </w:tc>
    </w:tr>
  </w:tbl>
  <w:p w:rsidR="00C7126F" w:rsidRDefault="00C7126F"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7126F" w:rsidRDefault="00C7126F">
    <w:pPr>
      <w:pStyle w:val="Footer"/>
    </w:pPr>
  </w:p>
  <w:p w:rsidR="00C7126F" w:rsidRDefault="00C7126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26F" w:rsidRDefault="00C7126F" w:rsidP="00EF44A0">
    <w:pPr>
      <w:pStyle w:val="Footer"/>
      <w:jc w:val="center"/>
      <w:rPr>
        <w:rFonts w:ascii="Arial" w:hAnsi="Arial" w:cs="Arial"/>
        <w:b/>
        <w:sz w:val="20"/>
        <w:szCs w:val="20"/>
      </w:rPr>
    </w:pPr>
  </w:p>
  <w:p w:rsidR="00E62587" w:rsidRPr="00E62587" w:rsidRDefault="00E62587" w:rsidP="00E62587">
    <w:pPr>
      <w:tabs>
        <w:tab w:val="center" w:pos="4153"/>
        <w:tab w:val="right" w:pos="8306"/>
      </w:tabs>
      <w:spacing w:after="120"/>
      <w:ind w:left="360"/>
      <w:jc w:val="center"/>
      <w:rPr>
        <w:rFonts w:asciiTheme="minorHAnsi" w:hAnsiTheme="minorHAnsi" w:cs="Arial"/>
        <w:lang w:eastAsia="en-US"/>
      </w:rPr>
    </w:pPr>
    <w:r w:rsidRPr="00E62587">
      <w:rPr>
        <w:rFonts w:asciiTheme="minorHAnsi" w:hAnsiTheme="minorHAnsi" w:cs="Arial"/>
        <w:lang w:eastAsia="en-US"/>
      </w:rPr>
      <w:fldChar w:fldCharType="begin"/>
    </w:r>
    <w:r w:rsidRPr="00E62587">
      <w:rPr>
        <w:rFonts w:asciiTheme="minorHAnsi" w:hAnsiTheme="minorHAnsi" w:cs="Arial"/>
        <w:lang w:eastAsia="en-US"/>
      </w:rPr>
      <w:instrText xml:space="preserve"> PAGE   \* MERGEFORMAT </w:instrText>
    </w:r>
    <w:r w:rsidRPr="00E62587">
      <w:rPr>
        <w:rFonts w:asciiTheme="minorHAnsi" w:hAnsiTheme="minorHAnsi" w:cs="Arial"/>
        <w:lang w:eastAsia="en-US"/>
      </w:rPr>
      <w:fldChar w:fldCharType="separate"/>
    </w:r>
    <w:r w:rsidR="00E72C0A">
      <w:rPr>
        <w:rFonts w:asciiTheme="minorHAnsi" w:hAnsiTheme="minorHAnsi" w:cs="Arial"/>
        <w:noProof/>
        <w:lang w:eastAsia="en-US"/>
      </w:rPr>
      <w:t>4</w:t>
    </w:r>
    <w:r w:rsidRPr="00E62587">
      <w:rPr>
        <w:rFonts w:asciiTheme="minorHAnsi" w:hAnsiTheme="minorHAnsi" w:cs="Arial"/>
        <w:noProof/>
        <w:lang w:eastAsia="en-US"/>
      </w:rPr>
      <w:fldChar w:fldCharType="end"/>
    </w:r>
  </w:p>
  <w:p w:rsidR="00C7126F" w:rsidRDefault="00C7126F" w:rsidP="00E62587">
    <w:pPr>
      <w:pStyle w:val="Footer"/>
      <w:jc w:val="center"/>
      <w:rPr>
        <w:rFonts w:ascii="Arial" w:hAnsi="Arial" w:cs="Arial"/>
        <w:b/>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C7126F" w:rsidTr="005A3173">
      <w:trPr>
        <w:trHeight w:val="151"/>
      </w:trPr>
      <w:tc>
        <w:tcPr>
          <w:tcW w:w="2250" w:type="pct"/>
          <w:tcBorders>
            <w:top w:val="nil"/>
            <w:left w:val="nil"/>
            <w:bottom w:val="single" w:sz="4" w:space="0" w:color="4F81BD"/>
            <w:right w:val="nil"/>
          </w:tcBorders>
        </w:tcPr>
        <w:p w:rsidR="00C7126F" w:rsidRPr="005A3173" w:rsidRDefault="00C7126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C7126F" w:rsidRPr="005A3173" w:rsidRDefault="00C7126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C7126F" w:rsidRPr="005A3173" w:rsidRDefault="00C7126F" w:rsidP="005A3173">
          <w:pPr>
            <w:pStyle w:val="Header"/>
            <w:spacing w:line="276" w:lineRule="auto"/>
            <w:rPr>
              <w:rFonts w:ascii="Calibri" w:eastAsia="MS Gothic" w:hAnsi="Calibri"/>
              <w:b/>
              <w:bCs/>
              <w:color w:val="4F81BD"/>
            </w:rPr>
          </w:pPr>
        </w:p>
      </w:tc>
    </w:tr>
    <w:tr w:rsidR="00C7126F" w:rsidTr="005A3173">
      <w:trPr>
        <w:trHeight w:val="150"/>
      </w:trPr>
      <w:tc>
        <w:tcPr>
          <w:tcW w:w="2250" w:type="pct"/>
          <w:tcBorders>
            <w:top w:val="single" w:sz="4" w:space="0" w:color="4F81BD"/>
            <w:left w:val="nil"/>
            <w:bottom w:val="nil"/>
            <w:right w:val="nil"/>
          </w:tcBorders>
        </w:tcPr>
        <w:p w:rsidR="00C7126F" w:rsidRPr="005A3173" w:rsidRDefault="00C7126F" w:rsidP="005A3173">
          <w:pPr>
            <w:pStyle w:val="Header"/>
            <w:spacing w:line="276" w:lineRule="auto"/>
            <w:rPr>
              <w:rFonts w:ascii="Calibri" w:eastAsia="MS Gothic" w:hAnsi="Calibri"/>
              <w:b/>
              <w:bCs/>
              <w:color w:val="4F81BD"/>
            </w:rPr>
          </w:pPr>
        </w:p>
      </w:tc>
      <w:tc>
        <w:tcPr>
          <w:tcW w:w="0" w:type="auto"/>
          <w:vMerge/>
          <w:vAlign w:val="center"/>
          <w:hideMark/>
        </w:tcPr>
        <w:p w:rsidR="00C7126F" w:rsidRPr="005A3173" w:rsidRDefault="00C7126F" w:rsidP="005A3173">
          <w:pPr>
            <w:rPr>
              <w:rFonts w:ascii="Calibri" w:hAnsi="Calibri"/>
              <w:color w:val="365F91"/>
              <w:sz w:val="22"/>
              <w:szCs w:val="22"/>
            </w:rPr>
          </w:pPr>
        </w:p>
      </w:tc>
      <w:tc>
        <w:tcPr>
          <w:tcW w:w="2250" w:type="pct"/>
          <w:tcBorders>
            <w:top w:val="single" w:sz="4" w:space="0" w:color="4F81BD"/>
            <w:left w:val="nil"/>
            <w:bottom w:val="nil"/>
            <w:right w:val="nil"/>
          </w:tcBorders>
        </w:tcPr>
        <w:p w:rsidR="00C7126F" w:rsidRPr="005A3173" w:rsidRDefault="00C7126F"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C7126F" w:rsidTr="005A3173">
      <w:trPr>
        <w:trHeight w:val="151"/>
      </w:trPr>
      <w:tc>
        <w:tcPr>
          <w:tcW w:w="2250" w:type="pct"/>
          <w:tcBorders>
            <w:top w:val="nil"/>
            <w:left w:val="nil"/>
            <w:bottom w:val="single" w:sz="4" w:space="0" w:color="4F81BD"/>
            <w:right w:val="nil"/>
          </w:tcBorders>
        </w:tcPr>
        <w:p w:rsidR="00C7126F" w:rsidRPr="005A3173" w:rsidRDefault="00C7126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C7126F" w:rsidRPr="005A3173" w:rsidRDefault="00C7126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C7126F" w:rsidRPr="005A3173" w:rsidRDefault="00C7126F" w:rsidP="005A3173">
          <w:pPr>
            <w:pStyle w:val="Header"/>
            <w:spacing w:line="276" w:lineRule="auto"/>
            <w:rPr>
              <w:rFonts w:ascii="Calibri" w:eastAsia="MS Gothic" w:hAnsi="Calibri"/>
              <w:b/>
              <w:bCs/>
              <w:color w:val="4F81BD"/>
            </w:rPr>
          </w:pPr>
        </w:p>
      </w:tc>
    </w:tr>
    <w:tr w:rsidR="00C7126F" w:rsidTr="005A3173">
      <w:trPr>
        <w:trHeight w:val="150"/>
      </w:trPr>
      <w:tc>
        <w:tcPr>
          <w:tcW w:w="2250" w:type="pct"/>
          <w:tcBorders>
            <w:top w:val="single" w:sz="4" w:space="0" w:color="4F81BD"/>
            <w:left w:val="nil"/>
            <w:bottom w:val="nil"/>
            <w:right w:val="nil"/>
          </w:tcBorders>
        </w:tcPr>
        <w:p w:rsidR="00C7126F" w:rsidRPr="005A3173" w:rsidRDefault="00C7126F" w:rsidP="005A3173">
          <w:pPr>
            <w:pStyle w:val="Header"/>
            <w:spacing w:line="276" w:lineRule="auto"/>
            <w:rPr>
              <w:rFonts w:ascii="Calibri" w:eastAsia="MS Gothic" w:hAnsi="Calibri"/>
              <w:b/>
              <w:bCs/>
              <w:color w:val="4F81BD"/>
            </w:rPr>
          </w:pPr>
        </w:p>
      </w:tc>
      <w:tc>
        <w:tcPr>
          <w:tcW w:w="0" w:type="auto"/>
          <w:vMerge/>
          <w:vAlign w:val="center"/>
          <w:hideMark/>
        </w:tcPr>
        <w:p w:rsidR="00C7126F" w:rsidRPr="005A3173" w:rsidRDefault="00C7126F" w:rsidP="005A3173">
          <w:pPr>
            <w:rPr>
              <w:rFonts w:ascii="Calibri" w:hAnsi="Calibri"/>
              <w:color w:val="365F91"/>
              <w:sz w:val="22"/>
              <w:szCs w:val="22"/>
            </w:rPr>
          </w:pPr>
        </w:p>
      </w:tc>
      <w:tc>
        <w:tcPr>
          <w:tcW w:w="2250" w:type="pct"/>
          <w:tcBorders>
            <w:top w:val="single" w:sz="4" w:space="0" w:color="4F81BD"/>
            <w:left w:val="nil"/>
            <w:bottom w:val="nil"/>
            <w:right w:val="nil"/>
          </w:tcBorders>
        </w:tcPr>
        <w:p w:rsidR="00C7126F" w:rsidRPr="005A3173" w:rsidRDefault="00C7126F" w:rsidP="005A3173">
          <w:pPr>
            <w:pStyle w:val="Header"/>
            <w:spacing w:line="276" w:lineRule="auto"/>
            <w:rPr>
              <w:rFonts w:ascii="Calibri" w:eastAsia="MS Gothic" w:hAnsi="Calibri"/>
              <w:b/>
              <w:bCs/>
              <w:color w:val="4F81BD"/>
            </w:rPr>
          </w:pPr>
        </w:p>
      </w:tc>
    </w:tr>
  </w:tbl>
  <w:p w:rsidR="00C7126F" w:rsidRPr="007C0F57" w:rsidRDefault="00C7126F"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C7126F" w:rsidRPr="007C0F57" w:rsidRDefault="00C7126F" w:rsidP="007C0F57">
    <w:pPr>
      <w:pStyle w:val="Footer"/>
      <w:jc w:val="center"/>
      <w:rPr>
        <w:b/>
        <w:i/>
        <w:sz w:val="20"/>
        <w:szCs w:val="20"/>
      </w:rPr>
    </w:pPr>
    <w:r w:rsidRPr="007C0F57">
      <w:rPr>
        <w:b/>
        <w:i/>
        <w:sz w:val="20"/>
        <w:szCs w:val="20"/>
      </w:rPr>
      <w:t>Commercial-in-Confidence</w:t>
    </w:r>
  </w:p>
  <w:p w:rsidR="00C7126F" w:rsidRDefault="00C712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C0A" w:rsidRDefault="00E72C0A">
      <w:r>
        <w:separator/>
      </w:r>
    </w:p>
    <w:p w:rsidR="00E72C0A" w:rsidRDefault="00E72C0A"/>
  </w:footnote>
  <w:footnote w:type="continuationSeparator" w:id="0">
    <w:p w:rsidR="00E72C0A" w:rsidRDefault="00E72C0A">
      <w:r>
        <w:continuationSeparator/>
      </w:r>
    </w:p>
    <w:p w:rsidR="00E72C0A" w:rsidRDefault="00E72C0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C7126F" w:rsidRPr="008E0D90" w:rsidTr="00A06225">
      <w:trPr>
        <w:trHeight w:val="151"/>
      </w:trPr>
      <w:tc>
        <w:tcPr>
          <w:tcW w:w="2389" w:type="pct"/>
          <w:tcBorders>
            <w:top w:val="nil"/>
            <w:left w:val="nil"/>
            <w:bottom w:val="single" w:sz="4" w:space="0" w:color="4F81BD"/>
            <w:right w:val="nil"/>
          </w:tcBorders>
        </w:tcPr>
        <w:p w:rsidR="00C7126F" w:rsidRPr="00A06225" w:rsidRDefault="00C7126F">
          <w:pPr>
            <w:pStyle w:val="Header"/>
            <w:spacing w:line="276" w:lineRule="auto"/>
            <w:rPr>
              <w:rFonts w:ascii="Cambria" w:eastAsia="MS Gothic" w:hAnsi="Cambria"/>
              <w:b/>
              <w:bCs/>
              <w:color w:val="4F81BD"/>
            </w:rPr>
          </w:pPr>
        </w:p>
      </w:tc>
      <w:tc>
        <w:tcPr>
          <w:tcW w:w="333" w:type="pct"/>
          <w:vMerge w:val="restart"/>
          <w:noWrap/>
          <w:vAlign w:val="center"/>
          <w:hideMark/>
        </w:tcPr>
        <w:p w:rsidR="00C7126F" w:rsidRPr="00A06225" w:rsidRDefault="00C7126F"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C7126F" w:rsidRPr="00A06225" w:rsidRDefault="00C7126F">
          <w:pPr>
            <w:pStyle w:val="Header"/>
            <w:spacing w:line="276" w:lineRule="auto"/>
            <w:rPr>
              <w:rFonts w:ascii="Cambria" w:eastAsia="MS Gothic" w:hAnsi="Cambria"/>
              <w:b/>
              <w:bCs/>
              <w:color w:val="4F81BD"/>
            </w:rPr>
          </w:pPr>
        </w:p>
      </w:tc>
    </w:tr>
    <w:tr w:rsidR="00C7126F" w:rsidRPr="008E0D90" w:rsidTr="00A06225">
      <w:trPr>
        <w:trHeight w:val="150"/>
      </w:trPr>
      <w:tc>
        <w:tcPr>
          <w:tcW w:w="2389" w:type="pct"/>
          <w:tcBorders>
            <w:top w:val="single" w:sz="4" w:space="0" w:color="4F81BD"/>
            <w:left w:val="nil"/>
            <w:bottom w:val="nil"/>
            <w:right w:val="nil"/>
          </w:tcBorders>
        </w:tcPr>
        <w:p w:rsidR="00C7126F" w:rsidRPr="00A06225" w:rsidRDefault="00C7126F">
          <w:pPr>
            <w:pStyle w:val="Header"/>
            <w:spacing w:line="276" w:lineRule="auto"/>
            <w:rPr>
              <w:rFonts w:ascii="Cambria" w:eastAsia="MS Gothic" w:hAnsi="Cambria"/>
              <w:b/>
              <w:bCs/>
              <w:color w:val="4F81BD"/>
            </w:rPr>
          </w:pPr>
        </w:p>
      </w:tc>
      <w:tc>
        <w:tcPr>
          <w:tcW w:w="0" w:type="auto"/>
          <w:vMerge/>
          <w:vAlign w:val="center"/>
          <w:hideMark/>
        </w:tcPr>
        <w:p w:rsidR="00C7126F" w:rsidRPr="00A06225" w:rsidRDefault="00C7126F">
          <w:pPr>
            <w:rPr>
              <w:rFonts w:ascii="Cambria" w:hAnsi="Cambria"/>
              <w:color w:val="4F81BD"/>
              <w:sz w:val="22"/>
              <w:szCs w:val="22"/>
            </w:rPr>
          </w:pPr>
        </w:p>
      </w:tc>
      <w:tc>
        <w:tcPr>
          <w:tcW w:w="2278" w:type="pct"/>
          <w:tcBorders>
            <w:top w:val="single" w:sz="4" w:space="0" w:color="4F81BD"/>
            <w:left w:val="nil"/>
            <w:bottom w:val="nil"/>
            <w:right w:val="nil"/>
          </w:tcBorders>
        </w:tcPr>
        <w:p w:rsidR="00C7126F" w:rsidRPr="00A06225" w:rsidRDefault="00C7126F">
          <w:pPr>
            <w:pStyle w:val="Header"/>
            <w:spacing w:line="276" w:lineRule="auto"/>
            <w:rPr>
              <w:rFonts w:ascii="Cambria" w:eastAsia="MS Gothic" w:hAnsi="Cambria"/>
              <w:b/>
              <w:bCs/>
              <w:color w:val="4F81BD"/>
            </w:rPr>
          </w:pPr>
        </w:p>
      </w:tc>
    </w:tr>
  </w:tbl>
  <w:p w:rsidR="00C7126F" w:rsidRDefault="00C7126F">
    <w:pPr>
      <w:pStyle w:val="Header"/>
    </w:pPr>
  </w:p>
  <w:p w:rsidR="00C7126F" w:rsidRDefault="00C7126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587" w:rsidRPr="00E62587" w:rsidRDefault="001D23B9" w:rsidP="00E62587">
    <w:pPr>
      <w:tabs>
        <w:tab w:val="center" w:pos="4153"/>
        <w:tab w:val="right" w:pos="8306"/>
      </w:tabs>
      <w:spacing w:after="120"/>
      <w:ind w:left="360"/>
      <w:jc w:val="center"/>
      <w:rPr>
        <w:rFonts w:asciiTheme="minorHAnsi" w:hAnsiTheme="minorHAnsi" w:cs="Arial"/>
        <w:i/>
        <w:color w:val="808080"/>
        <w:lang w:eastAsia="en-US"/>
      </w:rPr>
    </w:pPr>
    <w:r>
      <w:rPr>
        <w:rFonts w:asciiTheme="minorHAnsi" w:hAnsiTheme="minorHAnsi" w:cs="Arial"/>
        <w:i/>
        <w:color w:val="808080"/>
        <w:lang w:eastAsia="en-US"/>
      </w:rPr>
      <w:t>Public Summary Document</w:t>
    </w:r>
    <w:r w:rsidR="00E62587" w:rsidRPr="00E62587">
      <w:rPr>
        <w:rFonts w:asciiTheme="minorHAnsi" w:hAnsiTheme="minorHAnsi" w:cs="Arial"/>
        <w:i/>
        <w:color w:val="808080"/>
        <w:lang w:eastAsia="en-US"/>
      </w:rPr>
      <w:t xml:space="preserve"> – </w:t>
    </w:r>
    <w:r w:rsidR="00924FBE">
      <w:rPr>
        <w:rFonts w:asciiTheme="minorHAnsi" w:hAnsiTheme="minorHAnsi" w:cs="Arial"/>
        <w:i/>
        <w:color w:val="808080"/>
        <w:lang w:eastAsia="en-US"/>
      </w:rPr>
      <w:t>July 2017</w:t>
    </w:r>
    <w:r w:rsidR="00E62587" w:rsidRPr="00E62587">
      <w:rPr>
        <w:rFonts w:asciiTheme="minorHAnsi" w:hAnsiTheme="minorHAnsi" w:cs="Arial"/>
        <w:i/>
        <w:color w:val="808080"/>
        <w:lang w:eastAsia="en-US"/>
      </w:rPr>
      <w:t xml:space="preserve"> PBAC Meeting</w:t>
    </w:r>
  </w:p>
  <w:p w:rsidR="00E62587" w:rsidRPr="00E62587" w:rsidRDefault="00E62587" w:rsidP="00E62587">
    <w:pPr>
      <w:tabs>
        <w:tab w:val="center" w:pos="4153"/>
        <w:tab w:val="right" w:pos="8306"/>
      </w:tabs>
      <w:spacing w:after="120"/>
      <w:ind w:left="360"/>
      <w:jc w:val="center"/>
      <w:rPr>
        <w:rFonts w:asciiTheme="minorHAnsi" w:hAnsiTheme="minorHAnsi" w:cs="Arial"/>
        <w:i/>
        <w:color w:val="808080"/>
        <w:lang w:eastAsia="en-US"/>
      </w:rPr>
    </w:pPr>
  </w:p>
  <w:p w:rsidR="00C7126F" w:rsidRDefault="00C7126F" w:rsidP="00A128E6">
    <w:pPr>
      <w:pStyle w:val="NoSpacing"/>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C0A" w:rsidRDefault="00E72C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pStyle w:val="Heading1"/>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nsid w:val="01C52181"/>
    <w:multiLevelType w:val="hybridMultilevel"/>
    <w:tmpl w:val="D890BC96"/>
    <w:lvl w:ilvl="0" w:tplc="801E5BA2">
      <w:start w:val="3"/>
      <w:numFmt w:val="bullet"/>
      <w:lvlText w:val="-"/>
      <w:lvlJc w:val="left"/>
      <w:pPr>
        <w:ind w:left="1080" w:hanging="360"/>
      </w:pPr>
      <w:rPr>
        <w:rFonts w:ascii="Calibri" w:eastAsia="Times New Roman" w:hAnsi="Calibri"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8">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784D033C"/>
    <w:multiLevelType w:val="multilevel"/>
    <w:tmpl w:val="5F081434"/>
    <w:lvl w:ilvl="0">
      <w:start w:val="1"/>
      <w:numFmt w:val="decimal"/>
      <w:pStyle w:val="PBACHeading1"/>
      <w:lvlText w:val="%1"/>
      <w:lvlJc w:val="left"/>
      <w:pPr>
        <w:ind w:left="720" w:hanging="720"/>
      </w:pPr>
      <w:rPr>
        <w:rFonts w:asciiTheme="minorHAnsi" w:hAnsiTheme="minorHAnsi"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3"/>
  </w:num>
  <w:num w:numId="3">
    <w:abstractNumId w:val="7"/>
  </w:num>
  <w:num w:numId="4">
    <w:abstractNumId w:val="15"/>
  </w:num>
  <w:num w:numId="5">
    <w:abstractNumId w:val="17"/>
  </w:num>
  <w:num w:numId="6">
    <w:abstractNumId w:val="8"/>
  </w:num>
  <w:num w:numId="7">
    <w:abstractNumId w:val="14"/>
  </w:num>
  <w:num w:numId="8">
    <w:abstractNumId w:val="5"/>
  </w:num>
  <w:num w:numId="9">
    <w:abstractNumId w:val="13"/>
  </w:num>
  <w:num w:numId="10">
    <w:abstractNumId w:val="12"/>
  </w:num>
  <w:num w:numId="11">
    <w:abstractNumId w:val="11"/>
  </w:num>
  <w:num w:numId="12">
    <w:abstractNumId w:val="1"/>
  </w:num>
  <w:num w:numId="13">
    <w:abstractNumId w:val="0"/>
  </w:num>
  <w:num w:numId="14">
    <w:abstractNumId w:val="17"/>
  </w:num>
  <w:num w:numId="15">
    <w:abstractNumId w:val="4"/>
  </w:num>
  <w:num w:numId="16">
    <w:abstractNumId w:val="16"/>
  </w:num>
  <w:num w:numId="17">
    <w:abstractNumId w:val="6"/>
  </w:num>
  <w:num w:numId="18">
    <w:abstractNumId w:val="2"/>
  </w:num>
  <w:num w:numId="19">
    <w:abstractNumId w:val="10"/>
  </w:num>
  <w:num w:numId="20">
    <w:abstractNumId w:val="17"/>
  </w:num>
  <w:num w:numId="21">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1298E"/>
    <w:rsid w:val="000141A1"/>
    <w:rsid w:val="0002464A"/>
    <w:rsid w:val="00026797"/>
    <w:rsid w:val="0003106B"/>
    <w:rsid w:val="00031F00"/>
    <w:rsid w:val="0003539B"/>
    <w:rsid w:val="00037D39"/>
    <w:rsid w:val="000421A1"/>
    <w:rsid w:val="0004240E"/>
    <w:rsid w:val="00045E26"/>
    <w:rsid w:val="000514B5"/>
    <w:rsid w:val="00053EF4"/>
    <w:rsid w:val="00060E64"/>
    <w:rsid w:val="00063CD3"/>
    <w:rsid w:val="00066755"/>
    <w:rsid w:val="00077143"/>
    <w:rsid w:val="000969AD"/>
    <w:rsid w:val="000B558D"/>
    <w:rsid w:val="000C6996"/>
    <w:rsid w:val="000D23BA"/>
    <w:rsid w:val="000E259B"/>
    <w:rsid w:val="000E681E"/>
    <w:rsid w:val="000F4E6A"/>
    <w:rsid w:val="001107BF"/>
    <w:rsid w:val="0012417C"/>
    <w:rsid w:val="001261C0"/>
    <w:rsid w:val="00142395"/>
    <w:rsid w:val="00142714"/>
    <w:rsid w:val="00143FF2"/>
    <w:rsid w:val="001452ED"/>
    <w:rsid w:val="00145AE4"/>
    <w:rsid w:val="00147DD1"/>
    <w:rsid w:val="001830CE"/>
    <w:rsid w:val="0018643B"/>
    <w:rsid w:val="00196307"/>
    <w:rsid w:val="001A33EA"/>
    <w:rsid w:val="001B017F"/>
    <w:rsid w:val="001B5129"/>
    <w:rsid w:val="001C1195"/>
    <w:rsid w:val="001C577A"/>
    <w:rsid w:val="001C7301"/>
    <w:rsid w:val="001D23B9"/>
    <w:rsid w:val="001E2444"/>
    <w:rsid w:val="001F3536"/>
    <w:rsid w:val="00200B3F"/>
    <w:rsid w:val="00207D07"/>
    <w:rsid w:val="00213CFB"/>
    <w:rsid w:val="0022105A"/>
    <w:rsid w:val="00235943"/>
    <w:rsid w:val="0024657E"/>
    <w:rsid w:val="00271BA1"/>
    <w:rsid w:val="002762FA"/>
    <w:rsid w:val="00277505"/>
    <w:rsid w:val="002815EA"/>
    <w:rsid w:val="00287158"/>
    <w:rsid w:val="00290216"/>
    <w:rsid w:val="0029458F"/>
    <w:rsid w:val="002A104C"/>
    <w:rsid w:val="002A4960"/>
    <w:rsid w:val="002A545B"/>
    <w:rsid w:val="002B1AE6"/>
    <w:rsid w:val="002B30F8"/>
    <w:rsid w:val="002C212F"/>
    <w:rsid w:val="002C5741"/>
    <w:rsid w:val="002E3153"/>
    <w:rsid w:val="002E72CA"/>
    <w:rsid w:val="00300AD6"/>
    <w:rsid w:val="003167D0"/>
    <w:rsid w:val="00322586"/>
    <w:rsid w:val="00326E79"/>
    <w:rsid w:val="003367EF"/>
    <w:rsid w:val="00341AE4"/>
    <w:rsid w:val="00345D24"/>
    <w:rsid w:val="003872CF"/>
    <w:rsid w:val="0039782C"/>
    <w:rsid w:val="003A094D"/>
    <w:rsid w:val="003A5B4A"/>
    <w:rsid w:val="003B23C5"/>
    <w:rsid w:val="003B2A75"/>
    <w:rsid w:val="003C66EF"/>
    <w:rsid w:val="003D4AC4"/>
    <w:rsid w:val="003D63B7"/>
    <w:rsid w:val="003E468B"/>
    <w:rsid w:val="003F5C8C"/>
    <w:rsid w:val="00420B11"/>
    <w:rsid w:val="004465BD"/>
    <w:rsid w:val="00457058"/>
    <w:rsid w:val="00466ADA"/>
    <w:rsid w:val="00476245"/>
    <w:rsid w:val="00484443"/>
    <w:rsid w:val="00485940"/>
    <w:rsid w:val="004A2484"/>
    <w:rsid w:val="004A5A85"/>
    <w:rsid w:val="004B5640"/>
    <w:rsid w:val="004C1BD7"/>
    <w:rsid w:val="004C36F7"/>
    <w:rsid w:val="004C5C5B"/>
    <w:rsid w:val="004C691D"/>
    <w:rsid w:val="004C74F2"/>
    <w:rsid w:val="004D1809"/>
    <w:rsid w:val="004D47B4"/>
    <w:rsid w:val="004E692D"/>
    <w:rsid w:val="004F224D"/>
    <w:rsid w:val="00501554"/>
    <w:rsid w:val="00514CD7"/>
    <w:rsid w:val="00515E63"/>
    <w:rsid w:val="005319B2"/>
    <w:rsid w:val="00532C74"/>
    <w:rsid w:val="00534E2E"/>
    <w:rsid w:val="00544552"/>
    <w:rsid w:val="005504F0"/>
    <w:rsid w:val="00567733"/>
    <w:rsid w:val="00581932"/>
    <w:rsid w:val="005963BB"/>
    <w:rsid w:val="005A3173"/>
    <w:rsid w:val="005A3223"/>
    <w:rsid w:val="005A3DA3"/>
    <w:rsid w:val="005A52C4"/>
    <w:rsid w:val="005B3140"/>
    <w:rsid w:val="005C4DF3"/>
    <w:rsid w:val="005D03AB"/>
    <w:rsid w:val="005D5017"/>
    <w:rsid w:val="005D6D80"/>
    <w:rsid w:val="005F4361"/>
    <w:rsid w:val="005F7C3A"/>
    <w:rsid w:val="00601A91"/>
    <w:rsid w:val="00602BA3"/>
    <w:rsid w:val="00614159"/>
    <w:rsid w:val="00617C00"/>
    <w:rsid w:val="00622A66"/>
    <w:rsid w:val="006263BF"/>
    <w:rsid w:val="0062748A"/>
    <w:rsid w:val="00630A2C"/>
    <w:rsid w:val="0063644E"/>
    <w:rsid w:val="006436CD"/>
    <w:rsid w:val="00651169"/>
    <w:rsid w:val="00652FA5"/>
    <w:rsid w:val="006532A7"/>
    <w:rsid w:val="00653A64"/>
    <w:rsid w:val="00653D69"/>
    <w:rsid w:val="00670A76"/>
    <w:rsid w:val="006711AA"/>
    <w:rsid w:val="00672B57"/>
    <w:rsid w:val="00675622"/>
    <w:rsid w:val="0068322A"/>
    <w:rsid w:val="006906DB"/>
    <w:rsid w:val="00694018"/>
    <w:rsid w:val="006A12A5"/>
    <w:rsid w:val="006A7789"/>
    <w:rsid w:val="006B0D94"/>
    <w:rsid w:val="006B485D"/>
    <w:rsid w:val="006C708E"/>
    <w:rsid w:val="006D6EC7"/>
    <w:rsid w:val="006E266E"/>
    <w:rsid w:val="006F5125"/>
    <w:rsid w:val="00703309"/>
    <w:rsid w:val="0071223F"/>
    <w:rsid w:val="007174BB"/>
    <w:rsid w:val="00735F5A"/>
    <w:rsid w:val="00741F3D"/>
    <w:rsid w:val="00747BEE"/>
    <w:rsid w:val="00755EFC"/>
    <w:rsid w:val="0076420C"/>
    <w:rsid w:val="007753C2"/>
    <w:rsid w:val="007838B8"/>
    <w:rsid w:val="0078532E"/>
    <w:rsid w:val="00786EA6"/>
    <w:rsid w:val="007A384B"/>
    <w:rsid w:val="007B390A"/>
    <w:rsid w:val="007B7358"/>
    <w:rsid w:val="007C0F57"/>
    <w:rsid w:val="007C40B6"/>
    <w:rsid w:val="007C58AD"/>
    <w:rsid w:val="007C729F"/>
    <w:rsid w:val="007D7D68"/>
    <w:rsid w:val="007E0213"/>
    <w:rsid w:val="007E1D28"/>
    <w:rsid w:val="007E3051"/>
    <w:rsid w:val="007F2641"/>
    <w:rsid w:val="007F7C36"/>
    <w:rsid w:val="00802CFF"/>
    <w:rsid w:val="00806796"/>
    <w:rsid w:val="00811C62"/>
    <w:rsid w:val="008151D6"/>
    <w:rsid w:val="0082644D"/>
    <w:rsid w:val="00826F6D"/>
    <w:rsid w:val="00830311"/>
    <w:rsid w:val="00843E5D"/>
    <w:rsid w:val="00844BD7"/>
    <w:rsid w:val="0084531B"/>
    <w:rsid w:val="00850D3C"/>
    <w:rsid w:val="00852A2F"/>
    <w:rsid w:val="00855CA5"/>
    <w:rsid w:val="00856DDD"/>
    <w:rsid w:val="00863E68"/>
    <w:rsid w:val="008671C2"/>
    <w:rsid w:val="00867B13"/>
    <w:rsid w:val="00882085"/>
    <w:rsid w:val="00883188"/>
    <w:rsid w:val="00897D58"/>
    <w:rsid w:val="008A1956"/>
    <w:rsid w:val="008A4937"/>
    <w:rsid w:val="008A50F1"/>
    <w:rsid w:val="008D1B5C"/>
    <w:rsid w:val="008D3C82"/>
    <w:rsid w:val="008D447E"/>
    <w:rsid w:val="008D7A41"/>
    <w:rsid w:val="008E3680"/>
    <w:rsid w:val="008E5870"/>
    <w:rsid w:val="008E7F61"/>
    <w:rsid w:val="008F1434"/>
    <w:rsid w:val="008F7355"/>
    <w:rsid w:val="008F7E66"/>
    <w:rsid w:val="009067B7"/>
    <w:rsid w:val="00913B69"/>
    <w:rsid w:val="00920816"/>
    <w:rsid w:val="00924FBE"/>
    <w:rsid w:val="00930937"/>
    <w:rsid w:val="00933E6C"/>
    <w:rsid w:val="00942160"/>
    <w:rsid w:val="009449CE"/>
    <w:rsid w:val="0095146F"/>
    <w:rsid w:val="009602C5"/>
    <w:rsid w:val="00962223"/>
    <w:rsid w:val="00962962"/>
    <w:rsid w:val="00974C21"/>
    <w:rsid w:val="009852FB"/>
    <w:rsid w:val="009A5080"/>
    <w:rsid w:val="009B0F67"/>
    <w:rsid w:val="009C703C"/>
    <w:rsid w:val="009D1C55"/>
    <w:rsid w:val="009D3CAA"/>
    <w:rsid w:val="009F4E46"/>
    <w:rsid w:val="009F5B65"/>
    <w:rsid w:val="009F5F2E"/>
    <w:rsid w:val="00A02B9E"/>
    <w:rsid w:val="00A0581E"/>
    <w:rsid w:val="00A06225"/>
    <w:rsid w:val="00A128E6"/>
    <w:rsid w:val="00A37C8D"/>
    <w:rsid w:val="00A5273B"/>
    <w:rsid w:val="00A53A9D"/>
    <w:rsid w:val="00A53C00"/>
    <w:rsid w:val="00A55FEE"/>
    <w:rsid w:val="00A62C1A"/>
    <w:rsid w:val="00A6426D"/>
    <w:rsid w:val="00A70622"/>
    <w:rsid w:val="00A70977"/>
    <w:rsid w:val="00A737C9"/>
    <w:rsid w:val="00A77613"/>
    <w:rsid w:val="00A8390C"/>
    <w:rsid w:val="00A928BD"/>
    <w:rsid w:val="00AA03D9"/>
    <w:rsid w:val="00AA4D1C"/>
    <w:rsid w:val="00AB3B3E"/>
    <w:rsid w:val="00AC193C"/>
    <w:rsid w:val="00AC1F7D"/>
    <w:rsid w:val="00AC5206"/>
    <w:rsid w:val="00AE0685"/>
    <w:rsid w:val="00AE11A5"/>
    <w:rsid w:val="00AE13E2"/>
    <w:rsid w:val="00AF68CC"/>
    <w:rsid w:val="00B103C1"/>
    <w:rsid w:val="00B1059E"/>
    <w:rsid w:val="00B205AA"/>
    <w:rsid w:val="00B22166"/>
    <w:rsid w:val="00B22E84"/>
    <w:rsid w:val="00B25F75"/>
    <w:rsid w:val="00B30791"/>
    <w:rsid w:val="00B43E90"/>
    <w:rsid w:val="00B467DC"/>
    <w:rsid w:val="00B56118"/>
    <w:rsid w:val="00B56278"/>
    <w:rsid w:val="00B66EE2"/>
    <w:rsid w:val="00B6773F"/>
    <w:rsid w:val="00B7679E"/>
    <w:rsid w:val="00B801BA"/>
    <w:rsid w:val="00B87E98"/>
    <w:rsid w:val="00B91CC3"/>
    <w:rsid w:val="00BA43B8"/>
    <w:rsid w:val="00BA620F"/>
    <w:rsid w:val="00BA75EB"/>
    <w:rsid w:val="00BB69F5"/>
    <w:rsid w:val="00BB7EC3"/>
    <w:rsid w:val="00BC4B9A"/>
    <w:rsid w:val="00BD784C"/>
    <w:rsid w:val="00BF4CB6"/>
    <w:rsid w:val="00C00DA7"/>
    <w:rsid w:val="00C0683B"/>
    <w:rsid w:val="00C11C61"/>
    <w:rsid w:val="00C12768"/>
    <w:rsid w:val="00C2045A"/>
    <w:rsid w:val="00C27B58"/>
    <w:rsid w:val="00C32991"/>
    <w:rsid w:val="00C35996"/>
    <w:rsid w:val="00C4091E"/>
    <w:rsid w:val="00C5342C"/>
    <w:rsid w:val="00C603D4"/>
    <w:rsid w:val="00C6256A"/>
    <w:rsid w:val="00C7126F"/>
    <w:rsid w:val="00C91449"/>
    <w:rsid w:val="00C92D10"/>
    <w:rsid w:val="00C94CBC"/>
    <w:rsid w:val="00CD548A"/>
    <w:rsid w:val="00CE10C4"/>
    <w:rsid w:val="00CE27B5"/>
    <w:rsid w:val="00D0321E"/>
    <w:rsid w:val="00D1455A"/>
    <w:rsid w:val="00D173FD"/>
    <w:rsid w:val="00D3138B"/>
    <w:rsid w:val="00D3280C"/>
    <w:rsid w:val="00D3406A"/>
    <w:rsid w:val="00D469B2"/>
    <w:rsid w:val="00D61B4C"/>
    <w:rsid w:val="00D741EB"/>
    <w:rsid w:val="00D83605"/>
    <w:rsid w:val="00D84934"/>
    <w:rsid w:val="00D91271"/>
    <w:rsid w:val="00DA2CB5"/>
    <w:rsid w:val="00DA4BAC"/>
    <w:rsid w:val="00DB16D6"/>
    <w:rsid w:val="00DB7EBC"/>
    <w:rsid w:val="00DD4920"/>
    <w:rsid w:val="00DE2152"/>
    <w:rsid w:val="00DE6D27"/>
    <w:rsid w:val="00DF217D"/>
    <w:rsid w:val="00DF26A7"/>
    <w:rsid w:val="00E10878"/>
    <w:rsid w:val="00E11B78"/>
    <w:rsid w:val="00E12AA8"/>
    <w:rsid w:val="00E13BA7"/>
    <w:rsid w:val="00E15627"/>
    <w:rsid w:val="00E164B3"/>
    <w:rsid w:val="00E16910"/>
    <w:rsid w:val="00E5622A"/>
    <w:rsid w:val="00E62587"/>
    <w:rsid w:val="00E63517"/>
    <w:rsid w:val="00E65E54"/>
    <w:rsid w:val="00E65F2E"/>
    <w:rsid w:val="00E72C0A"/>
    <w:rsid w:val="00E80155"/>
    <w:rsid w:val="00E83ADE"/>
    <w:rsid w:val="00E848C0"/>
    <w:rsid w:val="00E91B96"/>
    <w:rsid w:val="00E941A1"/>
    <w:rsid w:val="00E95CE3"/>
    <w:rsid w:val="00EA2825"/>
    <w:rsid w:val="00EB5088"/>
    <w:rsid w:val="00ED1644"/>
    <w:rsid w:val="00ED2593"/>
    <w:rsid w:val="00ED3E7B"/>
    <w:rsid w:val="00EF37A7"/>
    <w:rsid w:val="00EF44A0"/>
    <w:rsid w:val="00EF4FED"/>
    <w:rsid w:val="00F050BD"/>
    <w:rsid w:val="00F05657"/>
    <w:rsid w:val="00F06C72"/>
    <w:rsid w:val="00F25578"/>
    <w:rsid w:val="00F258E5"/>
    <w:rsid w:val="00F300BC"/>
    <w:rsid w:val="00F3230F"/>
    <w:rsid w:val="00F3334E"/>
    <w:rsid w:val="00F36CCB"/>
    <w:rsid w:val="00F50EC4"/>
    <w:rsid w:val="00F57A6D"/>
    <w:rsid w:val="00F638CC"/>
    <w:rsid w:val="00F6467C"/>
    <w:rsid w:val="00F64CC1"/>
    <w:rsid w:val="00F77E7E"/>
    <w:rsid w:val="00F81307"/>
    <w:rsid w:val="00F816CC"/>
    <w:rsid w:val="00F8247A"/>
    <w:rsid w:val="00F86490"/>
    <w:rsid w:val="00F9629A"/>
    <w:rsid w:val="00FA5883"/>
    <w:rsid w:val="00FA5EE9"/>
    <w:rsid w:val="00FA6055"/>
    <w:rsid w:val="00FB322F"/>
    <w:rsid w:val="00FB442F"/>
    <w:rsid w:val="00FC1929"/>
    <w:rsid w:val="00FC31B0"/>
    <w:rsid w:val="00FC5B46"/>
    <w:rsid w:val="00FE0E94"/>
    <w:rsid w:val="00FE6AE6"/>
    <w:rsid w:val="00FF00BD"/>
    <w:rsid w:val="00FF1ED4"/>
    <w:rsid w:val="00FF2801"/>
    <w:rsid w:val="00FF5C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C603D4"/>
    <w:pPr>
      <w:numPr>
        <w:numId w:val="13"/>
      </w:numPr>
      <w:tabs>
        <w:tab w:val="clear" w:pos="643"/>
      </w:tabs>
      <w:ind w:left="720" w:hanging="720"/>
      <w:outlineLvl w:val="0"/>
    </w:pPr>
    <w:rPr>
      <w:b/>
      <w:szCs w:val="22"/>
    </w:rPr>
  </w:style>
  <w:style w:type="paragraph" w:styleId="Heading2">
    <w:name w:val="heading 2"/>
    <w:basedOn w:val="Normal"/>
    <w:next w:val="Normal"/>
    <w:qFormat/>
    <w:rsid w:val="00843E5D"/>
    <w:pPr>
      <w:keepNext/>
      <w:outlineLvl w:val="1"/>
    </w:pPr>
    <w:rPr>
      <w:rFonts w:asciiTheme="minorHAnsi" w:hAnsiTheme="minorHAnsi"/>
      <w:b/>
      <w:i/>
      <w:sz w:val="28"/>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843E5D"/>
    <w:pPr>
      <w:widowControl w:val="0"/>
      <w:ind w:left="720"/>
      <w:contextualSpacing/>
      <w:jc w:val="both"/>
    </w:pPr>
    <w:rPr>
      <w:rFonts w:asciiTheme="minorHAnsi" w:hAnsiTheme="minorHAnsi" w:cs="Arial"/>
      <w:snapToGrid w:val="0"/>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basedOn w:val="DefaultParagraphFont"/>
    <w:link w:val="ListParagraph"/>
    <w:uiPriority w:val="72"/>
    <w:rsid w:val="00843E5D"/>
    <w:rPr>
      <w:rFonts w:asciiTheme="minorHAnsi" w:hAnsiTheme="minorHAnsi" w:cs="Arial"/>
      <w:snapToGrid w:val="0"/>
      <w:sz w:val="24"/>
      <w:lang w:eastAsia="en-US"/>
    </w:rPr>
  </w:style>
  <w:style w:type="paragraph" w:customStyle="1" w:styleId="PBACHeading1">
    <w:name w:val="PBAC Heading 1"/>
    <w:qFormat/>
    <w:rsid w:val="00843E5D"/>
    <w:pPr>
      <w:numPr>
        <w:numId w:val="5"/>
      </w:numPr>
      <w:outlineLvl w:val="0"/>
    </w:pPr>
    <w:rPr>
      <w:rFonts w:asciiTheme="minorHAnsi" w:hAnsiTheme="minorHAnsi" w:cs="Arial"/>
      <w:b/>
      <w:snapToGrid w:val="0"/>
      <w:sz w:val="32"/>
      <w:szCs w:val="22"/>
      <w:lang w:eastAsia="en-US"/>
    </w:rPr>
  </w:style>
  <w:style w:type="paragraph" w:styleId="FootnoteText">
    <w:name w:val="footnote text"/>
    <w:basedOn w:val="Normal"/>
    <w:link w:val="FootnoteTextChar"/>
    <w:rsid w:val="001D23B9"/>
    <w:rPr>
      <w:sz w:val="20"/>
      <w:szCs w:val="20"/>
    </w:rPr>
  </w:style>
  <w:style w:type="character" w:customStyle="1" w:styleId="FootnoteTextChar">
    <w:name w:val="Footnote Text Char"/>
    <w:basedOn w:val="DefaultParagraphFont"/>
    <w:link w:val="FootnoteText"/>
    <w:rsid w:val="001D23B9"/>
  </w:style>
  <w:style w:type="character" w:styleId="FootnoteReference">
    <w:name w:val="footnote reference"/>
    <w:basedOn w:val="DefaultParagraphFont"/>
    <w:rsid w:val="001D23B9"/>
    <w:rPr>
      <w:vertAlign w:val="superscript"/>
    </w:rPr>
  </w:style>
  <w:style w:type="paragraph" w:styleId="Caption">
    <w:name w:val="caption"/>
    <w:basedOn w:val="Normal"/>
    <w:next w:val="Normal"/>
    <w:unhideWhenUsed/>
    <w:qFormat/>
    <w:rsid w:val="002C5741"/>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C603D4"/>
    <w:pPr>
      <w:numPr>
        <w:numId w:val="13"/>
      </w:numPr>
      <w:tabs>
        <w:tab w:val="clear" w:pos="643"/>
      </w:tabs>
      <w:ind w:left="720" w:hanging="720"/>
      <w:outlineLvl w:val="0"/>
    </w:pPr>
    <w:rPr>
      <w:b/>
      <w:szCs w:val="22"/>
    </w:rPr>
  </w:style>
  <w:style w:type="paragraph" w:styleId="Heading2">
    <w:name w:val="heading 2"/>
    <w:basedOn w:val="Normal"/>
    <w:next w:val="Normal"/>
    <w:qFormat/>
    <w:rsid w:val="00843E5D"/>
    <w:pPr>
      <w:keepNext/>
      <w:outlineLvl w:val="1"/>
    </w:pPr>
    <w:rPr>
      <w:rFonts w:asciiTheme="minorHAnsi" w:hAnsiTheme="minorHAnsi"/>
      <w:b/>
      <w:i/>
      <w:sz w:val="28"/>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843E5D"/>
    <w:pPr>
      <w:widowControl w:val="0"/>
      <w:ind w:left="720"/>
      <w:contextualSpacing/>
      <w:jc w:val="both"/>
    </w:pPr>
    <w:rPr>
      <w:rFonts w:asciiTheme="minorHAnsi" w:hAnsiTheme="minorHAnsi" w:cs="Arial"/>
      <w:snapToGrid w:val="0"/>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basedOn w:val="DefaultParagraphFont"/>
    <w:link w:val="ListParagraph"/>
    <w:uiPriority w:val="72"/>
    <w:rsid w:val="00843E5D"/>
    <w:rPr>
      <w:rFonts w:asciiTheme="minorHAnsi" w:hAnsiTheme="minorHAnsi" w:cs="Arial"/>
      <w:snapToGrid w:val="0"/>
      <w:sz w:val="24"/>
      <w:lang w:eastAsia="en-US"/>
    </w:rPr>
  </w:style>
  <w:style w:type="paragraph" w:customStyle="1" w:styleId="PBACHeading1">
    <w:name w:val="PBAC Heading 1"/>
    <w:qFormat/>
    <w:rsid w:val="00843E5D"/>
    <w:pPr>
      <w:numPr>
        <w:numId w:val="5"/>
      </w:numPr>
      <w:outlineLvl w:val="0"/>
    </w:pPr>
    <w:rPr>
      <w:rFonts w:asciiTheme="minorHAnsi" w:hAnsiTheme="minorHAnsi" w:cs="Arial"/>
      <w:b/>
      <w:snapToGrid w:val="0"/>
      <w:sz w:val="32"/>
      <w:szCs w:val="22"/>
      <w:lang w:eastAsia="en-US"/>
    </w:rPr>
  </w:style>
  <w:style w:type="paragraph" w:styleId="FootnoteText">
    <w:name w:val="footnote text"/>
    <w:basedOn w:val="Normal"/>
    <w:link w:val="FootnoteTextChar"/>
    <w:rsid w:val="001D23B9"/>
    <w:rPr>
      <w:sz w:val="20"/>
      <w:szCs w:val="20"/>
    </w:rPr>
  </w:style>
  <w:style w:type="character" w:customStyle="1" w:styleId="FootnoteTextChar">
    <w:name w:val="Footnote Text Char"/>
    <w:basedOn w:val="DefaultParagraphFont"/>
    <w:link w:val="FootnoteText"/>
    <w:rsid w:val="001D23B9"/>
  </w:style>
  <w:style w:type="character" w:styleId="FootnoteReference">
    <w:name w:val="footnote reference"/>
    <w:basedOn w:val="DefaultParagraphFont"/>
    <w:rsid w:val="001D23B9"/>
    <w:rPr>
      <w:vertAlign w:val="superscript"/>
    </w:rPr>
  </w:style>
  <w:style w:type="paragraph" w:styleId="Caption">
    <w:name w:val="caption"/>
    <w:basedOn w:val="Normal"/>
    <w:next w:val="Normal"/>
    <w:unhideWhenUsed/>
    <w:qFormat/>
    <w:rsid w:val="002C5741"/>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52145-4EC0-46E6-A783-CDDD858F8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1045</Words>
  <Characters>5675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2017-10-11T00:38:00Z</dcterms:created>
  <dcterms:modified xsi:type="dcterms:W3CDTF">2017-10-11T00:39:00Z</dcterms:modified>
</cp:coreProperties>
</file>