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342159" w:rsidRDefault="001F7208" w:rsidP="008A50F1">
      <w:pPr>
        <w:pStyle w:val="Title"/>
        <w:ind w:left="720" w:hanging="720"/>
        <w:rPr>
          <w:rFonts w:asciiTheme="minorHAnsi" w:hAnsiTheme="minorHAnsi"/>
          <w:sz w:val="36"/>
          <w:szCs w:val="36"/>
        </w:rPr>
      </w:pPr>
      <w:bookmarkStart w:id="0" w:name="_GoBack"/>
      <w:bookmarkEnd w:id="0"/>
      <w:r w:rsidRPr="00342159">
        <w:rPr>
          <w:rFonts w:asciiTheme="minorHAnsi" w:hAnsiTheme="minorHAnsi"/>
          <w:sz w:val="36"/>
          <w:szCs w:val="36"/>
        </w:rPr>
        <w:t>7.12</w:t>
      </w:r>
      <w:r w:rsidR="007C0F57" w:rsidRPr="00342159">
        <w:rPr>
          <w:rFonts w:asciiTheme="minorHAnsi" w:hAnsiTheme="minorHAnsi"/>
          <w:sz w:val="36"/>
          <w:szCs w:val="36"/>
        </w:rPr>
        <w:tab/>
      </w:r>
      <w:r w:rsidRPr="00342159">
        <w:rPr>
          <w:rFonts w:asciiTheme="minorHAnsi" w:hAnsiTheme="minorHAnsi"/>
          <w:sz w:val="36"/>
          <w:szCs w:val="36"/>
        </w:rPr>
        <w:t>PROPRANOLOL</w:t>
      </w:r>
      <w:r w:rsidR="008A50F1" w:rsidRPr="00342159">
        <w:rPr>
          <w:rFonts w:asciiTheme="minorHAnsi" w:hAnsiTheme="minorHAnsi"/>
          <w:sz w:val="36"/>
          <w:szCs w:val="36"/>
        </w:rPr>
        <w:t xml:space="preserve"> </w:t>
      </w:r>
      <w:r w:rsidR="008A50F1" w:rsidRPr="00342159">
        <w:rPr>
          <w:rFonts w:asciiTheme="minorHAnsi" w:hAnsiTheme="minorHAnsi"/>
          <w:sz w:val="36"/>
          <w:szCs w:val="36"/>
        </w:rPr>
        <w:br/>
      </w:r>
      <w:r w:rsidRPr="00342159">
        <w:rPr>
          <w:rFonts w:asciiTheme="minorHAnsi" w:hAnsiTheme="minorHAnsi"/>
          <w:sz w:val="36"/>
          <w:szCs w:val="36"/>
        </w:rPr>
        <w:t>oral liquid 3.75 mg per mL</w:t>
      </w:r>
      <w:r w:rsidR="0004240E" w:rsidRPr="00342159">
        <w:rPr>
          <w:rFonts w:asciiTheme="minorHAnsi" w:hAnsiTheme="minorHAnsi"/>
          <w:sz w:val="36"/>
          <w:szCs w:val="36"/>
        </w:rPr>
        <w:t>,</w:t>
      </w:r>
      <w:r w:rsidR="008A50F1" w:rsidRPr="00342159">
        <w:rPr>
          <w:rFonts w:asciiTheme="minorHAnsi" w:hAnsiTheme="minorHAnsi"/>
          <w:sz w:val="36"/>
          <w:szCs w:val="36"/>
        </w:rPr>
        <w:t xml:space="preserve"> </w:t>
      </w:r>
      <w:r w:rsidRPr="00342159">
        <w:rPr>
          <w:rFonts w:asciiTheme="minorHAnsi" w:hAnsiTheme="minorHAnsi"/>
          <w:sz w:val="36"/>
          <w:szCs w:val="36"/>
        </w:rPr>
        <w:t>120 mL</w:t>
      </w:r>
      <w:r w:rsidR="008A50F1" w:rsidRPr="00342159">
        <w:rPr>
          <w:rFonts w:asciiTheme="minorHAnsi" w:hAnsiTheme="minorHAnsi"/>
          <w:sz w:val="36"/>
          <w:szCs w:val="36"/>
        </w:rPr>
        <w:br/>
      </w:r>
      <w:r w:rsidRPr="00342159">
        <w:rPr>
          <w:rFonts w:asciiTheme="minorHAnsi" w:hAnsiTheme="minorHAnsi"/>
          <w:sz w:val="36"/>
          <w:szCs w:val="36"/>
        </w:rPr>
        <w:t>Hemangiol</w:t>
      </w:r>
      <w:r w:rsidR="0004240E" w:rsidRPr="00342159">
        <w:rPr>
          <w:rFonts w:asciiTheme="minorHAnsi" w:hAnsiTheme="minorHAnsi"/>
          <w:sz w:val="36"/>
          <w:szCs w:val="36"/>
          <w:vertAlign w:val="superscript"/>
        </w:rPr>
        <w:t>®</w:t>
      </w:r>
      <w:r w:rsidR="00EF44A0" w:rsidRPr="00342159">
        <w:rPr>
          <w:rFonts w:asciiTheme="minorHAnsi" w:hAnsiTheme="minorHAnsi"/>
          <w:sz w:val="36"/>
          <w:szCs w:val="36"/>
        </w:rPr>
        <w:t xml:space="preserve">, </w:t>
      </w:r>
      <w:r w:rsidRPr="00342159">
        <w:rPr>
          <w:rFonts w:asciiTheme="minorHAnsi" w:hAnsiTheme="minorHAnsi"/>
          <w:sz w:val="36"/>
          <w:szCs w:val="36"/>
        </w:rPr>
        <w:t xml:space="preserve">Pierre Fabre Australia Pty Ltd </w:t>
      </w:r>
    </w:p>
    <w:p w:rsidR="00CE10C4" w:rsidRPr="00EA1D80" w:rsidRDefault="00CE10C4" w:rsidP="00C27B58">
      <w:pPr>
        <w:pStyle w:val="NoSpacing"/>
        <w:rPr>
          <w:rFonts w:asciiTheme="minorHAnsi" w:hAnsiTheme="minorHAnsi"/>
        </w:rPr>
      </w:pPr>
    </w:p>
    <w:p w:rsidR="00C27B58" w:rsidRPr="00EA1D80" w:rsidRDefault="00C27B58" w:rsidP="00C27B58">
      <w:pPr>
        <w:pStyle w:val="NoSpacing"/>
        <w:rPr>
          <w:rFonts w:asciiTheme="minorHAnsi" w:hAnsiTheme="minorHAnsi"/>
        </w:rPr>
      </w:pPr>
    </w:p>
    <w:p w:rsidR="00E15627" w:rsidRPr="00342159" w:rsidRDefault="00CE10C4" w:rsidP="00E15627">
      <w:pPr>
        <w:pStyle w:val="PBACHeading1"/>
        <w:rPr>
          <w:rFonts w:asciiTheme="minorHAnsi" w:hAnsiTheme="minorHAnsi"/>
          <w:sz w:val="32"/>
          <w:szCs w:val="32"/>
        </w:rPr>
      </w:pPr>
      <w:r w:rsidRPr="00342159">
        <w:rPr>
          <w:rFonts w:asciiTheme="minorHAnsi" w:hAnsiTheme="minorHAnsi"/>
          <w:sz w:val="32"/>
          <w:szCs w:val="32"/>
        </w:rPr>
        <w:t xml:space="preserve">Purpose of </w:t>
      </w:r>
      <w:r w:rsidR="0004240E" w:rsidRPr="00342159">
        <w:rPr>
          <w:rFonts w:asciiTheme="minorHAnsi" w:hAnsiTheme="minorHAnsi"/>
          <w:sz w:val="32"/>
          <w:szCs w:val="32"/>
        </w:rPr>
        <w:t>Application</w:t>
      </w:r>
    </w:p>
    <w:p w:rsidR="008A50F1" w:rsidRPr="00EA1D80" w:rsidRDefault="008A50F1" w:rsidP="00E15627">
      <w:pPr>
        <w:rPr>
          <w:rFonts w:asciiTheme="minorHAnsi" w:hAnsiTheme="minorHAnsi"/>
        </w:rPr>
      </w:pPr>
    </w:p>
    <w:p w:rsidR="00F9629A" w:rsidRPr="00342159" w:rsidRDefault="00EF44A0" w:rsidP="00C27B58">
      <w:pPr>
        <w:pStyle w:val="ListParagraph"/>
        <w:numPr>
          <w:ilvl w:val="1"/>
          <w:numId w:val="5"/>
        </w:numPr>
        <w:rPr>
          <w:rFonts w:asciiTheme="minorHAnsi" w:hAnsiTheme="minorHAnsi"/>
          <w:sz w:val="24"/>
          <w:szCs w:val="24"/>
        </w:rPr>
      </w:pPr>
      <w:r w:rsidRPr="00342159">
        <w:rPr>
          <w:rFonts w:asciiTheme="minorHAnsi" w:hAnsiTheme="minorHAnsi"/>
          <w:sz w:val="24"/>
          <w:szCs w:val="24"/>
        </w:rPr>
        <w:t>The mi</w:t>
      </w:r>
      <w:r w:rsidR="0061128D" w:rsidRPr="00342159">
        <w:rPr>
          <w:rFonts w:asciiTheme="minorHAnsi" w:hAnsiTheme="minorHAnsi"/>
          <w:sz w:val="24"/>
          <w:szCs w:val="24"/>
        </w:rPr>
        <w:t xml:space="preserve">nor </w:t>
      </w:r>
      <w:r w:rsidR="0019560B" w:rsidRPr="00342159">
        <w:rPr>
          <w:rFonts w:asciiTheme="minorHAnsi" w:hAnsiTheme="minorHAnsi"/>
          <w:sz w:val="24"/>
          <w:szCs w:val="24"/>
        </w:rPr>
        <w:t>re</w:t>
      </w:r>
      <w:r w:rsidR="0061128D" w:rsidRPr="00342159">
        <w:rPr>
          <w:rFonts w:asciiTheme="minorHAnsi" w:hAnsiTheme="minorHAnsi"/>
          <w:sz w:val="24"/>
          <w:szCs w:val="24"/>
        </w:rPr>
        <w:t>submission sought an Authority Required listing for the treatme</w:t>
      </w:r>
      <w:r w:rsidR="002466D6" w:rsidRPr="00342159">
        <w:rPr>
          <w:rFonts w:asciiTheme="minorHAnsi" w:hAnsiTheme="minorHAnsi"/>
          <w:sz w:val="24"/>
          <w:szCs w:val="24"/>
        </w:rPr>
        <w:t>nt of proliferating infantile h</w:t>
      </w:r>
      <w:r w:rsidR="0061128D" w:rsidRPr="00342159">
        <w:rPr>
          <w:rFonts w:asciiTheme="minorHAnsi" w:hAnsiTheme="minorHAnsi"/>
          <w:sz w:val="24"/>
          <w:szCs w:val="24"/>
        </w:rPr>
        <w:t>emangioma requiring systemic therapy at a</w:t>
      </w:r>
      <w:r w:rsidR="007E20F0" w:rsidRPr="00342159">
        <w:rPr>
          <w:rFonts w:asciiTheme="minorHAnsi" w:hAnsiTheme="minorHAnsi"/>
          <w:sz w:val="24"/>
          <w:szCs w:val="24"/>
        </w:rPr>
        <w:t>n adjusted</w:t>
      </w:r>
      <w:r w:rsidR="0061128D" w:rsidRPr="00342159">
        <w:rPr>
          <w:rFonts w:asciiTheme="minorHAnsi" w:hAnsiTheme="minorHAnsi"/>
          <w:sz w:val="24"/>
          <w:szCs w:val="24"/>
        </w:rPr>
        <w:t xml:space="preserve"> price </w:t>
      </w:r>
      <w:r w:rsidR="00D91B3F" w:rsidRPr="00342159">
        <w:rPr>
          <w:rFonts w:asciiTheme="minorHAnsi" w:hAnsiTheme="minorHAnsi"/>
          <w:sz w:val="24"/>
          <w:szCs w:val="24"/>
        </w:rPr>
        <w:t xml:space="preserve">in response to PBAC advice from the November 2015 meeting and negotiations with the Department. </w:t>
      </w:r>
    </w:p>
    <w:p w:rsidR="00EF44A0" w:rsidRDefault="00EF44A0" w:rsidP="00C27B58">
      <w:pPr>
        <w:pStyle w:val="NoSpacing"/>
        <w:rPr>
          <w:rFonts w:asciiTheme="minorHAnsi" w:hAnsiTheme="minorHAnsi"/>
        </w:rPr>
      </w:pPr>
    </w:p>
    <w:p w:rsidR="00D81F77" w:rsidRPr="00EA1D80" w:rsidRDefault="00D81F77" w:rsidP="00C27B58">
      <w:pPr>
        <w:pStyle w:val="NoSpacing"/>
        <w:rPr>
          <w:rFonts w:asciiTheme="minorHAnsi" w:hAnsiTheme="minorHAnsi"/>
        </w:rPr>
      </w:pPr>
    </w:p>
    <w:p w:rsidR="00962223" w:rsidRPr="00342159" w:rsidRDefault="006A12A5" w:rsidP="008A50F1">
      <w:pPr>
        <w:pStyle w:val="PBACHeading1"/>
        <w:rPr>
          <w:rFonts w:asciiTheme="minorHAnsi" w:hAnsiTheme="minorHAnsi"/>
          <w:sz w:val="32"/>
          <w:szCs w:val="32"/>
        </w:rPr>
      </w:pPr>
      <w:r w:rsidRPr="00342159">
        <w:rPr>
          <w:rFonts w:asciiTheme="minorHAnsi" w:hAnsiTheme="minorHAnsi"/>
          <w:sz w:val="32"/>
          <w:szCs w:val="32"/>
        </w:rPr>
        <w:t>Requested listing</w:t>
      </w:r>
    </w:p>
    <w:p w:rsidR="006A12A5" w:rsidRPr="00EA1D80" w:rsidRDefault="006A12A5" w:rsidP="00882085">
      <w:pPr>
        <w:jc w:val="both"/>
        <w:rPr>
          <w:rFonts w:asciiTheme="minorHAnsi" w:hAnsiTheme="minorHAnsi"/>
          <w:b/>
          <w:sz w:val="22"/>
          <w:szCs w:val="22"/>
        </w:rPr>
      </w:pPr>
    </w:p>
    <w:p w:rsidR="00017DEB" w:rsidRPr="00EA1D80" w:rsidRDefault="00EF44A0" w:rsidP="008A50F1">
      <w:pPr>
        <w:pStyle w:val="ListParagraph"/>
        <w:numPr>
          <w:ilvl w:val="1"/>
          <w:numId w:val="5"/>
        </w:numPr>
        <w:rPr>
          <w:rFonts w:asciiTheme="minorHAnsi" w:hAnsiTheme="minorHAnsi"/>
          <w:szCs w:val="22"/>
        </w:rPr>
      </w:pPr>
      <w:r w:rsidRPr="00342159">
        <w:rPr>
          <w:rFonts w:asciiTheme="minorHAnsi" w:hAnsiTheme="minorHAnsi"/>
          <w:sz w:val="24"/>
          <w:szCs w:val="24"/>
        </w:rPr>
        <w:t xml:space="preserve">The </w:t>
      </w:r>
      <w:r w:rsidR="00017DEB" w:rsidRPr="00342159">
        <w:rPr>
          <w:rFonts w:asciiTheme="minorHAnsi" w:hAnsiTheme="minorHAnsi"/>
          <w:sz w:val="24"/>
          <w:szCs w:val="24"/>
        </w:rPr>
        <w:t xml:space="preserve">minor </w:t>
      </w:r>
      <w:r w:rsidR="0019560B" w:rsidRPr="00342159">
        <w:rPr>
          <w:rFonts w:asciiTheme="minorHAnsi" w:hAnsiTheme="minorHAnsi"/>
          <w:sz w:val="24"/>
          <w:szCs w:val="24"/>
        </w:rPr>
        <w:t>re</w:t>
      </w:r>
      <w:r w:rsidR="00017DEB" w:rsidRPr="00342159">
        <w:rPr>
          <w:rFonts w:asciiTheme="minorHAnsi" w:hAnsiTheme="minorHAnsi"/>
          <w:sz w:val="24"/>
          <w:szCs w:val="24"/>
        </w:rPr>
        <w:t xml:space="preserve">submission did not propose any additional changes to the </w:t>
      </w:r>
      <w:r w:rsidR="007E20F0" w:rsidRPr="00342159">
        <w:rPr>
          <w:rFonts w:asciiTheme="minorHAnsi" w:hAnsiTheme="minorHAnsi"/>
          <w:sz w:val="24"/>
          <w:szCs w:val="24"/>
        </w:rPr>
        <w:t xml:space="preserve">recommended </w:t>
      </w:r>
      <w:r w:rsidR="00017DEB" w:rsidRPr="00342159">
        <w:rPr>
          <w:rFonts w:asciiTheme="minorHAnsi" w:hAnsiTheme="minorHAnsi"/>
          <w:sz w:val="24"/>
          <w:szCs w:val="24"/>
        </w:rPr>
        <w:t xml:space="preserve">listing in the </w:t>
      </w:r>
      <w:r w:rsidR="000B2CF0" w:rsidRPr="00342159">
        <w:rPr>
          <w:rFonts w:asciiTheme="minorHAnsi" w:hAnsiTheme="minorHAnsi"/>
          <w:sz w:val="24"/>
          <w:szCs w:val="24"/>
        </w:rPr>
        <w:t xml:space="preserve">March </w:t>
      </w:r>
      <w:r w:rsidR="00017DEB" w:rsidRPr="00342159">
        <w:rPr>
          <w:rFonts w:asciiTheme="minorHAnsi" w:hAnsiTheme="minorHAnsi"/>
          <w:sz w:val="24"/>
          <w:szCs w:val="24"/>
        </w:rPr>
        <w:t>2015 minor submission</w:t>
      </w:r>
      <w:r w:rsidR="00017DEB" w:rsidRPr="00EA1D80">
        <w:rPr>
          <w:rFonts w:asciiTheme="minorHAnsi" w:hAnsiTheme="minorHAnsi"/>
          <w:szCs w:val="22"/>
        </w:rPr>
        <w:t xml:space="preserve">.  </w:t>
      </w:r>
    </w:p>
    <w:p w:rsidR="00604730" w:rsidRPr="00EA1D80" w:rsidRDefault="00604730" w:rsidP="00604730">
      <w:pPr>
        <w:pStyle w:val="ListParagraph"/>
        <w:rPr>
          <w:rFonts w:asciiTheme="minorHAnsi" w:hAnsiTheme="minorHAnsi"/>
          <w:szCs w:val="22"/>
        </w:rPr>
      </w:pPr>
    </w:p>
    <w:p w:rsidR="00BB7EC3" w:rsidRPr="00EA1D80" w:rsidRDefault="00BB7EC3" w:rsidP="00882085">
      <w:pPr>
        <w:jc w:val="both"/>
        <w:rPr>
          <w:rFonts w:asciiTheme="minorHAnsi" w:hAnsiTheme="minorHAnsi"/>
          <w:b/>
          <w:sz w:val="22"/>
          <w:szCs w:val="22"/>
        </w:rPr>
      </w:pPr>
    </w:p>
    <w:p w:rsidR="00CE10C4" w:rsidRPr="00342159" w:rsidRDefault="00CE10C4" w:rsidP="008A50F1">
      <w:pPr>
        <w:pStyle w:val="PBACHeading1"/>
        <w:rPr>
          <w:rFonts w:asciiTheme="minorHAnsi" w:hAnsiTheme="minorHAnsi"/>
          <w:sz w:val="32"/>
          <w:szCs w:val="32"/>
        </w:rPr>
      </w:pPr>
      <w:r w:rsidRPr="00342159">
        <w:rPr>
          <w:rFonts w:asciiTheme="minorHAnsi" w:hAnsiTheme="minorHAnsi"/>
          <w:sz w:val="32"/>
          <w:szCs w:val="32"/>
        </w:rPr>
        <w:t>Background</w:t>
      </w:r>
    </w:p>
    <w:p w:rsidR="00C603D4" w:rsidRPr="00EA1D80" w:rsidRDefault="00C603D4" w:rsidP="00C603D4">
      <w:pPr>
        <w:pStyle w:val="ListParagraph"/>
        <w:rPr>
          <w:rFonts w:asciiTheme="minorHAnsi" w:hAnsiTheme="minorHAnsi"/>
          <w:i/>
          <w:szCs w:val="22"/>
        </w:rPr>
      </w:pPr>
    </w:p>
    <w:p w:rsidR="002B1AE6" w:rsidRPr="00342159" w:rsidRDefault="005C3DA3" w:rsidP="005C3DA3">
      <w:pPr>
        <w:pStyle w:val="ListParagraph"/>
        <w:numPr>
          <w:ilvl w:val="1"/>
          <w:numId w:val="5"/>
        </w:numPr>
        <w:rPr>
          <w:rFonts w:asciiTheme="minorHAnsi" w:hAnsiTheme="minorHAnsi"/>
          <w:i/>
          <w:sz w:val="24"/>
          <w:szCs w:val="24"/>
        </w:rPr>
      </w:pPr>
      <w:r w:rsidRPr="00342159">
        <w:rPr>
          <w:rFonts w:asciiTheme="minorHAnsi" w:hAnsiTheme="minorHAnsi"/>
          <w:sz w:val="24"/>
          <w:szCs w:val="24"/>
        </w:rPr>
        <w:t>Hemangiol®(p</w:t>
      </w:r>
      <w:r w:rsidR="00036551" w:rsidRPr="00342159">
        <w:rPr>
          <w:rFonts w:asciiTheme="minorHAnsi" w:hAnsiTheme="minorHAnsi"/>
          <w:sz w:val="24"/>
          <w:szCs w:val="24"/>
        </w:rPr>
        <w:t xml:space="preserve">ropranolol </w:t>
      </w:r>
      <w:r w:rsidR="00945133" w:rsidRPr="00342159">
        <w:rPr>
          <w:rFonts w:asciiTheme="minorHAnsi" w:hAnsiTheme="minorHAnsi"/>
          <w:sz w:val="24"/>
          <w:szCs w:val="24"/>
        </w:rPr>
        <w:t xml:space="preserve">oral </w:t>
      </w:r>
      <w:r w:rsidR="00036551" w:rsidRPr="00342159">
        <w:rPr>
          <w:rFonts w:asciiTheme="minorHAnsi" w:hAnsiTheme="minorHAnsi"/>
          <w:sz w:val="24"/>
          <w:szCs w:val="24"/>
        </w:rPr>
        <w:t>liquid</w:t>
      </w:r>
      <w:r w:rsidRPr="00342159">
        <w:rPr>
          <w:rFonts w:asciiTheme="minorHAnsi" w:hAnsiTheme="minorHAnsi"/>
          <w:sz w:val="24"/>
          <w:szCs w:val="24"/>
        </w:rPr>
        <w:t>)</w:t>
      </w:r>
      <w:r w:rsidR="00036551" w:rsidRPr="00342159">
        <w:rPr>
          <w:rFonts w:asciiTheme="minorHAnsi" w:hAnsiTheme="minorHAnsi"/>
          <w:sz w:val="24"/>
          <w:szCs w:val="24"/>
        </w:rPr>
        <w:t xml:space="preserve"> is TGA registered for</w:t>
      </w:r>
      <w:r w:rsidR="00945133" w:rsidRPr="00342159">
        <w:rPr>
          <w:rFonts w:asciiTheme="minorHAnsi" w:hAnsiTheme="minorHAnsi"/>
          <w:sz w:val="24"/>
          <w:szCs w:val="24"/>
        </w:rPr>
        <w:t xml:space="preserve"> the following indications:</w:t>
      </w:r>
      <w:r w:rsidR="00036551" w:rsidRPr="00342159">
        <w:rPr>
          <w:rFonts w:asciiTheme="minorHAnsi" w:hAnsiTheme="minorHAnsi"/>
          <w:sz w:val="24"/>
          <w:szCs w:val="24"/>
        </w:rPr>
        <w:t xml:space="preserve"> </w:t>
      </w:r>
    </w:p>
    <w:p w:rsidR="00945133" w:rsidRPr="00342159" w:rsidRDefault="00945133" w:rsidP="00945133">
      <w:pPr>
        <w:pStyle w:val="ListParagraph"/>
        <w:rPr>
          <w:rFonts w:asciiTheme="minorHAnsi" w:hAnsiTheme="minorHAnsi"/>
          <w:sz w:val="24"/>
          <w:szCs w:val="24"/>
        </w:rPr>
      </w:pPr>
      <w:r w:rsidRPr="00342159">
        <w:rPr>
          <w:rFonts w:asciiTheme="minorHAnsi" w:hAnsiTheme="minorHAnsi"/>
          <w:sz w:val="24"/>
          <w:szCs w:val="24"/>
        </w:rPr>
        <w:t>Treatment of proliferating infantile hemangioma requiring systemic therapy:</w:t>
      </w:r>
    </w:p>
    <w:p w:rsidR="00945133" w:rsidRPr="00342159" w:rsidRDefault="00945133" w:rsidP="00945133">
      <w:pPr>
        <w:pStyle w:val="ListParagraph"/>
        <w:rPr>
          <w:rFonts w:asciiTheme="minorHAnsi" w:hAnsiTheme="minorHAnsi"/>
          <w:sz w:val="24"/>
          <w:szCs w:val="24"/>
        </w:rPr>
      </w:pPr>
      <w:r w:rsidRPr="00342159">
        <w:rPr>
          <w:rFonts w:asciiTheme="minorHAnsi" w:hAnsiTheme="minorHAnsi"/>
          <w:sz w:val="24"/>
          <w:szCs w:val="24"/>
        </w:rPr>
        <w:t>Life-threatening hemangioma.</w:t>
      </w:r>
    </w:p>
    <w:p w:rsidR="00945133" w:rsidRPr="00342159" w:rsidRDefault="00945133" w:rsidP="00945133">
      <w:pPr>
        <w:pStyle w:val="ListParagraph"/>
        <w:rPr>
          <w:rFonts w:asciiTheme="minorHAnsi" w:hAnsiTheme="minorHAnsi"/>
          <w:sz w:val="24"/>
          <w:szCs w:val="24"/>
        </w:rPr>
      </w:pPr>
      <w:r w:rsidRPr="00342159">
        <w:rPr>
          <w:rFonts w:asciiTheme="minorHAnsi" w:hAnsiTheme="minorHAnsi"/>
          <w:sz w:val="24"/>
          <w:szCs w:val="24"/>
        </w:rPr>
        <w:t>Ulcerated hemangioma with pain and/or lack of response to simple wound care measures.</w:t>
      </w:r>
    </w:p>
    <w:p w:rsidR="006B0D94" w:rsidRPr="00342159" w:rsidRDefault="00945133" w:rsidP="00945133">
      <w:pPr>
        <w:pStyle w:val="ListParagraph"/>
        <w:rPr>
          <w:rFonts w:asciiTheme="minorHAnsi" w:hAnsiTheme="minorHAnsi"/>
          <w:sz w:val="24"/>
          <w:szCs w:val="24"/>
        </w:rPr>
      </w:pPr>
      <w:r w:rsidRPr="00342159">
        <w:rPr>
          <w:rFonts w:asciiTheme="minorHAnsi" w:hAnsiTheme="minorHAnsi"/>
          <w:sz w:val="24"/>
          <w:szCs w:val="24"/>
        </w:rPr>
        <w:t>Hemangiomas with a risk of permanent scars or disfigurement.</w:t>
      </w:r>
    </w:p>
    <w:p w:rsidR="00945133" w:rsidRPr="00342159" w:rsidRDefault="00945133" w:rsidP="00945133">
      <w:pPr>
        <w:pStyle w:val="ListParagraph"/>
        <w:rPr>
          <w:rFonts w:asciiTheme="minorHAnsi" w:hAnsiTheme="minorHAnsi"/>
          <w:sz w:val="24"/>
          <w:szCs w:val="24"/>
        </w:rPr>
      </w:pPr>
    </w:p>
    <w:p w:rsidR="00945133" w:rsidRPr="00342159" w:rsidRDefault="00945133" w:rsidP="00945133">
      <w:pPr>
        <w:pStyle w:val="ListParagraph"/>
        <w:numPr>
          <w:ilvl w:val="1"/>
          <w:numId w:val="5"/>
        </w:numPr>
        <w:rPr>
          <w:rFonts w:asciiTheme="minorHAnsi" w:hAnsiTheme="minorHAnsi"/>
          <w:sz w:val="24"/>
          <w:szCs w:val="24"/>
        </w:rPr>
      </w:pPr>
      <w:r w:rsidRPr="00342159">
        <w:rPr>
          <w:rFonts w:asciiTheme="minorHAnsi" w:hAnsiTheme="minorHAnsi"/>
          <w:sz w:val="24"/>
          <w:szCs w:val="24"/>
        </w:rPr>
        <w:t xml:space="preserve">At its March 2015 meeting, the PBAC recommended the listing of propranolol oral liquid as an Authority Required (telephone) listing on the general schedule </w:t>
      </w:r>
      <w:r w:rsidR="00971B13" w:rsidRPr="00342159">
        <w:rPr>
          <w:rFonts w:asciiTheme="minorHAnsi" w:hAnsiTheme="minorHAnsi"/>
          <w:sz w:val="24"/>
          <w:szCs w:val="24"/>
        </w:rPr>
        <w:t>for the treatment of proliferating infantile haemangioma requiring systemic therapy.</w:t>
      </w:r>
    </w:p>
    <w:p w:rsidR="00971B13" w:rsidRPr="00342159" w:rsidRDefault="00971B13" w:rsidP="00971B13">
      <w:pPr>
        <w:pStyle w:val="ListParagraph"/>
        <w:rPr>
          <w:rFonts w:asciiTheme="minorHAnsi" w:hAnsiTheme="minorHAnsi"/>
          <w:sz w:val="24"/>
          <w:szCs w:val="24"/>
        </w:rPr>
      </w:pPr>
    </w:p>
    <w:p w:rsidR="00971B13" w:rsidRPr="00342159" w:rsidRDefault="00971B13" w:rsidP="00702AB3">
      <w:pPr>
        <w:pStyle w:val="ListParagraph"/>
        <w:numPr>
          <w:ilvl w:val="1"/>
          <w:numId w:val="5"/>
        </w:numPr>
        <w:rPr>
          <w:rFonts w:asciiTheme="minorHAnsi" w:hAnsiTheme="minorHAnsi"/>
          <w:sz w:val="24"/>
          <w:szCs w:val="24"/>
        </w:rPr>
      </w:pPr>
      <w:r w:rsidRPr="00342159">
        <w:rPr>
          <w:rFonts w:asciiTheme="minorHAnsi" w:hAnsiTheme="minorHAnsi"/>
          <w:sz w:val="24"/>
          <w:szCs w:val="24"/>
        </w:rPr>
        <w:t>The PBAC was satisfied that Hemangiol</w:t>
      </w:r>
      <w:r w:rsidR="00702AB3" w:rsidRPr="00342159">
        <w:rPr>
          <w:rFonts w:asciiTheme="minorHAnsi" w:hAnsiTheme="minorHAnsi"/>
          <w:sz w:val="24"/>
          <w:szCs w:val="24"/>
        </w:rPr>
        <w:t>®</w:t>
      </w:r>
      <w:r w:rsidRPr="00342159">
        <w:rPr>
          <w:rFonts w:asciiTheme="minorHAnsi" w:hAnsiTheme="minorHAnsi"/>
          <w:sz w:val="24"/>
          <w:szCs w:val="24"/>
        </w:rPr>
        <w:t xml:space="preserve"> provides the same benefits as seen with either of the currently available alternatives, namely, Auspman propranolol solution or compounded propranolol liquid, and that these are the therapies most likely to be replaced.  Auspman propranolol solution or compounded propranolol liquid are therefore the most appropriate comparators.</w:t>
      </w:r>
    </w:p>
    <w:p w:rsidR="00971B13" w:rsidRPr="00342159" w:rsidRDefault="00971B13" w:rsidP="00971B13">
      <w:pPr>
        <w:pStyle w:val="ListParagraph"/>
        <w:rPr>
          <w:rFonts w:asciiTheme="minorHAnsi" w:hAnsiTheme="minorHAnsi"/>
          <w:sz w:val="24"/>
          <w:szCs w:val="24"/>
        </w:rPr>
      </w:pPr>
    </w:p>
    <w:p w:rsidR="00176FA2" w:rsidRPr="00342159" w:rsidRDefault="00C12FD0" w:rsidP="00702AB3">
      <w:pPr>
        <w:pStyle w:val="ListParagraph"/>
        <w:numPr>
          <w:ilvl w:val="1"/>
          <w:numId w:val="5"/>
        </w:numPr>
        <w:rPr>
          <w:rFonts w:asciiTheme="minorHAnsi" w:hAnsiTheme="minorHAnsi"/>
          <w:sz w:val="24"/>
          <w:szCs w:val="24"/>
        </w:rPr>
      </w:pPr>
      <w:r w:rsidRPr="00342159">
        <w:rPr>
          <w:rFonts w:asciiTheme="minorHAnsi" w:hAnsiTheme="minorHAnsi"/>
          <w:sz w:val="24"/>
          <w:szCs w:val="24"/>
        </w:rPr>
        <w:lastRenderedPageBreak/>
        <w:t xml:space="preserve">The PBAC noted that the cost consequence method used to derive the proposed price was unsubstantiated and resulted </w:t>
      </w:r>
      <w:r w:rsidR="00BA55E9" w:rsidRPr="00342159">
        <w:rPr>
          <w:rFonts w:asciiTheme="minorHAnsi" w:hAnsiTheme="minorHAnsi"/>
          <w:sz w:val="24"/>
          <w:szCs w:val="24"/>
        </w:rPr>
        <w:t xml:space="preserve">in an unacceptably high price, noting that the proposed price of Hemangiol® was </w:t>
      </w:r>
      <w:r w:rsidR="009E65B7">
        <w:rPr>
          <w:rFonts w:asciiTheme="minorHAnsi" w:hAnsiTheme="minorHAnsi"/>
          <w:noProof/>
          <w:color w:val="000000"/>
          <w:sz w:val="24"/>
          <w:szCs w:val="24"/>
          <w:highlight w:val="black"/>
        </w:rPr>
        <w:t>''''''''' ''''''' ''''''''''' '''''' ''''''''''''</w:t>
      </w:r>
      <w:r w:rsidR="00BA55E9" w:rsidRPr="00342159">
        <w:rPr>
          <w:rFonts w:asciiTheme="minorHAnsi" w:hAnsiTheme="minorHAnsi"/>
          <w:sz w:val="24"/>
          <w:szCs w:val="24"/>
        </w:rPr>
        <w:t xml:space="preserve"> of propranolol tablets.</w:t>
      </w:r>
      <w:r w:rsidR="00176FA2" w:rsidRPr="00342159">
        <w:rPr>
          <w:rFonts w:asciiTheme="minorHAnsi" w:hAnsiTheme="minorHAnsi"/>
          <w:sz w:val="24"/>
          <w:szCs w:val="24"/>
        </w:rPr>
        <w:t xml:space="preserve"> The PBAC considered that Hemangiol® should be cost minimised against the currently available Auspman propranolol solution with a modest price premium to be negotiated between the Sponsor and the Department in acknowledgement that Hemangiol</w:t>
      </w:r>
      <w:r w:rsidR="00702AB3" w:rsidRPr="00342159">
        <w:rPr>
          <w:rFonts w:asciiTheme="minorHAnsi" w:hAnsiTheme="minorHAnsi"/>
          <w:sz w:val="24"/>
          <w:szCs w:val="24"/>
        </w:rPr>
        <w:t>®</w:t>
      </w:r>
      <w:r w:rsidR="00176FA2" w:rsidRPr="00342159">
        <w:rPr>
          <w:rFonts w:asciiTheme="minorHAnsi" w:hAnsiTheme="minorHAnsi"/>
          <w:sz w:val="24"/>
          <w:szCs w:val="24"/>
        </w:rPr>
        <w:t xml:space="preserve"> is a commercially </w:t>
      </w:r>
      <w:r w:rsidR="00444BB3" w:rsidRPr="00342159">
        <w:rPr>
          <w:rFonts w:asciiTheme="minorHAnsi" w:hAnsiTheme="minorHAnsi"/>
          <w:sz w:val="24"/>
          <w:szCs w:val="24"/>
        </w:rPr>
        <w:t>available is</w:t>
      </w:r>
      <w:r w:rsidR="00176FA2" w:rsidRPr="00342159">
        <w:rPr>
          <w:rFonts w:asciiTheme="minorHAnsi" w:hAnsiTheme="minorHAnsi"/>
          <w:sz w:val="24"/>
          <w:szCs w:val="24"/>
        </w:rPr>
        <w:t xml:space="preserve"> likely to have </w:t>
      </w:r>
      <w:r w:rsidR="00EA1D80" w:rsidRPr="00342159">
        <w:rPr>
          <w:rFonts w:asciiTheme="minorHAnsi" w:hAnsiTheme="minorHAnsi"/>
          <w:sz w:val="24"/>
          <w:szCs w:val="24"/>
        </w:rPr>
        <w:t xml:space="preserve">access </w:t>
      </w:r>
      <w:r w:rsidR="00176FA2" w:rsidRPr="00342159">
        <w:rPr>
          <w:rFonts w:asciiTheme="minorHAnsi" w:hAnsiTheme="minorHAnsi"/>
          <w:sz w:val="24"/>
          <w:szCs w:val="24"/>
        </w:rPr>
        <w:t xml:space="preserve">benefits for patients. </w:t>
      </w:r>
    </w:p>
    <w:p w:rsidR="00176FA2" w:rsidRPr="00342159" w:rsidRDefault="00176FA2" w:rsidP="00176FA2">
      <w:pPr>
        <w:pStyle w:val="ListParagraph"/>
        <w:rPr>
          <w:rFonts w:asciiTheme="minorHAnsi" w:hAnsiTheme="minorHAnsi"/>
          <w:sz w:val="24"/>
          <w:szCs w:val="24"/>
        </w:rPr>
      </w:pPr>
    </w:p>
    <w:p w:rsidR="00AA46B1" w:rsidRPr="00342159" w:rsidRDefault="00336DFF" w:rsidP="00AA46B1">
      <w:pPr>
        <w:pStyle w:val="ListParagraph"/>
        <w:numPr>
          <w:ilvl w:val="1"/>
          <w:numId w:val="5"/>
        </w:numPr>
        <w:rPr>
          <w:rFonts w:asciiTheme="minorHAnsi" w:hAnsiTheme="minorHAnsi"/>
          <w:sz w:val="24"/>
          <w:szCs w:val="24"/>
        </w:rPr>
      </w:pPr>
      <w:r w:rsidRPr="00342159">
        <w:rPr>
          <w:rFonts w:asciiTheme="minorHAnsi" w:hAnsiTheme="minorHAnsi"/>
          <w:sz w:val="24"/>
          <w:szCs w:val="24"/>
        </w:rPr>
        <w:t xml:space="preserve">At its November 2015 meeting, </w:t>
      </w:r>
      <w:r w:rsidR="00AA46B1" w:rsidRPr="00342159">
        <w:rPr>
          <w:rFonts w:asciiTheme="minorHAnsi" w:hAnsiTheme="minorHAnsi"/>
          <w:sz w:val="24"/>
          <w:szCs w:val="24"/>
        </w:rPr>
        <w:t xml:space="preserve">the PBAC considered a resubmission which sought a higher price for Hemangiol® compared to what was recommended at the </w:t>
      </w:r>
      <w:r w:rsidR="006B4584" w:rsidRPr="00342159">
        <w:rPr>
          <w:rFonts w:asciiTheme="minorHAnsi" w:hAnsiTheme="minorHAnsi"/>
          <w:sz w:val="24"/>
          <w:szCs w:val="24"/>
        </w:rPr>
        <w:t>March 2015 PBAC meeting. The re</w:t>
      </w:r>
      <w:r w:rsidR="00AA46B1" w:rsidRPr="00342159">
        <w:rPr>
          <w:rFonts w:asciiTheme="minorHAnsi" w:hAnsiTheme="minorHAnsi"/>
          <w:sz w:val="24"/>
          <w:szCs w:val="24"/>
        </w:rPr>
        <w:t xml:space="preserve">submission proposed that </w:t>
      </w:r>
      <w:r w:rsidR="00AA46B1" w:rsidRPr="002A1547">
        <w:rPr>
          <w:rFonts w:asciiTheme="minorHAnsi" w:hAnsiTheme="minorHAnsi"/>
          <w:sz w:val="24"/>
          <w:szCs w:val="24"/>
        </w:rPr>
        <w:t xml:space="preserve">100% </w:t>
      </w:r>
      <w:r w:rsidR="00AA46B1" w:rsidRPr="00342159">
        <w:rPr>
          <w:rFonts w:asciiTheme="minorHAnsi" w:hAnsiTheme="minorHAnsi"/>
          <w:sz w:val="24"/>
          <w:szCs w:val="24"/>
        </w:rPr>
        <w:t>of the price for Hemangiol</w:t>
      </w:r>
      <w:r w:rsidR="00F233D5" w:rsidRPr="00342159">
        <w:rPr>
          <w:rFonts w:asciiTheme="minorHAnsi" w:hAnsiTheme="minorHAnsi"/>
          <w:sz w:val="24"/>
          <w:szCs w:val="24"/>
        </w:rPr>
        <w:t>®</w:t>
      </w:r>
      <w:r w:rsidR="00AA46B1" w:rsidRPr="00342159">
        <w:rPr>
          <w:rFonts w:asciiTheme="minorHAnsi" w:hAnsiTheme="minorHAnsi"/>
          <w:sz w:val="24"/>
          <w:szCs w:val="24"/>
        </w:rPr>
        <w:t xml:space="preserve"> be based on the price of compounded propranolol solution. This proposal was based on advice from hospital pharmacists that </w:t>
      </w:r>
      <w:r w:rsidR="007E20F0" w:rsidRPr="00342159">
        <w:rPr>
          <w:rFonts w:asciiTheme="minorHAnsi" w:hAnsiTheme="minorHAnsi"/>
          <w:sz w:val="24"/>
          <w:szCs w:val="24"/>
        </w:rPr>
        <w:t xml:space="preserve">the </w:t>
      </w:r>
      <w:r w:rsidR="00AA46B1" w:rsidRPr="00342159">
        <w:rPr>
          <w:rFonts w:asciiTheme="minorHAnsi" w:hAnsiTheme="minorHAnsi"/>
          <w:sz w:val="24"/>
          <w:szCs w:val="24"/>
        </w:rPr>
        <w:t>majority of the dispensing of propranolol liquid would be from the community pharmacy setting, and that in this setting most patients would be supplied compounded propranolol liquid rather than the Auspman propranolol solution.</w:t>
      </w:r>
    </w:p>
    <w:p w:rsidR="008309D6" w:rsidRPr="00342159" w:rsidRDefault="008309D6" w:rsidP="008309D6">
      <w:pPr>
        <w:pStyle w:val="ListParagraph"/>
        <w:rPr>
          <w:rFonts w:asciiTheme="minorHAnsi" w:hAnsiTheme="minorHAnsi"/>
          <w:sz w:val="24"/>
          <w:szCs w:val="24"/>
        </w:rPr>
      </w:pPr>
    </w:p>
    <w:p w:rsidR="008309D6" w:rsidRPr="00342159" w:rsidRDefault="008309D6" w:rsidP="008309D6">
      <w:pPr>
        <w:pStyle w:val="ListParagraph"/>
        <w:numPr>
          <w:ilvl w:val="1"/>
          <w:numId w:val="5"/>
        </w:numPr>
        <w:rPr>
          <w:rFonts w:asciiTheme="minorHAnsi" w:hAnsiTheme="minorHAnsi"/>
          <w:sz w:val="24"/>
          <w:szCs w:val="24"/>
        </w:rPr>
      </w:pPr>
      <w:r w:rsidRPr="00342159">
        <w:rPr>
          <w:rFonts w:asciiTheme="minorHAnsi" w:hAnsiTheme="minorHAnsi"/>
          <w:sz w:val="24"/>
          <w:szCs w:val="24"/>
        </w:rPr>
        <w:t>The</w:t>
      </w:r>
      <w:r w:rsidR="00903F05" w:rsidRPr="00342159">
        <w:rPr>
          <w:rFonts w:asciiTheme="minorHAnsi" w:hAnsiTheme="minorHAnsi"/>
          <w:sz w:val="24"/>
          <w:szCs w:val="24"/>
        </w:rPr>
        <w:t xml:space="preserve"> November 2015</w:t>
      </w:r>
      <w:r w:rsidRPr="00342159">
        <w:rPr>
          <w:rFonts w:asciiTheme="minorHAnsi" w:hAnsiTheme="minorHAnsi"/>
          <w:sz w:val="24"/>
          <w:szCs w:val="24"/>
        </w:rPr>
        <w:t xml:space="preserve"> resubmission proposed to establish a reference price for compounded propranolol liquid by conducting a survey of 131 community pharmacies for a 900 mg preparation – equivalent  to the amount of propranolol contained in the maximum quantity of Hemangiol® (2 bottles of 120 mL, 3.75 mg/mL). </w:t>
      </w:r>
    </w:p>
    <w:p w:rsidR="00040F77" w:rsidRPr="00342159" w:rsidRDefault="00040F77" w:rsidP="000B2CF0">
      <w:pPr>
        <w:pStyle w:val="ListParagraph"/>
        <w:rPr>
          <w:rFonts w:asciiTheme="minorHAnsi" w:hAnsiTheme="minorHAnsi"/>
          <w:sz w:val="24"/>
          <w:szCs w:val="24"/>
        </w:rPr>
      </w:pPr>
    </w:p>
    <w:p w:rsidR="00053B7A" w:rsidRPr="00342159" w:rsidRDefault="00BB5380" w:rsidP="00053B7A">
      <w:pPr>
        <w:pStyle w:val="ListParagraph"/>
        <w:numPr>
          <w:ilvl w:val="1"/>
          <w:numId w:val="5"/>
        </w:numPr>
        <w:rPr>
          <w:rFonts w:asciiTheme="minorHAnsi" w:hAnsiTheme="minorHAnsi"/>
          <w:sz w:val="24"/>
          <w:szCs w:val="24"/>
        </w:rPr>
      </w:pPr>
      <w:r w:rsidRPr="00342159">
        <w:rPr>
          <w:rFonts w:asciiTheme="minorHAnsi" w:hAnsiTheme="minorHAnsi"/>
          <w:sz w:val="24"/>
          <w:szCs w:val="24"/>
        </w:rPr>
        <w:t>The re</w:t>
      </w:r>
      <w:r w:rsidR="00053B7A" w:rsidRPr="00342159">
        <w:rPr>
          <w:rFonts w:asciiTheme="minorHAnsi" w:hAnsiTheme="minorHAnsi"/>
          <w:sz w:val="24"/>
          <w:szCs w:val="24"/>
        </w:rPr>
        <w:t>submission’s requested price of $</w:t>
      </w:r>
      <w:r w:rsidR="009E65B7">
        <w:rPr>
          <w:rFonts w:asciiTheme="minorHAnsi" w:hAnsiTheme="minorHAnsi"/>
          <w:noProof/>
          <w:color w:val="000000"/>
          <w:sz w:val="24"/>
          <w:szCs w:val="24"/>
          <w:highlight w:val="black"/>
        </w:rPr>
        <w:t>''''''''''''</w:t>
      </w:r>
      <w:r w:rsidR="00053B7A" w:rsidRPr="00342159">
        <w:rPr>
          <w:rFonts w:asciiTheme="minorHAnsi" w:hAnsiTheme="minorHAnsi"/>
          <w:sz w:val="24"/>
          <w:szCs w:val="24"/>
        </w:rPr>
        <w:t xml:space="preserve"> (DPMQ) was based on the average price for a 900 mg preparation of compounded propranolol liquid ($</w:t>
      </w:r>
      <w:r w:rsidR="009E65B7">
        <w:rPr>
          <w:rFonts w:asciiTheme="minorHAnsi" w:hAnsiTheme="minorHAnsi"/>
          <w:noProof/>
          <w:color w:val="000000"/>
          <w:sz w:val="24"/>
          <w:szCs w:val="24"/>
          <w:highlight w:val="black"/>
        </w:rPr>
        <w:t>''''''''''''''</w:t>
      </w:r>
      <w:r w:rsidR="00053B7A" w:rsidRPr="00342159">
        <w:rPr>
          <w:rFonts w:asciiTheme="minorHAnsi" w:hAnsiTheme="minorHAnsi"/>
          <w:sz w:val="24"/>
          <w:szCs w:val="24"/>
        </w:rPr>
        <w:t>) plus a premium factor of two. The</w:t>
      </w:r>
      <w:r w:rsidRPr="00342159">
        <w:rPr>
          <w:rFonts w:asciiTheme="minorHAnsi" w:hAnsiTheme="minorHAnsi"/>
          <w:sz w:val="24"/>
          <w:szCs w:val="24"/>
        </w:rPr>
        <w:t xml:space="preserve"> requested</w:t>
      </w:r>
      <w:r w:rsidR="00053B7A" w:rsidRPr="00342159">
        <w:rPr>
          <w:rFonts w:asciiTheme="minorHAnsi" w:hAnsiTheme="minorHAnsi"/>
          <w:sz w:val="24"/>
          <w:szCs w:val="24"/>
        </w:rPr>
        <w:t xml:space="preserve"> price was a </w:t>
      </w:r>
      <w:r w:rsidR="009E65B7">
        <w:rPr>
          <w:rFonts w:asciiTheme="minorHAnsi" w:hAnsiTheme="minorHAnsi"/>
          <w:noProof/>
          <w:color w:val="000000"/>
          <w:sz w:val="24"/>
          <w:szCs w:val="24"/>
          <w:highlight w:val="black"/>
        </w:rPr>
        <w:t>''''''</w:t>
      </w:r>
      <w:r w:rsidR="00053B7A" w:rsidRPr="00342159">
        <w:rPr>
          <w:rFonts w:asciiTheme="minorHAnsi" w:hAnsiTheme="minorHAnsi"/>
          <w:sz w:val="24"/>
          <w:szCs w:val="24"/>
        </w:rPr>
        <w:t>% reduction from the price proposed in the March 2015 submission.</w:t>
      </w:r>
    </w:p>
    <w:p w:rsidR="00AA46B1" w:rsidRPr="00342159" w:rsidRDefault="00AA46B1" w:rsidP="00AA46B1">
      <w:pPr>
        <w:pStyle w:val="ListParagraph"/>
        <w:rPr>
          <w:rFonts w:asciiTheme="minorHAnsi" w:hAnsiTheme="minorHAnsi"/>
          <w:sz w:val="24"/>
          <w:szCs w:val="24"/>
        </w:rPr>
      </w:pPr>
    </w:p>
    <w:p w:rsidR="008309D6" w:rsidRPr="00342159" w:rsidRDefault="00AA46B1" w:rsidP="00702AB3">
      <w:pPr>
        <w:pStyle w:val="ListParagraph"/>
        <w:numPr>
          <w:ilvl w:val="1"/>
          <w:numId w:val="5"/>
        </w:numPr>
        <w:rPr>
          <w:rFonts w:asciiTheme="minorHAnsi" w:hAnsiTheme="minorHAnsi"/>
          <w:sz w:val="24"/>
          <w:szCs w:val="24"/>
        </w:rPr>
      </w:pPr>
      <w:r w:rsidRPr="00342159">
        <w:rPr>
          <w:rFonts w:asciiTheme="minorHAnsi" w:hAnsiTheme="minorHAnsi"/>
          <w:sz w:val="24"/>
          <w:szCs w:val="24"/>
        </w:rPr>
        <w:t xml:space="preserve">The PBAC rejected the proposed price </w:t>
      </w:r>
      <w:r w:rsidR="0040107E" w:rsidRPr="00342159">
        <w:rPr>
          <w:rFonts w:asciiTheme="minorHAnsi" w:hAnsiTheme="minorHAnsi"/>
          <w:sz w:val="24"/>
          <w:szCs w:val="24"/>
        </w:rPr>
        <w:t>for Hemangio</w:t>
      </w:r>
      <w:r w:rsidR="00702AB3" w:rsidRPr="00342159">
        <w:rPr>
          <w:rFonts w:asciiTheme="minorHAnsi" w:hAnsiTheme="minorHAnsi"/>
          <w:sz w:val="24"/>
          <w:szCs w:val="24"/>
        </w:rPr>
        <w:t>l</w:t>
      </w:r>
      <w:r w:rsidR="0040107E" w:rsidRPr="00342159">
        <w:rPr>
          <w:rFonts w:asciiTheme="minorHAnsi" w:hAnsiTheme="minorHAnsi"/>
          <w:sz w:val="24"/>
          <w:szCs w:val="24"/>
        </w:rPr>
        <w:t>®</w:t>
      </w:r>
      <w:r w:rsidR="008309D6" w:rsidRPr="00342159">
        <w:rPr>
          <w:rFonts w:asciiTheme="minorHAnsi" w:hAnsiTheme="minorHAnsi"/>
          <w:sz w:val="24"/>
          <w:szCs w:val="24"/>
        </w:rPr>
        <w:t>.</w:t>
      </w:r>
      <w:r w:rsidR="008309D6" w:rsidRPr="00342159">
        <w:rPr>
          <w:sz w:val="24"/>
          <w:szCs w:val="24"/>
        </w:rPr>
        <w:t xml:space="preserve"> </w:t>
      </w:r>
      <w:r w:rsidR="008309D6" w:rsidRPr="00342159">
        <w:rPr>
          <w:rFonts w:asciiTheme="minorHAnsi" w:hAnsiTheme="minorHAnsi"/>
          <w:sz w:val="24"/>
          <w:szCs w:val="24"/>
        </w:rPr>
        <w:t xml:space="preserve">The PBAC noted the </w:t>
      </w:r>
      <w:r w:rsidR="0040107E" w:rsidRPr="00342159">
        <w:rPr>
          <w:rFonts w:asciiTheme="minorHAnsi" w:hAnsiTheme="minorHAnsi"/>
          <w:sz w:val="24"/>
          <w:szCs w:val="24"/>
        </w:rPr>
        <w:t>re</w:t>
      </w:r>
      <w:r w:rsidR="008309D6" w:rsidRPr="00342159">
        <w:rPr>
          <w:rFonts w:asciiTheme="minorHAnsi" w:hAnsiTheme="minorHAnsi"/>
          <w:sz w:val="24"/>
          <w:szCs w:val="24"/>
        </w:rPr>
        <w:t>submission’s proposed methodology to establish a reference price for compounded propranolol liquid, however it considered that the proposed price for Hemangiol</w:t>
      </w:r>
      <w:r w:rsidR="00702AB3" w:rsidRPr="00342159">
        <w:rPr>
          <w:rFonts w:asciiTheme="minorHAnsi" w:hAnsiTheme="minorHAnsi"/>
          <w:sz w:val="24"/>
          <w:szCs w:val="24"/>
        </w:rPr>
        <w:t>®</w:t>
      </w:r>
      <w:r w:rsidR="008309D6" w:rsidRPr="00342159">
        <w:rPr>
          <w:rFonts w:asciiTheme="minorHAnsi" w:hAnsiTheme="minorHAnsi"/>
          <w:sz w:val="24"/>
          <w:szCs w:val="24"/>
        </w:rPr>
        <w:t>, which includes a premium factor of two over the reference price of compounded propranolol liquid, to be unsubstantiated.</w:t>
      </w:r>
    </w:p>
    <w:p w:rsidR="008309D6" w:rsidRPr="00342159" w:rsidRDefault="008309D6" w:rsidP="008309D6">
      <w:pPr>
        <w:pStyle w:val="ListParagraph"/>
        <w:rPr>
          <w:rFonts w:asciiTheme="minorHAnsi" w:hAnsiTheme="minorHAnsi"/>
          <w:sz w:val="24"/>
          <w:szCs w:val="24"/>
        </w:rPr>
      </w:pPr>
    </w:p>
    <w:p w:rsidR="008309D6" w:rsidRPr="00342159" w:rsidRDefault="008309D6" w:rsidP="00501AA1">
      <w:pPr>
        <w:pStyle w:val="ListParagraph"/>
        <w:numPr>
          <w:ilvl w:val="1"/>
          <w:numId w:val="5"/>
        </w:numPr>
        <w:rPr>
          <w:rFonts w:asciiTheme="minorHAnsi" w:hAnsiTheme="minorHAnsi"/>
          <w:sz w:val="24"/>
          <w:szCs w:val="24"/>
        </w:rPr>
      </w:pPr>
      <w:r w:rsidRPr="00342159">
        <w:rPr>
          <w:rFonts w:asciiTheme="minorHAnsi" w:hAnsiTheme="minorHAnsi"/>
          <w:sz w:val="24"/>
          <w:szCs w:val="24"/>
        </w:rPr>
        <w:t xml:space="preserve">The PBAC considered that the </w:t>
      </w:r>
      <w:r w:rsidR="00EA1D80" w:rsidRPr="00342159">
        <w:rPr>
          <w:rFonts w:asciiTheme="minorHAnsi" w:hAnsiTheme="minorHAnsi"/>
          <w:sz w:val="24"/>
          <w:szCs w:val="24"/>
        </w:rPr>
        <w:t xml:space="preserve">price of Hemangiol® needs to reflect the </w:t>
      </w:r>
      <w:r w:rsidRPr="00342159">
        <w:rPr>
          <w:rFonts w:asciiTheme="minorHAnsi" w:hAnsiTheme="minorHAnsi"/>
          <w:sz w:val="24"/>
          <w:szCs w:val="24"/>
        </w:rPr>
        <w:t xml:space="preserve">price of the ready-prepared Auspman oral solution as this is the current standard of care for this treatment setting. </w:t>
      </w:r>
    </w:p>
    <w:p w:rsidR="0013005B" w:rsidRPr="00342159" w:rsidRDefault="0013005B" w:rsidP="0013005B">
      <w:pPr>
        <w:rPr>
          <w:rFonts w:asciiTheme="minorHAnsi" w:hAnsiTheme="minorHAnsi"/>
        </w:rPr>
      </w:pPr>
    </w:p>
    <w:p w:rsidR="00BB7EC3" w:rsidRPr="00342159" w:rsidRDefault="0013005B" w:rsidP="0013005B">
      <w:pPr>
        <w:pStyle w:val="Header"/>
        <w:tabs>
          <w:tab w:val="clear" w:pos="4153"/>
          <w:tab w:val="clear" w:pos="8306"/>
        </w:tabs>
        <w:ind w:firstLine="720"/>
        <w:jc w:val="both"/>
        <w:rPr>
          <w:rFonts w:asciiTheme="minorHAnsi" w:hAnsiTheme="minorHAnsi"/>
        </w:rPr>
      </w:pPr>
      <w:r w:rsidRPr="00342159">
        <w:rPr>
          <w:rFonts w:asciiTheme="minorHAnsi" w:hAnsiTheme="minorHAnsi"/>
          <w:i/>
        </w:rPr>
        <w:t xml:space="preserve">For more detail on PBAC’s view, see section 7 “PBAC outcome.” </w:t>
      </w:r>
    </w:p>
    <w:p w:rsidR="008A1956" w:rsidRDefault="008A1956" w:rsidP="00882085">
      <w:pPr>
        <w:pStyle w:val="Header"/>
        <w:tabs>
          <w:tab w:val="clear" w:pos="4153"/>
          <w:tab w:val="clear" w:pos="8306"/>
        </w:tabs>
        <w:jc w:val="both"/>
        <w:rPr>
          <w:rFonts w:asciiTheme="minorHAnsi" w:hAnsiTheme="minorHAnsi"/>
          <w:sz w:val="22"/>
          <w:szCs w:val="22"/>
        </w:rPr>
      </w:pPr>
    </w:p>
    <w:p w:rsidR="00D81F77" w:rsidRDefault="00D81F77" w:rsidP="00882085">
      <w:pPr>
        <w:pStyle w:val="Header"/>
        <w:tabs>
          <w:tab w:val="clear" w:pos="4153"/>
          <w:tab w:val="clear" w:pos="8306"/>
        </w:tabs>
        <w:jc w:val="both"/>
        <w:rPr>
          <w:rFonts w:asciiTheme="minorHAnsi" w:hAnsiTheme="minorHAnsi"/>
          <w:sz w:val="22"/>
          <w:szCs w:val="22"/>
        </w:rPr>
      </w:pPr>
    </w:p>
    <w:p w:rsidR="00D81F77" w:rsidRPr="00EA1D80" w:rsidRDefault="00D81F77" w:rsidP="00882085">
      <w:pPr>
        <w:pStyle w:val="Header"/>
        <w:tabs>
          <w:tab w:val="clear" w:pos="4153"/>
          <w:tab w:val="clear" w:pos="8306"/>
        </w:tabs>
        <w:jc w:val="both"/>
        <w:rPr>
          <w:rFonts w:asciiTheme="minorHAnsi" w:hAnsiTheme="minorHAnsi"/>
          <w:sz w:val="22"/>
          <w:szCs w:val="22"/>
        </w:rPr>
      </w:pPr>
    </w:p>
    <w:p w:rsidR="005A3173" w:rsidRPr="00342159" w:rsidRDefault="005A3173" w:rsidP="008A50F1">
      <w:pPr>
        <w:pStyle w:val="PBACHeading1"/>
        <w:rPr>
          <w:rFonts w:asciiTheme="minorHAnsi" w:hAnsiTheme="minorHAnsi"/>
          <w:sz w:val="32"/>
          <w:szCs w:val="32"/>
        </w:rPr>
      </w:pPr>
      <w:r w:rsidRPr="00342159">
        <w:rPr>
          <w:rFonts w:asciiTheme="minorHAnsi" w:hAnsiTheme="minorHAnsi"/>
          <w:sz w:val="32"/>
          <w:szCs w:val="32"/>
        </w:rPr>
        <w:lastRenderedPageBreak/>
        <w:t>Comparator</w:t>
      </w:r>
    </w:p>
    <w:p w:rsidR="005A3173" w:rsidRPr="00EA1D80" w:rsidRDefault="005A3173" w:rsidP="00882085">
      <w:pPr>
        <w:pStyle w:val="Header"/>
        <w:tabs>
          <w:tab w:val="clear" w:pos="4153"/>
          <w:tab w:val="clear" w:pos="8306"/>
        </w:tabs>
        <w:jc w:val="both"/>
        <w:rPr>
          <w:rFonts w:asciiTheme="minorHAnsi" w:hAnsiTheme="minorHAnsi"/>
          <w:b/>
          <w:sz w:val="22"/>
          <w:szCs w:val="22"/>
        </w:rPr>
      </w:pPr>
    </w:p>
    <w:p w:rsidR="00C35996" w:rsidRPr="00342159" w:rsidRDefault="00920992" w:rsidP="00501AA1">
      <w:pPr>
        <w:pStyle w:val="ListParagraph"/>
        <w:numPr>
          <w:ilvl w:val="1"/>
          <w:numId w:val="5"/>
        </w:numPr>
        <w:rPr>
          <w:rFonts w:asciiTheme="minorHAnsi" w:hAnsiTheme="minorHAnsi"/>
          <w:sz w:val="24"/>
          <w:szCs w:val="24"/>
        </w:rPr>
      </w:pPr>
      <w:r w:rsidRPr="00342159">
        <w:rPr>
          <w:rFonts w:asciiTheme="minorHAnsi" w:hAnsiTheme="minorHAnsi"/>
          <w:sz w:val="24"/>
          <w:szCs w:val="24"/>
        </w:rPr>
        <w:t xml:space="preserve">The minor </w:t>
      </w:r>
      <w:r w:rsidR="0019560B" w:rsidRPr="00342159">
        <w:rPr>
          <w:rFonts w:asciiTheme="minorHAnsi" w:hAnsiTheme="minorHAnsi"/>
          <w:sz w:val="24"/>
          <w:szCs w:val="24"/>
        </w:rPr>
        <w:t>re</w:t>
      </w:r>
      <w:r w:rsidRPr="00342159">
        <w:rPr>
          <w:rFonts w:asciiTheme="minorHAnsi" w:hAnsiTheme="minorHAnsi"/>
          <w:sz w:val="24"/>
          <w:szCs w:val="24"/>
        </w:rPr>
        <w:t xml:space="preserve">submission </w:t>
      </w:r>
      <w:r w:rsidR="00501AA1" w:rsidRPr="00342159">
        <w:rPr>
          <w:rFonts w:asciiTheme="minorHAnsi" w:hAnsiTheme="minorHAnsi"/>
          <w:sz w:val="24"/>
          <w:szCs w:val="24"/>
        </w:rPr>
        <w:t>proposed</w:t>
      </w:r>
      <w:r w:rsidRPr="00342159">
        <w:rPr>
          <w:rFonts w:asciiTheme="minorHAnsi" w:hAnsiTheme="minorHAnsi"/>
          <w:sz w:val="24"/>
          <w:szCs w:val="24"/>
        </w:rPr>
        <w:t xml:space="preserve"> </w:t>
      </w:r>
      <w:r w:rsidR="00501AA1" w:rsidRPr="00342159">
        <w:rPr>
          <w:rFonts w:asciiTheme="minorHAnsi" w:hAnsiTheme="minorHAnsi"/>
          <w:sz w:val="24"/>
          <w:szCs w:val="24"/>
        </w:rPr>
        <w:t>a weighted combination of 99.5% compounded propranolol</w:t>
      </w:r>
      <w:r w:rsidR="00EB1363" w:rsidRPr="00342159">
        <w:rPr>
          <w:rFonts w:asciiTheme="minorHAnsi" w:hAnsiTheme="minorHAnsi"/>
          <w:sz w:val="24"/>
          <w:szCs w:val="24"/>
        </w:rPr>
        <w:t xml:space="preserve"> ($</w:t>
      </w:r>
      <w:r w:rsidR="009E65B7">
        <w:rPr>
          <w:rFonts w:asciiTheme="minorHAnsi" w:hAnsiTheme="minorHAnsi"/>
          <w:noProof/>
          <w:color w:val="000000"/>
          <w:sz w:val="24"/>
          <w:szCs w:val="24"/>
          <w:highlight w:val="black"/>
        </w:rPr>
        <w:t>''''''''''''</w:t>
      </w:r>
      <w:r w:rsidR="00EB1363" w:rsidRPr="00342159">
        <w:rPr>
          <w:rFonts w:asciiTheme="minorHAnsi" w:hAnsiTheme="minorHAnsi"/>
          <w:sz w:val="24"/>
          <w:szCs w:val="24"/>
        </w:rPr>
        <w:t xml:space="preserve"> per 900 mg)</w:t>
      </w:r>
      <w:r w:rsidR="00501AA1" w:rsidRPr="00342159">
        <w:rPr>
          <w:rFonts w:asciiTheme="minorHAnsi" w:hAnsiTheme="minorHAnsi"/>
          <w:sz w:val="24"/>
          <w:szCs w:val="24"/>
        </w:rPr>
        <w:t xml:space="preserve"> and 0.5</w:t>
      </w:r>
      <w:r w:rsidR="00EB1363" w:rsidRPr="00342159">
        <w:rPr>
          <w:rFonts w:asciiTheme="minorHAnsi" w:hAnsiTheme="minorHAnsi"/>
          <w:sz w:val="24"/>
          <w:szCs w:val="24"/>
        </w:rPr>
        <w:t>% Auspman propranolol solution ($</w:t>
      </w:r>
      <w:r w:rsidR="009E65B7">
        <w:rPr>
          <w:rFonts w:asciiTheme="minorHAnsi" w:hAnsiTheme="minorHAnsi"/>
          <w:noProof/>
          <w:color w:val="000000"/>
          <w:sz w:val="24"/>
          <w:szCs w:val="24"/>
          <w:highlight w:val="black"/>
        </w:rPr>
        <w:t>''''''''''''</w:t>
      </w:r>
      <w:r w:rsidR="00EB1363" w:rsidRPr="00342159">
        <w:rPr>
          <w:rFonts w:asciiTheme="minorHAnsi" w:hAnsiTheme="minorHAnsi"/>
          <w:sz w:val="24"/>
          <w:szCs w:val="24"/>
        </w:rPr>
        <w:t xml:space="preserve"> per 900 mg) </w:t>
      </w:r>
      <w:r w:rsidR="00501AA1" w:rsidRPr="00342159">
        <w:rPr>
          <w:rFonts w:asciiTheme="minorHAnsi" w:hAnsiTheme="minorHAnsi"/>
          <w:sz w:val="24"/>
          <w:szCs w:val="24"/>
        </w:rPr>
        <w:t>as the price comparator. This was based on the resubmission’s assumption of the likely dispensing setting of Hemangiol®, considering the price of Auspman</w:t>
      </w:r>
      <w:r w:rsidR="00CB7AB5" w:rsidRPr="00342159">
        <w:rPr>
          <w:rFonts w:asciiTheme="minorHAnsi" w:hAnsiTheme="minorHAnsi"/>
          <w:sz w:val="24"/>
          <w:szCs w:val="24"/>
        </w:rPr>
        <w:t xml:space="preserve"> propranolol</w:t>
      </w:r>
      <w:r w:rsidR="00501AA1" w:rsidRPr="00342159">
        <w:rPr>
          <w:rFonts w:asciiTheme="minorHAnsi" w:hAnsiTheme="minorHAnsi"/>
          <w:sz w:val="24"/>
          <w:szCs w:val="24"/>
        </w:rPr>
        <w:t xml:space="preserve"> solution and the average price of compounded propranolol dispensed in retail pharmacies.  </w:t>
      </w:r>
    </w:p>
    <w:p w:rsidR="00D600AF" w:rsidRPr="00342159" w:rsidRDefault="00D600AF" w:rsidP="00D600AF">
      <w:pPr>
        <w:pStyle w:val="ListParagraph"/>
        <w:rPr>
          <w:rFonts w:asciiTheme="minorHAnsi" w:hAnsiTheme="minorHAnsi"/>
          <w:sz w:val="24"/>
          <w:szCs w:val="24"/>
        </w:rPr>
      </w:pPr>
    </w:p>
    <w:p w:rsidR="0013005B" w:rsidRPr="00342159" w:rsidRDefault="0013005B" w:rsidP="0013005B">
      <w:pPr>
        <w:pStyle w:val="ListParagraph"/>
        <w:rPr>
          <w:rFonts w:asciiTheme="minorHAnsi" w:hAnsiTheme="minorHAnsi"/>
          <w:sz w:val="24"/>
          <w:szCs w:val="24"/>
        </w:rPr>
      </w:pPr>
      <w:r w:rsidRPr="00342159">
        <w:rPr>
          <w:rFonts w:asciiTheme="minorHAnsi" w:hAnsiTheme="minorHAnsi"/>
          <w:i/>
          <w:sz w:val="24"/>
          <w:szCs w:val="24"/>
        </w:rPr>
        <w:t>For more detail on PBAC’s view, see section 7 “PBAC outcome.”</w:t>
      </w:r>
    </w:p>
    <w:p w:rsidR="00DF26A7" w:rsidRPr="00EA1D80" w:rsidRDefault="00DF26A7" w:rsidP="00476245">
      <w:pPr>
        <w:jc w:val="both"/>
        <w:rPr>
          <w:rFonts w:asciiTheme="minorHAnsi" w:hAnsiTheme="minorHAnsi"/>
          <w:sz w:val="22"/>
          <w:szCs w:val="22"/>
        </w:rPr>
      </w:pPr>
    </w:p>
    <w:p w:rsidR="008A1956" w:rsidRPr="00342159" w:rsidRDefault="008A1956" w:rsidP="00476245">
      <w:pPr>
        <w:jc w:val="both"/>
        <w:rPr>
          <w:rFonts w:asciiTheme="minorHAnsi" w:hAnsiTheme="minorHAnsi"/>
          <w:sz w:val="28"/>
          <w:szCs w:val="28"/>
        </w:rPr>
      </w:pPr>
    </w:p>
    <w:p w:rsidR="000B558D" w:rsidRPr="00342159" w:rsidRDefault="008D7A41" w:rsidP="008A50F1">
      <w:pPr>
        <w:pStyle w:val="PBACHeading1"/>
        <w:rPr>
          <w:rFonts w:asciiTheme="minorHAnsi" w:hAnsiTheme="minorHAnsi"/>
          <w:sz w:val="32"/>
          <w:szCs w:val="32"/>
        </w:rPr>
      </w:pPr>
      <w:r w:rsidRPr="00342159">
        <w:rPr>
          <w:rFonts w:asciiTheme="minorHAnsi" w:hAnsiTheme="minorHAnsi"/>
          <w:sz w:val="32"/>
          <w:szCs w:val="32"/>
        </w:rPr>
        <w:t>C</w:t>
      </w:r>
      <w:r w:rsidR="00D84934" w:rsidRPr="00342159">
        <w:rPr>
          <w:rFonts w:asciiTheme="minorHAnsi" w:hAnsiTheme="minorHAnsi"/>
          <w:sz w:val="32"/>
          <w:szCs w:val="32"/>
        </w:rPr>
        <w:t>onsideration of the evidence</w:t>
      </w:r>
    </w:p>
    <w:p w:rsidR="00BB7EC3" w:rsidRPr="00EA1D80" w:rsidRDefault="00BB7EC3" w:rsidP="00F9629A">
      <w:pPr>
        <w:jc w:val="both"/>
        <w:rPr>
          <w:rFonts w:asciiTheme="minorHAnsi" w:hAnsiTheme="minorHAnsi"/>
          <w:sz w:val="22"/>
          <w:szCs w:val="22"/>
        </w:rPr>
      </w:pPr>
    </w:p>
    <w:p w:rsidR="0013005B" w:rsidRPr="00342159" w:rsidRDefault="0013005B" w:rsidP="0013005B">
      <w:pPr>
        <w:pStyle w:val="Heading2"/>
        <w:rPr>
          <w:rFonts w:asciiTheme="minorHAnsi" w:hAnsiTheme="minorHAnsi"/>
          <w:sz w:val="28"/>
          <w:szCs w:val="28"/>
        </w:rPr>
      </w:pPr>
      <w:r w:rsidRPr="00342159">
        <w:rPr>
          <w:rFonts w:asciiTheme="minorHAnsi" w:hAnsiTheme="minorHAnsi"/>
          <w:sz w:val="28"/>
          <w:szCs w:val="28"/>
        </w:rPr>
        <w:t>Sponsor hearing</w:t>
      </w:r>
    </w:p>
    <w:p w:rsidR="0013005B" w:rsidRPr="00EA1D80" w:rsidRDefault="0013005B" w:rsidP="0013005B"/>
    <w:p w:rsidR="0013005B" w:rsidRPr="00342159" w:rsidRDefault="0013005B" w:rsidP="0013005B">
      <w:pPr>
        <w:pStyle w:val="ListParagraph"/>
        <w:numPr>
          <w:ilvl w:val="1"/>
          <w:numId w:val="5"/>
        </w:numPr>
        <w:rPr>
          <w:rFonts w:asciiTheme="minorHAnsi" w:hAnsiTheme="minorHAnsi"/>
          <w:sz w:val="24"/>
          <w:szCs w:val="24"/>
        </w:rPr>
      </w:pPr>
      <w:r w:rsidRPr="00342159">
        <w:rPr>
          <w:rFonts w:asciiTheme="minorHAnsi" w:hAnsiTheme="minorHAnsi"/>
          <w:sz w:val="24"/>
          <w:szCs w:val="24"/>
        </w:rPr>
        <w:t xml:space="preserve">There was no hearing for this item as it was a minor submission. </w:t>
      </w:r>
    </w:p>
    <w:p w:rsidR="0013005B" w:rsidRPr="00342159" w:rsidRDefault="0013005B" w:rsidP="0013005B">
      <w:pPr>
        <w:pStyle w:val="ListParagraph"/>
        <w:rPr>
          <w:rFonts w:asciiTheme="minorHAnsi" w:hAnsiTheme="minorHAnsi"/>
          <w:sz w:val="24"/>
          <w:szCs w:val="24"/>
        </w:rPr>
      </w:pPr>
    </w:p>
    <w:p w:rsidR="0013005B" w:rsidRPr="00342159" w:rsidRDefault="0013005B" w:rsidP="0013005B">
      <w:pPr>
        <w:pStyle w:val="Heading2"/>
        <w:rPr>
          <w:rFonts w:asciiTheme="minorHAnsi" w:hAnsiTheme="minorHAnsi"/>
          <w:sz w:val="28"/>
          <w:szCs w:val="28"/>
        </w:rPr>
      </w:pPr>
      <w:r w:rsidRPr="00342159">
        <w:rPr>
          <w:rFonts w:asciiTheme="minorHAnsi" w:hAnsiTheme="minorHAnsi"/>
          <w:sz w:val="28"/>
          <w:szCs w:val="28"/>
        </w:rPr>
        <w:t xml:space="preserve">Consumer comments </w:t>
      </w:r>
    </w:p>
    <w:p w:rsidR="0013005B" w:rsidRPr="00342159" w:rsidRDefault="0013005B" w:rsidP="0013005B"/>
    <w:p w:rsidR="0013005B" w:rsidRPr="00342159" w:rsidRDefault="0013005B" w:rsidP="0013005B">
      <w:pPr>
        <w:pStyle w:val="ListParagraph"/>
        <w:numPr>
          <w:ilvl w:val="1"/>
          <w:numId w:val="5"/>
        </w:numPr>
        <w:rPr>
          <w:rFonts w:asciiTheme="minorHAnsi" w:hAnsiTheme="minorHAnsi"/>
          <w:sz w:val="24"/>
          <w:szCs w:val="24"/>
        </w:rPr>
      </w:pPr>
      <w:r w:rsidRPr="00342159">
        <w:rPr>
          <w:rFonts w:asciiTheme="minorHAnsi" w:hAnsiTheme="minorHAnsi"/>
          <w:sz w:val="24"/>
          <w:szCs w:val="24"/>
        </w:rPr>
        <w:t xml:space="preserve">The PBAC noted that no consumer comments were received for this item. </w:t>
      </w:r>
    </w:p>
    <w:p w:rsidR="0013005B" w:rsidRPr="00342159" w:rsidRDefault="0013005B" w:rsidP="0013005B"/>
    <w:p w:rsidR="00DA1AC9" w:rsidRPr="00342159" w:rsidRDefault="00DA1AC9" w:rsidP="00DA1AC9">
      <w:pPr>
        <w:pStyle w:val="Heading2"/>
        <w:rPr>
          <w:rFonts w:asciiTheme="minorHAnsi" w:hAnsiTheme="minorHAnsi"/>
          <w:sz w:val="28"/>
          <w:szCs w:val="28"/>
        </w:rPr>
      </w:pPr>
      <w:r w:rsidRPr="00342159">
        <w:rPr>
          <w:rFonts w:asciiTheme="minorHAnsi" w:hAnsiTheme="minorHAnsi"/>
          <w:sz w:val="28"/>
          <w:szCs w:val="28"/>
        </w:rPr>
        <w:t xml:space="preserve">Clinical need </w:t>
      </w:r>
    </w:p>
    <w:p w:rsidR="00BE5F91" w:rsidRPr="00342159" w:rsidRDefault="00BE5F91" w:rsidP="00BE5F91"/>
    <w:p w:rsidR="00BE5F91" w:rsidRPr="00342159" w:rsidRDefault="007E20F0" w:rsidP="00BE5F91">
      <w:pPr>
        <w:pStyle w:val="ListParagraph"/>
        <w:numPr>
          <w:ilvl w:val="1"/>
          <w:numId w:val="5"/>
        </w:numPr>
        <w:rPr>
          <w:rFonts w:asciiTheme="minorHAnsi" w:hAnsiTheme="minorHAnsi"/>
          <w:sz w:val="24"/>
          <w:szCs w:val="24"/>
        </w:rPr>
      </w:pPr>
      <w:r w:rsidRPr="00342159">
        <w:rPr>
          <w:rFonts w:asciiTheme="minorHAnsi" w:hAnsiTheme="minorHAnsi"/>
          <w:sz w:val="24"/>
          <w:szCs w:val="24"/>
        </w:rPr>
        <w:t>The</w:t>
      </w:r>
      <w:r w:rsidR="00BC53C8" w:rsidRPr="00342159">
        <w:rPr>
          <w:rFonts w:asciiTheme="minorHAnsi" w:hAnsiTheme="minorHAnsi"/>
          <w:sz w:val="24"/>
          <w:szCs w:val="24"/>
        </w:rPr>
        <w:t xml:space="preserve"> current</w:t>
      </w:r>
      <w:r w:rsidR="00BE5F91" w:rsidRPr="00342159">
        <w:rPr>
          <w:rFonts w:asciiTheme="minorHAnsi" w:hAnsiTheme="minorHAnsi"/>
          <w:sz w:val="24"/>
          <w:szCs w:val="24"/>
        </w:rPr>
        <w:t xml:space="preserve"> minor resubmission reiterated the clinical need </w:t>
      </w:r>
      <w:r w:rsidR="00AF7739" w:rsidRPr="00342159">
        <w:rPr>
          <w:rFonts w:asciiTheme="minorHAnsi" w:hAnsiTheme="minorHAnsi"/>
          <w:sz w:val="24"/>
          <w:szCs w:val="24"/>
        </w:rPr>
        <w:t>for a TGA approved propranolol oral liquid. The minor resubmission clai</w:t>
      </w:r>
      <w:r w:rsidR="00EE6715" w:rsidRPr="00342159">
        <w:rPr>
          <w:rFonts w:asciiTheme="minorHAnsi" w:hAnsiTheme="minorHAnsi"/>
          <w:sz w:val="24"/>
          <w:szCs w:val="24"/>
        </w:rPr>
        <w:t>med that the Auspman propranolol liquid was only legally available in WA and emphasised</w:t>
      </w:r>
      <w:r w:rsidR="00273661" w:rsidRPr="00342159">
        <w:rPr>
          <w:rFonts w:asciiTheme="minorHAnsi" w:hAnsiTheme="minorHAnsi"/>
          <w:sz w:val="24"/>
          <w:szCs w:val="24"/>
        </w:rPr>
        <w:t xml:space="preserve"> that the</w:t>
      </w:r>
      <w:r w:rsidR="00EE6715" w:rsidRPr="00342159">
        <w:rPr>
          <w:rFonts w:asciiTheme="minorHAnsi" w:hAnsiTheme="minorHAnsi"/>
          <w:sz w:val="24"/>
          <w:szCs w:val="24"/>
        </w:rPr>
        <w:t xml:space="preserve"> limited number of compounding pharmacies in </w:t>
      </w:r>
      <w:r w:rsidR="00EA1D80" w:rsidRPr="00342159">
        <w:rPr>
          <w:rFonts w:asciiTheme="minorHAnsi" w:hAnsiTheme="minorHAnsi"/>
          <w:sz w:val="24"/>
          <w:szCs w:val="24"/>
        </w:rPr>
        <w:t xml:space="preserve">Australia </w:t>
      </w:r>
      <w:r w:rsidR="00273661" w:rsidRPr="00342159">
        <w:rPr>
          <w:rFonts w:asciiTheme="minorHAnsi" w:hAnsiTheme="minorHAnsi"/>
          <w:sz w:val="24"/>
          <w:szCs w:val="24"/>
        </w:rPr>
        <w:t xml:space="preserve">make access for some patients difficult. </w:t>
      </w:r>
    </w:p>
    <w:p w:rsidR="00F57A6D" w:rsidRPr="00EA1D80" w:rsidRDefault="00F57A6D" w:rsidP="00882085">
      <w:pPr>
        <w:ind w:left="720" w:hanging="720"/>
        <w:jc w:val="both"/>
        <w:rPr>
          <w:rFonts w:asciiTheme="minorHAnsi" w:hAnsiTheme="minorHAnsi"/>
          <w:sz w:val="22"/>
          <w:szCs w:val="22"/>
        </w:rPr>
      </w:pPr>
    </w:p>
    <w:p w:rsidR="005A3173" w:rsidRPr="00342159" w:rsidRDefault="005A3173" w:rsidP="00B1059E">
      <w:pPr>
        <w:pStyle w:val="Heading2"/>
        <w:rPr>
          <w:rFonts w:asciiTheme="minorHAnsi" w:hAnsiTheme="minorHAnsi"/>
          <w:sz w:val="28"/>
          <w:szCs w:val="28"/>
        </w:rPr>
      </w:pPr>
      <w:r w:rsidRPr="00342159">
        <w:rPr>
          <w:rFonts w:asciiTheme="minorHAnsi" w:hAnsiTheme="minorHAnsi"/>
          <w:sz w:val="28"/>
          <w:szCs w:val="28"/>
        </w:rPr>
        <w:t>Economic analysis</w:t>
      </w:r>
    </w:p>
    <w:p w:rsidR="005A3173" w:rsidRPr="00EA1D80" w:rsidRDefault="005A3173" w:rsidP="00D84934">
      <w:pPr>
        <w:pStyle w:val="NoSpacing"/>
        <w:rPr>
          <w:rFonts w:asciiTheme="minorHAnsi" w:hAnsiTheme="minorHAnsi"/>
        </w:rPr>
      </w:pPr>
    </w:p>
    <w:p w:rsidR="009B0F67" w:rsidRPr="00342159" w:rsidRDefault="00CB4098" w:rsidP="00BB1C92">
      <w:pPr>
        <w:pStyle w:val="ListParagraph"/>
        <w:numPr>
          <w:ilvl w:val="1"/>
          <w:numId w:val="5"/>
        </w:numPr>
        <w:rPr>
          <w:rFonts w:asciiTheme="minorHAnsi" w:hAnsiTheme="minorHAnsi"/>
          <w:sz w:val="24"/>
          <w:szCs w:val="24"/>
        </w:rPr>
      </w:pPr>
      <w:r w:rsidRPr="00342159">
        <w:rPr>
          <w:rFonts w:asciiTheme="minorHAnsi" w:hAnsiTheme="minorHAnsi"/>
          <w:sz w:val="24"/>
          <w:szCs w:val="24"/>
        </w:rPr>
        <w:t xml:space="preserve">The minor resubmission presented a cost consequence analysis which compared the cost of treatment with Hemangiol® to the </w:t>
      </w:r>
      <w:r w:rsidR="00FA5FEC" w:rsidRPr="00342159">
        <w:rPr>
          <w:rFonts w:asciiTheme="minorHAnsi" w:hAnsiTheme="minorHAnsi"/>
          <w:sz w:val="24"/>
          <w:szCs w:val="24"/>
        </w:rPr>
        <w:t>current options</w:t>
      </w:r>
      <w:r w:rsidRPr="00342159">
        <w:rPr>
          <w:rFonts w:asciiTheme="minorHAnsi" w:hAnsiTheme="minorHAnsi"/>
          <w:sz w:val="24"/>
          <w:szCs w:val="24"/>
        </w:rPr>
        <w:t xml:space="preserve"> for accessing propranolol oral liquid (Auspman propranolol solution and compounded propranolol</w:t>
      </w:r>
      <w:r w:rsidR="00FA5FEC" w:rsidRPr="00342159">
        <w:rPr>
          <w:rFonts w:asciiTheme="minorHAnsi" w:hAnsiTheme="minorHAnsi"/>
          <w:sz w:val="24"/>
          <w:szCs w:val="24"/>
        </w:rPr>
        <w:t>).</w:t>
      </w:r>
      <w:r w:rsidR="00BB1C92" w:rsidRPr="00342159">
        <w:rPr>
          <w:sz w:val="24"/>
          <w:szCs w:val="24"/>
        </w:rPr>
        <w:t xml:space="preserve"> </w:t>
      </w:r>
      <w:r w:rsidR="00BB1C92" w:rsidRPr="00342159">
        <w:rPr>
          <w:rFonts w:asciiTheme="minorHAnsi" w:hAnsiTheme="minorHAnsi"/>
          <w:sz w:val="24"/>
          <w:szCs w:val="24"/>
        </w:rPr>
        <w:t xml:space="preserve">The </w:t>
      </w:r>
      <w:r w:rsidR="00FB7D07" w:rsidRPr="00342159">
        <w:rPr>
          <w:rFonts w:asciiTheme="minorHAnsi" w:hAnsiTheme="minorHAnsi"/>
          <w:sz w:val="24"/>
          <w:szCs w:val="24"/>
        </w:rPr>
        <w:t>requested</w:t>
      </w:r>
      <w:r w:rsidR="00BB1C92" w:rsidRPr="00342159">
        <w:rPr>
          <w:rFonts w:asciiTheme="minorHAnsi" w:hAnsiTheme="minorHAnsi"/>
          <w:sz w:val="24"/>
          <w:szCs w:val="24"/>
        </w:rPr>
        <w:t xml:space="preserve"> price for Hemangiol® is shown in Table 1 below.</w:t>
      </w:r>
    </w:p>
    <w:p w:rsidR="00BB1C92" w:rsidRDefault="00BB1C92" w:rsidP="00BB1C92">
      <w:pPr>
        <w:rPr>
          <w:rFonts w:asciiTheme="minorHAnsi" w:hAnsiTheme="minorHAnsi"/>
          <w:szCs w:val="22"/>
        </w:rPr>
      </w:pPr>
    </w:p>
    <w:p w:rsidR="00D81F77" w:rsidRDefault="00D81F77" w:rsidP="00BB1C92">
      <w:pPr>
        <w:rPr>
          <w:rFonts w:asciiTheme="minorHAnsi" w:hAnsiTheme="minorHAnsi"/>
          <w:szCs w:val="22"/>
        </w:rPr>
      </w:pPr>
    </w:p>
    <w:p w:rsidR="00D81F77" w:rsidRDefault="00D81F77" w:rsidP="00BB1C92">
      <w:pPr>
        <w:rPr>
          <w:rFonts w:asciiTheme="minorHAnsi" w:hAnsiTheme="minorHAnsi"/>
          <w:szCs w:val="22"/>
        </w:rPr>
      </w:pPr>
    </w:p>
    <w:p w:rsidR="00D81F77" w:rsidRDefault="00D81F77" w:rsidP="00BB1C92">
      <w:pPr>
        <w:rPr>
          <w:rFonts w:asciiTheme="minorHAnsi" w:hAnsiTheme="minorHAnsi"/>
          <w:szCs w:val="22"/>
        </w:rPr>
      </w:pPr>
    </w:p>
    <w:p w:rsidR="00D81F77" w:rsidRPr="00EA1D80" w:rsidRDefault="00D81F77" w:rsidP="00BB1C92">
      <w:pPr>
        <w:rPr>
          <w:rFonts w:asciiTheme="minorHAnsi" w:hAnsiTheme="minorHAnsi"/>
          <w:szCs w:val="22"/>
        </w:rPr>
      </w:pPr>
    </w:p>
    <w:p w:rsidR="004C754B" w:rsidRPr="004C754B" w:rsidRDefault="004C754B" w:rsidP="004C754B">
      <w:pPr>
        <w:pStyle w:val="Caption"/>
        <w:rPr>
          <w:rFonts w:ascii="Arial Narrow" w:hAnsi="Arial Narrow"/>
          <w:sz w:val="20"/>
          <w:szCs w:val="20"/>
        </w:rPr>
      </w:pPr>
      <w:r w:rsidRPr="004C754B">
        <w:rPr>
          <w:rFonts w:ascii="Arial Narrow" w:hAnsi="Arial Narrow"/>
          <w:sz w:val="20"/>
          <w:szCs w:val="20"/>
        </w:rPr>
        <w:t xml:space="preserve">Table </w:t>
      </w:r>
      <w:r w:rsidRPr="004C754B">
        <w:rPr>
          <w:rFonts w:ascii="Arial Narrow" w:hAnsi="Arial Narrow"/>
          <w:noProof/>
          <w:sz w:val="20"/>
          <w:szCs w:val="20"/>
        </w:rPr>
        <w:t>1</w:t>
      </w:r>
      <w:r w:rsidRPr="004C754B">
        <w:rPr>
          <w:rFonts w:ascii="Arial Narrow" w:hAnsi="Arial Narrow"/>
          <w:sz w:val="20"/>
          <w:szCs w:val="20"/>
        </w:rPr>
        <w:t>: Requested price for propranolol oral liquid</w:t>
      </w:r>
    </w:p>
    <w:tbl>
      <w:tblPr>
        <w:tblStyle w:val="TableGrid"/>
        <w:tblW w:w="0" w:type="auto"/>
        <w:tblInd w:w="720" w:type="dxa"/>
        <w:tblLayout w:type="fixed"/>
        <w:tblLook w:val="04A0" w:firstRow="1" w:lastRow="0" w:firstColumn="1" w:lastColumn="0" w:noHBand="0" w:noVBand="1"/>
        <w:tblCaption w:val="Requested price for propranolol oral liquid"/>
      </w:tblPr>
      <w:tblGrid>
        <w:gridCol w:w="846"/>
        <w:gridCol w:w="1250"/>
        <w:gridCol w:w="1120"/>
        <w:gridCol w:w="1209"/>
        <w:gridCol w:w="990"/>
        <w:gridCol w:w="1088"/>
        <w:gridCol w:w="1088"/>
        <w:gridCol w:w="931"/>
      </w:tblGrid>
      <w:tr w:rsidR="007E20F0" w:rsidRPr="00EA1D80" w:rsidTr="004C754B">
        <w:trPr>
          <w:tblHeader/>
        </w:trPr>
        <w:tc>
          <w:tcPr>
            <w:tcW w:w="846" w:type="dxa"/>
          </w:tcPr>
          <w:p w:rsidR="000F53BE" w:rsidRPr="00EA1D80" w:rsidRDefault="000F53BE" w:rsidP="00FC5818">
            <w:pPr>
              <w:pStyle w:val="ListParagraph"/>
              <w:ind w:left="0"/>
              <w:jc w:val="left"/>
              <w:rPr>
                <w:rFonts w:ascii="Arial Narrow" w:hAnsi="Arial Narrow"/>
                <w:b/>
                <w:sz w:val="18"/>
                <w:szCs w:val="22"/>
              </w:rPr>
            </w:pPr>
            <w:r w:rsidRPr="00EA1D80">
              <w:rPr>
                <w:rFonts w:ascii="Arial Narrow" w:hAnsi="Arial Narrow"/>
                <w:b/>
                <w:sz w:val="18"/>
                <w:szCs w:val="22"/>
              </w:rPr>
              <w:t>Max quantity (bottles per script)</w:t>
            </w:r>
          </w:p>
        </w:tc>
        <w:tc>
          <w:tcPr>
            <w:tcW w:w="1250" w:type="dxa"/>
          </w:tcPr>
          <w:p w:rsidR="000F53BE" w:rsidRPr="00EA1D80" w:rsidRDefault="000F53BE" w:rsidP="00FC5818">
            <w:pPr>
              <w:pStyle w:val="ListParagraph"/>
              <w:ind w:left="0"/>
              <w:jc w:val="left"/>
              <w:rPr>
                <w:rFonts w:ascii="Arial Narrow" w:hAnsi="Arial Narrow"/>
                <w:b/>
                <w:sz w:val="18"/>
                <w:szCs w:val="22"/>
              </w:rPr>
            </w:pPr>
            <w:r w:rsidRPr="00EA1D80">
              <w:rPr>
                <w:rFonts w:ascii="Arial Narrow" w:hAnsi="Arial Narrow"/>
                <w:b/>
                <w:sz w:val="18"/>
                <w:szCs w:val="22"/>
              </w:rPr>
              <w:t>Ex-man</w:t>
            </w:r>
            <w:r w:rsidR="00FC5818" w:rsidRPr="00EA1D80">
              <w:rPr>
                <w:rFonts w:ascii="Arial Narrow" w:hAnsi="Arial Narrow"/>
                <w:b/>
                <w:sz w:val="18"/>
                <w:szCs w:val="22"/>
              </w:rPr>
              <w:t>ufacturer</w:t>
            </w:r>
            <w:r w:rsidRPr="00EA1D80">
              <w:rPr>
                <w:rFonts w:ascii="Arial Narrow" w:hAnsi="Arial Narrow"/>
                <w:b/>
                <w:sz w:val="18"/>
                <w:szCs w:val="22"/>
              </w:rPr>
              <w:t xml:space="preserve"> price</w:t>
            </w:r>
          </w:p>
        </w:tc>
        <w:tc>
          <w:tcPr>
            <w:tcW w:w="1120" w:type="dxa"/>
          </w:tcPr>
          <w:p w:rsidR="000F53BE" w:rsidRPr="00EA1D80" w:rsidRDefault="000F53BE" w:rsidP="00FC5818">
            <w:pPr>
              <w:pStyle w:val="ListParagraph"/>
              <w:ind w:left="0"/>
              <w:jc w:val="left"/>
              <w:rPr>
                <w:rFonts w:ascii="Arial Narrow" w:hAnsi="Arial Narrow"/>
                <w:b/>
                <w:sz w:val="18"/>
                <w:szCs w:val="22"/>
              </w:rPr>
            </w:pPr>
            <w:r w:rsidRPr="00EA1D80">
              <w:rPr>
                <w:rFonts w:ascii="Arial Narrow" w:hAnsi="Arial Narrow"/>
                <w:b/>
                <w:sz w:val="18"/>
                <w:szCs w:val="22"/>
              </w:rPr>
              <w:t>Wholesaler mark-up</w:t>
            </w:r>
          </w:p>
        </w:tc>
        <w:tc>
          <w:tcPr>
            <w:tcW w:w="1209" w:type="dxa"/>
          </w:tcPr>
          <w:p w:rsidR="000F53BE" w:rsidRPr="00EA1D80" w:rsidRDefault="00FC5818" w:rsidP="00FC5818">
            <w:pPr>
              <w:pStyle w:val="ListParagraph"/>
              <w:ind w:left="0"/>
              <w:jc w:val="left"/>
              <w:rPr>
                <w:rFonts w:ascii="Arial Narrow" w:hAnsi="Arial Narrow"/>
                <w:b/>
                <w:sz w:val="18"/>
                <w:szCs w:val="22"/>
              </w:rPr>
            </w:pPr>
            <w:r w:rsidRPr="00EA1D80">
              <w:rPr>
                <w:rFonts w:ascii="Arial Narrow" w:hAnsi="Arial Narrow"/>
                <w:b/>
                <w:sz w:val="18"/>
                <w:szCs w:val="22"/>
              </w:rPr>
              <w:t>Ex-</w:t>
            </w:r>
            <w:r w:rsidR="000F53BE" w:rsidRPr="00EA1D80">
              <w:rPr>
                <w:rFonts w:ascii="Arial Narrow" w:hAnsi="Arial Narrow"/>
                <w:b/>
                <w:sz w:val="18"/>
                <w:szCs w:val="22"/>
              </w:rPr>
              <w:t>man</w:t>
            </w:r>
            <w:r w:rsidRPr="00EA1D80">
              <w:rPr>
                <w:rFonts w:ascii="Arial Narrow" w:hAnsi="Arial Narrow"/>
                <w:b/>
                <w:sz w:val="18"/>
                <w:szCs w:val="22"/>
              </w:rPr>
              <w:t xml:space="preserve">ufacturer price + </w:t>
            </w:r>
            <w:r w:rsidR="000F53BE" w:rsidRPr="00EA1D80">
              <w:rPr>
                <w:rFonts w:ascii="Arial Narrow" w:hAnsi="Arial Narrow"/>
                <w:b/>
                <w:sz w:val="18"/>
                <w:szCs w:val="22"/>
              </w:rPr>
              <w:t>wholesaler mark-up</w:t>
            </w:r>
          </w:p>
        </w:tc>
        <w:tc>
          <w:tcPr>
            <w:tcW w:w="990" w:type="dxa"/>
          </w:tcPr>
          <w:p w:rsidR="000F53BE" w:rsidRPr="00EA1D80" w:rsidRDefault="000F53BE" w:rsidP="00FC5818">
            <w:pPr>
              <w:pStyle w:val="ListParagraph"/>
              <w:ind w:left="0"/>
              <w:jc w:val="left"/>
              <w:rPr>
                <w:rFonts w:ascii="Arial Narrow" w:hAnsi="Arial Narrow"/>
                <w:b/>
                <w:sz w:val="18"/>
                <w:szCs w:val="22"/>
              </w:rPr>
            </w:pPr>
            <w:r w:rsidRPr="00EA1D80">
              <w:rPr>
                <w:rFonts w:ascii="Arial Narrow" w:hAnsi="Arial Narrow"/>
                <w:b/>
                <w:sz w:val="18"/>
                <w:szCs w:val="22"/>
              </w:rPr>
              <w:t>Pharmacy mark-up</w:t>
            </w:r>
          </w:p>
        </w:tc>
        <w:tc>
          <w:tcPr>
            <w:tcW w:w="1088" w:type="dxa"/>
          </w:tcPr>
          <w:p w:rsidR="000F53BE" w:rsidRPr="00EA1D80" w:rsidRDefault="000F53BE" w:rsidP="00FC5818">
            <w:pPr>
              <w:pStyle w:val="ListParagraph"/>
              <w:ind w:left="0"/>
              <w:jc w:val="left"/>
              <w:rPr>
                <w:rFonts w:ascii="Arial Narrow" w:hAnsi="Arial Narrow"/>
                <w:b/>
                <w:sz w:val="18"/>
                <w:szCs w:val="22"/>
              </w:rPr>
            </w:pPr>
            <w:r w:rsidRPr="00EA1D80">
              <w:rPr>
                <w:rFonts w:ascii="Arial Narrow" w:hAnsi="Arial Narrow"/>
                <w:b/>
                <w:sz w:val="18"/>
                <w:szCs w:val="22"/>
              </w:rPr>
              <w:t>Ex-man</w:t>
            </w:r>
            <w:r w:rsidR="00FC5818" w:rsidRPr="00EA1D80">
              <w:rPr>
                <w:rFonts w:ascii="Arial Narrow" w:hAnsi="Arial Narrow"/>
                <w:b/>
                <w:sz w:val="18"/>
                <w:szCs w:val="22"/>
              </w:rPr>
              <w:t>ufacturer price</w:t>
            </w:r>
            <w:r w:rsidRPr="00EA1D80">
              <w:rPr>
                <w:rFonts w:ascii="Arial Narrow" w:hAnsi="Arial Narrow"/>
                <w:b/>
                <w:sz w:val="18"/>
                <w:szCs w:val="22"/>
              </w:rPr>
              <w:t xml:space="preserve"> + wholesaler mark-up + pharmacy markup Dispensing fee</w:t>
            </w:r>
          </w:p>
        </w:tc>
        <w:tc>
          <w:tcPr>
            <w:tcW w:w="1088" w:type="dxa"/>
          </w:tcPr>
          <w:p w:rsidR="000F53BE" w:rsidRPr="00EA1D80" w:rsidRDefault="000F53BE" w:rsidP="00FC5818">
            <w:pPr>
              <w:pStyle w:val="ListParagraph"/>
              <w:ind w:left="0"/>
              <w:jc w:val="left"/>
              <w:rPr>
                <w:rFonts w:ascii="Arial Narrow" w:hAnsi="Arial Narrow"/>
                <w:b/>
                <w:sz w:val="18"/>
                <w:szCs w:val="22"/>
              </w:rPr>
            </w:pPr>
            <w:r w:rsidRPr="00EA1D80">
              <w:rPr>
                <w:rFonts w:ascii="Arial Narrow" w:hAnsi="Arial Narrow"/>
                <w:b/>
                <w:sz w:val="18"/>
                <w:szCs w:val="22"/>
              </w:rPr>
              <w:t>Dispensing fee</w:t>
            </w:r>
          </w:p>
        </w:tc>
        <w:tc>
          <w:tcPr>
            <w:tcW w:w="931" w:type="dxa"/>
          </w:tcPr>
          <w:p w:rsidR="000F53BE" w:rsidRPr="00EA1D80" w:rsidRDefault="000F53BE" w:rsidP="00FC5818">
            <w:pPr>
              <w:pStyle w:val="ListParagraph"/>
              <w:ind w:left="0"/>
              <w:jc w:val="left"/>
              <w:rPr>
                <w:rFonts w:ascii="Arial Narrow" w:hAnsi="Arial Narrow"/>
                <w:b/>
                <w:sz w:val="18"/>
                <w:szCs w:val="22"/>
              </w:rPr>
            </w:pPr>
            <w:r w:rsidRPr="00EA1D80">
              <w:rPr>
                <w:rFonts w:ascii="Arial Narrow" w:hAnsi="Arial Narrow"/>
                <w:b/>
                <w:sz w:val="18"/>
                <w:szCs w:val="22"/>
              </w:rPr>
              <w:t>DPMQ</w:t>
            </w:r>
          </w:p>
        </w:tc>
      </w:tr>
      <w:tr w:rsidR="007E20F0" w:rsidRPr="00EA1D80" w:rsidTr="00FC5818">
        <w:tc>
          <w:tcPr>
            <w:tcW w:w="846" w:type="dxa"/>
          </w:tcPr>
          <w:p w:rsidR="000F53BE" w:rsidRPr="00EA1D80" w:rsidRDefault="000F53BE" w:rsidP="00FC5818">
            <w:pPr>
              <w:pStyle w:val="ListParagraph"/>
              <w:ind w:left="0"/>
              <w:jc w:val="left"/>
              <w:rPr>
                <w:rFonts w:asciiTheme="minorHAnsi" w:hAnsiTheme="minorHAnsi"/>
                <w:sz w:val="20"/>
                <w:szCs w:val="22"/>
              </w:rPr>
            </w:pPr>
            <w:r w:rsidRPr="00EA1D80">
              <w:rPr>
                <w:rFonts w:asciiTheme="minorHAnsi" w:hAnsiTheme="minorHAnsi"/>
                <w:sz w:val="20"/>
                <w:szCs w:val="22"/>
              </w:rPr>
              <w:t>2</w:t>
            </w:r>
          </w:p>
        </w:tc>
        <w:tc>
          <w:tcPr>
            <w:tcW w:w="1250" w:type="dxa"/>
          </w:tcPr>
          <w:p w:rsidR="000F53BE" w:rsidRPr="00EA1D80" w:rsidRDefault="000F53BE" w:rsidP="00FC5818">
            <w:pPr>
              <w:pStyle w:val="ListParagraph"/>
              <w:ind w:left="0"/>
              <w:jc w:val="left"/>
              <w:rPr>
                <w:rFonts w:asciiTheme="minorHAnsi" w:hAnsiTheme="minorHAnsi"/>
                <w:sz w:val="20"/>
                <w:szCs w:val="22"/>
              </w:rPr>
            </w:pPr>
            <w:r w:rsidRPr="00EA1D80">
              <w:rPr>
                <w:rFonts w:asciiTheme="minorHAnsi" w:hAnsiTheme="minorHAnsi"/>
                <w:sz w:val="20"/>
                <w:szCs w:val="22"/>
              </w:rPr>
              <w:t>$</w:t>
            </w:r>
            <w:r w:rsidR="009E65B7">
              <w:rPr>
                <w:rFonts w:asciiTheme="minorHAnsi" w:hAnsiTheme="minorHAnsi"/>
                <w:noProof/>
                <w:color w:val="000000"/>
                <w:sz w:val="20"/>
                <w:szCs w:val="22"/>
                <w:highlight w:val="black"/>
              </w:rPr>
              <w:t>''''''''''''''</w:t>
            </w:r>
          </w:p>
        </w:tc>
        <w:tc>
          <w:tcPr>
            <w:tcW w:w="1120" w:type="dxa"/>
          </w:tcPr>
          <w:p w:rsidR="000F53BE" w:rsidRPr="00EA1D80" w:rsidRDefault="000F53BE" w:rsidP="00FC5818">
            <w:pPr>
              <w:pStyle w:val="ListParagraph"/>
              <w:ind w:left="0"/>
              <w:jc w:val="left"/>
              <w:rPr>
                <w:rFonts w:asciiTheme="minorHAnsi" w:hAnsiTheme="minorHAnsi"/>
                <w:sz w:val="20"/>
                <w:szCs w:val="22"/>
              </w:rPr>
            </w:pPr>
            <w:r w:rsidRPr="00EA1D80">
              <w:rPr>
                <w:rFonts w:asciiTheme="minorHAnsi" w:hAnsiTheme="minorHAnsi"/>
                <w:sz w:val="20"/>
                <w:szCs w:val="22"/>
              </w:rPr>
              <w:t>7.52%</w:t>
            </w:r>
          </w:p>
        </w:tc>
        <w:tc>
          <w:tcPr>
            <w:tcW w:w="1209" w:type="dxa"/>
          </w:tcPr>
          <w:p w:rsidR="000F53BE" w:rsidRPr="00EA1D80" w:rsidRDefault="000F53BE" w:rsidP="00FC5818">
            <w:pPr>
              <w:pStyle w:val="ListParagraph"/>
              <w:ind w:left="0"/>
              <w:jc w:val="left"/>
              <w:rPr>
                <w:rFonts w:asciiTheme="minorHAnsi" w:hAnsiTheme="minorHAnsi"/>
                <w:sz w:val="20"/>
                <w:szCs w:val="22"/>
              </w:rPr>
            </w:pPr>
            <w:r w:rsidRPr="00EA1D80">
              <w:rPr>
                <w:rFonts w:asciiTheme="minorHAnsi" w:hAnsiTheme="minorHAnsi"/>
                <w:sz w:val="20"/>
                <w:szCs w:val="22"/>
              </w:rPr>
              <w:t>$</w:t>
            </w:r>
            <w:r w:rsidR="009E65B7">
              <w:rPr>
                <w:rFonts w:asciiTheme="minorHAnsi" w:hAnsiTheme="minorHAnsi"/>
                <w:noProof/>
                <w:color w:val="000000"/>
                <w:sz w:val="20"/>
                <w:szCs w:val="22"/>
                <w:highlight w:val="black"/>
              </w:rPr>
              <w:t>''''''''''''</w:t>
            </w:r>
          </w:p>
        </w:tc>
        <w:tc>
          <w:tcPr>
            <w:tcW w:w="990" w:type="dxa"/>
          </w:tcPr>
          <w:p w:rsidR="000F53BE" w:rsidRPr="00EA1D80" w:rsidRDefault="000F53BE" w:rsidP="00FC5818">
            <w:pPr>
              <w:pStyle w:val="ListParagraph"/>
              <w:ind w:left="0"/>
              <w:jc w:val="left"/>
              <w:rPr>
                <w:rFonts w:asciiTheme="minorHAnsi" w:hAnsiTheme="minorHAnsi"/>
                <w:sz w:val="20"/>
                <w:szCs w:val="22"/>
              </w:rPr>
            </w:pPr>
            <w:r w:rsidRPr="00EA1D80">
              <w:rPr>
                <w:rFonts w:asciiTheme="minorHAnsi" w:hAnsiTheme="minorHAnsi"/>
                <w:sz w:val="20"/>
                <w:szCs w:val="22"/>
              </w:rPr>
              <w:t>$9.88</w:t>
            </w:r>
          </w:p>
        </w:tc>
        <w:tc>
          <w:tcPr>
            <w:tcW w:w="1088" w:type="dxa"/>
          </w:tcPr>
          <w:p w:rsidR="000F53BE" w:rsidRPr="00EA1D80" w:rsidRDefault="000F53BE" w:rsidP="00FC5818">
            <w:pPr>
              <w:pStyle w:val="ListParagraph"/>
              <w:ind w:left="0"/>
              <w:jc w:val="left"/>
              <w:rPr>
                <w:rFonts w:asciiTheme="minorHAnsi" w:hAnsiTheme="minorHAnsi"/>
                <w:sz w:val="20"/>
                <w:szCs w:val="22"/>
              </w:rPr>
            </w:pPr>
            <w:r w:rsidRPr="00EA1D80">
              <w:rPr>
                <w:rFonts w:asciiTheme="minorHAnsi" w:hAnsiTheme="minorHAnsi"/>
                <w:sz w:val="20"/>
                <w:szCs w:val="22"/>
              </w:rPr>
              <w:t>$</w:t>
            </w:r>
            <w:r w:rsidR="009E65B7">
              <w:rPr>
                <w:rFonts w:asciiTheme="minorHAnsi" w:hAnsiTheme="minorHAnsi"/>
                <w:noProof/>
                <w:color w:val="000000"/>
                <w:sz w:val="20"/>
                <w:szCs w:val="22"/>
                <w:highlight w:val="black"/>
              </w:rPr>
              <w:t>''''''''''''''</w:t>
            </w:r>
          </w:p>
        </w:tc>
        <w:tc>
          <w:tcPr>
            <w:tcW w:w="1088" w:type="dxa"/>
          </w:tcPr>
          <w:p w:rsidR="000F53BE" w:rsidRPr="00EA1D80" w:rsidRDefault="000F53BE" w:rsidP="00FC5818">
            <w:pPr>
              <w:pStyle w:val="ListParagraph"/>
              <w:ind w:left="0"/>
              <w:jc w:val="left"/>
              <w:rPr>
                <w:rFonts w:asciiTheme="minorHAnsi" w:hAnsiTheme="minorHAnsi"/>
                <w:sz w:val="20"/>
                <w:szCs w:val="22"/>
              </w:rPr>
            </w:pPr>
            <w:r w:rsidRPr="00EA1D80">
              <w:rPr>
                <w:rFonts w:asciiTheme="minorHAnsi" w:hAnsiTheme="minorHAnsi"/>
                <w:sz w:val="20"/>
                <w:szCs w:val="22"/>
              </w:rPr>
              <w:t>$7.02</w:t>
            </w:r>
          </w:p>
        </w:tc>
        <w:tc>
          <w:tcPr>
            <w:tcW w:w="931" w:type="dxa"/>
          </w:tcPr>
          <w:p w:rsidR="000F53BE" w:rsidRPr="00EA1D80" w:rsidRDefault="000F53BE" w:rsidP="00FC5818">
            <w:pPr>
              <w:pStyle w:val="ListParagraph"/>
              <w:ind w:left="0"/>
              <w:jc w:val="left"/>
              <w:rPr>
                <w:rFonts w:asciiTheme="minorHAnsi" w:hAnsiTheme="minorHAnsi"/>
                <w:sz w:val="20"/>
                <w:szCs w:val="22"/>
              </w:rPr>
            </w:pPr>
            <w:r w:rsidRPr="00EA1D80">
              <w:rPr>
                <w:rFonts w:asciiTheme="minorHAnsi" w:hAnsiTheme="minorHAnsi"/>
                <w:sz w:val="20"/>
                <w:szCs w:val="22"/>
              </w:rPr>
              <w:t>$</w:t>
            </w:r>
            <w:r w:rsidR="009E65B7">
              <w:rPr>
                <w:rFonts w:asciiTheme="minorHAnsi" w:hAnsiTheme="minorHAnsi"/>
                <w:noProof/>
                <w:color w:val="000000"/>
                <w:sz w:val="20"/>
                <w:szCs w:val="22"/>
                <w:highlight w:val="black"/>
              </w:rPr>
              <w:t>'''''''''''''</w:t>
            </w:r>
          </w:p>
        </w:tc>
      </w:tr>
    </w:tbl>
    <w:p w:rsidR="00BB1C92" w:rsidRPr="00EA1D80" w:rsidRDefault="00417B7A" w:rsidP="00BB1C92">
      <w:pPr>
        <w:pStyle w:val="ListParagraph"/>
        <w:rPr>
          <w:rFonts w:ascii="Arial Narrow" w:hAnsi="Arial Narrow"/>
          <w:sz w:val="18"/>
          <w:szCs w:val="22"/>
        </w:rPr>
      </w:pPr>
      <w:r w:rsidRPr="00EA1D80">
        <w:rPr>
          <w:rFonts w:ascii="Arial Narrow" w:hAnsi="Arial Narrow"/>
          <w:sz w:val="18"/>
          <w:szCs w:val="22"/>
        </w:rPr>
        <w:t xml:space="preserve">Source: </w:t>
      </w:r>
      <w:r w:rsidR="002F280F" w:rsidRPr="00EA1D80">
        <w:rPr>
          <w:rFonts w:ascii="Arial Narrow" w:hAnsi="Arial Narrow"/>
          <w:sz w:val="18"/>
          <w:szCs w:val="22"/>
        </w:rPr>
        <w:t xml:space="preserve">Page 41 of the minor resubmission </w:t>
      </w:r>
    </w:p>
    <w:p w:rsidR="00FA5FEC" w:rsidRPr="00EA1D80" w:rsidRDefault="00FA5FEC" w:rsidP="00FB7D07">
      <w:pPr>
        <w:pStyle w:val="ListParagraph"/>
        <w:rPr>
          <w:rFonts w:asciiTheme="minorHAnsi" w:hAnsiTheme="minorHAnsi"/>
          <w:szCs w:val="22"/>
        </w:rPr>
      </w:pPr>
    </w:p>
    <w:p w:rsidR="00405A17" w:rsidRPr="00342159" w:rsidRDefault="00405A17" w:rsidP="00405A17">
      <w:pPr>
        <w:pStyle w:val="ListParagraph"/>
        <w:numPr>
          <w:ilvl w:val="1"/>
          <w:numId w:val="5"/>
        </w:numPr>
        <w:rPr>
          <w:rFonts w:asciiTheme="minorHAnsi" w:hAnsiTheme="minorHAnsi"/>
          <w:sz w:val="24"/>
          <w:szCs w:val="24"/>
        </w:rPr>
      </w:pPr>
      <w:r w:rsidRPr="00342159">
        <w:rPr>
          <w:rFonts w:asciiTheme="minorHAnsi" w:hAnsiTheme="minorHAnsi"/>
          <w:sz w:val="24"/>
          <w:szCs w:val="24"/>
        </w:rPr>
        <w:t xml:space="preserve">The minor resubmission stated that the proposed DPMQ is a </w:t>
      </w:r>
      <w:r w:rsidR="009E65B7">
        <w:rPr>
          <w:rFonts w:asciiTheme="minorHAnsi" w:hAnsiTheme="minorHAnsi"/>
          <w:noProof/>
          <w:color w:val="000000"/>
          <w:sz w:val="24"/>
          <w:szCs w:val="24"/>
          <w:highlight w:val="black"/>
        </w:rPr>
        <w:t>'''''</w:t>
      </w:r>
      <w:r w:rsidRPr="00342159">
        <w:rPr>
          <w:rFonts w:asciiTheme="minorHAnsi" w:hAnsiTheme="minorHAnsi"/>
          <w:sz w:val="24"/>
          <w:szCs w:val="24"/>
        </w:rPr>
        <w:t>% decrease from the DPMQ proposed in the March 2015 major submission ($</w:t>
      </w:r>
      <w:r w:rsidR="009E65B7">
        <w:rPr>
          <w:rFonts w:asciiTheme="minorHAnsi" w:hAnsiTheme="minorHAnsi"/>
          <w:noProof/>
          <w:color w:val="000000"/>
          <w:sz w:val="24"/>
          <w:szCs w:val="24"/>
          <w:highlight w:val="black"/>
        </w:rPr>
        <w:t>''''''''''''</w:t>
      </w:r>
      <w:r w:rsidRPr="00342159">
        <w:rPr>
          <w:rFonts w:asciiTheme="minorHAnsi" w:hAnsiTheme="minorHAnsi"/>
          <w:sz w:val="24"/>
          <w:szCs w:val="24"/>
        </w:rPr>
        <w:t xml:space="preserve">).  </w:t>
      </w:r>
    </w:p>
    <w:p w:rsidR="00405A17" w:rsidRPr="00342159" w:rsidRDefault="00405A17" w:rsidP="00405A17">
      <w:pPr>
        <w:pStyle w:val="ListParagraph"/>
        <w:rPr>
          <w:rFonts w:asciiTheme="minorHAnsi" w:hAnsiTheme="minorHAnsi"/>
          <w:sz w:val="24"/>
          <w:szCs w:val="24"/>
        </w:rPr>
      </w:pPr>
    </w:p>
    <w:p w:rsidR="00FA5FEC" w:rsidRPr="00342159" w:rsidRDefault="00CB7AB5" w:rsidP="00CB7AB5">
      <w:pPr>
        <w:pStyle w:val="ListParagraph"/>
        <w:numPr>
          <w:ilvl w:val="1"/>
          <w:numId w:val="5"/>
        </w:numPr>
        <w:rPr>
          <w:rFonts w:asciiTheme="minorHAnsi" w:hAnsiTheme="minorHAnsi"/>
          <w:sz w:val="24"/>
          <w:szCs w:val="24"/>
        </w:rPr>
      </w:pPr>
      <w:r w:rsidRPr="00342159">
        <w:rPr>
          <w:rFonts w:asciiTheme="minorHAnsi" w:hAnsiTheme="minorHAnsi"/>
          <w:sz w:val="24"/>
          <w:szCs w:val="24"/>
        </w:rPr>
        <w:t>The proposed Ex-manufacturer price for Hemangiol® is based on the weighted combination price of Auspman propranolol solution and c</w:t>
      </w:r>
      <w:r w:rsidR="00BC4DF0" w:rsidRPr="00342159">
        <w:rPr>
          <w:rFonts w:asciiTheme="minorHAnsi" w:hAnsiTheme="minorHAnsi"/>
          <w:sz w:val="24"/>
          <w:szCs w:val="24"/>
        </w:rPr>
        <w:t>ompounded propranolol ($</w:t>
      </w:r>
      <w:r w:rsidR="009E65B7">
        <w:rPr>
          <w:rFonts w:asciiTheme="minorHAnsi" w:hAnsiTheme="minorHAnsi"/>
          <w:noProof/>
          <w:color w:val="000000"/>
          <w:sz w:val="24"/>
          <w:szCs w:val="24"/>
          <w:highlight w:val="black"/>
        </w:rPr>
        <w:t>''''''''''''</w:t>
      </w:r>
      <w:r w:rsidR="00BC4DF0" w:rsidRPr="00342159">
        <w:rPr>
          <w:rFonts w:asciiTheme="minorHAnsi" w:hAnsiTheme="minorHAnsi"/>
          <w:sz w:val="24"/>
          <w:szCs w:val="24"/>
        </w:rPr>
        <w:t>) plus</w:t>
      </w:r>
      <w:r w:rsidRPr="00342159">
        <w:rPr>
          <w:rFonts w:asciiTheme="minorHAnsi" w:hAnsiTheme="minorHAnsi"/>
          <w:sz w:val="24"/>
          <w:szCs w:val="24"/>
        </w:rPr>
        <w:t xml:space="preserve"> the cost per script of the services provided with Hemangiol®</w:t>
      </w:r>
      <w:r w:rsidR="006F72D1" w:rsidRPr="00342159">
        <w:rPr>
          <w:rFonts w:asciiTheme="minorHAnsi" w:hAnsiTheme="minorHAnsi"/>
          <w:sz w:val="24"/>
          <w:szCs w:val="24"/>
        </w:rPr>
        <w:t xml:space="preserve"> ($</w:t>
      </w:r>
      <w:r w:rsidR="009E65B7">
        <w:rPr>
          <w:rFonts w:asciiTheme="minorHAnsi" w:hAnsiTheme="minorHAnsi"/>
          <w:noProof/>
          <w:color w:val="000000"/>
          <w:sz w:val="24"/>
          <w:szCs w:val="24"/>
          <w:highlight w:val="black"/>
        </w:rPr>
        <w:t>''''''''''''</w:t>
      </w:r>
      <w:r w:rsidR="006F72D1" w:rsidRPr="00342159">
        <w:rPr>
          <w:rFonts w:asciiTheme="minorHAnsi" w:hAnsiTheme="minorHAnsi"/>
          <w:sz w:val="24"/>
          <w:szCs w:val="24"/>
        </w:rPr>
        <w:t>) and an additional premium of $</w:t>
      </w:r>
      <w:r w:rsidR="009E65B7">
        <w:rPr>
          <w:rFonts w:asciiTheme="minorHAnsi" w:hAnsiTheme="minorHAnsi"/>
          <w:noProof/>
          <w:color w:val="000000"/>
          <w:sz w:val="24"/>
          <w:szCs w:val="24"/>
          <w:highlight w:val="black"/>
        </w:rPr>
        <w:t>'''''''''</w:t>
      </w:r>
      <w:r w:rsidR="006F72D1" w:rsidRPr="00342159">
        <w:rPr>
          <w:rFonts w:asciiTheme="minorHAnsi" w:hAnsiTheme="minorHAnsi"/>
          <w:sz w:val="24"/>
          <w:szCs w:val="24"/>
        </w:rPr>
        <w:t xml:space="preserve"> over compounded propranolol. </w:t>
      </w:r>
    </w:p>
    <w:p w:rsidR="006F72D1" w:rsidRPr="00342159" w:rsidRDefault="006F72D1" w:rsidP="006F72D1">
      <w:pPr>
        <w:pStyle w:val="ListParagraph"/>
        <w:rPr>
          <w:rFonts w:asciiTheme="minorHAnsi" w:hAnsiTheme="minorHAnsi"/>
          <w:sz w:val="24"/>
          <w:szCs w:val="24"/>
        </w:rPr>
      </w:pPr>
    </w:p>
    <w:p w:rsidR="00B8784F" w:rsidRPr="00342159" w:rsidRDefault="006B1D85" w:rsidP="00417B7A">
      <w:pPr>
        <w:pStyle w:val="ListParagraph"/>
        <w:numPr>
          <w:ilvl w:val="1"/>
          <w:numId w:val="5"/>
        </w:numPr>
        <w:rPr>
          <w:rFonts w:asciiTheme="minorHAnsi" w:hAnsiTheme="minorHAnsi"/>
          <w:sz w:val="24"/>
          <w:szCs w:val="24"/>
        </w:rPr>
      </w:pPr>
      <w:r w:rsidRPr="00342159">
        <w:rPr>
          <w:rFonts w:asciiTheme="minorHAnsi" w:hAnsiTheme="minorHAnsi"/>
          <w:sz w:val="24"/>
          <w:szCs w:val="24"/>
        </w:rPr>
        <w:t>The minor resubmission claimed that the cost of $</w:t>
      </w:r>
      <w:r w:rsidR="009E65B7">
        <w:rPr>
          <w:rFonts w:asciiTheme="minorHAnsi" w:hAnsiTheme="minorHAnsi"/>
          <w:noProof/>
          <w:color w:val="000000"/>
          <w:sz w:val="24"/>
          <w:szCs w:val="24"/>
          <w:highlight w:val="black"/>
        </w:rPr>
        <w:t>'''''''''''</w:t>
      </w:r>
      <w:r w:rsidRPr="00342159">
        <w:rPr>
          <w:rFonts w:asciiTheme="minorHAnsi" w:hAnsiTheme="minorHAnsi"/>
          <w:sz w:val="24"/>
          <w:szCs w:val="24"/>
        </w:rPr>
        <w:t xml:space="preserve"> per script of Hemangiol® </w:t>
      </w:r>
      <w:r w:rsidR="00417B7A" w:rsidRPr="00342159">
        <w:rPr>
          <w:rFonts w:asciiTheme="minorHAnsi" w:hAnsiTheme="minorHAnsi"/>
          <w:sz w:val="24"/>
          <w:szCs w:val="24"/>
        </w:rPr>
        <w:t xml:space="preserve">represents the additional costs associated with pharmacovigilance </w:t>
      </w:r>
      <w:r w:rsidR="00FC2C6C" w:rsidRPr="00342159">
        <w:rPr>
          <w:rFonts w:asciiTheme="minorHAnsi" w:hAnsiTheme="minorHAnsi"/>
          <w:sz w:val="24"/>
          <w:szCs w:val="24"/>
        </w:rPr>
        <w:t>and risk</w:t>
      </w:r>
      <w:r w:rsidR="00EA1D80" w:rsidRPr="00342159">
        <w:rPr>
          <w:rFonts w:asciiTheme="minorHAnsi" w:hAnsiTheme="minorHAnsi"/>
          <w:sz w:val="24"/>
          <w:szCs w:val="24"/>
        </w:rPr>
        <w:t xml:space="preserve"> minimisation </w:t>
      </w:r>
      <w:r w:rsidR="00417B7A" w:rsidRPr="00342159">
        <w:rPr>
          <w:rFonts w:asciiTheme="minorHAnsi" w:hAnsiTheme="minorHAnsi"/>
          <w:sz w:val="24"/>
          <w:szCs w:val="24"/>
        </w:rPr>
        <w:t xml:space="preserve">measures </w:t>
      </w:r>
      <w:r w:rsidR="002F280F" w:rsidRPr="00342159">
        <w:rPr>
          <w:rFonts w:asciiTheme="minorHAnsi" w:hAnsiTheme="minorHAnsi"/>
          <w:sz w:val="24"/>
          <w:szCs w:val="24"/>
        </w:rPr>
        <w:t>surrounding Hemangiol</w:t>
      </w:r>
      <w:r w:rsidR="00417B7A" w:rsidRPr="00342159">
        <w:rPr>
          <w:rFonts w:asciiTheme="minorHAnsi" w:hAnsiTheme="minorHAnsi"/>
          <w:sz w:val="24"/>
          <w:szCs w:val="24"/>
        </w:rPr>
        <w:t>® dispensing.</w:t>
      </w:r>
    </w:p>
    <w:p w:rsidR="00B8784F" w:rsidRPr="00342159" w:rsidRDefault="00B8784F" w:rsidP="00B8784F">
      <w:pPr>
        <w:pStyle w:val="ListParagraph"/>
        <w:rPr>
          <w:rFonts w:asciiTheme="minorHAnsi" w:hAnsiTheme="minorHAnsi"/>
          <w:sz w:val="24"/>
          <w:szCs w:val="24"/>
        </w:rPr>
      </w:pPr>
    </w:p>
    <w:p w:rsidR="00040F77" w:rsidRPr="00342159" w:rsidRDefault="00B8784F" w:rsidP="00A60CD2">
      <w:pPr>
        <w:pStyle w:val="ListParagraph"/>
        <w:numPr>
          <w:ilvl w:val="1"/>
          <w:numId w:val="5"/>
        </w:numPr>
        <w:rPr>
          <w:rFonts w:asciiTheme="minorHAnsi" w:hAnsiTheme="minorHAnsi"/>
          <w:sz w:val="24"/>
          <w:szCs w:val="24"/>
        </w:rPr>
      </w:pPr>
      <w:r w:rsidRPr="00342159">
        <w:rPr>
          <w:rFonts w:asciiTheme="minorHAnsi" w:hAnsiTheme="minorHAnsi"/>
          <w:sz w:val="24"/>
          <w:szCs w:val="24"/>
        </w:rPr>
        <w:t>It is noted that the minor resubmission’s method to determine a price for Hemangiol® differs from that which the Department propose</w:t>
      </w:r>
      <w:r w:rsidR="00A60CD2" w:rsidRPr="00342159">
        <w:rPr>
          <w:rFonts w:asciiTheme="minorHAnsi" w:hAnsiTheme="minorHAnsi"/>
          <w:sz w:val="24"/>
          <w:szCs w:val="24"/>
        </w:rPr>
        <w:t xml:space="preserve">d in the November 2015 Minutes. The weighting method proposed by the Department assumed dispensing of propranolol liquid to be 91% using compounded propranolol liquid and 9% Auspman propranolol solution. The DPMQ calculated </w:t>
      </w:r>
      <w:r w:rsidR="00EA1D80" w:rsidRPr="00342159">
        <w:rPr>
          <w:rFonts w:asciiTheme="minorHAnsi" w:hAnsiTheme="minorHAnsi"/>
          <w:sz w:val="24"/>
          <w:szCs w:val="24"/>
        </w:rPr>
        <w:t xml:space="preserve">using </w:t>
      </w:r>
      <w:r w:rsidR="00A60CD2" w:rsidRPr="00342159">
        <w:rPr>
          <w:rFonts w:asciiTheme="minorHAnsi" w:hAnsiTheme="minorHAnsi"/>
          <w:sz w:val="24"/>
          <w:szCs w:val="24"/>
        </w:rPr>
        <w:t>this alternative weighting method is $</w:t>
      </w:r>
      <w:r w:rsidR="009E65B7">
        <w:rPr>
          <w:rFonts w:asciiTheme="minorHAnsi" w:hAnsiTheme="minorHAnsi"/>
          <w:noProof/>
          <w:color w:val="000000"/>
          <w:sz w:val="24"/>
          <w:szCs w:val="24"/>
          <w:highlight w:val="black"/>
        </w:rPr>
        <w:t>'''''''''''''</w:t>
      </w:r>
      <w:r w:rsidR="00A60CD2" w:rsidRPr="00342159">
        <w:rPr>
          <w:rFonts w:asciiTheme="minorHAnsi" w:hAnsiTheme="minorHAnsi"/>
          <w:sz w:val="24"/>
          <w:szCs w:val="24"/>
        </w:rPr>
        <w:t xml:space="preserve">. </w:t>
      </w:r>
    </w:p>
    <w:p w:rsidR="00BC53C8" w:rsidRPr="00342159" w:rsidRDefault="00BC53C8" w:rsidP="000B2CF0">
      <w:pPr>
        <w:pStyle w:val="ListParagraph"/>
        <w:rPr>
          <w:rFonts w:asciiTheme="minorHAnsi" w:hAnsiTheme="minorHAnsi"/>
          <w:sz w:val="24"/>
          <w:szCs w:val="24"/>
        </w:rPr>
      </w:pPr>
    </w:p>
    <w:p w:rsidR="00903F05" w:rsidRPr="00342159" w:rsidRDefault="00903F05" w:rsidP="00A60CD2">
      <w:pPr>
        <w:pStyle w:val="ListParagraph"/>
        <w:numPr>
          <w:ilvl w:val="1"/>
          <w:numId w:val="5"/>
        </w:numPr>
        <w:rPr>
          <w:rFonts w:asciiTheme="minorHAnsi" w:hAnsiTheme="minorHAnsi"/>
          <w:sz w:val="24"/>
          <w:szCs w:val="24"/>
        </w:rPr>
      </w:pPr>
      <w:r w:rsidRPr="00342159">
        <w:rPr>
          <w:rFonts w:asciiTheme="minorHAnsi" w:hAnsiTheme="minorHAnsi"/>
          <w:sz w:val="24"/>
          <w:szCs w:val="24"/>
        </w:rPr>
        <w:t>The weightings were based on the sponsor’s November 2015 resubmission that the continued dispensing of propranolol liquid was likely to be from a community pharmacy (91%) using compounded propranolol liquid, with the initial script dispensed from the hospital pharmacy with the Auspman solution (9%).</w:t>
      </w:r>
    </w:p>
    <w:p w:rsidR="00903F05" w:rsidRPr="00342159" w:rsidRDefault="00903F05" w:rsidP="000B2CF0">
      <w:pPr>
        <w:pStyle w:val="ListParagraph"/>
        <w:rPr>
          <w:rFonts w:asciiTheme="minorHAnsi" w:hAnsiTheme="minorHAnsi"/>
          <w:sz w:val="24"/>
          <w:szCs w:val="24"/>
        </w:rPr>
      </w:pPr>
    </w:p>
    <w:p w:rsidR="00903F05" w:rsidRPr="00342159" w:rsidRDefault="00903F05" w:rsidP="00903F05">
      <w:pPr>
        <w:pStyle w:val="ListParagraph"/>
        <w:numPr>
          <w:ilvl w:val="1"/>
          <w:numId w:val="5"/>
        </w:numPr>
        <w:rPr>
          <w:rFonts w:asciiTheme="minorHAnsi" w:hAnsiTheme="minorHAnsi"/>
          <w:sz w:val="24"/>
          <w:szCs w:val="24"/>
        </w:rPr>
      </w:pPr>
      <w:r w:rsidRPr="00342159">
        <w:rPr>
          <w:rFonts w:asciiTheme="minorHAnsi" w:hAnsiTheme="minorHAnsi"/>
          <w:sz w:val="24"/>
          <w:szCs w:val="24"/>
        </w:rPr>
        <w:t>The Department has previously advised the sponsor that based on the March 2015 and November 2015 PBAC advice</w:t>
      </w:r>
      <w:r w:rsidR="005039CB" w:rsidRPr="00342159">
        <w:rPr>
          <w:rFonts w:asciiTheme="minorHAnsi" w:hAnsiTheme="minorHAnsi"/>
          <w:sz w:val="24"/>
          <w:szCs w:val="24"/>
        </w:rPr>
        <w:t>,</w:t>
      </w:r>
      <w:r w:rsidRPr="00342159">
        <w:rPr>
          <w:rFonts w:asciiTheme="minorHAnsi" w:hAnsiTheme="minorHAnsi"/>
          <w:sz w:val="24"/>
          <w:szCs w:val="24"/>
        </w:rPr>
        <w:t xml:space="preserve"> it would not be in a position to recommend </w:t>
      </w:r>
      <w:r w:rsidR="00BC53C8" w:rsidRPr="00342159">
        <w:rPr>
          <w:rFonts w:asciiTheme="minorHAnsi" w:hAnsiTheme="minorHAnsi"/>
          <w:sz w:val="24"/>
          <w:szCs w:val="24"/>
        </w:rPr>
        <w:t xml:space="preserve">listing at </w:t>
      </w:r>
      <w:r w:rsidRPr="00342159">
        <w:rPr>
          <w:rFonts w:asciiTheme="minorHAnsi" w:hAnsiTheme="minorHAnsi"/>
          <w:sz w:val="24"/>
          <w:szCs w:val="24"/>
        </w:rPr>
        <w:t xml:space="preserve">a DPMQ </w:t>
      </w:r>
      <w:r w:rsidR="00EA1D80" w:rsidRPr="00342159">
        <w:rPr>
          <w:rFonts w:asciiTheme="minorHAnsi" w:hAnsiTheme="minorHAnsi"/>
          <w:sz w:val="24"/>
          <w:szCs w:val="24"/>
        </w:rPr>
        <w:t xml:space="preserve">higher than </w:t>
      </w:r>
      <w:r w:rsidRPr="00342159">
        <w:rPr>
          <w:rFonts w:asciiTheme="minorHAnsi" w:hAnsiTheme="minorHAnsi"/>
          <w:sz w:val="24"/>
          <w:szCs w:val="24"/>
        </w:rPr>
        <w:t>$</w:t>
      </w:r>
      <w:r w:rsidR="009E65B7">
        <w:rPr>
          <w:rFonts w:asciiTheme="minorHAnsi" w:hAnsiTheme="minorHAnsi"/>
          <w:noProof/>
          <w:color w:val="000000"/>
          <w:sz w:val="24"/>
          <w:szCs w:val="24"/>
          <w:highlight w:val="black"/>
        </w:rPr>
        <w:t>'''''''''''''</w:t>
      </w:r>
      <w:r w:rsidRPr="00342159">
        <w:rPr>
          <w:rFonts w:asciiTheme="minorHAnsi" w:hAnsiTheme="minorHAnsi"/>
          <w:sz w:val="24"/>
          <w:szCs w:val="24"/>
        </w:rPr>
        <w:t xml:space="preserve"> for Hemangiol®.</w:t>
      </w:r>
    </w:p>
    <w:p w:rsidR="00903F05" w:rsidRPr="00EA1D80" w:rsidRDefault="00903F05" w:rsidP="000B2CF0">
      <w:pPr>
        <w:pStyle w:val="ListParagraph"/>
        <w:rPr>
          <w:rFonts w:asciiTheme="minorHAnsi" w:hAnsiTheme="minorHAnsi"/>
          <w:szCs w:val="22"/>
        </w:rPr>
      </w:pPr>
    </w:p>
    <w:p w:rsidR="005963BB" w:rsidRDefault="005963BB" w:rsidP="00C00DA7">
      <w:pPr>
        <w:jc w:val="both"/>
        <w:rPr>
          <w:rFonts w:asciiTheme="minorHAnsi" w:hAnsiTheme="minorHAnsi"/>
          <w:sz w:val="22"/>
          <w:szCs w:val="22"/>
        </w:rPr>
      </w:pPr>
    </w:p>
    <w:p w:rsidR="00D81F77" w:rsidRPr="00EA1D80" w:rsidRDefault="00D81F77" w:rsidP="00C00DA7">
      <w:pPr>
        <w:jc w:val="both"/>
        <w:rPr>
          <w:rFonts w:asciiTheme="minorHAnsi" w:hAnsiTheme="minorHAnsi"/>
          <w:sz w:val="22"/>
          <w:szCs w:val="22"/>
        </w:rPr>
      </w:pPr>
    </w:p>
    <w:p w:rsidR="00A55FEE" w:rsidRPr="00342159" w:rsidRDefault="006B68E2" w:rsidP="00B1059E">
      <w:pPr>
        <w:pStyle w:val="Heading2"/>
        <w:rPr>
          <w:rFonts w:asciiTheme="minorHAnsi" w:hAnsiTheme="minorHAnsi"/>
          <w:sz w:val="28"/>
          <w:szCs w:val="28"/>
        </w:rPr>
      </w:pPr>
      <w:r w:rsidRPr="00342159">
        <w:rPr>
          <w:rFonts w:asciiTheme="minorHAnsi" w:hAnsiTheme="minorHAnsi"/>
          <w:sz w:val="28"/>
          <w:szCs w:val="28"/>
        </w:rPr>
        <w:t>Drug cost/patient/course</w:t>
      </w:r>
      <w:r w:rsidR="00FC5818" w:rsidRPr="00342159">
        <w:rPr>
          <w:rFonts w:asciiTheme="minorHAnsi" w:hAnsiTheme="minorHAnsi"/>
          <w:sz w:val="28"/>
          <w:szCs w:val="28"/>
        </w:rPr>
        <w:t>: $</w:t>
      </w:r>
      <w:r w:rsidR="009E65B7">
        <w:rPr>
          <w:rFonts w:asciiTheme="minorHAnsi" w:hAnsiTheme="minorHAnsi"/>
          <w:noProof/>
          <w:color w:val="000000"/>
          <w:sz w:val="28"/>
          <w:szCs w:val="28"/>
          <w:highlight w:val="black"/>
        </w:rPr>
        <w:t>'''''''''''''''</w:t>
      </w:r>
      <w:r w:rsidR="00A55FEE" w:rsidRPr="00342159">
        <w:rPr>
          <w:rFonts w:asciiTheme="minorHAnsi" w:hAnsiTheme="minorHAnsi"/>
          <w:sz w:val="28"/>
          <w:szCs w:val="28"/>
        </w:rPr>
        <w:t>.</w:t>
      </w:r>
    </w:p>
    <w:p w:rsidR="00A55FEE" w:rsidRPr="00EA1D80" w:rsidRDefault="00A55FEE" w:rsidP="00A55FEE">
      <w:pPr>
        <w:ind w:left="720" w:hanging="720"/>
        <w:jc w:val="both"/>
        <w:rPr>
          <w:rFonts w:asciiTheme="minorHAnsi" w:hAnsiTheme="minorHAnsi"/>
          <w:b/>
          <w:i/>
          <w:sz w:val="22"/>
          <w:szCs w:val="22"/>
        </w:rPr>
      </w:pPr>
    </w:p>
    <w:p w:rsidR="00A55FEE" w:rsidRPr="00342159" w:rsidRDefault="00D257FE" w:rsidP="00D257FE">
      <w:pPr>
        <w:pStyle w:val="ListParagraph"/>
        <w:numPr>
          <w:ilvl w:val="1"/>
          <w:numId w:val="5"/>
        </w:numPr>
        <w:rPr>
          <w:rFonts w:asciiTheme="minorHAnsi" w:hAnsiTheme="minorHAnsi"/>
          <w:sz w:val="24"/>
          <w:szCs w:val="24"/>
        </w:rPr>
      </w:pPr>
      <w:r w:rsidRPr="00342159">
        <w:rPr>
          <w:rFonts w:asciiTheme="minorHAnsi" w:hAnsiTheme="minorHAnsi"/>
          <w:sz w:val="24"/>
          <w:szCs w:val="24"/>
        </w:rPr>
        <w:t>The minor resubmission estimated the total cost per course of treatment with Hemangiol® to be $</w:t>
      </w:r>
      <w:r w:rsidR="009E65B7">
        <w:rPr>
          <w:rFonts w:asciiTheme="minorHAnsi" w:hAnsiTheme="minorHAnsi"/>
          <w:noProof/>
          <w:color w:val="000000"/>
          <w:sz w:val="24"/>
          <w:szCs w:val="24"/>
          <w:highlight w:val="black"/>
        </w:rPr>
        <w:t>''''''''''''''''''</w:t>
      </w:r>
      <w:r w:rsidRPr="00342159">
        <w:rPr>
          <w:rFonts w:asciiTheme="minorHAnsi" w:hAnsiTheme="minorHAnsi"/>
          <w:sz w:val="24"/>
          <w:szCs w:val="24"/>
        </w:rPr>
        <w:t xml:space="preserve"> based on an estimated 8.5 bottles for 6 months of treatment, with 11.5% of patients requiring an additional 6 months of treatment for recurrence of the disease. </w:t>
      </w:r>
    </w:p>
    <w:p w:rsidR="00A55FEE" w:rsidRPr="00EA1D80" w:rsidRDefault="00A55FEE" w:rsidP="00A55FEE">
      <w:pPr>
        <w:ind w:left="720" w:hanging="720"/>
        <w:jc w:val="both"/>
        <w:rPr>
          <w:rFonts w:asciiTheme="minorHAnsi" w:hAnsiTheme="minorHAnsi"/>
          <w:b/>
          <w:i/>
          <w:sz w:val="22"/>
          <w:szCs w:val="22"/>
        </w:rPr>
      </w:pPr>
    </w:p>
    <w:p w:rsidR="005A3173" w:rsidRPr="00342159" w:rsidRDefault="005A3173" w:rsidP="00B1059E">
      <w:pPr>
        <w:pStyle w:val="Heading2"/>
        <w:rPr>
          <w:rFonts w:asciiTheme="minorHAnsi" w:hAnsiTheme="minorHAnsi"/>
          <w:sz w:val="28"/>
          <w:szCs w:val="28"/>
        </w:rPr>
      </w:pPr>
      <w:r w:rsidRPr="00342159">
        <w:rPr>
          <w:rFonts w:asciiTheme="minorHAnsi" w:hAnsiTheme="minorHAnsi"/>
          <w:sz w:val="28"/>
          <w:szCs w:val="28"/>
        </w:rPr>
        <w:t>Estimated PBS usage &amp; financial implications</w:t>
      </w:r>
    </w:p>
    <w:p w:rsidR="005A3173" w:rsidRPr="00EA1D80" w:rsidRDefault="005A3173" w:rsidP="00882085">
      <w:pPr>
        <w:ind w:left="720" w:hanging="720"/>
        <w:jc w:val="both"/>
        <w:rPr>
          <w:rFonts w:asciiTheme="minorHAnsi" w:hAnsiTheme="minorHAnsi"/>
          <w:b/>
          <w:i/>
          <w:sz w:val="22"/>
          <w:szCs w:val="22"/>
        </w:rPr>
      </w:pPr>
    </w:p>
    <w:p w:rsidR="00542D60" w:rsidRPr="00342159" w:rsidRDefault="00FF2801" w:rsidP="00542D60">
      <w:pPr>
        <w:pStyle w:val="ListParagraph"/>
        <w:numPr>
          <w:ilvl w:val="1"/>
          <w:numId w:val="5"/>
        </w:numPr>
        <w:rPr>
          <w:rFonts w:asciiTheme="minorHAnsi" w:hAnsiTheme="minorHAnsi"/>
          <w:sz w:val="24"/>
          <w:szCs w:val="24"/>
        </w:rPr>
      </w:pPr>
      <w:r w:rsidRPr="00342159">
        <w:rPr>
          <w:rFonts w:asciiTheme="minorHAnsi" w:hAnsiTheme="minorHAnsi"/>
          <w:sz w:val="24"/>
          <w:szCs w:val="24"/>
        </w:rPr>
        <w:t>The minor submission estimated</w:t>
      </w:r>
      <w:r w:rsidR="00C00DA7" w:rsidRPr="00342159">
        <w:rPr>
          <w:rFonts w:asciiTheme="minorHAnsi" w:hAnsiTheme="minorHAnsi"/>
          <w:sz w:val="24"/>
          <w:szCs w:val="24"/>
        </w:rPr>
        <w:t xml:space="preserve"> a net cost to the PBS of $</w:t>
      </w:r>
      <w:r w:rsidR="009E65B7">
        <w:rPr>
          <w:rFonts w:asciiTheme="minorHAnsi" w:hAnsiTheme="minorHAnsi"/>
          <w:noProof/>
          <w:color w:val="000000"/>
          <w:sz w:val="24"/>
          <w:szCs w:val="24"/>
          <w:highlight w:val="black"/>
        </w:rPr>
        <w:t>'''''''' ''''''''''''</w:t>
      </w:r>
      <w:r w:rsidR="007B2C90" w:rsidRPr="00342159">
        <w:rPr>
          <w:rFonts w:asciiTheme="minorHAnsi" w:hAnsiTheme="minorHAnsi"/>
          <w:sz w:val="24"/>
          <w:szCs w:val="24"/>
        </w:rPr>
        <w:t xml:space="preserve"> in Year 1</w:t>
      </w:r>
      <w:r w:rsidR="00C00DA7" w:rsidRPr="00342159">
        <w:rPr>
          <w:rFonts w:asciiTheme="minorHAnsi" w:hAnsiTheme="minorHAnsi"/>
          <w:sz w:val="24"/>
          <w:szCs w:val="24"/>
        </w:rPr>
        <w:t xml:space="preserve"> of listing, with a total net cost to the PBS of $</w:t>
      </w:r>
      <w:r w:rsidR="009E65B7">
        <w:rPr>
          <w:rFonts w:asciiTheme="minorHAnsi" w:hAnsiTheme="minorHAnsi"/>
          <w:noProof/>
          <w:color w:val="000000"/>
          <w:sz w:val="24"/>
          <w:szCs w:val="24"/>
          <w:highlight w:val="black"/>
        </w:rPr>
        <w:t>''''''''' '''''''''''''</w:t>
      </w:r>
      <w:r w:rsidR="00C00DA7" w:rsidRPr="00342159">
        <w:rPr>
          <w:rFonts w:asciiTheme="minorHAnsi" w:hAnsiTheme="minorHAnsi"/>
          <w:sz w:val="24"/>
          <w:szCs w:val="24"/>
        </w:rPr>
        <w:t xml:space="preserve"> over the first 5 years of listing.  This is summarised in </w:t>
      </w:r>
      <w:r w:rsidR="00A36575" w:rsidRPr="00342159">
        <w:rPr>
          <w:rFonts w:asciiTheme="minorHAnsi" w:hAnsiTheme="minorHAnsi"/>
          <w:sz w:val="24"/>
          <w:szCs w:val="24"/>
        </w:rPr>
        <w:t>Table 2</w:t>
      </w:r>
      <w:r w:rsidR="00C00DA7" w:rsidRPr="00342159">
        <w:rPr>
          <w:rFonts w:asciiTheme="minorHAnsi" w:hAnsiTheme="minorHAnsi"/>
          <w:sz w:val="24"/>
          <w:szCs w:val="24"/>
        </w:rPr>
        <w:t xml:space="preserve"> below as well as the expected patient/prescription numbers. </w:t>
      </w:r>
    </w:p>
    <w:p w:rsidR="00E4629F" w:rsidRPr="00EA1D80" w:rsidRDefault="00E4629F" w:rsidP="00A36575">
      <w:pPr>
        <w:pStyle w:val="ListParagraph"/>
        <w:rPr>
          <w:rFonts w:ascii="Arial Narrow" w:hAnsi="Arial Narrow"/>
          <w:b/>
          <w:sz w:val="20"/>
          <w:szCs w:val="22"/>
        </w:rPr>
      </w:pPr>
    </w:p>
    <w:p w:rsidR="004C754B" w:rsidRPr="004C754B" w:rsidRDefault="004C754B" w:rsidP="004C754B">
      <w:pPr>
        <w:pStyle w:val="Caption"/>
        <w:keepNext/>
        <w:rPr>
          <w:rFonts w:ascii="Arial Narrow" w:hAnsi="Arial Narrow"/>
          <w:sz w:val="20"/>
          <w:szCs w:val="20"/>
        </w:rPr>
      </w:pPr>
      <w:r w:rsidRPr="004C754B">
        <w:rPr>
          <w:rFonts w:ascii="Arial Narrow" w:hAnsi="Arial Narrow"/>
          <w:sz w:val="20"/>
          <w:szCs w:val="20"/>
        </w:rPr>
        <w:t xml:space="preserve">Table </w:t>
      </w:r>
      <w:r w:rsidRPr="004C754B">
        <w:rPr>
          <w:rFonts w:ascii="Arial Narrow" w:hAnsi="Arial Narrow"/>
          <w:noProof/>
          <w:sz w:val="20"/>
          <w:szCs w:val="20"/>
        </w:rPr>
        <w:t>2</w:t>
      </w:r>
      <w:r w:rsidRPr="004C754B">
        <w:rPr>
          <w:rFonts w:ascii="Arial Narrow" w:hAnsi="Arial Narrow"/>
          <w:sz w:val="20"/>
          <w:szCs w:val="20"/>
        </w:rPr>
        <w:t>: Estimated use and financial implications</w:t>
      </w:r>
    </w:p>
    <w:tbl>
      <w:tblPr>
        <w:tblStyle w:val="TableGrid"/>
        <w:tblW w:w="0" w:type="auto"/>
        <w:tblInd w:w="675" w:type="dxa"/>
        <w:tblLook w:val="04A0" w:firstRow="1" w:lastRow="0" w:firstColumn="1" w:lastColumn="0" w:noHBand="0" w:noVBand="1"/>
        <w:tblCaption w:val="Estimated use and financial implications"/>
      </w:tblPr>
      <w:tblGrid>
        <w:gridCol w:w="1147"/>
        <w:gridCol w:w="1270"/>
        <w:gridCol w:w="1537"/>
        <w:gridCol w:w="1537"/>
        <w:gridCol w:w="1538"/>
        <w:gridCol w:w="1538"/>
      </w:tblGrid>
      <w:tr w:rsidR="007E20F0" w:rsidRPr="00EA1D80" w:rsidTr="004C754B">
        <w:trPr>
          <w:tblHeader/>
        </w:trPr>
        <w:tc>
          <w:tcPr>
            <w:tcW w:w="1147" w:type="dxa"/>
          </w:tcPr>
          <w:p w:rsidR="00A36575" w:rsidRPr="00EA1D80" w:rsidRDefault="00A36575" w:rsidP="00A36575">
            <w:pPr>
              <w:ind w:left="284"/>
              <w:rPr>
                <w:rFonts w:ascii="Arial Narrow" w:hAnsi="Arial Narrow"/>
                <w:sz w:val="20"/>
                <w:szCs w:val="22"/>
              </w:rPr>
            </w:pPr>
          </w:p>
        </w:tc>
        <w:tc>
          <w:tcPr>
            <w:tcW w:w="1270" w:type="dxa"/>
            <w:vAlign w:val="center"/>
          </w:tcPr>
          <w:p w:rsidR="00A36575" w:rsidRPr="00EA1D80" w:rsidRDefault="00A36575" w:rsidP="00E4629F">
            <w:pPr>
              <w:jc w:val="center"/>
              <w:rPr>
                <w:rFonts w:ascii="Arial Narrow" w:hAnsi="Arial Narrow"/>
                <w:sz w:val="20"/>
                <w:szCs w:val="22"/>
              </w:rPr>
            </w:pPr>
            <w:r w:rsidRPr="00EA1D80">
              <w:rPr>
                <w:rFonts w:ascii="Arial Narrow" w:hAnsi="Arial Narrow"/>
                <w:sz w:val="20"/>
                <w:szCs w:val="22"/>
              </w:rPr>
              <w:t>Year 1</w:t>
            </w:r>
          </w:p>
        </w:tc>
        <w:tc>
          <w:tcPr>
            <w:tcW w:w="1537" w:type="dxa"/>
            <w:vAlign w:val="center"/>
          </w:tcPr>
          <w:p w:rsidR="00A36575" w:rsidRPr="00EA1D80" w:rsidRDefault="00A36575" w:rsidP="00E4629F">
            <w:pPr>
              <w:jc w:val="center"/>
              <w:rPr>
                <w:rFonts w:ascii="Arial Narrow" w:hAnsi="Arial Narrow"/>
                <w:sz w:val="20"/>
                <w:szCs w:val="22"/>
              </w:rPr>
            </w:pPr>
            <w:r w:rsidRPr="00EA1D80">
              <w:rPr>
                <w:rFonts w:ascii="Arial Narrow" w:hAnsi="Arial Narrow"/>
                <w:sz w:val="20"/>
                <w:szCs w:val="22"/>
              </w:rPr>
              <w:t>Year 2</w:t>
            </w:r>
          </w:p>
        </w:tc>
        <w:tc>
          <w:tcPr>
            <w:tcW w:w="1537" w:type="dxa"/>
            <w:vAlign w:val="center"/>
          </w:tcPr>
          <w:p w:rsidR="00A36575" w:rsidRPr="00EA1D80" w:rsidRDefault="00A36575" w:rsidP="00E4629F">
            <w:pPr>
              <w:jc w:val="center"/>
              <w:rPr>
                <w:rFonts w:ascii="Arial Narrow" w:hAnsi="Arial Narrow"/>
                <w:sz w:val="20"/>
                <w:szCs w:val="22"/>
              </w:rPr>
            </w:pPr>
            <w:r w:rsidRPr="00EA1D80">
              <w:rPr>
                <w:rFonts w:ascii="Arial Narrow" w:hAnsi="Arial Narrow"/>
                <w:sz w:val="20"/>
                <w:szCs w:val="22"/>
              </w:rPr>
              <w:t>Year 3</w:t>
            </w:r>
          </w:p>
        </w:tc>
        <w:tc>
          <w:tcPr>
            <w:tcW w:w="1538" w:type="dxa"/>
            <w:vAlign w:val="center"/>
          </w:tcPr>
          <w:p w:rsidR="00A36575" w:rsidRPr="00EA1D80" w:rsidRDefault="00A36575" w:rsidP="00E4629F">
            <w:pPr>
              <w:jc w:val="center"/>
              <w:rPr>
                <w:rFonts w:ascii="Arial Narrow" w:hAnsi="Arial Narrow"/>
                <w:sz w:val="20"/>
                <w:szCs w:val="22"/>
              </w:rPr>
            </w:pPr>
            <w:r w:rsidRPr="00EA1D80">
              <w:rPr>
                <w:rFonts w:ascii="Arial Narrow" w:hAnsi="Arial Narrow"/>
                <w:sz w:val="20"/>
                <w:szCs w:val="22"/>
              </w:rPr>
              <w:t>Year 4</w:t>
            </w:r>
          </w:p>
        </w:tc>
        <w:tc>
          <w:tcPr>
            <w:tcW w:w="1538" w:type="dxa"/>
            <w:vAlign w:val="center"/>
          </w:tcPr>
          <w:p w:rsidR="00A36575" w:rsidRPr="00EA1D80" w:rsidRDefault="00A36575" w:rsidP="00E4629F">
            <w:pPr>
              <w:jc w:val="center"/>
              <w:rPr>
                <w:rFonts w:ascii="Arial Narrow" w:hAnsi="Arial Narrow"/>
                <w:sz w:val="20"/>
                <w:szCs w:val="22"/>
              </w:rPr>
            </w:pPr>
            <w:r w:rsidRPr="00EA1D80">
              <w:rPr>
                <w:rFonts w:ascii="Arial Narrow" w:hAnsi="Arial Narrow"/>
                <w:sz w:val="20"/>
                <w:szCs w:val="22"/>
              </w:rPr>
              <w:t>Year 5</w:t>
            </w:r>
          </w:p>
        </w:tc>
      </w:tr>
      <w:tr w:rsidR="007E20F0" w:rsidRPr="00EA1D80" w:rsidTr="00E4629F">
        <w:tc>
          <w:tcPr>
            <w:tcW w:w="1147" w:type="dxa"/>
          </w:tcPr>
          <w:p w:rsidR="00A36575" w:rsidRPr="00EA1D80" w:rsidRDefault="00A36575">
            <w:pPr>
              <w:rPr>
                <w:rFonts w:ascii="Arial Narrow" w:hAnsi="Arial Narrow"/>
                <w:sz w:val="20"/>
                <w:szCs w:val="22"/>
              </w:rPr>
            </w:pPr>
            <w:r w:rsidRPr="00EA1D80">
              <w:rPr>
                <w:rFonts w:ascii="Arial Narrow" w:hAnsi="Arial Narrow"/>
                <w:sz w:val="20"/>
                <w:szCs w:val="22"/>
              </w:rPr>
              <w:t>Number of patients</w:t>
            </w:r>
            <w:r w:rsidR="00E4629F" w:rsidRPr="00EA1D80">
              <w:rPr>
                <w:rFonts w:ascii="Arial Narrow" w:hAnsi="Arial Narrow"/>
                <w:sz w:val="20"/>
                <w:szCs w:val="22"/>
              </w:rPr>
              <w:t xml:space="preserve"> treated</w:t>
            </w:r>
          </w:p>
        </w:tc>
        <w:tc>
          <w:tcPr>
            <w:tcW w:w="1270" w:type="dxa"/>
            <w:vAlign w:val="center"/>
          </w:tcPr>
          <w:p w:rsidR="00A36575" w:rsidRPr="009E65B7" w:rsidRDefault="009E65B7" w:rsidP="00E4629F">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537" w:type="dxa"/>
            <w:vAlign w:val="center"/>
          </w:tcPr>
          <w:p w:rsidR="00A36575" w:rsidRPr="009E65B7" w:rsidRDefault="009E65B7" w:rsidP="00E4629F">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537" w:type="dxa"/>
            <w:vAlign w:val="center"/>
          </w:tcPr>
          <w:p w:rsidR="00A36575" w:rsidRPr="009E65B7" w:rsidRDefault="009E65B7" w:rsidP="00E4629F">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538" w:type="dxa"/>
            <w:vAlign w:val="center"/>
          </w:tcPr>
          <w:p w:rsidR="00A36575" w:rsidRPr="009E65B7" w:rsidRDefault="009E65B7" w:rsidP="00E4629F">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538" w:type="dxa"/>
            <w:vAlign w:val="center"/>
          </w:tcPr>
          <w:p w:rsidR="00A36575" w:rsidRPr="009E65B7" w:rsidRDefault="009E65B7" w:rsidP="00E4629F">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20F0" w:rsidRPr="00EA1D80" w:rsidTr="00E4629F">
        <w:tc>
          <w:tcPr>
            <w:tcW w:w="1147" w:type="dxa"/>
          </w:tcPr>
          <w:p w:rsidR="00A36575" w:rsidRPr="00EA1D80" w:rsidRDefault="00A36575">
            <w:pPr>
              <w:rPr>
                <w:rFonts w:ascii="Arial Narrow" w:hAnsi="Arial Narrow"/>
                <w:sz w:val="20"/>
                <w:szCs w:val="22"/>
              </w:rPr>
            </w:pPr>
            <w:r w:rsidRPr="00EA1D80">
              <w:rPr>
                <w:rFonts w:ascii="Arial Narrow" w:hAnsi="Arial Narrow"/>
                <w:sz w:val="20"/>
                <w:szCs w:val="22"/>
              </w:rPr>
              <w:t>Number of prescriptions</w:t>
            </w:r>
          </w:p>
        </w:tc>
        <w:tc>
          <w:tcPr>
            <w:tcW w:w="1270" w:type="dxa"/>
            <w:vAlign w:val="center"/>
          </w:tcPr>
          <w:p w:rsidR="00A36575" w:rsidRPr="009E65B7" w:rsidRDefault="009E65B7" w:rsidP="00E4629F">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537" w:type="dxa"/>
            <w:vAlign w:val="center"/>
          </w:tcPr>
          <w:p w:rsidR="00A36575" w:rsidRPr="009E65B7" w:rsidRDefault="009E65B7" w:rsidP="00E4629F">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537" w:type="dxa"/>
            <w:vAlign w:val="center"/>
          </w:tcPr>
          <w:p w:rsidR="00A36575" w:rsidRPr="009E65B7" w:rsidRDefault="009E65B7" w:rsidP="00E4629F">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538" w:type="dxa"/>
            <w:vAlign w:val="center"/>
          </w:tcPr>
          <w:p w:rsidR="00A36575" w:rsidRPr="009E65B7" w:rsidRDefault="009E65B7" w:rsidP="00E4629F">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538" w:type="dxa"/>
            <w:vAlign w:val="center"/>
          </w:tcPr>
          <w:p w:rsidR="00A36575" w:rsidRPr="009E65B7" w:rsidRDefault="009E65B7" w:rsidP="00E4629F">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20F0" w:rsidRPr="00EA1D80" w:rsidTr="00E4629F">
        <w:tc>
          <w:tcPr>
            <w:tcW w:w="1147" w:type="dxa"/>
          </w:tcPr>
          <w:p w:rsidR="00A36575" w:rsidRPr="00EA1D80" w:rsidRDefault="00A36575">
            <w:pPr>
              <w:rPr>
                <w:rFonts w:ascii="Arial Narrow" w:hAnsi="Arial Narrow"/>
                <w:sz w:val="20"/>
                <w:szCs w:val="22"/>
              </w:rPr>
            </w:pPr>
            <w:r w:rsidRPr="00EA1D80">
              <w:rPr>
                <w:rFonts w:ascii="Arial Narrow" w:hAnsi="Arial Narrow"/>
                <w:sz w:val="20"/>
                <w:szCs w:val="22"/>
              </w:rPr>
              <w:t xml:space="preserve">Average patient co-payment </w:t>
            </w:r>
          </w:p>
        </w:tc>
        <w:tc>
          <w:tcPr>
            <w:tcW w:w="1270" w:type="dxa"/>
            <w:vAlign w:val="center"/>
          </w:tcPr>
          <w:p w:rsidR="00A36575" w:rsidRPr="00EA1D80" w:rsidRDefault="00E4629F" w:rsidP="00E4629F">
            <w:pPr>
              <w:jc w:val="center"/>
              <w:rPr>
                <w:rFonts w:ascii="Arial Narrow" w:hAnsi="Arial Narrow"/>
                <w:sz w:val="20"/>
                <w:szCs w:val="22"/>
              </w:rPr>
            </w:pPr>
            <w:r w:rsidRPr="00EA1D80">
              <w:rPr>
                <w:rFonts w:ascii="Arial Narrow" w:hAnsi="Arial Narrow"/>
                <w:sz w:val="20"/>
                <w:szCs w:val="22"/>
              </w:rPr>
              <w:t>$</w:t>
            </w:r>
            <w:r w:rsidR="009E65B7">
              <w:rPr>
                <w:rFonts w:ascii="Arial Narrow" w:hAnsi="Arial Narrow"/>
                <w:noProof/>
                <w:color w:val="000000"/>
                <w:sz w:val="20"/>
                <w:szCs w:val="22"/>
                <w:highlight w:val="black"/>
              </w:rPr>
              <w:t>''''''''''''''''''''''</w:t>
            </w:r>
          </w:p>
        </w:tc>
        <w:tc>
          <w:tcPr>
            <w:tcW w:w="1537" w:type="dxa"/>
            <w:vAlign w:val="center"/>
          </w:tcPr>
          <w:p w:rsidR="00A36575" w:rsidRPr="00EA1D80" w:rsidRDefault="00E4629F" w:rsidP="00E4629F">
            <w:pPr>
              <w:jc w:val="center"/>
              <w:rPr>
                <w:rFonts w:ascii="Arial Narrow" w:hAnsi="Arial Narrow"/>
                <w:sz w:val="20"/>
                <w:szCs w:val="22"/>
              </w:rPr>
            </w:pPr>
            <w:r w:rsidRPr="00EA1D80">
              <w:rPr>
                <w:rFonts w:ascii="Arial Narrow" w:hAnsi="Arial Narrow"/>
                <w:sz w:val="20"/>
                <w:szCs w:val="22"/>
              </w:rPr>
              <w:t>$</w:t>
            </w:r>
            <w:r w:rsidR="009E65B7">
              <w:rPr>
                <w:rFonts w:ascii="Arial Narrow" w:hAnsi="Arial Narrow"/>
                <w:noProof/>
                <w:color w:val="000000"/>
                <w:sz w:val="20"/>
                <w:szCs w:val="22"/>
                <w:highlight w:val="black"/>
              </w:rPr>
              <w:t>''''''''''''''''''''</w:t>
            </w:r>
          </w:p>
        </w:tc>
        <w:tc>
          <w:tcPr>
            <w:tcW w:w="1537" w:type="dxa"/>
            <w:vAlign w:val="center"/>
          </w:tcPr>
          <w:p w:rsidR="00A36575" w:rsidRPr="00EA1D80" w:rsidRDefault="00E4629F" w:rsidP="00E4629F">
            <w:pPr>
              <w:jc w:val="center"/>
              <w:rPr>
                <w:rFonts w:ascii="Arial Narrow" w:hAnsi="Arial Narrow"/>
                <w:sz w:val="20"/>
                <w:szCs w:val="22"/>
              </w:rPr>
            </w:pPr>
            <w:r w:rsidRPr="00EA1D80">
              <w:rPr>
                <w:rFonts w:ascii="Arial Narrow" w:hAnsi="Arial Narrow"/>
                <w:sz w:val="20"/>
                <w:szCs w:val="22"/>
              </w:rPr>
              <w:t>$</w:t>
            </w:r>
            <w:r w:rsidR="009E65B7">
              <w:rPr>
                <w:rFonts w:ascii="Arial Narrow" w:hAnsi="Arial Narrow"/>
                <w:noProof/>
                <w:color w:val="000000"/>
                <w:sz w:val="20"/>
                <w:szCs w:val="22"/>
                <w:highlight w:val="black"/>
              </w:rPr>
              <w:t>'''''''''''''''''''''</w:t>
            </w:r>
          </w:p>
        </w:tc>
        <w:tc>
          <w:tcPr>
            <w:tcW w:w="1538" w:type="dxa"/>
            <w:vAlign w:val="center"/>
          </w:tcPr>
          <w:p w:rsidR="00A36575" w:rsidRPr="00EA1D80" w:rsidRDefault="00E4629F" w:rsidP="00E4629F">
            <w:pPr>
              <w:jc w:val="center"/>
              <w:rPr>
                <w:rFonts w:ascii="Arial Narrow" w:hAnsi="Arial Narrow"/>
                <w:sz w:val="20"/>
                <w:szCs w:val="22"/>
              </w:rPr>
            </w:pPr>
            <w:r w:rsidRPr="00EA1D80">
              <w:rPr>
                <w:rFonts w:ascii="Arial Narrow" w:hAnsi="Arial Narrow"/>
                <w:sz w:val="20"/>
                <w:szCs w:val="22"/>
              </w:rPr>
              <w:t>$</w:t>
            </w:r>
            <w:r w:rsidR="009E65B7">
              <w:rPr>
                <w:rFonts w:ascii="Arial Narrow" w:hAnsi="Arial Narrow"/>
                <w:noProof/>
                <w:color w:val="000000"/>
                <w:sz w:val="20"/>
                <w:szCs w:val="22"/>
                <w:highlight w:val="black"/>
              </w:rPr>
              <w:t>'''''''''''''''''''</w:t>
            </w:r>
          </w:p>
        </w:tc>
        <w:tc>
          <w:tcPr>
            <w:tcW w:w="1538" w:type="dxa"/>
            <w:vAlign w:val="center"/>
          </w:tcPr>
          <w:p w:rsidR="00A36575" w:rsidRPr="00EA1D80" w:rsidRDefault="00E4629F" w:rsidP="00E4629F">
            <w:pPr>
              <w:jc w:val="center"/>
              <w:rPr>
                <w:rFonts w:ascii="Arial Narrow" w:hAnsi="Arial Narrow"/>
                <w:sz w:val="20"/>
                <w:szCs w:val="22"/>
              </w:rPr>
            </w:pPr>
            <w:r w:rsidRPr="00EA1D80">
              <w:rPr>
                <w:rFonts w:ascii="Arial Narrow" w:hAnsi="Arial Narrow"/>
                <w:sz w:val="20"/>
                <w:szCs w:val="22"/>
              </w:rPr>
              <w:t>$</w:t>
            </w:r>
            <w:r w:rsidR="009E65B7">
              <w:rPr>
                <w:rFonts w:ascii="Arial Narrow" w:hAnsi="Arial Narrow"/>
                <w:noProof/>
                <w:color w:val="000000"/>
                <w:sz w:val="20"/>
                <w:szCs w:val="22"/>
                <w:highlight w:val="black"/>
              </w:rPr>
              <w:t>''''''''''''''''''''</w:t>
            </w:r>
          </w:p>
        </w:tc>
      </w:tr>
      <w:tr w:rsidR="007E20F0" w:rsidRPr="00EA1D80" w:rsidTr="00E4629F">
        <w:tc>
          <w:tcPr>
            <w:tcW w:w="1147" w:type="dxa"/>
          </w:tcPr>
          <w:p w:rsidR="00E4629F" w:rsidRPr="00EA1D80" w:rsidRDefault="00E4629F">
            <w:pPr>
              <w:rPr>
                <w:rFonts w:ascii="Arial Narrow" w:hAnsi="Arial Narrow"/>
                <w:sz w:val="20"/>
                <w:szCs w:val="22"/>
              </w:rPr>
            </w:pPr>
            <w:r w:rsidRPr="00EA1D80">
              <w:rPr>
                <w:rFonts w:ascii="Arial Narrow" w:hAnsi="Arial Narrow"/>
                <w:sz w:val="20"/>
                <w:szCs w:val="22"/>
              </w:rPr>
              <w:t xml:space="preserve">Net cost to the PBS </w:t>
            </w:r>
          </w:p>
        </w:tc>
        <w:tc>
          <w:tcPr>
            <w:tcW w:w="1270" w:type="dxa"/>
            <w:vAlign w:val="center"/>
          </w:tcPr>
          <w:p w:rsidR="00E4629F" w:rsidRPr="00EA1D80" w:rsidRDefault="00E4629F" w:rsidP="00E4629F">
            <w:pPr>
              <w:jc w:val="center"/>
              <w:rPr>
                <w:rFonts w:ascii="Arial Narrow" w:hAnsi="Arial Narrow"/>
                <w:sz w:val="20"/>
                <w:szCs w:val="22"/>
              </w:rPr>
            </w:pPr>
            <w:r w:rsidRPr="00EA1D80">
              <w:rPr>
                <w:rFonts w:ascii="Arial Narrow" w:hAnsi="Arial Narrow"/>
                <w:sz w:val="20"/>
                <w:szCs w:val="22"/>
              </w:rPr>
              <w:t>$</w:t>
            </w:r>
            <w:r w:rsidR="009E65B7">
              <w:rPr>
                <w:rFonts w:ascii="Arial Narrow" w:hAnsi="Arial Narrow"/>
                <w:noProof/>
                <w:color w:val="000000"/>
                <w:sz w:val="20"/>
                <w:szCs w:val="22"/>
                <w:highlight w:val="black"/>
              </w:rPr>
              <w:t>'''''''''''''''''''''''''</w:t>
            </w:r>
          </w:p>
        </w:tc>
        <w:tc>
          <w:tcPr>
            <w:tcW w:w="1537" w:type="dxa"/>
            <w:vAlign w:val="center"/>
          </w:tcPr>
          <w:p w:rsidR="00E4629F" w:rsidRPr="00EA1D80" w:rsidRDefault="00E4629F" w:rsidP="00E4629F">
            <w:pPr>
              <w:pStyle w:val="Default"/>
              <w:jc w:val="center"/>
              <w:rPr>
                <w:color w:val="auto"/>
                <w:sz w:val="20"/>
                <w:szCs w:val="20"/>
              </w:rPr>
            </w:pPr>
            <w:r w:rsidRPr="00EA1D80">
              <w:rPr>
                <w:color w:val="auto"/>
                <w:sz w:val="20"/>
                <w:szCs w:val="20"/>
              </w:rPr>
              <w:t>$</w:t>
            </w:r>
            <w:r w:rsidR="009E65B7">
              <w:rPr>
                <w:noProof/>
                <w:sz w:val="20"/>
                <w:szCs w:val="20"/>
                <w:highlight w:val="black"/>
              </w:rPr>
              <w:t>'''''''''''''''''</w:t>
            </w:r>
          </w:p>
        </w:tc>
        <w:tc>
          <w:tcPr>
            <w:tcW w:w="1537" w:type="dxa"/>
            <w:vAlign w:val="center"/>
          </w:tcPr>
          <w:p w:rsidR="00E4629F" w:rsidRPr="00EA1D80" w:rsidRDefault="00E4629F" w:rsidP="00E4629F">
            <w:pPr>
              <w:pStyle w:val="Default"/>
              <w:jc w:val="center"/>
              <w:rPr>
                <w:color w:val="auto"/>
                <w:sz w:val="20"/>
                <w:szCs w:val="20"/>
              </w:rPr>
            </w:pPr>
            <w:r w:rsidRPr="00EA1D80">
              <w:rPr>
                <w:color w:val="auto"/>
                <w:sz w:val="20"/>
                <w:szCs w:val="20"/>
              </w:rPr>
              <w:t>$</w:t>
            </w:r>
            <w:r w:rsidR="009E65B7">
              <w:rPr>
                <w:noProof/>
                <w:sz w:val="20"/>
                <w:szCs w:val="20"/>
                <w:highlight w:val="black"/>
              </w:rPr>
              <w:t>'''''''''''''''''''</w:t>
            </w:r>
          </w:p>
        </w:tc>
        <w:tc>
          <w:tcPr>
            <w:tcW w:w="1538" w:type="dxa"/>
            <w:vAlign w:val="center"/>
          </w:tcPr>
          <w:p w:rsidR="00E4629F" w:rsidRPr="00EA1D80" w:rsidRDefault="00E4629F" w:rsidP="00E4629F">
            <w:pPr>
              <w:pStyle w:val="Default"/>
              <w:jc w:val="center"/>
              <w:rPr>
                <w:color w:val="auto"/>
                <w:sz w:val="20"/>
                <w:szCs w:val="20"/>
              </w:rPr>
            </w:pPr>
            <w:r w:rsidRPr="00EA1D80">
              <w:rPr>
                <w:color w:val="auto"/>
                <w:sz w:val="20"/>
                <w:szCs w:val="20"/>
              </w:rPr>
              <w:t>$</w:t>
            </w:r>
            <w:r w:rsidR="009E65B7">
              <w:rPr>
                <w:noProof/>
                <w:sz w:val="20"/>
                <w:szCs w:val="20"/>
                <w:highlight w:val="black"/>
              </w:rPr>
              <w:t>''''''''''''''''''''</w:t>
            </w:r>
          </w:p>
        </w:tc>
        <w:tc>
          <w:tcPr>
            <w:tcW w:w="1538" w:type="dxa"/>
            <w:vAlign w:val="center"/>
          </w:tcPr>
          <w:p w:rsidR="00E4629F" w:rsidRPr="00EA1D80" w:rsidRDefault="00E4629F" w:rsidP="00E4629F">
            <w:pPr>
              <w:pStyle w:val="Default"/>
              <w:jc w:val="center"/>
              <w:rPr>
                <w:color w:val="auto"/>
                <w:sz w:val="20"/>
                <w:szCs w:val="20"/>
              </w:rPr>
            </w:pPr>
            <w:r w:rsidRPr="00EA1D80">
              <w:rPr>
                <w:color w:val="auto"/>
                <w:sz w:val="20"/>
                <w:szCs w:val="20"/>
              </w:rPr>
              <w:t>$</w:t>
            </w:r>
            <w:r w:rsidR="009E65B7">
              <w:rPr>
                <w:noProof/>
                <w:sz w:val="20"/>
                <w:szCs w:val="20"/>
                <w:highlight w:val="black"/>
              </w:rPr>
              <w:t>'''''''''''''''''''</w:t>
            </w:r>
          </w:p>
        </w:tc>
      </w:tr>
    </w:tbl>
    <w:p w:rsidR="00542D60" w:rsidRPr="00EA1D80" w:rsidRDefault="00E4629F" w:rsidP="00542D60">
      <w:pPr>
        <w:rPr>
          <w:rFonts w:asciiTheme="minorHAnsi" w:hAnsiTheme="minorHAnsi"/>
          <w:sz w:val="22"/>
          <w:szCs w:val="22"/>
        </w:rPr>
      </w:pPr>
      <w:r w:rsidRPr="00EA1D80">
        <w:rPr>
          <w:rFonts w:asciiTheme="minorHAnsi" w:hAnsiTheme="minorHAnsi"/>
          <w:sz w:val="22"/>
          <w:szCs w:val="22"/>
        </w:rPr>
        <w:tab/>
      </w:r>
      <w:r w:rsidRPr="00EA1D80">
        <w:rPr>
          <w:rFonts w:ascii="Arial Narrow" w:hAnsi="Arial Narrow"/>
          <w:sz w:val="18"/>
          <w:szCs w:val="22"/>
        </w:rPr>
        <w:t xml:space="preserve">Source: Tables 14, 15 and 16 of the minor submission </w:t>
      </w:r>
    </w:p>
    <w:p w:rsidR="00542D60" w:rsidRPr="00EA1D80" w:rsidRDefault="00542D60" w:rsidP="00542D60">
      <w:pPr>
        <w:rPr>
          <w:rFonts w:asciiTheme="minorHAnsi" w:hAnsiTheme="minorHAnsi"/>
          <w:sz w:val="22"/>
          <w:szCs w:val="22"/>
        </w:rPr>
      </w:pPr>
    </w:p>
    <w:p w:rsidR="00AC0F8F" w:rsidRPr="00EA1D80" w:rsidRDefault="0013005B" w:rsidP="00542D60">
      <w:pPr>
        <w:rPr>
          <w:rFonts w:asciiTheme="minorHAnsi" w:hAnsiTheme="minorHAnsi"/>
          <w:i/>
        </w:rPr>
      </w:pPr>
      <w:r w:rsidRPr="00EA1D80">
        <w:rPr>
          <w:rFonts w:asciiTheme="minorHAnsi" w:hAnsiTheme="minorHAnsi"/>
          <w:i/>
        </w:rPr>
        <w:t>For more detail on PBAC’s view, see section 7 “PBAC outcome.”</w:t>
      </w:r>
    </w:p>
    <w:p w:rsidR="0013005B" w:rsidRPr="00EA1D80" w:rsidRDefault="0013005B" w:rsidP="00542D60">
      <w:pPr>
        <w:rPr>
          <w:rFonts w:asciiTheme="minorHAnsi" w:hAnsiTheme="minorHAnsi"/>
          <w:sz w:val="22"/>
          <w:szCs w:val="22"/>
        </w:rPr>
      </w:pPr>
    </w:p>
    <w:p w:rsidR="00B1617F" w:rsidRPr="00D57B2C" w:rsidRDefault="00B1617F" w:rsidP="00F64CC1">
      <w:pPr>
        <w:pStyle w:val="PBACHeading1"/>
        <w:jc w:val="both"/>
        <w:rPr>
          <w:rFonts w:asciiTheme="minorHAnsi" w:hAnsiTheme="minorHAnsi"/>
          <w:sz w:val="32"/>
          <w:szCs w:val="32"/>
        </w:rPr>
      </w:pPr>
      <w:r w:rsidRPr="00D57B2C">
        <w:rPr>
          <w:rFonts w:asciiTheme="minorHAnsi" w:hAnsiTheme="minorHAnsi"/>
          <w:sz w:val="32"/>
          <w:szCs w:val="32"/>
        </w:rPr>
        <w:t xml:space="preserve">PBAC Outcome </w:t>
      </w:r>
    </w:p>
    <w:p w:rsidR="00B1617F" w:rsidRPr="00EA1D80" w:rsidRDefault="00B1617F" w:rsidP="00B1617F">
      <w:pPr>
        <w:rPr>
          <w:sz w:val="22"/>
          <w:szCs w:val="22"/>
          <w:lang w:eastAsia="en-US"/>
        </w:rPr>
      </w:pPr>
    </w:p>
    <w:p w:rsidR="00DA5F05" w:rsidRPr="00D57B2C" w:rsidRDefault="0032787A" w:rsidP="00B1617F">
      <w:pPr>
        <w:widowControl w:val="0"/>
        <w:numPr>
          <w:ilvl w:val="1"/>
          <w:numId w:val="5"/>
        </w:numPr>
        <w:spacing w:after="120"/>
        <w:jc w:val="both"/>
        <w:rPr>
          <w:rFonts w:asciiTheme="minorHAnsi" w:hAnsiTheme="minorHAnsi" w:cs="Arial"/>
          <w:bCs/>
          <w:snapToGrid w:val="0"/>
          <w:lang w:eastAsia="en-US"/>
        </w:rPr>
      </w:pPr>
      <w:r w:rsidRPr="00D57B2C">
        <w:rPr>
          <w:rFonts w:asciiTheme="minorHAnsi" w:hAnsiTheme="minorHAnsi" w:cs="Arial"/>
          <w:bCs/>
          <w:snapToGrid w:val="0"/>
          <w:lang w:eastAsia="en-US"/>
        </w:rPr>
        <w:t xml:space="preserve">The PBAC rejected the request for a higher price and reaffirmed its recommendation from the </w:t>
      </w:r>
      <w:r w:rsidR="008F0555" w:rsidRPr="00D57B2C">
        <w:rPr>
          <w:rFonts w:asciiTheme="minorHAnsi" w:hAnsiTheme="minorHAnsi" w:cs="Arial"/>
          <w:bCs/>
          <w:snapToGrid w:val="0"/>
          <w:lang w:eastAsia="en-US"/>
        </w:rPr>
        <w:t>March</w:t>
      </w:r>
      <w:r w:rsidRPr="00D57B2C">
        <w:rPr>
          <w:rFonts w:asciiTheme="minorHAnsi" w:hAnsiTheme="minorHAnsi" w:cs="Arial"/>
          <w:bCs/>
          <w:snapToGrid w:val="0"/>
          <w:lang w:eastAsia="en-US"/>
        </w:rPr>
        <w:t xml:space="preserve"> 2015 meeting. </w:t>
      </w:r>
    </w:p>
    <w:p w:rsidR="0095255F" w:rsidRPr="00D57B2C" w:rsidRDefault="008C1B35" w:rsidP="0075295C">
      <w:pPr>
        <w:widowControl w:val="0"/>
        <w:numPr>
          <w:ilvl w:val="1"/>
          <w:numId w:val="5"/>
        </w:numPr>
        <w:spacing w:after="120"/>
        <w:jc w:val="both"/>
        <w:rPr>
          <w:rFonts w:asciiTheme="minorHAnsi" w:hAnsiTheme="minorHAnsi" w:cs="Arial"/>
          <w:bCs/>
          <w:snapToGrid w:val="0"/>
          <w:lang w:eastAsia="en-US"/>
        </w:rPr>
      </w:pPr>
      <w:r w:rsidRPr="00D57B2C">
        <w:rPr>
          <w:rFonts w:asciiTheme="minorHAnsi" w:hAnsiTheme="minorHAnsi" w:cs="Arial"/>
          <w:bCs/>
          <w:snapToGrid w:val="0"/>
          <w:lang w:eastAsia="en-US"/>
        </w:rPr>
        <w:t xml:space="preserve">The PBAC </w:t>
      </w:r>
      <w:r w:rsidR="00EB36F0" w:rsidRPr="00D57B2C">
        <w:rPr>
          <w:rFonts w:asciiTheme="minorHAnsi" w:hAnsiTheme="minorHAnsi" w:cs="Arial"/>
          <w:bCs/>
          <w:snapToGrid w:val="0"/>
          <w:lang w:eastAsia="en-US"/>
        </w:rPr>
        <w:t xml:space="preserve">considered </w:t>
      </w:r>
      <w:r w:rsidRPr="00D57B2C">
        <w:rPr>
          <w:rFonts w:asciiTheme="minorHAnsi" w:hAnsiTheme="minorHAnsi" w:cs="Arial"/>
          <w:bCs/>
          <w:snapToGrid w:val="0"/>
          <w:lang w:eastAsia="en-US"/>
        </w:rPr>
        <w:t xml:space="preserve">that the </w:t>
      </w:r>
      <w:r w:rsidR="00535C6F" w:rsidRPr="00D57B2C">
        <w:rPr>
          <w:rFonts w:asciiTheme="minorHAnsi" w:hAnsiTheme="minorHAnsi" w:cs="Arial"/>
          <w:bCs/>
          <w:snapToGrid w:val="0"/>
          <w:lang w:eastAsia="en-US"/>
        </w:rPr>
        <w:t xml:space="preserve">resubmission’s </w:t>
      </w:r>
      <w:r w:rsidRPr="00D57B2C">
        <w:rPr>
          <w:rFonts w:asciiTheme="minorHAnsi" w:hAnsiTheme="minorHAnsi" w:cs="Arial"/>
          <w:bCs/>
          <w:snapToGrid w:val="0"/>
          <w:lang w:eastAsia="en-US"/>
        </w:rPr>
        <w:t>cost consequence method used to derive the proposed price was unsubstantiated</w:t>
      </w:r>
      <w:r w:rsidR="0075295C" w:rsidRPr="00D57B2C">
        <w:t xml:space="preserve"> </w:t>
      </w:r>
      <w:r w:rsidR="0075295C" w:rsidRPr="00D57B2C">
        <w:rPr>
          <w:rFonts w:asciiTheme="minorHAnsi" w:hAnsiTheme="minorHAnsi" w:cs="Arial"/>
          <w:bCs/>
          <w:snapToGrid w:val="0"/>
          <w:lang w:eastAsia="en-US"/>
        </w:rPr>
        <w:t xml:space="preserve">and resulted in </w:t>
      </w:r>
      <w:r w:rsidR="00C82FB2" w:rsidRPr="00D57B2C">
        <w:rPr>
          <w:rFonts w:asciiTheme="minorHAnsi" w:hAnsiTheme="minorHAnsi" w:cs="Arial"/>
          <w:bCs/>
          <w:snapToGrid w:val="0"/>
          <w:lang w:eastAsia="en-US"/>
        </w:rPr>
        <w:t>a price that was unacceptably high</w:t>
      </w:r>
      <w:r w:rsidRPr="00D57B2C">
        <w:rPr>
          <w:rFonts w:asciiTheme="minorHAnsi" w:hAnsiTheme="minorHAnsi" w:cs="Arial"/>
          <w:bCs/>
          <w:snapToGrid w:val="0"/>
          <w:lang w:eastAsia="en-US"/>
        </w:rPr>
        <w:t xml:space="preserve">. The PBAC considered that while the resubmission’s proposed DPMQ is </w:t>
      </w:r>
      <w:r w:rsidR="009E65B7">
        <w:rPr>
          <w:rFonts w:asciiTheme="minorHAnsi" w:hAnsiTheme="minorHAnsi" w:cs="Arial"/>
          <w:bCs/>
          <w:noProof/>
          <w:snapToGrid w:val="0"/>
          <w:color w:val="000000"/>
          <w:highlight w:val="black"/>
          <w:lang w:eastAsia="en-US"/>
        </w:rPr>
        <w:t>'''''</w:t>
      </w:r>
      <w:r w:rsidRPr="00D57B2C">
        <w:rPr>
          <w:rFonts w:asciiTheme="minorHAnsi" w:hAnsiTheme="minorHAnsi" w:cs="Arial"/>
          <w:bCs/>
          <w:snapToGrid w:val="0"/>
          <w:lang w:eastAsia="en-US"/>
        </w:rPr>
        <w:t>% lower than the DPMQ proposed in the November 2015 submission, the</w:t>
      </w:r>
      <w:r w:rsidR="00530052" w:rsidRPr="00D57B2C">
        <w:rPr>
          <w:rFonts w:asciiTheme="minorHAnsi" w:hAnsiTheme="minorHAnsi" w:cs="Arial"/>
          <w:bCs/>
          <w:snapToGrid w:val="0"/>
          <w:lang w:eastAsia="en-US"/>
        </w:rPr>
        <w:t xml:space="preserve"> magnitude of the price advantage of</w:t>
      </w:r>
      <w:r w:rsidRPr="00D57B2C">
        <w:rPr>
          <w:rFonts w:asciiTheme="minorHAnsi" w:hAnsiTheme="minorHAnsi" w:cs="Arial"/>
          <w:bCs/>
          <w:snapToGrid w:val="0"/>
          <w:lang w:eastAsia="en-US"/>
        </w:rPr>
        <w:t xml:space="preserve"> resubmission’s proposed DPMQ </w:t>
      </w:r>
      <w:r w:rsidR="00530052" w:rsidRPr="00D57B2C">
        <w:rPr>
          <w:rFonts w:asciiTheme="minorHAnsi" w:hAnsiTheme="minorHAnsi" w:cs="Arial"/>
          <w:bCs/>
          <w:snapToGrid w:val="0"/>
          <w:lang w:eastAsia="en-US"/>
        </w:rPr>
        <w:t>over the price of compounded propranolol liquid remained significant and was not adequately justified</w:t>
      </w:r>
      <w:r w:rsidR="00C82FB2" w:rsidRPr="00D57B2C">
        <w:rPr>
          <w:rFonts w:asciiTheme="minorHAnsi" w:hAnsiTheme="minorHAnsi" w:cs="Arial"/>
          <w:bCs/>
          <w:snapToGrid w:val="0"/>
          <w:lang w:eastAsia="en-US"/>
        </w:rPr>
        <w:t xml:space="preserve"> in the </w:t>
      </w:r>
      <w:r w:rsidR="00535C6F" w:rsidRPr="00D57B2C">
        <w:rPr>
          <w:rFonts w:asciiTheme="minorHAnsi" w:hAnsiTheme="minorHAnsi" w:cs="Arial"/>
          <w:bCs/>
          <w:snapToGrid w:val="0"/>
          <w:lang w:eastAsia="en-US"/>
        </w:rPr>
        <w:t>re</w:t>
      </w:r>
      <w:r w:rsidR="00C82FB2" w:rsidRPr="00D57B2C">
        <w:rPr>
          <w:rFonts w:asciiTheme="minorHAnsi" w:hAnsiTheme="minorHAnsi" w:cs="Arial"/>
          <w:bCs/>
          <w:snapToGrid w:val="0"/>
          <w:lang w:eastAsia="en-US"/>
        </w:rPr>
        <w:t>submission</w:t>
      </w:r>
      <w:r w:rsidR="00530052" w:rsidRPr="00D57B2C">
        <w:rPr>
          <w:rFonts w:asciiTheme="minorHAnsi" w:hAnsiTheme="minorHAnsi" w:cs="Arial"/>
          <w:bCs/>
          <w:snapToGrid w:val="0"/>
          <w:lang w:eastAsia="en-US"/>
        </w:rPr>
        <w:t>.</w:t>
      </w:r>
    </w:p>
    <w:p w:rsidR="008C1B35" w:rsidRPr="00D57B2C" w:rsidRDefault="001D5D6B" w:rsidP="0075295C">
      <w:pPr>
        <w:widowControl w:val="0"/>
        <w:numPr>
          <w:ilvl w:val="1"/>
          <w:numId w:val="5"/>
        </w:numPr>
        <w:spacing w:after="120"/>
        <w:jc w:val="both"/>
        <w:rPr>
          <w:rFonts w:asciiTheme="minorHAnsi" w:hAnsiTheme="minorHAnsi" w:cs="Arial"/>
          <w:bCs/>
          <w:snapToGrid w:val="0"/>
          <w:lang w:eastAsia="en-US"/>
        </w:rPr>
      </w:pPr>
      <w:r w:rsidRPr="00D57B2C">
        <w:rPr>
          <w:rFonts w:asciiTheme="minorHAnsi" w:hAnsiTheme="minorHAnsi" w:cs="Arial"/>
          <w:bCs/>
          <w:snapToGrid w:val="0"/>
          <w:lang w:eastAsia="en-US"/>
        </w:rPr>
        <w:t xml:space="preserve">The PBAC noted that the proposed price included a </w:t>
      </w:r>
      <w:r w:rsidR="00FA3CBC" w:rsidRPr="00D57B2C">
        <w:rPr>
          <w:rFonts w:asciiTheme="minorHAnsi" w:hAnsiTheme="minorHAnsi" w:cs="Arial"/>
          <w:bCs/>
          <w:snapToGrid w:val="0"/>
          <w:lang w:eastAsia="en-US"/>
        </w:rPr>
        <w:t xml:space="preserve">significant </w:t>
      </w:r>
      <w:r w:rsidRPr="00D57B2C">
        <w:rPr>
          <w:rFonts w:asciiTheme="minorHAnsi" w:hAnsiTheme="minorHAnsi" w:cs="Arial"/>
          <w:bCs/>
          <w:snapToGrid w:val="0"/>
          <w:lang w:eastAsia="en-US"/>
        </w:rPr>
        <w:t>cost of $</w:t>
      </w:r>
      <w:r w:rsidR="009E65B7">
        <w:rPr>
          <w:rFonts w:asciiTheme="minorHAnsi" w:hAnsiTheme="minorHAnsi" w:cs="Arial"/>
          <w:bCs/>
          <w:noProof/>
          <w:snapToGrid w:val="0"/>
          <w:color w:val="000000"/>
          <w:highlight w:val="black"/>
          <w:lang w:eastAsia="en-US"/>
        </w:rPr>
        <w:t>''''''''''</w:t>
      </w:r>
      <w:r w:rsidRPr="00D57B2C">
        <w:rPr>
          <w:rFonts w:asciiTheme="minorHAnsi" w:hAnsiTheme="minorHAnsi" w:cs="Arial"/>
          <w:bCs/>
          <w:snapToGrid w:val="0"/>
          <w:lang w:eastAsia="en-US"/>
        </w:rPr>
        <w:t xml:space="preserve"> per </w:t>
      </w:r>
      <w:r w:rsidR="00F233D5" w:rsidRPr="00D57B2C">
        <w:rPr>
          <w:rFonts w:asciiTheme="minorHAnsi" w:hAnsiTheme="minorHAnsi" w:cs="Arial"/>
          <w:bCs/>
          <w:snapToGrid w:val="0"/>
          <w:lang w:eastAsia="en-US"/>
        </w:rPr>
        <w:t>script that</w:t>
      </w:r>
      <w:r w:rsidRPr="00D57B2C">
        <w:rPr>
          <w:rFonts w:asciiTheme="minorHAnsi" w:hAnsiTheme="minorHAnsi" w:cs="Arial"/>
          <w:bCs/>
          <w:snapToGrid w:val="0"/>
          <w:lang w:eastAsia="en-US"/>
        </w:rPr>
        <w:t xml:space="preserve"> the resubmission attributed to </w:t>
      </w:r>
      <w:r w:rsidR="008F0555" w:rsidRPr="00D57B2C">
        <w:rPr>
          <w:rFonts w:asciiTheme="minorHAnsi" w:hAnsiTheme="minorHAnsi" w:cs="Arial"/>
          <w:bCs/>
          <w:snapToGrid w:val="0"/>
          <w:lang w:eastAsia="en-US"/>
        </w:rPr>
        <w:t xml:space="preserve">quality assurance, </w:t>
      </w:r>
      <w:r w:rsidRPr="00D57B2C">
        <w:rPr>
          <w:rFonts w:asciiTheme="minorHAnsi" w:hAnsiTheme="minorHAnsi" w:cs="Arial"/>
          <w:bCs/>
          <w:snapToGrid w:val="0"/>
          <w:lang w:eastAsia="en-US"/>
        </w:rPr>
        <w:t>pharmacovigilance and risk minimisation measures.</w:t>
      </w:r>
      <w:r w:rsidR="008F0555" w:rsidRPr="00D57B2C">
        <w:rPr>
          <w:rFonts w:asciiTheme="minorHAnsi" w:hAnsiTheme="minorHAnsi" w:cs="Arial"/>
          <w:bCs/>
          <w:snapToGrid w:val="0"/>
          <w:lang w:eastAsia="en-US"/>
        </w:rPr>
        <w:t xml:space="preserve"> </w:t>
      </w:r>
      <w:r w:rsidRPr="00D57B2C">
        <w:rPr>
          <w:rFonts w:asciiTheme="minorHAnsi" w:hAnsiTheme="minorHAnsi" w:cs="Arial"/>
          <w:bCs/>
          <w:snapToGrid w:val="0"/>
          <w:lang w:eastAsia="en-US"/>
        </w:rPr>
        <w:t xml:space="preserve"> </w:t>
      </w:r>
      <w:r w:rsidR="000A2C91" w:rsidRPr="00D57B2C">
        <w:rPr>
          <w:rFonts w:asciiTheme="minorHAnsi" w:hAnsiTheme="minorHAnsi" w:cs="Arial"/>
          <w:bCs/>
          <w:snapToGrid w:val="0"/>
          <w:lang w:eastAsia="en-US"/>
        </w:rPr>
        <w:t>The PBAC</w:t>
      </w:r>
      <w:r w:rsidR="00090876" w:rsidRPr="00D57B2C">
        <w:rPr>
          <w:rFonts w:asciiTheme="minorHAnsi" w:hAnsiTheme="minorHAnsi" w:cs="Arial"/>
          <w:bCs/>
          <w:snapToGrid w:val="0"/>
          <w:lang w:eastAsia="en-US"/>
        </w:rPr>
        <w:t xml:space="preserve"> considered this</w:t>
      </w:r>
      <w:r w:rsidR="0010395C" w:rsidRPr="00D57B2C">
        <w:rPr>
          <w:rFonts w:asciiTheme="minorHAnsi" w:hAnsiTheme="minorHAnsi" w:cs="Arial"/>
          <w:bCs/>
          <w:snapToGrid w:val="0"/>
          <w:lang w:eastAsia="en-US"/>
        </w:rPr>
        <w:t xml:space="preserve"> </w:t>
      </w:r>
      <w:r w:rsidR="00090876" w:rsidRPr="00D57B2C">
        <w:rPr>
          <w:rFonts w:asciiTheme="minorHAnsi" w:hAnsiTheme="minorHAnsi" w:cs="Arial"/>
          <w:bCs/>
          <w:snapToGrid w:val="0"/>
          <w:lang w:eastAsia="en-US"/>
        </w:rPr>
        <w:t xml:space="preserve">to be inappropriate. </w:t>
      </w:r>
    </w:p>
    <w:p w:rsidR="00C928CE" w:rsidRPr="00D57B2C" w:rsidRDefault="00364DBD" w:rsidP="00C928CE">
      <w:pPr>
        <w:pStyle w:val="ListParagraph"/>
        <w:numPr>
          <w:ilvl w:val="1"/>
          <w:numId w:val="5"/>
        </w:numPr>
        <w:rPr>
          <w:rFonts w:asciiTheme="minorHAnsi" w:hAnsiTheme="minorHAnsi"/>
          <w:bCs/>
          <w:sz w:val="24"/>
          <w:szCs w:val="24"/>
        </w:rPr>
      </w:pPr>
      <w:r w:rsidRPr="00D57B2C">
        <w:rPr>
          <w:rFonts w:asciiTheme="minorHAnsi" w:hAnsiTheme="minorHAnsi"/>
          <w:bCs/>
          <w:sz w:val="24"/>
          <w:szCs w:val="24"/>
        </w:rPr>
        <w:t xml:space="preserve">The PBAC </w:t>
      </w:r>
      <w:r w:rsidR="00751189" w:rsidRPr="00D57B2C">
        <w:rPr>
          <w:rFonts w:asciiTheme="minorHAnsi" w:hAnsiTheme="minorHAnsi"/>
          <w:bCs/>
          <w:sz w:val="24"/>
          <w:szCs w:val="24"/>
        </w:rPr>
        <w:t>noted</w:t>
      </w:r>
      <w:r w:rsidRPr="00D57B2C">
        <w:rPr>
          <w:rFonts w:asciiTheme="minorHAnsi" w:hAnsiTheme="minorHAnsi"/>
          <w:bCs/>
          <w:sz w:val="24"/>
          <w:szCs w:val="24"/>
        </w:rPr>
        <w:t xml:space="preserve"> that although Hemangiol® is a</w:t>
      </w:r>
      <w:r w:rsidR="00751189" w:rsidRPr="00D57B2C">
        <w:rPr>
          <w:rFonts w:asciiTheme="minorHAnsi" w:hAnsiTheme="minorHAnsi"/>
          <w:bCs/>
          <w:sz w:val="24"/>
          <w:szCs w:val="24"/>
        </w:rPr>
        <w:t xml:space="preserve"> commercially available product, </w:t>
      </w:r>
      <w:r w:rsidRPr="00D57B2C">
        <w:rPr>
          <w:rFonts w:asciiTheme="minorHAnsi" w:hAnsiTheme="minorHAnsi"/>
          <w:bCs/>
          <w:sz w:val="24"/>
          <w:szCs w:val="24"/>
        </w:rPr>
        <w:t xml:space="preserve">which </w:t>
      </w:r>
      <w:r w:rsidR="00335C64" w:rsidRPr="00D57B2C">
        <w:rPr>
          <w:rFonts w:asciiTheme="minorHAnsi" w:hAnsiTheme="minorHAnsi"/>
          <w:bCs/>
          <w:sz w:val="24"/>
          <w:szCs w:val="24"/>
        </w:rPr>
        <w:t>would</w:t>
      </w:r>
      <w:r w:rsidRPr="00D57B2C">
        <w:rPr>
          <w:rFonts w:asciiTheme="minorHAnsi" w:hAnsiTheme="minorHAnsi"/>
          <w:bCs/>
          <w:sz w:val="24"/>
          <w:szCs w:val="24"/>
        </w:rPr>
        <w:t xml:space="preserve"> likely to have</w:t>
      </w:r>
      <w:r w:rsidR="00C82FB2" w:rsidRPr="00D57B2C">
        <w:rPr>
          <w:rFonts w:asciiTheme="minorHAnsi" w:hAnsiTheme="minorHAnsi"/>
          <w:bCs/>
          <w:sz w:val="24"/>
          <w:szCs w:val="24"/>
        </w:rPr>
        <w:t xml:space="preserve"> some</w:t>
      </w:r>
      <w:r w:rsidRPr="00D57B2C">
        <w:rPr>
          <w:rFonts w:asciiTheme="minorHAnsi" w:hAnsiTheme="minorHAnsi"/>
          <w:bCs/>
          <w:sz w:val="24"/>
          <w:szCs w:val="24"/>
        </w:rPr>
        <w:t xml:space="preserve"> benefits for patients in terms of access,</w:t>
      </w:r>
      <w:r w:rsidR="00C4649F" w:rsidRPr="00D57B2C">
        <w:rPr>
          <w:rFonts w:asciiTheme="minorHAnsi" w:hAnsiTheme="minorHAnsi"/>
          <w:bCs/>
          <w:sz w:val="24"/>
          <w:szCs w:val="24"/>
        </w:rPr>
        <w:t xml:space="preserve"> </w:t>
      </w:r>
      <w:r w:rsidR="00C82FB2" w:rsidRPr="00D57B2C">
        <w:rPr>
          <w:rFonts w:asciiTheme="minorHAnsi" w:hAnsiTheme="minorHAnsi"/>
          <w:bCs/>
          <w:sz w:val="24"/>
          <w:szCs w:val="24"/>
        </w:rPr>
        <w:t xml:space="preserve">the patient population </w:t>
      </w:r>
      <w:r w:rsidR="00A53EBC" w:rsidRPr="00D57B2C">
        <w:rPr>
          <w:rFonts w:asciiTheme="minorHAnsi" w:hAnsiTheme="minorHAnsi"/>
          <w:bCs/>
          <w:sz w:val="24"/>
          <w:szCs w:val="24"/>
        </w:rPr>
        <w:t xml:space="preserve">have adequate access to </w:t>
      </w:r>
      <w:r w:rsidR="0010395C" w:rsidRPr="00D57B2C">
        <w:rPr>
          <w:rFonts w:asciiTheme="minorHAnsi" w:hAnsiTheme="minorHAnsi"/>
          <w:bCs/>
          <w:sz w:val="24"/>
          <w:szCs w:val="24"/>
        </w:rPr>
        <w:t>alternative therapies</w:t>
      </w:r>
      <w:r w:rsidR="00A53EBC" w:rsidRPr="00D57B2C">
        <w:rPr>
          <w:rFonts w:asciiTheme="minorHAnsi" w:hAnsiTheme="minorHAnsi"/>
          <w:bCs/>
          <w:sz w:val="24"/>
          <w:szCs w:val="24"/>
        </w:rPr>
        <w:t>.</w:t>
      </w:r>
      <w:r w:rsidR="00EB36F0" w:rsidRPr="00D57B2C">
        <w:rPr>
          <w:rFonts w:asciiTheme="minorHAnsi" w:hAnsiTheme="minorHAnsi"/>
          <w:bCs/>
          <w:sz w:val="24"/>
          <w:szCs w:val="24"/>
        </w:rPr>
        <w:t xml:space="preserve"> The PBAC </w:t>
      </w:r>
      <w:r w:rsidR="00335C64" w:rsidRPr="00D57B2C">
        <w:rPr>
          <w:rFonts w:asciiTheme="minorHAnsi" w:hAnsiTheme="minorHAnsi"/>
          <w:bCs/>
          <w:sz w:val="24"/>
          <w:szCs w:val="24"/>
        </w:rPr>
        <w:t xml:space="preserve">therefore </w:t>
      </w:r>
      <w:r w:rsidR="00EB36F0" w:rsidRPr="00D57B2C">
        <w:rPr>
          <w:rFonts w:asciiTheme="minorHAnsi" w:hAnsiTheme="minorHAnsi"/>
          <w:bCs/>
          <w:sz w:val="24"/>
          <w:szCs w:val="24"/>
        </w:rPr>
        <w:t>considered that the benefit</w:t>
      </w:r>
      <w:r w:rsidR="00751189" w:rsidRPr="00D57B2C">
        <w:rPr>
          <w:rFonts w:asciiTheme="minorHAnsi" w:hAnsiTheme="minorHAnsi"/>
          <w:bCs/>
          <w:sz w:val="24"/>
          <w:szCs w:val="24"/>
        </w:rPr>
        <w:t>s gained</w:t>
      </w:r>
      <w:r w:rsidR="00C928CE" w:rsidRPr="00D57B2C">
        <w:rPr>
          <w:rFonts w:asciiTheme="minorHAnsi" w:hAnsiTheme="minorHAnsi"/>
          <w:bCs/>
          <w:sz w:val="24"/>
          <w:szCs w:val="24"/>
        </w:rPr>
        <w:t xml:space="preserve"> in terms of access</w:t>
      </w:r>
      <w:r w:rsidR="00EB36F0" w:rsidRPr="00D57B2C">
        <w:rPr>
          <w:rFonts w:asciiTheme="minorHAnsi" w:hAnsiTheme="minorHAnsi"/>
          <w:bCs/>
          <w:sz w:val="24"/>
          <w:szCs w:val="24"/>
        </w:rPr>
        <w:t xml:space="preserve"> </w:t>
      </w:r>
      <w:r w:rsidR="00C928CE" w:rsidRPr="00D57B2C">
        <w:rPr>
          <w:rFonts w:asciiTheme="minorHAnsi" w:hAnsiTheme="minorHAnsi"/>
          <w:bCs/>
          <w:sz w:val="24"/>
          <w:szCs w:val="24"/>
        </w:rPr>
        <w:t>for patients from</w:t>
      </w:r>
      <w:r w:rsidR="00EB36F0" w:rsidRPr="00D57B2C">
        <w:rPr>
          <w:rFonts w:asciiTheme="minorHAnsi" w:hAnsiTheme="minorHAnsi"/>
          <w:bCs/>
          <w:sz w:val="24"/>
          <w:szCs w:val="24"/>
        </w:rPr>
        <w:t xml:space="preserve"> </w:t>
      </w:r>
      <w:r w:rsidR="00C928CE" w:rsidRPr="00D57B2C">
        <w:rPr>
          <w:rFonts w:asciiTheme="minorHAnsi" w:hAnsiTheme="minorHAnsi"/>
          <w:bCs/>
          <w:sz w:val="24"/>
          <w:szCs w:val="24"/>
        </w:rPr>
        <w:t xml:space="preserve">the listing of </w:t>
      </w:r>
      <w:r w:rsidR="00EB36F0" w:rsidRPr="00D57B2C">
        <w:rPr>
          <w:rFonts w:asciiTheme="minorHAnsi" w:hAnsiTheme="minorHAnsi"/>
          <w:bCs/>
          <w:sz w:val="24"/>
          <w:szCs w:val="24"/>
        </w:rPr>
        <w:t>Hemangiol</w:t>
      </w:r>
      <w:r w:rsidR="00C928CE" w:rsidRPr="00D57B2C">
        <w:rPr>
          <w:rFonts w:asciiTheme="minorHAnsi" w:hAnsiTheme="minorHAnsi"/>
          <w:bCs/>
          <w:sz w:val="24"/>
          <w:szCs w:val="24"/>
        </w:rPr>
        <w:t>® did</w:t>
      </w:r>
      <w:r w:rsidR="00EB36F0" w:rsidRPr="00D57B2C">
        <w:rPr>
          <w:rFonts w:asciiTheme="minorHAnsi" w:hAnsiTheme="minorHAnsi"/>
          <w:bCs/>
          <w:sz w:val="24"/>
          <w:szCs w:val="24"/>
        </w:rPr>
        <w:t xml:space="preserve"> not justify the proposed price </w:t>
      </w:r>
      <w:r w:rsidR="0010395C" w:rsidRPr="00D57B2C">
        <w:rPr>
          <w:rFonts w:asciiTheme="minorHAnsi" w:hAnsiTheme="minorHAnsi"/>
          <w:bCs/>
          <w:sz w:val="24"/>
          <w:szCs w:val="24"/>
        </w:rPr>
        <w:t>advantage of</w:t>
      </w:r>
      <w:r w:rsidR="00EB36F0" w:rsidRPr="00D57B2C">
        <w:rPr>
          <w:rFonts w:asciiTheme="minorHAnsi" w:hAnsiTheme="minorHAnsi"/>
          <w:bCs/>
          <w:sz w:val="24"/>
          <w:szCs w:val="24"/>
        </w:rPr>
        <w:t xml:space="preserve"> Hemangiol</w:t>
      </w:r>
      <w:r w:rsidR="00F233D5" w:rsidRPr="00D57B2C">
        <w:rPr>
          <w:rFonts w:asciiTheme="minorHAnsi" w:hAnsiTheme="minorHAnsi"/>
          <w:bCs/>
          <w:sz w:val="24"/>
          <w:szCs w:val="24"/>
        </w:rPr>
        <w:t>®</w:t>
      </w:r>
      <w:r w:rsidR="0010395C" w:rsidRPr="00D57B2C">
        <w:rPr>
          <w:rFonts w:asciiTheme="minorHAnsi" w:hAnsiTheme="minorHAnsi"/>
          <w:bCs/>
          <w:sz w:val="24"/>
          <w:szCs w:val="24"/>
        </w:rPr>
        <w:t xml:space="preserve"> over alternative therapies</w:t>
      </w:r>
      <w:r w:rsidR="00C928CE" w:rsidRPr="00D57B2C">
        <w:rPr>
          <w:rFonts w:asciiTheme="minorHAnsi" w:hAnsiTheme="minorHAnsi"/>
          <w:bCs/>
          <w:sz w:val="24"/>
          <w:szCs w:val="24"/>
        </w:rPr>
        <w:t>.</w:t>
      </w:r>
    </w:p>
    <w:p w:rsidR="008F0555" w:rsidRPr="00D57B2C" w:rsidRDefault="008F0555" w:rsidP="00786EC6">
      <w:pPr>
        <w:pStyle w:val="ListParagraph"/>
        <w:rPr>
          <w:rFonts w:asciiTheme="minorHAnsi" w:hAnsiTheme="minorHAnsi"/>
          <w:bCs/>
          <w:sz w:val="24"/>
          <w:szCs w:val="24"/>
        </w:rPr>
      </w:pPr>
    </w:p>
    <w:p w:rsidR="008F0555" w:rsidRPr="00D57B2C" w:rsidRDefault="0010395C" w:rsidP="0010395C">
      <w:pPr>
        <w:pStyle w:val="ListParagraph"/>
        <w:numPr>
          <w:ilvl w:val="1"/>
          <w:numId w:val="5"/>
        </w:numPr>
        <w:rPr>
          <w:rFonts w:asciiTheme="minorHAnsi" w:hAnsiTheme="minorHAnsi"/>
          <w:bCs/>
          <w:sz w:val="24"/>
          <w:szCs w:val="24"/>
        </w:rPr>
      </w:pPr>
      <w:r w:rsidRPr="00D57B2C">
        <w:rPr>
          <w:rFonts w:asciiTheme="minorHAnsi" w:hAnsiTheme="minorHAnsi"/>
          <w:bCs/>
          <w:sz w:val="24"/>
          <w:szCs w:val="24"/>
        </w:rPr>
        <w:t>In the absence of any clinical data to support the requested price of Hemangiol</w:t>
      </w:r>
      <w:r w:rsidR="00F233D5" w:rsidRPr="00D57B2C">
        <w:rPr>
          <w:rFonts w:asciiTheme="minorHAnsi" w:hAnsiTheme="minorHAnsi"/>
          <w:bCs/>
          <w:sz w:val="24"/>
          <w:szCs w:val="24"/>
        </w:rPr>
        <w:t>®</w:t>
      </w:r>
      <w:r w:rsidRPr="00D57B2C">
        <w:rPr>
          <w:rFonts w:asciiTheme="minorHAnsi" w:hAnsiTheme="minorHAnsi"/>
          <w:bCs/>
          <w:sz w:val="24"/>
          <w:szCs w:val="24"/>
        </w:rPr>
        <w:t xml:space="preserve">, the PBAC considered </w:t>
      </w:r>
      <w:r w:rsidR="008F0555" w:rsidRPr="00D57B2C">
        <w:rPr>
          <w:rFonts w:asciiTheme="minorHAnsi" w:hAnsiTheme="minorHAnsi"/>
          <w:bCs/>
          <w:sz w:val="24"/>
          <w:szCs w:val="24"/>
        </w:rPr>
        <w:t xml:space="preserve">that the </w:t>
      </w:r>
      <w:r w:rsidRPr="00D57B2C">
        <w:rPr>
          <w:rFonts w:asciiTheme="minorHAnsi" w:hAnsiTheme="minorHAnsi"/>
          <w:bCs/>
          <w:sz w:val="24"/>
          <w:szCs w:val="24"/>
        </w:rPr>
        <w:t>Department’s proposed price</w:t>
      </w:r>
      <w:r w:rsidR="008F0555" w:rsidRPr="00D57B2C">
        <w:rPr>
          <w:rFonts w:asciiTheme="minorHAnsi" w:hAnsiTheme="minorHAnsi"/>
          <w:bCs/>
          <w:sz w:val="24"/>
          <w:szCs w:val="24"/>
        </w:rPr>
        <w:t xml:space="preserve"> represented a</w:t>
      </w:r>
      <w:r w:rsidRPr="00D57B2C">
        <w:rPr>
          <w:rFonts w:asciiTheme="minorHAnsi" w:hAnsiTheme="minorHAnsi"/>
          <w:bCs/>
          <w:sz w:val="24"/>
          <w:szCs w:val="24"/>
        </w:rPr>
        <w:t xml:space="preserve"> fair price for</w:t>
      </w:r>
      <w:r w:rsidR="008F0555" w:rsidRPr="00D57B2C">
        <w:rPr>
          <w:rFonts w:asciiTheme="minorHAnsi" w:hAnsiTheme="minorHAnsi"/>
          <w:bCs/>
          <w:sz w:val="24"/>
          <w:szCs w:val="24"/>
        </w:rPr>
        <w:t xml:space="preserve"> Hemangiol</w:t>
      </w:r>
      <w:r w:rsidR="00F233D5" w:rsidRPr="00D57B2C">
        <w:rPr>
          <w:rFonts w:asciiTheme="minorHAnsi" w:hAnsiTheme="minorHAnsi"/>
          <w:bCs/>
          <w:sz w:val="24"/>
          <w:szCs w:val="24"/>
        </w:rPr>
        <w:t>®</w:t>
      </w:r>
      <w:r w:rsidRPr="00D57B2C">
        <w:rPr>
          <w:rFonts w:asciiTheme="minorHAnsi" w:hAnsiTheme="minorHAnsi"/>
          <w:bCs/>
          <w:sz w:val="24"/>
          <w:szCs w:val="24"/>
        </w:rPr>
        <w:t xml:space="preserve">, and </w:t>
      </w:r>
      <w:r w:rsidR="008F0555" w:rsidRPr="00D57B2C">
        <w:rPr>
          <w:rFonts w:asciiTheme="minorHAnsi" w:hAnsiTheme="minorHAnsi"/>
          <w:bCs/>
          <w:sz w:val="24"/>
          <w:szCs w:val="24"/>
        </w:rPr>
        <w:t xml:space="preserve">advised that a </w:t>
      </w:r>
      <w:r w:rsidRPr="00D57B2C">
        <w:rPr>
          <w:rFonts w:asciiTheme="minorHAnsi" w:hAnsiTheme="minorHAnsi"/>
          <w:bCs/>
          <w:sz w:val="24"/>
          <w:szCs w:val="24"/>
        </w:rPr>
        <w:t>higher price would not be cost-effective.</w:t>
      </w:r>
    </w:p>
    <w:p w:rsidR="00364DBD" w:rsidRPr="00D57B2C" w:rsidRDefault="00364DBD" w:rsidP="00364DBD">
      <w:pPr>
        <w:pStyle w:val="ListParagraph"/>
        <w:rPr>
          <w:rFonts w:asciiTheme="minorHAnsi" w:hAnsiTheme="minorHAnsi"/>
          <w:bCs/>
          <w:sz w:val="24"/>
          <w:szCs w:val="24"/>
        </w:rPr>
      </w:pPr>
    </w:p>
    <w:p w:rsidR="00B30888" w:rsidRPr="00D57B2C" w:rsidRDefault="00B30888" w:rsidP="00B30888">
      <w:pPr>
        <w:pStyle w:val="ListParagraph"/>
        <w:numPr>
          <w:ilvl w:val="1"/>
          <w:numId w:val="5"/>
        </w:numPr>
        <w:rPr>
          <w:rFonts w:asciiTheme="minorHAnsi" w:hAnsiTheme="minorHAnsi"/>
          <w:bCs/>
          <w:sz w:val="24"/>
          <w:szCs w:val="24"/>
        </w:rPr>
      </w:pPr>
      <w:r w:rsidRPr="00D57B2C">
        <w:rPr>
          <w:rFonts w:asciiTheme="minorHAnsi" w:hAnsiTheme="minorHAnsi"/>
          <w:bCs/>
          <w:sz w:val="24"/>
          <w:szCs w:val="24"/>
        </w:rPr>
        <w:t>The PBAC noted that this submission was not eligible for an Independent Review as it was a pricing request.</w:t>
      </w:r>
    </w:p>
    <w:p w:rsidR="008A7777" w:rsidRPr="00F06B1C" w:rsidRDefault="008A7777" w:rsidP="00B30888">
      <w:pPr>
        <w:widowControl w:val="0"/>
        <w:spacing w:after="120"/>
        <w:ind w:left="720"/>
        <w:jc w:val="both"/>
        <w:rPr>
          <w:rFonts w:asciiTheme="minorHAnsi" w:hAnsiTheme="minorHAnsi" w:cs="Arial"/>
          <w:bCs/>
          <w:snapToGrid w:val="0"/>
          <w:highlight w:val="yellow"/>
          <w:lang w:eastAsia="en-US"/>
        </w:rPr>
      </w:pPr>
    </w:p>
    <w:p w:rsidR="00B1617F" w:rsidRPr="00F26A46" w:rsidRDefault="00B1617F" w:rsidP="00F26A46">
      <w:pPr>
        <w:spacing w:before="240" w:after="120"/>
        <w:jc w:val="both"/>
        <w:outlineLvl w:val="1"/>
        <w:rPr>
          <w:rFonts w:asciiTheme="minorHAnsi" w:hAnsiTheme="minorHAnsi" w:cs="Arial"/>
          <w:b/>
          <w:bCs/>
          <w:snapToGrid w:val="0"/>
          <w:lang w:eastAsia="en-US"/>
        </w:rPr>
      </w:pPr>
      <w:r w:rsidRPr="00F06B1C">
        <w:rPr>
          <w:rFonts w:asciiTheme="minorHAnsi" w:hAnsiTheme="minorHAnsi" w:cs="Arial"/>
          <w:b/>
          <w:bCs/>
          <w:snapToGrid w:val="0"/>
          <w:lang w:eastAsia="en-US"/>
        </w:rPr>
        <w:t>Outcome:</w:t>
      </w:r>
      <w:r w:rsidR="00F26A46">
        <w:rPr>
          <w:rFonts w:asciiTheme="minorHAnsi" w:hAnsiTheme="minorHAnsi" w:cs="Arial"/>
          <w:b/>
          <w:bCs/>
          <w:snapToGrid w:val="0"/>
          <w:lang w:eastAsia="en-US"/>
        </w:rPr>
        <w:br/>
      </w:r>
      <w:r w:rsidR="008A7777" w:rsidRPr="00F06B1C">
        <w:rPr>
          <w:rFonts w:asciiTheme="minorHAnsi" w:hAnsiTheme="minorHAnsi" w:cs="Arial"/>
          <w:bCs/>
          <w:snapToGrid w:val="0"/>
          <w:lang w:eastAsia="en-US"/>
        </w:rPr>
        <w:t>Rejected</w:t>
      </w:r>
    </w:p>
    <w:p w:rsidR="00D81F77" w:rsidRDefault="00D81F77" w:rsidP="00B1617F">
      <w:pPr>
        <w:widowControl w:val="0"/>
        <w:spacing w:after="120"/>
        <w:jc w:val="both"/>
        <w:rPr>
          <w:rFonts w:asciiTheme="minorHAnsi" w:hAnsiTheme="minorHAnsi" w:cs="Arial"/>
          <w:b/>
          <w:bCs/>
          <w:snapToGrid w:val="0"/>
          <w:highlight w:val="yellow"/>
          <w:lang w:eastAsia="en-US"/>
        </w:rPr>
      </w:pPr>
    </w:p>
    <w:p w:rsidR="00D81F77" w:rsidRPr="00D81F77" w:rsidRDefault="00D81F77" w:rsidP="00D81F77">
      <w:pPr>
        <w:pStyle w:val="PBACHeading1"/>
        <w:jc w:val="both"/>
        <w:rPr>
          <w:rFonts w:asciiTheme="minorHAnsi" w:hAnsiTheme="minorHAnsi"/>
          <w:sz w:val="32"/>
          <w:szCs w:val="32"/>
        </w:rPr>
      </w:pPr>
      <w:r w:rsidRPr="006C2DAA">
        <w:rPr>
          <w:rFonts w:asciiTheme="minorHAnsi" w:hAnsiTheme="minorHAnsi"/>
          <w:sz w:val="32"/>
          <w:szCs w:val="32"/>
        </w:rPr>
        <w:t>Context for Decision</w:t>
      </w:r>
    </w:p>
    <w:p w:rsidR="00D81F77" w:rsidRPr="00440A84" w:rsidRDefault="00D81F77" w:rsidP="00D81F77">
      <w:pPr>
        <w:ind w:left="426"/>
        <w:jc w:val="both"/>
        <w:rPr>
          <w:rFonts w:asciiTheme="minorHAnsi" w:hAnsiTheme="minorHAnsi" w:cs="Arial"/>
        </w:rPr>
      </w:pPr>
    </w:p>
    <w:p w:rsidR="00D81F77" w:rsidRPr="00440A84" w:rsidRDefault="00D81F77" w:rsidP="00D81F77">
      <w:pPr>
        <w:jc w:val="both"/>
        <w:rPr>
          <w:rFonts w:asciiTheme="minorHAnsi" w:hAnsiTheme="minorHAnsi" w:cs="Arial"/>
        </w:rPr>
      </w:pPr>
      <w:r w:rsidRPr="00440A84">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81F77" w:rsidRPr="00440A84" w:rsidRDefault="00D81F77" w:rsidP="00D81F77">
      <w:pPr>
        <w:ind w:left="426"/>
        <w:jc w:val="both"/>
        <w:rPr>
          <w:rFonts w:asciiTheme="minorHAnsi" w:hAnsiTheme="minorHAnsi" w:cs="Arial"/>
        </w:rPr>
      </w:pPr>
    </w:p>
    <w:p w:rsidR="00D81F77" w:rsidRPr="00D81F77" w:rsidRDefault="00D81F77" w:rsidP="00D81F77">
      <w:pPr>
        <w:pStyle w:val="PBACHeading1"/>
        <w:jc w:val="both"/>
        <w:rPr>
          <w:rFonts w:asciiTheme="minorHAnsi" w:hAnsiTheme="minorHAnsi"/>
          <w:sz w:val="32"/>
          <w:szCs w:val="32"/>
        </w:rPr>
      </w:pPr>
      <w:r w:rsidRPr="006C2DAA">
        <w:rPr>
          <w:rFonts w:asciiTheme="minorHAnsi" w:hAnsiTheme="minorHAnsi"/>
          <w:sz w:val="32"/>
          <w:szCs w:val="32"/>
        </w:rPr>
        <w:t>Sponsor’s Comment</w:t>
      </w:r>
    </w:p>
    <w:p w:rsidR="00D81F77" w:rsidRPr="00440A84" w:rsidRDefault="00D81F77" w:rsidP="00D81F77">
      <w:pPr>
        <w:ind w:left="426"/>
        <w:jc w:val="both"/>
        <w:rPr>
          <w:rFonts w:asciiTheme="minorHAnsi" w:hAnsiTheme="minorHAnsi" w:cs="Arial"/>
          <w:bCs/>
          <w:highlight w:val="yellow"/>
          <w:lang w:val="en-GB"/>
        </w:rPr>
      </w:pPr>
    </w:p>
    <w:p w:rsidR="00BD08B2" w:rsidRPr="00992CA5" w:rsidRDefault="00BD08B2" w:rsidP="00BD08B2">
      <w:pPr>
        <w:spacing w:after="120"/>
        <w:jc w:val="both"/>
        <w:rPr>
          <w:rFonts w:asciiTheme="minorHAnsi" w:hAnsiTheme="minorHAnsi" w:cs="Arial"/>
        </w:rPr>
      </w:pPr>
      <w:r w:rsidRPr="00992CA5">
        <w:rPr>
          <w:rFonts w:asciiTheme="minorHAnsi" w:hAnsiTheme="minorHAnsi" w:cs="Arial"/>
        </w:rPr>
        <w:t>The sponsor will continue to work with the Department to explore all feasible options with the PBAC and Department to make Hemangiol available to all Australian patients.</w:t>
      </w:r>
    </w:p>
    <w:p w:rsidR="00D81F77" w:rsidRPr="00EA1D80" w:rsidRDefault="00D81F77" w:rsidP="00B1617F">
      <w:pPr>
        <w:widowControl w:val="0"/>
        <w:spacing w:after="120"/>
        <w:jc w:val="both"/>
        <w:rPr>
          <w:rFonts w:asciiTheme="minorHAnsi" w:hAnsiTheme="minorHAnsi" w:cs="Arial"/>
          <w:b/>
          <w:bCs/>
          <w:snapToGrid w:val="0"/>
          <w:highlight w:val="yellow"/>
          <w:lang w:eastAsia="en-US"/>
        </w:rPr>
      </w:pPr>
    </w:p>
    <w:p w:rsidR="00F64CC1" w:rsidRPr="00EA1D80" w:rsidRDefault="00F64CC1" w:rsidP="00A16D23">
      <w:pPr>
        <w:rPr>
          <w:lang w:eastAsia="en-US"/>
        </w:rPr>
      </w:pPr>
    </w:p>
    <w:sectPr w:rsidR="00F64CC1" w:rsidRPr="00EA1D80"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5B7" w:rsidRDefault="009E65B7">
      <w:r>
        <w:separator/>
      </w:r>
    </w:p>
    <w:p w:rsidR="009E65B7" w:rsidRDefault="009E65B7"/>
  </w:endnote>
  <w:endnote w:type="continuationSeparator" w:id="0">
    <w:p w:rsidR="009E65B7" w:rsidRDefault="009E65B7">
      <w:r>
        <w:continuationSeparator/>
      </w:r>
    </w:p>
    <w:p w:rsidR="009E65B7" w:rsidRDefault="009E6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F7208" w:rsidTr="005A3173">
      <w:trPr>
        <w:trHeight w:val="151"/>
      </w:trPr>
      <w:tc>
        <w:tcPr>
          <w:tcW w:w="2250" w:type="pct"/>
          <w:tcBorders>
            <w:top w:val="nil"/>
            <w:left w:val="nil"/>
            <w:bottom w:val="single" w:sz="4" w:space="0" w:color="4F81BD"/>
            <w:right w:val="nil"/>
          </w:tcBorders>
        </w:tcPr>
        <w:p w:rsidR="001F7208" w:rsidRPr="005A3173" w:rsidRDefault="001F720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F7208" w:rsidRPr="005A3173" w:rsidRDefault="001F720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F7208" w:rsidRPr="005A3173" w:rsidRDefault="001F7208" w:rsidP="005A3173">
          <w:pPr>
            <w:pStyle w:val="Header"/>
            <w:spacing w:line="276" w:lineRule="auto"/>
            <w:rPr>
              <w:rFonts w:ascii="Calibri" w:eastAsia="MS Gothic" w:hAnsi="Calibri"/>
              <w:b/>
              <w:bCs/>
              <w:color w:val="4F81BD"/>
            </w:rPr>
          </w:pPr>
        </w:p>
      </w:tc>
    </w:tr>
    <w:tr w:rsidR="001F7208" w:rsidTr="005A3173">
      <w:trPr>
        <w:trHeight w:val="150"/>
      </w:trPr>
      <w:tc>
        <w:tcPr>
          <w:tcW w:w="2250" w:type="pct"/>
          <w:tcBorders>
            <w:top w:val="single" w:sz="4" w:space="0" w:color="4F81BD"/>
            <w:left w:val="nil"/>
            <w:bottom w:val="nil"/>
            <w:right w:val="nil"/>
          </w:tcBorders>
        </w:tcPr>
        <w:p w:rsidR="001F7208" w:rsidRPr="005A3173" w:rsidRDefault="001F7208" w:rsidP="005A3173">
          <w:pPr>
            <w:pStyle w:val="Header"/>
            <w:spacing w:line="276" w:lineRule="auto"/>
            <w:rPr>
              <w:rFonts w:ascii="Calibri" w:eastAsia="MS Gothic" w:hAnsi="Calibri"/>
              <w:b/>
              <w:bCs/>
              <w:color w:val="4F81BD"/>
            </w:rPr>
          </w:pPr>
        </w:p>
      </w:tc>
      <w:tc>
        <w:tcPr>
          <w:tcW w:w="0" w:type="auto"/>
          <w:vMerge/>
          <w:vAlign w:val="center"/>
          <w:hideMark/>
        </w:tcPr>
        <w:p w:rsidR="001F7208" w:rsidRPr="005A3173" w:rsidRDefault="001F7208" w:rsidP="005A3173">
          <w:pPr>
            <w:rPr>
              <w:rFonts w:ascii="Calibri" w:hAnsi="Calibri"/>
              <w:color w:val="365F91"/>
              <w:sz w:val="22"/>
              <w:szCs w:val="22"/>
            </w:rPr>
          </w:pPr>
        </w:p>
      </w:tc>
      <w:tc>
        <w:tcPr>
          <w:tcW w:w="2250" w:type="pct"/>
          <w:tcBorders>
            <w:top w:val="single" w:sz="4" w:space="0" w:color="4F81BD"/>
            <w:left w:val="nil"/>
            <w:bottom w:val="nil"/>
            <w:right w:val="nil"/>
          </w:tcBorders>
        </w:tcPr>
        <w:p w:rsidR="001F7208" w:rsidRPr="005A3173" w:rsidRDefault="001F7208" w:rsidP="005A3173">
          <w:pPr>
            <w:pStyle w:val="Header"/>
            <w:spacing w:line="276" w:lineRule="auto"/>
            <w:rPr>
              <w:rFonts w:ascii="Calibri" w:eastAsia="MS Gothic" w:hAnsi="Calibri"/>
              <w:b/>
              <w:bCs/>
              <w:color w:val="4F81BD"/>
            </w:rPr>
          </w:pPr>
        </w:p>
      </w:tc>
    </w:tr>
  </w:tbl>
  <w:p w:rsidR="001F7208" w:rsidRDefault="001F720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7208" w:rsidRDefault="001F7208">
    <w:pPr>
      <w:pStyle w:val="Footer"/>
    </w:pPr>
  </w:p>
  <w:p w:rsidR="001F7208" w:rsidRDefault="001F72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208" w:rsidRDefault="001F7208" w:rsidP="00EF44A0">
    <w:pPr>
      <w:pStyle w:val="Footer"/>
      <w:jc w:val="center"/>
      <w:rPr>
        <w:rFonts w:ascii="Arial" w:hAnsi="Arial" w:cs="Arial"/>
        <w:b/>
        <w:sz w:val="20"/>
        <w:szCs w:val="20"/>
      </w:rPr>
    </w:pPr>
  </w:p>
  <w:p w:rsidR="0013005B" w:rsidRPr="0013005B" w:rsidRDefault="0013005B" w:rsidP="0013005B">
    <w:pPr>
      <w:tabs>
        <w:tab w:val="center" w:pos="4153"/>
        <w:tab w:val="right" w:pos="8306"/>
      </w:tabs>
      <w:spacing w:after="120"/>
      <w:ind w:left="360"/>
      <w:jc w:val="center"/>
      <w:rPr>
        <w:rFonts w:asciiTheme="minorHAnsi" w:hAnsiTheme="minorHAnsi" w:cs="Arial"/>
        <w:lang w:eastAsia="en-US"/>
      </w:rPr>
    </w:pPr>
    <w:r w:rsidRPr="0013005B">
      <w:rPr>
        <w:rFonts w:asciiTheme="minorHAnsi" w:hAnsiTheme="minorHAnsi" w:cs="Arial"/>
        <w:lang w:eastAsia="en-US"/>
      </w:rPr>
      <w:fldChar w:fldCharType="begin"/>
    </w:r>
    <w:r w:rsidRPr="0013005B">
      <w:rPr>
        <w:rFonts w:asciiTheme="minorHAnsi" w:hAnsiTheme="minorHAnsi" w:cs="Arial"/>
        <w:lang w:eastAsia="en-US"/>
      </w:rPr>
      <w:instrText xml:space="preserve"> PAGE   \* MERGEFORMAT </w:instrText>
    </w:r>
    <w:r w:rsidRPr="0013005B">
      <w:rPr>
        <w:rFonts w:asciiTheme="minorHAnsi" w:hAnsiTheme="minorHAnsi" w:cs="Arial"/>
        <w:lang w:eastAsia="en-US"/>
      </w:rPr>
      <w:fldChar w:fldCharType="separate"/>
    </w:r>
    <w:r w:rsidR="009E65B7">
      <w:rPr>
        <w:rFonts w:asciiTheme="minorHAnsi" w:hAnsiTheme="minorHAnsi" w:cs="Arial"/>
        <w:noProof/>
        <w:lang w:eastAsia="en-US"/>
      </w:rPr>
      <w:t>2</w:t>
    </w:r>
    <w:r w:rsidRPr="0013005B">
      <w:rPr>
        <w:rFonts w:asciiTheme="minorHAnsi" w:hAnsiTheme="minorHAnsi" w:cs="Arial"/>
        <w:noProof/>
        <w:lang w:eastAsia="en-US"/>
      </w:rPr>
      <w:fldChar w:fldCharType="end"/>
    </w:r>
  </w:p>
  <w:p w:rsidR="001F7208" w:rsidRDefault="001F7208" w:rsidP="0013005B">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F7208" w:rsidTr="005A3173">
      <w:trPr>
        <w:trHeight w:val="151"/>
      </w:trPr>
      <w:tc>
        <w:tcPr>
          <w:tcW w:w="2250" w:type="pct"/>
          <w:tcBorders>
            <w:top w:val="nil"/>
            <w:left w:val="nil"/>
            <w:bottom w:val="single" w:sz="4" w:space="0" w:color="4F81BD"/>
            <w:right w:val="nil"/>
          </w:tcBorders>
        </w:tcPr>
        <w:p w:rsidR="001F7208" w:rsidRPr="005A3173" w:rsidRDefault="001F720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F7208" w:rsidRPr="005A3173" w:rsidRDefault="001F720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F7208" w:rsidRPr="005A3173" w:rsidRDefault="001F7208" w:rsidP="005A3173">
          <w:pPr>
            <w:pStyle w:val="Header"/>
            <w:spacing w:line="276" w:lineRule="auto"/>
            <w:rPr>
              <w:rFonts w:ascii="Calibri" w:eastAsia="MS Gothic" w:hAnsi="Calibri"/>
              <w:b/>
              <w:bCs/>
              <w:color w:val="4F81BD"/>
            </w:rPr>
          </w:pPr>
        </w:p>
      </w:tc>
    </w:tr>
    <w:tr w:rsidR="001F7208" w:rsidTr="005A3173">
      <w:trPr>
        <w:trHeight w:val="150"/>
      </w:trPr>
      <w:tc>
        <w:tcPr>
          <w:tcW w:w="2250" w:type="pct"/>
          <w:tcBorders>
            <w:top w:val="single" w:sz="4" w:space="0" w:color="4F81BD"/>
            <w:left w:val="nil"/>
            <w:bottom w:val="nil"/>
            <w:right w:val="nil"/>
          </w:tcBorders>
        </w:tcPr>
        <w:p w:rsidR="001F7208" w:rsidRPr="005A3173" w:rsidRDefault="001F7208" w:rsidP="005A3173">
          <w:pPr>
            <w:pStyle w:val="Header"/>
            <w:spacing w:line="276" w:lineRule="auto"/>
            <w:rPr>
              <w:rFonts w:ascii="Calibri" w:eastAsia="MS Gothic" w:hAnsi="Calibri"/>
              <w:b/>
              <w:bCs/>
              <w:color w:val="4F81BD"/>
            </w:rPr>
          </w:pPr>
        </w:p>
      </w:tc>
      <w:tc>
        <w:tcPr>
          <w:tcW w:w="0" w:type="auto"/>
          <w:vMerge/>
          <w:vAlign w:val="center"/>
          <w:hideMark/>
        </w:tcPr>
        <w:p w:rsidR="001F7208" w:rsidRPr="005A3173" w:rsidRDefault="001F7208" w:rsidP="005A3173">
          <w:pPr>
            <w:rPr>
              <w:rFonts w:ascii="Calibri" w:hAnsi="Calibri"/>
              <w:color w:val="365F91"/>
              <w:sz w:val="22"/>
              <w:szCs w:val="22"/>
            </w:rPr>
          </w:pPr>
        </w:p>
      </w:tc>
      <w:tc>
        <w:tcPr>
          <w:tcW w:w="2250" w:type="pct"/>
          <w:tcBorders>
            <w:top w:val="single" w:sz="4" w:space="0" w:color="4F81BD"/>
            <w:left w:val="nil"/>
            <w:bottom w:val="nil"/>
            <w:right w:val="nil"/>
          </w:tcBorders>
        </w:tcPr>
        <w:p w:rsidR="001F7208" w:rsidRPr="005A3173" w:rsidRDefault="001F720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F7208" w:rsidTr="005A3173">
      <w:trPr>
        <w:trHeight w:val="151"/>
      </w:trPr>
      <w:tc>
        <w:tcPr>
          <w:tcW w:w="2250" w:type="pct"/>
          <w:tcBorders>
            <w:top w:val="nil"/>
            <w:left w:val="nil"/>
            <w:bottom w:val="single" w:sz="4" w:space="0" w:color="4F81BD"/>
            <w:right w:val="nil"/>
          </w:tcBorders>
        </w:tcPr>
        <w:p w:rsidR="001F7208" w:rsidRPr="005A3173" w:rsidRDefault="001F720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F7208" w:rsidRPr="005A3173" w:rsidRDefault="001F720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F7208" w:rsidRPr="005A3173" w:rsidRDefault="001F7208" w:rsidP="005A3173">
          <w:pPr>
            <w:pStyle w:val="Header"/>
            <w:spacing w:line="276" w:lineRule="auto"/>
            <w:rPr>
              <w:rFonts w:ascii="Calibri" w:eastAsia="MS Gothic" w:hAnsi="Calibri"/>
              <w:b/>
              <w:bCs/>
              <w:color w:val="4F81BD"/>
            </w:rPr>
          </w:pPr>
        </w:p>
      </w:tc>
    </w:tr>
    <w:tr w:rsidR="001F7208" w:rsidTr="005A3173">
      <w:trPr>
        <w:trHeight w:val="150"/>
      </w:trPr>
      <w:tc>
        <w:tcPr>
          <w:tcW w:w="2250" w:type="pct"/>
          <w:tcBorders>
            <w:top w:val="single" w:sz="4" w:space="0" w:color="4F81BD"/>
            <w:left w:val="nil"/>
            <w:bottom w:val="nil"/>
            <w:right w:val="nil"/>
          </w:tcBorders>
        </w:tcPr>
        <w:p w:rsidR="001F7208" w:rsidRPr="005A3173" w:rsidRDefault="001F7208" w:rsidP="005A3173">
          <w:pPr>
            <w:pStyle w:val="Header"/>
            <w:spacing w:line="276" w:lineRule="auto"/>
            <w:rPr>
              <w:rFonts w:ascii="Calibri" w:eastAsia="MS Gothic" w:hAnsi="Calibri"/>
              <w:b/>
              <w:bCs/>
              <w:color w:val="4F81BD"/>
            </w:rPr>
          </w:pPr>
        </w:p>
      </w:tc>
      <w:tc>
        <w:tcPr>
          <w:tcW w:w="0" w:type="auto"/>
          <w:vMerge/>
          <w:vAlign w:val="center"/>
          <w:hideMark/>
        </w:tcPr>
        <w:p w:rsidR="001F7208" w:rsidRPr="005A3173" w:rsidRDefault="001F7208" w:rsidP="005A3173">
          <w:pPr>
            <w:rPr>
              <w:rFonts w:ascii="Calibri" w:hAnsi="Calibri"/>
              <w:color w:val="365F91"/>
              <w:sz w:val="22"/>
              <w:szCs w:val="22"/>
            </w:rPr>
          </w:pPr>
        </w:p>
      </w:tc>
      <w:tc>
        <w:tcPr>
          <w:tcW w:w="2250" w:type="pct"/>
          <w:tcBorders>
            <w:top w:val="single" w:sz="4" w:space="0" w:color="4F81BD"/>
            <w:left w:val="nil"/>
            <w:bottom w:val="nil"/>
            <w:right w:val="nil"/>
          </w:tcBorders>
        </w:tcPr>
        <w:p w:rsidR="001F7208" w:rsidRPr="005A3173" w:rsidRDefault="001F7208" w:rsidP="005A3173">
          <w:pPr>
            <w:pStyle w:val="Header"/>
            <w:spacing w:line="276" w:lineRule="auto"/>
            <w:rPr>
              <w:rFonts w:ascii="Calibri" w:eastAsia="MS Gothic" w:hAnsi="Calibri"/>
              <w:b/>
              <w:bCs/>
              <w:color w:val="4F81BD"/>
            </w:rPr>
          </w:pPr>
        </w:p>
      </w:tc>
    </w:tr>
  </w:tbl>
  <w:p w:rsidR="001F7208" w:rsidRPr="007C0F57" w:rsidRDefault="001F720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F7208" w:rsidRPr="007C0F57" w:rsidRDefault="001F7208" w:rsidP="007C0F57">
    <w:pPr>
      <w:pStyle w:val="Footer"/>
      <w:jc w:val="center"/>
      <w:rPr>
        <w:b/>
        <w:i/>
        <w:sz w:val="20"/>
        <w:szCs w:val="20"/>
      </w:rPr>
    </w:pPr>
    <w:r w:rsidRPr="007C0F57">
      <w:rPr>
        <w:b/>
        <w:i/>
        <w:sz w:val="20"/>
        <w:szCs w:val="20"/>
      </w:rPr>
      <w:t>Commercial-in-Confidence</w:t>
    </w:r>
  </w:p>
  <w:p w:rsidR="001F7208" w:rsidRDefault="001F72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5B7" w:rsidRDefault="009E65B7">
      <w:r>
        <w:separator/>
      </w:r>
    </w:p>
    <w:p w:rsidR="009E65B7" w:rsidRDefault="009E65B7"/>
  </w:footnote>
  <w:footnote w:type="continuationSeparator" w:id="0">
    <w:p w:rsidR="009E65B7" w:rsidRDefault="009E65B7">
      <w:r>
        <w:continuationSeparator/>
      </w:r>
    </w:p>
    <w:p w:rsidR="009E65B7" w:rsidRDefault="009E65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F7208" w:rsidRPr="008E0D90" w:rsidTr="00A06225">
      <w:trPr>
        <w:trHeight w:val="151"/>
      </w:trPr>
      <w:tc>
        <w:tcPr>
          <w:tcW w:w="2389" w:type="pct"/>
          <w:tcBorders>
            <w:top w:val="nil"/>
            <w:left w:val="nil"/>
            <w:bottom w:val="single" w:sz="4" w:space="0" w:color="4F81BD"/>
            <w:right w:val="nil"/>
          </w:tcBorders>
        </w:tcPr>
        <w:p w:rsidR="001F7208" w:rsidRPr="00A06225" w:rsidRDefault="001F7208">
          <w:pPr>
            <w:pStyle w:val="Header"/>
            <w:spacing w:line="276" w:lineRule="auto"/>
            <w:rPr>
              <w:rFonts w:ascii="Cambria" w:eastAsia="MS Gothic" w:hAnsi="Cambria"/>
              <w:b/>
              <w:bCs/>
              <w:color w:val="4F81BD"/>
            </w:rPr>
          </w:pPr>
        </w:p>
      </w:tc>
      <w:tc>
        <w:tcPr>
          <w:tcW w:w="333" w:type="pct"/>
          <w:vMerge w:val="restart"/>
          <w:noWrap/>
          <w:vAlign w:val="center"/>
          <w:hideMark/>
        </w:tcPr>
        <w:p w:rsidR="001F7208" w:rsidRPr="00A06225" w:rsidRDefault="001F720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F7208" w:rsidRPr="00A06225" w:rsidRDefault="001F7208">
          <w:pPr>
            <w:pStyle w:val="Header"/>
            <w:spacing w:line="276" w:lineRule="auto"/>
            <w:rPr>
              <w:rFonts w:ascii="Cambria" w:eastAsia="MS Gothic" w:hAnsi="Cambria"/>
              <w:b/>
              <w:bCs/>
              <w:color w:val="4F81BD"/>
            </w:rPr>
          </w:pPr>
        </w:p>
      </w:tc>
    </w:tr>
    <w:tr w:rsidR="001F7208" w:rsidRPr="008E0D90" w:rsidTr="00A06225">
      <w:trPr>
        <w:trHeight w:val="150"/>
      </w:trPr>
      <w:tc>
        <w:tcPr>
          <w:tcW w:w="2389" w:type="pct"/>
          <w:tcBorders>
            <w:top w:val="single" w:sz="4" w:space="0" w:color="4F81BD"/>
            <w:left w:val="nil"/>
            <w:bottom w:val="nil"/>
            <w:right w:val="nil"/>
          </w:tcBorders>
        </w:tcPr>
        <w:p w:rsidR="001F7208" w:rsidRPr="00A06225" w:rsidRDefault="001F7208">
          <w:pPr>
            <w:pStyle w:val="Header"/>
            <w:spacing w:line="276" w:lineRule="auto"/>
            <w:rPr>
              <w:rFonts w:ascii="Cambria" w:eastAsia="MS Gothic" w:hAnsi="Cambria"/>
              <w:b/>
              <w:bCs/>
              <w:color w:val="4F81BD"/>
            </w:rPr>
          </w:pPr>
        </w:p>
      </w:tc>
      <w:tc>
        <w:tcPr>
          <w:tcW w:w="0" w:type="auto"/>
          <w:vMerge/>
          <w:vAlign w:val="center"/>
          <w:hideMark/>
        </w:tcPr>
        <w:p w:rsidR="001F7208" w:rsidRPr="00A06225" w:rsidRDefault="001F7208">
          <w:pPr>
            <w:rPr>
              <w:rFonts w:ascii="Cambria" w:hAnsi="Cambria"/>
              <w:color w:val="4F81BD"/>
              <w:sz w:val="22"/>
              <w:szCs w:val="22"/>
            </w:rPr>
          </w:pPr>
        </w:p>
      </w:tc>
      <w:tc>
        <w:tcPr>
          <w:tcW w:w="2278" w:type="pct"/>
          <w:tcBorders>
            <w:top w:val="single" w:sz="4" w:space="0" w:color="4F81BD"/>
            <w:left w:val="nil"/>
            <w:bottom w:val="nil"/>
            <w:right w:val="nil"/>
          </w:tcBorders>
        </w:tcPr>
        <w:p w:rsidR="001F7208" w:rsidRPr="00A06225" w:rsidRDefault="001F7208">
          <w:pPr>
            <w:pStyle w:val="Header"/>
            <w:spacing w:line="276" w:lineRule="auto"/>
            <w:rPr>
              <w:rFonts w:ascii="Cambria" w:eastAsia="MS Gothic" w:hAnsi="Cambria"/>
              <w:b/>
              <w:bCs/>
              <w:color w:val="4F81BD"/>
            </w:rPr>
          </w:pPr>
        </w:p>
      </w:tc>
    </w:tr>
  </w:tbl>
  <w:p w:rsidR="001F7208" w:rsidRDefault="001F7208">
    <w:pPr>
      <w:pStyle w:val="Header"/>
    </w:pPr>
  </w:p>
  <w:p w:rsidR="001F7208" w:rsidRDefault="001F72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5B" w:rsidRPr="0013005B" w:rsidRDefault="00D81F77" w:rsidP="002B0095">
    <w:pPr>
      <w:tabs>
        <w:tab w:val="center" w:pos="4153"/>
        <w:tab w:val="right" w:pos="8306"/>
      </w:tabs>
      <w:ind w:left="357"/>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0013005B" w:rsidRPr="0013005B">
      <w:rPr>
        <w:rFonts w:asciiTheme="minorHAnsi" w:hAnsiTheme="minorHAnsi" w:cs="Arial"/>
        <w:i/>
        <w:color w:val="808080"/>
        <w:lang w:eastAsia="en-US"/>
      </w:rPr>
      <w:t xml:space="preserve">– </w:t>
    </w:r>
    <w:r w:rsidR="00593F1C">
      <w:rPr>
        <w:rFonts w:asciiTheme="minorHAnsi" w:hAnsiTheme="minorHAnsi" w:cs="Arial"/>
        <w:i/>
        <w:color w:val="808080"/>
        <w:lang w:eastAsia="en-US"/>
      </w:rPr>
      <w:t>July 2017</w:t>
    </w:r>
    <w:r w:rsidR="0013005B" w:rsidRPr="0013005B">
      <w:rPr>
        <w:rFonts w:asciiTheme="minorHAnsi" w:hAnsiTheme="minorHAnsi" w:cs="Arial"/>
        <w:i/>
        <w:color w:val="808080"/>
        <w:lang w:eastAsia="en-US"/>
      </w:rPr>
      <w:t xml:space="preserve"> PBAC Meeting</w:t>
    </w:r>
  </w:p>
  <w:p w:rsidR="0013005B" w:rsidRPr="0013005B" w:rsidRDefault="0013005B" w:rsidP="002B0095">
    <w:pPr>
      <w:tabs>
        <w:tab w:val="center" w:pos="4153"/>
        <w:tab w:val="right" w:pos="8306"/>
      </w:tabs>
      <w:ind w:left="357"/>
      <w:jc w:val="center"/>
      <w:rPr>
        <w:rFonts w:asciiTheme="minorHAnsi" w:hAnsiTheme="minorHAnsi" w:cs="Arial"/>
        <w:i/>
        <w:color w:val="808080"/>
        <w:lang w:eastAsia="en-US"/>
      </w:rPr>
    </w:pPr>
  </w:p>
  <w:p w:rsidR="001F7208" w:rsidRDefault="001F7208"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5B7" w:rsidRDefault="009E65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4D033C"/>
    <w:multiLevelType w:val="multilevel"/>
    <w:tmpl w:val="A612762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6"/>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6"/>
  </w:num>
  <w:num w:numId="15">
    <w:abstractNumId w:val="15"/>
  </w:num>
  <w:num w:numId="16">
    <w:abstractNumId w:val="5"/>
  </w:num>
  <w:num w:numId="17">
    <w:abstractNumId w:val="2"/>
  </w:num>
  <w:num w:numId="18">
    <w:abstractNumId w:val="9"/>
  </w:num>
  <w:num w:numId="19">
    <w:abstractNumId w:val="16"/>
  </w:num>
  <w:num w:numId="2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7DEB"/>
    <w:rsid w:val="0002464A"/>
    <w:rsid w:val="0003106B"/>
    <w:rsid w:val="00036551"/>
    <w:rsid w:val="00040F77"/>
    <w:rsid w:val="000421A1"/>
    <w:rsid w:val="0004240E"/>
    <w:rsid w:val="00045E26"/>
    <w:rsid w:val="000514B5"/>
    <w:rsid w:val="00053B7A"/>
    <w:rsid w:val="00060E64"/>
    <w:rsid w:val="00066755"/>
    <w:rsid w:val="00077143"/>
    <w:rsid w:val="00090876"/>
    <w:rsid w:val="000969AD"/>
    <w:rsid w:val="000A2C91"/>
    <w:rsid w:val="000B2CF0"/>
    <w:rsid w:val="000B558D"/>
    <w:rsid w:val="000C2969"/>
    <w:rsid w:val="000C6996"/>
    <w:rsid w:val="000D23BA"/>
    <w:rsid w:val="000E681E"/>
    <w:rsid w:val="000F4E6A"/>
    <w:rsid w:val="000F53BE"/>
    <w:rsid w:val="0010395C"/>
    <w:rsid w:val="001107BF"/>
    <w:rsid w:val="0011442C"/>
    <w:rsid w:val="0012417C"/>
    <w:rsid w:val="0013005B"/>
    <w:rsid w:val="00142395"/>
    <w:rsid w:val="00142714"/>
    <w:rsid w:val="001452ED"/>
    <w:rsid w:val="00176FA2"/>
    <w:rsid w:val="00177658"/>
    <w:rsid w:val="001830CE"/>
    <w:rsid w:val="0018643B"/>
    <w:rsid w:val="00186515"/>
    <w:rsid w:val="0019560B"/>
    <w:rsid w:val="00196307"/>
    <w:rsid w:val="001A33EA"/>
    <w:rsid w:val="001B017F"/>
    <w:rsid w:val="001B5129"/>
    <w:rsid w:val="001C1195"/>
    <w:rsid w:val="001D5D6B"/>
    <w:rsid w:val="001F7208"/>
    <w:rsid w:val="00213CFB"/>
    <w:rsid w:val="002466D6"/>
    <w:rsid w:val="00271BA1"/>
    <w:rsid w:val="00273661"/>
    <w:rsid w:val="002762FA"/>
    <w:rsid w:val="00277505"/>
    <w:rsid w:val="002828A3"/>
    <w:rsid w:val="00282F9C"/>
    <w:rsid w:val="0029458F"/>
    <w:rsid w:val="00295FA9"/>
    <w:rsid w:val="002A104C"/>
    <w:rsid w:val="002A1547"/>
    <w:rsid w:val="002A4960"/>
    <w:rsid w:val="002B0095"/>
    <w:rsid w:val="002B1AE6"/>
    <w:rsid w:val="002B30F8"/>
    <w:rsid w:val="002B7DAA"/>
    <w:rsid w:val="002C212F"/>
    <w:rsid w:val="002E3153"/>
    <w:rsid w:val="002E72CA"/>
    <w:rsid w:val="002F280F"/>
    <w:rsid w:val="00300AD6"/>
    <w:rsid w:val="0030261E"/>
    <w:rsid w:val="00307840"/>
    <w:rsid w:val="00326E79"/>
    <w:rsid w:val="0032787A"/>
    <w:rsid w:val="00335C64"/>
    <w:rsid w:val="003367EF"/>
    <w:rsid w:val="00336DFF"/>
    <w:rsid w:val="00341AE4"/>
    <w:rsid w:val="00342159"/>
    <w:rsid w:val="00364DBD"/>
    <w:rsid w:val="003872CF"/>
    <w:rsid w:val="0039782C"/>
    <w:rsid w:val="003A5B4A"/>
    <w:rsid w:val="003B23C5"/>
    <w:rsid w:val="003B2A75"/>
    <w:rsid w:val="003B41D0"/>
    <w:rsid w:val="003D4AC4"/>
    <w:rsid w:val="003D63B7"/>
    <w:rsid w:val="003E468B"/>
    <w:rsid w:val="003F5C8C"/>
    <w:rsid w:val="0040107E"/>
    <w:rsid w:val="00405A17"/>
    <w:rsid w:val="00416361"/>
    <w:rsid w:val="00417B7A"/>
    <w:rsid w:val="00444BB3"/>
    <w:rsid w:val="004465BD"/>
    <w:rsid w:val="00466ADA"/>
    <w:rsid w:val="00476245"/>
    <w:rsid w:val="00485940"/>
    <w:rsid w:val="004A2484"/>
    <w:rsid w:val="004A5A85"/>
    <w:rsid w:val="004B5640"/>
    <w:rsid w:val="004C1BD7"/>
    <w:rsid w:val="004C691D"/>
    <w:rsid w:val="004C754B"/>
    <w:rsid w:val="004D6F0B"/>
    <w:rsid w:val="004E692D"/>
    <w:rsid w:val="00501554"/>
    <w:rsid w:val="00501AA1"/>
    <w:rsid w:val="00501B8B"/>
    <w:rsid w:val="005039CB"/>
    <w:rsid w:val="00514CD7"/>
    <w:rsid w:val="00530052"/>
    <w:rsid w:val="005319B2"/>
    <w:rsid w:val="00532C74"/>
    <w:rsid w:val="00534E2E"/>
    <w:rsid w:val="00535C6F"/>
    <w:rsid w:val="00542D60"/>
    <w:rsid w:val="00544552"/>
    <w:rsid w:val="00547955"/>
    <w:rsid w:val="00581932"/>
    <w:rsid w:val="00593F1C"/>
    <w:rsid w:val="005963BB"/>
    <w:rsid w:val="005A3173"/>
    <w:rsid w:val="005A3223"/>
    <w:rsid w:val="005A3DA3"/>
    <w:rsid w:val="005A52C4"/>
    <w:rsid w:val="005C3DA3"/>
    <w:rsid w:val="005D03AB"/>
    <w:rsid w:val="005D5017"/>
    <w:rsid w:val="005E48D9"/>
    <w:rsid w:val="005F16C5"/>
    <w:rsid w:val="005F4C61"/>
    <w:rsid w:val="00601A91"/>
    <w:rsid w:val="00602BA3"/>
    <w:rsid w:val="00604730"/>
    <w:rsid w:val="0061128D"/>
    <w:rsid w:val="00614159"/>
    <w:rsid w:val="00617C00"/>
    <w:rsid w:val="006263BF"/>
    <w:rsid w:val="0062748A"/>
    <w:rsid w:val="00630A2C"/>
    <w:rsid w:val="006436CD"/>
    <w:rsid w:val="00646846"/>
    <w:rsid w:val="00651169"/>
    <w:rsid w:val="00653D69"/>
    <w:rsid w:val="00670A76"/>
    <w:rsid w:val="006711AA"/>
    <w:rsid w:val="00672B57"/>
    <w:rsid w:val="00675622"/>
    <w:rsid w:val="006906DB"/>
    <w:rsid w:val="006A12A5"/>
    <w:rsid w:val="006B0D94"/>
    <w:rsid w:val="006B1D85"/>
    <w:rsid w:val="006B4584"/>
    <w:rsid w:val="006B485D"/>
    <w:rsid w:val="006B68E2"/>
    <w:rsid w:val="006C708E"/>
    <w:rsid w:val="006D6EC7"/>
    <w:rsid w:val="006F5125"/>
    <w:rsid w:val="006F72D1"/>
    <w:rsid w:val="00702AB3"/>
    <w:rsid w:val="007174BB"/>
    <w:rsid w:val="00751189"/>
    <w:rsid w:val="0075295C"/>
    <w:rsid w:val="0076420C"/>
    <w:rsid w:val="00773318"/>
    <w:rsid w:val="007753C2"/>
    <w:rsid w:val="007838B8"/>
    <w:rsid w:val="00786EC6"/>
    <w:rsid w:val="007B2C90"/>
    <w:rsid w:val="007C0F57"/>
    <w:rsid w:val="007C40B6"/>
    <w:rsid w:val="007C6E18"/>
    <w:rsid w:val="007C729F"/>
    <w:rsid w:val="007E1D28"/>
    <w:rsid w:val="007E20F0"/>
    <w:rsid w:val="007E6488"/>
    <w:rsid w:val="007F2641"/>
    <w:rsid w:val="007F7C36"/>
    <w:rsid w:val="00806796"/>
    <w:rsid w:val="008151D6"/>
    <w:rsid w:val="00826F6D"/>
    <w:rsid w:val="008309D6"/>
    <w:rsid w:val="00856DDD"/>
    <w:rsid w:val="00863E68"/>
    <w:rsid w:val="00882085"/>
    <w:rsid w:val="00883188"/>
    <w:rsid w:val="00897D58"/>
    <w:rsid w:val="008A1956"/>
    <w:rsid w:val="008A4937"/>
    <w:rsid w:val="008A50F1"/>
    <w:rsid w:val="008A7777"/>
    <w:rsid w:val="008C1B35"/>
    <w:rsid w:val="008D1B5C"/>
    <w:rsid w:val="008D3C82"/>
    <w:rsid w:val="008D447E"/>
    <w:rsid w:val="008D7A41"/>
    <w:rsid w:val="008E3680"/>
    <w:rsid w:val="008E5870"/>
    <w:rsid w:val="008F0555"/>
    <w:rsid w:val="008F1434"/>
    <w:rsid w:val="008F7355"/>
    <w:rsid w:val="00903F05"/>
    <w:rsid w:val="009067B7"/>
    <w:rsid w:val="00920992"/>
    <w:rsid w:val="00921913"/>
    <w:rsid w:val="00930937"/>
    <w:rsid w:val="00933E6C"/>
    <w:rsid w:val="00942160"/>
    <w:rsid w:val="00945133"/>
    <w:rsid w:val="0095146F"/>
    <w:rsid w:val="0095255F"/>
    <w:rsid w:val="00957D21"/>
    <w:rsid w:val="009602C5"/>
    <w:rsid w:val="00962223"/>
    <w:rsid w:val="00971B13"/>
    <w:rsid w:val="00974C21"/>
    <w:rsid w:val="009901CB"/>
    <w:rsid w:val="009B0F67"/>
    <w:rsid w:val="009C703C"/>
    <w:rsid w:val="009D3CAA"/>
    <w:rsid w:val="009E112E"/>
    <w:rsid w:val="009E65B7"/>
    <w:rsid w:val="009F4E46"/>
    <w:rsid w:val="009F5B65"/>
    <w:rsid w:val="009F5F2E"/>
    <w:rsid w:val="00A06225"/>
    <w:rsid w:val="00A128E6"/>
    <w:rsid w:val="00A16D23"/>
    <w:rsid w:val="00A36575"/>
    <w:rsid w:val="00A37C8D"/>
    <w:rsid w:val="00A5093A"/>
    <w:rsid w:val="00A5273B"/>
    <w:rsid w:val="00A53A9D"/>
    <w:rsid w:val="00A53EBC"/>
    <w:rsid w:val="00A55FEE"/>
    <w:rsid w:val="00A60CD2"/>
    <w:rsid w:val="00A62C1A"/>
    <w:rsid w:val="00A6426D"/>
    <w:rsid w:val="00A70622"/>
    <w:rsid w:val="00A70977"/>
    <w:rsid w:val="00A77613"/>
    <w:rsid w:val="00A8390C"/>
    <w:rsid w:val="00A928BD"/>
    <w:rsid w:val="00AA46B1"/>
    <w:rsid w:val="00AA4D1C"/>
    <w:rsid w:val="00AB432B"/>
    <w:rsid w:val="00AC0F8F"/>
    <w:rsid w:val="00AC193C"/>
    <w:rsid w:val="00AC1F51"/>
    <w:rsid w:val="00AC5206"/>
    <w:rsid w:val="00AD59BF"/>
    <w:rsid w:val="00AD7B51"/>
    <w:rsid w:val="00AE11A5"/>
    <w:rsid w:val="00AE13E2"/>
    <w:rsid w:val="00AF68CC"/>
    <w:rsid w:val="00AF7739"/>
    <w:rsid w:val="00B1059E"/>
    <w:rsid w:val="00B1617F"/>
    <w:rsid w:val="00B205AA"/>
    <w:rsid w:val="00B22E84"/>
    <w:rsid w:val="00B25F75"/>
    <w:rsid w:val="00B30888"/>
    <w:rsid w:val="00B33049"/>
    <w:rsid w:val="00B43E90"/>
    <w:rsid w:val="00B467DC"/>
    <w:rsid w:val="00B56118"/>
    <w:rsid w:val="00B6773F"/>
    <w:rsid w:val="00B801BA"/>
    <w:rsid w:val="00B8784F"/>
    <w:rsid w:val="00B972EC"/>
    <w:rsid w:val="00BA55E9"/>
    <w:rsid w:val="00BB1C92"/>
    <w:rsid w:val="00BB5380"/>
    <w:rsid w:val="00BB69F5"/>
    <w:rsid w:val="00BB7EC3"/>
    <w:rsid w:val="00BC4B9A"/>
    <w:rsid w:val="00BC4DF0"/>
    <w:rsid w:val="00BC53C8"/>
    <w:rsid w:val="00BD08B2"/>
    <w:rsid w:val="00BD784C"/>
    <w:rsid w:val="00BE5F91"/>
    <w:rsid w:val="00BF4CB6"/>
    <w:rsid w:val="00C00DA7"/>
    <w:rsid w:val="00C12768"/>
    <w:rsid w:val="00C12FD0"/>
    <w:rsid w:val="00C22C9A"/>
    <w:rsid w:val="00C27B58"/>
    <w:rsid w:val="00C35996"/>
    <w:rsid w:val="00C42BD6"/>
    <w:rsid w:val="00C4649F"/>
    <w:rsid w:val="00C5342C"/>
    <w:rsid w:val="00C603D4"/>
    <w:rsid w:val="00C6256A"/>
    <w:rsid w:val="00C82FB2"/>
    <w:rsid w:val="00C91449"/>
    <w:rsid w:val="00C928CE"/>
    <w:rsid w:val="00C92D10"/>
    <w:rsid w:val="00CB4098"/>
    <w:rsid w:val="00CB7AB5"/>
    <w:rsid w:val="00CE10C4"/>
    <w:rsid w:val="00CE1A57"/>
    <w:rsid w:val="00CE27B5"/>
    <w:rsid w:val="00D0321E"/>
    <w:rsid w:val="00D1455A"/>
    <w:rsid w:val="00D20196"/>
    <w:rsid w:val="00D257FE"/>
    <w:rsid w:val="00D3138B"/>
    <w:rsid w:val="00D3280C"/>
    <w:rsid w:val="00D3406A"/>
    <w:rsid w:val="00D469B2"/>
    <w:rsid w:val="00D57B2C"/>
    <w:rsid w:val="00D600AF"/>
    <w:rsid w:val="00D741EB"/>
    <w:rsid w:val="00D81F77"/>
    <w:rsid w:val="00D83605"/>
    <w:rsid w:val="00D84934"/>
    <w:rsid w:val="00D91271"/>
    <w:rsid w:val="00D91B3F"/>
    <w:rsid w:val="00DA1AC9"/>
    <w:rsid w:val="00DA2CB5"/>
    <w:rsid w:val="00DA4BAC"/>
    <w:rsid w:val="00DA5F05"/>
    <w:rsid w:val="00DD7913"/>
    <w:rsid w:val="00DE6D27"/>
    <w:rsid w:val="00DF217D"/>
    <w:rsid w:val="00DF26A7"/>
    <w:rsid w:val="00E15627"/>
    <w:rsid w:val="00E164B3"/>
    <w:rsid w:val="00E16910"/>
    <w:rsid w:val="00E30DD0"/>
    <w:rsid w:val="00E4629F"/>
    <w:rsid w:val="00E55743"/>
    <w:rsid w:val="00E65E54"/>
    <w:rsid w:val="00E80155"/>
    <w:rsid w:val="00E848C0"/>
    <w:rsid w:val="00E91B96"/>
    <w:rsid w:val="00E941A1"/>
    <w:rsid w:val="00E95CE3"/>
    <w:rsid w:val="00EA1D80"/>
    <w:rsid w:val="00EA2825"/>
    <w:rsid w:val="00EB1363"/>
    <w:rsid w:val="00EB36F0"/>
    <w:rsid w:val="00EB4214"/>
    <w:rsid w:val="00EB5088"/>
    <w:rsid w:val="00ED1644"/>
    <w:rsid w:val="00ED2593"/>
    <w:rsid w:val="00EE6715"/>
    <w:rsid w:val="00EF44A0"/>
    <w:rsid w:val="00EF4FED"/>
    <w:rsid w:val="00F050BD"/>
    <w:rsid w:val="00F05657"/>
    <w:rsid w:val="00F06B1C"/>
    <w:rsid w:val="00F233D5"/>
    <w:rsid w:val="00F25578"/>
    <w:rsid w:val="00F258E5"/>
    <w:rsid w:val="00F26A46"/>
    <w:rsid w:val="00F300BC"/>
    <w:rsid w:val="00F3334E"/>
    <w:rsid w:val="00F36CCB"/>
    <w:rsid w:val="00F50EC4"/>
    <w:rsid w:val="00F57A6D"/>
    <w:rsid w:val="00F638CC"/>
    <w:rsid w:val="00F64CC1"/>
    <w:rsid w:val="00F804E4"/>
    <w:rsid w:val="00F8247A"/>
    <w:rsid w:val="00F9629A"/>
    <w:rsid w:val="00FA3CBC"/>
    <w:rsid w:val="00FA5883"/>
    <w:rsid w:val="00FA5FEC"/>
    <w:rsid w:val="00FA6055"/>
    <w:rsid w:val="00FA7784"/>
    <w:rsid w:val="00FB322F"/>
    <w:rsid w:val="00FB442F"/>
    <w:rsid w:val="00FB7D07"/>
    <w:rsid w:val="00FC1929"/>
    <w:rsid w:val="00FC2C6C"/>
    <w:rsid w:val="00FC5818"/>
    <w:rsid w:val="00FC5B46"/>
    <w:rsid w:val="00FE0E94"/>
    <w:rsid w:val="00FF00BD"/>
    <w:rsid w:val="00FF1ED4"/>
    <w:rsid w:val="00FF2801"/>
    <w:rsid w:val="00FF5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rsid w:val="00604730"/>
    <w:rPr>
      <w:rFonts w:ascii="Arial" w:hAnsi="Arial"/>
      <w:b/>
      <w:i/>
      <w:sz w:val="22"/>
      <w:szCs w:val="24"/>
    </w:rPr>
  </w:style>
  <w:style w:type="paragraph" w:customStyle="1" w:styleId="Default">
    <w:name w:val="Default"/>
    <w:rsid w:val="00E4629F"/>
    <w:pPr>
      <w:autoSpaceDE w:val="0"/>
      <w:autoSpaceDN w:val="0"/>
      <w:adjustRightInd w:val="0"/>
    </w:pPr>
    <w:rPr>
      <w:rFonts w:ascii="Calibri" w:hAnsi="Calibri" w:cs="Calibri"/>
      <w:color w:val="000000"/>
      <w:sz w:val="24"/>
      <w:szCs w:val="24"/>
    </w:rPr>
  </w:style>
  <w:style w:type="paragraph" w:styleId="Caption">
    <w:name w:val="caption"/>
    <w:basedOn w:val="ListParagraph"/>
    <w:next w:val="Normal"/>
    <w:unhideWhenUsed/>
    <w:qFormat/>
    <w:rsid w:val="004C754B"/>
    <w:rPr>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rsid w:val="00604730"/>
    <w:rPr>
      <w:rFonts w:ascii="Arial" w:hAnsi="Arial"/>
      <w:b/>
      <w:i/>
      <w:sz w:val="22"/>
      <w:szCs w:val="24"/>
    </w:rPr>
  </w:style>
  <w:style w:type="paragraph" w:customStyle="1" w:styleId="Default">
    <w:name w:val="Default"/>
    <w:rsid w:val="00E4629F"/>
    <w:pPr>
      <w:autoSpaceDE w:val="0"/>
      <w:autoSpaceDN w:val="0"/>
      <w:adjustRightInd w:val="0"/>
    </w:pPr>
    <w:rPr>
      <w:rFonts w:ascii="Calibri" w:hAnsi="Calibri" w:cs="Calibri"/>
      <w:color w:val="000000"/>
      <w:sz w:val="24"/>
      <w:szCs w:val="24"/>
    </w:rPr>
  </w:style>
  <w:style w:type="paragraph" w:styleId="Caption">
    <w:name w:val="caption"/>
    <w:basedOn w:val="ListParagraph"/>
    <w:next w:val="Normal"/>
    <w:unhideWhenUsed/>
    <w:qFormat/>
    <w:rsid w:val="004C754B"/>
    <w:rPr>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44B99-C90E-465E-8EF0-FD29A6F4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2017-10-11T01:11:00Z</dcterms:created>
  <dcterms:modified xsi:type="dcterms:W3CDTF">2017-10-11T01:13:00Z</dcterms:modified>
</cp:coreProperties>
</file>