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8B0" w:rsidRDefault="00F00ED5" w:rsidP="00513C61">
      <w:pPr>
        <w:ind w:left="1418" w:hanging="1418"/>
        <w:rPr>
          <w:b/>
          <w:sz w:val="36"/>
          <w:szCs w:val="36"/>
        </w:rPr>
      </w:pPr>
      <w:r w:rsidRPr="00852E65">
        <w:rPr>
          <w:b/>
          <w:sz w:val="36"/>
          <w:szCs w:val="36"/>
        </w:rPr>
        <w:t>7.07</w:t>
      </w:r>
      <w:r w:rsidR="00C317F3" w:rsidRPr="00852E65">
        <w:rPr>
          <w:b/>
          <w:sz w:val="36"/>
          <w:szCs w:val="36"/>
        </w:rPr>
        <w:tab/>
      </w:r>
      <w:r w:rsidR="00B17E64" w:rsidRPr="00852E65">
        <w:rPr>
          <w:b/>
          <w:sz w:val="36"/>
          <w:szCs w:val="36"/>
        </w:rPr>
        <w:t>PRALATREXATE</w:t>
      </w:r>
      <w:r w:rsidR="00C317F3" w:rsidRPr="00852E65">
        <w:rPr>
          <w:b/>
          <w:sz w:val="36"/>
          <w:szCs w:val="36"/>
        </w:rPr>
        <w:t>,</w:t>
      </w:r>
      <w:r w:rsidR="00852E65" w:rsidRPr="00852E65">
        <w:rPr>
          <w:b/>
          <w:sz w:val="36"/>
          <w:szCs w:val="36"/>
        </w:rPr>
        <w:t xml:space="preserve"> </w:t>
      </w:r>
    </w:p>
    <w:p w:rsidR="00C168B0" w:rsidRDefault="00B17E64" w:rsidP="00513C61">
      <w:pPr>
        <w:ind w:left="1418"/>
        <w:rPr>
          <w:b/>
          <w:sz w:val="36"/>
          <w:szCs w:val="36"/>
        </w:rPr>
      </w:pPr>
      <w:r w:rsidRPr="00852E65">
        <w:rPr>
          <w:b/>
          <w:sz w:val="36"/>
          <w:szCs w:val="36"/>
        </w:rPr>
        <w:t xml:space="preserve">Solution for </w:t>
      </w:r>
      <w:r w:rsidR="00764CE8" w:rsidRPr="00852E65">
        <w:rPr>
          <w:b/>
          <w:sz w:val="36"/>
          <w:szCs w:val="36"/>
        </w:rPr>
        <w:t xml:space="preserve">I.V. </w:t>
      </w:r>
      <w:r w:rsidRPr="00852E65">
        <w:rPr>
          <w:b/>
          <w:sz w:val="36"/>
          <w:szCs w:val="36"/>
        </w:rPr>
        <w:t xml:space="preserve">infusion, 20 mg </w:t>
      </w:r>
      <w:r w:rsidR="00764CE8" w:rsidRPr="00852E65">
        <w:rPr>
          <w:b/>
          <w:sz w:val="36"/>
          <w:szCs w:val="36"/>
        </w:rPr>
        <w:t xml:space="preserve">in </w:t>
      </w:r>
      <w:r w:rsidRPr="00852E65">
        <w:rPr>
          <w:b/>
          <w:sz w:val="36"/>
          <w:szCs w:val="36"/>
        </w:rPr>
        <w:t>1 mL</w:t>
      </w:r>
      <w:r w:rsidR="00C317F3" w:rsidRPr="00852E65">
        <w:rPr>
          <w:b/>
          <w:sz w:val="36"/>
          <w:szCs w:val="36"/>
        </w:rPr>
        <w:t xml:space="preserve">, </w:t>
      </w:r>
    </w:p>
    <w:p w:rsidR="00C317F3" w:rsidRPr="00852E65" w:rsidRDefault="00B17E64" w:rsidP="00513C61">
      <w:pPr>
        <w:ind w:left="1418"/>
        <w:rPr>
          <w:sz w:val="36"/>
          <w:szCs w:val="36"/>
        </w:rPr>
      </w:pPr>
      <w:proofErr w:type="spellStart"/>
      <w:r w:rsidRPr="00852E65">
        <w:rPr>
          <w:b/>
          <w:sz w:val="36"/>
          <w:szCs w:val="36"/>
        </w:rPr>
        <w:t>Folotyn</w:t>
      </w:r>
      <w:proofErr w:type="spellEnd"/>
      <w:r w:rsidR="00C317F3" w:rsidRPr="00852E65">
        <w:rPr>
          <w:b/>
          <w:sz w:val="36"/>
          <w:szCs w:val="36"/>
        </w:rPr>
        <w:t xml:space="preserve">®, </w:t>
      </w:r>
      <w:proofErr w:type="spellStart"/>
      <w:r w:rsidRPr="00852E65">
        <w:rPr>
          <w:b/>
          <w:sz w:val="36"/>
          <w:szCs w:val="36"/>
        </w:rPr>
        <w:t>Mundipharma</w:t>
      </w:r>
      <w:proofErr w:type="spellEnd"/>
    </w:p>
    <w:p w:rsidR="006C19DF" w:rsidRPr="00925688" w:rsidRDefault="006C19DF" w:rsidP="006C19DF">
      <w:pPr>
        <w:pStyle w:val="Heading1"/>
        <w:numPr>
          <w:ilvl w:val="0"/>
          <w:numId w:val="19"/>
        </w:numPr>
        <w:ind w:left="709" w:hanging="709"/>
        <w:jc w:val="both"/>
        <w:rPr>
          <w:caps/>
        </w:rPr>
      </w:pPr>
      <w:bookmarkStart w:id="0" w:name="_Toc413139271"/>
      <w:bookmarkStart w:id="1" w:name="_Toc476306881"/>
      <w:bookmarkStart w:id="2" w:name="_Toc482796743"/>
      <w:r w:rsidRPr="00925688">
        <w:t>Purpose of Application</w:t>
      </w:r>
      <w:bookmarkEnd w:id="0"/>
      <w:bookmarkEnd w:id="1"/>
      <w:bookmarkEnd w:id="2"/>
    </w:p>
    <w:p w:rsidR="00673D97" w:rsidRPr="00852E65" w:rsidRDefault="00673D97" w:rsidP="005C26CE">
      <w:pPr>
        <w:pStyle w:val="ListParagraph"/>
        <w:numPr>
          <w:ilvl w:val="1"/>
          <w:numId w:val="14"/>
        </w:numPr>
        <w:spacing w:before="0" w:after="120"/>
        <w:ind w:left="720" w:hanging="720"/>
        <w:jc w:val="both"/>
      </w:pPr>
      <w:r w:rsidRPr="00852E65">
        <w:t xml:space="preserve">Section 100, Authority </w:t>
      </w:r>
      <w:proofErr w:type="gramStart"/>
      <w:r w:rsidRPr="00852E65">
        <w:t>Required</w:t>
      </w:r>
      <w:proofErr w:type="gramEnd"/>
      <w:r w:rsidRPr="00852E65">
        <w:t xml:space="preserve"> listing for </w:t>
      </w:r>
      <w:proofErr w:type="spellStart"/>
      <w:r w:rsidRPr="00852E65">
        <w:t>pralatrexate</w:t>
      </w:r>
      <w:proofErr w:type="spellEnd"/>
      <w:r w:rsidRPr="00852E65">
        <w:t xml:space="preserve"> for treatment of relapsed and refractory peripheral T-cell lymphoma (PTCL).</w:t>
      </w:r>
    </w:p>
    <w:p w:rsidR="007368CA" w:rsidRDefault="007368CA" w:rsidP="007368CA">
      <w:pPr>
        <w:pStyle w:val="Caption"/>
      </w:pPr>
      <w:r>
        <w:t xml:space="preserve">Table </w:t>
      </w:r>
      <w:r w:rsidR="007152C2">
        <w:rPr>
          <w:noProof/>
        </w:rPr>
        <w:t>1</w:t>
      </w:r>
      <w:r w:rsidRPr="00A84B72">
        <w:t>: Key components of the clinical issue addressed by the resubmission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resubmission"/>
      </w:tblPr>
      <w:tblGrid>
        <w:gridCol w:w="1271"/>
        <w:gridCol w:w="7745"/>
      </w:tblGrid>
      <w:tr w:rsidR="00673D97" w:rsidRPr="00852E65" w:rsidTr="000B11CC">
        <w:trPr>
          <w:cnfStyle w:val="100000000000" w:firstRow="1" w:lastRow="0" w:firstColumn="0" w:lastColumn="0" w:oddVBand="0" w:evenVBand="0" w:oddHBand="0" w:evenHBand="0" w:firstRowFirstColumn="0" w:firstRowLastColumn="0" w:lastRowFirstColumn="0" w:lastRowLastColumn="0"/>
          <w:cantSplit/>
          <w:tblHeader/>
        </w:trPr>
        <w:tc>
          <w:tcPr>
            <w:tcW w:w="1271" w:type="dxa"/>
            <w:shd w:val="clear" w:color="auto" w:fill="auto"/>
            <w:tcMar>
              <w:left w:w="28" w:type="dxa"/>
              <w:right w:w="28" w:type="dxa"/>
            </w:tcMar>
          </w:tcPr>
          <w:p w:rsidR="00673D97" w:rsidRPr="00852E65" w:rsidRDefault="00673D97" w:rsidP="007D5AB9">
            <w:pPr>
              <w:pStyle w:val="TableText"/>
              <w:rPr>
                <w:b w:val="0"/>
              </w:rPr>
            </w:pPr>
            <w:r w:rsidRPr="00852E65">
              <w:t>Component</w:t>
            </w:r>
          </w:p>
        </w:tc>
        <w:tc>
          <w:tcPr>
            <w:tcW w:w="7745" w:type="dxa"/>
            <w:shd w:val="clear" w:color="auto" w:fill="auto"/>
            <w:tcMar>
              <w:left w:w="28" w:type="dxa"/>
              <w:right w:w="28" w:type="dxa"/>
            </w:tcMar>
          </w:tcPr>
          <w:p w:rsidR="00673D97" w:rsidRPr="00852E65" w:rsidRDefault="00673D97" w:rsidP="007D5AB9">
            <w:pPr>
              <w:pStyle w:val="TableText"/>
              <w:rPr>
                <w:b w:val="0"/>
              </w:rPr>
            </w:pPr>
            <w:r w:rsidRPr="00852E65">
              <w:t>Description</w:t>
            </w:r>
          </w:p>
        </w:tc>
      </w:tr>
      <w:tr w:rsidR="00673D97" w:rsidRPr="00852E65" w:rsidTr="000B11CC">
        <w:trPr>
          <w:cantSplit/>
          <w:trHeight w:val="226"/>
        </w:trPr>
        <w:tc>
          <w:tcPr>
            <w:tcW w:w="1271" w:type="dxa"/>
            <w:tcMar>
              <w:left w:w="28" w:type="dxa"/>
              <w:right w:w="28" w:type="dxa"/>
            </w:tcMar>
          </w:tcPr>
          <w:p w:rsidR="00673D97" w:rsidRPr="00852E65" w:rsidRDefault="00673D97" w:rsidP="007D5AB9">
            <w:pPr>
              <w:pStyle w:val="TableText"/>
            </w:pPr>
            <w:r w:rsidRPr="00852E65">
              <w:t>Population</w:t>
            </w:r>
          </w:p>
        </w:tc>
        <w:tc>
          <w:tcPr>
            <w:tcW w:w="7745" w:type="dxa"/>
            <w:tcMar>
              <w:left w:w="28" w:type="dxa"/>
              <w:right w:w="28" w:type="dxa"/>
            </w:tcMar>
          </w:tcPr>
          <w:p w:rsidR="00673D97" w:rsidRPr="00852E65" w:rsidRDefault="00673D97" w:rsidP="007D5AB9">
            <w:pPr>
              <w:pStyle w:val="TableText"/>
              <w:rPr>
                <w:rFonts w:ascii="Times" w:eastAsia="Times New Roman" w:hAnsi="Times" w:cs="Times New Roman"/>
              </w:rPr>
            </w:pPr>
            <w:r w:rsidRPr="00852E65">
              <w:t>Adult patients with relapsed or refractory PTCL following first-line chemotherapy.</w:t>
            </w:r>
          </w:p>
        </w:tc>
      </w:tr>
      <w:tr w:rsidR="00673D97" w:rsidRPr="00852E65" w:rsidTr="000B11CC">
        <w:trPr>
          <w:cantSplit/>
          <w:trHeight w:val="344"/>
        </w:trPr>
        <w:tc>
          <w:tcPr>
            <w:tcW w:w="1271" w:type="dxa"/>
            <w:tcMar>
              <w:left w:w="28" w:type="dxa"/>
              <w:right w:w="28" w:type="dxa"/>
            </w:tcMar>
          </w:tcPr>
          <w:p w:rsidR="00673D97" w:rsidRPr="00852E65" w:rsidRDefault="00673D97" w:rsidP="007D5AB9">
            <w:pPr>
              <w:pStyle w:val="TableText"/>
              <w:rPr>
                <w:rFonts w:ascii="Times" w:eastAsia="Times New Roman" w:hAnsi="Times" w:cs="Times New Roman"/>
              </w:rPr>
            </w:pPr>
            <w:r w:rsidRPr="00852E65">
              <w:t>Intervention</w:t>
            </w:r>
          </w:p>
        </w:tc>
        <w:tc>
          <w:tcPr>
            <w:tcW w:w="7745" w:type="dxa"/>
            <w:tcMar>
              <w:left w:w="28" w:type="dxa"/>
              <w:right w:w="28" w:type="dxa"/>
            </w:tcMar>
          </w:tcPr>
          <w:p w:rsidR="00673D97" w:rsidRPr="00852E65" w:rsidRDefault="00673D97" w:rsidP="007D5AB9">
            <w:pPr>
              <w:pStyle w:val="TableText"/>
              <w:rPr>
                <w:rFonts w:ascii="Times" w:eastAsia="Times New Roman" w:hAnsi="Times" w:cs="Times New Roman"/>
              </w:rPr>
            </w:pPr>
            <w:proofErr w:type="spellStart"/>
            <w:r w:rsidRPr="00852E65">
              <w:t>Pralatrexate</w:t>
            </w:r>
            <w:proofErr w:type="spellEnd"/>
            <w:r w:rsidRPr="00852E65">
              <w:t xml:space="preserve"> 30 mg/m</w:t>
            </w:r>
            <w:r w:rsidRPr="00852E65">
              <w:rPr>
                <w:vertAlign w:val="superscript"/>
              </w:rPr>
              <w:t>2</w:t>
            </w:r>
            <w:r w:rsidRPr="00852E65">
              <w:t xml:space="preserve"> IV infusion once weekly for six weeks, followed by one week rest, until disease progression or unacceptable toxicity. </w:t>
            </w:r>
          </w:p>
        </w:tc>
      </w:tr>
      <w:tr w:rsidR="00673D97" w:rsidRPr="00852E65" w:rsidTr="000B11CC">
        <w:trPr>
          <w:cantSplit/>
        </w:trPr>
        <w:tc>
          <w:tcPr>
            <w:tcW w:w="1271" w:type="dxa"/>
            <w:tcMar>
              <w:left w:w="28" w:type="dxa"/>
              <w:right w:w="28" w:type="dxa"/>
            </w:tcMar>
          </w:tcPr>
          <w:p w:rsidR="00673D97" w:rsidRPr="00852E65" w:rsidRDefault="00673D97" w:rsidP="007D5AB9">
            <w:pPr>
              <w:pStyle w:val="TableText"/>
              <w:keepNext w:val="0"/>
              <w:rPr>
                <w:rFonts w:ascii="Times" w:eastAsia="Times New Roman" w:hAnsi="Times" w:cs="Times New Roman"/>
              </w:rPr>
            </w:pPr>
            <w:r w:rsidRPr="00852E65">
              <w:t>Comparator</w:t>
            </w:r>
          </w:p>
        </w:tc>
        <w:tc>
          <w:tcPr>
            <w:tcW w:w="7745" w:type="dxa"/>
            <w:tcMar>
              <w:left w:w="28" w:type="dxa"/>
              <w:right w:w="28" w:type="dxa"/>
            </w:tcMar>
          </w:tcPr>
          <w:p w:rsidR="00673D97" w:rsidRPr="00852E65" w:rsidRDefault="00673D97" w:rsidP="007D5AB9">
            <w:pPr>
              <w:pStyle w:val="TableText"/>
              <w:keepNext w:val="0"/>
              <w:rPr>
                <w:rFonts w:ascii="Times" w:eastAsia="Times New Roman" w:hAnsi="Times" w:cs="Times New Roman"/>
              </w:rPr>
            </w:pPr>
            <w:r w:rsidRPr="00852E65">
              <w:t xml:space="preserve">‘Basket of comparator treatments’ – DHAP, </w:t>
            </w:r>
            <w:proofErr w:type="spellStart"/>
            <w:r w:rsidRPr="00852E65">
              <w:t>brentuximab</w:t>
            </w:r>
            <w:proofErr w:type="spellEnd"/>
            <w:r w:rsidRPr="00852E65">
              <w:t xml:space="preserve">, gemcitabine containing regimens, methotrexate, </w:t>
            </w:r>
            <w:proofErr w:type="spellStart"/>
            <w:r w:rsidRPr="00852E65">
              <w:t>romidepsin</w:t>
            </w:r>
            <w:proofErr w:type="spellEnd"/>
            <w:r w:rsidRPr="00852E65">
              <w:t xml:space="preserve"> (not PBS listed in Australia), ESHAP, and ICE</w:t>
            </w:r>
            <w:r w:rsidR="001F185B" w:rsidRPr="00852E65">
              <w:t>.</w:t>
            </w:r>
          </w:p>
        </w:tc>
      </w:tr>
      <w:tr w:rsidR="00673D97" w:rsidRPr="00852E65" w:rsidTr="000B11CC">
        <w:trPr>
          <w:cantSplit/>
        </w:trPr>
        <w:tc>
          <w:tcPr>
            <w:tcW w:w="1271" w:type="dxa"/>
            <w:tcMar>
              <w:left w:w="28" w:type="dxa"/>
              <w:right w:w="28" w:type="dxa"/>
            </w:tcMar>
          </w:tcPr>
          <w:p w:rsidR="00673D97" w:rsidRPr="00852E65" w:rsidRDefault="00673D97" w:rsidP="007D5AB9">
            <w:pPr>
              <w:pStyle w:val="TableText"/>
              <w:keepNext w:val="0"/>
              <w:rPr>
                <w:rFonts w:ascii="Times" w:eastAsia="Times New Roman" w:hAnsi="Times" w:cs="Times New Roman"/>
              </w:rPr>
            </w:pPr>
            <w:r w:rsidRPr="00852E65">
              <w:t>Outcomes</w:t>
            </w:r>
          </w:p>
        </w:tc>
        <w:tc>
          <w:tcPr>
            <w:tcW w:w="7745" w:type="dxa"/>
            <w:tcMar>
              <w:left w:w="28" w:type="dxa"/>
              <w:right w:w="28" w:type="dxa"/>
            </w:tcMar>
          </w:tcPr>
          <w:p w:rsidR="00673D97" w:rsidRPr="00852E65" w:rsidRDefault="00673D97" w:rsidP="007D5AB9">
            <w:pPr>
              <w:pStyle w:val="TableText"/>
              <w:keepNext w:val="0"/>
              <w:rPr>
                <w:rFonts w:ascii="Times" w:eastAsia="Times New Roman" w:hAnsi="Times" w:cs="Times New Roman"/>
              </w:rPr>
            </w:pPr>
            <w:r w:rsidRPr="00852E65">
              <w:t>Overall survival, overall response rate, safety</w:t>
            </w:r>
            <w:r w:rsidR="001F185B" w:rsidRPr="00852E65">
              <w:t>.</w:t>
            </w:r>
          </w:p>
        </w:tc>
      </w:tr>
      <w:tr w:rsidR="00673D97" w:rsidRPr="00852E65" w:rsidTr="000B11CC">
        <w:trPr>
          <w:cantSplit/>
        </w:trPr>
        <w:tc>
          <w:tcPr>
            <w:tcW w:w="1271" w:type="dxa"/>
            <w:tcMar>
              <w:left w:w="28" w:type="dxa"/>
              <w:right w:w="28" w:type="dxa"/>
            </w:tcMar>
          </w:tcPr>
          <w:p w:rsidR="00673D97" w:rsidRPr="00852E65" w:rsidRDefault="00673D97" w:rsidP="007D5AB9">
            <w:pPr>
              <w:pStyle w:val="TableText"/>
              <w:keepNext w:val="0"/>
              <w:rPr>
                <w:rFonts w:ascii="Times" w:eastAsia="Times New Roman" w:hAnsi="Times" w:cs="Times New Roman"/>
              </w:rPr>
            </w:pPr>
            <w:r w:rsidRPr="00852E65">
              <w:t>Clinical claim</w:t>
            </w:r>
          </w:p>
        </w:tc>
        <w:tc>
          <w:tcPr>
            <w:tcW w:w="7745" w:type="dxa"/>
            <w:tcMar>
              <w:left w:w="28" w:type="dxa"/>
              <w:right w:w="28" w:type="dxa"/>
            </w:tcMar>
          </w:tcPr>
          <w:p w:rsidR="00673D97" w:rsidRPr="00852E65" w:rsidRDefault="00673D97" w:rsidP="007D5AB9">
            <w:pPr>
              <w:pStyle w:val="TableText"/>
              <w:keepNext w:val="0"/>
              <w:rPr>
                <w:rFonts w:ascii="Times" w:eastAsia="Times New Roman" w:hAnsi="Times" w:cs="Times New Roman"/>
              </w:rPr>
            </w:pPr>
            <w:proofErr w:type="spellStart"/>
            <w:r w:rsidRPr="00852E65">
              <w:t>Pralatrexate</w:t>
            </w:r>
            <w:proofErr w:type="spellEnd"/>
            <w:r w:rsidRPr="00852E65">
              <w:t xml:space="preserve"> is superior in terms of effectiveness and non-inferior in term of safety compared to the identified ‘basket of comparators’ in adult patients with relapsed or refractory PTCL.</w:t>
            </w:r>
          </w:p>
        </w:tc>
      </w:tr>
    </w:tbl>
    <w:p w:rsidR="00673D97" w:rsidRPr="00852E65" w:rsidRDefault="00673D97" w:rsidP="007D5AB9">
      <w:pPr>
        <w:pStyle w:val="TableFooter"/>
        <w:widowControl/>
      </w:pPr>
      <w:r w:rsidRPr="00852E65">
        <w:t>Source: Table 1.1, p1-8 to 1-9 of the resubmission.</w:t>
      </w:r>
    </w:p>
    <w:p w:rsidR="00673D97" w:rsidRPr="00852E65" w:rsidRDefault="00673D97" w:rsidP="007D5AB9">
      <w:pPr>
        <w:pStyle w:val="TableFooter"/>
        <w:widowControl/>
      </w:pPr>
      <w:r w:rsidRPr="00852E65">
        <w:t xml:space="preserve">DHAP = dexamethasone, </w:t>
      </w:r>
      <w:proofErr w:type="spellStart"/>
      <w:r w:rsidRPr="00852E65">
        <w:t>cytarabine</w:t>
      </w:r>
      <w:proofErr w:type="spellEnd"/>
      <w:r w:rsidRPr="00852E65">
        <w:t xml:space="preserve">, cisplatin, ESHAP = etoposide, methylprednisolone, </w:t>
      </w:r>
      <w:proofErr w:type="spellStart"/>
      <w:r w:rsidRPr="00852E65">
        <w:t>cytarabine</w:t>
      </w:r>
      <w:proofErr w:type="spellEnd"/>
      <w:r w:rsidRPr="00852E65">
        <w:t xml:space="preserve">, cisplatin; ICE = </w:t>
      </w:r>
      <w:proofErr w:type="spellStart"/>
      <w:r w:rsidRPr="00852E65">
        <w:t>ifosfamide</w:t>
      </w:r>
      <w:proofErr w:type="spellEnd"/>
      <w:r w:rsidRPr="00852E65">
        <w:t>, carboplatin, etoposide; IV = intravenous; PBS = Pharmaceutical Benefits Scheme; PTCL = peripheral T-cell lymphoma</w:t>
      </w:r>
    </w:p>
    <w:p w:rsidR="00673D97" w:rsidRDefault="00673D97" w:rsidP="00400915">
      <w:pPr>
        <w:pStyle w:val="ListParagraph"/>
        <w:numPr>
          <w:ilvl w:val="1"/>
          <w:numId w:val="14"/>
        </w:numPr>
        <w:spacing w:before="0" w:after="120"/>
        <w:ind w:hanging="792"/>
        <w:jc w:val="both"/>
      </w:pPr>
      <w:r w:rsidRPr="00852E65">
        <w:t>The key components presented in the July 2017 resubmission were unchanged from the previous submissions.</w:t>
      </w:r>
    </w:p>
    <w:p w:rsidR="006C19DF" w:rsidRPr="00925688" w:rsidRDefault="006C19DF" w:rsidP="006C19DF">
      <w:pPr>
        <w:pStyle w:val="Heading1"/>
        <w:numPr>
          <w:ilvl w:val="0"/>
          <w:numId w:val="19"/>
        </w:numPr>
        <w:ind w:left="709" w:hanging="709"/>
        <w:jc w:val="both"/>
        <w:rPr>
          <w:caps/>
        </w:rPr>
      </w:pPr>
      <w:bookmarkStart w:id="3" w:name="_Toc413139272"/>
      <w:bookmarkStart w:id="4" w:name="_Toc476306882"/>
      <w:bookmarkStart w:id="5" w:name="_Toc482796744"/>
      <w:bookmarkStart w:id="6" w:name="_Toc413139273"/>
      <w:r w:rsidRPr="00925688">
        <w:t>Requested listing</w:t>
      </w:r>
      <w:bookmarkEnd w:id="3"/>
      <w:bookmarkEnd w:id="4"/>
      <w:bookmarkEnd w:id="5"/>
    </w:p>
    <w:p w:rsidR="00554993" w:rsidRPr="00552722" w:rsidRDefault="00554993" w:rsidP="00554993">
      <w:r w:rsidRPr="00552722">
        <w:t>Suggestions and additions</w:t>
      </w:r>
      <w:r>
        <w:t xml:space="preserve"> are</w:t>
      </w:r>
      <w:r w:rsidRPr="00552722">
        <w:t xml:space="preserve"> in</w:t>
      </w:r>
      <w:r w:rsidRPr="00552722">
        <w:rPr>
          <w:i/>
        </w:rPr>
        <w:t xml:space="preserve"> </w:t>
      </w:r>
      <w:r>
        <w:rPr>
          <w:i/>
        </w:rPr>
        <w:t>italics</w:t>
      </w:r>
      <w:r w:rsidRPr="00552722">
        <w:rPr>
          <w:i/>
        </w:rPr>
        <w:t xml:space="preserve"> </w:t>
      </w:r>
      <w:r w:rsidRPr="00552722">
        <w:t>and</w:t>
      </w:r>
      <w:r>
        <w:t xml:space="preserve"> deletions are in</w:t>
      </w:r>
      <w:r w:rsidRPr="00552722">
        <w:t xml:space="preserve"> </w:t>
      </w:r>
      <w:r w:rsidRPr="00552722">
        <w:rPr>
          <w:strike/>
        </w:rPr>
        <w:t>strikethrough</w:t>
      </w:r>
    </w:p>
    <w:tbl>
      <w:tblPr>
        <w:tblW w:w="9072" w:type="dxa"/>
        <w:tblInd w:w="108" w:type="dxa"/>
        <w:tblLayout w:type="fixed"/>
        <w:tblLook w:val="0000" w:firstRow="0" w:lastRow="0" w:firstColumn="0" w:lastColumn="0" w:noHBand="0" w:noVBand="0"/>
      </w:tblPr>
      <w:tblGrid>
        <w:gridCol w:w="2268"/>
        <w:gridCol w:w="567"/>
        <w:gridCol w:w="851"/>
        <w:gridCol w:w="709"/>
        <w:gridCol w:w="1984"/>
        <w:gridCol w:w="992"/>
        <w:gridCol w:w="1701"/>
      </w:tblGrid>
      <w:tr w:rsidR="0017321C" w:rsidRPr="00260CE3" w:rsidTr="0017321C">
        <w:trPr>
          <w:cantSplit/>
          <w:trHeight w:val="471"/>
        </w:trPr>
        <w:tc>
          <w:tcPr>
            <w:tcW w:w="2835" w:type="dxa"/>
            <w:gridSpan w:val="2"/>
            <w:tcBorders>
              <w:bottom w:val="single" w:sz="4" w:space="0" w:color="auto"/>
            </w:tcBorders>
            <w:vAlign w:val="center"/>
          </w:tcPr>
          <w:p w:rsidR="0017321C" w:rsidRPr="00260CE3" w:rsidRDefault="0017321C" w:rsidP="0017321C">
            <w:pPr>
              <w:keepNext/>
              <w:spacing w:before="0" w:after="0"/>
              <w:ind w:left="-108"/>
              <w:jc w:val="center"/>
              <w:rPr>
                <w:rFonts w:ascii="Arial Narrow" w:hAnsi="Arial Narrow"/>
                <w:sz w:val="20"/>
              </w:rPr>
            </w:pPr>
            <w:r w:rsidRPr="00260CE3">
              <w:rPr>
                <w:rFonts w:ascii="Arial Narrow" w:hAnsi="Arial Narrow"/>
                <w:sz w:val="20"/>
              </w:rPr>
              <w:t>Name, Restriction,</w:t>
            </w:r>
          </w:p>
          <w:p w:rsidR="0017321C" w:rsidRPr="00260CE3" w:rsidRDefault="0017321C" w:rsidP="0017321C">
            <w:pPr>
              <w:keepNext/>
              <w:spacing w:before="0" w:after="0"/>
              <w:ind w:left="-108"/>
              <w:jc w:val="center"/>
              <w:rPr>
                <w:rFonts w:ascii="Arial Narrow" w:hAnsi="Arial Narrow"/>
                <w:sz w:val="20"/>
              </w:rPr>
            </w:pPr>
            <w:r w:rsidRPr="00260CE3">
              <w:rPr>
                <w:rFonts w:ascii="Arial Narrow" w:hAnsi="Arial Narrow"/>
                <w:sz w:val="20"/>
              </w:rPr>
              <w:t>Manner of administration and form</w:t>
            </w:r>
          </w:p>
        </w:tc>
        <w:tc>
          <w:tcPr>
            <w:tcW w:w="851" w:type="dxa"/>
            <w:tcBorders>
              <w:bottom w:val="single" w:sz="4" w:space="0" w:color="auto"/>
            </w:tcBorders>
            <w:vAlign w:val="center"/>
          </w:tcPr>
          <w:p w:rsidR="0017321C" w:rsidRPr="00260CE3" w:rsidRDefault="005C26CE" w:rsidP="0017321C">
            <w:pPr>
              <w:keepNext/>
              <w:spacing w:before="0" w:after="0"/>
              <w:ind w:left="-108"/>
              <w:jc w:val="center"/>
              <w:rPr>
                <w:rFonts w:ascii="Arial Narrow" w:hAnsi="Arial Narrow"/>
                <w:sz w:val="20"/>
              </w:rPr>
            </w:pPr>
            <w:r w:rsidRPr="00260CE3">
              <w:rPr>
                <w:rFonts w:ascii="Arial Narrow" w:hAnsi="Arial Narrow"/>
                <w:sz w:val="20"/>
              </w:rPr>
              <w:t>Max.</w:t>
            </w:r>
            <w:r>
              <w:rPr>
                <w:rFonts w:ascii="Arial Narrow" w:hAnsi="Arial Narrow"/>
                <w:sz w:val="20"/>
              </w:rPr>
              <w:t xml:space="preserve"> </w:t>
            </w:r>
            <w:proofErr w:type="spellStart"/>
            <w:r>
              <w:rPr>
                <w:rFonts w:ascii="Arial Narrow" w:hAnsi="Arial Narrow"/>
                <w:sz w:val="20"/>
              </w:rPr>
              <w:t>Amt</w:t>
            </w:r>
            <w:proofErr w:type="spellEnd"/>
          </w:p>
        </w:tc>
        <w:tc>
          <w:tcPr>
            <w:tcW w:w="709" w:type="dxa"/>
            <w:tcBorders>
              <w:bottom w:val="single" w:sz="4" w:space="0" w:color="auto"/>
            </w:tcBorders>
            <w:vAlign w:val="center"/>
          </w:tcPr>
          <w:p w:rsidR="0017321C" w:rsidRPr="00260CE3" w:rsidRDefault="0017321C" w:rsidP="0017321C">
            <w:pPr>
              <w:keepNext/>
              <w:spacing w:before="0" w:after="0"/>
              <w:ind w:left="-108"/>
              <w:jc w:val="center"/>
              <w:rPr>
                <w:rFonts w:ascii="Arial Narrow" w:hAnsi="Arial Narrow"/>
                <w:sz w:val="20"/>
              </w:rPr>
            </w:pPr>
            <w:r w:rsidRPr="00260CE3">
              <w:rPr>
                <w:rFonts w:ascii="Arial Narrow" w:hAnsi="Arial Narrow"/>
                <w:sz w:val="20"/>
              </w:rPr>
              <w:t xml:space="preserve">№.of </w:t>
            </w:r>
            <w:proofErr w:type="spellStart"/>
            <w:r w:rsidRPr="00260CE3">
              <w:rPr>
                <w:rFonts w:ascii="Arial Narrow" w:hAnsi="Arial Narrow"/>
                <w:sz w:val="20"/>
              </w:rPr>
              <w:t>Rpts</w:t>
            </w:r>
            <w:proofErr w:type="spellEnd"/>
          </w:p>
        </w:tc>
        <w:tc>
          <w:tcPr>
            <w:tcW w:w="1984" w:type="dxa"/>
            <w:tcBorders>
              <w:bottom w:val="single" w:sz="4" w:space="0" w:color="auto"/>
            </w:tcBorders>
            <w:vAlign w:val="center"/>
          </w:tcPr>
          <w:p w:rsidR="0017321C" w:rsidRPr="00260CE3" w:rsidRDefault="0017321C" w:rsidP="0017321C">
            <w:pPr>
              <w:keepNext/>
              <w:spacing w:before="0" w:after="0"/>
              <w:ind w:left="-108"/>
              <w:jc w:val="center"/>
              <w:rPr>
                <w:rFonts w:ascii="Arial Narrow" w:hAnsi="Arial Narrow"/>
                <w:sz w:val="20"/>
              </w:rPr>
            </w:pPr>
            <w:r>
              <w:rPr>
                <w:rFonts w:ascii="Arial Narrow" w:hAnsi="Arial Narrow"/>
                <w:sz w:val="20"/>
              </w:rPr>
              <w:t>Dispensed price per maximum amount (DPMA)</w:t>
            </w:r>
          </w:p>
        </w:tc>
        <w:tc>
          <w:tcPr>
            <w:tcW w:w="2693" w:type="dxa"/>
            <w:gridSpan w:val="2"/>
            <w:tcBorders>
              <w:bottom w:val="single" w:sz="4" w:space="0" w:color="auto"/>
            </w:tcBorders>
            <w:vAlign w:val="center"/>
          </w:tcPr>
          <w:p w:rsidR="0017321C" w:rsidRPr="00260CE3" w:rsidRDefault="0017321C" w:rsidP="0017321C">
            <w:pPr>
              <w:keepNext/>
              <w:spacing w:before="0" w:after="0"/>
              <w:jc w:val="center"/>
              <w:rPr>
                <w:rFonts w:ascii="Arial Narrow" w:hAnsi="Arial Narrow"/>
                <w:sz w:val="20"/>
                <w:lang w:val="fr-FR"/>
              </w:rPr>
            </w:pPr>
            <w:r w:rsidRPr="00260CE3">
              <w:rPr>
                <w:rFonts w:ascii="Arial Narrow" w:hAnsi="Arial Narrow"/>
                <w:sz w:val="20"/>
              </w:rPr>
              <w:t>Proprietary Name and Manufacturer</w:t>
            </w:r>
          </w:p>
        </w:tc>
      </w:tr>
      <w:tr w:rsidR="0017321C" w:rsidRPr="00260CE3" w:rsidTr="0017321C">
        <w:trPr>
          <w:cantSplit/>
          <w:trHeight w:val="577"/>
        </w:trPr>
        <w:tc>
          <w:tcPr>
            <w:tcW w:w="2835" w:type="dxa"/>
            <w:gridSpan w:val="2"/>
            <w:vAlign w:val="center"/>
          </w:tcPr>
          <w:p w:rsidR="0017321C" w:rsidRDefault="0017321C" w:rsidP="0017321C">
            <w:pPr>
              <w:keepNext/>
              <w:spacing w:before="0" w:after="0"/>
              <w:ind w:left="-108"/>
              <w:jc w:val="center"/>
              <w:rPr>
                <w:rFonts w:ascii="Arial Narrow" w:hAnsi="Arial Narrow"/>
                <w:smallCaps/>
                <w:sz w:val="20"/>
              </w:rPr>
            </w:pPr>
            <w:r>
              <w:rPr>
                <w:rFonts w:ascii="Arial Narrow" w:hAnsi="Arial Narrow"/>
                <w:smallCaps/>
                <w:sz w:val="20"/>
              </w:rPr>
              <w:t>PRALATREXATE,</w:t>
            </w:r>
          </w:p>
          <w:p w:rsidR="0017321C" w:rsidRPr="00260CE3" w:rsidRDefault="0017321C" w:rsidP="0017321C">
            <w:pPr>
              <w:keepNext/>
              <w:spacing w:before="0" w:after="0"/>
              <w:ind w:left="-108"/>
              <w:jc w:val="center"/>
              <w:rPr>
                <w:rFonts w:ascii="Arial Narrow" w:hAnsi="Arial Narrow"/>
                <w:sz w:val="20"/>
              </w:rPr>
            </w:pPr>
            <w:r w:rsidRPr="0070164B">
              <w:rPr>
                <w:rFonts w:ascii="Arial Narrow" w:hAnsi="Arial Narrow"/>
                <w:sz w:val="20"/>
              </w:rPr>
              <w:t>Solution for I.V. infusion 20 mg in 1 mL</w:t>
            </w:r>
          </w:p>
        </w:tc>
        <w:tc>
          <w:tcPr>
            <w:tcW w:w="851" w:type="dxa"/>
            <w:vAlign w:val="center"/>
          </w:tcPr>
          <w:p w:rsidR="0017321C" w:rsidRPr="00260CE3" w:rsidRDefault="0017321C" w:rsidP="0017321C">
            <w:pPr>
              <w:keepNext/>
              <w:spacing w:before="0" w:after="0"/>
              <w:rPr>
                <w:rFonts w:ascii="Arial Narrow" w:hAnsi="Arial Narrow"/>
                <w:sz w:val="20"/>
              </w:rPr>
            </w:pPr>
            <w:r>
              <w:rPr>
                <w:rFonts w:ascii="Arial Narrow" w:hAnsi="Arial Narrow"/>
                <w:sz w:val="20"/>
              </w:rPr>
              <w:t>80 mg</w:t>
            </w:r>
          </w:p>
        </w:tc>
        <w:tc>
          <w:tcPr>
            <w:tcW w:w="709" w:type="dxa"/>
            <w:vAlign w:val="center"/>
          </w:tcPr>
          <w:p w:rsidR="0017321C" w:rsidRPr="00260CE3" w:rsidRDefault="0017321C" w:rsidP="0017321C">
            <w:pPr>
              <w:keepNext/>
              <w:spacing w:before="0" w:after="0"/>
              <w:ind w:left="-108"/>
              <w:jc w:val="center"/>
              <w:rPr>
                <w:rFonts w:ascii="Arial Narrow" w:hAnsi="Arial Narrow"/>
                <w:sz w:val="20"/>
              </w:rPr>
            </w:pPr>
            <w:r>
              <w:rPr>
                <w:rFonts w:ascii="Arial Narrow" w:hAnsi="Arial Narrow"/>
                <w:sz w:val="20"/>
              </w:rPr>
              <w:t>5</w:t>
            </w:r>
          </w:p>
        </w:tc>
        <w:tc>
          <w:tcPr>
            <w:tcW w:w="1984" w:type="dxa"/>
            <w:vAlign w:val="center"/>
          </w:tcPr>
          <w:p w:rsidR="0017321C" w:rsidRDefault="0017321C" w:rsidP="0017321C">
            <w:pPr>
              <w:pStyle w:val="TableText"/>
              <w:jc w:val="center"/>
            </w:pPr>
            <w:r>
              <w:t>Effective/Published (public): $</w:t>
            </w:r>
            <w:r w:rsidR="000F1D32">
              <w:rPr>
                <w:noProof/>
                <w:color w:val="000000"/>
                <w:highlight w:val="black"/>
              </w:rPr>
              <w:t>'''''''''''''''''''</w:t>
            </w:r>
            <w:r w:rsidRPr="0060712F">
              <w:t>/$</w:t>
            </w:r>
            <w:r w:rsidR="000F1D32">
              <w:rPr>
                <w:noProof/>
                <w:color w:val="000000"/>
                <w:highlight w:val="black"/>
              </w:rPr>
              <w:t>''''''''''''''''''''''''''</w:t>
            </w:r>
          </w:p>
          <w:p w:rsidR="0017321C" w:rsidRPr="00260CE3" w:rsidRDefault="0017321C" w:rsidP="0017321C">
            <w:pPr>
              <w:keepNext/>
              <w:spacing w:before="0" w:after="0"/>
              <w:ind w:left="-108"/>
              <w:jc w:val="center"/>
              <w:rPr>
                <w:rFonts w:ascii="Arial Narrow" w:hAnsi="Arial Narrow"/>
                <w:sz w:val="20"/>
              </w:rPr>
            </w:pPr>
            <w:r w:rsidRPr="0017321C">
              <w:rPr>
                <w:rFonts w:ascii="Arial Narrow" w:hAnsi="Arial Narrow"/>
                <w:sz w:val="20"/>
              </w:rPr>
              <w:t>Effective/Published (private): $</w:t>
            </w:r>
            <w:r w:rsidR="000F1D32">
              <w:rPr>
                <w:rFonts w:ascii="Arial Narrow" w:hAnsi="Arial Narrow"/>
                <w:noProof/>
                <w:color w:val="000000"/>
                <w:sz w:val="20"/>
                <w:highlight w:val="black"/>
              </w:rPr>
              <w:t>'''''''''''''''''''''''</w:t>
            </w:r>
            <w:r w:rsidRPr="0060712F">
              <w:rPr>
                <w:rFonts w:ascii="Arial Narrow" w:hAnsi="Arial Narrow"/>
                <w:sz w:val="20"/>
              </w:rPr>
              <w:t>$</w:t>
            </w:r>
            <w:r w:rsidR="000F1D32">
              <w:rPr>
                <w:rFonts w:ascii="Arial Narrow" w:hAnsi="Arial Narrow"/>
                <w:noProof/>
                <w:color w:val="000000"/>
                <w:sz w:val="20"/>
                <w:highlight w:val="black"/>
              </w:rPr>
              <w:t>'''''''''''''''''''''''</w:t>
            </w:r>
          </w:p>
        </w:tc>
        <w:tc>
          <w:tcPr>
            <w:tcW w:w="992" w:type="dxa"/>
            <w:vAlign w:val="center"/>
          </w:tcPr>
          <w:p w:rsidR="0017321C" w:rsidRPr="00260CE3" w:rsidRDefault="0017321C" w:rsidP="0017321C">
            <w:pPr>
              <w:keepNext/>
              <w:spacing w:before="0" w:after="0"/>
              <w:jc w:val="center"/>
              <w:rPr>
                <w:rFonts w:ascii="Arial Narrow" w:hAnsi="Arial Narrow"/>
                <w:sz w:val="20"/>
              </w:rPr>
            </w:pPr>
            <w:proofErr w:type="spellStart"/>
            <w:r w:rsidRPr="001D753C">
              <w:rPr>
                <w:rFonts w:ascii="Arial Narrow" w:hAnsi="Arial Narrow"/>
                <w:sz w:val="20"/>
              </w:rPr>
              <w:t>Folotyn</w:t>
            </w:r>
            <w:proofErr w:type="spellEnd"/>
          </w:p>
        </w:tc>
        <w:tc>
          <w:tcPr>
            <w:tcW w:w="1701" w:type="dxa"/>
            <w:vAlign w:val="center"/>
          </w:tcPr>
          <w:p w:rsidR="0017321C" w:rsidRPr="00260CE3" w:rsidRDefault="0017321C" w:rsidP="0017321C">
            <w:pPr>
              <w:keepNext/>
              <w:spacing w:before="0" w:after="0"/>
              <w:jc w:val="center"/>
              <w:rPr>
                <w:rFonts w:ascii="Arial Narrow" w:hAnsi="Arial Narrow"/>
                <w:sz w:val="20"/>
              </w:rPr>
            </w:pPr>
            <w:proofErr w:type="spellStart"/>
            <w:r w:rsidRPr="001D753C">
              <w:rPr>
                <w:rFonts w:ascii="Arial Narrow" w:hAnsi="Arial Narrow"/>
                <w:sz w:val="20"/>
              </w:rPr>
              <w:t>Mundipharma</w:t>
            </w:r>
            <w:proofErr w:type="spellEnd"/>
            <w:r>
              <w:rPr>
                <w:rFonts w:ascii="Arial Narrow" w:hAnsi="Arial Narrow"/>
                <w:sz w:val="20"/>
              </w:rPr>
              <w:t xml:space="preserve"> Pty Ltd.</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b/>
                <w:sz w:val="20"/>
              </w:rPr>
            </w:pPr>
            <w:r w:rsidRPr="00260CE3">
              <w:rPr>
                <w:rFonts w:ascii="Arial Narrow" w:hAnsi="Arial Narrow"/>
                <w:b/>
                <w:sz w:val="20"/>
              </w:rPr>
              <w:t xml:space="preserve">Category / </w:t>
            </w:r>
          </w:p>
          <w:p w:rsidR="00554993" w:rsidRPr="00260CE3" w:rsidRDefault="00554993" w:rsidP="00E86AF6">
            <w:pPr>
              <w:spacing w:before="0" w:after="0"/>
              <w:rPr>
                <w:rFonts w:ascii="Arial Narrow" w:hAnsi="Arial Narrow"/>
                <w:b/>
                <w:sz w:val="20"/>
              </w:rPr>
            </w:pPr>
            <w:r w:rsidRPr="00260CE3">
              <w:rPr>
                <w:rFonts w:ascii="Arial Narrow" w:hAnsi="Arial Narrow"/>
                <w:b/>
                <w:sz w:val="20"/>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sz w:val="20"/>
              </w:rPr>
            </w:pPr>
            <w:r w:rsidRPr="00957D57">
              <w:rPr>
                <w:rFonts w:ascii="Arial Narrow" w:hAnsi="Arial Narrow"/>
                <w:sz w:val="20"/>
              </w:rPr>
              <w:t>Section 100, Authority Required (Private and Public Hospital)</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Default="00554993" w:rsidP="00E86AF6">
            <w:pPr>
              <w:spacing w:before="0" w:after="0"/>
              <w:rPr>
                <w:rFonts w:ascii="Arial Narrow" w:hAnsi="Arial Narrow"/>
                <w:b/>
                <w:sz w:val="20"/>
              </w:rPr>
            </w:pPr>
            <w:r w:rsidRPr="00260CE3">
              <w:rPr>
                <w:rFonts w:ascii="Arial Narrow" w:hAnsi="Arial Narrow"/>
                <w:b/>
                <w:sz w:val="20"/>
              </w:rPr>
              <w:t>Prescriber type:</w:t>
            </w:r>
          </w:p>
          <w:p w:rsidR="00554993" w:rsidRPr="00260CE3" w:rsidRDefault="00554993" w:rsidP="00E86AF6">
            <w:pPr>
              <w:spacing w:before="0" w:after="0"/>
              <w:rPr>
                <w:rFonts w:ascii="Arial Narrow" w:hAnsi="Arial Narrow"/>
                <w:b/>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554993" w:rsidRPr="00260CE3" w:rsidRDefault="00554993" w:rsidP="00E86AF6">
            <w:pPr>
              <w:spacing w:before="0" w:after="0"/>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b/>
                <w:sz w:val="20"/>
              </w:rPr>
            </w:pPr>
            <w:r w:rsidRPr="00260CE3">
              <w:rPr>
                <w:rFonts w:ascii="Arial Narrow" w:hAnsi="Arial Narrow"/>
                <w:b/>
                <w:sz w:val="20"/>
              </w:rPr>
              <w:t>Severity:</w:t>
            </w:r>
          </w:p>
        </w:tc>
        <w:tc>
          <w:tcPr>
            <w:tcW w:w="6804" w:type="dxa"/>
            <w:gridSpan w:val="6"/>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sz w:val="20"/>
              </w:rPr>
            </w:pPr>
            <w:r w:rsidRPr="001D753C">
              <w:rPr>
                <w:rFonts w:ascii="Arial Narrow" w:hAnsi="Arial Narrow"/>
                <w:strike/>
                <w:sz w:val="20"/>
              </w:rPr>
              <w:t>Patients who have</w:t>
            </w:r>
            <w:r>
              <w:rPr>
                <w:rFonts w:ascii="Arial Narrow" w:hAnsi="Arial Narrow"/>
                <w:sz w:val="20"/>
              </w:rPr>
              <w:t xml:space="preserve"> Relapsed or chemotherapy refractory </w:t>
            </w:r>
            <w:r w:rsidRPr="001D753C">
              <w:rPr>
                <w:rFonts w:ascii="Arial Narrow" w:hAnsi="Arial Narrow"/>
                <w:strike/>
                <w:sz w:val="20"/>
              </w:rPr>
              <w:t>disease</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b/>
                <w:sz w:val="20"/>
              </w:rPr>
            </w:pPr>
            <w:r w:rsidRPr="00260CE3">
              <w:rPr>
                <w:rFonts w:ascii="Arial Narrow" w:hAnsi="Arial Narrow"/>
                <w:b/>
                <w:sz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sz w:val="20"/>
              </w:rPr>
            </w:pPr>
            <w:r>
              <w:rPr>
                <w:rFonts w:ascii="Arial Narrow" w:hAnsi="Arial Narrow"/>
                <w:sz w:val="20"/>
              </w:rPr>
              <w:t>Peripheral T-cell Lymphoma</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b/>
                <w:sz w:val="20"/>
              </w:rPr>
            </w:pPr>
            <w:r w:rsidRPr="00260CE3">
              <w:rPr>
                <w:rFonts w:ascii="Arial Narrow" w:hAnsi="Arial Narrow"/>
                <w:b/>
                <w:sz w:val="20"/>
              </w:rPr>
              <w:lastRenderedPageBreak/>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554993" w:rsidRPr="003913F3" w:rsidRDefault="00554993" w:rsidP="00E86AF6">
            <w:pPr>
              <w:spacing w:before="0" w:after="0"/>
              <w:rPr>
                <w:rFonts w:ascii="Arial Narrow" w:hAnsi="Arial Narrow"/>
                <w:i/>
                <w:sz w:val="20"/>
              </w:rPr>
            </w:pPr>
            <w:r w:rsidRPr="003913F3">
              <w:rPr>
                <w:rFonts w:ascii="Arial Narrow" w:hAnsi="Arial Narrow"/>
                <w:i/>
                <w:sz w:val="20"/>
              </w:rPr>
              <w:t>Relapsed or chemotherapy refractory peripheral T-cell Lymphoma</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Pr="001D753C" w:rsidRDefault="00554993" w:rsidP="00E86AF6">
            <w:pPr>
              <w:spacing w:before="0" w:after="0"/>
              <w:rPr>
                <w:rFonts w:ascii="Arial Narrow" w:hAnsi="Arial Narrow"/>
                <w:b/>
                <w:sz w:val="20"/>
              </w:rPr>
            </w:pPr>
            <w:r w:rsidRPr="00260CE3">
              <w:rPr>
                <w:rFonts w:ascii="Arial Narrow" w:hAnsi="Arial Narrow"/>
                <w:b/>
                <w:sz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554993" w:rsidRPr="00A77522" w:rsidRDefault="00554993" w:rsidP="00E86AF6">
            <w:pPr>
              <w:spacing w:before="0" w:after="0"/>
              <w:rPr>
                <w:rFonts w:ascii="Arial Narrow" w:hAnsi="Arial Narrow"/>
                <w:i/>
                <w:sz w:val="20"/>
              </w:rPr>
            </w:pPr>
            <w:r w:rsidRPr="00957D57">
              <w:rPr>
                <w:rFonts w:ascii="Arial Narrow" w:hAnsi="Arial Narrow"/>
                <w:sz w:val="20"/>
              </w:rPr>
              <w:t>Initial</w:t>
            </w:r>
            <w:r>
              <w:rPr>
                <w:rFonts w:ascii="Arial Narrow" w:hAnsi="Arial Narrow"/>
                <w:i/>
                <w:sz w:val="20"/>
              </w:rPr>
              <w:t xml:space="preserve"> treatment</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554993" w:rsidRPr="00CD28F3" w:rsidRDefault="00554993" w:rsidP="00E86AF6">
            <w:pPr>
              <w:spacing w:before="0" w:after="0"/>
              <w:rPr>
                <w:rFonts w:ascii="Arial Narrow" w:hAnsi="Arial Narrow"/>
                <w:i/>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554993" w:rsidRPr="00106BCF" w:rsidRDefault="00554993" w:rsidP="00E86AF6">
            <w:pPr>
              <w:spacing w:before="0" w:after="0"/>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554993" w:rsidRPr="00106BCF" w:rsidRDefault="00554993" w:rsidP="00E86AF6">
            <w:pPr>
              <w:spacing w:before="0" w:after="0"/>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554993" w:rsidRPr="00106BCF" w:rsidRDefault="00554993" w:rsidP="00E86AF6">
            <w:pPr>
              <w:spacing w:before="0" w:after="0"/>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554993" w:rsidRPr="00106BCF" w:rsidRDefault="00554993" w:rsidP="00E86AF6">
            <w:pPr>
              <w:spacing w:before="0" w:after="0"/>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554993" w:rsidRPr="00106BCF" w:rsidRDefault="00554993" w:rsidP="00E86AF6">
            <w:pPr>
              <w:spacing w:before="0" w:after="0"/>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554993" w:rsidRPr="00260CE3" w:rsidRDefault="00554993" w:rsidP="00E86AF6">
            <w:pPr>
              <w:spacing w:before="0" w:after="0"/>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b/>
                <w:sz w:val="20"/>
              </w:rPr>
            </w:pPr>
            <w:r w:rsidRPr="00260CE3">
              <w:rPr>
                <w:rFonts w:ascii="Arial Narrow" w:hAnsi="Arial Narrow"/>
                <w:b/>
                <w:sz w:val="20"/>
              </w:rPr>
              <w:t>Clinical criteria:</w:t>
            </w:r>
          </w:p>
          <w:p w:rsidR="00554993" w:rsidRPr="00260CE3" w:rsidRDefault="00554993" w:rsidP="00E86AF6">
            <w:pPr>
              <w:spacing w:before="0" w:after="0"/>
              <w:rPr>
                <w:rFonts w:ascii="Arial Narrow" w:hAnsi="Arial Narrow"/>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554993" w:rsidRDefault="00554993" w:rsidP="00E86AF6">
            <w:pPr>
              <w:spacing w:before="0" w:after="0"/>
              <w:rPr>
                <w:rFonts w:ascii="Arial Narrow" w:hAnsi="Arial Narrow"/>
                <w:strike/>
                <w:sz w:val="20"/>
              </w:rPr>
            </w:pPr>
            <w:r w:rsidRPr="001D753C">
              <w:rPr>
                <w:rFonts w:ascii="Arial Narrow" w:hAnsi="Arial Narrow"/>
                <w:strike/>
                <w:sz w:val="20"/>
              </w:rPr>
              <w:t>Patient must demonstrate relapsed or chemotherapy-refractory disease to 1</w:t>
            </w:r>
            <w:r w:rsidRPr="001D753C">
              <w:rPr>
                <w:rFonts w:ascii="Arial Narrow" w:hAnsi="Arial Narrow"/>
                <w:strike/>
                <w:sz w:val="20"/>
                <w:vertAlign w:val="superscript"/>
              </w:rPr>
              <w:t>st</w:t>
            </w:r>
            <w:r w:rsidRPr="001D753C">
              <w:rPr>
                <w:rFonts w:ascii="Arial Narrow" w:hAnsi="Arial Narrow"/>
                <w:strike/>
                <w:sz w:val="20"/>
              </w:rPr>
              <w:t xml:space="preserve"> line chemotherapy.</w:t>
            </w:r>
          </w:p>
          <w:p w:rsidR="00554993" w:rsidRDefault="00554993" w:rsidP="00E86AF6">
            <w:pPr>
              <w:spacing w:before="0" w:after="0"/>
              <w:rPr>
                <w:rFonts w:ascii="Arial Narrow" w:hAnsi="Arial Narrow"/>
                <w:strike/>
                <w:sz w:val="20"/>
              </w:rPr>
            </w:pPr>
            <w:r>
              <w:rPr>
                <w:rFonts w:ascii="Arial Narrow" w:hAnsi="Arial Narrow"/>
                <w:strike/>
                <w:sz w:val="20"/>
              </w:rPr>
              <w:t>AND</w:t>
            </w:r>
          </w:p>
          <w:p w:rsidR="00554993" w:rsidRDefault="00554993" w:rsidP="00E86AF6">
            <w:pPr>
              <w:spacing w:before="0" w:after="0"/>
              <w:rPr>
                <w:rFonts w:ascii="Arial Narrow" w:hAnsi="Arial Narrow"/>
                <w:sz w:val="20"/>
              </w:rPr>
            </w:pPr>
            <w:r>
              <w:rPr>
                <w:rFonts w:ascii="Arial Narrow" w:hAnsi="Arial Narrow"/>
                <w:sz w:val="20"/>
              </w:rPr>
              <w:t>Patient must have undergone appropriate prior front-line curative intent chemotherapy</w:t>
            </w:r>
          </w:p>
          <w:p w:rsidR="00554993" w:rsidRPr="001D753C" w:rsidRDefault="00554993" w:rsidP="00E86AF6">
            <w:pPr>
              <w:spacing w:before="0" w:after="0"/>
              <w:rPr>
                <w:rFonts w:ascii="Arial Narrow" w:hAnsi="Arial Narrow"/>
                <w:strike/>
                <w:sz w:val="20"/>
              </w:rPr>
            </w:pPr>
            <w:r w:rsidRPr="001D753C">
              <w:rPr>
                <w:rFonts w:ascii="Arial Narrow" w:hAnsi="Arial Narrow"/>
                <w:strike/>
                <w:sz w:val="20"/>
              </w:rPr>
              <w:t>AND</w:t>
            </w:r>
          </w:p>
          <w:p w:rsidR="00554993" w:rsidRPr="001801ED" w:rsidRDefault="00554993" w:rsidP="00E86AF6">
            <w:pPr>
              <w:spacing w:before="0" w:after="0"/>
              <w:rPr>
                <w:rFonts w:ascii="Arial Narrow" w:hAnsi="Arial Narrow"/>
                <w:strike/>
                <w:sz w:val="20"/>
              </w:rPr>
            </w:pPr>
            <w:r w:rsidRPr="001D753C">
              <w:rPr>
                <w:rFonts w:ascii="Arial Narrow" w:hAnsi="Arial Narrow"/>
                <w:strike/>
                <w:sz w:val="20"/>
              </w:rPr>
              <w:t xml:space="preserve">Patient must demonstrate relapsed or </w:t>
            </w:r>
            <w:r>
              <w:rPr>
                <w:rFonts w:ascii="Arial Narrow" w:hAnsi="Arial Narrow"/>
                <w:strike/>
                <w:sz w:val="20"/>
              </w:rPr>
              <w:t>chemotherapy-refractory disease</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b/>
                <w:sz w:val="20"/>
              </w:rPr>
            </w:pPr>
            <w:r w:rsidRPr="00260CE3">
              <w:rPr>
                <w:rFonts w:ascii="Arial Narrow" w:hAnsi="Arial Narrow"/>
                <w:b/>
                <w:sz w:val="20"/>
              </w:rPr>
              <w:t>Prescriber Instructions</w:t>
            </w:r>
          </w:p>
          <w:p w:rsidR="00554993" w:rsidRPr="00260CE3" w:rsidRDefault="00554993" w:rsidP="00E86AF6">
            <w:pPr>
              <w:spacing w:before="0" w:after="0"/>
              <w:rPr>
                <w:rFonts w:ascii="Arial Narrow" w:hAnsi="Arial Narrow"/>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554993" w:rsidRPr="00A77522" w:rsidRDefault="00554993" w:rsidP="00E86AF6">
            <w:pPr>
              <w:spacing w:before="0" w:after="0"/>
              <w:rPr>
                <w:rFonts w:ascii="Arial Narrow" w:hAnsi="Arial Narrow"/>
                <w:color w:val="000000"/>
                <w:sz w:val="20"/>
              </w:rPr>
            </w:pPr>
            <w:r w:rsidRPr="00A77522">
              <w:rPr>
                <w:rFonts w:ascii="Arial Narrow" w:hAnsi="Arial Narrow"/>
                <w:color w:val="000000"/>
                <w:sz w:val="20"/>
              </w:rPr>
              <w:t>Applications for authorisation of initial treatment must be in writing and must include:</w:t>
            </w:r>
          </w:p>
          <w:p w:rsidR="00554993" w:rsidRPr="00A77522" w:rsidRDefault="00554993" w:rsidP="00E86AF6">
            <w:pPr>
              <w:spacing w:before="0" w:after="0"/>
              <w:rPr>
                <w:rFonts w:ascii="Arial Narrow" w:hAnsi="Arial Narrow"/>
                <w:color w:val="000000"/>
                <w:sz w:val="20"/>
              </w:rPr>
            </w:pPr>
            <w:r w:rsidRPr="00A77522">
              <w:rPr>
                <w:rFonts w:ascii="Arial Narrow" w:hAnsi="Arial Narrow"/>
                <w:color w:val="000000"/>
                <w:sz w:val="20"/>
              </w:rPr>
              <w:t>(a) a completed authority prescription form; and</w:t>
            </w:r>
          </w:p>
          <w:p w:rsidR="00554993" w:rsidRPr="00A77522" w:rsidRDefault="00554993" w:rsidP="00E86AF6">
            <w:pPr>
              <w:spacing w:before="0" w:after="0"/>
              <w:rPr>
                <w:rFonts w:ascii="Arial Narrow" w:hAnsi="Arial Narrow"/>
                <w:color w:val="000000"/>
                <w:sz w:val="20"/>
              </w:rPr>
            </w:pPr>
            <w:r w:rsidRPr="00A77522">
              <w:rPr>
                <w:rFonts w:ascii="Arial Narrow" w:hAnsi="Arial Narrow"/>
                <w:color w:val="000000"/>
                <w:sz w:val="20"/>
              </w:rPr>
              <w:t xml:space="preserve">(b) a completed PTCL </w:t>
            </w:r>
            <w:proofErr w:type="spellStart"/>
            <w:r w:rsidRPr="00A77522">
              <w:rPr>
                <w:rFonts w:ascii="Arial Narrow" w:hAnsi="Arial Narrow"/>
                <w:color w:val="000000"/>
                <w:sz w:val="20"/>
              </w:rPr>
              <w:t>Pralatrexate</w:t>
            </w:r>
            <w:proofErr w:type="spellEnd"/>
            <w:r w:rsidRPr="00A77522">
              <w:rPr>
                <w:rFonts w:ascii="Arial Narrow" w:hAnsi="Arial Narrow"/>
                <w:color w:val="000000"/>
                <w:sz w:val="20"/>
              </w:rPr>
              <w:t xml:space="preserve"> PBS Authority Application</w:t>
            </w:r>
            <w:r>
              <w:rPr>
                <w:rFonts w:ascii="Arial Narrow" w:hAnsi="Arial Narrow"/>
                <w:color w:val="000000"/>
                <w:sz w:val="20"/>
              </w:rPr>
              <w:t xml:space="preserve"> </w:t>
            </w:r>
            <w:r w:rsidRPr="00A77522">
              <w:rPr>
                <w:rFonts w:ascii="Arial Narrow" w:hAnsi="Arial Narrow"/>
                <w:color w:val="000000"/>
                <w:sz w:val="20"/>
              </w:rPr>
              <w:t xml:space="preserve"> - Supporting Information Form</w:t>
            </w:r>
            <w:r>
              <w:rPr>
                <w:rFonts w:ascii="Arial Narrow" w:hAnsi="Arial Narrow"/>
                <w:color w:val="000000"/>
                <w:sz w:val="20"/>
              </w:rPr>
              <w:t xml:space="preserve"> [to be determined] </w:t>
            </w:r>
            <w:r w:rsidRPr="00A77522">
              <w:rPr>
                <w:rFonts w:ascii="Arial Narrow" w:hAnsi="Arial Narrow"/>
                <w:color w:val="000000"/>
                <w:sz w:val="20"/>
              </w:rPr>
              <w:t xml:space="preserve"> which includes the following:</w:t>
            </w:r>
          </w:p>
          <w:p w:rsidR="00554993" w:rsidRPr="00A77522" w:rsidRDefault="00554993" w:rsidP="00E86AF6">
            <w:pPr>
              <w:spacing w:before="0" w:after="0"/>
              <w:ind w:left="284"/>
              <w:rPr>
                <w:rFonts w:ascii="Arial Narrow" w:hAnsi="Arial Narrow"/>
                <w:color w:val="000000"/>
                <w:sz w:val="20"/>
              </w:rPr>
            </w:pPr>
            <w:r w:rsidRPr="00A77522">
              <w:rPr>
                <w:rFonts w:ascii="Arial Narrow" w:hAnsi="Arial Narrow"/>
                <w:color w:val="000000"/>
                <w:sz w:val="20"/>
              </w:rPr>
              <w:t>(</w:t>
            </w:r>
            <w:proofErr w:type="spellStart"/>
            <w:r w:rsidRPr="00A77522">
              <w:rPr>
                <w:rFonts w:ascii="Arial Narrow" w:hAnsi="Arial Narrow"/>
                <w:color w:val="000000"/>
                <w:sz w:val="20"/>
              </w:rPr>
              <w:t>i</w:t>
            </w:r>
            <w:proofErr w:type="spellEnd"/>
            <w:r w:rsidRPr="00A77522">
              <w:rPr>
                <w:rFonts w:ascii="Arial Narrow" w:hAnsi="Arial Narrow"/>
                <w:color w:val="000000"/>
                <w:sz w:val="20"/>
              </w:rPr>
              <w:t>) The date of initial diagnosis of PTCL;</w:t>
            </w:r>
          </w:p>
          <w:p w:rsidR="00554993" w:rsidRPr="00A77522" w:rsidRDefault="00554993" w:rsidP="00E86AF6">
            <w:pPr>
              <w:spacing w:before="0" w:after="0"/>
              <w:ind w:left="284"/>
              <w:rPr>
                <w:rFonts w:ascii="Arial Narrow" w:hAnsi="Arial Narrow"/>
                <w:color w:val="000000"/>
                <w:sz w:val="20"/>
              </w:rPr>
            </w:pPr>
            <w:r w:rsidRPr="00A77522">
              <w:rPr>
                <w:rFonts w:ascii="Arial Narrow" w:hAnsi="Arial Narrow"/>
                <w:color w:val="000000"/>
                <w:sz w:val="20"/>
              </w:rPr>
              <w:t>(ii) Dates of commencement and completion of front-line curative intent chemotherapy;</w:t>
            </w:r>
          </w:p>
          <w:p w:rsidR="00554993" w:rsidRPr="00A77522" w:rsidRDefault="00554993" w:rsidP="00E86AF6">
            <w:pPr>
              <w:spacing w:before="0" w:after="0"/>
              <w:ind w:left="284"/>
              <w:rPr>
                <w:rFonts w:ascii="Arial Narrow" w:hAnsi="Arial Narrow"/>
                <w:color w:val="000000"/>
                <w:sz w:val="20"/>
              </w:rPr>
            </w:pPr>
            <w:r w:rsidRPr="00A77522">
              <w:rPr>
                <w:rFonts w:ascii="Arial Narrow" w:hAnsi="Arial Narrow"/>
                <w:color w:val="000000"/>
                <w:sz w:val="20"/>
              </w:rPr>
              <w:t xml:space="preserve">(iii) </w:t>
            </w:r>
            <w:proofErr w:type="gramStart"/>
            <w:r w:rsidRPr="00A77522">
              <w:rPr>
                <w:rFonts w:ascii="Arial Narrow" w:hAnsi="Arial Narrow"/>
                <w:color w:val="000000"/>
                <w:sz w:val="20"/>
              </w:rPr>
              <w:t>a</w:t>
            </w:r>
            <w:proofErr w:type="gramEnd"/>
            <w:r w:rsidRPr="00A77522">
              <w:rPr>
                <w:rFonts w:ascii="Arial Narrow" w:hAnsi="Arial Narrow"/>
                <w:color w:val="000000"/>
                <w:sz w:val="20"/>
              </w:rPr>
              <w:t xml:space="preserve"> declaration of whether the patient's disease is relapsed or refractory, and the date and means by which the patient's disease was assessed as being relapsed or refractory.</w:t>
            </w:r>
          </w:p>
          <w:p w:rsidR="00554993" w:rsidRPr="003913F3" w:rsidRDefault="00554993" w:rsidP="00E86AF6">
            <w:pPr>
              <w:spacing w:before="0" w:after="0"/>
              <w:rPr>
                <w:rFonts w:ascii="Arial Narrow" w:hAnsi="Arial Narrow"/>
                <w:strike/>
                <w:sz w:val="20"/>
              </w:rPr>
            </w:pPr>
            <w:r w:rsidRPr="003913F3">
              <w:rPr>
                <w:rFonts w:ascii="Arial Narrow" w:hAnsi="Arial Narrow"/>
                <w:strike/>
                <w:color w:val="000000"/>
                <w:sz w:val="20"/>
              </w:rPr>
              <w:t xml:space="preserve">A maximum quantity and number of repeats to provide for an initial course of </w:t>
            </w:r>
            <w:proofErr w:type="spellStart"/>
            <w:r w:rsidRPr="003913F3">
              <w:rPr>
                <w:rFonts w:ascii="Arial Narrow" w:hAnsi="Arial Narrow"/>
                <w:strike/>
                <w:color w:val="000000"/>
                <w:sz w:val="20"/>
              </w:rPr>
              <w:t>pralatrexate</w:t>
            </w:r>
            <w:proofErr w:type="spellEnd"/>
            <w:r w:rsidRPr="003913F3">
              <w:rPr>
                <w:rFonts w:ascii="Arial Narrow" w:hAnsi="Arial Narrow"/>
                <w:strike/>
                <w:color w:val="000000"/>
                <w:sz w:val="20"/>
              </w:rPr>
              <w:t xml:space="preserve"> of 3 cycles will be authorised as part of the initiating restriction.</w:t>
            </w:r>
          </w:p>
        </w:tc>
      </w:tr>
      <w:tr w:rsidR="00554993" w:rsidRPr="00260CE3" w:rsidTr="001732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554993" w:rsidRPr="00260CE3" w:rsidRDefault="00554993" w:rsidP="00E86AF6">
            <w:pPr>
              <w:spacing w:before="0" w:after="0"/>
              <w:rPr>
                <w:rFonts w:ascii="Arial Narrow" w:hAnsi="Arial Narrow"/>
                <w:b/>
                <w:sz w:val="20"/>
              </w:rPr>
            </w:pPr>
            <w:r w:rsidRPr="00260CE3">
              <w:rPr>
                <w:rFonts w:ascii="Arial Narrow" w:hAnsi="Arial Narrow"/>
                <w:b/>
                <w:sz w:val="20"/>
              </w:rPr>
              <w:t>Administrative Advice</w:t>
            </w:r>
          </w:p>
          <w:p w:rsidR="00554993" w:rsidRPr="00260CE3" w:rsidRDefault="00554993" w:rsidP="00E86AF6">
            <w:pPr>
              <w:spacing w:before="0" w:after="0"/>
              <w:rPr>
                <w:rFonts w:ascii="Arial Narrow" w:hAnsi="Arial Narrow"/>
                <w:i/>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554993" w:rsidRPr="00957D57" w:rsidRDefault="00554993" w:rsidP="00E86AF6">
            <w:pPr>
              <w:spacing w:before="0" w:after="0"/>
              <w:rPr>
                <w:rFonts w:ascii="Arial Narrow" w:hAnsi="Arial Narrow"/>
                <w:b/>
                <w:strike/>
                <w:color w:val="000000"/>
                <w:sz w:val="20"/>
              </w:rPr>
            </w:pPr>
            <w:r w:rsidRPr="00957D57">
              <w:rPr>
                <w:rFonts w:ascii="Arial Narrow" w:hAnsi="Arial Narrow"/>
                <w:b/>
                <w:strike/>
                <w:color w:val="000000"/>
                <w:sz w:val="20"/>
              </w:rPr>
              <w:t>Note</w:t>
            </w:r>
          </w:p>
          <w:p w:rsidR="00554993" w:rsidRPr="00F12BB4" w:rsidRDefault="00554993" w:rsidP="00E86AF6">
            <w:pPr>
              <w:spacing w:before="0" w:after="0"/>
              <w:rPr>
                <w:rFonts w:ascii="Arial Narrow" w:hAnsi="Arial Narrow"/>
                <w:color w:val="000000"/>
                <w:sz w:val="20"/>
              </w:rPr>
            </w:pPr>
            <w:r w:rsidRPr="00F12BB4">
              <w:rPr>
                <w:rFonts w:ascii="Arial Narrow" w:hAnsi="Arial Narrow"/>
                <w:color w:val="000000"/>
                <w:sz w:val="20"/>
              </w:rPr>
              <w:t>Any queries concerning the arrangements to prescribe may be directed to the Department of Human Services on 1800 700 270 (hours of operation 8 a.m. to 5 p.m. EST Monday to Friday).</w:t>
            </w:r>
          </w:p>
          <w:p w:rsidR="00554993" w:rsidRPr="00F12BB4" w:rsidRDefault="00554993" w:rsidP="00E86AF6">
            <w:pPr>
              <w:spacing w:before="0" w:after="0"/>
              <w:rPr>
                <w:rFonts w:ascii="Arial Narrow" w:hAnsi="Arial Narrow"/>
                <w:color w:val="000000"/>
                <w:sz w:val="20"/>
              </w:rPr>
            </w:pPr>
            <w:r w:rsidRPr="00F12BB4">
              <w:rPr>
                <w:rFonts w:ascii="Arial Narrow" w:hAnsi="Arial Narrow"/>
                <w:color w:val="000000"/>
                <w:sz w:val="20"/>
              </w:rPr>
              <w:t>Prescribing information (including Authority Application forms and other relevant documentation as applicable) is available on the Department of Human Services website at: www.humanservices.gov.au</w:t>
            </w:r>
          </w:p>
          <w:p w:rsidR="00554993" w:rsidRPr="00F12BB4" w:rsidRDefault="00554993" w:rsidP="00E86AF6">
            <w:pPr>
              <w:spacing w:before="0" w:after="0"/>
              <w:rPr>
                <w:rFonts w:ascii="Arial Narrow" w:hAnsi="Arial Narrow"/>
                <w:color w:val="000000"/>
                <w:sz w:val="20"/>
              </w:rPr>
            </w:pPr>
            <w:r w:rsidRPr="00F12BB4">
              <w:rPr>
                <w:rFonts w:ascii="Arial Narrow" w:hAnsi="Arial Narrow"/>
                <w:color w:val="000000"/>
                <w:sz w:val="20"/>
              </w:rPr>
              <w:t>Applications for authority to prescribe should be forwarded to:</w:t>
            </w:r>
          </w:p>
          <w:p w:rsidR="00554993" w:rsidRPr="00F12BB4" w:rsidRDefault="00554993" w:rsidP="00E86AF6">
            <w:pPr>
              <w:spacing w:before="0" w:after="0"/>
              <w:rPr>
                <w:rFonts w:ascii="Arial Narrow" w:hAnsi="Arial Narrow"/>
                <w:color w:val="000000"/>
                <w:sz w:val="20"/>
              </w:rPr>
            </w:pPr>
            <w:r w:rsidRPr="00F12BB4">
              <w:rPr>
                <w:rFonts w:ascii="Arial Narrow" w:hAnsi="Arial Narrow"/>
                <w:color w:val="000000"/>
                <w:sz w:val="20"/>
              </w:rPr>
              <w:t>Department of Human Services</w:t>
            </w:r>
          </w:p>
          <w:p w:rsidR="00554993" w:rsidRPr="00F12BB4" w:rsidRDefault="00554993" w:rsidP="00E86AF6">
            <w:pPr>
              <w:spacing w:before="0" w:after="0"/>
              <w:rPr>
                <w:rFonts w:ascii="Arial Narrow" w:hAnsi="Arial Narrow"/>
                <w:color w:val="000000"/>
                <w:sz w:val="20"/>
              </w:rPr>
            </w:pPr>
            <w:r w:rsidRPr="00F12BB4">
              <w:rPr>
                <w:rFonts w:ascii="Arial Narrow" w:hAnsi="Arial Narrow"/>
                <w:color w:val="000000"/>
                <w:sz w:val="20"/>
              </w:rPr>
              <w:t>Prior Written Approval of Complex Drugs</w:t>
            </w:r>
          </w:p>
          <w:p w:rsidR="00554993" w:rsidRPr="00F12BB4" w:rsidRDefault="00554993" w:rsidP="00E86AF6">
            <w:pPr>
              <w:spacing w:before="0" w:after="0"/>
              <w:rPr>
                <w:rFonts w:ascii="Arial Narrow" w:hAnsi="Arial Narrow"/>
                <w:color w:val="000000"/>
                <w:sz w:val="20"/>
              </w:rPr>
            </w:pPr>
            <w:r w:rsidRPr="00F12BB4">
              <w:rPr>
                <w:rFonts w:ascii="Arial Narrow" w:hAnsi="Arial Narrow"/>
                <w:color w:val="000000"/>
                <w:sz w:val="20"/>
              </w:rPr>
              <w:t>Reply Paid 9826</w:t>
            </w:r>
          </w:p>
          <w:p w:rsidR="00554993" w:rsidRPr="009C57D4" w:rsidRDefault="00554993" w:rsidP="00E86AF6">
            <w:pPr>
              <w:spacing w:before="0" w:after="0"/>
              <w:rPr>
                <w:rFonts w:ascii="Arial Narrow" w:hAnsi="Arial Narrow"/>
                <w:strike/>
                <w:color w:val="000000"/>
                <w:sz w:val="20"/>
              </w:rPr>
            </w:pPr>
            <w:r w:rsidRPr="009C57D4">
              <w:rPr>
                <w:rFonts w:ascii="Arial Narrow" w:hAnsi="Arial Narrow"/>
                <w:strike/>
                <w:color w:val="000000"/>
                <w:sz w:val="20"/>
              </w:rPr>
              <w:t>GPO Box 9826</w:t>
            </w:r>
          </w:p>
          <w:p w:rsidR="00554993" w:rsidRPr="00F12BB4" w:rsidRDefault="00554993" w:rsidP="00E86AF6">
            <w:pPr>
              <w:spacing w:before="0" w:after="0"/>
              <w:rPr>
                <w:rFonts w:ascii="Arial Narrow" w:hAnsi="Arial Narrow"/>
                <w:color w:val="000000"/>
                <w:sz w:val="20"/>
              </w:rPr>
            </w:pPr>
            <w:r w:rsidRPr="00F12BB4">
              <w:rPr>
                <w:rFonts w:ascii="Arial Narrow" w:hAnsi="Arial Narrow"/>
                <w:color w:val="000000"/>
                <w:sz w:val="20"/>
              </w:rPr>
              <w:t>HOBART TAS 7001</w:t>
            </w:r>
          </w:p>
          <w:p w:rsidR="00554993" w:rsidRPr="00957D57" w:rsidRDefault="00554993" w:rsidP="00E86AF6">
            <w:pPr>
              <w:spacing w:before="0" w:after="0"/>
              <w:rPr>
                <w:rFonts w:ascii="Arial Narrow" w:hAnsi="Arial Narrow"/>
                <w:b/>
                <w:strike/>
                <w:color w:val="000000"/>
                <w:sz w:val="20"/>
              </w:rPr>
            </w:pPr>
            <w:r w:rsidRPr="00957D57">
              <w:rPr>
                <w:rFonts w:ascii="Arial Narrow" w:hAnsi="Arial Narrow"/>
                <w:b/>
                <w:strike/>
                <w:color w:val="000000"/>
                <w:sz w:val="20"/>
              </w:rPr>
              <w:t>Note</w:t>
            </w:r>
          </w:p>
          <w:p w:rsidR="00554993" w:rsidRPr="00F12BB4" w:rsidRDefault="00554993" w:rsidP="00E86AF6">
            <w:pPr>
              <w:spacing w:before="0" w:after="0"/>
              <w:rPr>
                <w:rFonts w:ascii="Arial Narrow" w:hAnsi="Arial Narrow"/>
                <w:color w:val="000000"/>
                <w:sz w:val="20"/>
              </w:rPr>
            </w:pPr>
            <w:r w:rsidRPr="00F12BB4">
              <w:rPr>
                <w:rFonts w:ascii="Arial Narrow" w:hAnsi="Arial Narrow"/>
                <w:color w:val="000000"/>
                <w:sz w:val="20"/>
              </w:rPr>
              <w:t>No increase in the maximum number of repeats may be authorised.</w:t>
            </w:r>
          </w:p>
          <w:p w:rsidR="00554993" w:rsidRPr="00957D57" w:rsidRDefault="00554993" w:rsidP="00E86AF6">
            <w:pPr>
              <w:spacing w:before="0" w:after="0"/>
              <w:rPr>
                <w:rFonts w:ascii="Arial Narrow" w:hAnsi="Arial Narrow"/>
                <w:b/>
                <w:strike/>
                <w:color w:val="000000"/>
                <w:sz w:val="20"/>
              </w:rPr>
            </w:pPr>
            <w:r w:rsidRPr="00957D57">
              <w:rPr>
                <w:rFonts w:ascii="Arial Narrow" w:hAnsi="Arial Narrow"/>
                <w:b/>
                <w:strike/>
                <w:color w:val="000000"/>
                <w:sz w:val="20"/>
              </w:rPr>
              <w:t>Note</w:t>
            </w:r>
          </w:p>
          <w:p w:rsidR="00554993" w:rsidRPr="00F12BB4" w:rsidRDefault="00554993" w:rsidP="00E86AF6">
            <w:pPr>
              <w:spacing w:before="0" w:after="0"/>
              <w:rPr>
                <w:rFonts w:ascii="Arial Narrow" w:hAnsi="Arial Narrow"/>
                <w:color w:val="000000"/>
                <w:sz w:val="20"/>
              </w:rPr>
            </w:pPr>
            <w:r w:rsidRPr="00F12BB4">
              <w:rPr>
                <w:rFonts w:ascii="Arial Narrow" w:hAnsi="Arial Narrow"/>
                <w:color w:val="000000"/>
                <w:sz w:val="20"/>
              </w:rPr>
              <w:t>No increase in the maximum quantity or number of units may be authorised.</w:t>
            </w:r>
          </w:p>
          <w:p w:rsidR="00554993" w:rsidRPr="00957D57" w:rsidRDefault="00554993" w:rsidP="00E86AF6">
            <w:pPr>
              <w:spacing w:before="0" w:after="0"/>
              <w:rPr>
                <w:rFonts w:ascii="Arial Narrow" w:hAnsi="Arial Narrow"/>
                <w:b/>
                <w:strike/>
                <w:color w:val="000000"/>
                <w:sz w:val="20"/>
              </w:rPr>
            </w:pPr>
            <w:r w:rsidRPr="00957D57">
              <w:rPr>
                <w:rFonts w:ascii="Arial Narrow" w:hAnsi="Arial Narrow"/>
                <w:b/>
                <w:strike/>
                <w:color w:val="000000"/>
                <w:sz w:val="20"/>
              </w:rPr>
              <w:t>Note</w:t>
            </w:r>
          </w:p>
          <w:p w:rsidR="00554993" w:rsidRPr="00F12BB4" w:rsidRDefault="00554993" w:rsidP="00E86AF6">
            <w:pPr>
              <w:spacing w:before="0" w:after="0"/>
              <w:rPr>
                <w:rFonts w:ascii="Arial Narrow" w:hAnsi="Arial Narrow"/>
                <w:sz w:val="20"/>
              </w:rPr>
            </w:pPr>
            <w:r w:rsidRPr="00F12BB4">
              <w:rPr>
                <w:rFonts w:ascii="Arial Narrow" w:hAnsi="Arial Narrow"/>
                <w:color w:val="000000"/>
                <w:sz w:val="20"/>
              </w:rPr>
              <w:t>Special Pricing Arrangements apply.</w:t>
            </w:r>
          </w:p>
        </w:tc>
      </w:tr>
    </w:tbl>
    <w:p w:rsidR="00554993" w:rsidRPr="00552722" w:rsidRDefault="00554993" w:rsidP="00554993"/>
    <w:tbl>
      <w:tblPr>
        <w:tblW w:w="9072" w:type="dxa"/>
        <w:tblInd w:w="108" w:type="dxa"/>
        <w:tblLayout w:type="fixed"/>
        <w:tblLook w:val="0000" w:firstRow="0" w:lastRow="0" w:firstColumn="0" w:lastColumn="0" w:noHBand="0" w:noVBand="0"/>
      </w:tblPr>
      <w:tblGrid>
        <w:gridCol w:w="2268"/>
        <w:gridCol w:w="567"/>
        <w:gridCol w:w="284"/>
        <w:gridCol w:w="1276"/>
        <w:gridCol w:w="2268"/>
        <w:gridCol w:w="850"/>
        <w:gridCol w:w="1559"/>
      </w:tblGrid>
      <w:tr w:rsidR="0017321C" w:rsidRPr="00260CE3" w:rsidTr="002D4B51">
        <w:trPr>
          <w:cantSplit/>
          <w:trHeight w:val="471"/>
        </w:trPr>
        <w:tc>
          <w:tcPr>
            <w:tcW w:w="2268" w:type="dxa"/>
            <w:tcBorders>
              <w:bottom w:val="single" w:sz="4" w:space="0" w:color="auto"/>
            </w:tcBorders>
          </w:tcPr>
          <w:p w:rsidR="0017321C" w:rsidRPr="00260CE3" w:rsidRDefault="0017321C" w:rsidP="0017321C">
            <w:pPr>
              <w:keepNext/>
              <w:spacing w:before="0" w:after="0"/>
              <w:ind w:left="-108"/>
              <w:jc w:val="center"/>
              <w:rPr>
                <w:rFonts w:ascii="Arial Narrow" w:hAnsi="Arial Narrow"/>
                <w:sz w:val="20"/>
              </w:rPr>
            </w:pPr>
            <w:r w:rsidRPr="00260CE3">
              <w:rPr>
                <w:rFonts w:ascii="Arial Narrow" w:hAnsi="Arial Narrow"/>
                <w:sz w:val="20"/>
              </w:rPr>
              <w:lastRenderedPageBreak/>
              <w:t>Name, Restriction,</w:t>
            </w:r>
          </w:p>
          <w:p w:rsidR="0017321C" w:rsidRPr="00260CE3" w:rsidRDefault="0017321C" w:rsidP="0017321C">
            <w:pPr>
              <w:keepNext/>
              <w:spacing w:before="0" w:after="0"/>
              <w:ind w:left="-108"/>
              <w:jc w:val="center"/>
              <w:rPr>
                <w:rFonts w:ascii="Arial Narrow" w:hAnsi="Arial Narrow"/>
                <w:sz w:val="20"/>
              </w:rPr>
            </w:pPr>
            <w:r w:rsidRPr="00260CE3">
              <w:rPr>
                <w:rFonts w:ascii="Arial Narrow" w:hAnsi="Arial Narrow"/>
                <w:sz w:val="20"/>
              </w:rPr>
              <w:t>Manner of administration and form</w:t>
            </w:r>
          </w:p>
        </w:tc>
        <w:tc>
          <w:tcPr>
            <w:tcW w:w="851" w:type="dxa"/>
            <w:gridSpan w:val="2"/>
            <w:tcBorders>
              <w:bottom w:val="single" w:sz="4" w:space="0" w:color="auto"/>
            </w:tcBorders>
          </w:tcPr>
          <w:p w:rsidR="0017321C" w:rsidRPr="00260CE3" w:rsidRDefault="005C26CE" w:rsidP="0017321C">
            <w:pPr>
              <w:keepNext/>
              <w:spacing w:before="0" w:after="0"/>
              <w:ind w:left="-108"/>
              <w:jc w:val="center"/>
              <w:rPr>
                <w:rFonts w:ascii="Arial Narrow" w:hAnsi="Arial Narrow"/>
                <w:sz w:val="20"/>
              </w:rPr>
            </w:pPr>
            <w:r w:rsidRPr="00260CE3">
              <w:rPr>
                <w:rFonts w:ascii="Arial Narrow" w:hAnsi="Arial Narrow"/>
                <w:sz w:val="20"/>
              </w:rPr>
              <w:t>Max.</w:t>
            </w:r>
            <w:r>
              <w:rPr>
                <w:rFonts w:ascii="Arial Narrow" w:hAnsi="Arial Narrow"/>
                <w:sz w:val="20"/>
              </w:rPr>
              <w:t xml:space="preserve"> </w:t>
            </w:r>
            <w:proofErr w:type="spellStart"/>
            <w:r>
              <w:rPr>
                <w:rFonts w:ascii="Arial Narrow" w:hAnsi="Arial Narrow"/>
                <w:sz w:val="20"/>
              </w:rPr>
              <w:t>Amt</w:t>
            </w:r>
            <w:proofErr w:type="spellEnd"/>
          </w:p>
        </w:tc>
        <w:tc>
          <w:tcPr>
            <w:tcW w:w="1276" w:type="dxa"/>
            <w:tcBorders>
              <w:bottom w:val="single" w:sz="4" w:space="0" w:color="auto"/>
            </w:tcBorders>
          </w:tcPr>
          <w:p w:rsidR="0017321C" w:rsidRPr="00260CE3" w:rsidRDefault="0017321C" w:rsidP="0017321C">
            <w:pPr>
              <w:keepNext/>
              <w:spacing w:before="0" w:after="0"/>
              <w:ind w:left="-108"/>
              <w:jc w:val="center"/>
              <w:rPr>
                <w:rFonts w:ascii="Arial Narrow" w:hAnsi="Arial Narrow"/>
                <w:sz w:val="20"/>
              </w:rPr>
            </w:pPr>
            <w:r w:rsidRPr="00260CE3">
              <w:rPr>
                <w:rFonts w:ascii="Arial Narrow" w:hAnsi="Arial Narrow"/>
                <w:sz w:val="20"/>
              </w:rPr>
              <w:t xml:space="preserve">№.of </w:t>
            </w:r>
            <w:proofErr w:type="spellStart"/>
            <w:r w:rsidRPr="00260CE3">
              <w:rPr>
                <w:rFonts w:ascii="Arial Narrow" w:hAnsi="Arial Narrow"/>
                <w:sz w:val="20"/>
              </w:rPr>
              <w:t>Rpts</w:t>
            </w:r>
            <w:proofErr w:type="spellEnd"/>
          </w:p>
        </w:tc>
        <w:tc>
          <w:tcPr>
            <w:tcW w:w="2268" w:type="dxa"/>
            <w:tcBorders>
              <w:bottom w:val="single" w:sz="4" w:space="0" w:color="auto"/>
            </w:tcBorders>
            <w:vAlign w:val="center"/>
          </w:tcPr>
          <w:p w:rsidR="0017321C" w:rsidRPr="00260CE3" w:rsidRDefault="0017321C" w:rsidP="0017321C">
            <w:pPr>
              <w:keepNext/>
              <w:spacing w:before="0" w:after="0"/>
              <w:ind w:left="-108"/>
              <w:jc w:val="center"/>
              <w:rPr>
                <w:rFonts w:ascii="Arial Narrow" w:hAnsi="Arial Narrow"/>
                <w:sz w:val="20"/>
              </w:rPr>
            </w:pPr>
            <w:r>
              <w:rPr>
                <w:rFonts w:ascii="Arial Narrow" w:hAnsi="Arial Narrow"/>
                <w:sz w:val="20"/>
              </w:rPr>
              <w:t>Dispensed price per maximum amount (DPMA)</w:t>
            </w:r>
          </w:p>
        </w:tc>
        <w:tc>
          <w:tcPr>
            <w:tcW w:w="2409" w:type="dxa"/>
            <w:gridSpan w:val="2"/>
            <w:tcBorders>
              <w:bottom w:val="single" w:sz="4" w:space="0" w:color="auto"/>
            </w:tcBorders>
          </w:tcPr>
          <w:p w:rsidR="0017321C" w:rsidRPr="00260CE3" w:rsidRDefault="0017321C" w:rsidP="0017321C">
            <w:pPr>
              <w:keepNext/>
              <w:spacing w:before="0" w:after="0"/>
              <w:jc w:val="center"/>
              <w:rPr>
                <w:rFonts w:ascii="Arial Narrow" w:hAnsi="Arial Narrow"/>
                <w:sz w:val="20"/>
                <w:lang w:val="fr-FR"/>
              </w:rPr>
            </w:pPr>
            <w:r w:rsidRPr="00260CE3">
              <w:rPr>
                <w:rFonts w:ascii="Arial Narrow" w:hAnsi="Arial Narrow"/>
                <w:sz w:val="20"/>
              </w:rPr>
              <w:t>Proprietary Name and Manufacturer</w:t>
            </w:r>
          </w:p>
        </w:tc>
      </w:tr>
      <w:tr w:rsidR="0017321C" w:rsidRPr="00260CE3" w:rsidTr="002D4B51">
        <w:trPr>
          <w:cantSplit/>
          <w:trHeight w:val="577"/>
        </w:trPr>
        <w:tc>
          <w:tcPr>
            <w:tcW w:w="2268" w:type="dxa"/>
          </w:tcPr>
          <w:p w:rsidR="0017321C" w:rsidRDefault="0017321C" w:rsidP="0017321C">
            <w:pPr>
              <w:keepNext/>
              <w:spacing w:before="0" w:after="0"/>
              <w:ind w:left="-108"/>
              <w:jc w:val="center"/>
              <w:rPr>
                <w:rFonts w:ascii="Arial Narrow" w:hAnsi="Arial Narrow"/>
                <w:smallCaps/>
                <w:sz w:val="20"/>
              </w:rPr>
            </w:pPr>
          </w:p>
          <w:p w:rsidR="0017321C" w:rsidRDefault="0017321C" w:rsidP="0017321C">
            <w:pPr>
              <w:keepNext/>
              <w:spacing w:before="0" w:after="0"/>
              <w:ind w:left="-108"/>
              <w:jc w:val="center"/>
              <w:rPr>
                <w:rFonts w:ascii="Arial Narrow" w:hAnsi="Arial Narrow"/>
                <w:smallCaps/>
                <w:sz w:val="20"/>
              </w:rPr>
            </w:pPr>
            <w:r>
              <w:rPr>
                <w:rFonts w:ascii="Arial Narrow" w:hAnsi="Arial Narrow"/>
                <w:smallCaps/>
                <w:sz w:val="20"/>
              </w:rPr>
              <w:t>PRALATREXATE,</w:t>
            </w:r>
          </w:p>
          <w:p w:rsidR="0017321C" w:rsidRPr="00260CE3" w:rsidRDefault="0017321C" w:rsidP="0017321C">
            <w:pPr>
              <w:keepNext/>
              <w:spacing w:before="0" w:after="0"/>
              <w:ind w:left="-108"/>
              <w:jc w:val="center"/>
              <w:rPr>
                <w:rFonts w:ascii="Arial Narrow" w:hAnsi="Arial Narrow"/>
                <w:sz w:val="20"/>
              </w:rPr>
            </w:pPr>
            <w:r w:rsidRPr="0070164B">
              <w:rPr>
                <w:rFonts w:ascii="Arial Narrow" w:hAnsi="Arial Narrow"/>
                <w:sz w:val="20"/>
              </w:rPr>
              <w:t>Solution for I.V. infusion 20 mg in 1 mL</w:t>
            </w:r>
          </w:p>
        </w:tc>
        <w:tc>
          <w:tcPr>
            <w:tcW w:w="851" w:type="dxa"/>
            <w:gridSpan w:val="2"/>
          </w:tcPr>
          <w:p w:rsidR="0017321C" w:rsidRPr="00260CE3" w:rsidRDefault="0017321C" w:rsidP="0017321C">
            <w:pPr>
              <w:keepNext/>
              <w:spacing w:before="0" w:after="0"/>
              <w:ind w:left="-108"/>
              <w:jc w:val="center"/>
              <w:rPr>
                <w:rFonts w:ascii="Arial Narrow" w:hAnsi="Arial Narrow"/>
                <w:sz w:val="20"/>
              </w:rPr>
            </w:pPr>
          </w:p>
          <w:p w:rsidR="0017321C" w:rsidRPr="00260CE3" w:rsidRDefault="0017321C" w:rsidP="0017321C">
            <w:pPr>
              <w:keepNext/>
              <w:spacing w:before="0" w:after="0"/>
              <w:ind w:left="-108"/>
              <w:jc w:val="center"/>
              <w:rPr>
                <w:rFonts w:ascii="Arial Narrow" w:hAnsi="Arial Narrow"/>
                <w:sz w:val="20"/>
              </w:rPr>
            </w:pPr>
            <w:r>
              <w:rPr>
                <w:rFonts w:ascii="Arial Narrow" w:hAnsi="Arial Narrow"/>
                <w:sz w:val="20"/>
              </w:rPr>
              <w:t>80 mg</w:t>
            </w:r>
          </w:p>
        </w:tc>
        <w:tc>
          <w:tcPr>
            <w:tcW w:w="1276" w:type="dxa"/>
          </w:tcPr>
          <w:p w:rsidR="0017321C" w:rsidRDefault="0017321C" w:rsidP="0017321C">
            <w:pPr>
              <w:keepNext/>
              <w:spacing w:before="0" w:after="0"/>
              <w:ind w:left="-108"/>
              <w:jc w:val="center"/>
              <w:rPr>
                <w:rFonts w:ascii="Arial Narrow" w:hAnsi="Arial Narrow"/>
                <w:sz w:val="20"/>
              </w:rPr>
            </w:pPr>
          </w:p>
          <w:p w:rsidR="0017321C" w:rsidRPr="00260CE3" w:rsidRDefault="0017321C" w:rsidP="0017321C">
            <w:pPr>
              <w:keepNext/>
              <w:spacing w:before="0" w:after="0"/>
              <w:ind w:left="-108"/>
              <w:jc w:val="center"/>
              <w:rPr>
                <w:rFonts w:ascii="Arial Narrow" w:hAnsi="Arial Narrow"/>
                <w:sz w:val="20"/>
              </w:rPr>
            </w:pPr>
            <w:r>
              <w:rPr>
                <w:rFonts w:ascii="Arial Narrow" w:hAnsi="Arial Narrow"/>
                <w:sz w:val="20"/>
              </w:rPr>
              <w:t>11</w:t>
            </w:r>
          </w:p>
        </w:tc>
        <w:tc>
          <w:tcPr>
            <w:tcW w:w="2268" w:type="dxa"/>
            <w:vAlign w:val="center"/>
          </w:tcPr>
          <w:p w:rsidR="0017321C" w:rsidRDefault="0017321C" w:rsidP="0017321C">
            <w:pPr>
              <w:pStyle w:val="TableText"/>
              <w:jc w:val="center"/>
            </w:pPr>
            <w:r>
              <w:t xml:space="preserve">Effective/Published (public): </w:t>
            </w:r>
            <w:r w:rsidRPr="0060712F">
              <w:t>$</w:t>
            </w:r>
            <w:r w:rsidR="000F1D32">
              <w:rPr>
                <w:noProof/>
                <w:color w:val="000000"/>
                <w:highlight w:val="black"/>
              </w:rPr>
              <w:t>'''''''''''''''''''''</w:t>
            </w:r>
            <w:r w:rsidRPr="0060712F">
              <w:t>/$</w:t>
            </w:r>
            <w:r w:rsidR="000F1D32">
              <w:rPr>
                <w:noProof/>
                <w:color w:val="000000"/>
                <w:highlight w:val="black"/>
              </w:rPr>
              <w:t>'''''''''''''''''''''''''</w:t>
            </w:r>
          </w:p>
          <w:p w:rsidR="0017321C" w:rsidRPr="00260CE3" w:rsidRDefault="0017321C" w:rsidP="0017321C">
            <w:pPr>
              <w:keepNext/>
              <w:spacing w:before="0" w:after="0"/>
              <w:ind w:left="-108"/>
              <w:jc w:val="center"/>
              <w:rPr>
                <w:rFonts w:ascii="Arial Narrow" w:hAnsi="Arial Narrow"/>
                <w:sz w:val="20"/>
              </w:rPr>
            </w:pPr>
            <w:r w:rsidRPr="0017321C">
              <w:rPr>
                <w:rFonts w:ascii="Arial Narrow" w:hAnsi="Arial Narrow"/>
                <w:sz w:val="20"/>
              </w:rPr>
              <w:t>Effective/Published (private): $</w:t>
            </w:r>
            <w:r w:rsidR="000F1D32">
              <w:rPr>
                <w:rFonts w:ascii="Arial Narrow" w:hAnsi="Arial Narrow"/>
                <w:noProof/>
                <w:color w:val="000000"/>
                <w:sz w:val="20"/>
                <w:highlight w:val="black"/>
              </w:rPr>
              <w:t>''''''''''''''''''''</w:t>
            </w:r>
            <w:r w:rsidRPr="0017321C">
              <w:rPr>
                <w:rFonts w:ascii="Arial Narrow" w:hAnsi="Arial Narrow"/>
                <w:sz w:val="20"/>
              </w:rPr>
              <w:t>/$</w:t>
            </w:r>
            <w:r w:rsidR="000F1D32">
              <w:rPr>
                <w:rFonts w:ascii="Arial Narrow" w:hAnsi="Arial Narrow"/>
                <w:noProof/>
                <w:color w:val="000000"/>
                <w:sz w:val="20"/>
                <w:highlight w:val="black"/>
              </w:rPr>
              <w:t>''''''''''''''''''''''</w:t>
            </w:r>
          </w:p>
        </w:tc>
        <w:tc>
          <w:tcPr>
            <w:tcW w:w="850" w:type="dxa"/>
          </w:tcPr>
          <w:p w:rsidR="0017321C" w:rsidRDefault="0017321C" w:rsidP="0017321C">
            <w:pPr>
              <w:keepNext/>
              <w:spacing w:before="0" w:after="0"/>
              <w:jc w:val="center"/>
              <w:rPr>
                <w:rFonts w:ascii="Arial Narrow" w:hAnsi="Arial Narrow"/>
                <w:sz w:val="20"/>
              </w:rPr>
            </w:pPr>
          </w:p>
          <w:p w:rsidR="0017321C" w:rsidRPr="00260CE3" w:rsidRDefault="0017321C" w:rsidP="0017321C">
            <w:pPr>
              <w:keepNext/>
              <w:spacing w:before="0" w:after="0"/>
              <w:jc w:val="center"/>
              <w:rPr>
                <w:rFonts w:ascii="Arial Narrow" w:hAnsi="Arial Narrow"/>
                <w:sz w:val="20"/>
              </w:rPr>
            </w:pPr>
            <w:proofErr w:type="spellStart"/>
            <w:r w:rsidRPr="001D753C">
              <w:rPr>
                <w:rFonts w:ascii="Arial Narrow" w:hAnsi="Arial Narrow"/>
                <w:sz w:val="20"/>
              </w:rPr>
              <w:t>Folotyn</w:t>
            </w:r>
            <w:proofErr w:type="spellEnd"/>
          </w:p>
        </w:tc>
        <w:tc>
          <w:tcPr>
            <w:tcW w:w="1559" w:type="dxa"/>
          </w:tcPr>
          <w:p w:rsidR="0017321C" w:rsidRDefault="0017321C" w:rsidP="0017321C">
            <w:pPr>
              <w:keepNext/>
              <w:spacing w:before="0" w:after="0"/>
              <w:jc w:val="center"/>
              <w:rPr>
                <w:rFonts w:ascii="Arial Narrow" w:hAnsi="Arial Narrow"/>
                <w:sz w:val="20"/>
              </w:rPr>
            </w:pPr>
          </w:p>
          <w:p w:rsidR="0017321C" w:rsidRPr="00260CE3" w:rsidRDefault="0017321C" w:rsidP="0017321C">
            <w:pPr>
              <w:keepNext/>
              <w:spacing w:before="0" w:after="0"/>
              <w:jc w:val="center"/>
              <w:rPr>
                <w:rFonts w:ascii="Arial Narrow" w:hAnsi="Arial Narrow"/>
                <w:sz w:val="20"/>
              </w:rPr>
            </w:pPr>
            <w:proofErr w:type="spellStart"/>
            <w:r w:rsidRPr="001D753C">
              <w:rPr>
                <w:rFonts w:ascii="Arial Narrow" w:hAnsi="Arial Narrow"/>
                <w:sz w:val="20"/>
              </w:rPr>
              <w:t>Mundipharma</w:t>
            </w:r>
            <w:proofErr w:type="spellEnd"/>
            <w:r>
              <w:rPr>
                <w:rFonts w:ascii="Arial Narrow" w:hAnsi="Arial Narrow"/>
                <w:sz w:val="20"/>
              </w:rPr>
              <w:t xml:space="preserve"> Pty Ltd.</w:t>
            </w:r>
          </w:p>
        </w:tc>
      </w:tr>
      <w:tr w:rsidR="0017321C" w:rsidRPr="00260CE3" w:rsidTr="005549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b/>
                <w:sz w:val="20"/>
              </w:rPr>
            </w:pPr>
            <w:r w:rsidRPr="00260CE3">
              <w:rPr>
                <w:rFonts w:ascii="Arial Narrow" w:hAnsi="Arial Narrow"/>
                <w:b/>
                <w:sz w:val="20"/>
              </w:rPr>
              <w:t xml:space="preserve">Category / </w:t>
            </w:r>
          </w:p>
          <w:p w:rsidR="0017321C" w:rsidRPr="00260CE3" w:rsidRDefault="0017321C" w:rsidP="00E86AF6">
            <w:pPr>
              <w:spacing w:before="0" w:after="0"/>
              <w:rPr>
                <w:rFonts w:ascii="Arial Narrow" w:hAnsi="Arial Narrow"/>
                <w:b/>
                <w:sz w:val="20"/>
              </w:rPr>
            </w:pPr>
            <w:r w:rsidRPr="00260CE3">
              <w:rPr>
                <w:rFonts w:ascii="Arial Narrow" w:hAnsi="Arial Narrow"/>
                <w:b/>
                <w:sz w:val="20"/>
              </w:rPr>
              <w:t>Program</w:t>
            </w:r>
          </w:p>
        </w:tc>
        <w:tc>
          <w:tcPr>
            <w:tcW w:w="6237" w:type="dxa"/>
            <w:gridSpan w:val="5"/>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sz w:val="20"/>
              </w:rPr>
            </w:pPr>
            <w:r w:rsidRPr="00957D57">
              <w:rPr>
                <w:rFonts w:ascii="Arial Narrow" w:hAnsi="Arial Narrow"/>
                <w:sz w:val="20"/>
              </w:rPr>
              <w:t>Section 100, Authority Required (Private and Public Hospital)</w:t>
            </w:r>
          </w:p>
        </w:tc>
      </w:tr>
      <w:tr w:rsidR="0017321C" w:rsidRPr="00260CE3" w:rsidTr="00554993">
        <w:trPr>
          <w:cantSplit/>
          <w:trHeight w:val="634"/>
        </w:trPr>
        <w:tc>
          <w:tcPr>
            <w:tcW w:w="2835" w:type="dxa"/>
            <w:gridSpan w:val="2"/>
            <w:tcBorders>
              <w:top w:val="single" w:sz="4" w:space="0" w:color="auto"/>
              <w:left w:val="single" w:sz="4" w:space="0" w:color="auto"/>
              <w:bottom w:val="single" w:sz="4" w:space="0" w:color="auto"/>
              <w:right w:val="single" w:sz="4" w:space="0" w:color="auto"/>
            </w:tcBorders>
          </w:tcPr>
          <w:p w:rsidR="0017321C" w:rsidRDefault="0017321C" w:rsidP="00E86AF6">
            <w:pPr>
              <w:spacing w:before="0" w:after="0"/>
              <w:rPr>
                <w:rFonts w:ascii="Arial Narrow" w:hAnsi="Arial Narrow"/>
                <w:b/>
                <w:sz w:val="20"/>
              </w:rPr>
            </w:pPr>
            <w:r w:rsidRPr="00260CE3">
              <w:rPr>
                <w:rFonts w:ascii="Arial Narrow" w:hAnsi="Arial Narrow"/>
                <w:b/>
                <w:sz w:val="20"/>
              </w:rPr>
              <w:t>Prescriber type:</w:t>
            </w:r>
          </w:p>
          <w:p w:rsidR="0017321C" w:rsidRPr="00260CE3" w:rsidRDefault="0017321C" w:rsidP="00E86AF6">
            <w:pPr>
              <w:spacing w:before="0" w:after="0"/>
              <w:rPr>
                <w:rFonts w:ascii="Arial Narrow" w:hAnsi="Arial Narrow"/>
                <w:b/>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7321C" w:rsidRPr="00260CE3" w:rsidRDefault="0017321C" w:rsidP="00E86AF6">
            <w:pPr>
              <w:spacing w:before="0" w:after="0"/>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7321C" w:rsidRPr="00260CE3" w:rsidTr="005549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b/>
                <w:sz w:val="20"/>
              </w:rPr>
            </w:pPr>
            <w:r w:rsidRPr="00260CE3">
              <w:rPr>
                <w:rFonts w:ascii="Arial Narrow" w:hAnsi="Arial Narrow"/>
                <w:b/>
                <w:sz w:val="20"/>
              </w:rPr>
              <w:t>Severity:</w:t>
            </w:r>
          </w:p>
        </w:tc>
        <w:tc>
          <w:tcPr>
            <w:tcW w:w="6237" w:type="dxa"/>
            <w:gridSpan w:val="5"/>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sz w:val="20"/>
              </w:rPr>
            </w:pPr>
            <w:r w:rsidRPr="001D753C">
              <w:rPr>
                <w:rFonts w:ascii="Arial Narrow" w:hAnsi="Arial Narrow"/>
                <w:strike/>
                <w:sz w:val="20"/>
              </w:rPr>
              <w:t>Patients who have</w:t>
            </w:r>
            <w:r>
              <w:rPr>
                <w:rFonts w:ascii="Arial Narrow" w:hAnsi="Arial Narrow"/>
                <w:sz w:val="20"/>
              </w:rPr>
              <w:t xml:space="preserve"> Relapsed or chemotherapy refractory </w:t>
            </w:r>
            <w:r w:rsidRPr="001D753C">
              <w:rPr>
                <w:rFonts w:ascii="Arial Narrow" w:hAnsi="Arial Narrow"/>
                <w:strike/>
                <w:sz w:val="20"/>
              </w:rPr>
              <w:t>disease</w:t>
            </w:r>
          </w:p>
        </w:tc>
      </w:tr>
      <w:tr w:rsidR="0017321C" w:rsidRPr="00260CE3" w:rsidTr="005549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b/>
                <w:sz w:val="20"/>
              </w:rPr>
            </w:pPr>
            <w:r w:rsidRPr="00260CE3">
              <w:rPr>
                <w:rFonts w:ascii="Arial Narrow" w:hAnsi="Arial Narrow"/>
                <w:b/>
                <w:sz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sz w:val="20"/>
              </w:rPr>
            </w:pPr>
            <w:r>
              <w:rPr>
                <w:rFonts w:ascii="Arial Narrow" w:hAnsi="Arial Narrow"/>
                <w:sz w:val="20"/>
              </w:rPr>
              <w:t>Peri</w:t>
            </w:r>
            <w:r w:rsidRPr="00554993">
              <w:rPr>
                <w:rFonts w:ascii="Arial Narrow" w:hAnsi="Arial Narrow"/>
                <w:b/>
                <w:sz w:val="20"/>
              </w:rPr>
              <w:t>p</w:t>
            </w:r>
            <w:r>
              <w:rPr>
                <w:rFonts w:ascii="Arial Narrow" w:hAnsi="Arial Narrow"/>
                <w:sz w:val="20"/>
              </w:rPr>
              <w:t>heral T-cell Lymphoma</w:t>
            </w:r>
          </w:p>
        </w:tc>
      </w:tr>
      <w:tr w:rsidR="0017321C" w:rsidRPr="00260CE3" w:rsidTr="005549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b/>
                <w:sz w:val="20"/>
              </w:rPr>
            </w:pPr>
            <w:r w:rsidRPr="00260CE3">
              <w:rPr>
                <w:rFonts w:ascii="Arial Narrow"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sz w:val="20"/>
              </w:rPr>
            </w:pPr>
            <w:r>
              <w:rPr>
                <w:rFonts w:ascii="Arial Narrow" w:hAnsi="Arial Narrow"/>
                <w:sz w:val="20"/>
              </w:rPr>
              <w:t>Relapsed or chemotherapy refractory peripheral T-cell Lymphoma</w:t>
            </w:r>
          </w:p>
        </w:tc>
      </w:tr>
      <w:tr w:rsidR="0017321C" w:rsidRPr="00260CE3" w:rsidTr="005549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17321C" w:rsidRPr="001D753C" w:rsidRDefault="0017321C" w:rsidP="00E86AF6">
            <w:pPr>
              <w:spacing w:before="0" w:after="0"/>
              <w:rPr>
                <w:rFonts w:ascii="Arial Narrow" w:hAnsi="Arial Narrow"/>
                <w:b/>
                <w:sz w:val="20"/>
              </w:rPr>
            </w:pPr>
            <w:r w:rsidRPr="00260CE3">
              <w:rPr>
                <w:rFonts w:ascii="Arial Narrow" w:hAnsi="Arial Narrow"/>
                <w:b/>
                <w:sz w:val="20"/>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17321C" w:rsidRPr="00A77522" w:rsidRDefault="0017321C" w:rsidP="00E86AF6">
            <w:pPr>
              <w:spacing w:before="0" w:after="0"/>
              <w:rPr>
                <w:rFonts w:ascii="Arial Narrow" w:hAnsi="Arial Narrow"/>
                <w:i/>
                <w:sz w:val="20"/>
              </w:rPr>
            </w:pPr>
            <w:r w:rsidRPr="009C57D4">
              <w:rPr>
                <w:rFonts w:ascii="Arial Narrow" w:hAnsi="Arial Narrow"/>
                <w:sz w:val="20"/>
              </w:rPr>
              <w:t>Continuing</w:t>
            </w:r>
            <w:r>
              <w:rPr>
                <w:rFonts w:ascii="Arial Narrow" w:hAnsi="Arial Narrow"/>
                <w:sz w:val="20"/>
              </w:rPr>
              <w:t xml:space="preserve"> </w:t>
            </w:r>
            <w:r w:rsidRPr="009C57D4">
              <w:rPr>
                <w:rFonts w:ascii="Arial Narrow" w:hAnsi="Arial Narrow"/>
                <w:sz w:val="20"/>
              </w:rPr>
              <w:t>treatme</w:t>
            </w:r>
            <w:r>
              <w:rPr>
                <w:rFonts w:ascii="Arial Narrow" w:hAnsi="Arial Narrow"/>
                <w:sz w:val="20"/>
              </w:rPr>
              <w:t>nt</w:t>
            </w:r>
          </w:p>
        </w:tc>
      </w:tr>
      <w:tr w:rsidR="0017321C" w:rsidRPr="00260CE3" w:rsidTr="005549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7321C" w:rsidRPr="00CD28F3" w:rsidRDefault="0017321C" w:rsidP="00E86AF6">
            <w:pPr>
              <w:spacing w:before="0" w:after="0"/>
              <w:rPr>
                <w:rFonts w:ascii="Arial Narrow" w:hAnsi="Arial Narrow"/>
                <w:i/>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17321C" w:rsidRPr="00106BCF" w:rsidRDefault="0017321C" w:rsidP="00E86AF6">
            <w:pPr>
              <w:spacing w:before="0" w:after="0"/>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7321C" w:rsidRPr="00106BCF" w:rsidRDefault="0017321C" w:rsidP="00E86AF6">
            <w:pPr>
              <w:spacing w:before="0" w:after="0"/>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7321C" w:rsidRPr="00106BCF" w:rsidRDefault="0017321C" w:rsidP="00E86AF6">
            <w:pPr>
              <w:spacing w:before="0" w:after="0"/>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7" w:name="Check3"/>
            <w:r>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Pr>
                <w:rFonts w:ascii="Arial Narrow" w:hAnsi="Arial Narrow"/>
                <w:sz w:val="20"/>
              </w:rPr>
              <w:fldChar w:fldCharType="end"/>
            </w:r>
            <w:bookmarkEnd w:id="7"/>
            <w:r w:rsidRPr="00106BCF">
              <w:rPr>
                <w:rFonts w:ascii="Arial Narrow" w:hAnsi="Arial Narrow"/>
                <w:sz w:val="20"/>
              </w:rPr>
              <w:t>Authority Required - Telephone</w:t>
            </w:r>
          </w:p>
          <w:p w:rsidR="0017321C" w:rsidRPr="00106BCF" w:rsidRDefault="0017321C" w:rsidP="00E86AF6">
            <w:pPr>
              <w:spacing w:before="0" w:after="0"/>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17321C" w:rsidRPr="00106BCF" w:rsidRDefault="0017321C" w:rsidP="00E86AF6">
            <w:pPr>
              <w:spacing w:before="0" w:after="0"/>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17321C" w:rsidRPr="00260CE3" w:rsidRDefault="0017321C" w:rsidP="00E86AF6">
            <w:pPr>
              <w:spacing w:before="0" w:after="0"/>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302C27">
              <w:rPr>
                <w:rFonts w:ascii="Arial Narrow" w:hAnsi="Arial Narrow"/>
                <w:sz w:val="20"/>
              </w:rPr>
            </w:r>
            <w:r w:rsidR="00302C2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17321C" w:rsidRPr="00260CE3" w:rsidTr="005549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b/>
                <w:sz w:val="20"/>
              </w:rPr>
            </w:pPr>
            <w:r w:rsidRPr="00260CE3">
              <w:rPr>
                <w:rFonts w:ascii="Arial Narrow" w:hAnsi="Arial Narrow"/>
                <w:b/>
                <w:sz w:val="20"/>
              </w:rPr>
              <w:t>Clinical criteria:</w:t>
            </w:r>
          </w:p>
          <w:p w:rsidR="0017321C" w:rsidRPr="00260CE3" w:rsidRDefault="0017321C" w:rsidP="00E86AF6">
            <w:pPr>
              <w:spacing w:before="0" w:after="0"/>
              <w:rPr>
                <w:rFonts w:ascii="Arial Narrow" w:hAnsi="Arial Narrow"/>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17321C" w:rsidRPr="009C57D4" w:rsidRDefault="0017321C" w:rsidP="00E86AF6">
            <w:pPr>
              <w:spacing w:before="0" w:after="0"/>
              <w:rPr>
                <w:rFonts w:ascii="Arial Narrow" w:hAnsi="Arial Narrow"/>
                <w:sz w:val="20"/>
              </w:rPr>
            </w:pPr>
            <w:r w:rsidRPr="009C57D4">
              <w:rPr>
                <w:rFonts w:ascii="Arial Narrow" w:hAnsi="Arial Narrow"/>
                <w:sz w:val="20"/>
              </w:rPr>
              <w:t>Patient must not have progressive disease,</w:t>
            </w:r>
          </w:p>
          <w:p w:rsidR="0017321C" w:rsidRPr="00174092" w:rsidRDefault="0017321C" w:rsidP="00E86AF6">
            <w:pPr>
              <w:spacing w:before="0" w:after="0"/>
              <w:rPr>
                <w:rFonts w:ascii="Arial Narrow" w:hAnsi="Arial Narrow"/>
                <w:sz w:val="20"/>
              </w:rPr>
            </w:pPr>
            <w:r w:rsidRPr="00174092">
              <w:rPr>
                <w:rFonts w:ascii="Arial Narrow" w:hAnsi="Arial Narrow"/>
                <w:sz w:val="20"/>
              </w:rPr>
              <w:t xml:space="preserve">And </w:t>
            </w:r>
          </w:p>
          <w:p w:rsidR="0017321C" w:rsidRPr="00260CE3" w:rsidRDefault="0017321C" w:rsidP="00E86AF6">
            <w:pPr>
              <w:spacing w:before="0" w:after="0"/>
              <w:rPr>
                <w:rFonts w:ascii="Arial Narrow" w:hAnsi="Arial Narrow"/>
                <w:sz w:val="20"/>
              </w:rPr>
            </w:pPr>
            <w:r w:rsidRPr="009C57D4">
              <w:rPr>
                <w:rFonts w:ascii="Arial Narrow" w:hAnsi="Arial Narrow"/>
                <w:sz w:val="20"/>
              </w:rPr>
              <w:t>Patient must have previously been issued with an authority prescription for this drug.</w:t>
            </w:r>
          </w:p>
        </w:tc>
      </w:tr>
      <w:tr w:rsidR="0017321C" w:rsidRPr="00260CE3" w:rsidTr="005549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17321C" w:rsidRPr="00260CE3" w:rsidRDefault="0017321C" w:rsidP="00E86AF6">
            <w:pPr>
              <w:spacing w:before="0" w:after="0"/>
              <w:rPr>
                <w:rFonts w:ascii="Arial Narrow" w:hAnsi="Arial Narrow"/>
                <w:b/>
                <w:sz w:val="20"/>
              </w:rPr>
            </w:pPr>
            <w:r w:rsidRPr="00260CE3">
              <w:rPr>
                <w:rFonts w:ascii="Arial Narrow" w:hAnsi="Arial Narrow"/>
                <w:b/>
                <w:sz w:val="20"/>
              </w:rPr>
              <w:t>Administrative Advice</w:t>
            </w:r>
          </w:p>
          <w:p w:rsidR="0017321C" w:rsidRPr="00260CE3" w:rsidRDefault="0017321C" w:rsidP="00E86AF6">
            <w:pPr>
              <w:spacing w:before="0" w:after="0"/>
              <w:rPr>
                <w:rFonts w:ascii="Arial Narrow" w:hAnsi="Arial Narrow"/>
                <w:i/>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17321C" w:rsidRPr="00957D57" w:rsidRDefault="0017321C" w:rsidP="00E86AF6">
            <w:pPr>
              <w:spacing w:before="0" w:after="0"/>
              <w:rPr>
                <w:rFonts w:ascii="Arial Narrow" w:hAnsi="Arial Narrow"/>
                <w:b/>
                <w:strike/>
                <w:color w:val="000000"/>
                <w:sz w:val="20"/>
              </w:rPr>
            </w:pPr>
            <w:r w:rsidRPr="00957D57">
              <w:rPr>
                <w:rFonts w:ascii="Arial Narrow" w:hAnsi="Arial Narrow"/>
                <w:b/>
                <w:strike/>
                <w:color w:val="000000"/>
                <w:sz w:val="20"/>
              </w:rPr>
              <w:t>Note</w:t>
            </w:r>
          </w:p>
          <w:p w:rsidR="0017321C" w:rsidRPr="009C57D4" w:rsidRDefault="0017321C" w:rsidP="00E86AF6">
            <w:pPr>
              <w:spacing w:before="0" w:after="0"/>
              <w:rPr>
                <w:rFonts w:ascii="Arial Narrow" w:hAnsi="Arial Narrow"/>
                <w:i/>
                <w:color w:val="000000"/>
                <w:sz w:val="20"/>
              </w:rPr>
            </w:pPr>
            <w:r w:rsidRPr="009C57D4">
              <w:rPr>
                <w:rFonts w:ascii="Arial Narrow" w:hAnsi="Arial Narrow"/>
                <w:i/>
                <w:color w:val="000000"/>
                <w:sz w:val="20"/>
              </w:rPr>
              <w:t>Any queries concerning the arrangements to prescribe may be directed to the Department of Human Services on 1800 700 270 (hours of operation 8 a.m. to 5 p.m. EST Monday to Friday).</w:t>
            </w:r>
          </w:p>
          <w:p w:rsidR="0017321C" w:rsidRPr="00957D57" w:rsidRDefault="0017321C" w:rsidP="00E86AF6">
            <w:pPr>
              <w:spacing w:before="0" w:after="0"/>
              <w:rPr>
                <w:rFonts w:ascii="Arial Narrow" w:hAnsi="Arial Narrow"/>
                <w:b/>
                <w:strike/>
                <w:color w:val="000000"/>
                <w:sz w:val="20"/>
              </w:rPr>
            </w:pPr>
            <w:r w:rsidRPr="00957D57">
              <w:rPr>
                <w:rFonts w:ascii="Arial Narrow" w:hAnsi="Arial Narrow"/>
                <w:b/>
                <w:strike/>
                <w:color w:val="000000"/>
                <w:sz w:val="20"/>
              </w:rPr>
              <w:t>Note</w:t>
            </w:r>
          </w:p>
          <w:p w:rsidR="0017321C" w:rsidRPr="00F12BB4" w:rsidRDefault="0017321C" w:rsidP="00E86AF6">
            <w:pPr>
              <w:spacing w:before="0" w:after="0"/>
              <w:rPr>
                <w:rFonts w:ascii="Arial Narrow" w:hAnsi="Arial Narrow"/>
                <w:color w:val="000000"/>
                <w:sz w:val="20"/>
              </w:rPr>
            </w:pPr>
            <w:r w:rsidRPr="00F12BB4">
              <w:rPr>
                <w:rFonts w:ascii="Arial Narrow" w:hAnsi="Arial Narrow"/>
                <w:color w:val="000000"/>
                <w:sz w:val="20"/>
              </w:rPr>
              <w:t>No increase in the maximum number of repeats may be authorised.</w:t>
            </w:r>
          </w:p>
          <w:p w:rsidR="0017321C" w:rsidRPr="00957D57" w:rsidRDefault="0017321C" w:rsidP="00E86AF6">
            <w:pPr>
              <w:spacing w:before="0" w:after="0"/>
              <w:rPr>
                <w:rFonts w:ascii="Arial Narrow" w:hAnsi="Arial Narrow"/>
                <w:b/>
                <w:strike/>
                <w:color w:val="000000"/>
                <w:sz w:val="20"/>
              </w:rPr>
            </w:pPr>
            <w:r w:rsidRPr="00957D57">
              <w:rPr>
                <w:rFonts w:ascii="Arial Narrow" w:hAnsi="Arial Narrow"/>
                <w:b/>
                <w:strike/>
                <w:color w:val="000000"/>
                <w:sz w:val="20"/>
              </w:rPr>
              <w:t>Note</w:t>
            </w:r>
          </w:p>
          <w:p w:rsidR="0017321C" w:rsidRPr="00F12BB4" w:rsidRDefault="0017321C" w:rsidP="00E86AF6">
            <w:pPr>
              <w:spacing w:before="0" w:after="0"/>
              <w:rPr>
                <w:rFonts w:ascii="Arial Narrow" w:hAnsi="Arial Narrow"/>
                <w:color w:val="000000"/>
                <w:sz w:val="20"/>
              </w:rPr>
            </w:pPr>
            <w:r w:rsidRPr="00F12BB4">
              <w:rPr>
                <w:rFonts w:ascii="Arial Narrow" w:hAnsi="Arial Narrow"/>
                <w:color w:val="000000"/>
                <w:sz w:val="20"/>
              </w:rPr>
              <w:t>No increase in the maximum quantity or number of units may be authorised.</w:t>
            </w:r>
          </w:p>
          <w:p w:rsidR="0017321C" w:rsidRPr="00957D57" w:rsidRDefault="0017321C" w:rsidP="00E86AF6">
            <w:pPr>
              <w:spacing w:before="0" w:after="0"/>
              <w:rPr>
                <w:rFonts w:ascii="Arial Narrow" w:hAnsi="Arial Narrow"/>
                <w:b/>
                <w:strike/>
                <w:color w:val="000000"/>
                <w:sz w:val="20"/>
              </w:rPr>
            </w:pPr>
            <w:r w:rsidRPr="00957D57">
              <w:rPr>
                <w:rFonts w:ascii="Arial Narrow" w:hAnsi="Arial Narrow"/>
                <w:b/>
                <w:strike/>
                <w:color w:val="000000"/>
                <w:sz w:val="20"/>
              </w:rPr>
              <w:t>Note</w:t>
            </w:r>
          </w:p>
          <w:p w:rsidR="0017321C" w:rsidRPr="00F12BB4" w:rsidRDefault="0017321C" w:rsidP="00E86AF6">
            <w:pPr>
              <w:spacing w:before="0" w:after="0"/>
              <w:rPr>
                <w:rFonts w:ascii="Arial Narrow" w:hAnsi="Arial Narrow"/>
                <w:sz w:val="20"/>
              </w:rPr>
            </w:pPr>
            <w:r w:rsidRPr="00F12BB4">
              <w:rPr>
                <w:rFonts w:ascii="Arial Narrow" w:hAnsi="Arial Narrow"/>
                <w:color w:val="000000"/>
                <w:sz w:val="20"/>
              </w:rPr>
              <w:t>Special Pricing Arrangements apply.</w:t>
            </w:r>
          </w:p>
        </w:tc>
      </w:tr>
    </w:tbl>
    <w:p w:rsidR="00D34275" w:rsidRPr="00D34275" w:rsidRDefault="00D34275" w:rsidP="00400915">
      <w:pPr>
        <w:pStyle w:val="ListParagraph"/>
        <w:numPr>
          <w:ilvl w:val="0"/>
          <w:numId w:val="14"/>
        </w:numPr>
        <w:jc w:val="both"/>
        <w:rPr>
          <w:vanish/>
        </w:rPr>
      </w:pPr>
    </w:p>
    <w:p w:rsidR="00673D97" w:rsidRPr="00852E65" w:rsidRDefault="00673D97" w:rsidP="00554993">
      <w:pPr>
        <w:pStyle w:val="ListParagraph"/>
        <w:numPr>
          <w:ilvl w:val="1"/>
          <w:numId w:val="14"/>
        </w:numPr>
        <w:ind w:left="709" w:hanging="709"/>
        <w:jc w:val="both"/>
      </w:pPr>
      <w:r w:rsidRPr="0095422D">
        <w:t>The</w:t>
      </w:r>
      <w:r w:rsidRPr="00852E65">
        <w:t xml:space="preserve"> proposed PBS restriction was similar to that presented in the November 2015</w:t>
      </w:r>
      <w:r w:rsidR="00554993">
        <w:t xml:space="preserve"> </w:t>
      </w:r>
      <w:r w:rsidRPr="00852E65">
        <w:t xml:space="preserve">submission. In the March 2016 minor resubmission the Sponsor indicated that they would be willing to restrict the listing of </w:t>
      </w:r>
      <w:proofErr w:type="spellStart"/>
      <w:r w:rsidRPr="00852E65">
        <w:t>pralatrexate</w:t>
      </w:r>
      <w:proofErr w:type="spellEnd"/>
      <w:r w:rsidRPr="00852E65">
        <w:t xml:space="preserve"> to patients with an Eastern Cooperative Oncology Group (ECOG) performance status of two or less. This </w:t>
      </w:r>
      <w:r w:rsidR="0038043B" w:rsidRPr="00852E65">
        <w:t xml:space="preserve">restriction criterion </w:t>
      </w:r>
      <w:r w:rsidRPr="00852E65">
        <w:t xml:space="preserve">was not included in July 2017 proposed listing. </w:t>
      </w:r>
      <w:r w:rsidR="00C60FC3">
        <w:t>The PBAC considered t</w:t>
      </w:r>
      <w:r w:rsidR="00C60FC3" w:rsidRPr="00C60FC3">
        <w:t>here is no reason to expect prescribers to use this in poor performance status patients given its significant toxicity (mucositis).</w:t>
      </w:r>
    </w:p>
    <w:p w:rsidR="005B178F" w:rsidRPr="00852E65" w:rsidRDefault="005B178F" w:rsidP="007D5AB9">
      <w:pPr>
        <w:pStyle w:val="ListParagraph"/>
        <w:numPr>
          <w:ilvl w:val="1"/>
          <w:numId w:val="14"/>
        </w:numPr>
        <w:spacing w:before="0" w:after="120"/>
        <w:ind w:hanging="792"/>
        <w:jc w:val="both"/>
      </w:pPr>
      <w:r w:rsidRPr="00852E65">
        <w:t>The effective dispensed price for the maximum amount was the same as proposed in the March 2016 minor resubmission (</w:t>
      </w:r>
      <w:r w:rsidRPr="008347F4">
        <w:t xml:space="preserve">which was a </w:t>
      </w:r>
      <w:r w:rsidR="000F1D32">
        <w:rPr>
          <w:noProof/>
          <w:color w:val="000000"/>
          <w:highlight w:val="black"/>
        </w:rPr>
        <w:t>''''''</w:t>
      </w:r>
      <w:r w:rsidRPr="008347F4">
        <w:t>% reduction compared to the original November 2015 submission</w:t>
      </w:r>
      <w:r w:rsidRPr="00852E65">
        <w:t>). As per the previous submissions, the published price was based on an ex-manufacturer price of $</w:t>
      </w:r>
      <w:r w:rsidR="000F1D32">
        <w:rPr>
          <w:noProof/>
          <w:color w:val="000000"/>
          <w:highlight w:val="black"/>
        </w:rPr>
        <w:t>'''''''''''</w:t>
      </w:r>
      <w:r w:rsidRPr="00852E65">
        <w:t xml:space="preserve"> per vial.</w:t>
      </w:r>
    </w:p>
    <w:p w:rsidR="00673D97" w:rsidRPr="00852E65" w:rsidRDefault="00673D97" w:rsidP="00400915">
      <w:pPr>
        <w:pStyle w:val="ListParagraph"/>
        <w:numPr>
          <w:ilvl w:val="1"/>
          <w:numId w:val="14"/>
        </w:numPr>
        <w:spacing w:before="0" w:after="120"/>
        <w:ind w:hanging="792"/>
        <w:jc w:val="both"/>
      </w:pPr>
      <w:r w:rsidRPr="00852E65">
        <w:lastRenderedPageBreak/>
        <w:t>As per the previous submissions, the July 2017 resubmission presented a cost-utility analysis which was based on a</w:t>
      </w:r>
      <w:r w:rsidR="009312E5" w:rsidRPr="00852E65">
        <w:t xml:space="preserve"> naïve </w:t>
      </w:r>
      <w:r w:rsidRPr="00852E65">
        <w:t xml:space="preserve">indirect comparison of </w:t>
      </w:r>
      <w:proofErr w:type="spellStart"/>
      <w:r w:rsidRPr="00852E65">
        <w:t>pralatrexate</w:t>
      </w:r>
      <w:proofErr w:type="spellEnd"/>
      <w:r w:rsidRPr="00852E65">
        <w:t xml:space="preserve"> with a basket of comparator treatments. </w:t>
      </w:r>
    </w:p>
    <w:p w:rsidR="00743EC3" w:rsidRDefault="00673D97" w:rsidP="00400915">
      <w:pPr>
        <w:pStyle w:val="ListParagraph"/>
        <w:numPr>
          <w:ilvl w:val="1"/>
          <w:numId w:val="14"/>
        </w:numPr>
        <w:spacing w:before="0" w:after="120"/>
        <w:ind w:hanging="792"/>
        <w:jc w:val="both"/>
      </w:pPr>
      <w:r w:rsidRPr="00852E65">
        <w:t xml:space="preserve">The recommended dose of </w:t>
      </w:r>
      <w:proofErr w:type="spellStart"/>
      <w:r w:rsidRPr="00852E65">
        <w:t>pralatrexate</w:t>
      </w:r>
      <w:proofErr w:type="spellEnd"/>
      <w:r w:rsidRPr="00852E65">
        <w:t xml:space="preserve"> is 30 mg/m</w:t>
      </w:r>
      <w:r w:rsidRPr="00FE2BF6">
        <w:rPr>
          <w:vertAlign w:val="superscript"/>
        </w:rPr>
        <w:t>2</w:t>
      </w:r>
      <w:r w:rsidRPr="00852E65">
        <w:t xml:space="preserve"> body area, administered by intravenous infusion over 3-5 minutes once per week for six weeks, followed by one week rest (seven week cycle in total). This regimen is to be continued until disease progression or unacceptable toxicity. </w:t>
      </w:r>
    </w:p>
    <w:p w:rsidR="00C60FC3" w:rsidRDefault="00C60FC3" w:rsidP="00400915">
      <w:pPr>
        <w:pStyle w:val="ListParagraph"/>
        <w:numPr>
          <w:ilvl w:val="1"/>
          <w:numId w:val="14"/>
        </w:numPr>
        <w:spacing w:before="0" w:after="120"/>
        <w:ind w:hanging="792"/>
        <w:jc w:val="both"/>
      </w:pPr>
      <w:r>
        <w:t xml:space="preserve">The PBAC considered a phone authority would </w:t>
      </w:r>
      <w:r w:rsidR="00FE2BF6">
        <w:t>suffice</w:t>
      </w:r>
      <w:r>
        <w:t>, as there was low risk of use outside the requested use in PTCL.</w:t>
      </w:r>
    </w:p>
    <w:p w:rsidR="006C19DF" w:rsidRPr="00925688" w:rsidRDefault="006C19DF" w:rsidP="006C19DF">
      <w:pPr>
        <w:pStyle w:val="Heading1"/>
        <w:numPr>
          <w:ilvl w:val="0"/>
          <w:numId w:val="19"/>
        </w:numPr>
        <w:ind w:left="709" w:hanging="709"/>
        <w:jc w:val="both"/>
        <w:rPr>
          <w:caps/>
        </w:rPr>
      </w:pPr>
      <w:bookmarkStart w:id="8" w:name="_Toc476306883"/>
      <w:bookmarkStart w:id="9" w:name="_Toc482796745"/>
      <w:bookmarkEnd w:id="6"/>
      <w:r w:rsidRPr="00925688">
        <w:t>Background</w:t>
      </w:r>
      <w:bookmarkEnd w:id="8"/>
      <w:bookmarkEnd w:id="9"/>
    </w:p>
    <w:p w:rsidR="00530E0B" w:rsidRPr="00852E65" w:rsidRDefault="00530E0B" w:rsidP="00400915">
      <w:pPr>
        <w:pStyle w:val="ListParagraph"/>
        <w:numPr>
          <w:ilvl w:val="0"/>
          <w:numId w:val="14"/>
        </w:numPr>
        <w:spacing w:before="200" w:after="120"/>
        <w:rPr>
          <w:rFonts w:ascii="Arial" w:eastAsia="Times New Roman" w:hAnsi="Arial" w:cs="Arial"/>
          <w:b/>
          <w:snapToGrid w:val="0"/>
          <w:vanish/>
          <w:sz w:val="22"/>
        </w:rPr>
      </w:pPr>
    </w:p>
    <w:p w:rsidR="00673D97" w:rsidRPr="00852E65" w:rsidRDefault="00673D97" w:rsidP="00400915">
      <w:pPr>
        <w:pStyle w:val="ListParagraph"/>
        <w:numPr>
          <w:ilvl w:val="1"/>
          <w:numId w:val="14"/>
        </w:numPr>
        <w:spacing w:before="0" w:after="120"/>
        <w:ind w:hanging="792"/>
        <w:jc w:val="both"/>
      </w:pPr>
      <w:r w:rsidRPr="007A464E">
        <w:t>TGA status</w:t>
      </w:r>
      <w:r w:rsidRPr="00852E65">
        <w:t xml:space="preserve">: </w:t>
      </w:r>
      <w:proofErr w:type="spellStart"/>
      <w:r w:rsidR="00E060B7">
        <w:t>P</w:t>
      </w:r>
      <w:r w:rsidRPr="00852E65">
        <w:t>ralatrexate</w:t>
      </w:r>
      <w:proofErr w:type="spellEnd"/>
      <w:r w:rsidRPr="00852E65">
        <w:t xml:space="preserve"> was registered </w:t>
      </w:r>
      <w:r w:rsidR="00264313">
        <w:t>by the TGA in December 2014 for:</w:t>
      </w:r>
      <w:r w:rsidR="007A464E">
        <w:t xml:space="preserve"> </w:t>
      </w:r>
      <w:r w:rsidRPr="00852E65">
        <w:t xml:space="preserve">“The treatment of adult patients with peripheral T-cell lymphoma (nodal, </w:t>
      </w:r>
      <w:proofErr w:type="spellStart"/>
      <w:r w:rsidRPr="00852E65">
        <w:t>extranodal</w:t>
      </w:r>
      <w:proofErr w:type="spellEnd"/>
      <w:r w:rsidRPr="00852E65">
        <w:t xml:space="preserve">, and </w:t>
      </w:r>
      <w:proofErr w:type="spellStart"/>
      <w:r w:rsidRPr="00852E65">
        <w:t>leukaemic</w:t>
      </w:r>
      <w:proofErr w:type="spellEnd"/>
      <w:r w:rsidRPr="00852E65">
        <w:t>/disseminated) who have progressed after at least one prior therapy.”</w:t>
      </w:r>
    </w:p>
    <w:p w:rsidR="00673D97" w:rsidRPr="00852E65" w:rsidRDefault="00673D97" w:rsidP="00400915">
      <w:pPr>
        <w:pStyle w:val="ListParagraph"/>
        <w:numPr>
          <w:ilvl w:val="1"/>
          <w:numId w:val="14"/>
        </w:numPr>
        <w:spacing w:before="0" w:after="120"/>
        <w:ind w:hanging="792"/>
        <w:jc w:val="both"/>
      </w:pPr>
      <w:proofErr w:type="spellStart"/>
      <w:r w:rsidRPr="00852E65">
        <w:t>Pralatrexate</w:t>
      </w:r>
      <w:proofErr w:type="spellEnd"/>
      <w:r w:rsidRPr="00852E65">
        <w:t xml:space="preserve"> for the treatment of relapsed or refractory PTCL has been considered by the PBAC on two previous occasions. The first major submission was considered in November 2015 and a minor resubmission was considered in March 2016. </w:t>
      </w:r>
    </w:p>
    <w:p w:rsidR="00673D97" w:rsidRPr="00C06504" w:rsidRDefault="00B812EF" w:rsidP="00C06504">
      <w:pPr>
        <w:pStyle w:val="ListParagraph"/>
        <w:numPr>
          <w:ilvl w:val="1"/>
          <w:numId w:val="14"/>
        </w:numPr>
        <w:spacing w:before="0" w:after="120"/>
        <w:ind w:hanging="792"/>
        <w:jc w:val="both"/>
      </w:pPr>
      <w:r w:rsidRPr="00852E65">
        <w:t xml:space="preserve">A summary of the outstanding matters of concern to the PBAC are presented in Table 2. </w:t>
      </w:r>
      <w:bookmarkStart w:id="10" w:name="_Ref442604075"/>
    </w:p>
    <w:bookmarkEnd w:id="10"/>
    <w:p w:rsidR="007368CA" w:rsidRDefault="007368CA" w:rsidP="007368CA">
      <w:pPr>
        <w:pStyle w:val="Caption"/>
      </w:pPr>
      <w:r>
        <w:t xml:space="preserve">Table </w:t>
      </w:r>
      <w:r w:rsidR="007152C2">
        <w:rPr>
          <w:noProof/>
        </w:rPr>
        <w:t>2</w:t>
      </w:r>
      <w:r w:rsidRPr="00B64134">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43"/>
        <w:gridCol w:w="4539"/>
      </w:tblGrid>
      <w:tr w:rsidR="00767BBC" w:rsidRPr="00852E65" w:rsidTr="000F5920">
        <w:trPr>
          <w:cantSplit/>
          <w:tblHeader/>
        </w:trPr>
        <w:tc>
          <w:tcPr>
            <w:tcW w:w="2501" w:type="pct"/>
            <w:shd w:val="clear" w:color="auto" w:fill="auto"/>
          </w:tcPr>
          <w:p w:rsidR="00767BBC" w:rsidRPr="00852E65" w:rsidRDefault="00767BBC" w:rsidP="007D5AB9">
            <w:pPr>
              <w:pStyle w:val="TableText"/>
              <w:rPr>
                <w:b/>
              </w:rPr>
            </w:pPr>
            <w:r w:rsidRPr="00852E65">
              <w:rPr>
                <w:b/>
              </w:rPr>
              <w:t>Matters of concern</w:t>
            </w:r>
          </w:p>
        </w:tc>
        <w:tc>
          <w:tcPr>
            <w:tcW w:w="2499" w:type="pct"/>
            <w:shd w:val="clear" w:color="auto" w:fill="auto"/>
          </w:tcPr>
          <w:p w:rsidR="00767BBC" w:rsidRPr="00852E65" w:rsidRDefault="00767BBC" w:rsidP="007D5AB9">
            <w:pPr>
              <w:pStyle w:val="TableText"/>
              <w:rPr>
                <w:b/>
              </w:rPr>
            </w:pPr>
            <w:r w:rsidRPr="00852E65">
              <w:rPr>
                <w:b/>
              </w:rPr>
              <w:t>How the resubmission addresses it</w:t>
            </w:r>
          </w:p>
        </w:tc>
      </w:tr>
      <w:tr w:rsidR="00767BBC" w:rsidRPr="00852E65" w:rsidTr="000F5920">
        <w:trPr>
          <w:cantSplit/>
        </w:trPr>
        <w:tc>
          <w:tcPr>
            <w:tcW w:w="2501" w:type="pct"/>
            <w:shd w:val="clear" w:color="auto" w:fill="auto"/>
          </w:tcPr>
          <w:p w:rsidR="001D1E68" w:rsidRPr="00852E65" w:rsidRDefault="001D1E68" w:rsidP="007D5AB9">
            <w:pPr>
              <w:pStyle w:val="TableText"/>
            </w:pPr>
            <w:r w:rsidRPr="00852E65">
              <w:t>The submission used a matched control</w:t>
            </w:r>
            <w:r w:rsidR="00B702E8" w:rsidRPr="00852E65">
              <w:t>s</w:t>
            </w:r>
            <w:r w:rsidRPr="00852E65">
              <w:t xml:space="preserve"> analysis comparing a subset of patients from </w:t>
            </w:r>
            <w:r w:rsidR="00B702E8" w:rsidRPr="00852E65">
              <w:t xml:space="preserve">the key study, </w:t>
            </w:r>
            <w:r w:rsidRPr="00852E65">
              <w:t>PDX-008</w:t>
            </w:r>
            <w:r w:rsidR="00B702E8" w:rsidRPr="00852E65">
              <w:t>,</w:t>
            </w:r>
            <w:r w:rsidRPr="00852E65">
              <w:t xml:space="preserve"> and a historical control cohort.</w:t>
            </w:r>
          </w:p>
          <w:p w:rsidR="00FE5103" w:rsidRPr="00852E65" w:rsidRDefault="00FE5103" w:rsidP="007D5AB9">
            <w:pPr>
              <w:pStyle w:val="TableText"/>
            </w:pPr>
          </w:p>
          <w:p w:rsidR="00767BBC" w:rsidRPr="00852E65" w:rsidRDefault="001D1E68" w:rsidP="007D5AB9">
            <w:pPr>
              <w:pStyle w:val="TableText"/>
            </w:pPr>
            <w:r w:rsidRPr="00852E65">
              <w:t>Paragraph 7.3</w:t>
            </w:r>
            <w:r w:rsidR="00B702E8" w:rsidRPr="00852E65">
              <w:t>,</w:t>
            </w:r>
            <w:r w:rsidRPr="00852E65">
              <w:t xml:space="preserve"> November 2015 </w:t>
            </w:r>
            <w:r w:rsidR="005A10DB">
              <w:t>PSD</w:t>
            </w:r>
            <w:r w:rsidR="00B702E8" w:rsidRPr="00852E65">
              <w:t>:</w:t>
            </w:r>
          </w:p>
          <w:p w:rsidR="001D1E68" w:rsidRPr="00852E65" w:rsidRDefault="00B702E8" w:rsidP="007D5AB9">
            <w:pPr>
              <w:pStyle w:val="TableText"/>
            </w:pPr>
            <w:r w:rsidRPr="00852E65">
              <w:t>T</w:t>
            </w:r>
            <w:r w:rsidR="001D1E68" w:rsidRPr="00852E65">
              <w:t>he</w:t>
            </w:r>
            <w:r w:rsidR="00947E9A" w:rsidRPr="00852E65">
              <w:t>re</w:t>
            </w:r>
            <w:r w:rsidR="001D1E68" w:rsidRPr="00852E65">
              <w:t xml:space="preserve"> was concern about the methodology used in the submission, where the submission presented the most optimistic clinical benefit of a small sub-group of patients in the PDX-008 trial compared to the historical control cohort</w:t>
            </w:r>
            <w:r w:rsidR="00BA5760" w:rsidRPr="00852E65">
              <w:t>.</w:t>
            </w:r>
            <w:r w:rsidR="001D1E68" w:rsidRPr="00852E65">
              <w:t xml:space="preserve"> </w:t>
            </w:r>
          </w:p>
        </w:tc>
        <w:tc>
          <w:tcPr>
            <w:tcW w:w="2499" w:type="pct"/>
            <w:shd w:val="clear" w:color="auto" w:fill="auto"/>
          </w:tcPr>
          <w:p w:rsidR="001D1E68" w:rsidRPr="00852E65" w:rsidRDefault="002B0E85" w:rsidP="007D5AB9">
            <w:pPr>
              <w:pStyle w:val="TableText"/>
            </w:pPr>
            <w:r w:rsidRPr="00852E65">
              <w:t>A</w:t>
            </w:r>
            <w:r w:rsidR="001D1E68" w:rsidRPr="00852E65">
              <w:t xml:space="preserve"> comparative analysis of all evaluable patients from PDX-008 and the historical control cohort </w:t>
            </w:r>
            <w:r w:rsidR="00B702E8" w:rsidRPr="00852E65">
              <w:t xml:space="preserve">was </w:t>
            </w:r>
            <w:r w:rsidR="001D1E68" w:rsidRPr="00852E65">
              <w:t xml:space="preserve">used to determine OS. There was no patient matching and the majority of available patients were included in the analysis. </w:t>
            </w:r>
          </w:p>
          <w:p w:rsidR="000F5920" w:rsidRPr="00852E65" w:rsidRDefault="000F5920" w:rsidP="007D5AB9">
            <w:pPr>
              <w:pStyle w:val="TableText"/>
            </w:pPr>
            <w:r w:rsidRPr="00852E65">
              <w:t xml:space="preserve">Although the methods used to determine OS for </w:t>
            </w:r>
            <w:proofErr w:type="spellStart"/>
            <w:r w:rsidRPr="00852E65">
              <w:t>pralatrexate</w:t>
            </w:r>
            <w:proofErr w:type="spellEnd"/>
            <w:r w:rsidRPr="00852E65">
              <w:t xml:space="preserve"> were more appropriate as they relied on the majority of the patient data, concerns remained about how OS was determined for the historical control cohort</w:t>
            </w:r>
            <w:r w:rsidR="00CB5CA4" w:rsidRPr="00852E65">
              <w:t>, using a stratified Cox regression model</w:t>
            </w:r>
            <w:r w:rsidRPr="00852E65">
              <w:t>.</w:t>
            </w:r>
          </w:p>
          <w:p w:rsidR="007D4196" w:rsidRPr="00852E65" w:rsidRDefault="007D4196" w:rsidP="007D5AB9">
            <w:pPr>
              <w:pStyle w:val="TableText"/>
            </w:pPr>
          </w:p>
          <w:p w:rsidR="007D4196" w:rsidRPr="00852E65" w:rsidRDefault="007D4196" w:rsidP="007D5AB9">
            <w:pPr>
              <w:pStyle w:val="TableText"/>
            </w:pPr>
          </w:p>
        </w:tc>
      </w:tr>
      <w:tr w:rsidR="00B702E8" w:rsidRPr="00852E65" w:rsidTr="000F5920">
        <w:trPr>
          <w:cantSplit/>
        </w:trPr>
        <w:tc>
          <w:tcPr>
            <w:tcW w:w="2501" w:type="pct"/>
            <w:shd w:val="clear" w:color="auto" w:fill="auto"/>
          </w:tcPr>
          <w:p w:rsidR="00B702E8" w:rsidRPr="00852E65" w:rsidRDefault="00B702E8" w:rsidP="007D5AB9">
            <w:pPr>
              <w:pStyle w:val="TableText"/>
            </w:pPr>
            <w:r w:rsidRPr="00852E65">
              <w:t xml:space="preserve">Paragraph 7.4, November 2015 </w:t>
            </w:r>
            <w:r w:rsidR="005A10DB">
              <w:t>PSD</w:t>
            </w:r>
            <w:r w:rsidR="005D1EE3" w:rsidRPr="00852E65">
              <w:t xml:space="preserve">; paragraph 7.1, March 2016 </w:t>
            </w:r>
            <w:r w:rsidR="005A10DB">
              <w:t>PSD</w:t>
            </w:r>
            <w:r w:rsidRPr="00852E65">
              <w:t>:</w:t>
            </w:r>
          </w:p>
          <w:p w:rsidR="00B702E8" w:rsidRPr="00852E65" w:rsidRDefault="00947E9A" w:rsidP="007D5AB9">
            <w:pPr>
              <w:pStyle w:val="TableText"/>
            </w:pPr>
            <w:r w:rsidRPr="00852E65">
              <w:t>T</w:t>
            </w:r>
            <w:r w:rsidR="00B702E8" w:rsidRPr="00852E65">
              <w:t>here was insufficient evidence of incremental benefits of</w:t>
            </w:r>
            <w:r w:rsidR="00BA5760" w:rsidRPr="00852E65">
              <w:t xml:space="preserve"> </w:t>
            </w:r>
            <w:proofErr w:type="spellStart"/>
            <w:r w:rsidR="00BA5760" w:rsidRPr="00852E65">
              <w:t>pralatrexate</w:t>
            </w:r>
            <w:proofErr w:type="spellEnd"/>
            <w:r w:rsidR="00BA5760" w:rsidRPr="00852E65">
              <w:t xml:space="preserve"> versus comparators…</w:t>
            </w:r>
            <w:r w:rsidR="00CB47C2" w:rsidRPr="00852E65">
              <w:t>.. T</w:t>
            </w:r>
            <w:r w:rsidR="00BA5760" w:rsidRPr="00852E65">
              <w:t xml:space="preserve">he </w:t>
            </w:r>
            <w:r w:rsidR="00B812EF" w:rsidRPr="00852E65">
              <w:t>ORR</w:t>
            </w:r>
            <w:r w:rsidR="00BA5760" w:rsidRPr="00852E65">
              <w:t xml:space="preserve"> for </w:t>
            </w:r>
            <w:proofErr w:type="spellStart"/>
            <w:r w:rsidR="00BA5760" w:rsidRPr="00852E65">
              <w:t>pralatrexate</w:t>
            </w:r>
            <w:proofErr w:type="spellEnd"/>
            <w:r w:rsidR="00BA5760" w:rsidRPr="00852E65">
              <w:t xml:space="preserve"> was not improved compared to </w:t>
            </w:r>
            <w:proofErr w:type="spellStart"/>
            <w:r w:rsidR="00BA5760" w:rsidRPr="00852E65">
              <w:t>brentuximab</w:t>
            </w:r>
            <w:proofErr w:type="spellEnd"/>
            <w:r w:rsidR="00BA5760" w:rsidRPr="00852E65">
              <w:t xml:space="preserve"> or combination therapies.</w:t>
            </w:r>
          </w:p>
          <w:p w:rsidR="00AF53A0" w:rsidRPr="00852E65" w:rsidRDefault="00AF53A0" w:rsidP="007D5AB9">
            <w:pPr>
              <w:pStyle w:val="TableText"/>
            </w:pPr>
            <w:r w:rsidRPr="00852E65">
              <w:t xml:space="preserve">Paragraph 7.8, November 2015 </w:t>
            </w:r>
            <w:r w:rsidR="005A10DB">
              <w:t>PSD</w:t>
            </w:r>
            <w:r w:rsidR="005D1EE3" w:rsidRPr="00852E65">
              <w:t xml:space="preserve">; paragraph 7.3, March 2016 </w:t>
            </w:r>
            <w:r w:rsidR="005A10DB">
              <w:t>PSD</w:t>
            </w:r>
            <w:r w:rsidRPr="00852E65">
              <w:t xml:space="preserve">: </w:t>
            </w:r>
          </w:p>
          <w:p w:rsidR="00AF53A0" w:rsidRPr="00852E65" w:rsidRDefault="00AF53A0" w:rsidP="007D5AB9">
            <w:pPr>
              <w:pStyle w:val="TableText"/>
            </w:pPr>
            <w:r w:rsidRPr="00852E65">
              <w:t>More robust evidence would ideally include other evidence on clinical benefit, such as Quality of Life</w:t>
            </w:r>
          </w:p>
        </w:tc>
        <w:tc>
          <w:tcPr>
            <w:tcW w:w="2499" w:type="pct"/>
            <w:shd w:val="clear" w:color="auto" w:fill="auto"/>
          </w:tcPr>
          <w:p w:rsidR="00AF53A0" w:rsidRPr="00852E65" w:rsidRDefault="00AF53A0" w:rsidP="007D5AB9">
            <w:pPr>
              <w:pStyle w:val="TableText"/>
            </w:pPr>
            <w:r w:rsidRPr="00852E65">
              <w:t xml:space="preserve">Data from an Australian historical control dataset (from the Peter </w:t>
            </w:r>
            <w:proofErr w:type="spellStart"/>
            <w:r w:rsidRPr="00852E65">
              <w:t>MacCallum</w:t>
            </w:r>
            <w:proofErr w:type="spellEnd"/>
            <w:r w:rsidRPr="00852E65">
              <w:t xml:space="preserve"> Institute) was included in the historical control dataset.</w:t>
            </w:r>
          </w:p>
          <w:p w:rsidR="00AF53A0" w:rsidRPr="00852E65" w:rsidRDefault="00AF53A0" w:rsidP="007D5AB9">
            <w:pPr>
              <w:pStyle w:val="TableText"/>
            </w:pPr>
            <w:r w:rsidRPr="00852E65">
              <w:t xml:space="preserve">Additional supportive </w:t>
            </w:r>
            <w:proofErr w:type="spellStart"/>
            <w:r w:rsidRPr="00852E65">
              <w:t>pralatrexate</w:t>
            </w:r>
            <w:proofErr w:type="spellEnd"/>
            <w:r w:rsidRPr="00852E65">
              <w:t xml:space="preserve"> and comparator studies were presented in the pooled meta-analysis of ORR. </w:t>
            </w:r>
            <w:r w:rsidR="00B812EF" w:rsidRPr="00852E65">
              <w:t xml:space="preserve">Updated searches were conducted to identify new studies </w:t>
            </w:r>
            <w:r w:rsidR="00C5470A">
              <w:t xml:space="preserve">for </w:t>
            </w:r>
            <w:proofErr w:type="spellStart"/>
            <w:r w:rsidR="00C5470A">
              <w:t>romidepsin</w:t>
            </w:r>
            <w:proofErr w:type="spellEnd"/>
            <w:r w:rsidR="00C5470A">
              <w:t xml:space="preserve"> </w:t>
            </w:r>
            <w:r w:rsidR="00B812EF" w:rsidRPr="00852E65">
              <w:t xml:space="preserve">as well. </w:t>
            </w:r>
            <w:r w:rsidRPr="00852E65">
              <w:t xml:space="preserve">The additional </w:t>
            </w:r>
            <w:proofErr w:type="spellStart"/>
            <w:r w:rsidRPr="00852E65">
              <w:t>pralatrexate</w:t>
            </w:r>
            <w:proofErr w:type="spellEnd"/>
            <w:r w:rsidRPr="00852E65">
              <w:t xml:space="preserve"> studies consisted of a Japanese study of </w:t>
            </w:r>
            <w:r w:rsidR="00013D9B" w:rsidRPr="00852E65">
              <w:t>25</w:t>
            </w:r>
            <w:r w:rsidRPr="00852E65">
              <w:t xml:space="preserve"> patients, and </w:t>
            </w:r>
            <w:r w:rsidR="005D1EE3" w:rsidRPr="00852E65">
              <w:t>two</w:t>
            </w:r>
            <w:r w:rsidRPr="00852E65">
              <w:t xml:space="preserve"> abstracts</w:t>
            </w:r>
            <w:r w:rsidR="00C704DF" w:rsidRPr="00852E65">
              <w:t xml:space="preserve"> (one of which was not published).</w:t>
            </w:r>
            <w:r w:rsidR="00FC47CE" w:rsidRPr="00852E65">
              <w:t xml:space="preserve"> Again, the ORR for </w:t>
            </w:r>
            <w:proofErr w:type="spellStart"/>
            <w:r w:rsidR="00FC47CE" w:rsidRPr="00852E65">
              <w:t>pralatrexate</w:t>
            </w:r>
            <w:proofErr w:type="spellEnd"/>
            <w:r w:rsidR="00FC47CE" w:rsidRPr="00852E65">
              <w:t xml:space="preserve"> </w:t>
            </w:r>
            <w:r w:rsidR="008C0AD5" w:rsidRPr="00852E65">
              <w:t xml:space="preserve">was </w:t>
            </w:r>
            <w:r w:rsidR="00FC47CE" w:rsidRPr="00852E65">
              <w:t>not significantly different from the nominated basket of comparator treatments.</w:t>
            </w:r>
          </w:p>
          <w:p w:rsidR="00C704DF" w:rsidRPr="00852E65" w:rsidRDefault="00C704DF" w:rsidP="0001794A">
            <w:pPr>
              <w:pStyle w:val="TableText"/>
            </w:pPr>
            <w:r w:rsidRPr="00852E65">
              <w:t>No Quality of Life data w</w:t>
            </w:r>
            <w:r w:rsidR="0001794A">
              <w:t>ere</w:t>
            </w:r>
            <w:r w:rsidRPr="00852E65">
              <w:t xml:space="preserve"> presented.</w:t>
            </w:r>
          </w:p>
        </w:tc>
      </w:tr>
      <w:tr w:rsidR="001D1E68" w:rsidRPr="00852E65" w:rsidTr="000F5920">
        <w:trPr>
          <w:cantSplit/>
        </w:trPr>
        <w:tc>
          <w:tcPr>
            <w:tcW w:w="2501" w:type="pct"/>
            <w:shd w:val="clear" w:color="auto" w:fill="auto"/>
          </w:tcPr>
          <w:p w:rsidR="00FE5103" w:rsidRPr="00852E65" w:rsidRDefault="00FE5103" w:rsidP="007D5AB9">
            <w:pPr>
              <w:pStyle w:val="TableText"/>
            </w:pPr>
            <w:r w:rsidRPr="00852E65">
              <w:t>Paragraph 7.</w:t>
            </w:r>
            <w:r w:rsidR="005D1EE3" w:rsidRPr="00852E65">
              <w:t xml:space="preserve">5, </w:t>
            </w:r>
            <w:r w:rsidRPr="00852E65">
              <w:t xml:space="preserve">November 2015 </w:t>
            </w:r>
            <w:r w:rsidR="005A10DB">
              <w:t>PSD</w:t>
            </w:r>
            <w:r w:rsidR="005D1EE3" w:rsidRPr="00852E65">
              <w:t>:</w:t>
            </w:r>
          </w:p>
          <w:p w:rsidR="001D1E68" w:rsidRPr="00852E65" w:rsidRDefault="00947E9A" w:rsidP="007D5AB9">
            <w:pPr>
              <w:pStyle w:val="TableText"/>
            </w:pPr>
            <w:r w:rsidRPr="00852E65">
              <w:t>S</w:t>
            </w:r>
            <w:r w:rsidR="005D1EE3" w:rsidRPr="00852E65">
              <w:t xml:space="preserve">tudy PDX-008 was associated with a high burden of adverse events. </w:t>
            </w:r>
          </w:p>
          <w:p w:rsidR="005D1EE3" w:rsidRPr="00852E65" w:rsidRDefault="005D1EE3" w:rsidP="007D5AB9">
            <w:pPr>
              <w:pStyle w:val="TableText"/>
            </w:pPr>
            <w:r w:rsidRPr="00852E65">
              <w:t xml:space="preserve">Paragraph 7.8, November 2015 </w:t>
            </w:r>
            <w:r w:rsidR="005A10DB">
              <w:t>PSD</w:t>
            </w:r>
            <w:r w:rsidRPr="00852E65">
              <w:t xml:space="preserve">; paragraph 7.4, March 2016 </w:t>
            </w:r>
            <w:r w:rsidR="005A10DB">
              <w:t>PSD</w:t>
            </w:r>
            <w:r w:rsidRPr="00852E65">
              <w:t>:</w:t>
            </w:r>
          </w:p>
          <w:p w:rsidR="005D1EE3" w:rsidRPr="00852E65" w:rsidRDefault="005D1EE3" w:rsidP="007D5AB9">
            <w:pPr>
              <w:pStyle w:val="TableText"/>
            </w:pPr>
            <w:r w:rsidRPr="00852E65">
              <w:t xml:space="preserve">Present more robust evidence to demonstrate the comparative safety of </w:t>
            </w:r>
            <w:proofErr w:type="spellStart"/>
            <w:r w:rsidRPr="00852E65">
              <w:t>pralatrexate</w:t>
            </w:r>
            <w:proofErr w:type="spellEnd"/>
            <w:r w:rsidRPr="00852E65">
              <w:t xml:space="preserve"> over the comparators.</w:t>
            </w:r>
          </w:p>
        </w:tc>
        <w:tc>
          <w:tcPr>
            <w:tcW w:w="2499" w:type="pct"/>
            <w:shd w:val="clear" w:color="auto" w:fill="auto"/>
          </w:tcPr>
          <w:p w:rsidR="001D1E68" w:rsidRPr="00852E65" w:rsidRDefault="005D1EE3" w:rsidP="00E060B7">
            <w:pPr>
              <w:pStyle w:val="TableText"/>
            </w:pPr>
            <w:r w:rsidRPr="00852E65">
              <w:t xml:space="preserve">A pooled analysis and indirect comparison of 13 Grade 3/4 adverse events was presented for </w:t>
            </w:r>
            <w:proofErr w:type="spellStart"/>
            <w:r w:rsidRPr="00852E65">
              <w:t>pralatrexate</w:t>
            </w:r>
            <w:proofErr w:type="spellEnd"/>
            <w:r w:rsidRPr="00852E65">
              <w:t xml:space="preserve"> and the basket of comparator treatments.</w:t>
            </w:r>
            <w:r w:rsidR="00B812EF" w:rsidRPr="00852E65">
              <w:t xml:space="preserve"> </w:t>
            </w:r>
          </w:p>
        </w:tc>
      </w:tr>
      <w:tr w:rsidR="002D0006" w:rsidRPr="00852E65" w:rsidTr="000F5920">
        <w:trPr>
          <w:cantSplit/>
        </w:trPr>
        <w:tc>
          <w:tcPr>
            <w:tcW w:w="2501" w:type="pct"/>
            <w:shd w:val="clear" w:color="auto" w:fill="auto"/>
          </w:tcPr>
          <w:p w:rsidR="007930EC" w:rsidRPr="00852E65" w:rsidRDefault="007930EC" w:rsidP="007D5AB9">
            <w:pPr>
              <w:pStyle w:val="TableText"/>
              <w:keepNext w:val="0"/>
              <w:rPr>
                <w:bCs/>
                <w:lang w:val="en-GB"/>
              </w:rPr>
            </w:pPr>
            <w:r w:rsidRPr="00852E65">
              <w:rPr>
                <w:bCs/>
                <w:lang w:val="en-GB"/>
              </w:rPr>
              <w:lastRenderedPageBreak/>
              <w:t>Paragraph 7.6</w:t>
            </w:r>
            <w:r w:rsidR="005D1EE3" w:rsidRPr="00852E65">
              <w:rPr>
                <w:bCs/>
                <w:lang w:val="en-GB"/>
              </w:rPr>
              <w:t xml:space="preserve">, </w:t>
            </w:r>
            <w:r w:rsidRPr="00852E65">
              <w:rPr>
                <w:bCs/>
                <w:lang w:val="en-GB"/>
              </w:rPr>
              <w:t xml:space="preserve">November 2015 </w:t>
            </w:r>
            <w:r w:rsidR="005A10DB">
              <w:rPr>
                <w:bCs/>
                <w:lang w:val="en-GB"/>
              </w:rPr>
              <w:t>PSD</w:t>
            </w:r>
            <w:r w:rsidR="005D1EE3" w:rsidRPr="00852E65">
              <w:rPr>
                <w:bCs/>
                <w:lang w:val="en-GB"/>
              </w:rPr>
              <w:t>:</w:t>
            </w:r>
          </w:p>
          <w:p w:rsidR="00947E9A" w:rsidRPr="00852E65" w:rsidRDefault="00947E9A" w:rsidP="007D5AB9">
            <w:pPr>
              <w:pStyle w:val="TableText"/>
              <w:keepNext w:val="0"/>
            </w:pPr>
            <w:r w:rsidRPr="00852E65">
              <w:rPr>
                <w:bCs/>
                <w:lang w:val="en-GB"/>
              </w:rPr>
              <w:t>T</w:t>
            </w:r>
            <w:r w:rsidR="007930EC" w:rsidRPr="00852E65">
              <w:t>here was insufficient clinical evidence to support the claim of superior efficacy and non-inferior safety, and therefore the economic evaluation was neither informative nor meaningful.</w:t>
            </w:r>
            <w:r w:rsidRPr="00852E65">
              <w:t xml:space="preserve"> The model was not sufficiently reliable to provide a plausible estimate of value for money. A model should address the concerns raised by ESC including that – </w:t>
            </w:r>
          </w:p>
          <w:p w:rsidR="00947E9A" w:rsidRPr="00852E65" w:rsidRDefault="00947E9A" w:rsidP="00400915">
            <w:pPr>
              <w:pStyle w:val="TableText"/>
              <w:keepNext w:val="0"/>
              <w:numPr>
                <w:ilvl w:val="0"/>
                <w:numId w:val="10"/>
              </w:numPr>
            </w:pPr>
            <w:r w:rsidRPr="00852E65">
              <w:t>Costs were one off up front, rather than accruing over time with treatment;</w:t>
            </w:r>
          </w:p>
          <w:p w:rsidR="00947E9A" w:rsidRPr="00852E65" w:rsidRDefault="00947E9A" w:rsidP="00400915">
            <w:pPr>
              <w:pStyle w:val="TableText"/>
              <w:keepNext w:val="0"/>
              <w:numPr>
                <w:ilvl w:val="0"/>
                <w:numId w:val="10"/>
              </w:numPr>
            </w:pPr>
            <w:r w:rsidRPr="00852E65">
              <w:t>The proportion of patients in each response state did not vary depending on treatment cycle, resulting in QALYs being driven by survival;</w:t>
            </w:r>
          </w:p>
          <w:p w:rsidR="00947E9A" w:rsidRPr="00852E65" w:rsidRDefault="00947E9A" w:rsidP="00400915">
            <w:pPr>
              <w:pStyle w:val="TableText"/>
              <w:keepNext w:val="0"/>
              <w:numPr>
                <w:ilvl w:val="0"/>
                <w:numId w:val="10"/>
              </w:numPr>
            </w:pPr>
            <w:r w:rsidRPr="00852E65">
              <w:t>No post-progression treatment costs or consequences,  including those related to STC, were included;</w:t>
            </w:r>
          </w:p>
          <w:p w:rsidR="00947E9A" w:rsidRPr="00852E65" w:rsidRDefault="00947E9A" w:rsidP="00400915">
            <w:pPr>
              <w:pStyle w:val="TableText"/>
              <w:keepNext w:val="0"/>
              <w:numPr>
                <w:ilvl w:val="0"/>
                <w:numId w:val="10"/>
              </w:numPr>
            </w:pPr>
            <w:r w:rsidRPr="00852E65">
              <w:t xml:space="preserve">Model overall survival estimates in the </w:t>
            </w:r>
            <w:proofErr w:type="spellStart"/>
            <w:r w:rsidRPr="00852E65">
              <w:t>TreeAge</w:t>
            </w:r>
            <w:proofErr w:type="spellEnd"/>
            <w:r w:rsidRPr="00852E65">
              <w:t xml:space="preserve"> model were inconsistent with the Kaplan-Meier data.  </w:t>
            </w:r>
          </w:p>
          <w:p w:rsidR="00B13F0D" w:rsidRPr="00852E65" w:rsidRDefault="00B13F0D" w:rsidP="007D5AB9">
            <w:pPr>
              <w:pStyle w:val="TableText"/>
              <w:keepNext w:val="0"/>
            </w:pPr>
            <w:r w:rsidRPr="00852E65">
              <w:t xml:space="preserve">Paragraph 7.8, November 2015 </w:t>
            </w:r>
            <w:r w:rsidR="005A10DB">
              <w:t>PSD</w:t>
            </w:r>
            <w:r w:rsidRPr="00852E65">
              <w:t>:</w:t>
            </w:r>
          </w:p>
          <w:p w:rsidR="00B13F0D" w:rsidRPr="00852E65" w:rsidRDefault="00B13F0D" w:rsidP="007D5AB9">
            <w:pPr>
              <w:pStyle w:val="TableText"/>
              <w:keepNext w:val="0"/>
            </w:pPr>
            <w:r w:rsidRPr="00852E65">
              <w:t xml:space="preserve">The ICER for </w:t>
            </w:r>
            <w:proofErr w:type="spellStart"/>
            <w:r w:rsidRPr="00852E65">
              <w:t>brentuximab</w:t>
            </w:r>
            <w:proofErr w:type="spellEnd"/>
            <w:r w:rsidRPr="00852E65">
              <w:t xml:space="preserve"> was in the range of $45,000 to $75,000/QALY. An ICER at the lower end of this range would be need in order for </w:t>
            </w:r>
            <w:proofErr w:type="spellStart"/>
            <w:r w:rsidRPr="00852E65">
              <w:t>pralatrexate</w:t>
            </w:r>
            <w:proofErr w:type="spellEnd"/>
            <w:r w:rsidRPr="00852E65">
              <w:t xml:space="preserve"> to be cost-effective.</w:t>
            </w:r>
          </w:p>
          <w:p w:rsidR="00B74DC2" w:rsidRPr="00852E65" w:rsidRDefault="00B74DC2" w:rsidP="007D5AB9">
            <w:pPr>
              <w:pStyle w:val="TableText"/>
              <w:keepNext w:val="0"/>
            </w:pPr>
          </w:p>
          <w:p w:rsidR="00B74DC2" w:rsidRPr="00852E65" w:rsidRDefault="00B74DC2" w:rsidP="007D5AB9">
            <w:pPr>
              <w:pStyle w:val="TableText"/>
              <w:keepNext w:val="0"/>
            </w:pPr>
            <w:r w:rsidRPr="00852E65">
              <w:t xml:space="preserve">Paragraph 7.3, March 2016 </w:t>
            </w:r>
            <w:r w:rsidR="00AD0C21">
              <w:t>PSD</w:t>
            </w:r>
            <w:r w:rsidRPr="00852E65">
              <w:t>:</w:t>
            </w:r>
          </w:p>
          <w:p w:rsidR="00B74DC2" w:rsidRPr="00852E65" w:rsidRDefault="00B74DC2" w:rsidP="007D5AB9">
            <w:pPr>
              <w:pStyle w:val="TableText"/>
              <w:keepNext w:val="0"/>
            </w:pPr>
            <w:r w:rsidRPr="00852E65">
              <w:t>Modifications were made to address costs and allowing for wastage; however, the technical concerns were not.</w:t>
            </w:r>
          </w:p>
        </w:tc>
        <w:tc>
          <w:tcPr>
            <w:tcW w:w="2499" w:type="pct"/>
            <w:shd w:val="clear" w:color="auto" w:fill="auto"/>
          </w:tcPr>
          <w:p w:rsidR="002B0E85" w:rsidRPr="00852E65" w:rsidRDefault="00B74DC2" w:rsidP="007D5AB9">
            <w:pPr>
              <w:pStyle w:val="TableText"/>
              <w:keepNext w:val="0"/>
            </w:pPr>
            <w:r w:rsidRPr="00852E65">
              <w:t xml:space="preserve">The claim of non-inferior safety was supported in the July 2017 resubmission; however, there was insufficient evidence to support the claim of superior efficacy. </w:t>
            </w:r>
            <w:r w:rsidR="00D565AD" w:rsidRPr="00852E65">
              <w:t>Thus, the economic evaluation may again not be meaningful</w:t>
            </w:r>
            <w:r w:rsidR="007B289C" w:rsidRPr="00852E65">
              <w:t>.</w:t>
            </w:r>
          </w:p>
          <w:p w:rsidR="007B289C" w:rsidRPr="00852E65" w:rsidRDefault="007B289C" w:rsidP="007D5AB9">
            <w:pPr>
              <w:pStyle w:val="TableText"/>
              <w:keepNext w:val="0"/>
            </w:pPr>
          </w:p>
          <w:p w:rsidR="002D0006" w:rsidRPr="00852E65" w:rsidRDefault="000F5920" w:rsidP="007D5AB9">
            <w:pPr>
              <w:pStyle w:val="TableText"/>
              <w:keepNext w:val="0"/>
            </w:pPr>
            <w:r w:rsidRPr="00852E65">
              <w:t xml:space="preserve">The </w:t>
            </w:r>
            <w:r w:rsidR="002B0E85" w:rsidRPr="00852E65">
              <w:t xml:space="preserve">July 2017 </w:t>
            </w:r>
            <w:r w:rsidRPr="00852E65">
              <w:t xml:space="preserve">resubmission </w:t>
            </w:r>
            <w:r w:rsidR="002B0E85" w:rsidRPr="00852E65">
              <w:t>presented a new economic model w</w:t>
            </w:r>
            <w:r w:rsidR="007B289C" w:rsidRPr="00852E65">
              <w:t xml:space="preserve">hich included </w:t>
            </w:r>
            <w:r w:rsidR="002B0E85" w:rsidRPr="00852E65">
              <w:t xml:space="preserve"> </w:t>
            </w:r>
            <w:r w:rsidRPr="00852E65">
              <w:t>the following changes:</w:t>
            </w:r>
          </w:p>
          <w:p w:rsidR="00E146E6" w:rsidRPr="00852E65" w:rsidRDefault="00E146E6" w:rsidP="00400915">
            <w:pPr>
              <w:pStyle w:val="TableText"/>
              <w:keepNext w:val="0"/>
              <w:numPr>
                <w:ilvl w:val="0"/>
                <w:numId w:val="11"/>
              </w:numPr>
            </w:pPr>
            <w:r w:rsidRPr="00852E65">
              <w:t>Four treatment states, rather than two;</w:t>
            </w:r>
          </w:p>
          <w:p w:rsidR="000F5920" w:rsidRPr="00852E65" w:rsidRDefault="000F5920" w:rsidP="00400915">
            <w:pPr>
              <w:pStyle w:val="TableText"/>
              <w:keepNext w:val="0"/>
              <w:numPr>
                <w:ilvl w:val="0"/>
                <w:numId w:val="11"/>
              </w:numPr>
            </w:pPr>
            <w:r w:rsidRPr="00852E65">
              <w:t>Costs were accrued with each weekly cycle;</w:t>
            </w:r>
          </w:p>
          <w:p w:rsidR="000F5920" w:rsidRPr="00852E65" w:rsidRDefault="000F5920" w:rsidP="00400915">
            <w:pPr>
              <w:pStyle w:val="TableText"/>
              <w:keepNext w:val="0"/>
              <w:numPr>
                <w:ilvl w:val="0"/>
                <w:numId w:val="11"/>
              </w:numPr>
            </w:pPr>
            <w:r w:rsidRPr="00852E65">
              <w:t>Health states for subsequent treatments were added and post-progression and STC costs were included;</w:t>
            </w:r>
          </w:p>
          <w:p w:rsidR="000F5920" w:rsidRPr="00852E65" w:rsidRDefault="000F5920" w:rsidP="00400915">
            <w:pPr>
              <w:pStyle w:val="TableText"/>
              <w:keepNext w:val="0"/>
              <w:numPr>
                <w:ilvl w:val="0"/>
                <w:numId w:val="11"/>
              </w:numPr>
            </w:pPr>
            <w:r w:rsidRPr="00852E65">
              <w:t xml:space="preserve">Overall survival estimates were updated and consistent between the </w:t>
            </w:r>
            <w:proofErr w:type="spellStart"/>
            <w:r w:rsidRPr="00852E65">
              <w:t>TreeAge</w:t>
            </w:r>
            <w:proofErr w:type="spellEnd"/>
            <w:r w:rsidRPr="00852E65">
              <w:t xml:space="preserve"> model and the Kaplan-Meier data;</w:t>
            </w:r>
          </w:p>
          <w:p w:rsidR="000F5920" w:rsidRPr="00852E65" w:rsidRDefault="000F5920" w:rsidP="00400915">
            <w:pPr>
              <w:pStyle w:val="TableText"/>
              <w:keepNext w:val="0"/>
              <w:numPr>
                <w:ilvl w:val="0"/>
                <w:numId w:val="11"/>
              </w:numPr>
            </w:pPr>
            <w:r w:rsidRPr="00852E65">
              <w:t xml:space="preserve">The number of </w:t>
            </w:r>
            <w:proofErr w:type="spellStart"/>
            <w:r w:rsidRPr="00852E65">
              <w:t>pralatrexate</w:t>
            </w:r>
            <w:proofErr w:type="spellEnd"/>
            <w:r w:rsidRPr="00852E65">
              <w:t xml:space="preserve"> vials used per patient was based on individual patient data;</w:t>
            </w:r>
          </w:p>
          <w:p w:rsidR="000F5920" w:rsidRPr="00852E65" w:rsidRDefault="000F5920" w:rsidP="00400915">
            <w:pPr>
              <w:pStyle w:val="TableText"/>
              <w:keepNext w:val="0"/>
              <w:numPr>
                <w:ilvl w:val="0"/>
                <w:numId w:val="11"/>
              </w:numPr>
            </w:pPr>
            <w:r w:rsidRPr="00852E65">
              <w:t>PTCL-specific utility values were used</w:t>
            </w:r>
            <w:r w:rsidR="00B812EF" w:rsidRPr="00852E65">
              <w:t>.</w:t>
            </w:r>
          </w:p>
          <w:p w:rsidR="0063555C" w:rsidRPr="00852E65" w:rsidRDefault="0063555C" w:rsidP="007D5AB9">
            <w:pPr>
              <w:pStyle w:val="TableText"/>
              <w:keepNext w:val="0"/>
            </w:pPr>
          </w:p>
          <w:p w:rsidR="0063555C" w:rsidRPr="00852E65" w:rsidRDefault="0063555C" w:rsidP="007D5AB9">
            <w:pPr>
              <w:pStyle w:val="TableText"/>
              <w:keepNext w:val="0"/>
            </w:pPr>
            <w:r w:rsidRPr="00852E65">
              <w:t>The proportion of patients in each response state did not vary depending on treatment of cycle. This again resulted in QALYs being driven by survival.</w:t>
            </w:r>
          </w:p>
          <w:p w:rsidR="00B812EF" w:rsidRPr="00852E65" w:rsidRDefault="00B812EF" w:rsidP="007D5AB9">
            <w:pPr>
              <w:pStyle w:val="TableText"/>
              <w:keepNext w:val="0"/>
            </w:pPr>
          </w:p>
          <w:p w:rsidR="00B812EF" w:rsidRPr="00852E65" w:rsidRDefault="00B812EF" w:rsidP="00AD0C21">
            <w:pPr>
              <w:pStyle w:val="TableText"/>
              <w:keepNext w:val="0"/>
            </w:pPr>
            <w:r w:rsidRPr="00852E65">
              <w:t>The ICER presented was</w:t>
            </w:r>
            <w:r w:rsidR="00D20277">
              <w:t xml:space="preserve"> </w:t>
            </w:r>
            <w:r w:rsidR="00D20277" w:rsidRPr="0047767B">
              <w:t>at the lower end of the range of</w:t>
            </w:r>
            <w:r w:rsidRPr="0047767B">
              <w:t xml:space="preserve"> </w:t>
            </w:r>
            <w:r w:rsidR="00AD0C21">
              <w:t>$45,000</w:t>
            </w:r>
            <w:r w:rsidR="00AD0C21" w:rsidRPr="00AD0C21">
              <w:t xml:space="preserve"> – $75,000</w:t>
            </w:r>
            <w:r w:rsidR="00AD0C21">
              <w:t xml:space="preserve"> per </w:t>
            </w:r>
            <w:r w:rsidRPr="00852E65">
              <w:t>QALY gained.</w:t>
            </w:r>
          </w:p>
        </w:tc>
      </w:tr>
      <w:tr w:rsidR="009D1A61" w:rsidRPr="00852E65" w:rsidTr="000F5920">
        <w:trPr>
          <w:cantSplit/>
        </w:trPr>
        <w:tc>
          <w:tcPr>
            <w:tcW w:w="2501" w:type="pct"/>
            <w:shd w:val="clear" w:color="auto" w:fill="auto"/>
          </w:tcPr>
          <w:p w:rsidR="009D1A61" w:rsidRPr="00852E65" w:rsidRDefault="00B13F0D" w:rsidP="007D5AB9">
            <w:pPr>
              <w:pStyle w:val="TableText"/>
              <w:keepNext w:val="0"/>
              <w:rPr>
                <w:bCs/>
                <w:lang w:val="en-GB"/>
              </w:rPr>
            </w:pPr>
            <w:r w:rsidRPr="00852E65">
              <w:rPr>
                <w:bCs/>
                <w:lang w:val="en-GB"/>
              </w:rPr>
              <w:t xml:space="preserve">Paragraph 7.7, November 2015 </w:t>
            </w:r>
            <w:r w:rsidR="00AD0C21">
              <w:rPr>
                <w:bCs/>
                <w:lang w:val="en-GB"/>
              </w:rPr>
              <w:t>PSD</w:t>
            </w:r>
            <w:r w:rsidRPr="00852E65">
              <w:rPr>
                <w:bCs/>
                <w:lang w:val="en-GB"/>
              </w:rPr>
              <w:t>:</w:t>
            </w:r>
          </w:p>
          <w:p w:rsidR="00B13F0D" w:rsidRPr="00852E65" w:rsidRDefault="00B13F0D" w:rsidP="007D5AB9">
            <w:pPr>
              <w:pStyle w:val="TableText"/>
              <w:keepNext w:val="0"/>
              <w:rPr>
                <w:bCs/>
                <w:lang w:val="en-GB"/>
              </w:rPr>
            </w:pPr>
            <w:r w:rsidRPr="00852E65">
              <w:rPr>
                <w:bCs/>
                <w:lang w:val="en-GB"/>
              </w:rPr>
              <w:t>At the price requested the net cost to government may be greater than estimated.</w:t>
            </w:r>
          </w:p>
          <w:p w:rsidR="00B13F0D" w:rsidRPr="00852E65" w:rsidRDefault="00B13F0D" w:rsidP="007D5AB9">
            <w:pPr>
              <w:pStyle w:val="TableText"/>
              <w:keepNext w:val="0"/>
              <w:rPr>
                <w:bCs/>
                <w:lang w:val="en-GB"/>
              </w:rPr>
            </w:pPr>
            <w:r w:rsidRPr="00852E65">
              <w:rPr>
                <w:bCs/>
                <w:lang w:val="en-GB"/>
              </w:rPr>
              <w:t xml:space="preserve">Paragraph 7.8, November 2015 </w:t>
            </w:r>
            <w:r w:rsidR="00AD0C21">
              <w:rPr>
                <w:bCs/>
                <w:lang w:val="en-GB"/>
              </w:rPr>
              <w:t>PSD</w:t>
            </w:r>
            <w:r w:rsidRPr="00852E65">
              <w:rPr>
                <w:bCs/>
                <w:lang w:val="en-GB"/>
              </w:rPr>
              <w:t xml:space="preserve">; paragraph 7.4, March 2016 </w:t>
            </w:r>
            <w:r w:rsidR="00AD0C21">
              <w:rPr>
                <w:bCs/>
                <w:lang w:val="en-GB"/>
              </w:rPr>
              <w:t>PSD</w:t>
            </w:r>
            <w:r w:rsidRPr="00852E65">
              <w:rPr>
                <w:bCs/>
                <w:lang w:val="en-GB"/>
              </w:rPr>
              <w:t>:</w:t>
            </w:r>
          </w:p>
          <w:p w:rsidR="00B13F0D" w:rsidRPr="00852E65" w:rsidRDefault="00B13F0D" w:rsidP="007D5AB9">
            <w:pPr>
              <w:pStyle w:val="TableText"/>
              <w:keepNext w:val="0"/>
              <w:rPr>
                <w:bCs/>
                <w:lang w:val="en-GB"/>
              </w:rPr>
            </w:pPr>
            <w:r w:rsidRPr="00852E65">
              <w:rPr>
                <w:bCs/>
                <w:lang w:val="en-GB"/>
              </w:rPr>
              <w:t>Revised financial estimates were required.</w:t>
            </w:r>
          </w:p>
        </w:tc>
        <w:tc>
          <w:tcPr>
            <w:tcW w:w="2499" w:type="pct"/>
            <w:shd w:val="clear" w:color="auto" w:fill="auto"/>
          </w:tcPr>
          <w:p w:rsidR="003E3571" w:rsidRPr="00852E65" w:rsidRDefault="00B812EF" w:rsidP="007D5AB9">
            <w:pPr>
              <w:pStyle w:val="TableText"/>
              <w:keepNext w:val="0"/>
            </w:pPr>
            <w:r w:rsidRPr="00852E65">
              <w:t>Updated financial estimated were provided</w:t>
            </w:r>
            <w:r w:rsidR="003E3571" w:rsidRPr="00852E65">
              <w:t xml:space="preserve"> which included:</w:t>
            </w:r>
          </w:p>
          <w:p w:rsidR="003E3571" w:rsidRPr="00852E65" w:rsidRDefault="003E3571" w:rsidP="00400915">
            <w:pPr>
              <w:pStyle w:val="ListParagraph"/>
              <w:numPr>
                <w:ilvl w:val="0"/>
                <w:numId w:val="13"/>
              </w:numPr>
              <w:spacing w:before="0" w:after="0"/>
              <w:rPr>
                <w:rFonts w:ascii="Arial Narrow" w:hAnsi="Arial Narrow"/>
                <w:sz w:val="20"/>
                <w:szCs w:val="20"/>
              </w:rPr>
            </w:pPr>
            <w:r w:rsidRPr="00852E65">
              <w:rPr>
                <w:rFonts w:ascii="Arial Narrow" w:hAnsi="Arial Narrow"/>
                <w:sz w:val="20"/>
                <w:szCs w:val="20"/>
              </w:rPr>
              <w:t xml:space="preserve">40 vials of </w:t>
            </w:r>
            <w:proofErr w:type="spellStart"/>
            <w:r w:rsidRPr="00852E65">
              <w:rPr>
                <w:rFonts w:ascii="Arial Narrow" w:hAnsi="Arial Narrow"/>
                <w:sz w:val="20"/>
                <w:szCs w:val="20"/>
              </w:rPr>
              <w:t>pralatrexate</w:t>
            </w:r>
            <w:proofErr w:type="spellEnd"/>
            <w:r w:rsidRPr="00852E65">
              <w:rPr>
                <w:rFonts w:ascii="Arial Narrow" w:hAnsi="Arial Narrow"/>
                <w:sz w:val="20"/>
                <w:szCs w:val="20"/>
              </w:rPr>
              <w:t xml:space="preserve"> used per patient on average;</w:t>
            </w:r>
          </w:p>
          <w:p w:rsidR="003E3571" w:rsidRPr="00852E65" w:rsidRDefault="003E3571" w:rsidP="00400915">
            <w:pPr>
              <w:pStyle w:val="ListParagraph"/>
              <w:numPr>
                <w:ilvl w:val="0"/>
                <w:numId w:val="13"/>
              </w:numPr>
              <w:spacing w:before="0" w:after="0"/>
              <w:rPr>
                <w:rFonts w:ascii="Arial Narrow" w:hAnsi="Arial Narrow"/>
                <w:sz w:val="20"/>
                <w:szCs w:val="20"/>
              </w:rPr>
            </w:pPr>
            <w:r w:rsidRPr="00852E65">
              <w:rPr>
                <w:rFonts w:ascii="Arial Narrow" w:hAnsi="Arial Narrow"/>
                <w:sz w:val="20"/>
                <w:szCs w:val="20"/>
              </w:rPr>
              <w:t>increased uptake assumptions;</w:t>
            </w:r>
          </w:p>
          <w:p w:rsidR="003E3571" w:rsidRPr="00852E65" w:rsidRDefault="003E3571" w:rsidP="00400915">
            <w:pPr>
              <w:pStyle w:val="ListParagraph"/>
              <w:numPr>
                <w:ilvl w:val="0"/>
                <w:numId w:val="13"/>
              </w:numPr>
              <w:spacing w:before="0" w:after="0"/>
              <w:rPr>
                <w:rFonts w:ascii="Arial Narrow" w:hAnsi="Arial Narrow"/>
                <w:sz w:val="20"/>
                <w:szCs w:val="20"/>
              </w:rPr>
            </w:pPr>
            <w:r w:rsidRPr="00852E65">
              <w:rPr>
                <w:rFonts w:ascii="Arial Narrow" w:hAnsi="Arial Narrow"/>
                <w:sz w:val="20"/>
                <w:szCs w:val="20"/>
              </w:rPr>
              <w:t>corrected costs for folic acid and Vitamin B</w:t>
            </w:r>
            <w:r w:rsidRPr="00852E65">
              <w:rPr>
                <w:rFonts w:ascii="Arial Narrow" w:hAnsi="Arial Narrow"/>
                <w:sz w:val="20"/>
                <w:szCs w:val="20"/>
                <w:vertAlign w:val="subscript"/>
              </w:rPr>
              <w:t>12</w:t>
            </w:r>
            <w:r w:rsidRPr="00852E65">
              <w:rPr>
                <w:rFonts w:ascii="Arial Narrow" w:hAnsi="Arial Narrow"/>
                <w:sz w:val="20"/>
                <w:szCs w:val="20"/>
              </w:rPr>
              <w:t>;</w:t>
            </w:r>
          </w:p>
          <w:p w:rsidR="003E3571" w:rsidRPr="00852E65" w:rsidRDefault="00390CD5" w:rsidP="00400915">
            <w:pPr>
              <w:pStyle w:val="ListParagraph"/>
              <w:numPr>
                <w:ilvl w:val="0"/>
                <w:numId w:val="13"/>
              </w:numPr>
              <w:spacing w:before="0" w:after="0"/>
              <w:rPr>
                <w:rFonts w:ascii="Arial Narrow" w:hAnsi="Arial Narrow"/>
                <w:sz w:val="20"/>
                <w:szCs w:val="20"/>
              </w:rPr>
            </w:pPr>
            <w:r>
              <w:rPr>
                <w:rFonts w:ascii="Arial Narrow" w:hAnsi="Arial Narrow"/>
                <w:sz w:val="20"/>
                <w:szCs w:val="20"/>
              </w:rPr>
              <w:t xml:space="preserve">substantial alterations to </w:t>
            </w:r>
            <w:r w:rsidR="003E3571" w:rsidRPr="00852E65">
              <w:rPr>
                <w:rFonts w:ascii="Arial Narrow" w:hAnsi="Arial Narrow"/>
                <w:sz w:val="20"/>
                <w:szCs w:val="20"/>
              </w:rPr>
              <w:t>costs for comparator treatment; and</w:t>
            </w:r>
          </w:p>
          <w:p w:rsidR="009D1A61" w:rsidRPr="00852E65" w:rsidRDefault="003E3571" w:rsidP="00400915">
            <w:pPr>
              <w:pStyle w:val="ListParagraph"/>
              <w:numPr>
                <w:ilvl w:val="0"/>
                <w:numId w:val="13"/>
              </w:numPr>
              <w:spacing w:before="0" w:after="0"/>
              <w:rPr>
                <w:rFonts w:ascii="Arial Narrow" w:hAnsi="Arial Narrow"/>
                <w:sz w:val="19"/>
                <w:szCs w:val="19"/>
              </w:rPr>
            </w:pPr>
            <w:proofErr w:type="gramStart"/>
            <w:r w:rsidRPr="00852E65">
              <w:rPr>
                <w:rFonts w:ascii="Arial Narrow" w:hAnsi="Arial Narrow"/>
                <w:sz w:val="20"/>
                <w:szCs w:val="20"/>
              </w:rPr>
              <w:t>costs</w:t>
            </w:r>
            <w:proofErr w:type="gramEnd"/>
            <w:r w:rsidRPr="00852E65">
              <w:rPr>
                <w:rFonts w:ascii="Arial Narrow" w:hAnsi="Arial Narrow"/>
                <w:sz w:val="20"/>
                <w:szCs w:val="20"/>
              </w:rPr>
              <w:t xml:space="preserve"> associated with stem cell transplant.</w:t>
            </w:r>
          </w:p>
        </w:tc>
      </w:tr>
    </w:tbl>
    <w:p w:rsidR="00767BBC" w:rsidRPr="00852E65" w:rsidRDefault="007143A4" w:rsidP="007D5AB9">
      <w:pPr>
        <w:pStyle w:val="TableFooter"/>
        <w:widowControl/>
      </w:pPr>
      <w:r w:rsidRPr="00852E65">
        <w:t>Source: compiled during analysis</w:t>
      </w:r>
    </w:p>
    <w:p w:rsidR="00B812EF" w:rsidRDefault="00B812EF" w:rsidP="007D5AB9">
      <w:pPr>
        <w:pStyle w:val="TableFooter"/>
        <w:widowControl/>
      </w:pPr>
      <w:r w:rsidRPr="00852E65">
        <w:t>ESC = Economic Sub-Committee; ICER = incremental cost-effectiveness ratio; ORR = overall response rate; OS = overall survival; PTCL = peripheral T-cell lymphoma; QALY = quality-adjusted life year; STC = stem cell transplant</w:t>
      </w:r>
    </w:p>
    <w:p w:rsidR="00F1019D" w:rsidRDefault="00F1019D" w:rsidP="007D5AB9">
      <w:pPr>
        <w:pStyle w:val="TableFooter"/>
        <w:widowControl/>
      </w:pPr>
    </w:p>
    <w:p w:rsidR="00F1019D" w:rsidRPr="00852E65" w:rsidRDefault="00F1019D" w:rsidP="00F1019D">
      <w:pPr>
        <w:pStyle w:val="TableFooter"/>
        <w:widowControl/>
        <w:ind w:firstLine="720"/>
      </w:pPr>
      <w:r w:rsidRPr="00B31ECB">
        <w:rPr>
          <w:rFonts w:ascii="Calibri" w:hAnsi="Calibri" w:cs="Times New Roman"/>
          <w:i/>
          <w:snapToGrid/>
          <w:sz w:val="24"/>
          <w:szCs w:val="24"/>
        </w:rPr>
        <w:t>For more detail on PBAC’s view, see section 7 “PBAC outcome.”</w:t>
      </w:r>
    </w:p>
    <w:p w:rsidR="006C19DF" w:rsidRPr="00925688" w:rsidRDefault="006C19DF" w:rsidP="006C19DF">
      <w:pPr>
        <w:pStyle w:val="Heading1"/>
        <w:numPr>
          <w:ilvl w:val="0"/>
          <w:numId w:val="19"/>
        </w:numPr>
        <w:ind w:left="709" w:hanging="709"/>
        <w:jc w:val="both"/>
        <w:rPr>
          <w:caps/>
        </w:rPr>
      </w:pPr>
      <w:bookmarkStart w:id="11" w:name="_Toc476306884"/>
      <w:bookmarkStart w:id="12" w:name="_Toc482796746"/>
      <w:r w:rsidRPr="00925688">
        <w:t>Population and disease</w:t>
      </w:r>
      <w:bookmarkEnd w:id="11"/>
      <w:bookmarkEnd w:id="12"/>
    </w:p>
    <w:p w:rsidR="00530E0B" w:rsidRPr="00852E65" w:rsidRDefault="00530E0B" w:rsidP="00400915">
      <w:pPr>
        <w:pStyle w:val="ListParagraph"/>
        <w:numPr>
          <w:ilvl w:val="0"/>
          <w:numId w:val="14"/>
        </w:numPr>
        <w:spacing w:before="200" w:after="120"/>
        <w:rPr>
          <w:rFonts w:ascii="Arial" w:eastAsia="Times New Roman" w:hAnsi="Arial" w:cs="Arial"/>
          <w:b/>
          <w:snapToGrid w:val="0"/>
          <w:vanish/>
          <w:sz w:val="22"/>
        </w:rPr>
      </w:pPr>
    </w:p>
    <w:p w:rsidR="00673D97" w:rsidRPr="00852E65" w:rsidRDefault="00673D97" w:rsidP="00400915">
      <w:pPr>
        <w:pStyle w:val="ListParagraph"/>
        <w:numPr>
          <w:ilvl w:val="1"/>
          <w:numId w:val="14"/>
        </w:numPr>
        <w:spacing w:before="0" w:after="120"/>
        <w:ind w:hanging="792"/>
        <w:jc w:val="both"/>
      </w:pPr>
      <w:r w:rsidRPr="00852E65">
        <w:t xml:space="preserve">PTCL is a rare form of non-Hodgkin lymphoma that has a poor prognosis, with a five year overall survival </w:t>
      </w:r>
      <w:r w:rsidR="0071033C">
        <w:t xml:space="preserve">(OS) </w:t>
      </w:r>
      <w:r w:rsidRPr="00852E65">
        <w:t>estimated between 20</w:t>
      </w:r>
      <w:r w:rsidR="008E0FF0" w:rsidRPr="00852E65">
        <w:t xml:space="preserve">% and </w:t>
      </w:r>
      <w:r w:rsidRPr="00852E65">
        <w:t xml:space="preserve">37%. The median </w:t>
      </w:r>
      <w:r w:rsidR="0071033C">
        <w:t>OS</w:t>
      </w:r>
      <w:r w:rsidRPr="00852E65">
        <w:t xml:space="preserve"> in patients who relapse or are refractory to first-line treatment was reported to be approximately </w:t>
      </w:r>
      <w:r w:rsidR="009312E5" w:rsidRPr="00852E65">
        <w:t>6</w:t>
      </w:r>
      <w:r w:rsidRPr="00852E65">
        <w:t xml:space="preserve">.5 </w:t>
      </w:r>
      <w:r w:rsidR="009312E5" w:rsidRPr="00852E65">
        <w:t xml:space="preserve">to </w:t>
      </w:r>
      <w:r w:rsidR="00D63C10" w:rsidRPr="00852E65">
        <w:t xml:space="preserve">8.0 </w:t>
      </w:r>
      <w:r w:rsidRPr="00852E65">
        <w:t xml:space="preserve">months. </w:t>
      </w:r>
    </w:p>
    <w:p w:rsidR="00C317F3" w:rsidRDefault="00673D97" w:rsidP="00400915">
      <w:pPr>
        <w:pStyle w:val="ListParagraph"/>
        <w:numPr>
          <w:ilvl w:val="1"/>
          <w:numId w:val="14"/>
        </w:numPr>
        <w:spacing w:before="0" w:after="120"/>
        <w:ind w:hanging="792"/>
        <w:jc w:val="both"/>
        <w:rPr>
          <w:i/>
        </w:rPr>
      </w:pPr>
      <w:proofErr w:type="spellStart"/>
      <w:r w:rsidRPr="00852E65">
        <w:t>Pralatrexate</w:t>
      </w:r>
      <w:proofErr w:type="spellEnd"/>
      <w:r w:rsidRPr="00852E65">
        <w:t xml:space="preserve"> was proposed as a second-line agent for the treatment of relapsed or refractory PTCL. The PBAC had previously considered that a second- or later-line listing was </w:t>
      </w:r>
      <w:r w:rsidR="00AC2AC4" w:rsidRPr="00852E65">
        <w:t xml:space="preserve">the </w:t>
      </w:r>
      <w:r w:rsidRPr="00852E65">
        <w:t xml:space="preserve">appropriate clinical place for </w:t>
      </w:r>
      <w:proofErr w:type="spellStart"/>
      <w:r w:rsidRPr="00852E65">
        <w:t>pralatrexate</w:t>
      </w:r>
      <w:proofErr w:type="spellEnd"/>
      <w:r w:rsidRPr="00852E65">
        <w:t xml:space="preserve"> (paragraph 7.8, November 2015 </w:t>
      </w:r>
      <w:r w:rsidR="00AD0C21">
        <w:t>PSD</w:t>
      </w:r>
      <w:r w:rsidRPr="00852E65">
        <w:t>).</w:t>
      </w:r>
      <w:r w:rsidR="00EF764A">
        <w:t xml:space="preserve"> </w:t>
      </w:r>
      <w:r w:rsidR="00EF764A" w:rsidRPr="006C19DF">
        <w:t xml:space="preserve">The ESC </w:t>
      </w:r>
      <w:r w:rsidR="0001794A" w:rsidRPr="006C19DF">
        <w:t xml:space="preserve">confirmed </w:t>
      </w:r>
      <w:r w:rsidR="00EF764A" w:rsidRPr="006C19DF">
        <w:t xml:space="preserve">that the clinical place in therapy for </w:t>
      </w:r>
      <w:proofErr w:type="spellStart"/>
      <w:r w:rsidR="00EF764A" w:rsidRPr="006C19DF">
        <w:t>pralatrexate</w:t>
      </w:r>
      <w:proofErr w:type="spellEnd"/>
      <w:r w:rsidR="00EF764A" w:rsidRPr="006C19DF">
        <w:t xml:space="preserve"> was second-line or later.</w:t>
      </w:r>
    </w:p>
    <w:p w:rsidR="00F1019D" w:rsidRPr="0001794A" w:rsidRDefault="00F1019D" w:rsidP="00F1019D">
      <w:pPr>
        <w:pStyle w:val="ListParagraph"/>
        <w:spacing w:before="0" w:after="120"/>
        <w:ind w:left="792"/>
        <w:jc w:val="both"/>
        <w:rPr>
          <w:i/>
        </w:rPr>
      </w:pPr>
      <w:r w:rsidRPr="00A00D05">
        <w:rPr>
          <w:rFonts w:ascii="Calibri" w:eastAsia="Times New Roman" w:hAnsi="Calibri" w:cs="Times New Roman"/>
          <w:i/>
          <w:szCs w:val="24"/>
        </w:rPr>
        <w:lastRenderedPageBreak/>
        <w:t>For more detail on PBAC’s view, see section 7 “PBAC outcome.”</w:t>
      </w:r>
    </w:p>
    <w:p w:rsidR="006C19DF" w:rsidRPr="00925688" w:rsidRDefault="006C19DF" w:rsidP="006C19DF">
      <w:pPr>
        <w:pStyle w:val="Heading1"/>
        <w:numPr>
          <w:ilvl w:val="0"/>
          <w:numId w:val="19"/>
        </w:numPr>
        <w:ind w:left="709" w:hanging="709"/>
        <w:jc w:val="both"/>
        <w:rPr>
          <w:caps/>
        </w:rPr>
      </w:pPr>
      <w:bookmarkStart w:id="13" w:name="_Toc413139275"/>
      <w:bookmarkStart w:id="14" w:name="_Toc476306885"/>
      <w:bookmarkStart w:id="15" w:name="_Toc482796747"/>
      <w:r w:rsidRPr="00925688">
        <w:t>Comparator</w:t>
      </w:r>
      <w:bookmarkEnd w:id="13"/>
      <w:bookmarkEnd w:id="14"/>
      <w:bookmarkEnd w:id="15"/>
    </w:p>
    <w:p w:rsidR="00530E0B" w:rsidRPr="00852E65" w:rsidRDefault="00530E0B" w:rsidP="00400915">
      <w:pPr>
        <w:pStyle w:val="ListParagraph"/>
        <w:numPr>
          <w:ilvl w:val="0"/>
          <w:numId w:val="14"/>
        </w:numPr>
        <w:spacing w:before="200" w:after="120"/>
        <w:rPr>
          <w:rFonts w:ascii="Arial" w:eastAsia="Times New Roman" w:hAnsi="Arial" w:cs="Arial"/>
          <w:b/>
          <w:snapToGrid w:val="0"/>
          <w:vanish/>
          <w:sz w:val="22"/>
        </w:rPr>
      </w:pPr>
    </w:p>
    <w:p w:rsidR="00673D97" w:rsidRPr="0095422D" w:rsidRDefault="00BE304F" w:rsidP="00400915">
      <w:pPr>
        <w:pStyle w:val="ListParagraph"/>
        <w:numPr>
          <w:ilvl w:val="1"/>
          <w:numId w:val="14"/>
        </w:numPr>
        <w:spacing w:before="0" w:after="120"/>
        <w:ind w:hanging="792"/>
        <w:jc w:val="both"/>
      </w:pPr>
      <w:r w:rsidRPr="00852E65">
        <w:t xml:space="preserve">The nominated </w:t>
      </w:r>
      <w:r w:rsidR="00BC1A97" w:rsidRPr="00852E65">
        <w:t>comparator was</w:t>
      </w:r>
      <w:r w:rsidRPr="00852E65">
        <w:t>:</w:t>
      </w:r>
      <w:r w:rsidR="00BC1A97" w:rsidRPr="00852E65">
        <w:t xml:space="preserve"> a b</w:t>
      </w:r>
      <w:r w:rsidR="00673D97" w:rsidRPr="00852E65">
        <w:t xml:space="preserve">asket of comparator treatments that included dexamethasone, </w:t>
      </w:r>
      <w:proofErr w:type="spellStart"/>
      <w:r w:rsidR="00673D97" w:rsidRPr="00852E65">
        <w:t>cytarabine</w:t>
      </w:r>
      <w:proofErr w:type="spellEnd"/>
      <w:r w:rsidR="00673D97" w:rsidRPr="00852E65">
        <w:t xml:space="preserve"> and cisplatin (DHAP); </w:t>
      </w:r>
      <w:proofErr w:type="spellStart"/>
      <w:r w:rsidR="00673D97" w:rsidRPr="00852E65">
        <w:t>brentuximab</w:t>
      </w:r>
      <w:proofErr w:type="spellEnd"/>
      <w:r w:rsidR="00673D97" w:rsidRPr="00852E65">
        <w:t xml:space="preserve">; gemcitabine containing regimens; methotrexate; </w:t>
      </w:r>
      <w:proofErr w:type="spellStart"/>
      <w:r w:rsidR="00673D97" w:rsidRPr="00852E65">
        <w:t>romidepsin</w:t>
      </w:r>
      <w:proofErr w:type="spellEnd"/>
      <w:r w:rsidR="00673D97" w:rsidRPr="00852E65">
        <w:t xml:space="preserve">; etoposide, methylprednisolone, </w:t>
      </w:r>
      <w:proofErr w:type="spellStart"/>
      <w:r w:rsidR="00673D97" w:rsidRPr="00852E65">
        <w:t>cytarabine</w:t>
      </w:r>
      <w:proofErr w:type="spellEnd"/>
      <w:r w:rsidR="00673D97" w:rsidRPr="00852E65">
        <w:t xml:space="preserve"> and cisplatin (ESHAP); and </w:t>
      </w:r>
      <w:proofErr w:type="spellStart"/>
      <w:r w:rsidR="00673D97" w:rsidRPr="00852E65">
        <w:t>ifosfamide</w:t>
      </w:r>
      <w:proofErr w:type="spellEnd"/>
      <w:r w:rsidR="00673D97" w:rsidRPr="00852E65">
        <w:t xml:space="preserve">, carboplatin and etoposide (ICE). </w:t>
      </w:r>
    </w:p>
    <w:p w:rsidR="002675CC" w:rsidRPr="002675CC" w:rsidRDefault="002675CC" w:rsidP="002675CC">
      <w:pPr>
        <w:pStyle w:val="ListParagraph"/>
        <w:numPr>
          <w:ilvl w:val="1"/>
          <w:numId w:val="14"/>
        </w:numPr>
        <w:spacing w:before="0" w:after="120"/>
        <w:ind w:hanging="792"/>
        <w:jc w:val="both"/>
      </w:pPr>
      <w:r w:rsidRPr="002675CC">
        <w:t xml:space="preserve">The PBAC had previously accepted that the basket of comparator treatments was the appropriate main comparator (paragraph 7.2, November 2015 </w:t>
      </w:r>
      <w:r w:rsidR="00AD0C21">
        <w:t>PSD</w:t>
      </w:r>
      <w:r w:rsidRPr="002675CC">
        <w:t xml:space="preserve">). While the PBAC had accepted that a basket of comparators was appropriate, it does not accept the inclusion of </w:t>
      </w:r>
      <w:proofErr w:type="spellStart"/>
      <w:r w:rsidRPr="002675CC">
        <w:t>brentuximab</w:t>
      </w:r>
      <w:proofErr w:type="spellEnd"/>
      <w:r w:rsidRPr="002675CC">
        <w:t xml:space="preserve"> in the costings for the basket when the drug is neither included in the clinical comparison basket nor will be replaced by </w:t>
      </w:r>
      <w:proofErr w:type="spellStart"/>
      <w:r w:rsidRPr="002675CC">
        <w:t>pralatrexate</w:t>
      </w:r>
      <w:proofErr w:type="spellEnd"/>
      <w:r w:rsidRPr="002675CC">
        <w:t xml:space="preserve"> if listed.</w:t>
      </w:r>
    </w:p>
    <w:p w:rsidR="004239C6" w:rsidRPr="0095422D" w:rsidRDefault="004239C6" w:rsidP="00400915">
      <w:pPr>
        <w:pStyle w:val="ListParagraph"/>
        <w:numPr>
          <w:ilvl w:val="1"/>
          <w:numId w:val="14"/>
        </w:numPr>
        <w:spacing w:before="0" w:after="120"/>
        <w:ind w:hanging="792"/>
        <w:jc w:val="both"/>
      </w:pPr>
      <w:r w:rsidRPr="00852E65">
        <w:t>As per the previous submissions, the basket of comparator treatments was used in the determination of</w:t>
      </w:r>
      <w:r w:rsidR="00CF5547" w:rsidRPr="00852E65">
        <w:t xml:space="preserve"> </w:t>
      </w:r>
      <w:r w:rsidRPr="00852E65">
        <w:t>overall response rate (a secondary outcome)</w:t>
      </w:r>
      <w:r w:rsidR="00CD12F3" w:rsidRPr="00852E65">
        <w:t xml:space="preserve">, and incorporated into the economic model and financial estimates. In this submission it was also used to determine </w:t>
      </w:r>
      <w:r w:rsidRPr="00852E65">
        <w:t>safety</w:t>
      </w:r>
      <w:r w:rsidR="00CD12F3" w:rsidRPr="00852E65">
        <w:t xml:space="preserve">. </w:t>
      </w:r>
    </w:p>
    <w:p w:rsidR="00A709C9" w:rsidRPr="00A709C9" w:rsidRDefault="00673D97" w:rsidP="00A709C9">
      <w:pPr>
        <w:pStyle w:val="ListParagraph"/>
        <w:numPr>
          <w:ilvl w:val="1"/>
          <w:numId w:val="14"/>
        </w:numPr>
        <w:spacing w:before="0" w:after="120"/>
        <w:ind w:hanging="792"/>
        <w:jc w:val="both"/>
      </w:pPr>
      <w:r w:rsidRPr="006C19DF">
        <w:t xml:space="preserve">In the previous submissions, although </w:t>
      </w:r>
      <w:proofErr w:type="spellStart"/>
      <w:r w:rsidRPr="006C19DF">
        <w:t>romidepsin</w:t>
      </w:r>
      <w:proofErr w:type="spellEnd"/>
      <w:r w:rsidRPr="006C19DF">
        <w:t xml:space="preserve"> was nominated in the basket of comparator treatments, it was not included in the evaluation of efficacy</w:t>
      </w:r>
      <w:r w:rsidR="00774FC6" w:rsidRPr="006C19DF">
        <w:t xml:space="preserve"> (overall response rate)</w:t>
      </w:r>
      <w:r w:rsidRPr="006C19DF">
        <w:t xml:space="preserve">. In </w:t>
      </w:r>
      <w:r w:rsidR="00AC2AC4" w:rsidRPr="006C19DF">
        <w:t>this</w:t>
      </w:r>
      <w:r w:rsidRPr="006C19DF">
        <w:t xml:space="preserve"> resubmission </w:t>
      </w:r>
      <w:proofErr w:type="spellStart"/>
      <w:r w:rsidRPr="006C19DF">
        <w:t>romidepsin</w:t>
      </w:r>
      <w:proofErr w:type="spellEnd"/>
      <w:r w:rsidRPr="006C19DF">
        <w:t xml:space="preserve"> was considered to be a near market comparator and it was included in the evaluation of efficacy</w:t>
      </w:r>
      <w:r w:rsidR="008E4E59" w:rsidRPr="006C19DF">
        <w:t xml:space="preserve"> (</w:t>
      </w:r>
      <w:r w:rsidR="00BE304F" w:rsidRPr="006C19DF">
        <w:t>overall response rate</w:t>
      </w:r>
      <w:r w:rsidR="008E4E59" w:rsidRPr="006C19DF">
        <w:t>)</w:t>
      </w:r>
      <w:r w:rsidRPr="006C19DF">
        <w:t xml:space="preserve"> and safety. This was appropriate</w:t>
      </w:r>
      <w:r w:rsidR="00D63C10" w:rsidRPr="006C19DF">
        <w:t xml:space="preserve">, since a </w:t>
      </w:r>
      <w:r w:rsidR="005B6E14" w:rsidRPr="006C19DF">
        <w:t xml:space="preserve">major </w:t>
      </w:r>
      <w:r w:rsidR="00D63C10" w:rsidRPr="006C19DF">
        <w:t>submission</w:t>
      </w:r>
      <w:r w:rsidR="005B6E14" w:rsidRPr="006C19DF">
        <w:t xml:space="preserve"> seeking PBS listing</w:t>
      </w:r>
      <w:r w:rsidR="00D63C10" w:rsidRPr="006C19DF">
        <w:t xml:space="preserve"> for </w:t>
      </w:r>
      <w:proofErr w:type="spellStart"/>
      <w:r w:rsidR="00D63C10" w:rsidRPr="006C19DF">
        <w:t>romidepsin</w:t>
      </w:r>
      <w:proofErr w:type="spellEnd"/>
      <w:r w:rsidR="00D63C10" w:rsidRPr="006C19DF">
        <w:t xml:space="preserve"> for the treatment of PTCL was </w:t>
      </w:r>
      <w:r w:rsidR="0004572F" w:rsidRPr="006C19DF">
        <w:t>considered</w:t>
      </w:r>
      <w:r w:rsidR="00D63C10" w:rsidRPr="006C19DF">
        <w:t xml:space="preserve"> </w:t>
      </w:r>
      <w:r w:rsidR="003D4007" w:rsidRPr="006C19DF">
        <w:t xml:space="preserve">(and rejected) </w:t>
      </w:r>
      <w:r w:rsidR="00D63C10" w:rsidRPr="006C19DF">
        <w:t>by the PBAC in November 2016</w:t>
      </w:r>
      <w:r w:rsidRPr="006C19DF">
        <w:t xml:space="preserve">. </w:t>
      </w:r>
      <w:r w:rsidR="008279B8" w:rsidRPr="006C19DF">
        <w:t xml:space="preserve">The ESC considered that while there was no clear evidence on whether </w:t>
      </w:r>
      <w:proofErr w:type="spellStart"/>
      <w:r w:rsidR="008279B8" w:rsidRPr="006C19DF">
        <w:t>pralatrexate</w:t>
      </w:r>
      <w:proofErr w:type="spellEnd"/>
      <w:r w:rsidR="008279B8" w:rsidRPr="006C19DF">
        <w:t xml:space="preserve"> would be </w:t>
      </w:r>
      <w:r w:rsidR="008279B8" w:rsidRPr="00A709C9">
        <w:t xml:space="preserve">used prior to or post </w:t>
      </w:r>
      <w:proofErr w:type="spellStart"/>
      <w:r w:rsidR="008279B8" w:rsidRPr="00A709C9">
        <w:t>romidepsin</w:t>
      </w:r>
      <w:proofErr w:type="spellEnd"/>
      <w:r w:rsidR="008279B8" w:rsidRPr="00A709C9">
        <w:t>, it was a reasonable near market comparator.</w:t>
      </w:r>
      <w:r w:rsidR="00A709C9" w:rsidRPr="00A709C9">
        <w:t xml:space="preserve"> The PBAC considered that </w:t>
      </w:r>
      <w:proofErr w:type="spellStart"/>
      <w:r w:rsidR="00A709C9" w:rsidRPr="00A709C9">
        <w:t>romidepsin</w:t>
      </w:r>
      <w:proofErr w:type="spellEnd"/>
      <w:r w:rsidR="00A709C9" w:rsidRPr="00A709C9">
        <w:t xml:space="preserve"> was a reasonable near market comparator.</w:t>
      </w:r>
    </w:p>
    <w:p w:rsidR="00B7358F" w:rsidRDefault="00B7358F" w:rsidP="00400915">
      <w:pPr>
        <w:pStyle w:val="ListParagraph"/>
        <w:numPr>
          <w:ilvl w:val="1"/>
          <w:numId w:val="14"/>
        </w:numPr>
        <w:spacing w:before="0" w:after="120"/>
        <w:ind w:hanging="792"/>
        <w:jc w:val="both"/>
      </w:pPr>
      <w:r w:rsidRPr="00852E65">
        <w:t xml:space="preserve">For the determination of the primary outcome, </w:t>
      </w:r>
      <w:r w:rsidR="003C298A">
        <w:t>OS</w:t>
      </w:r>
      <w:r w:rsidRPr="00852E65">
        <w:t xml:space="preserve">, </w:t>
      </w:r>
      <w:r w:rsidR="00D565AD" w:rsidRPr="00852E65">
        <w:t>the basket of comparators</w:t>
      </w:r>
      <w:r w:rsidR="00CD12F3" w:rsidRPr="00852E65">
        <w:t xml:space="preserve"> was again not used</w:t>
      </w:r>
      <w:r w:rsidR="00D565AD" w:rsidRPr="00852E65">
        <w:t xml:space="preserve">. Instead </w:t>
      </w:r>
      <w:r w:rsidR="00CD12F3" w:rsidRPr="00852E65">
        <w:t>the submissions</w:t>
      </w:r>
      <w:r w:rsidR="00D565AD" w:rsidRPr="00852E65">
        <w:t xml:space="preserve"> </w:t>
      </w:r>
      <w:r w:rsidRPr="00852E65">
        <w:t xml:space="preserve">utilised a historical control cohort – see Section 6 below for how this differed from the previous submissions. </w:t>
      </w:r>
    </w:p>
    <w:p w:rsidR="00BF38E4" w:rsidRPr="00BF38E4" w:rsidRDefault="00BF38E4" w:rsidP="00BF38E4">
      <w:pPr>
        <w:pStyle w:val="ListParagraph"/>
        <w:numPr>
          <w:ilvl w:val="1"/>
          <w:numId w:val="14"/>
        </w:numPr>
        <w:spacing w:before="0" w:after="120"/>
        <w:ind w:hanging="792"/>
        <w:jc w:val="both"/>
      </w:pPr>
      <w:r>
        <w:t>The PBAC noted n</w:t>
      </w:r>
      <w:r w:rsidRPr="00BF38E4">
        <w:t xml:space="preserve">either the international historical control series (1/386) nor the Australian control series (0/34, and 0/83 total) included </w:t>
      </w:r>
      <w:proofErr w:type="spellStart"/>
      <w:r w:rsidRPr="00BF38E4">
        <w:t>brentuximab</w:t>
      </w:r>
      <w:proofErr w:type="spellEnd"/>
      <w:r w:rsidRPr="00BF38E4">
        <w:t xml:space="preserve"> as a significant contributor to the basket of therapies, yet it is included in the basket of therapies used in the economic evaluation, and has a high weighting (</w:t>
      </w:r>
      <w:r>
        <w:t>&gt;</w:t>
      </w:r>
      <w:r w:rsidRPr="00BF38E4">
        <w:t xml:space="preserve">20%). No evidence of OS advantage has been provided in comparison with </w:t>
      </w:r>
      <w:proofErr w:type="spellStart"/>
      <w:r w:rsidRPr="00BF38E4">
        <w:t>brentuximab</w:t>
      </w:r>
      <w:proofErr w:type="spellEnd"/>
      <w:r w:rsidRPr="00BF38E4">
        <w:t xml:space="preserve">. In Australian practice it is highly improbable that current </w:t>
      </w:r>
      <w:proofErr w:type="spellStart"/>
      <w:r w:rsidRPr="00BF38E4">
        <w:t>brentuximab</w:t>
      </w:r>
      <w:proofErr w:type="spellEnd"/>
      <w:r w:rsidRPr="00BF38E4">
        <w:t xml:space="preserve"> use in the subset of PTCL patients with CD30+ anaplastic large cell lymphoma will be replaced by </w:t>
      </w:r>
      <w:proofErr w:type="spellStart"/>
      <w:r w:rsidRPr="00BF38E4">
        <w:t>pralatrexate</w:t>
      </w:r>
      <w:proofErr w:type="spellEnd"/>
      <w:r w:rsidRPr="00BF38E4">
        <w:t xml:space="preserve"> should it be PBS listed.</w:t>
      </w:r>
    </w:p>
    <w:p w:rsidR="00F1019D" w:rsidRDefault="00F1019D" w:rsidP="00B31ECB">
      <w:pPr>
        <w:spacing w:before="0" w:after="120"/>
        <w:jc w:val="both"/>
        <w:rPr>
          <w:rFonts w:ascii="Calibri" w:eastAsia="Times New Roman" w:hAnsi="Calibri" w:cs="Times New Roman"/>
          <w:i/>
          <w:szCs w:val="24"/>
        </w:rPr>
      </w:pPr>
      <w:r w:rsidRPr="00B31ECB">
        <w:rPr>
          <w:rFonts w:ascii="Calibri" w:eastAsia="Times New Roman" w:hAnsi="Calibri" w:cs="Times New Roman"/>
          <w:i/>
          <w:szCs w:val="24"/>
        </w:rPr>
        <w:t>For more detail on PBAC’s view, see section 7 “PBAC outcome.”</w:t>
      </w:r>
    </w:p>
    <w:p w:rsidR="00911921" w:rsidRPr="0095422D" w:rsidRDefault="00911921" w:rsidP="00B31ECB">
      <w:pPr>
        <w:spacing w:before="0" w:after="120"/>
        <w:jc w:val="both"/>
      </w:pPr>
    </w:p>
    <w:p w:rsidR="006B2D41" w:rsidRPr="00925688" w:rsidRDefault="006B2D41" w:rsidP="006B2D41">
      <w:pPr>
        <w:pStyle w:val="Heading1"/>
        <w:numPr>
          <w:ilvl w:val="0"/>
          <w:numId w:val="19"/>
        </w:numPr>
        <w:spacing w:before="0"/>
        <w:ind w:left="709" w:hanging="709"/>
        <w:jc w:val="both"/>
        <w:rPr>
          <w:caps/>
        </w:rPr>
      </w:pPr>
      <w:bookmarkStart w:id="16" w:name="_Toc413139276"/>
      <w:bookmarkStart w:id="17" w:name="_Toc476306886"/>
      <w:bookmarkStart w:id="18" w:name="_Toc482796748"/>
      <w:bookmarkStart w:id="19" w:name="_Toc482715892"/>
      <w:r>
        <w:lastRenderedPageBreak/>
        <w:t>Consideration of Evidence</w:t>
      </w:r>
    </w:p>
    <w:bookmarkEnd w:id="16"/>
    <w:bookmarkEnd w:id="17"/>
    <w:bookmarkEnd w:id="18"/>
    <w:p w:rsidR="006C19DF" w:rsidRPr="006B2D41" w:rsidRDefault="006C19DF" w:rsidP="006B2D41">
      <w:pPr>
        <w:pStyle w:val="ListParagraph"/>
        <w:numPr>
          <w:ilvl w:val="0"/>
          <w:numId w:val="14"/>
        </w:numPr>
        <w:spacing w:before="0" w:after="120"/>
        <w:rPr>
          <w:rFonts w:ascii="Arial" w:eastAsia="Times New Roman" w:hAnsi="Arial" w:cs="Arial"/>
          <w:b/>
          <w:snapToGrid w:val="0"/>
          <w:vanish/>
          <w:sz w:val="22"/>
        </w:rPr>
      </w:pPr>
    </w:p>
    <w:p w:rsidR="00F1019D" w:rsidRDefault="00F1019D" w:rsidP="006B2D41">
      <w:pPr>
        <w:pStyle w:val="Heading2"/>
        <w:spacing w:before="0"/>
      </w:pPr>
      <w:r>
        <w:t xml:space="preserve">Sponsor hearing </w:t>
      </w:r>
    </w:p>
    <w:p w:rsidR="00F1019D" w:rsidRPr="009112E9" w:rsidRDefault="009112E9" w:rsidP="006B2D41">
      <w:pPr>
        <w:pStyle w:val="ListParagraph"/>
        <w:numPr>
          <w:ilvl w:val="1"/>
          <w:numId w:val="14"/>
        </w:numPr>
        <w:spacing w:before="0" w:after="120"/>
        <w:ind w:hanging="792"/>
        <w:jc w:val="both"/>
      </w:pPr>
      <w:r w:rsidRPr="006B2D41">
        <w:t xml:space="preserve">The sponsor requested a hearing for this item. At the hearing, a clinician discussed the case studies to highlight the benefit of </w:t>
      </w:r>
      <w:proofErr w:type="spellStart"/>
      <w:r w:rsidRPr="006B2D41">
        <w:t>pralatrexate</w:t>
      </w:r>
      <w:proofErr w:type="spellEnd"/>
      <w:r w:rsidRPr="006B2D41">
        <w:t xml:space="preserve"> treatment in an area of high clinical need. The clinician </w:t>
      </w:r>
      <w:r w:rsidR="00905FB2">
        <w:t>indicated</w:t>
      </w:r>
      <w:r w:rsidRPr="006B2D41">
        <w:t xml:space="preserve"> that of the several subtypes of PTCL, </w:t>
      </w:r>
      <w:proofErr w:type="spellStart"/>
      <w:r w:rsidRPr="006B2D41">
        <w:t>brentuximab</w:t>
      </w:r>
      <w:proofErr w:type="spellEnd"/>
      <w:r w:rsidRPr="006B2D41">
        <w:t xml:space="preserve"> </w:t>
      </w:r>
      <w:proofErr w:type="spellStart"/>
      <w:r w:rsidRPr="006B2D41">
        <w:t>vedotin</w:t>
      </w:r>
      <w:proofErr w:type="spellEnd"/>
      <w:r w:rsidRPr="006B2D41">
        <w:t xml:space="preserve"> </w:t>
      </w:r>
      <w:r w:rsidR="00905FB2">
        <w:t>a</w:t>
      </w:r>
      <w:r w:rsidRPr="006B2D41">
        <w:t xml:space="preserve">nd </w:t>
      </w:r>
      <w:proofErr w:type="spellStart"/>
      <w:r w:rsidRPr="006B2D41">
        <w:t>romidepsin</w:t>
      </w:r>
      <w:proofErr w:type="spellEnd"/>
      <w:r w:rsidRPr="006B2D41">
        <w:t xml:space="preserve"> were the preferred treatment options for small anaplastic</w:t>
      </w:r>
      <w:r w:rsidRPr="009112E9">
        <w:rPr>
          <w:rFonts w:ascii="Calibri" w:eastAsia="Times New Roman" w:hAnsi="Calibri" w:cs="Arial"/>
          <w:bCs/>
          <w:snapToGrid w:val="0"/>
          <w:szCs w:val="24"/>
        </w:rPr>
        <w:t xml:space="preserve"> large cell lymphoma (</w:t>
      </w:r>
      <w:proofErr w:type="spellStart"/>
      <w:r w:rsidRPr="009112E9">
        <w:rPr>
          <w:rFonts w:ascii="Calibri" w:eastAsia="Times New Roman" w:hAnsi="Calibri" w:cs="Arial"/>
          <w:bCs/>
          <w:snapToGrid w:val="0"/>
          <w:szCs w:val="24"/>
        </w:rPr>
        <w:t>sALCL</w:t>
      </w:r>
      <w:proofErr w:type="spellEnd"/>
      <w:r w:rsidRPr="009112E9">
        <w:rPr>
          <w:rFonts w:ascii="Calibri" w:eastAsia="Times New Roman" w:hAnsi="Calibri" w:cs="Arial"/>
          <w:bCs/>
          <w:snapToGrid w:val="0"/>
          <w:szCs w:val="24"/>
        </w:rPr>
        <w:t xml:space="preserve">) and </w:t>
      </w:r>
      <w:proofErr w:type="spellStart"/>
      <w:r w:rsidRPr="009112E9">
        <w:rPr>
          <w:rFonts w:ascii="Calibri" w:eastAsia="Times New Roman" w:hAnsi="Calibri" w:cs="Arial"/>
          <w:bCs/>
          <w:snapToGrid w:val="0"/>
          <w:szCs w:val="24"/>
        </w:rPr>
        <w:t>angioimmunoblastic</w:t>
      </w:r>
      <w:proofErr w:type="spellEnd"/>
      <w:r w:rsidRPr="009112E9">
        <w:rPr>
          <w:rFonts w:ascii="Calibri" w:eastAsia="Times New Roman" w:hAnsi="Calibri" w:cs="Arial"/>
          <w:bCs/>
          <w:snapToGrid w:val="0"/>
          <w:szCs w:val="24"/>
        </w:rPr>
        <w:t xml:space="preserve"> T-Cell Lymphoma (AITL), respectively. </w:t>
      </w:r>
      <w:r w:rsidR="00905FB2">
        <w:rPr>
          <w:rFonts w:ascii="Calibri" w:eastAsia="Times New Roman" w:hAnsi="Calibri" w:cs="Arial"/>
          <w:bCs/>
          <w:snapToGrid w:val="0"/>
          <w:szCs w:val="24"/>
        </w:rPr>
        <w:t>The clinic</w:t>
      </w:r>
      <w:r w:rsidR="00D20277" w:rsidRPr="00302C27">
        <w:rPr>
          <w:rFonts w:ascii="Calibri" w:eastAsia="Times New Roman" w:hAnsi="Calibri" w:cs="Arial"/>
          <w:bCs/>
          <w:snapToGrid w:val="0"/>
          <w:szCs w:val="24"/>
        </w:rPr>
        <w:t>ian</w:t>
      </w:r>
      <w:r w:rsidR="00905FB2">
        <w:rPr>
          <w:rFonts w:ascii="Calibri" w:eastAsia="Times New Roman" w:hAnsi="Calibri" w:cs="Arial"/>
          <w:bCs/>
          <w:snapToGrid w:val="0"/>
          <w:szCs w:val="24"/>
        </w:rPr>
        <w:t xml:space="preserve"> also state</w:t>
      </w:r>
      <w:r w:rsidR="00201F41">
        <w:rPr>
          <w:rFonts w:ascii="Calibri" w:eastAsia="Times New Roman" w:hAnsi="Calibri" w:cs="Arial"/>
          <w:bCs/>
          <w:snapToGrid w:val="0"/>
          <w:szCs w:val="24"/>
        </w:rPr>
        <w:t>d</w:t>
      </w:r>
      <w:r w:rsidR="00905FB2">
        <w:rPr>
          <w:rFonts w:ascii="Calibri" w:eastAsia="Times New Roman" w:hAnsi="Calibri" w:cs="Arial"/>
          <w:bCs/>
          <w:snapToGrid w:val="0"/>
          <w:szCs w:val="24"/>
        </w:rPr>
        <w:t xml:space="preserve"> that nausea, fatigue and grade 3 </w:t>
      </w:r>
      <w:r w:rsidR="00AA2FCB">
        <w:rPr>
          <w:rFonts w:ascii="Calibri" w:eastAsia="Times New Roman" w:hAnsi="Calibri" w:cs="Arial"/>
          <w:bCs/>
          <w:snapToGrid w:val="0"/>
          <w:szCs w:val="24"/>
        </w:rPr>
        <w:t>mucositis</w:t>
      </w:r>
      <w:r w:rsidR="00905FB2">
        <w:rPr>
          <w:rFonts w:ascii="Calibri" w:eastAsia="Times New Roman" w:hAnsi="Calibri" w:cs="Arial"/>
          <w:bCs/>
          <w:snapToGrid w:val="0"/>
          <w:szCs w:val="24"/>
        </w:rPr>
        <w:t xml:space="preserve"> </w:t>
      </w:r>
      <w:r w:rsidR="00314058">
        <w:rPr>
          <w:rFonts w:ascii="Calibri" w:eastAsia="Times New Roman" w:hAnsi="Calibri" w:cs="Arial"/>
          <w:bCs/>
          <w:snapToGrid w:val="0"/>
          <w:szCs w:val="24"/>
        </w:rPr>
        <w:t>we</w:t>
      </w:r>
      <w:r w:rsidR="00905FB2">
        <w:rPr>
          <w:rFonts w:ascii="Calibri" w:eastAsia="Times New Roman" w:hAnsi="Calibri" w:cs="Arial"/>
          <w:bCs/>
          <w:snapToGrid w:val="0"/>
          <w:szCs w:val="24"/>
        </w:rPr>
        <w:t xml:space="preserve">re the most commonly observed AEs resulting from </w:t>
      </w:r>
      <w:proofErr w:type="spellStart"/>
      <w:r w:rsidR="00905FB2">
        <w:rPr>
          <w:rFonts w:ascii="Calibri" w:eastAsia="Times New Roman" w:hAnsi="Calibri" w:cs="Arial"/>
          <w:bCs/>
          <w:snapToGrid w:val="0"/>
          <w:szCs w:val="24"/>
        </w:rPr>
        <w:t>pralatrexate</w:t>
      </w:r>
      <w:proofErr w:type="spellEnd"/>
      <w:r w:rsidR="00905FB2">
        <w:rPr>
          <w:rFonts w:ascii="Calibri" w:eastAsia="Times New Roman" w:hAnsi="Calibri" w:cs="Arial"/>
          <w:bCs/>
          <w:snapToGrid w:val="0"/>
          <w:szCs w:val="24"/>
        </w:rPr>
        <w:t xml:space="preserve"> treatment. </w:t>
      </w:r>
      <w:r w:rsidR="00201F41" w:rsidRPr="009112E9">
        <w:rPr>
          <w:rFonts w:ascii="Calibri" w:eastAsia="Times New Roman" w:hAnsi="Calibri" w:cs="Arial"/>
          <w:bCs/>
          <w:snapToGrid w:val="0"/>
          <w:szCs w:val="24"/>
        </w:rPr>
        <w:t>The PBAC considered that the hearing was informative as it provided a clinical perspective on treat</w:t>
      </w:r>
      <w:r w:rsidR="00201F41">
        <w:rPr>
          <w:rFonts w:ascii="Calibri" w:eastAsia="Times New Roman" w:hAnsi="Calibri" w:cs="Arial"/>
          <w:bCs/>
          <w:snapToGrid w:val="0"/>
          <w:szCs w:val="24"/>
        </w:rPr>
        <w:t>ment selection for patients with PTCL, including how choices can differ for</w:t>
      </w:r>
      <w:r w:rsidR="00201F41" w:rsidRPr="009112E9">
        <w:rPr>
          <w:rFonts w:ascii="Calibri" w:eastAsia="Times New Roman" w:hAnsi="Calibri" w:cs="Arial"/>
          <w:bCs/>
          <w:snapToGrid w:val="0"/>
          <w:szCs w:val="24"/>
        </w:rPr>
        <w:t xml:space="preserve"> the </w:t>
      </w:r>
      <w:r w:rsidR="00201F41">
        <w:rPr>
          <w:rFonts w:ascii="Calibri" w:eastAsia="Times New Roman" w:hAnsi="Calibri" w:cs="Arial"/>
          <w:bCs/>
          <w:snapToGrid w:val="0"/>
          <w:szCs w:val="24"/>
        </w:rPr>
        <w:t>various</w:t>
      </w:r>
      <w:r w:rsidR="00201F41" w:rsidRPr="009112E9">
        <w:rPr>
          <w:rFonts w:ascii="Calibri" w:eastAsia="Times New Roman" w:hAnsi="Calibri" w:cs="Arial"/>
          <w:bCs/>
          <w:snapToGrid w:val="0"/>
          <w:szCs w:val="24"/>
        </w:rPr>
        <w:t xml:space="preserve"> </w:t>
      </w:r>
      <w:proofErr w:type="spellStart"/>
      <w:r w:rsidR="00201F41" w:rsidRPr="009112E9">
        <w:rPr>
          <w:rFonts w:ascii="Calibri" w:eastAsia="Times New Roman" w:hAnsi="Calibri" w:cs="Arial"/>
          <w:bCs/>
          <w:snapToGrid w:val="0"/>
          <w:szCs w:val="24"/>
        </w:rPr>
        <w:t>histologies</w:t>
      </w:r>
      <w:proofErr w:type="spellEnd"/>
      <w:r w:rsidR="00201F41" w:rsidRPr="009112E9">
        <w:rPr>
          <w:rFonts w:ascii="Calibri" w:eastAsia="Times New Roman" w:hAnsi="Calibri" w:cs="Arial"/>
          <w:bCs/>
          <w:snapToGrid w:val="0"/>
          <w:szCs w:val="24"/>
        </w:rPr>
        <w:t xml:space="preserve"> that constitute PTCL.</w:t>
      </w:r>
    </w:p>
    <w:p w:rsidR="00F1019D" w:rsidRPr="009112E9" w:rsidRDefault="00F1019D" w:rsidP="00F1019D">
      <w:pPr>
        <w:pStyle w:val="Heading2"/>
      </w:pPr>
      <w:r w:rsidRPr="009112E9">
        <w:t xml:space="preserve">Consumer comments </w:t>
      </w:r>
    </w:p>
    <w:p w:rsidR="00EC64C5" w:rsidRPr="00EC64C5" w:rsidRDefault="00EC64C5" w:rsidP="006B2D41">
      <w:pPr>
        <w:pStyle w:val="ListParagraph"/>
        <w:numPr>
          <w:ilvl w:val="1"/>
          <w:numId w:val="14"/>
        </w:numPr>
        <w:spacing w:before="0" w:after="120"/>
        <w:ind w:hanging="792"/>
        <w:jc w:val="both"/>
      </w:pPr>
      <w:r w:rsidRPr="00EC64C5" w:rsidDel="00EC64C5">
        <w:rPr>
          <w:rFonts w:ascii="Calibri" w:eastAsia="Times New Roman" w:hAnsi="Calibri" w:cs="Arial"/>
          <w:bCs/>
          <w:snapToGrid w:val="0"/>
          <w:szCs w:val="24"/>
        </w:rPr>
        <w:t xml:space="preserve"> </w:t>
      </w:r>
      <w:r w:rsidRPr="00EC64C5">
        <w:rPr>
          <w:rFonts w:ascii="Calibri" w:eastAsia="Times New Roman" w:hAnsi="Calibri" w:cs="Arial"/>
          <w:bCs/>
          <w:snapToGrid w:val="0"/>
          <w:szCs w:val="24"/>
        </w:rPr>
        <w:t xml:space="preserve">The PBAC noted and welcomed the input from health care professionals (1) and organisations (1) via the Consumer Comments facility on the PBS website. The comments highlighted the tolerability and effectiveness of </w:t>
      </w:r>
      <w:proofErr w:type="spellStart"/>
      <w:r w:rsidRPr="00EC64C5">
        <w:rPr>
          <w:rFonts w:ascii="Calibri" w:eastAsia="Times New Roman" w:hAnsi="Calibri" w:cs="Arial"/>
          <w:bCs/>
          <w:snapToGrid w:val="0"/>
          <w:szCs w:val="24"/>
        </w:rPr>
        <w:t>pralatrexate</w:t>
      </w:r>
      <w:proofErr w:type="spellEnd"/>
      <w:r w:rsidRPr="00EC64C5">
        <w:rPr>
          <w:rFonts w:ascii="Calibri" w:eastAsia="Times New Roman" w:hAnsi="Calibri" w:cs="Arial"/>
          <w:bCs/>
          <w:snapToGrid w:val="0"/>
          <w:szCs w:val="24"/>
        </w:rPr>
        <w:t xml:space="preserve"> in patients with PTCL.   The PBAC also noted Rare Cancer Australia’s support for PBS listing of </w:t>
      </w:r>
      <w:proofErr w:type="spellStart"/>
      <w:r>
        <w:rPr>
          <w:rFonts w:ascii="Calibri" w:eastAsia="Times New Roman" w:hAnsi="Calibri" w:cs="Arial"/>
          <w:bCs/>
          <w:snapToGrid w:val="0"/>
          <w:szCs w:val="24"/>
        </w:rPr>
        <w:t>pralatrexate</w:t>
      </w:r>
      <w:proofErr w:type="spellEnd"/>
      <w:r>
        <w:rPr>
          <w:rFonts w:ascii="Calibri" w:eastAsia="Times New Roman" w:hAnsi="Calibri" w:cs="Arial"/>
          <w:bCs/>
          <w:snapToGrid w:val="0"/>
          <w:szCs w:val="24"/>
        </w:rPr>
        <w:t xml:space="preserve">, </w:t>
      </w:r>
      <w:r w:rsidR="00390CD5">
        <w:rPr>
          <w:rFonts w:ascii="Calibri" w:eastAsia="Times New Roman" w:hAnsi="Calibri" w:cs="Arial"/>
          <w:bCs/>
          <w:snapToGrid w:val="0"/>
          <w:szCs w:val="24"/>
        </w:rPr>
        <w:t>claiming</w:t>
      </w:r>
      <w:r>
        <w:rPr>
          <w:rFonts w:ascii="Calibri" w:eastAsia="Times New Roman" w:hAnsi="Calibri" w:cs="Arial"/>
          <w:bCs/>
          <w:snapToGrid w:val="0"/>
          <w:szCs w:val="24"/>
        </w:rPr>
        <w:t xml:space="preserve"> its effectiveness in extending survival, and the potential benefits of its use in advance of, or in combination with, </w:t>
      </w:r>
      <w:proofErr w:type="spellStart"/>
      <w:r>
        <w:rPr>
          <w:rFonts w:ascii="Calibri" w:eastAsia="Times New Roman" w:hAnsi="Calibri" w:cs="Arial"/>
          <w:bCs/>
          <w:snapToGrid w:val="0"/>
          <w:szCs w:val="24"/>
        </w:rPr>
        <w:t>romidepsin</w:t>
      </w:r>
      <w:proofErr w:type="spellEnd"/>
      <w:r>
        <w:rPr>
          <w:rFonts w:ascii="Calibri" w:eastAsia="Times New Roman" w:hAnsi="Calibri" w:cs="Arial"/>
          <w:bCs/>
          <w:snapToGrid w:val="0"/>
          <w:szCs w:val="24"/>
        </w:rPr>
        <w:t>.</w:t>
      </w:r>
      <w:r w:rsidRPr="00EC64C5">
        <w:t xml:space="preserve"> </w:t>
      </w:r>
      <w:r w:rsidRPr="00EC64C5">
        <w:rPr>
          <w:rFonts w:ascii="Calibri" w:eastAsia="Times New Roman" w:hAnsi="Calibri" w:cs="Arial"/>
          <w:bCs/>
          <w:snapToGrid w:val="0"/>
          <w:szCs w:val="24"/>
        </w:rPr>
        <w:t>The PBAC noted t</w:t>
      </w:r>
      <w:r w:rsidR="002948B8">
        <w:rPr>
          <w:rFonts w:ascii="Calibri" w:eastAsia="Times New Roman" w:hAnsi="Calibri" w:cs="Arial"/>
          <w:bCs/>
          <w:snapToGrid w:val="0"/>
          <w:szCs w:val="24"/>
        </w:rPr>
        <w:t>hat this advice was not supported</w:t>
      </w:r>
      <w:r w:rsidRPr="00EC64C5">
        <w:rPr>
          <w:rFonts w:ascii="Calibri" w:eastAsia="Times New Roman" w:hAnsi="Calibri" w:cs="Arial"/>
          <w:bCs/>
          <w:snapToGrid w:val="0"/>
          <w:szCs w:val="24"/>
        </w:rPr>
        <w:t xml:space="preserve"> </w:t>
      </w:r>
      <w:r w:rsidR="002948B8">
        <w:rPr>
          <w:rFonts w:ascii="Calibri" w:eastAsia="Times New Roman" w:hAnsi="Calibri" w:cs="Arial"/>
          <w:bCs/>
          <w:snapToGrid w:val="0"/>
          <w:szCs w:val="24"/>
        </w:rPr>
        <w:t>by</w:t>
      </w:r>
      <w:r w:rsidRPr="00EC64C5">
        <w:rPr>
          <w:rFonts w:ascii="Calibri" w:eastAsia="Times New Roman" w:hAnsi="Calibri" w:cs="Arial"/>
          <w:bCs/>
          <w:snapToGrid w:val="0"/>
          <w:szCs w:val="24"/>
        </w:rPr>
        <w:t xml:space="preserve"> the evide</w:t>
      </w:r>
      <w:r>
        <w:rPr>
          <w:rFonts w:ascii="Calibri" w:eastAsia="Times New Roman" w:hAnsi="Calibri" w:cs="Arial"/>
          <w:bCs/>
          <w:snapToGrid w:val="0"/>
          <w:szCs w:val="24"/>
        </w:rPr>
        <w:t>nce provided in the submission.</w:t>
      </w:r>
    </w:p>
    <w:p w:rsidR="00673D97" w:rsidRPr="00852E65" w:rsidRDefault="00673D97" w:rsidP="007D5AB9">
      <w:pPr>
        <w:pStyle w:val="Heading2"/>
      </w:pPr>
      <w:r w:rsidRPr="00852E65">
        <w:t>Clinical trials</w:t>
      </w:r>
      <w:bookmarkEnd w:id="19"/>
    </w:p>
    <w:p w:rsidR="00673D97" w:rsidRPr="00852E65" w:rsidRDefault="00B7358F" w:rsidP="006B2D41">
      <w:pPr>
        <w:pStyle w:val="ListParagraph"/>
        <w:numPr>
          <w:ilvl w:val="1"/>
          <w:numId w:val="14"/>
        </w:numPr>
        <w:spacing w:before="0" w:after="120"/>
        <w:ind w:hanging="792"/>
        <w:jc w:val="both"/>
      </w:pPr>
      <w:r w:rsidRPr="00852E65">
        <w:t xml:space="preserve">For the determination of </w:t>
      </w:r>
      <w:r w:rsidR="0071033C">
        <w:t>OS</w:t>
      </w:r>
      <w:r w:rsidRPr="00852E65">
        <w:t xml:space="preserve"> t</w:t>
      </w:r>
      <w:r w:rsidR="00673D97" w:rsidRPr="00852E65">
        <w:t xml:space="preserve">he </w:t>
      </w:r>
      <w:r w:rsidRPr="00852E65">
        <w:t>re</w:t>
      </w:r>
      <w:r w:rsidR="00673D97" w:rsidRPr="00852E65">
        <w:t xml:space="preserve">submission was based on a naïve </w:t>
      </w:r>
      <w:r w:rsidR="007A27DA" w:rsidRPr="00852E65">
        <w:t xml:space="preserve">indirect </w:t>
      </w:r>
      <w:r w:rsidR="00673D97" w:rsidRPr="00852E65">
        <w:t xml:space="preserve">comparison of: </w:t>
      </w:r>
    </w:p>
    <w:p w:rsidR="00673D97" w:rsidRPr="00852E65" w:rsidRDefault="00673D97" w:rsidP="00EC64C5">
      <w:pPr>
        <w:pStyle w:val="ListParagraph"/>
        <w:numPr>
          <w:ilvl w:val="2"/>
          <w:numId w:val="24"/>
        </w:numPr>
        <w:spacing w:before="0" w:after="120"/>
        <w:jc w:val="both"/>
      </w:pPr>
      <w:proofErr w:type="spellStart"/>
      <w:r w:rsidRPr="00852E65">
        <w:t>Pralatrexate</w:t>
      </w:r>
      <w:proofErr w:type="spellEnd"/>
      <w:r w:rsidRPr="00852E65">
        <w:t xml:space="preserve">: study PDX-008 </w:t>
      </w:r>
      <w:r w:rsidRPr="00302C27">
        <w:t>(N = 115);</w:t>
      </w:r>
      <w:r w:rsidRPr="00852E65">
        <w:t xml:space="preserve"> single-arm, open label</w:t>
      </w:r>
      <w:r w:rsidR="00AA7EAA" w:rsidRPr="00852E65">
        <w:t xml:space="preserve"> and</w:t>
      </w:r>
      <w:r w:rsidRPr="00852E65">
        <w:t xml:space="preserve"> </w:t>
      </w:r>
    </w:p>
    <w:p w:rsidR="00673D97" w:rsidRPr="00852E65" w:rsidRDefault="00673D97" w:rsidP="00EC64C5">
      <w:pPr>
        <w:pStyle w:val="ListParagraph"/>
        <w:numPr>
          <w:ilvl w:val="2"/>
          <w:numId w:val="24"/>
        </w:numPr>
        <w:spacing w:before="0" w:after="120"/>
        <w:jc w:val="both"/>
      </w:pPr>
      <w:r w:rsidRPr="00852E65">
        <w:t>Combined historical control cohort which consisted of patients from:</w:t>
      </w:r>
    </w:p>
    <w:p w:rsidR="00673D97" w:rsidRPr="00852E65" w:rsidRDefault="00673D97" w:rsidP="00EC64C5">
      <w:pPr>
        <w:pStyle w:val="ListParagraph"/>
        <w:numPr>
          <w:ilvl w:val="3"/>
          <w:numId w:val="24"/>
        </w:numPr>
        <w:spacing w:before="0" w:after="120"/>
        <w:ind w:hanging="310"/>
        <w:jc w:val="both"/>
      </w:pPr>
      <w:r w:rsidRPr="00852E65">
        <w:t xml:space="preserve">Four international lymphoma databases: Memorial Sloan-Kettering Cancer Centre, University of Nebraska Medical Centre, </w:t>
      </w:r>
      <w:proofErr w:type="spellStart"/>
      <w:r w:rsidRPr="00852E65">
        <w:t>Groupe</w:t>
      </w:r>
      <w:proofErr w:type="spellEnd"/>
      <w:r w:rsidRPr="00852E65">
        <w:t xml:space="preserve"> </w:t>
      </w:r>
      <w:proofErr w:type="spellStart"/>
      <w:r w:rsidRPr="00852E65">
        <w:t>d’Etude</w:t>
      </w:r>
      <w:proofErr w:type="spellEnd"/>
      <w:r w:rsidRPr="00852E65">
        <w:t xml:space="preserve"> des </w:t>
      </w:r>
      <w:proofErr w:type="spellStart"/>
      <w:r w:rsidRPr="00852E65">
        <w:t>Lymphomes</w:t>
      </w:r>
      <w:proofErr w:type="spellEnd"/>
      <w:r w:rsidRPr="00852E65">
        <w:t xml:space="preserve"> de </w:t>
      </w:r>
      <w:proofErr w:type="spellStart"/>
      <w:r w:rsidRPr="00852E65">
        <w:t>l’Adulte</w:t>
      </w:r>
      <w:proofErr w:type="spellEnd"/>
      <w:r w:rsidRPr="00852E65">
        <w:t xml:space="preserve"> and the Samsung Medical Centre (</w:t>
      </w:r>
      <w:r w:rsidRPr="002E492B">
        <w:t xml:space="preserve">N = </w:t>
      </w:r>
      <w:r w:rsidR="000F1D32">
        <w:rPr>
          <w:noProof/>
          <w:color w:val="000000"/>
          <w:highlight w:val="black"/>
        </w:rPr>
        <w:t>'''''''</w:t>
      </w:r>
      <w:r w:rsidRPr="00852E65">
        <w:t>)</w:t>
      </w:r>
      <w:r w:rsidR="003F33A5" w:rsidRPr="00852E65">
        <w:t>. These data were included in the previous submissions;</w:t>
      </w:r>
      <w:r w:rsidRPr="00852E65">
        <w:t xml:space="preserve"> and </w:t>
      </w:r>
    </w:p>
    <w:p w:rsidR="00673D97" w:rsidRPr="00852E65" w:rsidRDefault="00673D97" w:rsidP="00EC64C5">
      <w:pPr>
        <w:pStyle w:val="ListParagraph"/>
        <w:numPr>
          <w:ilvl w:val="3"/>
          <w:numId w:val="24"/>
        </w:numPr>
        <w:spacing w:before="0" w:after="120"/>
        <w:ind w:hanging="310"/>
        <w:jc w:val="both"/>
      </w:pPr>
      <w:r w:rsidRPr="00852E65">
        <w:t xml:space="preserve">One Australian database: Peter </w:t>
      </w:r>
      <w:proofErr w:type="spellStart"/>
      <w:r w:rsidRPr="00852E65">
        <w:t>MacCallum</w:t>
      </w:r>
      <w:proofErr w:type="spellEnd"/>
      <w:r w:rsidRPr="00852E65">
        <w:t xml:space="preserve"> Institute (</w:t>
      </w:r>
      <w:r w:rsidRPr="002E492B">
        <w:t>N</w:t>
      </w:r>
      <w:r w:rsidR="00AA7EAA" w:rsidRPr="002E492B">
        <w:t xml:space="preserve"> </w:t>
      </w:r>
      <w:r w:rsidRPr="002E492B">
        <w:t xml:space="preserve">= </w:t>
      </w:r>
      <w:r w:rsidR="000F1D32">
        <w:rPr>
          <w:noProof/>
          <w:color w:val="000000"/>
          <w:highlight w:val="black"/>
        </w:rPr>
        <w:t>'''''''</w:t>
      </w:r>
      <w:r w:rsidRPr="00852E65">
        <w:t>. Th</w:t>
      </w:r>
      <w:r w:rsidR="00EC0120" w:rsidRPr="00852E65">
        <w:t>e</w:t>
      </w:r>
      <w:r w:rsidRPr="00852E65">
        <w:t>s</w:t>
      </w:r>
      <w:r w:rsidR="00EC0120" w:rsidRPr="00852E65">
        <w:t>e</w:t>
      </w:r>
      <w:r w:rsidRPr="00852E65">
        <w:t xml:space="preserve"> data </w:t>
      </w:r>
      <w:r w:rsidR="00EC0120" w:rsidRPr="00852E65">
        <w:t xml:space="preserve">were </w:t>
      </w:r>
      <w:r w:rsidRPr="00852E65">
        <w:t xml:space="preserve">new to </w:t>
      </w:r>
      <w:r w:rsidR="00AC2AC4" w:rsidRPr="00852E65">
        <w:t xml:space="preserve">this </w:t>
      </w:r>
      <w:r w:rsidRPr="00852E65">
        <w:t>resubmission.</w:t>
      </w:r>
    </w:p>
    <w:p w:rsidR="00673D97" w:rsidRPr="00852E65" w:rsidRDefault="00673D97" w:rsidP="006B2D41">
      <w:pPr>
        <w:pStyle w:val="ListParagraph"/>
        <w:numPr>
          <w:ilvl w:val="1"/>
          <w:numId w:val="14"/>
        </w:numPr>
        <w:spacing w:before="0" w:after="120"/>
        <w:ind w:hanging="792"/>
        <w:jc w:val="both"/>
      </w:pPr>
      <w:r w:rsidRPr="00852E65">
        <w:t>The previous submissions u</w:t>
      </w:r>
      <w:r w:rsidR="009958EB" w:rsidRPr="00852E65">
        <w:t>tilised</w:t>
      </w:r>
      <w:r w:rsidRPr="00852E65">
        <w:t xml:space="preserve"> </w:t>
      </w:r>
      <w:r w:rsidR="009958EB" w:rsidRPr="00852E65">
        <w:t xml:space="preserve">PDX-008 and </w:t>
      </w:r>
      <w:r w:rsidR="00B7358F" w:rsidRPr="00852E65">
        <w:t xml:space="preserve">the international database </w:t>
      </w:r>
      <w:r w:rsidR="009958EB" w:rsidRPr="00852E65">
        <w:t xml:space="preserve">to obtain </w:t>
      </w:r>
      <w:r w:rsidRPr="00852E65">
        <w:t xml:space="preserve">a matched </w:t>
      </w:r>
      <w:r w:rsidR="009958EB" w:rsidRPr="00852E65">
        <w:t xml:space="preserve">patient </w:t>
      </w:r>
      <w:r w:rsidRPr="00852E65">
        <w:t xml:space="preserve">cohort </w:t>
      </w:r>
      <w:r w:rsidRPr="008347F4">
        <w:t>(n = 66 in each arm)</w:t>
      </w:r>
      <w:r w:rsidRPr="00852E65">
        <w:t xml:space="preserve"> for the comparison of </w:t>
      </w:r>
      <w:r w:rsidR="0071033C">
        <w:t>OS</w:t>
      </w:r>
      <w:r w:rsidRPr="00852E65">
        <w:t xml:space="preserve">. </w:t>
      </w:r>
      <w:r w:rsidR="009958EB" w:rsidRPr="00852E65">
        <w:t>The PBAC were concerned about the methodology used in the submission</w:t>
      </w:r>
      <w:r w:rsidR="004A490F" w:rsidRPr="00852E65">
        <w:t xml:space="preserve"> and that</w:t>
      </w:r>
      <w:r w:rsidR="009958EB" w:rsidRPr="00852E65">
        <w:t xml:space="preserve"> the submission presented the most optimistic clinical benefit f</w:t>
      </w:r>
      <w:r w:rsidR="00280010" w:rsidRPr="00852E65">
        <w:t>or</w:t>
      </w:r>
      <w:r w:rsidR="009958EB" w:rsidRPr="00852E65">
        <w:t xml:space="preserve"> a small sub-group of patients in the PDX-008 trial compared to the historical control cohort (paragraph 7.3, November 2015</w:t>
      </w:r>
      <w:r w:rsidR="00AD6EBD">
        <w:t>PSD</w:t>
      </w:r>
      <w:r w:rsidR="009958EB" w:rsidRPr="00852E65">
        <w:t xml:space="preserve">). </w:t>
      </w:r>
      <w:r w:rsidR="006F77C6" w:rsidRPr="00852E65">
        <w:t>It was likely that the matched population represent</w:t>
      </w:r>
      <w:r w:rsidR="005A155F" w:rsidRPr="00852E65">
        <w:t>ed</w:t>
      </w:r>
      <w:r w:rsidR="006F77C6" w:rsidRPr="00852E65">
        <w:t xml:space="preserve"> a </w:t>
      </w:r>
      <w:r w:rsidR="006F77C6" w:rsidRPr="00852E65">
        <w:lastRenderedPageBreak/>
        <w:t xml:space="preserve">healthier population than the overall efficacy evaluable population, biasing the hazard ratio in favour of </w:t>
      </w:r>
      <w:proofErr w:type="spellStart"/>
      <w:r w:rsidR="006F77C6" w:rsidRPr="00852E65">
        <w:t>pralatrexate</w:t>
      </w:r>
      <w:proofErr w:type="spellEnd"/>
      <w:r w:rsidR="006F77C6" w:rsidRPr="00852E65">
        <w:t xml:space="preserve"> (paragraph 6.11, November 2015 </w:t>
      </w:r>
      <w:r w:rsidR="00AD0C21">
        <w:t>PSD</w:t>
      </w:r>
      <w:r w:rsidR="006F77C6" w:rsidRPr="00852E65">
        <w:t>).</w:t>
      </w:r>
    </w:p>
    <w:p w:rsidR="00673D97" w:rsidRPr="00852E65" w:rsidRDefault="007A27DA" w:rsidP="006B2D41">
      <w:pPr>
        <w:pStyle w:val="ListParagraph"/>
        <w:numPr>
          <w:ilvl w:val="1"/>
          <w:numId w:val="14"/>
        </w:numPr>
        <w:spacing w:before="0" w:after="120"/>
        <w:ind w:hanging="792"/>
        <w:jc w:val="both"/>
      </w:pPr>
      <w:r w:rsidRPr="00852E65">
        <w:t>Th</w:t>
      </w:r>
      <w:r w:rsidR="003F33A5" w:rsidRPr="00852E65">
        <w:t>erefore, th</w:t>
      </w:r>
      <w:r w:rsidRPr="00852E65">
        <w:t>is</w:t>
      </w:r>
      <w:r w:rsidR="00673D97" w:rsidRPr="00852E65">
        <w:t xml:space="preserve"> resubmission used a comparative analysis set to analyse </w:t>
      </w:r>
      <w:r w:rsidR="0071033C">
        <w:t>OS</w:t>
      </w:r>
      <w:r w:rsidR="00673D97" w:rsidRPr="00852E65">
        <w:t>. This utilised all eligible patients from study PDX-008 (</w:t>
      </w:r>
      <w:r w:rsidR="00673D97" w:rsidRPr="008347F4">
        <w:t xml:space="preserve">n = </w:t>
      </w:r>
      <w:r w:rsidR="000F1D32">
        <w:rPr>
          <w:noProof/>
          <w:color w:val="000000"/>
          <w:highlight w:val="black"/>
        </w:rPr>
        <w:t>'''''''</w:t>
      </w:r>
      <w:r w:rsidR="003F33A5" w:rsidRPr="008347F4">
        <w:t>/115</w:t>
      </w:r>
      <w:r w:rsidR="00673D97" w:rsidRPr="00852E65">
        <w:t>), the four international databases (</w:t>
      </w:r>
      <w:r w:rsidR="00673D97" w:rsidRPr="008347F4">
        <w:t xml:space="preserve">n = </w:t>
      </w:r>
      <w:r w:rsidR="000F1D32">
        <w:rPr>
          <w:noProof/>
          <w:color w:val="000000"/>
          <w:highlight w:val="black"/>
        </w:rPr>
        <w:t>'''''''''''''''''</w:t>
      </w:r>
      <w:r w:rsidR="00673D97" w:rsidRPr="00852E65">
        <w:t>) and the addi</w:t>
      </w:r>
      <w:r w:rsidR="003D7678" w:rsidRPr="00852E65">
        <w:t>tional Australian database (n = </w:t>
      </w:r>
      <w:r w:rsidR="00673D97" w:rsidRPr="00852E65">
        <w:t>34</w:t>
      </w:r>
      <w:r w:rsidR="003F33A5" w:rsidRPr="00852E65">
        <w:t>/83</w:t>
      </w:r>
      <w:r w:rsidR="00673D97" w:rsidRPr="00852E65">
        <w:t xml:space="preserve">).  </w:t>
      </w:r>
      <w:r w:rsidR="003F33A5" w:rsidRPr="00852E65">
        <w:t>The eligibility criteria (see Table 5) were applied to patients to ensure that the characteristics of the patients were comparable and consistent with the proposed PBS restriction.</w:t>
      </w:r>
    </w:p>
    <w:p w:rsidR="00673D97" w:rsidRPr="00852E65" w:rsidRDefault="00673D97" w:rsidP="006B2D41">
      <w:pPr>
        <w:pStyle w:val="ListParagraph"/>
        <w:numPr>
          <w:ilvl w:val="1"/>
          <w:numId w:val="14"/>
        </w:numPr>
        <w:spacing w:before="0" w:after="120"/>
        <w:ind w:hanging="792"/>
        <w:jc w:val="both"/>
      </w:pPr>
      <w:r w:rsidRPr="00852E65">
        <w:t xml:space="preserve">Details of study PDX-008 and the historical control cohorts presented in the resubmission are provided in the table below.  </w:t>
      </w:r>
    </w:p>
    <w:p w:rsidR="007368CA" w:rsidRDefault="007368CA" w:rsidP="007368CA">
      <w:pPr>
        <w:pStyle w:val="Caption"/>
      </w:pPr>
      <w:r>
        <w:t xml:space="preserve">Table </w:t>
      </w:r>
      <w:r w:rsidR="007152C2">
        <w:rPr>
          <w:noProof/>
        </w:rPr>
        <w:t>3</w:t>
      </w:r>
      <w:r w:rsidRPr="00AE45A3">
        <w:t>: Key studies and associated reports presented in the July 2017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712"/>
        <w:gridCol w:w="1519"/>
      </w:tblGrid>
      <w:tr w:rsidR="00673D97" w:rsidRPr="00852E65" w:rsidTr="007250D7">
        <w:trPr>
          <w:cantSplit/>
          <w:trHeight w:val="179"/>
          <w:tblHeader/>
        </w:trPr>
        <w:tc>
          <w:tcPr>
            <w:tcW w:w="469" w:type="pct"/>
            <w:vAlign w:val="center"/>
          </w:tcPr>
          <w:p w:rsidR="00673D97" w:rsidRPr="00852E65" w:rsidRDefault="00673D97" w:rsidP="007D5AB9">
            <w:pPr>
              <w:pStyle w:val="TableText"/>
              <w:rPr>
                <w:b/>
              </w:rPr>
            </w:pPr>
            <w:r w:rsidRPr="00852E65">
              <w:rPr>
                <w:b/>
              </w:rPr>
              <w:t>Study ID</w:t>
            </w:r>
          </w:p>
        </w:tc>
        <w:tc>
          <w:tcPr>
            <w:tcW w:w="3695" w:type="pct"/>
            <w:vAlign w:val="center"/>
          </w:tcPr>
          <w:p w:rsidR="00673D97" w:rsidRPr="00852E65" w:rsidRDefault="00673D97" w:rsidP="007D5AB9">
            <w:pPr>
              <w:pStyle w:val="TableText"/>
              <w:rPr>
                <w:b/>
              </w:rPr>
            </w:pPr>
            <w:r w:rsidRPr="00852E65">
              <w:rPr>
                <w:b/>
              </w:rPr>
              <w:t>Protocol title/Publication title</w:t>
            </w:r>
          </w:p>
        </w:tc>
        <w:tc>
          <w:tcPr>
            <w:tcW w:w="836" w:type="pct"/>
            <w:vAlign w:val="center"/>
          </w:tcPr>
          <w:p w:rsidR="00673D97" w:rsidRPr="00852E65" w:rsidRDefault="00673D97" w:rsidP="007D5AB9">
            <w:pPr>
              <w:pStyle w:val="TableText"/>
              <w:rPr>
                <w:b/>
              </w:rPr>
            </w:pPr>
            <w:r w:rsidRPr="00852E65">
              <w:rPr>
                <w:b/>
              </w:rPr>
              <w:t>Publication citation</w:t>
            </w:r>
          </w:p>
        </w:tc>
      </w:tr>
      <w:tr w:rsidR="00673D97" w:rsidRPr="00852E65" w:rsidTr="007250D7">
        <w:trPr>
          <w:cantSplit/>
        </w:trPr>
        <w:tc>
          <w:tcPr>
            <w:tcW w:w="5000" w:type="pct"/>
            <w:gridSpan w:val="3"/>
            <w:vAlign w:val="center"/>
          </w:tcPr>
          <w:p w:rsidR="00673D97" w:rsidRPr="00852E65" w:rsidRDefault="00673D97" w:rsidP="007D5AB9">
            <w:pPr>
              <w:pStyle w:val="TableText"/>
              <w:rPr>
                <w:b/>
              </w:rPr>
            </w:pPr>
            <w:proofErr w:type="spellStart"/>
            <w:r w:rsidRPr="00852E65">
              <w:rPr>
                <w:b/>
              </w:rPr>
              <w:t>Pralatrexate</w:t>
            </w:r>
            <w:proofErr w:type="spellEnd"/>
            <w:r w:rsidRPr="00852E65">
              <w:rPr>
                <w:b/>
              </w:rPr>
              <w:t>: non-randomised studies</w:t>
            </w:r>
          </w:p>
        </w:tc>
      </w:tr>
      <w:tr w:rsidR="00673D97" w:rsidRPr="00852E65" w:rsidTr="007250D7">
        <w:trPr>
          <w:cantSplit/>
          <w:trHeight w:val="776"/>
        </w:trPr>
        <w:tc>
          <w:tcPr>
            <w:tcW w:w="469" w:type="pct"/>
            <w:vMerge w:val="restart"/>
          </w:tcPr>
          <w:p w:rsidR="00673D97" w:rsidRPr="00852E65" w:rsidRDefault="00673D97" w:rsidP="007D5AB9">
            <w:pPr>
              <w:pStyle w:val="TableText"/>
              <w:rPr>
                <w:b/>
              </w:rPr>
            </w:pPr>
            <w:r w:rsidRPr="00852E65">
              <w:rPr>
                <w:b/>
              </w:rPr>
              <w:t>PDX-008</w:t>
            </w:r>
          </w:p>
        </w:tc>
        <w:tc>
          <w:tcPr>
            <w:tcW w:w="3695" w:type="pct"/>
          </w:tcPr>
          <w:p w:rsidR="00673D97" w:rsidRPr="00852E65" w:rsidRDefault="00673D97" w:rsidP="007D5AB9">
            <w:pPr>
              <w:pStyle w:val="TableText"/>
            </w:pPr>
            <w:proofErr w:type="spellStart"/>
            <w:r w:rsidRPr="00852E65">
              <w:t>Allos</w:t>
            </w:r>
            <w:proofErr w:type="spellEnd"/>
            <w:r w:rsidRPr="00852E65">
              <w:t xml:space="preserve"> Therapeutics PDX-008: A Multi-</w:t>
            </w:r>
            <w:proofErr w:type="spellStart"/>
            <w:r w:rsidRPr="00852E65">
              <w:t>center</w:t>
            </w:r>
            <w:proofErr w:type="spellEnd"/>
            <w:r w:rsidRPr="00852E65">
              <w:t>, Phase 2, Open-label Study of (RS)-10-Propargyl-10-Deazaaminopterin (</w:t>
            </w:r>
            <w:proofErr w:type="spellStart"/>
            <w:r w:rsidRPr="00852E65">
              <w:t>Pralatrexate</w:t>
            </w:r>
            <w:proofErr w:type="spellEnd"/>
            <w:r w:rsidRPr="00852E65">
              <w:t xml:space="preserve">) with Vitamin B12 and Folic Acid Supplementation in Patients with Relapsed or Refractory Peripheral T-cell Lymphoma. </w:t>
            </w:r>
          </w:p>
        </w:tc>
        <w:tc>
          <w:tcPr>
            <w:tcW w:w="836" w:type="pct"/>
          </w:tcPr>
          <w:p w:rsidR="00673D97" w:rsidRPr="00852E65" w:rsidRDefault="00673D97" w:rsidP="007D5AB9">
            <w:pPr>
              <w:pStyle w:val="TableText"/>
            </w:pPr>
            <w:r w:rsidRPr="00852E65">
              <w:t>29 April 2010</w:t>
            </w:r>
          </w:p>
          <w:p w:rsidR="00673D97" w:rsidRPr="00852E65" w:rsidRDefault="00673D97" w:rsidP="007D5AB9">
            <w:pPr>
              <w:pStyle w:val="TableText"/>
            </w:pPr>
            <w:r w:rsidRPr="00852E65">
              <w:t>CSR</w:t>
            </w:r>
          </w:p>
        </w:tc>
      </w:tr>
      <w:tr w:rsidR="00673D97" w:rsidRPr="00852E65" w:rsidTr="007250D7">
        <w:trPr>
          <w:cantSplit/>
          <w:trHeight w:val="945"/>
        </w:trPr>
        <w:tc>
          <w:tcPr>
            <w:tcW w:w="469" w:type="pct"/>
            <w:vMerge/>
            <w:vAlign w:val="center"/>
          </w:tcPr>
          <w:p w:rsidR="00673D97" w:rsidRPr="00852E65" w:rsidRDefault="00673D97" w:rsidP="007D5AB9">
            <w:pPr>
              <w:pStyle w:val="TableText"/>
              <w:jc w:val="center"/>
              <w:rPr>
                <w:b/>
              </w:rPr>
            </w:pPr>
          </w:p>
        </w:tc>
        <w:tc>
          <w:tcPr>
            <w:tcW w:w="3695" w:type="pct"/>
          </w:tcPr>
          <w:p w:rsidR="00673D97" w:rsidRPr="00852E65" w:rsidRDefault="00673D97" w:rsidP="007D5AB9">
            <w:pPr>
              <w:pStyle w:val="TableText"/>
            </w:pPr>
            <w:r w:rsidRPr="00852E65">
              <w:t xml:space="preserve">O'Connor OA, Pro B, Pinter-Brown L, Bartlett N, </w:t>
            </w:r>
            <w:proofErr w:type="spellStart"/>
            <w:r w:rsidRPr="00852E65">
              <w:t>Popplewell</w:t>
            </w:r>
            <w:proofErr w:type="spellEnd"/>
            <w:r w:rsidRPr="00852E65">
              <w:t xml:space="preserve"> L, </w:t>
            </w:r>
            <w:proofErr w:type="spellStart"/>
            <w:r w:rsidRPr="00852E65">
              <w:t>Coiffier</w:t>
            </w:r>
            <w:proofErr w:type="spellEnd"/>
            <w:r w:rsidRPr="00852E65">
              <w:t xml:space="preserve"> B, </w:t>
            </w:r>
            <w:proofErr w:type="spellStart"/>
            <w:r w:rsidRPr="00852E65">
              <w:t>Lechowicz</w:t>
            </w:r>
            <w:proofErr w:type="spellEnd"/>
            <w:r w:rsidRPr="00852E65">
              <w:t xml:space="preserve"> MJ, Savage KJ, </w:t>
            </w:r>
            <w:proofErr w:type="spellStart"/>
            <w:r w:rsidRPr="00852E65">
              <w:t>Shustov</w:t>
            </w:r>
            <w:proofErr w:type="spellEnd"/>
            <w:r w:rsidRPr="00852E65">
              <w:t xml:space="preserve"> AR, </w:t>
            </w:r>
            <w:proofErr w:type="spellStart"/>
            <w:r w:rsidRPr="00852E65">
              <w:t>Gisselbrecht</w:t>
            </w:r>
            <w:proofErr w:type="spellEnd"/>
            <w:r w:rsidRPr="00852E65">
              <w:t xml:space="preserve"> C, Jacobsen E, </w:t>
            </w:r>
            <w:proofErr w:type="spellStart"/>
            <w:r w:rsidRPr="00852E65">
              <w:t>Zinzani</w:t>
            </w:r>
            <w:proofErr w:type="spellEnd"/>
            <w:r w:rsidRPr="00852E65">
              <w:t xml:space="preserve"> PL, Furman R, Goy A, </w:t>
            </w:r>
            <w:proofErr w:type="spellStart"/>
            <w:r w:rsidRPr="00852E65">
              <w:t>Haioun</w:t>
            </w:r>
            <w:proofErr w:type="spellEnd"/>
            <w:r w:rsidRPr="00852E65">
              <w:t xml:space="preserve"> C, Crump M, Zain JM, His E, Boyd A, Horwitz S. </w:t>
            </w:r>
            <w:proofErr w:type="spellStart"/>
            <w:r w:rsidRPr="00852E65">
              <w:t>Pralatrexate</w:t>
            </w:r>
            <w:proofErr w:type="spellEnd"/>
            <w:r w:rsidRPr="00852E65">
              <w:t xml:space="preserve"> in patients with relapsed or refractory peripheral T-cell lymphoma: results from the pivotal PROPEL study.</w:t>
            </w:r>
          </w:p>
        </w:tc>
        <w:tc>
          <w:tcPr>
            <w:tcW w:w="836" w:type="pct"/>
          </w:tcPr>
          <w:p w:rsidR="00673D97" w:rsidRPr="00852E65" w:rsidRDefault="00673D97" w:rsidP="007D5AB9">
            <w:pPr>
              <w:pStyle w:val="TableText"/>
            </w:pPr>
            <w:r w:rsidRPr="00852E65">
              <w:t>2011</w:t>
            </w:r>
          </w:p>
          <w:p w:rsidR="00673D97" w:rsidRPr="00852E65" w:rsidRDefault="00673D97" w:rsidP="007D5AB9">
            <w:pPr>
              <w:pStyle w:val="TableText"/>
            </w:pPr>
            <w:r w:rsidRPr="00852E65">
              <w:t xml:space="preserve">J </w:t>
            </w:r>
            <w:proofErr w:type="spellStart"/>
            <w:r w:rsidRPr="00852E65">
              <w:t>Clin</w:t>
            </w:r>
            <w:proofErr w:type="spellEnd"/>
            <w:r w:rsidRPr="00852E65">
              <w:t xml:space="preserve"> </w:t>
            </w:r>
            <w:proofErr w:type="spellStart"/>
            <w:r w:rsidRPr="00852E65">
              <w:t>Oncol</w:t>
            </w:r>
            <w:proofErr w:type="spellEnd"/>
            <w:r w:rsidRPr="00852E65">
              <w:t>. 29(9): 1182-11</w:t>
            </w:r>
            <w:r w:rsidR="00D64200" w:rsidRPr="00852E65">
              <w:t>89</w:t>
            </w:r>
          </w:p>
        </w:tc>
      </w:tr>
      <w:tr w:rsidR="00673D97" w:rsidRPr="00852E65" w:rsidTr="007250D7">
        <w:trPr>
          <w:cantSplit/>
          <w:trHeight w:val="696"/>
        </w:trPr>
        <w:tc>
          <w:tcPr>
            <w:tcW w:w="469" w:type="pct"/>
            <w:vMerge/>
          </w:tcPr>
          <w:p w:rsidR="00673D97" w:rsidRPr="00852E65" w:rsidRDefault="00673D97" w:rsidP="007D5AB9">
            <w:pPr>
              <w:pStyle w:val="TableText"/>
              <w:rPr>
                <w:b/>
              </w:rPr>
            </w:pPr>
          </w:p>
        </w:tc>
        <w:tc>
          <w:tcPr>
            <w:tcW w:w="3695" w:type="pct"/>
          </w:tcPr>
          <w:p w:rsidR="00673D97" w:rsidRPr="00852E65" w:rsidRDefault="00673D97" w:rsidP="007D5AB9">
            <w:pPr>
              <w:pStyle w:val="TableText"/>
            </w:pPr>
            <w:r w:rsidRPr="00852E65">
              <w:t xml:space="preserve">O'Connor O, </w:t>
            </w:r>
            <w:proofErr w:type="spellStart"/>
            <w:r w:rsidRPr="00852E65">
              <w:t>Zinzani</w:t>
            </w:r>
            <w:proofErr w:type="spellEnd"/>
            <w:r w:rsidRPr="00852E65">
              <w:t xml:space="preserve"> PL, </w:t>
            </w:r>
            <w:proofErr w:type="spellStart"/>
            <w:r w:rsidRPr="00852E65">
              <w:t>Koutsoukos</w:t>
            </w:r>
            <w:proofErr w:type="spellEnd"/>
            <w:r w:rsidRPr="00852E65">
              <w:t xml:space="preserve"> T, </w:t>
            </w:r>
            <w:proofErr w:type="spellStart"/>
            <w:r w:rsidRPr="00852E65">
              <w:t>Coiffier</w:t>
            </w:r>
            <w:proofErr w:type="spellEnd"/>
            <w:r w:rsidRPr="00852E65">
              <w:t xml:space="preserve"> B. </w:t>
            </w:r>
            <w:proofErr w:type="spellStart"/>
            <w:r w:rsidRPr="00852E65">
              <w:t>Pralatrexate</w:t>
            </w:r>
            <w:proofErr w:type="spellEnd"/>
            <w:r w:rsidRPr="00852E65">
              <w:t xml:space="preserve"> reverses the trend in progressive resistance with successive chemotherapy regimens in the treatment of relapsed or refractory peripheral t-cell lymphoma (PTCL).</w:t>
            </w:r>
          </w:p>
        </w:tc>
        <w:tc>
          <w:tcPr>
            <w:tcW w:w="836" w:type="pct"/>
          </w:tcPr>
          <w:p w:rsidR="00673D97" w:rsidRPr="00852E65" w:rsidRDefault="00673D97" w:rsidP="007D5AB9">
            <w:pPr>
              <w:pStyle w:val="TableText"/>
            </w:pPr>
            <w:r w:rsidRPr="00852E65">
              <w:t>2011</w:t>
            </w:r>
          </w:p>
          <w:p w:rsidR="00673D97" w:rsidRPr="00852E65" w:rsidRDefault="00673D97" w:rsidP="007D5AB9">
            <w:pPr>
              <w:pStyle w:val="TableText"/>
            </w:pPr>
            <w:proofErr w:type="spellStart"/>
            <w:r w:rsidRPr="00852E65">
              <w:t>Haematologica</w:t>
            </w:r>
            <w:proofErr w:type="spellEnd"/>
            <w:r w:rsidRPr="00852E65">
              <w:t>. 96: 151-152</w:t>
            </w:r>
          </w:p>
        </w:tc>
      </w:tr>
      <w:tr w:rsidR="00673D97" w:rsidRPr="00852E65" w:rsidTr="007250D7">
        <w:trPr>
          <w:cantSplit/>
          <w:trHeight w:val="732"/>
        </w:trPr>
        <w:tc>
          <w:tcPr>
            <w:tcW w:w="469" w:type="pct"/>
            <w:vMerge/>
          </w:tcPr>
          <w:p w:rsidR="00673D97" w:rsidRPr="00852E65" w:rsidRDefault="00673D97" w:rsidP="007D5AB9">
            <w:pPr>
              <w:pStyle w:val="TableText"/>
              <w:rPr>
                <w:b/>
              </w:rPr>
            </w:pPr>
          </w:p>
        </w:tc>
        <w:tc>
          <w:tcPr>
            <w:tcW w:w="3695" w:type="pct"/>
          </w:tcPr>
          <w:p w:rsidR="00673D97" w:rsidRPr="00852E65" w:rsidRDefault="00673D97" w:rsidP="007D5AB9">
            <w:pPr>
              <w:pStyle w:val="TableText"/>
            </w:pPr>
            <w:r w:rsidRPr="00852E65">
              <w:t xml:space="preserve">Foss FM, Horwitz SM, Pinter-Brown L, Goy A, Pro B, </w:t>
            </w:r>
            <w:proofErr w:type="spellStart"/>
            <w:r w:rsidRPr="00852E65">
              <w:t>Coiffier</w:t>
            </w:r>
            <w:proofErr w:type="spellEnd"/>
            <w:r w:rsidRPr="00852E65">
              <w:t xml:space="preserve"> B, </w:t>
            </w:r>
            <w:proofErr w:type="spellStart"/>
            <w:r w:rsidRPr="00852E65">
              <w:t>Popplewell</w:t>
            </w:r>
            <w:proofErr w:type="spellEnd"/>
            <w:r w:rsidRPr="00852E65">
              <w:t xml:space="preserve"> L, Savage KJ, </w:t>
            </w:r>
            <w:proofErr w:type="spellStart"/>
            <w:r w:rsidRPr="00852E65">
              <w:t>Shustov</w:t>
            </w:r>
            <w:proofErr w:type="spellEnd"/>
            <w:r w:rsidRPr="00852E65">
              <w:t xml:space="preserve"> A, Zain JM, </w:t>
            </w:r>
            <w:proofErr w:type="spellStart"/>
            <w:r w:rsidRPr="00852E65">
              <w:t>Koutsoukos</w:t>
            </w:r>
            <w:proofErr w:type="spellEnd"/>
            <w:r w:rsidRPr="00852E65">
              <w:t xml:space="preserve"> T, </w:t>
            </w:r>
            <w:proofErr w:type="spellStart"/>
            <w:r w:rsidRPr="00852E65">
              <w:t>Fruchtman</w:t>
            </w:r>
            <w:proofErr w:type="spellEnd"/>
            <w:r w:rsidRPr="00852E65">
              <w:t xml:space="preserve"> SM, O'Connor OA. </w:t>
            </w:r>
            <w:proofErr w:type="spellStart"/>
            <w:r w:rsidRPr="00852E65">
              <w:t>Pralatrexate</w:t>
            </w:r>
            <w:proofErr w:type="spellEnd"/>
            <w:r w:rsidRPr="00852E65">
              <w:t xml:space="preserve"> is an effective treatment for heavily </w:t>
            </w:r>
            <w:r w:rsidR="005C26CE" w:rsidRPr="00852E65">
              <w:t>pre-treated</w:t>
            </w:r>
            <w:r w:rsidRPr="00852E65">
              <w:t xml:space="preserve"> patients with relapsed/refractory transformed mycosis </w:t>
            </w:r>
            <w:proofErr w:type="spellStart"/>
            <w:r w:rsidRPr="00852E65">
              <w:t>fungoides</w:t>
            </w:r>
            <w:proofErr w:type="spellEnd"/>
            <w:r w:rsidRPr="00852E65">
              <w:t xml:space="preserve"> (TMF).</w:t>
            </w:r>
          </w:p>
        </w:tc>
        <w:tc>
          <w:tcPr>
            <w:tcW w:w="836" w:type="pct"/>
          </w:tcPr>
          <w:p w:rsidR="00673D97" w:rsidRPr="00852E65" w:rsidRDefault="00673D97" w:rsidP="007D5AB9">
            <w:pPr>
              <w:pStyle w:val="TableText"/>
            </w:pPr>
            <w:r w:rsidRPr="00852E65">
              <w:t>2010</w:t>
            </w:r>
          </w:p>
          <w:p w:rsidR="00673D97" w:rsidRPr="00852E65" w:rsidRDefault="00673D97" w:rsidP="007D5AB9">
            <w:pPr>
              <w:pStyle w:val="TableText"/>
            </w:pPr>
            <w:r w:rsidRPr="00852E65">
              <w:t>Blood. 116 (21)</w:t>
            </w:r>
          </w:p>
        </w:tc>
      </w:tr>
      <w:tr w:rsidR="00673D97" w:rsidRPr="00852E65" w:rsidTr="007250D7">
        <w:trPr>
          <w:cantSplit/>
          <w:trHeight w:val="860"/>
        </w:trPr>
        <w:tc>
          <w:tcPr>
            <w:tcW w:w="469" w:type="pct"/>
            <w:vMerge/>
          </w:tcPr>
          <w:p w:rsidR="00673D97" w:rsidRPr="00852E65" w:rsidRDefault="00673D97" w:rsidP="007D5AB9">
            <w:pPr>
              <w:pStyle w:val="TableText"/>
              <w:rPr>
                <w:b/>
              </w:rPr>
            </w:pPr>
          </w:p>
        </w:tc>
        <w:tc>
          <w:tcPr>
            <w:tcW w:w="3695" w:type="pct"/>
          </w:tcPr>
          <w:p w:rsidR="00673D97" w:rsidRPr="00852E65" w:rsidRDefault="00673D97" w:rsidP="007D5AB9">
            <w:pPr>
              <w:pStyle w:val="TableText"/>
            </w:pPr>
            <w:r w:rsidRPr="00852E65">
              <w:t xml:space="preserve">Foss F, Horwitz SM, </w:t>
            </w:r>
            <w:proofErr w:type="spellStart"/>
            <w:r w:rsidRPr="00852E65">
              <w:t>Coiffier</w:t>
            </w:r>
            <w:proofErr w:type="spellEnd"/>
            <w:r w:rsidRPr="00852E65">
              <w:t xml:space="preserve"> B, Bartlett N, </w:t>
            </w:r>
            <w:proofErr w:type="spellStart"/>
            <w:r w:rsidRPr="00852E65">
              <w:t>Popplewell</w:t>
            </w:r>
            <w:proofErr w:type="spellEnd"/>
            <w:r w:rsidRPr="00852E65">
              <w:t xml:space="preserve"> L, Pro B, Pinter-Brown LC, </w:t>
            </w:r>
            <w:proofErr w:type="spellStart"/>
            <w:r w:rsidRPr="00852E65">
              <w:t>Shustov</w:t>
            </w:r>
            <w:proofErr w:type="spellEnd"/>
            <w:r w:rsidRPr="00852E65">
              <w:t xml:space="preserve"> A, Furman RR, </w:t>
            </w:r>
            <w:proofErr w:type="spellStart"/>
            <w:r w:rsidRPr="00852E65">
              <w:t>Haioun</w:t>
            </w:r>
            <w:proofErr w:type="spellEnd"/>
            <w:r w:rsidRPr="00852E65">
              <w:t xml:space="preserve"> C, </w:t>
            </w:r>
            <w:proofErr w:type="spellStart"/>
            <w:r w:rsidRPr="00852E65">
              <w:t>Koutsoukos</w:t>
            </w:r>
            <w:proofErr w:type="spellEnd"/>
            <w:r w:rsidRPr="00852E65">
              <w:t xml:space="preserve"> T, O'Connor OA. </w:t>
            </w:r>
            <w:proofErr w:type="spellStart"/>
            <w:r w:rsidRPr="00852E65">
              <w:t>Pralatrexate</w:t>
            </w:r>
            <w:proofErr w:type="spellEnd"/>
            <w:r w:rsidRPr="00852E65">
              <w:t xml:space="preserve"> is an effective treatment for relapsed or refractory transformed mycosis </w:t>
            </w:r>
            <w:proofErr w:type="spellStart"/>
            <w:r w:rsidRPr="00852E65">
              <w:t>fungoides</w:t>
            </w:r>
            <w:proofErr w:type="spellEnd"/>
            <w:r w:rsidRPr="00852E65">
              <w:t>: a subgroup efficacy analysis from the PROPEL study.</w:t>
            </w:r>
          </w:p>
        </w:tc>
        <w:tc>
          <w:tcPr>
            <w:tcW w:w="836" w:type="pct"/>
          </w:tcPr>
          <w:p w:rsidR="00673D97" w:rsidRPr="00852E65" w:rsidRDefault="00673D97" w:rsidP="007D5AB9">
            <w:pPr>
              <w:pStyle w:val="TableText"/>
            </w:pPr>
            <w:r w:rsidRPr="00852E65">
              <w:t>2012</w:t>
            </w:r>
          </w:p>
          <w:p w:rsidR="00673D97" w:rsidRPr="00852E65" w:rsidRDefault="00673D97" w:rsidP="007D5AB9">
            <w:pPr>
              <w:pStyle w:val="TableText"/>
            </w:pPr>
            <w:proofErr w:type="spellStart"/>
            <w:r w:rsidRPr="00852E65">
              <w:t>Clin</w:t>
            </w:r>
            <w:proofErr w:type="spellEnd"/>
            <w:r w:rsidRPr="00852E65">
              <w:t xml:space="preserve"> Lymphoma Myeloma </w:t>
            </w:r>
            <w:proofErr w:type="spellStart"/>
            <w:r w:rsidRPr="00852E65">
              <w:t>Leuk</w:t>
            </w:r>
            <w:proofErr w:type="spellEnd"/>
            <w:r w:rsidRPr="00852E65">
              <w:t>. 12(4): 238-243</w:t>
            </w:r>
          </w:p>
        </w:tc>
      </w:tr>
      <w:tr w:rsidR="00673D97" w:rsidRPr="00852E65" w:rsidTr="007250D7">
        <w:trPr>
          <w:cantSplit/>
          <w:trHeight w:val="804"/>
        </w:trPr>
        <w:tc>
          <w:tcPr>
            <w:tcW w:w="469" w:type="pct"/>
            <w:vMerge/>
          </w:tcPr>
          <w:p w:rsidR="00673D97" w:rsidRPr="00852E65" w:rsidRDefault="00673D97" w:rsidP="007D5AB9">
            <w:pPr>
              <w:pStyle w:val="TableText"/>
              <w:rPr>
                <w:b/>
              </w:rPr>
            </w:pPr>
          </w:p>
        </w:tc>
        <w:tc>
          <w:tcPr>
            <w:tcW w:w="3695" w:type="pct"/>
          </w:tcPr>
          <w:p w:rsidR="00673D97" w:rsidRPr="00852E65" w:rsidRDefault="00673D97" w:rsidP="007D5AB9">
            <w:pPr>
              <w:pStyle w:val="TableText"/>
            </w:pPr>
            <w:r w:rsidRPr="00852E65">
              <w:t xml:space="preserve">Goy A, Pro B, Savage KJ, Bartlett NL, </w:t>
            </w:r>
            <w:proofErr w:type="spellStart"/>
            <w:r w:rsidRPr="00852E65">
              <w:t>Lechowicz</w:t>
            </w:r>
            <w:proofErr w:type="spellEnd"/>
            <w:r w:rsidRPr="00852E65">
              <w:t xml:space="preserve"> MJ, Jacobsen ED, Young F, Crump M, </w:t>
            </w:r>
            <w:proofErr w:type="spellStart"/>
            <w:r w:rsidRPr="00852E65">
              <w:t>Borghaei</w:t>
            </w:r>
            <w:proofErr w:type="spellEnd"/>
            <w:r w:rsidRPr="00852E65">
              <w:t xml:space="preserve"> H, Link B, </w:t>
            </w:r>
            <w:proofErr w:type="spellStart"/>
            <w:r w:rsidRPr="00852E65">
              <w:t>Fruchtman</w:t>
            </w:r>
            <w:proofErr w:type="spellEnd"/>
            <w:r w:rsidRPr="00852E65">
              <w:t xml:space="preserve"> SM, O'Connor OA. </w:t>
            </w:r>
            <w:proofErr w:type="spellStart"/>
            <w:r w:rsidRPr="00852E65">
              <w:t>Pralatrexate</w:t>
            </w:r>
            <w:proofErr w:type="spellEnd"/>
            <w:r w:rsidRPr="00852E65">
              <w:t xml:space="preserve"> is effective in patients with relapsed or refractory peripheral T-cell lymphoma (PTCL) with prior </w:t>
            </w:r>
            <w:proofErr w:type="spellStart"/>
            <w:r w:rsidRPr="00852E65">
              <w:t>ifosfamide</w:t>
            </w:r>
            <w:proofErr w:type="spellEnd"/>
            <w:r w:rsidRPr="00852E65">
              <w:t>, carboplatin, and etoposide (ICE)-based regimens.</w:t>
            </w:r>
          </w:p>
        </w:tc>
        <w:tc>
          <w:tcPr>
            <w:tcW w:w="836" w:type="pct"/>
          </w:tcPr>
          <w:p w:rsidR="00673D97" w:rsidRPr="00852E65" w:rsidRDefault="00673D97" w:rsidP="007D5AB9">
            <w:pPr>
              <w:pStyle w:val="TableText"/>
            </w:pPr>
            <w:r w:rsidRPr="00852E65">
              <w:t>2010</w:t>
            </w:r>
          </w:p>
          <w:p w:rsidR="00673D97" w:rsidRPr="00852E65" w:rsidRDefault="00673D97" w:rsidP="007D5AB9">
            <w:pPr>
              <w:pStyle w:val="TableText"/>
            </w:pPr>
            <w:r w:rsidRPr="00852E65">
              <w:t>Blood. 116 (21)</w:t>
            </w:r>
          </w:p>
        </w:tc>
      </w:tr>
      <w:tr w:rsidR="00673D97" w:rsidRPr="00852E65" w:rsidTr="007250D7">
        <w:trPr>
          <w:cantSplit/>
        </w:trPr>
        <w:tc>
          <w:tcPr>
            <w:tcW w:w="5000" w:type="pct"/>
            <w:gridSpan w:val="3"/>
            <w:vAlign w:val="center"/>
          </w:tcPr>
          <w:p w:rsidR="00673D97" w:rsidRPr="00852E65" w:rsidRDefault="00673D97" w:rsidP="007D5AB9">
            <w:pPr>
              <w:pStyle w:val="TableText"/>
              <w:keepNext w:val="0"/>
              <w:rPr>
                <w:b/>
              </w:rPr>
            </w:pPr>
            <w:r w:rsidRPr="00852E65">
              <w:rPr>
                <w:b/>
              </w:rPr>
              <w:t>Comparator treatments</w:t>
            </w:r>
          </w:p>
        </w:tc>
      </w:tr>
      <w:tr w:rsidR="00673D97" w:rsidRPr="00852E65" w:rsidTr="007250D7">
        <w:trPr>
          <w:cantSplit/>
        </w:trPr>
        <w:tc>
          <w:tcPr>
            <w:tcW w:w="469"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pStyle w:val="TableText"/>
              <w:keepNext w:val="0"/>
              <w:rPr>
                <w:b/>
              </w:rPr>
            </w:pPr>
            <w:r w:rsidRPr="00852E65">
              <w:rPr>
                <w:rFonts w:cs="Arial"/>
                <w:b/>
                <w:lang w:eastAsia="en-AU"/>
              </w:rPr>
              <w:t xml:space="preserve">Historical control </w:t>
            </w:r>
          </w:p>
        </w:tc>
        <w:tc>
          <w:tcPr>
            <w:tcW w:w="3695"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pStyle w:val="TableText"/>
              <w:keepNext w:val="0"/>
            </w:pPr>
            <w:r w:rsidRPr="00852E65">
              <w:t xml:space="preserve">Individual patient data </w:t>
            </w:r>
          </w:p>
          <w:p w:rsidR="00673D97" w:rsidRPr="00852E65" w:rsidRDefault="00673D97" w:rsidP="007D5AB9">
            <w:pPr>
              <w:pStyle w:val="TableText"/>
              <w:keepNext w:val="0"/>
            </w:pPr>
            <w:r w:rsidRPr="00852E65">
              <w:t>4 overseas databases (combined)</w:t>
            </w:r>
          </w:p>
          <w:p w:rsidR="00673D97" w:rsidRPr="00852E65" w:rsidRDefault="00673D97" w:rsidP="007D5AB9">
            <w:pPr>
              <w:pStyle w:val="TableText"/>
              <w:keepNext w:val="0"/>
            </w:pPr>
            <w:r w:rsidRPr="00852E65">
              <w:t>1980-2011</w:t>
            </w:r>
          </w:p>
        </w:tc>
        <w:tc>
          <w:tcPr>
            <w:tcW w:w="836"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pStyle w:val="TableText"/>
              <w:keepNext w:val="0"/>
            </w:pPr>
            <w:r w:rsidRPr="00852E65">
              <w:t>August 2013</w:t>
            </w:r>
          </w:p>
          <w:p w:rsidR="00673D97" w:rsidRPr="00852E65" w:rsidRDefault="00673D97" w:rsidP="007D5AB9">
            <w:pPr>
              <w:pStyle w:val="TableText"/>
              <w:keepNext w:val="0"/>
            </w:pPr>
            <w:proofErr w:type="spellStart"/>
            <w:r w:rsidRPr="00852E65">
              <w:t>Allos</w:t>
            </w:r>
            <w:proofErr w:type="spellEnd"/>
            <w:r w:rsidRPr="00852E65">
              <w:t xml:space="preserve"> Therapeutics Ltd. Historical Controls Data Report.</w:t>
            </w:r>
          </w:p>
        </w:tc>
      </w:tr>
      <w:tr w:rsidR="00673D97" w:rsidRPr="00852E65" w:rsidTr="007250D7">
        <w:trPr>
          <w:cantSplit/>
        </w:trPr>
        <w:tc>
          <w:tcPr>
            <w:tcW w:w="469"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pStyle w:val="TableText"/>
              <w:keepNext w:val="0"/>
              <w:rPr>
                <w:rFonts w:cs="Arial"/>
                <w:b/>
                <w:lang w:eastAsia="en-AU"/>
              </w:rPr>
            </w:pPr>
            <w:r w:rsidRPr="00852E65">
              <w:rPr>
                <w:rFonts w:cs="Arial"/>
                <w:b/>
                <w:lang w:eastAsia="en-AU"/>
              </w:rPr>
              <w:t>Historical control</w:t>
            </w:r>
          </w:p>
        </w:tc>
        <w:tc>
          <w:tcPr>
            <w:tcW w:w="3695"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pStyle w:val="TableText"/>
              <w:keepNext w:val="0"/>
            </w:pPr>
            <w:r w:rsidRPr="00852E65">
              <w:t>Individual patient data – patients with relapsed or refractory PTCL</w:t>
            </w:r>
          </w:p>
          <w:p w:rsidR="00673D97" w:rsidRPr="00852E65" w:rsidRDefault="00673D97" w:rsidP="007D5AB9">
            <w:pPr>
              <w:pStyle w:val="TableText"/>
              <w:keepNext w:val="0"/>
            </w:pPr>
            <w:r w:rsidRPr="00852E65">
              <w:t xml:space="preserve">Australia </w:t>
            </w:r>
          </w:p>
          <w:p w:rsidR="00673D97" w:rsidRPr="00852E65" w:rsidRDefault="00673D97" w:rsidP="007D5AB9">
            <w:pPr>
              <w:pStyle w:val="TableText"/>
              <w:keepNext w:val="0"/>
            </w:pPr>
            <w:r w:rsidRPr="00852E65">
              <w:t>1989-2015</w:t>
            </w:r>
          </w:p>
        </w:tc>
        <w:tc>
          <w:tcPr>
            <w:tcW w:w="836"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pStyle w:val="TableText"/>
              <w:keepNext w:val="0"/>
            </w:pPr>
            <w:r w:rsidRPr="00852E65">
              <w:t>2015</w:t>
            </w:r>
          </w:p>
          <w:p w:rsidR="00673D97" w:rsidRPr="00852E65" w:rsidRDefault="00673D97" w:rsidP="007D5AB9">
            <w:pPr>
              <w:pStyle w:val="TableText"/>
              <w:keepNext w:val="0"/>
            </w:pPr>
            <w:r w:rsidRPr="00852E65">
              <w:t xml:space="preserve">Peter </w:t>
            </w:r>
            <w:proofErr w:type="spellStart"/>
            <w:r w:rsidRPr="00852E65">
              <w:t>MacCallum</w:t>
            </w:r>
            <w:proofErr w:type="spellEnd"/>
            <w:r w:rsidRPr="00852E65">
              <w:t xml:space="preserve"> Cancer Institute </w:t>
            </w:r>
          </w:p>
        </w:tc>
      </w:tr>
    </w:tbl>
    <w:p w:rsidR="00673D97" w:rsidRPr="00852E65" w:rsidRDefault="00673D97" w:rsidP="007D5AB9">
      <w:pPr>
        <w:pStyle w:val="TableFooter"/>
        <w:widowControl/>
      </w:pPr>
      <w:r w:rsidRPr="00852E65">
        <w:t>Source: Table 2.4, pp 2-19 to 2-20; Table 2.15, p 2-48 of the resubmission</w:t>
      </w:r>
    </w:p>
    <w:p w:rsidR="00673D97" w:rsidRPr="00852E65" w:rsidRDefault="00673D97" w:rsidP="007D5AB9">
      <w:pPr>
        <w:pStyle w:val="TableFooter"/>
        <w:widowControl/>
      </w:pPr>
      <w:r w:rsidRPr="00852E65">
        <w:lastRenderedPageBreak/>
        <w:t xml:space="preserve">CSR = clinical study report; Nov 15; </w:t>
      </w:r>
      <w:r w:rsidR="00C86858" w:rsidRPr="00852E65">
        <w:t>ICE</w:t>
      </w:r>
      <w:r w:rsidR="00C86858" w:rsidRPr="00852E65" w:rsidDel="00C86858">
        <w:t xml:space="preserve"> </w:t>
      </w:r>
      <w:r w:rsidR="00C86858" w:rsidRPr="00852E65">
        <w:t xml:space="preserve">= </w:t>
      </w:r>
      <w:proofErr w:type="spellStart"/>
      <w:r w:rsidR="00C86858" w:rsidRPr="00852E65">
        <w:t>ifosfamide</w:t>
      </w:r>
      <w:proofErr w:type="spellEnd"/>
      <w:r w:rsidR="00C86858" w:rsidRPr="00852E65">
        <w:t xml:space="preserve">, carboplatin, and etoposide; </w:t>
      </w:r>
      <w:r w:rsidRPr="00852E65">
        <w:t>PTCL = peripheral T-cell lymphoma</w:t>
      </w:r>
      <w:r w:rsidR="00C86858" w:rsidRPr="00852E65">
        <w:t xml:space="preserve">; TMF = transformed mycosis </w:t>
      </w:r>
      <w:proofErr w:type="spellStart"/>
      <w:r w:rsidR="00C86858" w:rsidRPr="00852E65">
        <w:t>fungoides</w:t>
      </w:r>
      <w:proofErr w:type="spellEnd"/>
    </w:p>
    <w:p w:rsidR="00673D97" w:rsidRPr="00852E65" w:rsidRDefault="00673D97" w:rsidP="006B2D41">
      <w:pPr>
        <w:pStyle w:val="ListParagraph"/>
        <w:numPr>
          <w:ilvl w:val="1"/>
          <w:numId w:val="14"/>
        </w:numPr>
        <w:spacing w:before="0" w:after="120"/>
        <w:ind w:hanging="792"/>
        <w:jc w:val="both"/>
      </w:pPr>
      <w:r w:rsidRPr="00852E65">
        <w:t xml:space="preserve">The key features of study PDX-008 and the historical control cohorts are summarised in the table below. </w:t>
      </w:r>
    </w:p>
    <w:p w:rsidR="007368CA" w:rsidRDefault="007368CA" w:rsidP="007368CA">
      <w:pPr>
        <w:pStyle w:val="Caption"/>
      </w:pPr>
      <w:r>
        <w:t xml:space="preserve">Table </w:t>
      </w:r>
      <w:r w:rsidR="007152C2">
        <w:rPr>
          <w:noProof/>
        </w:rPr>
        <w:t>4</w:t>
      </w:r>
      <w:r w:rsidRPr="007552DA">
        <w:t>: Key features of the included evidence – naïve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0"/>
        <w:gridCol w:w="856"/>
        <w:gridCol w:w="1873"/>
        <w:gridCol w:w="841"/>
        <w:gridCol w:w="1780"/>
        <w:gridCol w:w="1235"/>
        <w:gridCol w:w="1217"/>
      </w:tblGrid>
      <w:tr w:rsidR="00673D97" w:rsidRPr="00852E65" w:rsidTr="007250D7">
        <w:trPr>
          <w:cantSplit/>
          <w:tblHeader/>
        </w:trPr>
        <w:tc>
          <w:tcPr>
            <w:tcW w:w="705" w:type="pct"/>
            <w:shd w:val="clear" w:color="auto" w:fill="auto"/>
            <w:vAlign w:val="center"/>
          </w:tcPr>
          <w:p w:rsidR="00673D97" w:rsidRPr="00852E65" w:rsidRDefault="00673D97" w:rsidP="007D5AB9">
            <w:pPr>
              <w:pStyle w:val="TableText"/>
              <w:rPr>
                <w:b/>
              </w:rPr>
            </w:pPr>
            <w:r w:rsidRPr="00852E65">
              <w:rPr>
                <w:b/>
              </w:rPr>
              <w:t>Trial</w:t>
            </w:r>
          </w:p>
        </w:tc>
        <w:tc>
          <w:tcPr>
            <w:tcW w:w="471" w:type="pct"/>
            <w:shd w:val="clear" w:color="auto" w:fill="auto"/>
            <w:vAlign w:val="center"/>
          </w:tcPr>
          <w:p w:rsidR="00673D97" w:rsidRPr="00852E65" w:rsidRDefault="00673D97" w:rsidP="007D5AB9">
            <w:pPr>
              <w:pStyle w:val="TableText"/>
              <w:rPr>
                <w:b/>
              </w:rPr>
            </w:pPr>
            <w:r w:rsidRPr="00852E65">
              <w:rPr>
                <w:b/>
              </w:rPr>
              <w:t>N</w:t>
            </w:r>
          </w:p>
        </w:tc>
        <w:tc>
          <w:tcPr>
            <w:tcW w:w="1031" w:type="pct"/>
            <w:shd w:val="clear" w:color="auto" w:fill="auto"/>
            <w:vAlign w:val="center"/>
          </w:tcPr>
          <w:p w:rsidR="00673D97" w:rsidRPr="00852E65" w:rsidRDefault="00673D97" w:rsidP="007D5AB9">
            <w:pPr>
              <w:pStyle w:val="TableText"/>
              <w:rPr>
                <w:b/>
              </w:rPr>
            </w:pPr>
            <w:r w:rsidRPr="00852E65">
              <w:rPr>
                <w:b/>
              </w:rPr>
              <w:t xml:space="preserve">Design/ </w:t>
            </w:r>
          </w:p>
          <w:p w:rsidR="00673D97" w:rsidRPr="00852E65" w:rsidRDefault="00673D97" w:rsidP="007D5AB9">
            <w:pPr>
              <w:pStyle w:val="TableText"/>
              <w:rPr>
                <w:b/>
              </w:rPr>
            </w:pPr>
            <w:r w:rsidRPr="00852E65">
              <w:rPr>
                <w:b/>
              </w:rPr>
              <w:t>Duration of follow-up</w:t>
            </w:r>
          </w:p>
        </w:tc>
        <w:tc>
          <w:tcPr>
            <w:tcW w:w="463" w:type="pct"/>
            <w:shd w:val="clear" w:color="auto" w:fill="auto"/>
            <w:vAlign w:val="center"/>
          </w:tcPr>
          <w:p w:rsidR="00673D97" w:rsidRPr="00852E65" w:rsidRDefault="00673D97" w:rsidP="007D5AB9">
            <w:pPr>
              <w:pStyle w:val="TableText"/>
              <w:rPr>
                <w:b/>
              </w:rPr>
            </w:pPr>
            <w:r w:rsidRPr="00852E65">
              <w:rPr>
                <w:b/>
              </w:rPr>
              <w:t>Risk of bias</w:t>
            </w:r>
          </w:p>
        </w:tc>
        <w:tc>
          <w:tcPr>
            <w:tcW w:w="980" w:type="pct"/>
            <w:shd w:val="clear" w:color="auto" w:fill="auto"/>
            <w:vAlign w:val="center"/>
          </w:tcPr>
          <w:p w:rsidR="00673D97" w:rsidRPr="00852E65" w:rsidRDefault="00673D97" w:rsidP="007D5AB9">
            <w:pPr>
              <w:pStyle w:val="TableText"/>
              <w:rPr>
                <w:b/>
              </w:rPr>
            </w:pPr>
            <w:r w:rsidRPr="00852E65">
              <w:rPr>
                <w:b/>
              </w:rPr>
              <w:t>Patient population</w:t>
            </w:r>
          </w:p>
        </w:tc>
        <w:tc>
          <w:tcPr>
            <w:tcW w:w="680" w:type="pct"/>
            <w:shd w:val="clear" w:color="auto" w:fill="auto"/>
            <w:vAlign w:val="center"/>
          </w:tcPr>
          <w:p w:rsidR="00673D97" w:rsidRPr="00852E65" w:rsidRDefault="00673D97" w:rsidP="007D5AB9">
            <w:pPr>
              <w:pStyle w:val="TableText"/>
              <w:rPr>
                <w:b/>
              </w:rPr>
            </w:pPr>
            <w:r w:rsidRPr="00852E65">
              <w:rPr>
                <w:b/>
              </w:rPr>
              <w:t>Outcomes</w:t>
            </w:r>
          </w:p>
        </w:tc>
        <w:tc>
          <w:tcPr>
            <w:tcW w:w="670" w:type="pct"/>
            <w:shd w:val="clear" w:color="auto" w:fill="auto"/>
            <w:vAlign w:val="center"/>
          </w:tcPr>
          <w:p w:rsidR="00673D97" w:rsidRPr="00852E65" w:rsidRDefault="00673D97" w:rsidP="007D5AB9">
            <w:pPr>
              <w:pStyle w:val="TableText"/>
              <w:rPr>
                <w:b/>
              </w:rPr>
            </w:pPr>
            <w:r w:rsidRPr="00852E65">
              <w:rPr>
                <w:b/>
              </w:rPr>
              <w:t>Used in economic model?</w:t>
            </w:r>
          </w:p>
        </w:tc>
      </w:tr>
      <w:tr w:rsidR="00673D97" w:rsidRPr="00852E65" w:rsidTr="007250D7">
        <w:trPr>
          <w:cantSplit/>
        </w:trPr>
        <w:tc>
          <w:tcPr>
            <w:tcW w:w="5000" w:type="pct"/>
            <w:gridSpan w:val="7"/>
            <w:shd w:val="clear" w:color="auto" w:fill="auto"/>
            <w:vAlign w:val="center"/>
          </w:tcPr>
          <w:p w:rsidR="00673D97" w:rsidRPr="00852E65" w:rsidRDefault="00673D97" w:rsidP="007D5AB9">
            <w:pPr>
              <w:pStyle w:val="TableText"/>
              <w:rPr>
                <w:b/>
              </w:rPr>
            </w:pPr>
            <w:proofErr w:type="spellStart"/>
            <w:r w:rsidRPr="00852E65">
              <w:rPr>
                <w:b/>
              </w:rPr>
              <w:t>Pralatrexate</w:t>
            </w:r>
            <w:proofErr w:type="spellEnd"/>
            <w:r w:rsidRPr="00852E65">
              <w:rPr>
                <w:b/>
              </w:rPr>
              <w:t xml:space="preserve"> </w:t>
            </w:r>
          </w:p>
        </w:tc>
      </w:tr>
      <w:tr w:rsidR="00673D97" w:rsidRPr="00852E65" w:rsidTr="007250D7">
        <w:trPr>
          <w:cantSplit/>
        </w:trPr>
        <w:tc>
          <w:tcPr>
            <w:tcW w:w="705" w:type="pct"/>
            <w:shd w:val="clear" w:color="auto" w:fill="auto"/>
            <w:vAlign w:val="center"/>
          </w:tcPr>
          <w:p w:rsidR="00673D97" w:rsidRPr="00852E65" w:rsidRDefault="00673D97" w:rsidP="007D5AB9">
            <w:pPr>
              <w:pStyle w:val="TableText"/>
              <w:rPr>
                <w:rFonts w:ascii="Times" w:eastAsia="Times New Roman" w:hAnsi="Times" w:cs="Times New Roman"/>
              </w:rPr>
            </w:pPr>
            <w:r w:rsidRPr="00852E65">
              <w:t>PDX-008</w:t>
            </w:r>
          </w:p>
        </w:tc>
        <w:tc>
          <w:tcPr>
            <w:tcW w:w="471" w:type="pct"/>
            <w:shd w:val="clear" w:color="auto" w:fill="auto"/>
            <w:vAlign w:val="center"/>
          </w:tcPr>
          <w:p w:rsidR="00673D97" w:rsidRPr="002E492B" w:rsidRDefault="00673D97" w:rsidP="007D5AB9">
            <w:pPr>
              <w:pStyle w:val="TableText"/>
            </w:pPr>
            <w:r w:rsidRPr="002E492B">
              <w:t>115</w:t>
            </w:r>
          </w:p>
          <w:p w:rsidR="00673D97" w:rsidRPr="00852E65" w:rsidRDefault="00673D97" w:rsidP="007D5AB9">
            <w:pPr>
              <w:pStyle w:val="TableText"/>
              <w:rPr>
                <w:rFonts w:ascii="Times" w:eastAsia="Times New Roman" w:hAnsi="Times" w:cs="Times New Roman"/>
              </w:rPr>
            </w:pPr>
            <w:r w:rsidRPr="002E492B">
              <w:t>(</w:t>
            </w:r>
            <w:r w:rsidR="000F1D32">
              <w:rPr>
                <w:noProof/>
                <w:color w:val="000000"/>
                <w:highlight w:val="black"/>
              </w:rPr>
              <w:t>'''''''''</w:t>
            </w:r>
            <w:r w:rsidRPr="002E492B">
              <w:t xml:space="preserve"> </w:t>
            </w:r>
            <w:r w:rsidRPr="002E492B">
              <w:rPr>
                <w:vertAlign w:val="superscript"/>
              </w:rPr>
              <w:t>a</w:t>
            </w:r>
            <w:r w:rsidRPr="002E492B">
              <w:t>)</w:t>
            </w:r>
          </w:p>
        </w:tc>
        <w:tc>
          <w:tcPr>
            <w:tcW w:w="1031" w:type="pct"/>
            <w:shd w:val="clear" w:color="auto" w:fill="auto"/>
            <w:vAlign w:val="center"/>
          </w:tcPr>
          <w:p w:rsidR="00673D97" w:rsidRPr="00852E65" w:rsidRDefault="00673D97" w:rsidP="007D5AB9">
            <w:pPr>
              <w:pStyle w:val="TableText"/>
            </w:pPr>
            <w:r w:rsidRPr="00852E65">
              <w:t>OL, MC</w:t>
            </w:r>
          </w:p>
          <w:p w:rsidR="00673D97" w:rsidRPr="00852E65" w:rsidRDefault="00673D97" w:rsidP="007D5AB9">
            <w:pPr>
              <w:pStyle w:val="TableText"/>
              <w:rPr>
                <w:rFonts w:ascii="Times" w:eastAsia="Times New Roman" w:hAnsi="Times" w:cs="Times New Roman"/>
              </w:rPr>
            </w:pPr>
            <w:r w:rsidRPr="00852E65">
              <w:t>2 years</w:t>
            </w:r>
          </w:p>
        </w:tc>
        <w:tc>
          <w:tcPr>
            <w:tcW w:w="463" w:type="pct"/>
            <w:shd w:val="clear" w:color="auto" w:fill="auto"/>
            <w:vAlign w:val="center"/>
          </w:tcPr>
          <w:p w:rsidR="00673D97" w:rsidRPr="00852E65" w:rsidRDefault="00673D97" w:rsidP="007D5AB9">
            <w:pPr>
              <w:pStyle w:val="TableText"/>
              <w:rPr>
                <w:rFonts w:ascii="Times" w:eastAsia="Times New Roman" w:hAnsi="Times" w:cs="Times New Roman"/>
              </w:rPr>
            </w:pPr>
            <w:r w:rsidRPr="00852E65">
              <w:t>High</w:t>
            </w:r>
          </w:p>
        </w:tc>
        <w:tc>
          <w:tcPr>
            <w:tcW w:w="980" w:type="pct"/>
            <w:shd w:val="clear" w:color="auto" w:fill="auto"/>
            <w:vAlign w:val="center"/>
          </w:tcPr>
          <w:p w:rsidR="00673D97" w:rsidRPr="00852E65" w:rsidRDefault="00673D97" w:rsidP="007D5AB9">
            <w:pPr>
              <w:pStyle w:val="TableText"/>
              <w:rPr>
                <w:rFonts w:ascii="Times" w:eastAsia="Times New Roman" w:hAnsi="Times" w:cs="Times New Roman"/>
              </w:rPr>
            </w:pPr>
            <w:r w:rsidRPr="00852E65">
              <w:t>Progressed after ≥ 1 prior treatment</w:t>
            </w:r>
          </w:p>
        </w:tc>
        <w:tc>
          <w:tcPr>
            <w:tcW w:w="680" w:type="pct"/>
            <w:shd w:val="clear" w:color="auto" w:fill="auto"/>
            <w:vAlign w:val="center"/>
          </w:tcPr>
          <w:p w:rsidR="00673D97" w:rsidRPr="00852E65" w:rsidRDefault="00673D97" w:rsidP="007D5AB9">
            <w:pPr>
              <w:pStyle w:val="TableText"/>
              <w:rPr>
                <w:rFonts w:ascii="Times" w:eastAsia="Times New Roman" w:hAnsi="Times" w:cs="Times New Roman"/>
              </w:rPr>
            </w:pPr>
            <w:r w:rsidRPr="00852E65">
              <w:t>ORR, OS, PFS, safety</w:t>
            </w:r>
          </w:p>
        </w:tc>
        <w:tc>
          <w:tcPr>
            <w:tcW w:w="670" w:type="pct"/>
            <w:shd w:val="clear" w:color="auto" w:fill="auto"/>
            <w:vAlign w:val="center"/>
          </w:tcPr>
          <w:p w:rsidR="00673D97" w:rsidRPr="00852E65" w:rsidRDefault="00673D97" w:rsidP="007D5AB9">
            <w:pPr>
              <w:pStyle w:val="TableText"/>
              <w:rPr>
                <w:rFonts w:ascii="Times" w:eastAsia="Times New Roman" w:hAnsi="Times" w:cs="Times New Roman"/>
              </w:rPr>
            </w:pPr>
            <w:r w:rsidRPr="00852E65">
              <w:t>Yes</w:t>
            </w:r>
          </w:p>
        </w:tc>
      </w:tr>
      <w:tr w:rsidR="00673D97" w:rsidRPr="00852E65" w:rsidTr="007250D7">
        <w:trPr>
          <w:cantSplit/>
        </w:trPr>
        <w:tc>
          <w:tcPr>
            <w:tcW w:w="5000" w:type="pct"/>
            <w:gridSpan w:val="7"/>
            <w:shd w:val="clear" w:color="auto" w:fill="auto"/>
            <w:vAlign w:val="center"/>
          </w:tcPr>
          <w:p w:rsidR="00673D97" w:rsidRPr="00852E65" w:rsidRDefault="00673D97" w:rsidP="007D5AB9">
            <w:pPr>
              <w:pStyle w:val="TableText"/>
              <w:keepNext w:val="0"/>
              <w:rPr>
                <w:rFonts w:ascii="Times" w:eastAsia="Times New Roman" w:hAnsi="Times" w:cs="Times New Roman"/>
                <w:b/>
              </w:rPr>
            </w:pPr>
            <w:r w:rsidRPr="00852E65">
              <w:rPr>
                <w:b/>
              </w:rPr>
              <w:t>Historical control cohort</w:t>
            </w:r>
          </w:p>
        </w:tc>
      </w:tr>
      <w:tr w:rsidR="00673D97" w:rsidRPr="00852E65" w:rsidTr="007250D7">
        <w:trPr>
          <w:cantSplit/>
        </w:trPr>
        <w:tc>
          <w:tcPr>
            <w:tcW w:w="705" w:type="pct"/>
            <w:shd w:val="clear" w:color="auto" w:fill="auto"/>
            <w:vAlign w:val="center"/>
          </w:tcPr>
          <w:p w:rsidR="00673D97" w:rsidRPr="00852E65" w:rsidRDefault="00673D97" w:rsidP="007D5AB9">
            <w:pPr>
              <w:pStyle w:val="TableText"/>
              <w:keepNext w:val="0"/>
              <w:rPr>
                <w:rFonts w:ascii="Times" w:eastAsia="Times New Roman" w:hAnsi="Times" w:cs="Times New Roman"/>
              </w:rPr>
            </w:pPr>
            <w:r w:rsidRPr="00852E65">
              <w:t>International databases</w:t>
            </w:r>
          </w:p>
        </w:tc>
        <w:tc>
          <w:tcPr>
            <w:tcW w:w="471" w:type="pct"/>
            <w:shd w:val="clear" w:color="auto" w:fill="auto"/>
            <w:vAlign w:val="center"/>
          </w:tcPr>
          <w:p w:rsidR="00673D97" w:rsidRPr="000F1D32" w:rsidRDefault="000F1D32" w:rsidP="007D5AB9">
            <w:pPr>
              <w:pStyle w:val="TableText"/>
              <w:keepNext w:val="0"/>
              <w:rPr>
                <w:highlight w:val="black"/>
              </w:rPr>
            </w:pPr>
            <w:r>
              <w:rPr>
                <w:noProof/>
                <w:color w:val="000000"/>
                <w:highlight w:val="black"/>
              </w:rPr>
              <w:t>''''''''''</w:t>
            </w:r>
          </w:p>
          <w:p w:rsidR="00673D97" w:rsidRPr="002E492B" w:rsidRDefault="00673D97" w:rsidP="007D5AB9">
            <w:pPr>
              <w:pStyle w:val="TableText"/>
              <w:keepNext w:val="0"/>
            </w:pPr>
            <w:r w:rsidRPr="002E492B">
              <w:t>(</w:t>
            </w:r>
            <w:r w:rsidR="000F1D32">
              <w:rPr>
                <w:noProof/>
                <w:color w:val="000000"/>
                <w:highlight w:val="black"/>
              </w:rPr>
              <w:t>''''''''''</w:t>
            </w:r>
            <w:r w:rsidRPr="002E492B">
              <w:t xml:space="preserve"> </w:t>
            </w:r>
            <w:r w:rsidRPr="002E492B">
              <w:rPr>
                <w:vertAlign w:val="superscript"/>
              </w:rPr>
              <w:t>a</w:t>
            </w:r>
            <w:r w:rsidRPr="002E492B">
              <w:t>)</w:t>
            </w:r>
          </w:p>
        </w:tc>
        <w:tc>
          <w:tcPr>
            <w:tcW w:w="1031" w:type="pct"/>
            <w:shd w:val="clear" w:color="auto" w:fill="auto"/>
            <w:vAlign w:val="center"/>
          </w:tcPr>
          <w:p w:rsidR="00673D97" w:rsidRPr="00852E65" w:rsidRDefault="00673D97" w:rsidP="007D5AB9">
            <w:pPr>
              <w:pStyle w:val="TableText"/>
              <w:keepNext w:val="0"/>
            </w:pPr>
            <w:r w:rsidRPr="00852E65">
              <w:t>Historical database</w:t>
            </w:r>
          </w:p>
          <w:p w:rsidR="00673D97" w:rsidRPr="00852E65" w:rsidRDefault="00673D97" w:rsidP="007D5AB9">
            <w:pPr>
              <w:pStyle w:val="TableText"/>
              <w:keepNext w:val="0"/>
            </w:pPr>
            <w:r w:rsidRPr="00852E65">
              <w:t>1980-2011</w:t>
            </w:r>
          </w:p>
        </w:tc>
        <w:tc>
          <w:tcPr>
            <w:tcW w:w="463" w:type="pct"/>
            <w:shd w:val="clear" w:color="auto" w:fill="auto"/>
            <w:vAlign w:val="center"/>
          </w:tcPr>
          <w:p w:rsidR="00673D97" w:rsidRPr="00852E65" w:rsidRDefault="00673D97" w:rsidP="007D5AB9">
            <w:pPr>
              <w:pStyle w:val="TableText"/>
              <w:keepNext w:val="0"/>
            </w:pPr>
            <w:r w:rsidRPr="00852E65">
              <w:t>High</w:t>
            </w:r>
          </w:p>
        </w:tc>
        <w:tc>
          <w:tcPr>
            <w:tcW w:w="980" w:type="pct"/>
            <w:shd w:val="clear" w:color="auto" w:fill="auto"/>
            <w:vAlign w:val="center"/>
          </w:tcPr>
          <w:p w:rsidR="00673D97" w:rsidRPr="00852E65" w:rsidRDefault="00673D97" w:rsidP="007D5AB9">
            <w:pPr>
              <w:pStyle w:val="TableText"/>
              <w:keepNext w:val="0"/>
            </w:pPr>
            <w:r w:rsidRPr="00852E65">
              <w:t>Received ≥ 1 prior therapies</w:t>
            </w:r>
          </w:p>
        </w:tc>
        <w:tc>
          <w:tcPr>
            <w:tcW w:w="680" w:type="pct"/>
            <w:shd w:val="clear" w:color="auto" w:fill="auto"/>
            <w:vAlign w:val="center"/>
          </w:tcPr>
          <w:p w:rsidR="00673D97" w:rsidRPr="00852E65" w:rsidRDefault="00673D97" w:rsidP="007D5AB9">
            <w:pPr>
              <w:pStyle w:val="TableText"/>
              <w:keepNext w:val="0"/>
            </w:pPr>
            <w:r w:rsidRPr="00852E65">
              <w:t>OS</w:t>
            </w:r>
          </w:p>
        </w:tc>
        <w:tc>
          <w:tcPr>
            <w:tcW w:w="670" w:type="pct"/>
            <w:shd w:val="clear" w:color="auto" w:fill="auto"/>
            <w:vAlign w:val="center"/>
          </w:tcPr>
          <w:p w:rsidR="00673D97" w:rsidRPr="00852E65" w:rsidRDefault="00673D97" w:rsidP="007D5AB9">
            <w:pPr>
              <w:pStyle w:val="TableText"/>
              <w:keepNext w:val="0"/>
            </w:pPr>
            <w:r w:rsidRPr="00852E65">
              <w:t>Yes</w:t>
            </w:r>
          </w:p>
        </w:tc>
      </w:tr>
      <w:tr w:rsidR="00673D97" w:rsidRPr="00852E65" w:rsidTr="007250D7">
        <w:trPr>
          <w:cantSplit/>
        </w:trPr>
        <w:tc>
          <w:tcPr>
            <w:tcW w:w="705" w:type="pct"/>
            <w:shd w:val="clear" w:color="auto" w:fill="auto"/>
            <w:vAlign w:val="center"/>
          </w:tcPr>
          <w:p w:rsidR="00673D97" w:rsidRPr="00852E65" w:rsidRDefault="00673D97" w:rsidP="007D5AB9">
            <w:pPr>
              <w:pStyle w:val="TableText"/>
              <w:keepNext w:val="0"/>
              <w:rPr>
                <w:rFonts w:ascii="Times" w:eastAsia="Times New Roman" w:hAnsi="Times" w:cs="Times New Roman"/>
              </w:rPr>
            </w:pPr>
            <w:r w:rsidRPr="00852E65">
              <w:t>Australian database</w:t>
            </w:r>
          </w:p>
        </w:tc>
        <w:tc>
          <w:tcPr>
            <w:tcW w:w="471" w:type="pct"/>
            <w:shd w:val="clear" w:color="auto" w:fill="auto"/>
            <w:vAlign w:val="center"/>
          </w:tcPr>
          <w:p w:rsidR="00673D97" w:rsidRPr="000F1D32" w:rsidRDefault="000F1D32" w:rsidP="007D5AB9">
            <w:pPr>
              <w:pStyle w:val="TableText"/>
              <w:keepNext w:val="0"/>
              <w:rPr>
                <w:highlight w:val="black"/>
              </w:rPr>
            </w:pPr>
            <w:r>
              <w:rPr>
                <w:noProof/>
                <w:color w:val="000000"/>
                <w:highlight w:val="black"/>
              </w:rPr>
              <w:t>'''''''</w:t>
            </w:r>
          </w:p>
          <w:p w:rsidR="00673D97" w:rsidRPr="002E492B" w:rsidRDefault="00673D97" w:rsidP="007D5AB9">
            <w:pPr>
              <w:pStyle w:val="TableText"/>
              <w:keepNext w:val="0"/>
            </w:pPr>
            <w:r w:rsidRPr="002E492B">
              <w:t>(</w:t>
            </w:r>
            <w:r w:rsidR="000F1D32">
              <w:rPr>
                <w:noProof/>
                <w:color w:val="000000"/>
                <w:highlight w:val="black"/>
              </w:rPr>
              <w:t xml:space="preserve">''''' </w:t>
            </w:r>
            <w:r w:rsidRPr="002E492B">
              <w:rPr>
                <w:vertAlign w:val="superscript"/>
              </w:rPr>
              <w:t>a</w:t>
            </w:r>
            <w:r w:rsidRPr="002E492B">
              <w:t>)</w:t>
            </w:r>
          </w:p>
        </w:tc>
        <w:tc>
          <w:tcPr>
            <w:tcW w:w="1031" w:type="pct"/>
            <w:shd w:val="clear" w:color="auto" w:fill="auto"/>
            <w:vAlign w:val="center"/>
          </w:tcPr>
          <w:p w:rsidR="00673D97" w:rsidRPr="00852E65" w:rsidRDefault="00673D97" w:rsidP="007D5AB9">
            <w:pPr>
              <w:pStyle w:val="TableText"/>
              <w:keepNext w:val="0"/>
            </w:pPr>
            <w:r w:rsidRPr="00852E65">
              <w:t>Historical database</w:t>
            </w:r>
          </w:p>
          <w:p w:rsidR="00673D97" w:rsidRPr="00852E65" w:rsidRDefault="00673D97" w:rsidP="007D5AB9">
            <w:pPr>
              <w:pStyle w:val="TableText"/>
              <w:keepNext w:val="0"/>
            </w:pPr>
            <w:r w:rsidRPr="00852E65">
              <w:t>1989-2015</w:t>
            </w:r>
          </w:p>
        </w:tc>
        <w:tc>
          <w:tcPr>
            <w:tcW w:w="463" w:type="pct"/>
            <w:shd w:val="clear" w:color="auto" w:fill="auto"/>
            <w:vAlign w:val="center"/>
          </w:tcPr>
          <w:p w:rsidR="00673D97" w:rsidRPr="00852E65" w:rsidRDefault="00673D97" w:rsidP="007D5AB9">
            <w:pPr>
              <w:pStyle w:val="TableText"/>
              <w:keepNext w:val="0"/>
            </w:pPr>
            <w:r w:rsidRPr="00852E65">
              <w:t>High</w:t>
            </w:r>
          </w:p>
        </w:tc>
        <w:tc>
          <w:tcPr>
            <w:tcW w:w="980" w:type="pct"/>
            <w:shd w:val="clear" w:color="auto" w:fill="auto"/>
            <w:vAlign w:val="center"/>
          </w:tcPr>
          <w:p w:rsidR="00673D97" w:rsidRPr="00852E65" w:rsidRDefault="00673D97" w:rsidP="007D5AB9">
            <w:pPr>
              <w:pStyle w:val="TableText"/>
              <w:keepNext w:val="0"/>
            </w:pPr>
            <w:r w:rsidRPr="00852E65">
              <w:t>All PTCL patients</w:t>
            </w:r>
          </w:p>
        </w:tc>
        <w:tc>
          <w:tcPr>
            <w:tcW w:w="680" w:type="pct"/>
            <w:shd w:val="clear" w:color="auto" w:fill="auto"/>
            <w:vAlign w:val="center"/>
          </w:tcPr>
          <w:p w:rsidR="00673D97" w:rsidRPr="00852E65" w:rsidRDefault="00673D97" w:rsidP="007D5AB9">
            <w:pPr>
              <w:pStyle w:val="TableText"/>
              <w:keepNext w:val="0"/>
            </w:pPr>
            <w:r w:rsidRPr="00852E65">
              <w:t>OS</w:t>
            </w:r>
          </w:p>
        </w:tc>
        <w:tc>
          <w:tcPr>
            <w:tcW w:w="670" w:type="pct"/>
            <w:shd w:val="clear" w:color="auto" w:fill="auto"/>
            <w:vAlign w:val="center"/>
          </w:tcPr>
          <w:p w:rsidR="00673D97" w:rsidRPr="00852E65" w:rsidRDefault="00673D97" w:rsidP="007D5AB9">
            <w:pPr>
              <w:pStyle w:val="TableText"/>
              <w:keepNext w:val="0"/>
            </w:pPr>
            <w:r w:rsidRPr="00852E65">
              <w:t>Yes</w:t>
            </w:r>
          </w:p>
        </w:tc>
      </w:tr>
    </w:tbl>
    <w:p w:rsidR="00673D97" w:rsidRPr="00852E65" w:rsidRDefault="00673D97" w:rsidP="007D5AB9">
      <w:pPr>
        <w:pStyle w:val="TableFooter"/>
        <w:widowControl/>
      </w:pPr>
      <w:r w:rsidRPr="00852E65">
        <w:t>Source: compiled during the evaluation</w:t>
      </w:r>
    </w:p>
    <w:p w:rsidR="00673D97" w:rsidRPr="00852E65" w:rsidRDefault="00673D97" w:rsidP="007D5AB9">
      <w:pPr>
        <w:pStyle w:val="TableFooter"/>
        <w:widowControl/>
      </w:pPr>
      <w:r w:rsidRPr="00852E65">
        <w:t>MC = multi-centre; OL = open label; ORR = overall response rate; OS = overall survival; PFS = progression-free survival; PTCL = peripheral T-cell lymphoma</w:t>
      </w:r>
    </w:p>
    <w:p w:rsidR="00673D97" w:rsidRPr="00852E65" w:rsidRDefault="00673D97" w:rsidP="007D5AB9">
      <w:pPr>
        <w:pStyle w:val="TableFooter"/>
        <w:widowControl/>
      </w:pPr>
      <w:proofErr w:type="gramStart"/>
      <w:r w:rsidRPr="00852E65">
        <w:rPr>
          <w:vertAlign w:val="superscript"/>
        </w:rPr>
        <w:t>a</w:t>
      </w:r>
      <w:proofErr w:type="gramEnd"/>
      <w:r w:rsidRPr="00852E65">
        <w:t xml:space="preserve"> Number of patients included in comparative analysis set</w:t>
      </w:r>
    </w:p>
    <w:p w:rsidR="00673D97" w:rsidRPr="00852E65" w:rsidRDefault="00673D97" w:rsidP="006B2D41">
      <w:pPr>
        <w:pStyle w:val="ListParagraph"/>
        <w:numPr>
          <w:ilvl w:val="1"/>
          <w:numId w:val="14"/>
        </w:numPr>
        <w:spacing w:before="0" w:after="120"/>
        <w:ind w:hanging="792"/>
        <w:jc w:val="both"/>
      </w:pPr>
      <w:r w:rsidRPr="00852E65">
        <w:t>The criteria outlined in the table below were applied to study PDX-008 and the international and Australian databases to identify patients for inclusion in the comparative analysis set. The criteria were applied to ensure that the characteristics of patients from the different data sources were comparable and consistent with the proposed PBS restriction. Th</w:t>
      </w:r>
      <w:r w:rsidR="00122106" w:rsidRPr="00852E65">
        <w:t>e criteria were</w:t>
      </w:r>
      <w:r w:rsidRPr="00852E65">
        <w:t xml:space="preserve"> appropriate. </w:t>
      </w:r>
    </w:p>
    <w:p w:rsidR="007368CA" w:rsidRDefault="007368CA" w:rsidP="007368CA">
      <w:pPr>
        <w:pStyle w:val="Caption"/>
      </w:pPr>
      <w:r>
        <w:t xml:space="preserve">Table </w:t>
      </w:r>
      <w:r w:rsidR="007152C2">
        <w:rPr>
          <w:noProof/>
        </w:rPr>
        <w:t>5</w:t>
      </w:r>
      <w:r w:rsidRPr="00977292">
        <w:t>: Patient eligibility criteria for the comparative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659"/>
      </w:tblGrid>
      <w:tr w:rsidR="00673D97" w:rsidRPr="00852E65" w:rsidTr="000B11CC">
        <w:trPr>
          <w:cantSplit/>
          <w:tblHeader/>
        </w:trPr>
        <w:tc>
          <w:tcPr>
            <w:tcW w:w="13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673D97" w:rsidRPr="00852E65" w:rsidRDefault="00673D97" w:rsidP="007D5AB9">
            <w:pPr>
              <w:pStyle w:val="TableText"/>
              <w:rPr>
                <w:b/>
              </w:rPr>
            </w:pPr>
            <w:r w:rsidRPr="00852E65">
              <w:rPr>
                <w:b/>
              </w:rPr>
              <w:t>Eligibility criteria</w:t>
            </w:r>
          </w:p>
        </w:tc>
        <w:tc>
          <w:tcPr>
            <w:tcW w:w="36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673D97" w:rsidRPr="00852E65" w:rsidRDefault="00673D97" w:rsidP="007D5AB9">
            <w:pPr>
              <w:pStyle w:val="TableText"/>
              <w:rPr>
                <w:b/>
                <w:szCs w:val="20"/>
              </w:rPr>
            </w:pPr>
            <w:r w:rsidRPr="00852E65">
              <w:rPr>
                <w:b/>
                <w:szCs w:val="20"/>
              </w:rPr>
              <w:t>Rationale</w:t>
            </w:r>
          </w:p>
        </w:tc>
      </w:tr>
      <w:tr w:rsidR="00673D97" w:rsidRPr="00852E65" w:rsidTr="000B11CC">
        <w:trPr>
          <w:cantSplit/>
          <w:trHeight w:val="335"/>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pPr>
            <w:r w:rsidRPr="00852E65">
              <w:t>≥ 1 prior line of therapy</w:t>
            </w:r>
          </w:p>
        </w:tc>
        <w:tc>
          <w:tcPr>
            <w:tcW w:w="366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pPr>
            <w:r w:rsidRPr="00852E65">
              <w:t>To ensure the population only included relapsed/refractory PTCL patients, and to provide consistency with the PDX-008 and the proposed PBS population.</w:t>
            </w:r>
          </w:p>
        </w:tc>
      </w:tr>
      <w:tr w:rsidR="00673D97" w:rsidRPr="00852E65" w:rsidTr="000B11CC">
        <w:trPr>
          <w:cantSplit/>
          <w:trHeight w:val="73"/>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pPr>
            <w:r w:rsidRPr="00852E65">
              <w:t>Provision of survival times that allowed calculation of OS</w:t>
            </w:r>
          </w:p>
        </w:tc>
        <w:tc>
          <w:tcPr>
            <w:tcW w:w="366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pPr>
            <w:r w:rsidRPr="00852E65">
              <w:t>Primary analysis outcome and thus mandatory to have sufficient data to allow OS to be calculated.</w:t>
            </w:r>
          </w:p>
        </w:tc>
      </w:tr>
      <w:tr w:rsidR="00673D97" w:rsidRPr="00852E65" w:rsidTr="000B11CC">
        <w:trPr>
          <w:cantSplit/>
          <w:trHeight w:val="379"/>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keepNext w:val="0"/>
            </w:pPr>
            <w:r w:rsidRPr="00852E65">
              <w:t>ECOG ≤ 2</w:t>
            </w:r>
          </w:p>
        </w:tc>
        <w:tc>
          <w:tcPr>
            <w:tcW w:w="366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keepNext w:val="0"/>
            </w:pPr>
            <w:r w:rsidRPr="00852E65">
              <w:t xml:space="preserve">PDX-008 restricted inclusion to ECOG ≤ 2.  Performance status is significantly associated with </w:t>
            </w:r>
            <w:proofErr w:type="gramStart"/>
            <w:r w:rsidRPr="00852E65">
              <w:t>OS,</w:t>
            </w:r>
            <w:proofErr w:type="gramEnd"/>
            <w:r w:rsidRPr="00852E65">
              <w:t xml:space="preserve"> therefore it was important that patients in the comparison had similar ECOG scores.</w:t>
            </w:r>
          </w:p>
        </w:tc>
      </w:tr>
      <w:tr w:rsidR="00673D97" w:rsidRPr="00852E65" w:rsidTr="000B11CC">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keepNext w:val="0"/>
            </w:pPr>
            <w:r w:rsidRPr="00852E65">
              <w:t>Not received SCT (autologous or allogeneic) as last line of therapy</w:t>
            </w:r>
          </w:p>
        </w:tc>
        <w:tc>
          <w:tcPr>
            <w:tcW w:w="366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keepNext w:val="0"/>
            </w:pPr>
            <w:r w:rsidRPr="00852E65">
              <w:t>The comparator is a ‘basket of treatments’, i.e. not SCT, and additionally SCT is assumed to be associated with improved OS (</w:t>
            </w:r>
            <w:proofErr w:type="spellStart"/>
            <w:r w:rsidRPr="00852E65">
              <w:t>Lunning</w:t>
            </w:r>
            <w:proofErr w:type="spellEnd"/>
            <w:r w:rsidRPr="00852E65">
              <w:t xml:space="preserve"> 2013).</w:t>
            </w:r>
          </w:p>
          <w:p w:rsidR="00673D97" w:rsidRPr="00852E65" w:rsidRDefault="00673D97" w:rsidP="007D5AB9">
            <w:pPr>
              <w:pStyle w:val="TableText"/>
              <w:keepNext w:val="0"/>
            </w:pPr>
            <w:r w:rsidRPr="00852E65">
              <w:t>Patients could have SCT as a prior line of therapy, but not as their last line of therapy.</w:t>
            </w:r>
          </w:p>
        </w:tc>
      </w:tr>
      <w:tr w:rsidR="00673D97" w:rsidRPr="00852E65" w:rsidTr="000B11CC">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keepNext w:val="0"/>
            </w:pPr>
            <w:r w:rsidRPr="00852E65">
              <w:t>Not received an investigational therapy</w:t>
            </w:r>
          </w:p>
        </w:tc>
        <w:tc>
          <w:tcPr>
            <w:tcW w:w="366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keepNext w:val="0"/>
            </w:pPr>
            <w:r w:rsidRPr="00852E65">
              <w:t>To allow a comparison with the PBS-listed basket of comparator treatments.</w:t>
            </w:r>
          </w:p>
        </w:tc>
      </w:tr>
      <w:tr w:rsidR="00673D97" w:rsidRPr="00852E65" w:rsidTr="000B11CC">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keepNext w:val="0"/>
            </w:pPr>
            <w:r w:rsidRPr="00852E65">
              <w:t>Histologically confirmed PTCL, not primary CNS lymphoma.</w:t>
            </w:r>
          </w:p>
        </w:tc>
        <w:tc>
          <w:tcPr>
            <w:tcW w:w="366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673D97" w:rsidRPr="00852E65" w:rsidRDefault="00673D97" w:rsidP="007D5AB9">
            <w:pPr>
              <w:pStyle w:val="TableText"/>
              <w:keepNext w:val="0"/>
            </w:pPr>
            <w:r w:rsidRPr="00852E65">
              <w:t xml:space="preserve">Primary CNS lymphoma is treated with different chemotherapy regimens, not </w:t>
            </w:r>
            <w:proofErr w:type="spellStart"/>
            <w:r w:rsidRPr="00852E65">
              <w:t>pralatrexate</w:t>
            </w:r>
            <w:proofErr w:type="spellEnd"/>
            <w:r w:rsidRPr="00852E65">
              <w:t xml:space="preserve"> nor comparators.</w:t>
            </w:r>
          </w:p>
        </w:tc>
      </w:tr>
    </w:tbl>
    <w:p w:rsidR="00673D97" w:rsidRPr="00852E65" w:rsidRDefault="00673D97" w:rsidP="007D5AB9">
      <w:pPr>
        <w:pStyle w:val="TableFooter"/>
        <w:widowControl/>
      </w:pPr>
      <w:r w:rsidRPr="00852E65">
        <w:t>Source: Table 2.22, pp2-61 of the resubmission</w:t>
      </w:r>
    </w:p>
    <w:p w:rsidR="00673D97" w:rsidRPr="00852E65" w:rsidRDefault="00673D97" w:rsidP="007D5AB9">
      <w:pPr>
        <w:pStyle w:val="TableFooter"/>
        <w:widowControl/>
      </w:pPr>
      <w:r w:rsidRPr="00852E65">
        <w:t>CNS = central nervous system; ECOG = Eastern Cooperative Oncology Group; OS = overall survival; PBS = Pharmaceutical Benefits Scheme; PTCL = peripheral T-cell lymphoma; SCT = stem cell transplant</w:t>
      </w:r>
    </w:p>
    <w:p w:rsidR="00C06504" w:rsidRDefault="00C06504">
      <w:pPr>
        <w:spacing w:before="0" w:line="259" w:lineRule="auto"/>
      </w:pPr>
      <w:r>
        <w:br w:type="page"/>
      </w:r>
    </w:p>
    <w:p w:rsidR="0003051A" w:rsidRPr="00852E65" w:rsidRDefault="00673D97" w:rsidP="006B2D41">
      <w:pPr>
        <w:pStyle w:val="ListParagraph"/>
        <w:numPr>
          <w:ilvl w:val="1"/>
          <w:numId w:val="14"/>
        </w:numPr>
        <w:spacing w:before="0" w:after="120"/>
        <w:ind w:hanging="792"/>
        <w:jc w:val="both"/>
      </w:pPr>
      <w:r w:rsidRPr="00852E65">
        <w:t>The eligibility criteria for the comparative analysis set</w:t>
      </w:r>
      <w:r w:rsidR="008E0FF0" w:rsidRPr="00852E65">
        <w:t xml:space="preserve"> re</w:t>
      </w:r>
      <w:r w:rsidR="00122106" w:rsidRPr="00852E65">
        <w:t xml:space="preserve">quired an </w:t>
      </w:r>
      <w:r w:rsidR="008E0FF0" w:rsidRPr="00852E65">
        <w:t xml:space="preserve">ECOG </w:t>
      </w:r>
      <w:bookmarkStart w:id="20" w:name="_Toc413139278"/>
      <w:r w:rsidRPr="00852E65">
        <w:t>score of two or below</w:t>
      </w:r>
      <w:r w:rsidR="00122106" w:rsidRPr="00852E65">
        <w:t>.</w:t>
      </w:r>
      <w:r w:rsidRPr="00852E65">
        <w:t xml:space="preserve"> This was co</w:t>
      </w:r>
      <w:r w:rsidR="00122106" w:rsidRPr="00852E65">
        <w:t xml:space="preserve">mparable </w:t>
      </w:r>
      <w:r w:rsidRPr="00852E65">
        <w:t xml:space="preserve">with </w:t>
      </w:r>
      <w:r w:rsidR="00122106" w:rsidRPr="00852E65">
        <w:t>the inclusion criteria of study</w:t>
      </w:r>
      <w:r w:rsidRPr="00852E65">
        <w:t xml:space="preserve"> PDX-008</w:t>
      </w:r>
      <w:r w:rsidR="00122106" w:rsidRPr="00852E65">
        <w:t xml:space="preserve">. This </w:t>
      </w:r>
      <w:r w:rsidR="00122106" w:rsidRPr="00852E65">
        <w:lastRenderedPageBreak/>
        <w:t xml:space="preserve">addressed a concern with the November 2015 </w:t>
      </w:r>
      <w:r w:rsidR="0075385C" w:rsidRPr="00852E65">
        <w:t>submission</w:t>
      </w:r>
      <w:r w:rsidR="00122106" w:rsidRPr="00852E65">
        <w:t xml:space="preserve"> that patients </w:t>
      </w:r>
      <w:r w:rsidR="0075385C" w:rsidRPr="00852E65">
        <w:t>from</w:t>
      </w:r>
      <w:r w:rsidR="00122106" w:rsidRPr="00852E65">
        <w:t xml:space="preserve"> PDX-008 were not matched to historical controls on the basis of ECOG status and may have </w:t>
      </w:r>
      <w:r w:rsidR="0075385C" w:rsidRPr="00852E65">
        <w:t xml:space="preserve">resulted in PDX-008 patients in the matched cohort having a better performance status than those from the historical control (paragraph 6.11, November 2015 </w:t>
      </w:r>
      <w:r w:rsidR="00AD0C21">
        <w:t>PSD</w:t>
      </w:r>
      <w:r w:rsidR="0075385C" w:rsidRPr="00852E65">
        <w:t>)</w:t>
      </w:r>
      <w:r w:rsidR="008E0FF0" w:rsidRPr="00852E65">
        <w:t xml:space="preserve">. </w:t>
      </w:r>
    </w:p>
    <w:p w:rsidR="00673D97" w:rsidRDefault="0003051A" w:rsidP="006B2D41">
      <w:pPr>
        <w:pStyle w:val="ListParagraph"/>
        <w:numPr>
          <w:ilvl w:val="1"/>
          <w:numId w:val="14"/>
        </w:numPr>
        <w:spacing w:before="0" w:after="120"/>
        <w:ind w:hanging="792"/>
        <w:jc w:val="both"/>
      </w:pPr>
      <w:r w:rsidRPr="00852E65">
        <w:t>T</w:t>
      </w:r>
      <w:r w:rsidR="008E0FF0" w:rsidRPr="00852E65">
        <w:t>he criteria were c</w:t>
      </w:r>
      <w:r w:rsidR="00673D97" w:rsidRPr="00852E65">
        <w:t>onsistent with the proposed PBS restriction in terms of number of prior lines of therapy and histologically confirmed PTCL</w:t>
      </w:r>
      <w:r w:rsidR="00970DC1" w:rsidRPr="00852E65">
        <w:t>, noting that although</w:t>
      </w:r>
      <w:r w:rsidR="00970DC1" w:rsidRPr="0095422D">
        <w:t xml:space="preserve"> </w:t>
      </w:r>
      <w:r w:rsidR="00970DC1" w:rsidRPr="00852E65">
        <w:t xml:space="preserve">patients in the PDX-008 trial had a median of 3 lines prior therapy, the PBAC had considered that a second or later line listing was the appropriate clinical place for </w:t>
      </w:r>
      <w:proofErr w:type="spellStart"/>
      <w:r w:rsidR="00970DC1" w:rsidRPr="00852E65">
        <w:t>pralatrexate</w:t>
      </w:r>
      <w:proofErr w:type="spellEnd"/>
      <w:r w:rsidR="00970DC1" w:rsidRPr="00852E65">
        <w:t xml:space="preserve"> (paragraph 7.8</w:t>
      </w:r>
      <w:proofErr w:type="gramStart"/>
      <w:r w:rsidR="00970DC1" w:rsidRPr="00852E65">
        <w:t>,  November</w:t>
      </w:r>
      <w:proofErr w:type="gramEnd"/>
      <w:r w:rsidR="00970DC1" w:rsidRPr="00852E65">
        <w:t xml:space="preserve"> 2015</w:t>
      </w:r>
      <w:r w:rsidR="00AD0C21" w:rsidRPr="00AD0C21">
        <w:t xml:space="preserve"> </w:t>
      </w:r>
      <w:r w:rsidR="00AD0C21" w:rsidRPr="00852E65">
        <w:t>PSD</w:t>
      </w:r>
      <w:r w:rsidR="00970DC1" w:rsidRPr="00852E65">
        <w:t>).</w:t>
      </w:r>
    </w:p>
    <w:p w:rsidR="007E30F6" w:rsidRPr="006C19DF" w:rsidRDefault="007E30F6" w:rsidP="006B2D41">
      <w:pPr>
        <w:pStyle w:val="ListParagraph"/>
        <w:numPr>
          <w:ilvl w:val="1"/>
          <w:numId w:val="14"/>
        </w:numPr>
        <w:spacing w:before="0" w:after="120"/>
        <w:ind w:hanging="792"/>
        <w:jc w:val="both"/>
      </w:pPr>
      <w:r w:rsidRPr="006C19DF">
        <w:t xml:space="preserve">The ESC considered that the removal of patients treated with experimental therapies from the </w:t>
      </w:r>
      <w:r w:rsidR="0071033C">
        <w:t>OS</w:t>
      </w:r>
      <w:r w:rsidRPr="006C19DF">
        <w:t xml:space="preserve"> analysis potentially enriched the remaining population for patients with less aggressive disease, and therefore those who would potentially have a better outcome.</w:t>
      </w:r>
    </w:p>
    <w:p w:rsidR="00673D97" w:rsidRPr="00852E65" w:rsidRDefault="00673D97" w:rsidP="007D5AB9">
      <w:pPr>
        <w:pStyle w:val="Heading2"/>
      </w:pPr>
      <w:bookmarkStart w:id="21" w:name="_Toc482715893"/>
      <w:r w:rsidRPr="00852E65">
        <w:t>Comparative effectiveness</w:t>
      </w:r>
      <w:bookmarkEnd w:id="20"/>
      <w:bookmarkEnd w:id="21"/>
      <w:r w:rsidRPr="00852E65">
        <w:t xml:space="preserve"> </w:t>
      </w:r>
    </w:p>
    <w:p w:rsidR="00774FC6" w:rsidRPr="00852E65" w:rsidRDefault="00774FC6" w:rsidP="007D5AB9">
      <w:pPr>
        <w:pStyle w:val="Heading3"/>
        <w:rPr>
          <w:sz w:val="24"/>
          <w:szCs w:val="24"/>
        </w:rPr>
      </w:pPr>
      <w:r w:rsidRPr="00852E65">
        <w:rPr>
          <w:sz w:val="24"/>
          <w:szCs w:val="24"/>
        </w:rPr>
        <w:t>Overall survival</w:t>
      </w:r>
    </w:p>
    <w:p w:rsidR="0087096A" w:rsidRPr="00852E65" w:rsidRDefault="00673D97" w:rsidP="006B2D41">
      <w:pPr>
        <w:pStyle w:val="ListParagraph"/>
        <w:numPr>
          <w:ilvl w:val="1"/>
          <w:numId w:val="14"/>
        </w:numPr>
        <w:spacing w:before="0" w:after="120"/>
        <w:ind w:hanging="792"/>
        <w:jc w:val="both"/>
      </w:pPr>
      <w:proofErr w:type="spellStart"/>
      <w:r w:rsidRPr="00852E65">
        <w:t>Pralatrexate</w:t>
      </w:r>
      <w:proofErr w:type="spellEnd"/>
      <w:r w:rsidRPr="00852E65">
        <w:t xml:space="preserve"> results were based on a follow-up period of two years.</w:t>
      </w:r>
      <w:r w:rsidR="0087096A" w:rsidRPr="00852E65">
        <w:t xml:space="preserve"> Median </w:t>
      </w:r>
      <w:r w:rsidR="0071033C">
        <w:t>OS</w:t>
      </w:r>
      <w:r w:rsidR="0087096A" w:rsidRPr="00852E65">
        <w:t xml:space="preserve"> using </w:t>
      </w:r>
      <w:r w:rsidR="0087096A" w:rsidRPr="008347F4">
        <w:t>the evaluable population (n = 109) was 14.5 months (95% confidence interval (CI): 10.6, 22.5).</w:t>
      </w:r>
    </w:p>
    <w:p w:rsidR="00DF65D7" w:rsidRPr="002E492B" w:rsidRDefault="0087096A" w:rsidP="006B2D41">
      <w:pPr>
        <w:pStyle w:val="ListParagraph"/>
        <w:numPr>
          <w:ilvl w:val="1"/>
          <w:numId w:val="14"/>
        </w:numPr>
        <w:spacing w:before="0" w:after="120"/>
        <w:ind w:hanging="792"/>
        <w:jc w:val="both"/>
      </w:pPr>
      <w:r w:rsidRPr="00852E65">
        <w:t xml:space="preserve">To compare </w:t>
      </w:r>
      <w:r w:rsidR="0071033C">
        <w:t>OS</w:t>
      </w:r>
      <w:r w:rsidRPr="00852E65">
        <w:t xml:space="preserve"> between PDX-008 and the combined historical control, </w:t>
      </w:r>
      <w:r w:rsidR="009016A7" w:rsidRPr="00852E65">
        <w:t xml:space="preserve">a </w:t>
      </w:r>
      <w:r w:rsidR="00B11B35" w:rsidRPr="00852E65">
        <w:t xml:space="preserve">stratified </w:t>
      </w:r>
      <w:r w:rsidR="001E294B" w:rsidRPr="00852E65">
        <w:t xml:space="preserve">Cox regression model </w:t>
      </w:r>
      <w:r w:rsidR="009016A7" w:rsidRPr="00852E65">
        <w:t>was created to provide predictions for survival.</w:t>
      </w:r>
      <w:r w:rsidR="00597A20" w:rsidRPr="00852E65">
        <w:t xml:space="preserve"> The multivariate analysis incorporated </w:t>
      </w:r>
      <w:r w:rsidR="000F1D32">
        <w:rPr>
          <w:noProof/>
          <w:color w:val="000000"/>
          <w:highlight w:val="black"/>
        </w:rPr>
        <w:t>''''''''' ''''' '''''''''''''''' '''''''''''' '''''''''''' ''''''' ''''''' '''''' '' ''''''''''''''''''''' '''''''''''''''' ''''' ''''''''''''''''' '''' '''''' '''''''''''</w:t>
      </w:r>
      <w:r w:rsidR="00B11B35" w:rsidRPr="002E492B">
        <w:t xml:space="preserve">. </w:t>
      </w:r>
      <w:r w:rsidR="009016A7" w:rsidRPr="002E492B">
        <w:t xml:space="preserve"> </w:t>
      </w:r>
    </w:p>
    <w:p w:rsidR="007E30F6" w:rsidRPr="006C19DF" w:rsidRDefault="007E30F6" w:rsidP="006B2D41">
      <w:pPr>
        <w:pStyle w:val="ListParagraph"/>
        <w:numPr>
          <w:ilvl w:val="1"/>
          <w:numId w:val="14"/>
        </w:numPr>
        <w:spacing w:before="0" w:after="120"/>
        <w:ind w:hanging="792"/>
        <w:jc w:val="both"/>
      </w:pPr>
      <w:r w:rsidRPr="002E492B">
        <w:t xml:space="preserve">The ESC noted that prognostic factors such as </w:t>
      </w:r>
      <w:r w:rsidR="000F1D32">
        <w:rPr>
          <w:noProof/>
          <w:color w:val="000000"/>
          <w:highlight w:val="black"/>
        </w:rPr>
        <w:t>'''''''''''' '''''''''''''''''''''''''''''' ''''''''''''''''''' '''''''''''''''' '''''''''''' ''''''''''''''''''' ''''' '''''''''''''''' '''' ''' ''''''''''''''''''''' ''''''''''</w:t>
      </w:r>
      <w:r w:rsidRPr="002E492B">
        <w:t xml:space="preserve"> </w:t>
      </w:r>
      <w:r w:rsidRPr="006C19DF">
        <w:t>not matched for, and therefore considered that this could affect the independence of the true ‘drug effect’, as calculated in the multivariate analysis.</w:t>
      </w:r>
    </w:p>
    <w:p w:rsidR="00FB659B" w:rsidRDefault="005972A4" w:rsidP="006B2D41">
      <w:pPr>
        <w:pStyle w:val="ListParagraph"/>
        <w:numPr>
          <w:ilvl w:val="1"/>
          <w:numId w:val="14"/>
        </w:numPr>
        <w:spacing w:before="0" w:after="120"/>
        <w:ind w:hanging="792"/>
        <w:jc w:val="both"/>
      </w:pPr>
      <w:r w:rsidRPr="00852E65">
        <w:t xml:space="preserve">The use of the stratified Cox model might not have been appropriate to estimate median </w:t>
      </w:r>
      <w:r w:rsidR="0071033C">
        <w:t>OS</w:t>
      </w:r>
      <w:r w:rsidRPr="00852E65">
        <w:t xml:space="preserve"> for the combined historical control cohort</w:t>
      </w:r>
      <w:r w:rsidRPr="005C0602">
        <w:t>.</w:t>
      </w:r>
      <w:r w:rsidRPr="00852E65">
        <w:t xml:space="preserve"> </w:t>
      </w:r>
    </w:p>
    <w:p w:rsidR="00400772" w:rsidRPr="006C19DF" w:rsidRDefault="00FB659B" w:rsidP="00EC64C5">
      <w:pPr>
        <w:pStyle w:val="ListParagraph"/>
        <w:numPr>
          <w:ilvl w:val="2"/>
          <w:numId w:val="24"/>
        </w:numPr>
        <w:spacing w:before="0" w:after="120"/>
        <w:ind w:left="1134" w:hanging="425"/>
        <w:jc w:val="both"/>
      </w:pPr>
      <w:r w:rsidRPr="006C19DF">
        <w:t xml:space="preserve"> The PSCR </w:t>
      </w:r>
      <w:r w:rsidR="00400772" w:rsidRPr="006C19DF">
        <w:t xml:space="preserve">(p.2) </w:t>
      </w:r>
      <w:r w:rsidRPr="006C19DF">
        <w:t xml:space="preserve">acknowledged that there were other methods to provide an estimate, such as a weighted Kaplan-Meier analysis; however, the Cox regression model used was the most robust. The PSCR </w:t>
      </w:r>
      <w:r w:rsidR="00400772" w:rsidRPr="006C19DF">
        <w:t xml:space="preserve">(p.2) </w:t>
      </w:r>
      <w:r w:rsidRPr="006C19DF">
        <w:t>also acknowledged that there were a number of limitations to using a stratified approach to allow for non-proportionality, while reiterating that the approach used was the best choice for the application.</w:t>
      </w:r>
    </w:p>
    <w:p w:rsidR="00AA7B38" w:rsidRPr="00AA7B38" w:rsidRDefault="00400772" w:rsidP="00AA7B38">
      <w:pPr>
        <w:pStyle w:val="ListParagraph"/>
        <w:numPr>
          <w:ilvl w:val="2"/>
          <w:numId w:val="14"/>
        </w:numPr>
        <w:spacing w:before="0" w:after="120"/>
        <w:ind w:left="1134" w:hanging="425"/>
        <w:jc w:val="both"/>
        <w:rPr>
          <w:i/>
        </w:rPr>
      </w:pPr>
      <w:r w:rsidRPr="006C19DF">
        <w:t xml:space="preserve">The PSCR (p.3) disagreed with the view that the effect of the Cox regression model on the </w:t>
      </w:r>
      <w:r w:rsidR="0071033C">
        <w:t xml:space="preserve">OS </w:t>
      </w:r>
      <w:r w:rsidRPr="006C19DF">
        <w:t xml:space="preserve">estimate for the historical control cohort was unknown and might have over or underestimated survival. The PSCR argued that the goodness of fit exercise that was conducted, overlaying the Cox model estimate onto the Kaplan-Meier curve for the individual </w:t>
      </w:r>
      <w:proofErr w:type="spellStart"/>
      <w:r w:rsidRPr="006C19DF">
        <w:t>pralatrexate</w:t>
      </w:r>
      <w:proofErr w:type="spellEnd"/>
      <w:r w:rsidRPr="006C19DF">
        <w:t xml:space="preserve"> patient data</w:t>
      </w:r>
      <w:r w:rsidR="007E30F6" w:rsidRPr="006C19DF">
        <w:t xml:space="preserve"> showed the </w:t>
      </w:r>
      <w:r w:rsidR="007E30F6" w:rsidRPr="006C19DF">
        <w:lastRenderedPageBreak/>
        <w:t>modelling approach</w:t>
      </w:r>
      <w:r w:rsidRPr="006C19DF">
        <w:t xml:space="preserve"> was appropriate. The ESC considered that while this was likely to be a reasonable argument for the </w:t>
      </w:r>
      <w:proofErr w:type="spellStart"/>
      <w:r w:rsidRPr="006C19DF">
        <w:t>pralatrexate</w:t>
      </w:r>
      <w:proofErr w:type="spellEnd"/>
      <w:r w:rsidRPr="006C19DF">
        <w:t xml:space="preserve"> estimates, the Committee remained uncertain as to whether the same goodness of fit applied for the historical control cohort, as no individual patient data w</w:t>
      </w:r>
      <w:r w:rsidR="00FE2BF6">
        <w:t>ere</w:t>
      </w:r>
      <w:r w:rsidRPr="006C19DF">
        <w:t xml:space="preserve"> available for comparison with the modelled </w:t>
      </w:r>
      <w:r w:rsidRPr="00AA7B38">
        <w:t>estimate</w:t>
      </w:r>
      <w:r w:rsidR="007C69DA" w:rsidRPr="00AA7B38">
        <w:t>s</w:t>
      </w:r>
      <w:r w:rsidRPr="00AA7B38">
        <w:t>.</w:t>
      </w:r>
      <w:r w:rsidR="00AA7B38" w:rsidRPr="00AA7B38">
        <w:t xml:space="preserve"> The PBAC noted the Pre-PBAC response to this issue.</w:t>
      </w:r>
    </w:p>
    <w:p w:rsidR="00400772" w:rsidRPr="006C19DF" w:rsidRDefault="00400772" w:rsidP="00EC64C5">
      <w:pPr>
        <w:pStyle w:val="ListParagraph"/>
        <w:numPr>
          <w:ilvl w:val="2"/>
          <w:numId w:val="24"/>
        </w:numPr>
        <w:spacing w:before="0" w:after="120"/>
        <w:ind w:left="1134" w:hanging="425"/>
        <w:jc w:val="both"/>
      </w:pPr>
      <w:r w:rsidRPr="006C19DF">
        <w:t xml:space="preserve">Further, the ESC </w:t>
      </w:r>
      <w:r w:rsidR="00631512" w:rsidRPr="006C19DF">
        <w:t xml:space="preserve">considered </w:t>
      </w:r>
      <w:r w:rsidRPr="006C19DF">
        <w:t>that although of potential clinical relevance, the Australian cohort was very small (</w:t>
      </w:r>
      <w:r w:rsidR="000F1D32">
        <w:rPr>
          <w:noProof/>
          <w:color w:val="000000"/>
          <w:highlight w:val="black"/>
        </w:rPr>
        <w:t>'''''</w:t>
      </w:r>
      <w:r w:rsidRPr="008347F4">
        <w:t xml:space="preserve"> events from </w:t>
      </w:r>
      <w:r w:rsidR="000F1D32">
        <w:rPr>
          <w:noProof/>
          <w:color w:val="000000"/>
          <w:highlight w:val="black"/>
        </w:rPr>
        <w:t>''''''</w:t>
      </w:r>
      <w:r w:rsidRPr="008347F4">
        <w:t xml:space="preserve"> eligible patients),</w:t>
      </w:r>
      <w:r w:rsidRPr="006C19DF">
        <w:t xml:space="preserve"> and therefore considered that any analysis conducted comparing this cohort to the </w:t>
      </w:r>
      <w:r w:rsidR="0071033C">
        <w:t>OS</w:t>
      </w:r>
      <w:r w:rsidRPr="006C19DF">
        <w:t xml:space="preserve"> cohort, would be statistically underpowered.  </w:t>
      </w:r>
      <w:r w:rsidR="00B61BCE" w:rsidRPr="006C19DF">
        <w:t>T</w:t>
      </w:r>
      <w:r w:rsidRPr="006C19DF">
        <w:t xml:space="preserve">he small size of the Australian cohort also meant that </w:t>
      </w:r>
      <w:r w:rsidR="007C69DA" w:rsidRPr="006C19DF">
        <w:t xml:space="preserve">a </w:t>
      </w:r>
      <w:r w:rsidRPr="006C19DF">
        <w:t xml:space="preserve">robust determination of differences in the distribution of key confounders between the local and OS historical cohorts was difficult, as the difference between a genuine non-difference and an underpowered (and thus undetectable) difference, </w:t>
      </w:r>
      <w:r w:rsidR="007C69DA" w:rsidRPr="006C19DF">
        <w:t>would be difficult to estimate</w:t>
      </w:r>
      <w:r w:rsidRPr="006C19DF">
        <w:t xml:space="preserve">. </w:t>
      </w:r>
    </w:p>
    <w:p w:rsidR="001B0623" w:rsidRPr="00852E65" w:rsidRDefault="001B0623" w:rsidP="006B2D41">
      <w:pPr>
        <w:pStyle w:val="ListParagraph"/>
        <w:numPr>
          <w:ilvl w:val="1"/>
          <w:numId w:val="14"/>
        </w:numPr>
        <w:spacing w:before="0" w:after="120"/>
        <w:ind w:hanging="792"/>
        <w:jc w:val="both"/>
      </w:pPr>
      <w:r w:rsidRPr="00852E65">
        <w:t>Table 6</w:t>
      </w:r>
      <w:r w:rsidR="00AC10C0" w:rsidRPr="00852E65">
        <w:t xml:space="preserve"> and Figure 2</w:t>
      </w:r>
      <w:r w:rsidRPr="00852E65">
        <w:t xml:space="preserve"> present the estimated median </w:t>
      </w:r>
      <w:r w:rsidR="0071033C">
        <w:t>OS</w:t>
      </w:r>
      <w:r w:rsidRPr="00852E65">
        <w:t xml:space="preserve"> across a series of Kaplan Meier analyses stratified by each cohort and for the combined historical control cohort. </w:t>
      </w:r>
      <w:r w:rsidR="00597A20" w:rsidRPr="00852E65">
        <w:t>The hazard ratio is presented for the combined historical control cohort.</w:t>
      </w:r>
    </w:p>
    <w:p w:rsidR="00AA7B38" w:rsidRPr="00AA7B38" w:rsidRDefault="00673D97" w:rsidP="00AA7B38">
      <w:pPr>
        <w:pStyle w:val="ListParagraph"/>
        <w:numPr>
          <w:ilvl w:val="1"/>
          <w:numId w:val="14"/>
        </w:numPr>
        <w:spacing w:before="0" w:after="120"/>
        <w:ind w:hanging="792"/>
        <w:jc w:val="both"/>
      </w:pPr>
      <w:r w:rsidRPr="006C19DF">
        <w:t xml:space="preserve">The resubmission proposed a minimal clinically important difference (MCID) of three to five months improvement in median </w:t>
      </w:r>
      <w:r w:rsidR="0071033C">
        <w:t>OS</w:t>
      </w:r>
      <w:r w:rsidRPr="006C19DF">
        <w:t xml:space="preserve">, and a </w:t>
      </w:r>
      <w:r w:rsidR="000F1D32">
        <w:rPr>
          <w:noProof/>
          <w:color w:val="000000"/>
          <w:highlight w:val="black"/>
        </w:rPr>
        <w:t>'''''</w:t>
      </w:r>
      <w:r w:rsidR="008E0FF0" w:rsidRPr="002E492B">
        <w:t xml:space="preserve">% to </w:t>
      </w:r>
      <w:r w:rsidR="000F1D32">
        <w:rPr>
          <w:noProof/>
          <w:color w:val="000000"/>
          <w:highlight w:val="black"/>
        </w:rPr>
        <w:t>'''''</w:t>
      </w:r>
      <w:r w:rsidRPr="002E492B">
        <w:t>% improvement in the hazard ratio</w:t>
      </w:r>
      <w:r w:rsidR="00163864" w:rsidRPr="002E492B">
        <w:t xml:space="preserve"> (i.e. a hazard ratio less than </w:t>
      </w:r>
      <w:r w:rsidR="000F1D32">
        <w:rPr>
          <w:noProof/>
          <w:color w:val="000000"/>
          <w:highlight w:val="black"/>
        </w:rPr>
        <w:t>''''''''</w:t>
      </w:r>
      <w:r w:rsidR="00163864" w:rsidRPr="002E492B">
        <w:t xml:space="preserve"> to </w:t>
      </w:r>
      <w:r w:rsidR="000F1D32">
        <w:rPr>
          <w:noProof/>
          <w:color w:val="000000"/>
          <w:highlight w:val="black"/>
        </w:rPr>
        <w:t>'''''''''</w:t>
      </w:r>
      <w:r w:rsidR="00163864" w:rsidRPr="002E492B">
        <w:t>)</w:t>
      </w:r>
      <w:r w:rsidRPr="002E492B">
        <w:t xml:space="preserve">. </w:t>
      </w:r>
      <w:r w:rsidR="007368AA" w:rsidRPr="002E492B">
        <w:t xml:space="preserve">The MCID was derived </w:t>
      </w:r>
      <w:r w:rsidR="00856161" w:rsidRPr="002E492B">
        <w:t>from</w:t>
      </w:r>
      <w:r w:rsidR="007368AA" w:rsidRPr="002E492B">
        <w:t xml:space="preserve"> deliberations of an expert </w:t>
      </w:r>
      <w:r w:rsidR="00163864" w:rsidRPr="002E492B">
        <w:t>consensus</w:t>
      </w:r>
      <w:r w:rsidR="007368AA" w:rsidRPr="002E492B">
        <w:t xml:space="preserve"> panel </w:t>
      </w:r>
      <w:r w:rsidR="00856161" w:rsidRPr="002E492B">
        <w:t>of</w:t>
      </w:r>
      <w:r w:rsidR="007368AA" w:rsidRPr="002E492B">
        <w:t xml:space="preserve"> the American Society of Clinical Oncology working groups (Ellis 2014).</w:t>
      </w:r>
      <w:r w:rsidRPr="002E492B">
        <w:t xml:space="preserve"> </w:t>
      </w:r>
      <w:r w:rsidR="00400772" w:rsidRPr="002E492B">
        <w:t xml:space="preserve">The ESC considered that the nominated MCID (median </w:t>
      </w:r>
      <w:r w:rsidR="000F1D32">
        <w:rPr>
          <w:noProof/>
          <w:color w:val="000000"/>
          <w:highlight w:val="black"/>
        </w:rPr>
        <w:t>'''</w:t>
      </w:r>
      <w:r w:rsidR="00400772" w:rsidRPr="002E492B">
        <w:t xml:space="preserve"> months’ improvement in median OS; HR </w:t>
      </w:r>
      <w:r w:rsidR="000F1D32">
        <w:rPr>
          <w:noProof/>
          <w:color w:val="000000"/>
          <w:highlight w:val="black"/>
        </w:rPr>
        <w:t>''''''''''</w:t>
      </w:r>
      <w:r w:rsidR="00400772" w:rsidRPr="002E492B">
        <w:t>)</w:t>
      </w:r>
      <w:r w:rsidR="00400772" w:rsidRPr="00AA7B38">
        <w:t xml:space="preserve"> was </w:t>
      </w:r>
      <w:r w:rsidR="005C190C" w:rsidRPr="00AA7B38">
        <w:t>like</w:t>
      </w:r>
      <w:r w:rsidR="00400772" w:rsidRPr="00AA7B38">
        <w:t xml:space="preserve">ly to be reasonable. </w:t>
      </w:r>
      <w:r w:rsidR="00AA7B38" w:rsidRPr="00AA7B38">
        <w:t>The PBAC agreed that for assessment of well conducted randomised trials such values would represent a reasonable MCID.</w:t>
      </w:r>
    </w:p>
    <w:p w:rsidR="007368CA" w:rsidRDefault="007368CA" w:rsidP="007368CA">
      <w:pPr>
        <w:pStyle w:val="Caption"/>
      </w:pPr>
      <w:r>
        <w:t xml:space="preserve">Table </w:t>
      </w:r>
      <w:r w:rsidR="007152C2">
        <w:rPr>
          <w:noProof/>
        </w:rPr>
        <w:t>6</w:t>
      </w:r>
      <w:r w:rsidRPr="00775298">
        <w:t>: Predicted median overall survivals – comparative analysis set</w:t>
      </w:r>
    </w:p>
    <w:tbl>
      <w:tblPr>
        <w:tblStyle w:val="TableGrid1"/>
        <w:tblW w:w="0" w:type="auto"/>
        <w:tblLook w:val="04A0" w:firstRow="1" w:lastRow="0" w:firstColumn="1" w:lastColumn="0" w:noHBand="0" w:noVBand="1"/>
        <w:tblCaption w:val="Predicted median overall survivals – comparative analysis set"/>
      </w:tblPr>
      <w:tblGrid>
        <w:gridCol w:w="3114"/>
        <w:gridCol w:w="2126"/>
        <w:gridCol w:w="1985"/>
        <w:gridCol w:w="1791"/>
      </w:tblGrid>
      <w:tr w:rsidR="00673D97" w:rsidRPr="00852E65" w:rsidTr="007250D7">
        <w:trPr>
          <w:cantSplit/>
          <w:tblHeader/>
        </w:trPr>
        <w:tc>
          <w:tcPr>
            <w:tcW w:w="3114" w:type="dxa"/>
            <w:vMerge w:val="restart"/>
            <w:tcMar>
              <w:left w:w="28" w:type="dxa"/>
              <w:right w:w="28" w:type="dxa"/>
            </w:tcMar>
          </w:tcPr>
          <w:p w:rsidR="00673D97" w:rsidRPr="00D20277" w:rsidRDefault="00673D97" w:rsidP="007D5AB9">
            <w:pPr>
              <w:pStyle w:val="TableText"/>
              <w:rPr>
                <w:highlight w:val="yellow"/>
              </w:rPr>
            </w:pPr>
          </w:p>
        </w:tc>
        <w:tc>
          <w:tcPr>
            <w:tcW w:w="2126" w:type="dxa"/>
            <w:tcMar>
              <w:left w:w="28" w:type="dxa"/>
              <w:right w:w="28" w:type="dxa"/>
            </w:tcMar>
          </w:tcPr>
          <w:p w:rsidR="00673D97" w:rsidRPr="008347F4" w:rsidRDefault="00673D97" w:rsidP="007D5AB9">
            <w:pPr>
              <w:pStyle w:val="TableText"/>
              <w:rPr>
                <w:b/>
              </w:rPr>
            </w:pPr>
            <w:proofErr w:type="spellStart"/>
            <w:r w:rsidRPr="008347F4">
              <w:rPr>
                <w:b/>
              </w:rPr>
              <w:t>Pralatrexate</w:t>
            </w:r>
            <w:proofErr w:type="spellEnd"/>
          </w:p>
        </w:tc>
        <w:tc>
          <w:tcPr>
            <w:tcW w:w="3776" w:type="dxa"/>
            <w:gridSpan w:val="2"/>
            <w:tcMar>
              <w:left w:w="28" w:type="dxa"/>
              <w:right w:w="28" w:type="dxa"/>
            </w:tcMar>
          </w:tcPr>
          <w:p w:rsidR="00673D97" w:rsidRPr="008347F4" w:rsidRDefault="00673D97" w:rsidP="007D5AB9">
            <w:pPr>
              <w:pStyle w:val="TableText"/>
              <w:rPr>
                <w:b/>
              </w:rPr>
            </w:pPr>
            <w:r w:rsidRPr="008347F4">
              <w:rPr>
                <w:b/>
              </w:rPr>
              <w:t>Historical control cohort</w:t>
            </w:r>
          </w:p>
        </w:tc>
      </w:tr>
      <w:tr w:rsidR="00673D97" w:rsidRPr="00852E65" w:rsidTr="007250D7">
        <w:trPr>
          <w:cantSplit/>
          <w:tblHeader/>
        </w:trPr>
        <w:tc>
          <w:tcPr>
            <w:tcW w:w="3114" w:type="dxa"/>
            <w:vMerge/>
            <w:tcMar>
              <w:left w:w="28" w:type="dxa"/>
              <w:right w:w="28" w:type="dxa"/>
            </w:tcMar>
          </w:tcPr>
          <w:p w:rsidR="00673D97" w:rsidRPr="00D20277" w:rsidRDefault="00673D97" w:rsidP="007D5AB9">
            <w:pPr>
              <w:pStyle w:val="TableText"/>
              <w:rPr>
                <w:highlight w:val="yellow"/>
              </w:rPr>
            </w:pPr>
          </w:p>
        </w:tc>
        <w:tc>
          <w:tcPr>
            <w:tcW w:w="2126" w:type="dxa"/>
            <w:tcMar>
              <w:left w:w="28" w:type="dxa"/>
              <w:right w:w="28" w:type="dxa"/>
            </w:tcMar>
          </w:tcPr>
          <w:p w:rsidR="00673D97" w:rsidRPr="008347F4" w:rsidRDefault="00673D97" w:rsidP="007D5AB9">
            <w:pPr>
              <w:pStyle w:val="TableText"/>
              <w:rPr>
                <w:b/>
              </w:rPr>
            </w:pPr>
            <w:r w:rsidRPr="008347F4">
              <w:rPr>
                <w:b/>
              </w:rPr>
              <w:t>PDX-008</w:t>
            </w:r>
          </w:p>
        </w:tc>
        <w:tc>
          <w:tcPr>
            <w:tcW w:w="1985" w:type="dxa"/>
            <w:tcMar>
              <w:left w:w="28" w:type="dxa"/>
              <w:right w:w="28" w:type="dxa"/>
            </w:tcMar>
          </w:tcPr>
          <w:p w:rsidR="00673D97" w:rsidRPr="008347F4" w:rsidRDefault="00673D97" w:rsidP="007D5AB9">
            <w:pPr>
              <w:pStyle w:val="TableText"/>
              <w:rPr>
                <w:b/>
              </w:rPr>
            </w:pPr>
            <w:r w:rsidRPr="008347F4">
              <w:rPr>
                <w:b/>
              </w:rPr>
              <w:t>International databases</w:t>
            </w:r>
          </w:p>
        </w:tc>
        <w:tc>
          <w:tcPr>
            <w:tcW w:w="1791" w:type="dxa"/>
            <w:tcMar>
              <w:left w:w="28" w:type="dxa"/>
              <w:right w:w="28" w:type="dxa"/>
            </w:tcMar>
          </w:tcPr>
          <w:p w:rsidR="00673D97" w:rsidRPr="008347F4" w:rsidRDefault="00673D97" w:rsidP="007D5AB9">
            <w:pPr>
              <w:pStyle w:val="TableText"/>
              <w:rPr>
                <w:b/>
              </w:rPr>
            </w:pPr>
            <w:r w:rsidRPr="008347F4">
              <w:rPr>
                <w:b/>
              </w:rPr>
              <w:t>Australian database</w:t>
            </w:r>
          </w:p>
        </w:tc>
      </w:tr>
      <w:tr w:rsidR="00673D97" w:rsidRPr="00852E65" w:rsidTr="007250D7">
        <w:trPr>
          <w:cantSplit/>
        </w:trPr>
        <w:tc>
          <w:tcPr>
            <w:tcW w:w="3114" w:type="dxa"/>
            <w:tcMar>
              <w:left w:w="28" w:type="dxa"/>
              <w:right w:w="28" w:type="dxa"/>
            </w:tcMar>
          </w:tcPr>
          <w:p w:rsidR="00673D97" w:rsidRPr="008347F4" w:rsidRDefault="00673D97" w:rsidP="007D5AB9">
            <w:pPr>
              <w:pStyle w:val="TableText"/>
            </w:pPr>
            <w:r w:rsidRPr="008347F4">
              <w:t>N</w:t>
            </w:r>
          </w:p>
        </w:tc>
        <w:tc>
          <w:tcPr>
            <w:tcW w:w="2126" w:type="dxa"/>
            <w:tcMar>
              <w:left w:w="28" w:type="dxa"/>
              <w:right w:w="28" w:type="dxa"/>
            </w:tcMar>
          </w:tcPr>
          <w:p w:rsidR="00673D97" w:rsidRPr="000F1D32" w:rsidRDefault="000F1D32" w:rsidP="007D5AB9">
            <w:pPr>
              <w:pStyle w:val="TableText"/>
              <w:rPr>
                <w:highlight w:val="black"/>
              </w:rPr>
            </w:pPr>
            <w:r>
              <w:rPr>
                <w:noProof/>
                <w:color w:val="000000"/>
                <w:highlight w:val="black"/>
              </w:rPr>
              <w:t>'''''''''</w:t>
            </w:r>
          </w:p>
        </w:tc>
        <w:tc>
          <w:tcPr>
            <w:tcW w:w="1985" w:type="dxa"/>
            <w:tcMar>
              <w:left w:w="28" w:type="dxa"/>
              <w:right w:w="28" w:type="dxa"/>
            </w:tcMar>
          </w:tcPr>
          <w:p w:rsidR="00673D97" w:rsidRPr="000F1D32" w:rsidRDefault="000F1D32" w:rsidP="007D5AB9">
            <w:pPr>
              <w:pStyle w:val="TableText"/>
              <w:rPr>
                <w:highlight w:val="black"/>
              </w:rPr>
            </w:pPr>
            <w:r>
              <w:rPr>
                <w:noProof/>
                <w:color w:val="000000"/>
                <w:highlight w:val="black"/>
              </w:rPr>
              <w:t>''''''''''</w:t>
            </w:r>
          </w:p>
        </w:tc>
        <w:tc>
          <w:tcPr>
            <w:tcW w:w="1791" w:type="dxa"/>
            <w:tcMar>
              <w:left w:w="28" w:type="dxa"/>
              <w:right w:w="28" w:type="dxa"/>
            </w:tcMar>
          </w:tcPr>
          <w:p w:rsidR="00673D97" w:rsidRPr="000F1D32" w:rsidRDefault="000F1D32" w:rsidP="007D5AB9">
            <w:pPr>
              <w:pStyle w:val="TableText"/>
              <w:rPr>
                <w:highlight w:val="black"/>
              </w:rPr>
            </w:pPr>
            <w:r>
              <w:rPr>
                <w:noProof/>
                <w:color w:val="000000"/>
                <w:highlight w:val="black"/>
              </w:rPr>
              <w:t>''''''</w:t>
            </w:r>
          </w:p>
        </w:tc>
      </w:tr>
      <w:tr w:rsidR="00673D97" w:rsidRPr="00852E65" w:rsidTr="007250D7">
        <w:trPr>
          <w:cantSplit/>
        </w:trPr>
        <w:tc>
          <w:tcPr>
            <w:tcW w:w="3114" w:type="dxa"/>
            <w:tcMar>
              <w:left w:w="28" w:type="dxa"/>
              <w:right w:w="28" w:type="dxa"/>
            </w:tcMar>
          </w:tcPr>
          <w:p w:rsidR="00673D97" w:rsidRPr="008347F4" w:rsidRDefault="00673D97" w:rsidP="007D5AB9">
            <w:pPr>
              <w:pStyle w:val="TableText"/>
            </w:pPr>
            <w:r w:rsidRPr="008347F4">
              <w:t>Events, n</w:t>
            </w:r>
          </w:p>
        </w:tc>
        <w:tc>
          <w:tcPr>
            <w:tcW w:w="2126" w:type="dxa"/>
            <w:tcMar>
              <w:left w:w="28" w:type="dxa"/>
              <w:right w:w="28" w:type="dxa"/>
            </w:tcMar>
          </w:tcPr>
          <w:p w:rsidR="00673D97" w:rsidRPr="000F1D32" w:rsidRDefault="000F1D32" w:rsidP="007D5AB9">
            <w:pPr>
              <w:pStyle w:val="TableText"/>
              <w:rPr>
                <w:highlight w:val="black"/>
              </w:rPr>
            </w:pPr>
            <w:r>
              <w:rPr>
                <w:noProof/>
                <w:color w:val="000000"/>
                <w:highlight w:val="black"/>
              </w:rPr>
              <w:t>'''''''</w:t>
            </w:r>
          </w:p>
        </w:tc>
        <w:tc>
          <w:tcPr>
            <w:tcW w:w="1985" w:type="dxa"/>
            <w:tcMar>
              <w:left w:w="28" w:type="dxa"/>
              <w:right w:w="28" w:type="dxa"/>
            </w:tcMar>
          </w:tcPr>
          <w:p w:rsidR="00673D97" w:rsidRPr="000F1D32" w:rsidRDefault="000F1D32" w:rsidP="007D5AB9">
            <w:pPr>
              <w:pStyle w:val="TableText"/>
              <w:rPr>
                <w:highlight w:val="black"/>
              </w:rPr>
            </w:pPr>
            <w:r>
              <w:rPr>
                <w:noProof/>
                <w:color w:val="000000"/>
                <w:highlight w:val="black"/>
              </w:rPr>
              <w:t>''''''''''</w:t>
            </w:r>
          </w:p>
        </w:tc>
        <w:tc>
          <w:tcPr>
            <w:tcW w:w="1791" w:type="dxa"/>
            <w:tcMar>
              <w:left w:w="28" w:type="dxa"/>
              <w:right w:w="28" w:type="dxa"/>
            </w:tcMar>
          </w:tcPr>
          <w:p w:rsidR="00673D97" w:rsidRPr="000F1D32" w:rsidRDefault="000F1D32" w:rsidP="007D5AB9">
            <w:pPr>
              <w:pStyle w:val="TableText"/>
              <w:rPr>
                <w:highlight w:val="black"/>
              </w:rPr>
            </w:pPr>
            <w:r>
              <w:rPr>
                <w:noProof/>
                <w:color w:val="000000"/>
                <w:highlight w:val="black"/>
              </w:rPr>
              <w:t>'''''</w:t>
            </w:r>
          </w:p>
        </w:tc>
      </w:tr>
      <w:tr w:rsidR="00673D97" w:rsidRPr="00852E65" w:rsidTr="007250D7">
        <w:trPr>
          <w:cantSplit/>
        </w:trPr>
        <w:tc>
          <w:tcPr>
            <w:tcW w:w="3114" w:type="dxa"/>
            <w:vMerge w:val="restart"/>
            <w:tcMar>
              <w:left w:w="28" w:type="dxa"/>
              <w:right w:w="28" w:type="dxa"/>
            </w:tcMar>
            <w:vAlign w:val="center"/>
          </w:tcPr>
          <w:p w:rsidR="00673D97" w:rsidRPr="008347F4" w:rsidRDefault="00673D97" w:rsidP="007D5AB9">
            <w:pPr>
              <w:pStyle w:val="TableText"/>
              <w:keepNext w:val="0"/>
            </w:pPr>
            <w:r w:rsidRPr="008347F4">
              <w:t>Median OS, months (95% CI)</w:t>
            </w:r>
          </w:p>
        </w:tc>
        <w:tc>
          <w:tcPr>
            <w:tcW w:w="2126" w:type="dxa"/>
            <w:vMerge w:val="restart"/>
            <w:tcMar>
              <w:left w:w="28" w:type="dxa"/>
              <w:right w:w="28" w:type="dxa"/>
            </w:tcMar>
            <w:vAlign w:val="center"/>
          </w:tcPr>
          <w:p w:rsidR="00673D97" w:rsidRPr="000F1D32" w:rsidRDefault="000F1D32" w:rsidP="007D5AB9">
            <w:pPr>
              <w:pStyle w:val="TableText"/>
              <w:keepNext w:val="0"/>
              <w:rPr>
                <w:highlight w:val="black"/>
              </w:rPr>
            </w:pPr>
            <w:r>
              <w:rPr>
                <w:noProof/>
                <w:color w:val="000000"/>
                <w:highlight w:val="black"/>
              </w:rPr>
              <w:t>''''''''''' ''''''''''''''' ''''''''''''''</w:t>
            </w:r>
          </w:p>
        </w:tc>
        <w:tc>
          <w:tcPr>
            <w:tcW w:w="1985" w:type="dxa"/>
            <w:tcMar>
              <w:left w:w="28" w:type="dxa"/>
              <w:right w:w="28" w:type="dxa"/>
            </w:tcMar>
          </w:tcPr>
          <w:p w:rsidR="00673D97" w:rsidRPr="000F1D32" w:rsidRDefault="000F1D32" w:rsidP="007D5AB9">
            <w:pPr>
              <w:pStyle w:val="TableText"/>
              <w:keepNext w:val="0"/>
              <w:rPr>
                <w:highlight w:val="black"/>
              </w:rPr>
            </w:pPr>
            <w:r>
              <w:rPr>
                <w:noProof/>
                <w:color w:val="000000"/>
                <w:highlight w:val="black"/>
              </w:rPr>
              <w:t xml:space="preserve">'''''''' ''''''''''' ''''''''' </w:t>
            </w:r>
          </w:p>
        </w:tc>
        <w:tc>
          <w:tcPr>
            <w:tcW w:w="1791" w:type="dxa"/>
            <w:tcMar>
              <w:left w:w="28" w:type="dxa"/>
              <w:right w:w="28" w:type="dxa"/>
            </w:tcMar>
          </w:tcPr>
          <w:p w:rsidR="00673D97" w:rsidRPr="000F1D32" w:rsidRDefault="000F1D32" w:rsidP="007D5AB9">
            <w:pPr>
              <w:pStyle w:val="TableText"/>
              <w:keepNext w:val="0"/>
              <w:rPr>
                <w:highlight w:val="black"/>
              </w:rPr>
            </w:pPr>
            <w:r>
              <w:rPr>
                <w:noProof/>
                <w:color w:val="000000"/>
                <w:highlight w:val="black"/>
              </w:rPr>
              <w:t xml:space="preserve">'''''''''' ''''''''''' ''''''''''''' </w:t>
            </w:r>
          </w:p>
        </w:tc>
      </w:tr>
      <w:tr w:rsidR="00673D97" w:rsidRPr="00852E65" w:rsidTr="007250D7">
        <w:trPr>
          <w:cantSplit/>
        </w:trPr>
        <w:tc>
          <w:tcPr>
            <w:tcW w:w="3114" w:type="dxa"/>
            <w:vMerge/>
            <w:tcMar>
              <w:left w:w="28" w:type="dxa"/>
              <w:right w:w="28" w:type="dxa"/>
            </w:tcMar>
          </w:tcPr>
          <w:p w:rsidR="00673D97" w:rsidRPr="008347F4" w:rsidRDefault="00673D97" w:rsidP="007D5AB9">
            <w:pPr>
              <w:pStyle w:val="TableText"/>
              <w:keepNext w:val="0"/>
            </w:pPr>
          </w:p>
        </w:tc>
        <w:tc>
          <w:tcPr>
            <w:tcW w:w="2126" w:type="dxa"/>
            <w:vMerge/>
            <w:tcMar>
              <w:left w:w="28" w:type="dxa"/>
              <w:right w:w="28" w:type="dxa"/>
            </w:tcMar>
          </w:tcPr>
          <w:p w:rsidR="00673D97" w:rsidRPr="002E492B" w:rsidRDefault="00673D97" w:rsidP="007D5AB9">
            <w:pPr>
              <w:pStyle w:val="TableText"/>
              <w:keepNext w:val="0"/>
              <w:jc w:val="center"/>
            </w:pPr>
          </w:p>
        </w:tc>
        <w:tc>
          <w:tcPr>
            <w:tcW w:w="3776" w:type="dxa"/>
            <w:gridSpan w:val="2"/>
            <w:tcMar>
              <w:left w:w="28" w:type="dxa"/>
              <w:right w:w="28" w:type="dxa"/>
            </w:tcMar>
          </w:tcPr>
          <w:p w:rsidR="00673D97" w:rsidRPr="002E492B" w:rsidRDefault="001D1FE6" w:rsidP="007D5AB9">
            <w:pPr>
              <w:pStyle w:val="TableText"/>
              <w:keepNext w:val="0"/>
            </w:pPr>
            <w:r w:rsidRPr="002E492B">
              <w:t xml:space="preserve">Combined: </w:t>
            </w:r>
            <w:r w:rsidR="000F1D32">
              <w:rPr>
                <w:noProof/>
                <w:color w:val="000000"/>
                <w:highlight w:val="black"/>
              </w:rPr>
              <w:t>'''''''' '''''''''' ''''''''''</w:t>
            </w:r>
          </w:p>
        </w:tc>
      </w:tr>
      <w:tr w:rsidR="00673D97" w:rsidRPr="00852E65" w:rsidTr="007250D7">
        <w:trPr>
          <w:cantSplit/>
        </w:trPr>
        <w:tc>
          <w:tcPr>
            <w:tcW w:w="3114" w:type="dxa"/>
            <w:tcMar>
              <w:left w:w="28" w:type="dxa"/>
              <w:right w:w="28" w:type="dxa"/>
            </w:tcMar>
          </w:tcPr>
          <w:p w:rsidR="00673D97" w:rsidRPr="008347F4" w:rsidRDefault="00673D97" w:rsidP="007D5AB9">
            <w:pPr>
              <w:pStyle w:val="TableText"/>
              <w:keepNext w:val="0"/>
            </w:pPr>
            <w:r w:rsidRPr="008347F4">
              <w:t>HR (95% CI)</w:t>
            </w:r>
            <w:r w:rsidR="00DF65D7" w:rsidRPr="008347F4">
              <w:t xml:space="preserve"> </w:t>
            </w:r>
            <w:r w:rsidR="00DF65D7" w:rsidRPr="008347F4">
              <w:rPr>
                <w:vertAlign w:val="superscript"/>
              </w:rPr>
              <w:t>a, b</w:t>
            </w:r>
          </w:p>
        </w:tc>
        <w:tc>
          <w:tcPr>
            <w:tcW w:w="5902" w:type="dxa"/>
            <w:gridSpan w:val="3"/>
            <w:tcMar>
              <w:left w:w="28" w:type="dxa"/>
              <w:right w:w="28" w:type="dxa"/>
            </w:tcMar>
          </w:tcPr>
          <w:p w:rsidR="00673D97" w:rsidRPr="000F1D32" w:rsidRDefault="000F1D32" w:rsidP="007D5AB9">
            <w:pPr>
              <w:pStyle w:val="TableText"/>
              <w:keepNext w:val="0"/>
              <w:rPr>
                <w:highlight w:val="black"/>
              </w:rPr>
            </w:pPr>
            <w:r>
              <w:rPr>
                <w:noProof/>
                <w:color w:val="000000"/>
                <w:highlight w:val="black"/>
              </w:rPr>
              <w:t>'''''''''' '''''''''''''' ''''''''''''</w:t>
            </w:r>
          </w:p>
        </w:tc>
      </w:tr>
      <w:tr w:rsidR="00673D97" w:rsidRPr="00852E65" w:rsidTr="007250D7">
        <w:trPr>
          <w:cantSplit/>
        </w:trPr>
        <w:tc>
          <w:tcPr>
            <w:tcW w:w="9016" w:type="dxa"/>
            <w:gridSpan w:val="4"/>
            <w:tcMar>
              <w:left w:w="28" w:type="dxa"/>
              <w:right w:w="28" w:type="dxa"/>
            </w:tcMar>
          </w:tcPr>
          <w:p w:rsidR="00673D97" w:rsidRPr="00D20277" w:rsidRDefault="00673D97" w:rsidP="007D5AB9">
            <w:pPr>
              <w:pStyle w:val="TableText"/>
              <w:keepNext w:val="0"/>
              <w:rPr>
                <w:b/>
                <w:highlight w:val="yellow"/>
              </w:rPr>
            </w:pPr>
            <w:r w:rsidRPr="00302C27">
              <w:rPr>
                <w:b/>
              </w:rPr>
              <w:t>November 2015/March 2016 submissions</w:t>
            </w:r>
          </w:p>
        </w:tc>
      </w:tr>
      <w:tr w:rsidR="00673D97" w:rsidRPr="00852E65" w:rsidTr="007250D7">
        <w:trPr>
          <w:cantSplit/>
        </w:trPr>
        <w:tc>
          <w:tcPr>
            <w:tcW w:w="3114" w:type="dxa"/>
            <w:tcMar>
              <w:left w:w="28" w:type="dxa"/>
              <w:right w:w="28" w:type="dxa"/>
            </w:tcMar>
          </w:tcPr>
          <w:p w:rsidR="00673D97" w:rsidRPr="008347F4" w:rsidRDefault="00673D97" w:rsidP="007D5AB9">
            <w:pPr>
              <w:pStyle w:val="TableText"/>
              <w:keepNext w:val="0"/>
            </w:pPr>
            <w:r w:rsidRPr="008347F4">
              <w:t>N</w:t>
            </w:r>
          </w:p>
        </w:tc>
        <w:tc>
          <w:tcPr>
            <w:tcW w:w="2126" w:type="dxa"/>
            <w:tcMar>
              <w:left w:w="28" w:type="dxa"/>
              <w:right w:w="28" w:type="dxa"/>
            </w:tcMar>
          </w:tcPr>
          <w:p w:rsidR="00673D97" w:rsidRPr="008347F4" w:rsidRDefault="00673D97" w:rsidP="007D5AB9">
            <w:pPr>
              <w:pStyle w:val="TableText"/>
              <w:keepNext w:val="0"/>
            </w:pPr>
            <w:r w:rsidRPr="008347F4">
              <w:t>66</w:t>
            </w:r>
          </w:p>
        </w:tc>
        <w:tc>
          <w:tcPr>
            <w:tcW w:w="1985" w:type="dxa"/>
          </w:tcPr>
          <w:p w:rsidR="00673D97" w:rsidRPr="008347F4" w:rsidRDefault="00673D97" w:rsidP="007D5AB9">
            <w:pPr>
              <w:pStyle w:val="TableText"/>
              <w:keepNext w:val="0"/>
            </w:pPr>
            <w:r w:rsidRPr="008347F4">
              <w:t>66</w:t>
            </w:r>
          </w:p>
        </w:tc>
        <w:tc>
          <w:tcPr>
            <w:tcW w:w="1791" w:type="dxa"/>
          </w:tcPr>
          <w:p w:rsidR="00673D97" w:rsidRPr="008347F4" w:rsidRDefault="00673D97" w:rsidP="007D5AB9">
            <w:pPr>
              <w:pStyle w:val="TableText"/>
              <w:keepNext w:val="0"/>
            </w:pPr>
            <w:r w:rsidRPr="008347F4">
              <w:t>NA</w:t>
            </w:r>
          </w:p>
        </w:tc>
      </w:tr>
      <w:tr w:rsidR="00673D97" w:rsidRPr="00852E65" w:rsidTr="007250D7">
        <w:trPr>
          <w:cantSplit/>
        </w:trPr>
        <w:tc>
          <w:tcPr>
            <w:tcW w:w="3114" w:type="dxa"/>
            <w:tcBorders>
              <w:bottom w:val="single" w:sz="4" w:space="0" w:color="auto"/>
            </w:tcBorders>
            <w:tcMar>
              <w:left w:w="28" w:type="dxa"/>
              <w:right w:w="28" w:type="dxa"/>
            </w:tcMar>
          </w:tcPr>
          <w:p w:rsidR="00673D97" w:rsidRPr="008347F4" w:rsidRDefault="00673D97" w:rsidP="007D5AB9">
            <w:pPr>
              <w:pStyle w:val="TableText"/>
              <w:keepNext w:val="0"/>
            </w:pPr>
            <w:r w:rsidRPr="008347F4">
              <w:t>Median OS, months (95% CI)</w:t>
            </w:r>
          </w:p>
        </w:tc>
        <w:tc>
          <w:tcPr>
            <w:tcW w:w="2126" w:type="dxa"/>
            <w:tcBorders>
              <w:bottom w:val="single" w:sz="4" w:space="0" w:color="auto"/>
            </w:tcBorders>
            <w:tcMar>
              <w:left w:w="28" w:type="dxa"/>
              <w:right w:w="28" w:type="dxa"/>
            </w:tcMar>
          </w:tcPr>
          <w:p w:rsidR="00673D97" w:rsidRPr="008347F4" w:rsidRDefault="00673D97" w:rsidP="007D5AB9">
            <w:pPr>
              <w:pStyle w:val="TableText"/>
              <w:keepNext w:val="0"/>
            </w:pPr>
            <w:r w:rsidRPr="008347F4">
              <w:t>19.0 (11.4, NE)</w:t>
            </w:r>
          </w:p>
        </w:tc>
        <w:tc>
          <w:tcPr>
            <w:tcW w:w="1985" w:type="dxa"/>
            <w:tcBorders>
              <w:bottom w:val="single" w:sz="4" w:space="0" w:color="auto"/>
            </w:tcBorders>
          </w:tcPr>
          <w:p w:rsidR="00673D97" w:rsidRPr="008347F4" w:rsidRDefault="00673D97" w:rsidP="007D5AB9">
            <w:pPr>
              <w:pStyle w:val="TableText"/>
              <w:keepNext w:val="0"/>
            </w:pPr>
            <w:r w:rsidRPr="008347F4">
              <w:t>5.8 (3.5, 8.0)</w:t>
            </w:r>
          </w:p>
        </w:tc>
        <w:tc>
          <w:tcPr>
            <w:tcW w:w="1791" w:type="dxa"/>
            <w:tcBorders>
              <w:bottom w:val="single" w:sz="4" w:space="0" w:color="auto"/>
            </w:tcBorders>
          </w:tcPr>
          <w:p w:rsidR="00673D97" w:rsidRPr="008347F4" w:rsidRDefault="00673D97" w:rsidP="007D5AB9">
            <w:pPr>
              <w:pStyle w:val="TableText"/>
              <w:keepNext w:val="0"/>
            </w:pPr>
            <w:r w:rsidRPr="008347F4">
              <w:t>NA</w:t>
            </w:r>
          </w:p>
        </w:tc>
      </w:tr>
      <w:tr w:rsidR="00673D97" w:rsidRPr="00852E65" w:rsidTr="007250D7">
        <w:trPr>
          <w:cantSplit/>
        </w:trPr>
        <w:tc>
          <w:tcPr>
            <w:tcW w:w="3114" w:type="dxa"/>
            <w:tcMar>
              <w:left w:w="28" w:type="dxa"/>
              <w:right w:w="28" w:type="dxa"/>
            </w:tcMar>
          </w:tcPr>
          <w:p w:rsidR="00673D97" w:rsidRPr="008347F4" w:rsidRDefault="00673D97" w:rsidP="007D5AB9">
            <w:pPr>
              <w:pStyle w:val="TableText"/>
              <w:keepNext w:val="0"/>
            </w:pPr>
            <w:r w:rsidRPr="008347F4">
              <w:t>HR (95% CI)</w:t>
            </w:r>
          </w:p>
        </w:tc>
        <w:tc>
          <w:tcPr>
            <w:tcW w:w="5902" w:type="dxa"/>
            <w:gridSpan w:val="3"/>
            <w:tcMar>
              <w:left w:w="28" w:type="dxa"/>
              <w:right w:w="28" w:type="dxa"/>
            </w:tcMar>
          </w:tcPr>
          <w:p w:rsidR="00673D97" w:rsidRPr="008347F4" w:rsidRDefault="00673D97" w:rsidP="007D5AB9">
            <w:pPr>
              <w:pStyle w:val="TableText"/>
              <w:keepNext w:val="0"/>
            </w:pPr>
            <w:r w:rsidRPr="008347F4">
              <w:t>0.394 (0.26, 0.60)</w:t>
            </w:r>
          </w:p>
        </w:tc>
      </w:tr>
    </w:tbl>
    <w:p w:rsidR="00673D97" w:rsidRPr="008347F4" w:rsidRDefault="00673D97" w:rsidP="007D5AB9">
      <w:pPr>
        <w:pStyle w:val="TableFooter"/>
        <w:widowControl/>
      </w:pPr>
      <w:r w:rsidRPr="008347F4">
        <w:t>Source: Table 2.43, p2-101; Table 2.44, p2-104 of the resubmission</w:t>
      </w:r>
    </w:p>
    <w:p w:rsidR="00673D97" w:rsidRPr="008347F4" w:rsidRDefault="00673D97" w:rsidP="007D5AB9">
      <w:pPr>
        <w:pStyle w:val="TableFooter"/>
        <w:widowControl/>
      </w:pPr>
      <w:r w:rsidRPr="008347F4">
        <w:t>CI = confidence interval; HR = hazard ratio; NA = not applicable; NE = not estimable; OS = overall survival</w:t>
      </w:r>
    </w:p>
    <w:p w:rsidR="00673D97" w:rsidRPr="002E492B" w:rsidRDefault="00673D97" w:rsidP="007D5AB9">
      <w:pPr>
        <w:pStyle w:val="TableFooter"/>
        <w:widowControl/>
      </w:pPr>
      <w:r w:rsidRPr="008347F4">
        <w:rPr>
          <w:vertAlign w:val="superscript"/>
        </w:rPr>
        <w:t>a</w:t>
      </w:r>
      <w:r w:rsidRPr="008347F4">
        <w:t xml:space="preserve"> HR for PDX-008 versus international databases = </w:t>
      </w:r>
      <w:r w:rsidR="000F1D32">
        <w:rPr>
          <w:noProof/>
          <w:color w:val="000000"/>
          <w:highlight w:val="black"/>
        </w:rPr>
        <w:t>''''''''''' '''''''''''' ''''''' '''''''''''' ''''''''''''</w:t>
      </w:r>
    </w:p>
    <w:p w:rsidR="00673D97" w:rsidRPr="000F1D32" w:rsidRDefault="00673D97" w:rsidP="007D5AB9">
      <w:pPr>
        <w:pStyle w:val="TableFooter"/>
        <w:widowControl/>
      </w:pPr>
      <w:r w:rsidRPr="002E492B">
        <w:rPr>
          <w:vertAlign w:val="superscript"/>
        </w:rPr>
        <w:t>b</w:t>
      </w:r>
      <w:r w:rsidRPr="002E492B">
        <w:t xml:space="preserve"> HR for PDX-008 versus Australian database = </w:t>
      </w:r>
      <w:r w:rsidR="000F1D32">
        <w:rPr>
          <w:noProof/>
          <w:color w:val="000000"/>
          <w:highlight w:val="black"/>
        </w:rPr>
        <w:t>''''''''''' '''''''''''' '''''''' ''''''''''''' '''''''''''</w:t>
      </w:r>
    </w:p>
    <w:p w:rsidR="00673D97" w:rsidRPr="00852E65" w:rsidRDefault="00673D97" w:rsidP="007D5AB9">
      <w:pPr>
        <w:pStyle w:val="TableFooter"/>
        <w:widowControl/>
      </w:pPr>
    </w:p>
    <w:p w:rsidR="007368CA" w:rsidRDefault="007368CA" w:rsidP="007368CA">
      <w:pPr>
        <w:pStyle w:val="Caption"/>
      </w:pPr>
      <w:bookmarkStart w:id="22" w:name="_Toc480282587"/>
      <w:r w:rsidRPr="00D66770">
        <w:lastRenderedPageBreak/>
        <w:t xml:space="preserve">Figure </w:t>
      </w:r>
      <w:r w:rsidRPr="00D66770">
        <w:rPr>
          <w:noProof/>
        </w:rPr>
        <w:t>1</w:t>
      </w:r>
      <w:r w:rsidRPr="00D66770">
        <w:t>: KM curves for OS for PDX-008 versus the combined historical control cohort (control)</w:t>
      </w:r>
    </w:p>
    <w:bookmarkEnd w:id="22"/>
    <w:p w:rsidR="00673D97" w:rsidRPr="00852E65" w:rsidRDefault="000F1D32" w:rsidP="007D5AB9">
      <w:pPr>
        <w:pStyle w:val="TableHeading"/>
      </w:pPr>
      <w:r>
        <w:rPr>
          <w:noProof/>
          <w:lang w:eastAsia="en-AU"/>
        </w:rPr>
        <w:drawing>
          <wp:inline distT="0" distB="0" distL="0" distR="0" wp14:anchorId="1147A07C" wp14:editId="03E4605C">
            <wp:extent cx="4507865" cy="3383280"/>
            <wp:effectExtent l="0" t="0" r="6985"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07865" cy="3383280"/>
                    </a:xfrm>
                    <a:prstGeom prst="rect">
                      <a:avLst/>
                    </a:prstGeom>
                  </pic:spPr>
                </pic:pic>
              </a:graphicData>
            </a:graphic>
          </wp:inline>
        </w:drawing>
      </w:r>
    </w:p>
    <w:p w:rsidR="00673D97" w:rsidRPr="000F1D32" w:rsidRDefault="000F1D32" w:rsidP="007D5AB9">
      <w:pPr>
        <w:pStyle w:val="TableFooter"/>
        <w:widowControl/>
        <w:rPr>
          <w:highlight w:val="black"/>
        </w:rPr>
      </w:pPr>
      <w:r>
        <w:rPr>
          <w:noProof/>
          <w:color w:val="000000"/>
          <w:highlight w:val="black"/>
        </w:rPr>
        <w:t>''''''''''''''''' ''''''''''''''' ''''''''''' '''''''''''''''''' ''''' '''''''' ''''''''''''''''''''''''''''</w:t>
      </w:r>
    </w:p>
    <w:p w:rsidR="00673D97" w:rsidRPr="000F1D32" w:rsidRDefault="000F1D32" w:rsidP="007D5AB9">
      <w:pPr>
        <w:pStyle w:val="TableFooter"/>
        <w:widowControl/>
        <w:rPr>
          <w:highlight w:val="black"/>
        </w:rPr>
      </w:pPr>
      <w:r>
        <w:rPr>
          <w:noProof/>
          <w:color w:val="000000"/>
          <w:highlight w:val="black"/>
        </w:rPr>
        <w:t>''''''''' '''' '''''''''''''''''''''''''''''''''''' '''''''' ''' ''''''''''''''''' ''''''''''''''''''''' '''''''''''' ''' ''''''''''''''''''''''''''''''</w:t>
      </w:r>
    </w:p>
    <w:p w:rsidR="00631512" w:rsidRPr="00D66770" w:rsidRDefault="00673D97" w:rsidP="006B2D41">
      <w:pPr>
        <w:pStyle w:val="ListParagraph"/>
        <w:numPr>
          <w:ilvl w:val="1"/>
          <w:numId w:val="14"/>
        </w:numPr>
        <w:spacing w:before="0" w:after="120"/>
        <w:ind w:hanging="792"/>
        <w:jc w:val="both"/>
      </w:pPr>
      <w:r w:rsidRPr="00852E65">
        <w:t xml:space="preserve">Data from the comparative analysis set resulted in a median </w:t>
      </w:r>
      <w:r w:rsidR="0071033C">
        <w:t>OS</w:t>
      </w:r>
      <w:r w:rsidRPr="00852E65">
        <w:t xml:space="preserve"> of </w:t>
      </w:r>
      <w:r w:rsidRPr="00A358F2">
        <w:t>14.7 months</w:t>
      </w:r>
      <w:r w:rsidRPr="00852E65">
        <w:t xml:space="preserve"> (95% </w:t>
      </w:r>
      <w:r w:rsidRPr="00D66770">
        <w:t xml:space="preserve">confidence interval (CI): </w:t>
      </w:r>
      <w:r w:rsidR="000F1D32">
        <w:rPr>
          <w:noProof/>
          <w:color w:val="000000"/>
          <w:highlight w:val="black"/>
        </w:rPr>
        <w:t>'''''''''' '''''''''</w:t>
      </w:r>
      <w:r w:rsidRPr="00D66770">
        <w:t xml:space="preserve">) for </w:t>
      </w:r>
      <w:proofErr w:type="spellStart"/>
      <w:r w:rsidRPr="00D66770">
        <w:t>pralatrexate</w:t>
      </w:r>
      <w:proofErr w:type="spellEnd"/>
      <w:r w:rsidRPr="00D66770">
        <w:t xml:space="preserve"> patients and </w:t>
      </w:r>
      <w:r w:rsidR="000F1D32">
        <w:rPr>
          <w:noProof/>
          <w:color w:val="000000"/>
          <w:highlight w:val="black"/>
        </w:rPr>
        <w:t>''''''' ''''''''''''''</w:t>
      </w:r>
      <w:r w:rsidRPr="00D66770">
        <w:t xml:space="preserve"> (95% CI: </w:t>
      </w:r>
      <w:r w:rsidR="000F1D32">
        <w:rPr>
          <w:noProof/>
          <w:color w:val="000000"/>
          <w:highlight w:val="black"/>
        </w:rPr>
        <w:t>''''''' ''''''</w:t>
      </w:r>
      <w:r w:rsidRPr="00D66770">
        <w:t>) for the combined historical cohort</w:t>
      </w:r>
      <w:r w:rsidR="001A6E21" w:rsidRPr="00D66770">
        <w:t xml:space="preserve"> (Figure 1)</w:t>
      </w:r>
      <w:r w:rsidRPr="00D66770">
        <w:t xml:space="preserve">. The absolute difference in </w:t>
      </w:r>
      <w:r w:rsidR="00FE2BF6" w:rsidRPr="00D66770">
        <w:t xml:space="preserve">median </w:t>
      </w:r>
      <w:r w:rsidR="0071033C" w:rsidRPr="00D66770">
        <w:t>OS</w:t>
      </w:r>
      <w:r w:rsidRPr="00D66770">
        <w:t xml:space="preserve"> was </w:t>
      </w:r>
      <w:r w:rsidR="000F1D32">
        <w:rPr>
          <w:noProof/>
          <w:color w:val="000000"/>
          <w:highlight w:val="black"/>
        </w:rPr>
        <w:t>''''' ''''''''''''''''</w:t>
      </w:r>
      <w:r w:rsidRPr="00D66770">
        <w:t xml:space="preserve">, which was greater than the identified MCID of three to five months. The combined hazard ratio of </w:t>
      </w:r>
      <w:r w:rsidR="00304348" w:rsidRPr="00D66770">
        <w:t xml:space="preserve">OS </w:t>
      </w:r>
      <w:r w:rsidRPr="00D66770">
        <w:t xml:space="preserve">was </w:t>
      </w:r>
      <w:r w:rsidR="000F1D32">
        <w:rPr>
          <w:noProof/>
          <w:color w:val="000000"/>
          <w:highlight w:val="black"/>
        </w:rPr>
        <w:t>'''''''''</w:t>
      </w:r>
      <w:r w:rsidRPr="00D66770">
        <w:t xml:space="preserve"> (95% CI: </w:t>
      </w:r>
      <w:r w:rsidR="000F1D32">
        <w:rPr>
          <w:noProof/>
          <w:color w:val="000000"/>
          <w:highlight w:val="black"/>
        </w:rPr>
        <w:t>''''''''''' '''''''''</w:t>
      </w:r>
      <w:r w:rsidR="00222483" w:rsidRPr="00D66770">
        <w:t xml:space="preserve"> (the point estimate and the upper 95% CI exceeded the </w:t>
      </w:r>
      <w:r w:rsidR="00163864" w:rsidRPr="00D66770">
        <w:t xml:space="preserve">nominated MCID </w:t>
      </w:r>
      <w:r w:rsidR="00222483" w:rsidRPr="00D66770">
        <w:t xml:space="preserve">of </w:t>
      </w:r>
      <w:r w:rsidR="000F1D32">
        <w:rPr>
          <w:noProof/>
          <w:color w:val="000000"/>
          <w:highlight w:val="black"/>
        </w:rPr>
        <w:t>''''''''' ''''' ''''''''''</w:t>
      </w:r>
      <w:r w:rsidR="00163864" w:rsidRPr="00D66770">
        <w:t xml:space="preserve"> </w:t>
      </w:r>
    </w:p>
    <w:p w:rsidR="00FB659B" w:rsidRPr="006C19DF" w:rsidRDefault="00673D97" w:rsidP="006B2D41">
      <w:pPr>
        <w:pStyle w:val="ListParagraph"/>
        <w:numPr>
          <w:ilvl w:val="1"/>
          <w:numId w:val="14"/>
        </w:numPr>
        <w:spacing w:before="0" w:after="120"/>
        <w:ind w:hanging="792"/>
        <w:jc w:val="both"/>
      </w:pPr>
      <w:r w:rsidRPr="00D66770">
        <w:t xml:space="preserve">The </w:t>
      </w:r>
      <w:r w:rsidR="0071033C" w:rsidRPr="00D66770">
        <w:t>OS</w:t>
      </w:r>
      <w:r w:rsidRPr="00D66770">
        <w:t xml:space="preserve"> estimate for patients from the Australian database was </w:t>
      </w:r>
      <w:r w:rsidR="000F1D32">
        <w:rPr>
          <w:noProof/>
          <w:color w:val="000000"/>
          <w:highlight w:val="black"/>
        </w:rPr>
        <w:t>'''''''' '''''''''''''''</w:t>
      </w:r>
      <w:r w:rsidRPr="00D66770">
        <w:t xml:space="preserve"> (95% CI: </w:t>
      </w:r>
      <w:r w:rsidR="000F1D32">
        <w:rPr>
          <w:noProof/>
          <w:color w:val="000000"/>
          <w:highlight w:val="black"/>
        </w:rPr>
        <w:t>''''''' '''''''''</w:t>
      </w:r>
      <w:r w:rsidRPr="00D66770">
        <w:t>)</w:t>
      </w:r>
      <w:r w:rsidR="00AC10C0" w:rsidRPr="00D66770">
        <w:t>. This</w:t>
      </w:r>
      <w:r w:rsidR="008E0FF0" w:rsidRPr="00D66770">
        <w:t xml:space="preserve"> was not statistically significantly different from </w:t>
      </w:r>
      <w:r w:rsidR="006E3EA9" w:rsidRPr="00D66770">
        <w:t xml:space="preserve">that </w:t>
      </w:r>
      <w:r w:rsidR="00AC10C0" w:rsidRPr="00D66770">
        <w:t xml:space="preserve">estimated </w:t>
      </w:r>
      <w:r w:rsidR="006E3EA9" w:rsidRPr="00D66770">
        <w:t xml:space="preserve">for </w:t>
      </w:r>
      <w:r w:rsidR="009312E5" w:rsidRPr="00D66770">
        <w:t xml:space="preserve">patients in </w:t>
      </w:r>
      <w:r w:rsidR="00AC10C0" w:rsidRPr="00D66770">
        <w:t xml:space="preserve">PDX-008 </w:t>
      </w:r>
      <w:r w:rsidR="008E0FF0" w:rsidRPr="00D66770">
        <w:t xml:space="preserve">(14.7 months, 95% CI: </w:t>
      </w:r>
      <w:r w:rsidR="000F1D32">
        <w:rPr>
          <w:noProof/>
          <w:color w:val="000000"/>
          <w:highlight w:val="black"/>
        </w:rPr>
        <w:t>''''''''' ''''''''</w:t>
      </w:r>
      <w:r w:rsidR="008E0FF0" w:rsidRPr="00D66770">
        <w:t>)</w:t>
      </w:r>
      <w:r w:rsidRPr="00D66770">
        <w:t xml:space="preserve">. </w:t>
      </w:r>
      <w:r w:rsidR="009312E5" w:rsidRPr="00D66770">
        <w:t>The</w:t>
      </w:r>
      <w:r w:rsidR="00EA5456" w:rsidRPr="00D66770">
        <w:t xml:space="preserve"> absolute difference in </w:t>
      </w:r>
      <w:r w:rsidR="006E3EA9" w:rsidRPr="00D66770">
        <w:t xml:space="preserve">median </w:t>
      </w:r>
      <w:r w:rsidR="0071033C" w:rsidRPr="00D66770">
        <w:t xml:space="preserve">OS </w:t>
      </w:r>
      <w:r w:rsidR="006E3EA9" w:rsidRPr="00D66770">
        <w:t>(</w:t>
      </w:r>
      <w:r w:rsidR="000F1D32">
        <w:rPr>
          <w:noProof/>
          <w:color w:val="000000"/>
          <w:highlight w:val="black"/>
        </w:rPr>
        <w:t>'''''' '''''''''''''</w:t>
      </w:r>
      <w:r w:rsidR="006E3EA9" w:rsidRPr="00D66770">
        <w:t>) and the reduction in the rate of death (</w:t>
      </w:r>
      <w:r w:rsidR="008644D0" w:rsidRPr="00D66770">
        <w:t xml:space="preserve">HR: </w:t>
      </w:r>
      <w:r w:rsidR="000F1D32">
        <w:rPr>
          <w:noProof/>
          <w:color w:val="000000"/>
          <w:highlight w:val="black"/>
        </w:rPr>
        <w:t>'''''''''</w:t>
      </w:r>
      <w:r w:rsidR="008644D0" w:rsidRPr="00D66770">
        <w:t xml:space="preserve">, 95% CI: </w:t>
      </w:r>
      <w:r w:rsidR="000F1D32">
        <w:rPr>
          <w:noProof/>
          <w:color w:val="000000"/>
          <w:highlight w:val="black"/>
        </w:rPr>
        <w:t>''''''''' '''''''''</w:t>
      </w:r>
      <w:r w:rsidR="008644D0" w:rsidRPr="00D66770">
        <w:t>)</w:t>
      </w:r>
      <w:r w:rsidR="00EA5456" w:rsidRPr="00D66770">
        <w:t xml:space="preserve">, did not meet the </w:t>
      </w:r>
      <w:r w:rsidR="008644D0" w:rsidRPr="00D66770">
        <w:t xml:space="preserve">nominated </w:t>
      </w:r>
      <w:r w:rsidR="00EA5456" w:rsidRPr="00D66770">
        <w:t>MCID</w:t>
      </w:r>
      <w:r w:rsidR="008644D0" w:rsidRPr="00D66770">
        <w:t>s</w:t>
      </w:r>
      <w:r w:rsidR="00EA5456" w:rsidRPr="00D66770">
        <w:t xml:space="preserve">. </w:t>
      </w:r>
      <w:r w:rsidR="0045028A" w:rsidRPr="00D66770">
        <w:t>The</w:t>
      </w:r>
      <w:r w:rsidR="0045028A" w:rsidRPr="006C19DF">
        <w:t xml:space="preserve"> ESC noted the PSCR (p.1) disagreed, and presented a different analysis showing a statistically significant difference in OS when comparing </w:t>
      </w:r>
      <w:proofErr w:type="spellStart"/>
      <w:r w:rsidR="0045028A" w:rsidRPr="006C19DF">
        <w:t>pralatrexate</w:t>
      </w:r>
      <w:proofErr w:type="spellEnd"/>
      <w:r w:rsidR="0045028A" w:rsidRPr="006C19DF">
        <w:t xml:space="preserve"> to the Australian patient dataset. The ESC reaffirmed that the size of the Australian cohort </w:t>
      </w:r>
      <w:r w:rsidR="00574B72" w:rsidRPr="006C19DF">
        <w:t>meant that any comparisons conducted were statistically underpowered, and therefore unreliable</w:t>
      </w:r>
      <w:r w:rsidR="0045028A" w:rsidRPr="006C19DF">
        <w:t xml:space="preserve">.  </w:t>
      </w:r>
    </w:p>
    <w:p w:rsidR="0095422D" w:rsidRDefault="0095422D" w:rsidP="006B2D41">
      <w:pPr>
        <w:pStyle w:val="ListParagraph"/>
        <w:numPr>
          <w:ilvl w:val="1"/>
          <w:numId w:val="14"/>
        </w:numPr>
        <w:spacing w:before="0" w:after="120"/>
        <w:ind w:hanging="792"/>
        <w:jc w:val="both"/>
      </w:pPr>
      <w:r w:rsidRPr="006C19DF">
        <w:t>The ESC considered that the chief limitation of the</w:t>
      </w:r>
      <w:r w:rsidR="006915E5" w:rsidRPr="006C19DF">
        <w:t xml:space="preserve"> patient cohorts (PDX-008; Overseas Control; and Local Control)</w:t>
      </w:r>
      <w:r w:rsidRPr="006C19DF">
        <w:t xml:space="preserve"> was the non-random assignment, given that the key confounders may be imbalanced across the 3 patient cohorts. As such, it was difficult to determine whether the estimated difference in OS was attributable to the treatment, or to systematic differences between patient cohorts in terms of prognostic correlates</w:t>
      </w:r>
      <w:r w:rsidR="00B61BCE" w:rsidRPr="006C19DF">
        <w:t xml:space="preserve"> (as noted above in paragraph 6.12, not all relevant prognostic </w:t>
      </w:r>
      <w:r w:rsidR="00B61BCE" w:rsidRPr="006C19DF">
        <w:lastRenderedPageBreak/>
        <w:t>factors were match for)</w:t>
      </w:r>
      <w:r w:rsidRPr="006C19DF">
        <w:t xml:space="preserve">. </w:t>
      </w:r>
      <w:r w:rsidR="00B61BCE" w:rsidRPr="006C19DF">
        <w:t xml:space="preserve">The ESC considered that it was unclear whether any of the multivariate Cox models presented in the resubmission were tested for interactions between pairs of highly correlate model covariates. </w:t>
      </w:r>
      <w:r w:rsidRPr="006C19DF">
        <w:t xml:space="preserve">Further, it was unclear whether stem cell transplant status was associated </w:t>
      </w:r>
      <w:r w:rsidR="007E30F6" w:rsidRPr="006C19DF">
        <w:t xml:space="preserve">with </w:t>
      </w:r>
      <w:r w:rsidRPr="006C19DF">
        <w:t>OS from the statistical models presented in the resubmission</w:t>
      </w:r>
      <w:r w:rsidR="00B61BCE" w:rsidRPr="006C19DF">
        <w:t>.</w:t>
      </w:r>
    </w:p>
    <w:p w:rsidR="00C60FC3" w:rsidRPr="006C19DF" w:rsidRDefault="00C60FC3" w:rsidP="006B2D41">
      <w:pPr>
        <w:pStyle w:val="ListParagraph"/>
        <w:numPr>
          <w:ilvl w:val="1"/>
          <w:numId w:val="14"/>
        </w:numPr>
        <w:spacing w:before="0" w:after="120"/>
        <w:ind w:hanging="792"/>
        <w:jc w:val="both"/>
      </w:pPr>
      <w:r w:rsidRPr="00C60FC3">
        <w:t>Th</w:t>
      </w:r>
      <w:r>
        <w:t>e PBAC considered the</w:t>
      </w:r>
      <w:r w:rsidRPr="00C60FC3">
        <w:t xml:space="preserve"> confounding cannot be overcome fully, neither by approaches taken in the current application, nor the matched analysis used previously. </w:t>
      </w:r>
    </w:p>
    <w:p w:rsidR="00BD36C4" w:rsidRPr="00852E65" w:rsidRDefault="00BD36C4" w:rsidP="007D5AB9">
      <w:pPr>
        <w:pStyle w:val="Heading3"/>
        <w:rPr>
          <w:sz w:val="24"/>
          <w:szCs w:val="24"/>
        </w:rPr>
      </w:pPr>
      <w:r w:rsidRPr="00852E65">
        <w:rPr>
          <w:sz w:val="24"/>
          <w:szCs w:val="24"/>
        </w:rPr>
        <w:t xml:space="preserve">Overall </w:t>
      </w:r>
      <w:r w:rsidR="00AC10C0" w:rsidRPr="00852E65">
        <w:rPr>
          <w:sz w:val="24"/>
          <w:szCs w:val="24"/>
        </w:rPr>
        <w:t>r</w:t>
      </w:r>
      <w:r w:rsidRPr="00852E65">
        <w:rPr>
          <w:sz w:val="24"/>
          <w:szCs w:val="24"/>
        </w:rPr>
        <w:t xml:space="preserve">esponse </w:t>
      </w:r>
      <w:r w:rsidR="00AC10C0" w:rsidRPr="00852E65">
        <w:rPr>
          <w:sz w:val="24"/>
          <w:szCs w:val="24"/>
        </w:rPr>
        <w:t>r</w:t>
      </w:r>
      <w:r w:rsidRPr="00852E65">
        <w:rPr>
          <w:sz w:val="24"/>
          <w:szCs w:val="24"/>
        </w:rPr>
        <w:t xml:space="preserve">ate </w:t>
      </w:r>
    </w:p>
    <w:p w:rsidR="0011416B" w:rsidRDefault="00D76DF9" w:rsidP="006B2D41">
      <w:pPr>
        <w:pStyle w:val="ListParagraph"/>
        <w:numPr>
          <w:ilvl w:val="1"/>
          <w:numId w:val="14"/>
        </w:numPr>
        <w:spacing w:before="0" w:after="120"/>
        <w:ind w:hanging="792"/>
        <w:jc w:val="both"/>
      </w:pPr>
      <w:r w:rsidRPr="00852E65">
        <w:t xml:space="preserve">The </w:t>
      </w:r>
      <w:r w:rsidR="00AC10C0" w:rsidRPr="00852E65">
        <w:t>July 2017 re</w:t>
      </w:r>
      <w:r w:rsidRPr="00852E65">
        <w:t>submission presented a</w:t>
      </w:r>
      <w:r w:rsidR="008E5FF1" w:rsidRPr="00852E65">
        <w:t>n updated</w:t>
      </w:r>
      <w:r w:rsidRPr="00852E65">
        <w:t xml:space="preserve"> supportive pooled meta-analysis and naïve indirect comparison of overall response rates</w:t>
      </w:r>
      <w:r w:rsidR="00736C10" w:rsidRPr="00852E65">
        <w:t xml:space="preserve">. Three newly identified </w:t>
      </w:r>
      <w:proofErr w:type="spellStart"/>
      <w:r w:rsidR="00736C10" w:rsidRPr="00852E65">
        <w:t>pralatrexate</w:t>
      </w:r>
      <w:proofErr w:type="spellEnd"/>
      <w:r w:rsidR="00736C10" w:rsidRPr="00852E65">
        <w:t xml:space="preserve"> studies and six newly identified studies relating to the </w:t>
      </w:r>
      <w:r w:rsidRPr="00852E65">
        <w:t>basket of comparative treatments</w:t>
      </w:r>
      <w:r w:rsidR="00736C10" w:rsidRPr="00852E65">
        <w:t xml:space="preserve">, including five new </w:t>
      </w:r>
      <w:proofErr w:type="spellStart"/>
      <w:r w:rsidR="00736C10" w:rsidRPr="00852E65">
        <w:t>romidepsin</w:t>
      </w:r>
      <w:proofErr w:type="spellEnd"/>
      <w:r w:rsidR="00736C10" w:rsidRPr="00852E65">
        <w:t xml:space="preserve"> studies, were included in the analysis</w:t>
      </w:r>
      <w:r w:rsidRPr="00852E65">
        <w:t>.</w:t>
      </w:r>
    </w:p>
    <w:p w:rsidR="007368CA" w:rsidRDefault="007368CA" w:rsidP="007368CA">
      <w:pPr>
        <w:pStyle w:val="Caption"/>
      </w:pPr>
      <w:r>
        <w:t xml:space="preserve">Table </w:t>
      </w:r>
      <w:r w:rsidR="007152C2">
        <w:rPr>
          <w:noProof/>
        </w:rPr>
        <w:t>7</w:t>
      </w:r>
      <w:r w:rsidRPr="009B3771">
        <w:t xml:space="preserve">: Overall response rates for </w:t>
      </w:r>
      <w:proofErr w:type="spellStart"/>
      <w:r w:rsidRPr="009B3771">
        <w:t>pralatrexate</w:t>
      </w:r>
      <w:proofErr w:type="spellEnd"/>
      <w:r w:rsidRPr="009B3771">
        <w:t xml:space="preserve"> and the basket of comparator treatments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992"/>
        <w:gridCol w:w="993"/>
        <w:gridCol w:w="1842"/>
        <w:gridCol w:w="1701"/>
      </w:tblGrid>
      <w:tr w:rsidR="00B832DF" w:rsidRPr="00D20277" w:rsidTr="004B0DB8">
        <w:trPr>
          <w:cantSplit/>
          <w:tblHeader/>
        </w:trPr>
        <w:tc>
          <w:tcPr>
            <w:tcW w:w="3539" w:type="dxa"/>
            <w:shd w:val="clear" w:color="auto" w:fill="auto"/>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b/>
                <w:color w:val="000000"/>
                <w:sz w:val="20"/>
                <w:lang w:val="en-GB"/>
              </w:rPr>
            </w:pPr>
          </w:p>
        </w:tc>
        <w:tc>
          <w:tcPr>
            <w:tcW w:w="992" w:type="dxa"/>
            <w:shd w:val="clear" w:color="auto" w:fill="auto"/>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b/>
                <w:color w:val="000000"/>
                <w:sz w:val="20"/>
                <w:lang w:val="en-GB"/>
              </w:rPr>
            </w:pPr>
            <w:r w:rsidRPr="00A358F2">
              <w:rPr>
                <w:rFonts w:ascii="Arial Narrow" w:eastAsia="Times New Roman" w:hAnsi="Arial Narrow" w:cs="Arial"/>
                <w:b/>
                <w:color w:val="000000"/>
                <w:sz w:val="20"/>
                <w:lang w:val="en-GB"/>
              </w:rPr>
              <w:t>N</w:t>
            </w:r>
          </w:p>
        </w:tc>
        <w:tc>
          <w:tcPr>
            <w:tcW w:w="993" w:type="dxa"/>
            <w:shd w:val="clear" w:color="auto" w:fill="auto"/>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b/>
                <w:color w:val="000000"/>
                <w:sz w:val="20"/>
                <w:lang w:val="en-GB"/>
              </w:rPr>
            </w:pPr>
            <w:r w:rsidRPr="00A358F2">
              <w:rPr>
                <w:rFonts w:ascii="Arial Narrow" w:eastAsia="Times New Roman" w:hAnsi="Arial Narrow" w:cs="Arial"/>
                <w:b/>
                <w:color w:val="000000"/>
                <w:sz w:val="20"/>
                <w:lang w:val="en-GB"/>
              </w:rPr>
              <w:t>n, events</w:t>
            </w:r>
          </w:p>
        </w:tc>
        <w:tc>
          <w:tcPr>
            <w:tcW w:w="1842" w:type="dxa"/>
            <w:shd w:val="clear" w:color="auto" w:fill="auto"/>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b/>
                <w:color w:val="000000"/>
                <w:sz w:val="20"/>
                <w:lang w:val="en-GB"/>
              </w:rPr>
            </w:pPr>
            <w:r w:rsidRPr="00A358F2">
              <w:rPr>
                <w:rFonts w:ascii="Arial Narrow" w:eastAsia="Times New Roman" w:hAnsi="Arial Narrow" w:cs="Arial"/>
                <w:b/>
                <w:color w:val="000000"/>
                <w:sz w:val="20"/>
                <w:lang w:val="en-GB"/>
              </w:rPr>
              <w:t>Response assessor</w:t>
            </w:r>
          </w:p>
        </w:tc>
        <w:tc>
          <w:tcPr>
            <w:tcW w:w="1701" w:type="dxa"/>
            <w:shd w:val="clear" w:color="auto" w:fill="auto"/>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b/>
                <w:color w:val="000000"/>
                <w:sz w:val="20"/>
                <w:lang w:val="en-GB"/>
              </w:rPr>
            </w:pPr>
            <w:r w:rsidRPr="00A358F2">
              <w:rPr>
                <w:rFonts w:ascii="Arial Narrow" w:eastAsia="Times New Roman" w:hAnsi="Arial Narrow" w:cs="Arial"/>
                <w:b/>
                <w:color w:val="000000"/>
                <w:sz w:val="20"/>
                <w:lang w:val="en-GB"/>
              </w:rPr>
              <w:t>ORR (95% CI)</w:t>
            </w:r>
          </w:p>
        </w:tc>
      </w:tr>
      <w:tr w:rsidR="00B832DF" w:rsidRPr="00D20277" w:rsidTr="0024607F">
        <w:trPr>
          <w:cantSplit/>
        </w:trPr>
        <w:tc>
          <w:tcPr>
            <w:tcW w:w="9067" w:type="dxa"/>
            <w:gridSpan w:val="5"/>
            <w:shd w:val="clear" w:color="auto" w:fill="auto"/>
            <w:tcMar>
              <w:left w:w="28" w:type="dxa"/>
              <w:right w:w="28" w:type="dxa"/>
            </w:tcMar>
          </w:tcPr>
          <w:p w:rsidR="00B832DF" w:rsidRPr="00D20277" w:rsidRDefault="00B832DF" w:rsidP="007D5AB9">
            <w:pPr>
              <w:keepNext/>
              <w:spacing w:before="40" w:after="40"/>
              <w:rPr>
                <w:rFonts w:ascii="Arial Narrow" w:eastAsia="Times New Roman" w:hAnsi="Arial Narrow" w:cs="Arial"/>
                <w:b/>
                <w:color w:val="000000"/>
                <w:sz w:val="20"/>
                <w:highlight w:val="yellow"/>
                <w:lang w:val="en-GB"/>
              </w:rPr>
            </w:pPr>
            <w:proofErr w:type="spellStart"/>
            <w:r w:rsidRPr="00A358F2">
              <w:rPr>
                <w:rFonts w:ascii="Arial Narrow" w:eastAsia="Times New Roman" w:hAnsi="Arial Narrow" w:cs="Arial"/>
                <w:b/>
                <w:color w:val="000000"/>
                <w:sz w:val="20"/>
                <w:lang w:val="en-GB"/>
              </w:rPr>
              <w:t>Pralatrexate</w:t>
            </w:r>
            <w:proofErr w:type="spellEnd"/>
          </w:p>
        </w:tc>
      </w:tr>
      <w:tr w:rsidR="00736C10" w:rsidRPr="00D20277" w:rsidTr="004B0DB8">
        <w:trPr>
          <w:cantSplit/>
        </w:trPr>
        <w:tc>
          <w:tcPr>
            <w:tcW w:w="3539" w:type="dxa"/>
            <w:vMerge w:val="restart"/>
            <w:tcMar>
              <w:left w:w="28" w:type="dxa"/>
              <w:right w:w="28" w:type="dxa"/>
            </w:tcMar>
            <w:vAlign w:val="center"/>
          </w:tcPr>
          <w:p w:rsidR="00736C10" w:rsidRPr="00A358F2" w:rsidRDefault="00736C10" w:rsidP="007D5AB9">
            <w:pPr>
              <w:keepNext/>
              <w:spacing w:before="40" w:after="40"/>
              <w:rPr>
                <w:rFonts w:ascii="Arial Narrow" w:eastAsia="Times New Roman" w:hAnsi="Arial Narrow" w:cs="Arial"/>
                <w:color w:val="000000"/>
                <w:sz w:val="20"/>
                <w:lang w:val="en-GB"/>
              </w:rPr>
            </w:pPr>
            <w:r w:rsidRPr="00A358F2">
              <w:rPr>
                <w:rFonts w:ascii="Arial Narrow" w:eastAsia="Times New Roman" w:hAnsi="Arial Narrow" w:cs="Arial"/>
                <w:color w:val="000000"/>
                <w:sz w:val="20"/>
                <w:lang w:val="en-GB"/>
              </w:rPr>
              <w:t>PDX-008</w:t>
            </w:r>
          </w:p>
        </w:tc>
        <w:tc>
          <w:tcPr>
            <w:tcW w:w="992" w:type="dxa"/>
            <w:vMerge w:val="restart"/>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tcMar>
              <w:left w:w="28" w:type="dxa"/>
              <w:right w:w="28" w:type="dxa"/>
            </w:tcMar>
            <w:vAlign w:val="center"/>
          </w:tcPr>
          <w:p w:rsidR="00736C10" w:rsidRPr="00302C27" w:rsidRDefault="00736C10"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Independent review</w:t>
            </w:r>
          </w:p>
        </w:tc>
        <w:tc>
          <w:tcPr>
            <w:tcW w:w="1701"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736C10" w:rsidRPr="00D20277" w:rsidTr="004B0DB8">
        <w:trPr>
          <w:cantSplit/>
        </w:trPr>
        <w:tc>
          <w:tcPr>
            <w:tcW w:w="3539" w:type="dxa"/>
            <w:vMerge/>
            <w:tcMar>
              <w:left w:w="28" w:type="dxa"/>
              <w:right w:w="28" w:type="dxa"/>
            </w:tcMar>
            <w:vAlign w:val="center"/>
          </w:tcPr>
          <w:p w:rsidR="00736C10" w:rsidRPr="00A358F2" w:rsidRDefault="00736C10" w:rsidP="007D5AB9">
            <w:pPr>
              <w:keepNext/>
              <w:spacing w:before="40" w:after="40"/>
              <w:rPr>
                <w:rFonts w:ascii="Arial Narrow" w:eastAsia="Times New Roman" w:hAnsi="Arial Narrow" w:cs="Arial"/>
                <w:color w:val="000000"/>
                <w:sz w:val="20"/>
                <w:lang w:val="en-GB"/>
              </w:rPr>
            </w:pPr>
          </w:p>
        </w:tc>
        <w:tc>
          <w:tcPr>
            <w:tcW w:w="992" w:type="dxa"/>
            <w:vMerge/>
            <w:tcMar>
              <w:left w:w="28" w:type="dxa"/>
              <w:right w:w="28" w:type="dxa"/>
            </w:tcMar>
            <w:vAlign w:val="center"/>
          </w:tcPr>
          <w:p w:rsidR="00736C10" w:rsidRPr="000F1D32" w:rsidRDefault="00736C10" w:rsidP="007D5AB9">
            <w:pPr>
              <w:keepNext/>
              <w:spacing w:before="40" w:after="40"/>
              <w:rPr>
                <w:rFonts w:ascii="Arial Narrow" w:eastAsia="Times New Roman" w:hAnsi="Arial Narrow" w:cs="Arial"/>
                <w:color w:val="000000"/>
                <w:sz w:val="20"/>
                <w:highlight w:val="yellow"/>
                <w:lang w:val="en-GB"/>
              </w:rPr>
            </w:pPr>
          </w:p>
        </w:tc>
        <w:tc>
          <w:tcPr>
            <w:tcW w:w="993"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tcMar>
              <w:left w:w="28" w:type="dxa"/>
              <w:right w:w="28" w:type="dxa"/>
            </w:tcMar>
            <w:vAlign w:val="center"/>
          </w:tcPr>
          <w:p w:rsidR="00736C10" w:rsidRPr="00302C27" w:rsidRDefault="00736C10"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Investigator</w:t>
            </w:r>
          </w:p>
        </w:tc>
        <w:tc>
          <w:tcPr>
            <w:tcW w:w="1701"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736C10" w:rsidRPr="00D20277" w:rsidTr="004B0DB8">
        <w:trPr>
          <w:cantSplit/>
        </w:trPr>
        <w:tc>
          <w:tcPr>
            <w:tcW w:w="3539" w:type="dxa"/>
            <w:tcMar>
              <w:left w:w="28" w:type="dxa"/>
              <w:right w:w="28" w:type="dxa"/>
            </w:tcMar>
            <w:vAlign w:val="center"/>
          </w:tcPr>
          <w:p w:rsidR="00736C10" w:rsidRPr="00A358F2" w:rsidRDefault="00736C10" w:rsidP="007D5AB9">
            <w:pPr>
              <w:keepNext/>
              <w:spacing w:before="40" w:after="40"/>
              <w:rPr>
                <w:rFonts w:ascii="Arial Narrow" w:eastAsia="Times New Roman" w:hAnsi="Arial Narrow" w:cs="Arial"/>
                <w:color w:val="000000"/>
                <w:sz w:val="20"/>
                <w:lang w:val="en-GB"/>
              </w:rPr>
            </w:pPr>
            <w:r w:rsidRPr="00A358F2">
              <w:rPr>
                <w:rFonts w:ascii="Arial Narrow" w:eastAsia="Times New Roman" w:hAnsi="Arial Narrow" w:cs="Arial"/>
                <w:color w:val="000000"/>
                <w:sz w:val="20"/>
                <w:lang w:val="en-GB"/>
              </w:rPr>
              <w:t>PDX-JP1</w:t>
            </w:r>
            <w:r w:rsidR="004B0DB8" w:rsidRPr="00A358F2">
              <w:rPr>
                <w:rFonts w:ascii="Arial Narrow" w:eastAsia="Times New Roman" w:hAnsi="Arial Narrow" w:cs="Arial"/>
                <w:color w:val="000000"/>
                <w:sz w:val="20"/>
                <w:lang w:val="en-GB"/>
              </w:rPr>
              <w:t xml:space="preserve"> (Japanese study)</w:t>
            </w:r>
          </w:p>
        </w:tc>
        <w:tc>
          <w:tcPr>
            <w:tcW w:w="992"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tcMar>
              <w:left w:w="28" w:type="dxa"/>
              <w:right w:w="28" w:type="dxa"/>
            </w:tcMar>
            <w:vAlign w:val="center"/>
          </w:tcPr>
          <w:p w:rsidR="00736C10" w:rsidRPr="00302C27" w:rsidRDefault="00736C10"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Independent review</w:t>
            </w:r>
          </w:p>
        </w:tc>
        <w:tc>
          <w:tcPr>
            <w:tcW w:w="1701"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736C10" w:rsidRPr="00D20277" w:rsidTr="004B0DB8">
        <w:trPr>
          <w:cantSplit/>
        </w:trPr>
        <w:tc>
          <w:tcPr>
            <w:tcW w:w="3539" w:type="dxa"/>
            <w:tcMar>
              <w:left w:w="28" w:type="dxa"/>
              <w:right w:w="28" w:type="dxa"/>
            </w:tcMar>
            <w:vAlign w:val="center"/>
          </w:tcPr>
          <w:p w:rsidR="00736C10" w:rsidRPr="00A358F2" w:rsidRDefault="00736C10" w:rsidP="007D5AB9">
            <w:pPr>
              <w:keepNext/>
              <w:spacing w:before="40" w:after="40"/>
              <w:rPr>
                <w:rFonts w:ascii="Arial Narrow" w:eastAsia="Times New Roman" w:hAnsi="Arial Narrow" w:cs="Arial"/>
                <w:color w:val="000000"/>
                <w:sz w:val="20"/>
                <w:lang w:val="en-GB"/>
              </w:rPr>
            </w:pPr>
            <w:r w:rsidRPr="00A358F2">
              <w:rPr>
                <w:rFonts w:ascii="Arial Narrow" w:eastAsia="Times New Roman" w:hAnsi="Arial Narrow" w:cs="Arial"/>
                <w:color w:val="000000"/>
                <w:sz w:val="20"/>
                <w:lang w:val="en-GB"/>
              </w:rPr>
              <w:t>FOT12-CN-301</w:t>
            </w:r>
            <w:r w:rsidR="004B0DB8" w:rsidRPr="00A358F2">
              <w:rPr>
                <w:rFonts w:ascii="Arial Narrow" w:eastAsia="Times New Roman" w:hAnsi="Arial Narrow" w:cs="Arial"/>
                <w:color w:val="000000"/>
                <w:sz w:val="20"/>
                <w:lang w:val="en-GB"/>
              </w:rPr>
              <w:t xml:space="preserve"> (abstract only, not published)</w:t>
            </w:r>
          </w:p>
        </w:tc>
        <w:tc>
          <w:tcPr>
            <w:tcW w:w="992"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tcMar>
              <w:left w:w="28" w:type="dxa"/>
              <w:right w:w="28" w:type="dxa"/>
            </w:tcMar>
            <w:vAlign w:val="center"/>
          </w:tcPr>
          <w:p w:rsidR="00736C10" w:rsidRPr="00302C27" w:rsidRDefault="00736C10"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Investigator</w:t>
            </w:r>
          </w:p>
        </w:tc>
        <w:tc>
          <w:tcPr>
            <w:tcW w:w="1701"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736C10" w:rsidRPr="00D20277" w:rsidTr="004B0DB8">
        <w:trPr>
          <w:cantSplit/>
        </w:trPr>
        <w:tc>
          <w:tcPr>
            <w:tcW w:w="3539" w:type="dxa"/>
            <w:tcMar>
              <w:left w:w="28" w:type="dxa"/>
              <w:right w:w="28" w:type="dxa"/>
            </w:tcMar>
            <w:vAlign w:val="center"/>
          </w:tcPr>
          <w:p w:rsidR="00736C10" w:rsidRPr="00A358F2" w:rsidRDefault="00736C10" w:rsidP="007D5AB9">
            <w:pPr>
              <w:keepNext/>
              <w:spacing w:before="40" w:after="40"/>
              <w:rPr>
                <w:rFonts w:ascii="Arial Narrow" w:eastAsia="Times New Roman" w:hAnsi="Arial Narrow" w:cs="Arial"/>
                <w:color w:val="000000"/>
                <w:sz w:val="20"/>
                <w:lang w:val="en-GB"/>
              </w:rPr>
            </w:pPr>
            <w:r w:rsidRPr="00A358F2">
              <w:rPr>
                <w:rFonts w:ascii="Arial Narrow" w:eastAsia="Times New Roman" w:hAnsi="Arial Narrow" w:cs="Arial"/>
                <w:color w:val="000000"/>
                <w:sz w:val="20"/>
                <w:lang w:val="en-GB"/>
              </w:rPr>
              <w:t>O’Connor 2015</w:t>
            </w:r>
            <w:r w:rsidR="004B0DB8" w:rsidRPr="00A358F2">
              <w:rPr>
                <w:rFonts w:ascii="Arial Narrow" w:eastAsia="Times New Roman" w:hAnsi="Arial Narrow" w:cs="Arial"/>
                <w:color w:val="000000"/>
                <w:sz w:val="20"/>
                <w:lang w:val="en-GB"/>
              </w:rPr>
              <w:t xml:space="preserve"> (abstract only)</w:t>
            </w:r>
          </w:p>
        </w:tc>
        <w:tc>
          <w:tcPr>
            <w:tcW w:w="992"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tcMar>
              <w:left w:w="28" w:type="dxa"/>
              <w:right w:w="28" w:type="dxa"/>
            </w:tcMar>
            <w:vAlign w:val="center"/>
          </w:tcPr>
          <w:p w:rsidR="00736C10" w:rsidRPr="00302C27" w:rsidRDefault="00736C10"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Investigator</w:t>
            </w:r>
          </w:p>
        </w:tc>
        <w:tc>
          <w:tcPr>
            <w:tcW w:w="1701" w:type="dxa"/>
            <w:tcMar>
              <w:left w:w="28" w:type="dxa"/>
              <w:right w:w="28" w:type="dxa"/>
            </w:tcMar>
            <w:vAlign w:val="center"/>
          </w:tcPr>
          <w:p w:rsidR="00736C10"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4B0DB8">
        <w:trPr>
          <w:cantSplit/>
        </w:trPr>
        <w:tc>
          <w:tcPr>
            <w:tcW w:w="3539" w:type="dxa"/>
            <w:vMerge w:val="restart"/>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color w:val="000000"/>
                <w:sz w:val="20"/>
                <w:lang w:val="en-GB"/>
              </w:rPr>
            </w:pPr>
            <w:r w:rsidRPr="00A358F2">
              <w:rPr>
                <w:rFonts w:ascii="Arial Narrow" w:eastAsia="Times New Roman" w:hAnsi="Arial Narrow" w:cs="Arial"/>
                <w:color w:val="000000"/>
                <w:sz w:val="20"/>
                <w:lang w:val="en-GB"/>
              </w:rPr>
              <w:t>Pooled</w:t>
            </w:r>
          </w:p>
        </w:tc>
        <w:tc>
          <w:tcPr>
            <w:tcW w:w="992" w:type="dxa"/>
            <w:vMerge w:val="restart"/>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tcMar>
              <w:left w:w="28" w:type="dxa"/>
              <w:right w:w="28" w:type="dxa"/>
            </w:tcMar>
            <w:vAlign w:val="center"/>
          </w:tcPr>
          <w:p w:rsidR="00B832DF" w:rsidRPr="00302C27" w:rsidRDefault="00B832DF"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Independent review</w:t>
            </w:r>
          </w:p>
        </w:tc>
        <w:tc>
          <w:tcPr>
            <w:tcW w:w="1701" w:type="dxa"/>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4B0DB8">
        <w:trPr>
          <w:cantSplit/>
        </w:trPr>
        <w:tc>
          <w:tcPr>
            <w:tcW w:w="3539" w:type="dxa"/>
            <w:vMerge/>
            <w:tcMar>
              <w:left w:w="28" w:type="dxa"/>
              <w:right w:w="28" w:type="dxa"/>
            </w:tcMar>
            <w:vAlign w:val="center"/>
          </w:tcPr>
          <w:p w:rsidR="00B832DF" w:rsidRPr="00D20277" w:rsidRDefault="00B832DF" w:rsidP="007D5AB9">
            <w:pPr>
              <w:keepNext/>
              <w:spacing w:before="40" w:after="40"/>
              <w:rPr>
                <w:rFonts w:ascii="Arial Narrow" w:eastAsia="Times New Roman" w:hAnsi="Arial Narrow" w:cs="Arial"/>
                <w:color w:val="000000"/>
                <w:sz w:val="20"/>
                <w:highlight w:val="yellow"/>
                <w:lang w:val="en-GB"/>
              </w:rPr>
            </w:pPr>
          </w:p>
        </w:tc>
        <w:tc>
          <w:tcPr>
            <w:tcW w:w="992" w:type="dxa"/>
            <w:vMerge/>
            <w:tcMar>
              <w:left w:w="28" w:type="dxa"/>
              <w:right w:w="28" w:type="dxa"/>
            </w:tcMar>
          </w:tcPr>
          <w:p w:rsidR="00B832DF" w:rsidRPr="000F1D32" w:rsidRDefault="00B832DF" w:rsidP="007D5AB9">
            <w:pPr>
              <w:keepNext/>
              <w:spacing w:before="40" w:after="40"/>
              <w:rPr>
                <w:rFonts w:ascii="Arial Narrow" w:eastAsia="Times New Roman" w:hAnsi="Arial Narrow" w:cs="Arial"/>
                <w:color w:val="000000"/>
                <w:sz w:val="20"/>
                <w:highlight w:val="yellow"/>
                <w:lang w:val="en-GB"/>
              </w:rPr>
            </w:pPr>
          </w:p>
        </w:tc>
        <w:tc>
          <w:tcPr>
            <w:tcW w:w="993" w:type="dxa"/>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tcMar>
              <w:left w:w="28" w:type="dxa"/>
              <w:right w:w="28" w:type="dxa"/>
            </w:tcMar>
            <w:vAlign w:val="center"/>
          </w:tcPr>
          <w:p w:rsidR="00B832DF" w:rsidRPr="00302C27" w:rsidRDefault="00B832DF"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Investigator</w:t>
            </w:r>
          </w:p>
        </w:tc>
        <w:tc>
          <w:tcPr>
            <w:tcW w:w="1701" w:type="dxa"/>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24607F">
        <w:trPr>
          <w:cantSplit/>
        </w:trPr>
        <w:tc>
          <w:tcPr>
            <w:tcW w:w="9067" w:type="dxa"/>
            <w:gridSpan w:val="5"/>
            <w:shd w:val="clear" w:color="auto" w:fill="auto"/>
            <w:tcMar>
              <w:left w:w="28" w:type="dxa"/>
              <w:right w:w="28" w:type="dxa"/>
            </w:tcMar>
            <w:vAlign w:val="center"/>
          </w:tcPr>
          <w:p w:rsidR="00B832DF" w:rsidRPr="00302C27" w:rsidRDefault="00B832DF" w:rsidP="007D5AB9">
            <w:pPr>
              <w:keepNext/>
              <w:spacing w:before="40" w:after="40"/>
              <w:rPr>
                <w:rFonts w:ascii="Arial Narrow" w:eastAsia="Times New Roman" w:hAnsi="Arial Narrow" w:cs="Arial"/>
                <w:b/>
                <w:color w:val="000000"/>
                <w:sz w:val="20"/>
                <w:lang w:val="en-GB"/>
              </w:rPr>
            </w:pPr>
            <w:proofErr w:type="spellStart"/>
            <w:r w:rsidRPr="00302C27">
              <w:rPr>
                <w:rFonts w:ascii="Arial Narrow" w:eastAsia="Times New Roman" w:hAnsi="Arial Narrow" w:cs="Arial"/>
                <w:b/>
                <w:color w:val="000000"/>
                <w:sz w:val="20"/>
                <w:lang w:val="en-GB"/>
              </w:rPr>
              <w:t>Brentuximab</w:t>
            </w:r>
            <w:proofErr w:type="spellEnd"/>
          </w:p>
        </w:tc>
      </w:tr>
      <w:tr w:rsidR="00B832DF" w:rsidRPr="00D20277" w:rsidTr="004B0DB8">
        <w:trPr>
          <w:cantSplit/>
        </w:trPr>
        <w:tc>
          <w:tcPr>
            <w:tcW w:w="3539" w:type="dxa"/>
            <w:vMerge w:val="restart"/>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color w:val="000000"/>
                <w:sz w:val="20"/>
                <w:lang w:val="en-GB"/>
              </w:rPr>
            </w:pPr>
            <w:r w:rsidRPr="00A358F2">
              <w:rPr>
                <w:rFonts w:ascii="Arial Narrow" w:eastAsia="Times New Roman" w:hAnsi="Arial Narrow" w:cs="Arial"/>
                <w:color w:val="000000"/>
                <w:sz w:val="20"/>
                <w:lang w:val="en-GB"/>
              </w:rPr>
              <w:t>Pooled</w:t>
            </w:r>
          </w:p>
        </w:tc>
        <w:tc>
          <w:tcPr>
            <w:tcW w:w="992" w:type="dxa"/>
            <w:vMerge w:val="restart"/>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tcMar>
              <w:left w:w="28" w:type="dxa"/>
              <w:right w:w="28" w:type="dxa"/>
            </w:tcMar>
            <w:vAlign w:val="center"/>
          </w:tcPr>
          <w:p w:rsidR="00B832DF" w:rsidRPr="00302C27" w:rsidRDefault="00B832DF"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Independent review</w:t>
            </w:r>
          </w:p>
        </w:tc>
        <w:tc>
          <w:tcPr>
            <w:tcW w:w="1701" w:type="dxa"/>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4B0DB8">
        <w:trPr>
          <w:cantSplit/>
        </w:trPr>
        <w:tc>
          <w:tcPr>
            <w:tcW w:w="3539" w:type="dxa"/>
            <w:vMerge/>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color w:val="000000"/>
                <w:sz w:val="20"/>
                <w:lang w:val="en-GB"/>
              </w:rPr>
            </w:pPr>
          </w:p>
        </w:tc>
        <w:tc>
          <w:tcPr>
            <w:tcW w:w="992" w:type="dxa"/>
            <w:vMerge/>
            <w:tcMar>
              <w:left w:w="28" w:type="dxa"/>
              <w:right w:w="28" w:type="dxa"/>
            </w:tcMar>
            <w:vAlign w:val="center"/>
          </w:tcPr>
          <w:p w:rsidR="00B832DF" w:rsidRPr="000F1D32" w:rsidRDefault="00B832DF" w:rsidP="007D5AB9">
            <w:pPr>
              <w:keepNext/>
              <w:spacing w:before="40" w:after="40"/>
              <w:rPr>
                <w:rFonts w:ascii="Arial Narrow" w:eastAsia="Times New Roman" w:hAnsi="Arial Narrow" w:cs="Arial"/>
                <w:color w:val="000000"/>
                <w:sz w:val="20"/>
                <w:highlight w:val="yellow"/>
                <w:lang w:val="en-GB"/>
              </w:rPr>
            </w:pPr>
          </w:p>
        </w:tc>
        <w:tc>
          <w:tcPr>
            <w:tcW w:w="993" w:type="dxa"/>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tcMar>
              <w:left w:w="28" w:type="dxa"/>
              <w:right w:w="28" w:type="dxa"/>
            </w:tcMar>
            <w:vAlign w:val="center"/>
          </w:tcPr>
          <w:p w:rsidR="00B832DF" w:rsidRPr="00302C27" w:rsidRDefault="00B832DF"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Investigator</w:t>
            </w:r>
          </w:p>
        </w:tc>
        <w:tc>
          <w:tcPr>
            <w:tcW w:w="1701" w:type="dxa"/>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4B0DB8">
        <w:trPr>
          <w:cantSplit/>
        </w:trPr>
        <w:tc>
          <w:tcPr>
            <w:tcW w:w="3539" w:type="dxa"/>
            <w:shd w:val="clear" w:color="auto" w:fill="auto"/>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b/>
                <w:color w:val="000000"/>
                <w:sz w:val="20"/>
                <w:lang w:val="en-GB"/>
              </w:rPr>
            </w:pPr>
            <w:r w:rsidRPr="00A358F2">
              <w:rPr>
                <w:rFonts w:ascii="Arial Narrow" w:eastAsia="Times New Roman" w:hAnsi="Arial Narrow" w:cs="Arial"/>
                <w:b/>
                <w:color w:val="000000"/>
                <w:sz w:val="20"/>
                <w:lang w:val="en-GB"/>
              </w:rPr>
              <w:t>Gemcitabine-containing regimens</w:t>
            </w:r>
          </w:p>
        </w:tc>
        <w:tc>
          <w:tcPr>
            <w:tcW w:w="992"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shd w:val="clear" w:color="auto" w:fill="auto"/>
            <w:tcMar>
              <w:left w:w="28" w:type="dxa"/>
              <w:right w:w="28" w:type="dxa"/>
            </w:tcMar>
            <w:vAlign w:val="center"/>
          </w:tcPr>
          <w:p w:rsidR="00B832DF" w:rsidRPr="00302C27" w:rsidRDefault="00B832DF"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Investigator</w:t>
            </w:r>
          </w:p>
        </w:tc>
        <w:tc>
          <w:tcPr>
            <w:tcW w:w="1701"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4B0DB8">
        <w:trPr>
          <w:cantSplit/>
        </w:trPr>
        <w:tc>
          <w:tcPr>
            <w:tcW w:w="3539" w:type="dxa"/>
            <w:shd w:val="clear" w:color="auto" w:fill="auto"/>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b/>
                <w:color w:val="000000"/>
                <w:sz w:val="20"/>
                <w:lang w:val="en-GB"/>
              </w:rPr>
            </w:pPr>
            <w:r w:rsidRPr="00A358F2">
              <w:rPr>
                <w:rFonts w:ascii="Arial Narrow" w:eastAsia="Times New Roman" w:hAnsi="Arial Narrow" w:cs="Arial"/>
                <w:b/>
                <w:color w:val="000000"/>
                <w:sz w:val="20"/>
                <w:lang w:val="en-GB"/>
              </w:rPr>
              <w:t>DHAP</w:t>
            </w:r>
          </w:p>
        </w:tc>
        <w:tc>
          <w:tcPr>
            <w:tcW w:w="992"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shd w:val="clear" w:color="auto" w:fill="auto"/>
            <w:tcMar>
              <w:left w:w="28" w:type="dxa"/>
              <w:right w:w="28" w:type="dxa"/>
            </w:tcMar>
            <w:vAlign w:val="center"/>
          </w:tcPr>
          <w:p w:rsidR="00B832DF" w:rsidRPr="00302C27" w:rsidRDefault="00B832DF"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Investigator</w:t>
            </w:r>
          </w:p>
        </w:tc>
        <w:tc>
          <w:tcPr>
            <w:tcW w:w="1701"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4B0DB8">
        <w:trPr>
          <w:cantSplit/>
        </w:trPr>
        <w:tc>
          <w:tcPr>
            <w:tcW w:w="3539" w:type="dxa"/>
            <w:shd w:val="clear" w:color="auto" w:fill="auto"/>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b/>
                <w:color w:val="000000"/>
                <w:sz w:val="20"/>
                <w:lang w:val="en-GB"/>
              </w:rPr>
            </w:pPr>
            <w:r w:rsidRPr="00A358F2">
              <w:rPr>
                <w:rFonts w:ascii="Arial Narrow" w:eastAsia="Times New Roman" w:hAnsi="Arial Narrow" w:cs="Arial"/>
                <w:b/>
                <w:color w:val="000000"/>
                <w:sz w:val="20"/>
                <w:lang w:val="en-GB"/>
              </w:rPr>
              <w:t>ESHAP</w:t>
            </w:r>
          </w:p>
        </w:tc>
        <w:tc>
          <w:tcPr>
            <w:tcW w:w="992"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shd w:val="clear" w:color="auto" w:fill="auto"/>
            <w:tcMar>
              <w:left w:w="28" w:type="dxa"/>
              <w:right w:w="28" w:type="dxa"/>
            </w:tcMar>
            <w:vAlign w:val="center"/>
          </w:tcPr>
          <w:p w:rsidR="00B832DF" w:rsidRPr="00302C27" w:rsidRDefault="00B832DF"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Investigator</w:t>
            </w:r>
          </w:p>
        </w:tc>
        <w:tc>
          <w:tcPr>
            <w:tcW w:w="1701"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4B0DB8">
        <w:trPr>
          <w:cantSplit/>
        </w:trPr>
        <w:tc>
          <w:tcPr>
            <w:tcW w:w="3539" w:type="dxa"/>
            <w:shd w:val="clear" w:color="auto" w:fill="auto"/>
            <w:tcMar>
              <w:left w:w="28" w:type="dxa"/>
              <w:right w:w="28" w:type="dxa"/>
            </w:tcMar>
            <w:vAlign w:val="center"/>
          </w:tcPr>
          <w:p w:rsidR="00B832DF" w:rsidRPr="00A358F2" w:rsidRDefault="00B832DF" w:rsidP="007D5AB9">
            <w:pPr>
              <w:keepNext/>
              <w:spacing w:before="40" w:after="40"/>
              <w:rPr>
                <w:rFonts w:ascii="Arial Narrow" w:eastAsia="Times New Roman" w:hAnsi="Arial Narrow" w:cs="Arial"/>
                <w:b/>
                <w:color w:val="000000"/>
                <w:sz w:val="20"/>
                <w:lang w:val="en-GB"/>
              </w:rPr>
            </w:pPr>
            <w:r w:rsidRPr="00A358F2">
              <w:rPr>
                <w:rFonts w:ascii="Arial Narrow" w:eastAsia="Times New Roman" w:hAnsi="Arial Narrow" w:cs="Arial"/>
                <w:b/>
                <w:color w:val="000000"/>
                <w:sz w:val="20"/>
                <w:lang w:val="en-GB"/>
              </w:rPr>
              <w:t>ICE</w:t>
            </w:r>
          </w:p>
        </w:tc>
        <w:tc>
          <w:tcPr>
            <w:tcW w:w="992"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shd w:val="clear" w:color="auto" w:fill="auto"/>
            <w:tcMar>
              <w:left w:w="28" w:type="dxa"/>
              <w:right w:w="28" w:type="dxa"/>
            </w:tcMar>
            <w:vAlign w:val="center"/>
          </w:tcPr>
          <w:p w:rsidR="00B832DF" w:rsidRPr="00302C27" w:rsidRDefault="00B832DF" w:rsidP="007D5AB9">
            <w:pPr>
              <w:keepNext/>
              <w:spacing w:before="40" w:after="40"/>
              <w:rPr>
                <w:rFonts w:ascii="Arial Narrow" w:eastAsia="Times New Roman" w:hAnsi="Arial Narrow" w:cs="Arial"/>
                <w:color w:val="000000"/>
                <w:sz w:val="20"/>
                <w:lang w:val="en-GB"/>
              </w:rPr>
            </w:pPr>
            <w:r w:rsidRPr="00302C27">
              <w:rPr>
                <w:rFonts w:ascii="Arial Narrow" w:eastAsia="Times New Roman" w:hAnsi="Arial Narrow" w:cs="Arial"/>
                <w:color w:val="000000"/>
                <w:sz w:val="20"/>
                <w:lang w:val="en-GB"/>
              </w:rPr>
              <w:t>Investigator</w:t>
            </w:r>
          </w:p>
        </w:tc>
        <w:tc>
          <w:tcPr>
            <w:tcW w:w="1701"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24607F">
        <w:trPr>
          <w:cantSplit/>
        </w:trPr>
        <w:tc>
          <w:tcPr>
            <w:tcW w:w="9067" w:type="dxa"/>
            <w:gridSpan w:val="5"/>
            <w:shd w:val="clear" w:color="auto" w:fill="auto"/>
            <w:tcMar>
              <w:left w:w="28" w:type="dxa"/>
              <w:right w:w="28" w:type="dxa"/>
            </w:tcMar>
            <w:vAlign w:val="center"/>
          </w:tcPr>
          <w:p w:rsidR="00B832DF" w:rsidRPr="00D20277" w:rsidRDefault="00B832DF" w:rsidP="007D5AB9">
            <w:pPr>
              <w:keepNext/>
              <w:spacing w:before="40" w:after="40"/>
              <w:rPr>
                <w:rFonts w:ascii="Arial Narrow" w:eastAsia="Times New Roman" w:hAnsi="Arial Narrow" w:cs="Arial"/>
                <w:b/>
                <w:color w:val="000000"/>
                <w:sz w:val="20"/>
                <w:highlight w:val="yellow"/>
                <w:lang w:val="en-GB"/>
              </w:rPr>
            </w:pPr>
            <w:proofErr w:type="spellStart"/>
            <w:r w:rsidRPr="00A358F2">
              <w:rPr>
                <w:rFonts w:ascii="Arial Narrow" w:eastAsia="Times New Roman" w:hAnsi="Arial Narrow" w:cs="Arial"/>
                <w:b/>
                <w:color w:val="000000"/>
                <w:sz w:val="20"/>
                <w:lang w:val="en-GB"/>
              </w:rPr>
              <w:t>Romidepsin</w:t>
            </w:r>
            <w:proofErr w:type="spellEnd"/>
          </w:p>
        </w:tc>
      </w:tr>
      <w:tr w:rsidR="00B832DF" w:rsidRPr="00D20277" w:rsidTr="004B0DB8">
        <w:trPr>
          <w:cantSplit/>
        </w:trPr>
        <w:tc>
          <w:tcPr>
            <w:tcW w:w="3539" w:type="dxa"/>
            <w:shd w:val="clear" w:color="auto" w:fill="auto"/>
            <w:tcMar>
              <w:left w:w="28" w:type="dxa"/>
              <w:right w:w="28" w:type="dxa"/>
            </w:tcMar>
            <w:vAlign w:val="center"/>
          </w:tcPr>
          <w:p w:rsidR="00B832DF" w:rsidRPr="00D20277" w:rsidRDefault="00B832DF" w:rsidP="007D5AB9">
            <w:pPr>
              <w:keepNext/>
              <w:spacing w:before="40" w:after="40"/>
              <w:rPr>
                <w:rFonts w:ascii="Arial Narrow" w:eastAsia="Times New Roman" w:hAnsi="Arial Narrow" w:cs="Arial"/>
                <w:color w:val="000000"/>
                <w:sz w:val="20"/>
                <w:highlight w:val="yellow"/>
                <w:lang w:val="en-GB"/>
              </w:rPr>
            </w:pPr>
            <w:r w:rsidRPr="00A358F2">
              <w:rPr>
                <w:rFonts w:ascii="Arial Narrow" w:eastAsia="Times New Roman" w:hAnsi="Arial Narrow" w:cs="Arial"/>
                <w:color w:val="000000"/>
                <w:sz w:val="20"/>
                <w:lang w:val="en-GB"/>
              </w:rPr>
              <w:t>Pooled</w:t>
            </w:r>
          </w:p>
        </w:tc>
        <w:tc>
          <w:tcPr>
            <w:tcW w:w="992"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701"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r w:rsidR="00B832DF" w:rsidRPr="00D20277" w:rsidTr="0024607F">
        <w:trPr>
          <w:cantSplit/>
        </w:trPr>
        <w:tc>
          <w:tcPr>
            <w:tcW w:w="9067" w:type="dxa"/>
            <w:gridSpan w:val="5"/>
            <w:shd w:val="clear" w:color="auto" w:fill="auto"/>
            <w:tcMar>
              <w:left w:w="28" w:type="dxa"/>
              <w:right w:w="28" w:type="dxa"/>
            </w:tcMar>
            <w:vAlign w:val="center"/>
          </w:tcPr>
          <w:p w:rsidR="00B832DF" w:rsidRPr="00D20277" w:rsidRDefault="00B832DF" w:rsidP="007D5AB9">
            <w:pPr>
              <w:keepNext/>
              <w:spacing w:before="40" w:after="40"/>
              <w:rPr>
                <w:rFonts w:ascii="Arial Narrow" w:eastAsia="Times New Roman" w:hAnsi="Arial Narrow" w:cs="Arial"/>
                <w:b/>
                <w:color w:val="000000"/>
                <w:sz w:val="20"/>
                <w:highlight w:val="yellow"/>
                <w:lang w:val="en-GB"/>
              </w:rPr>
            </w:pPr>
            <w:r w:rsidRPr="00A358F2">
              <w:rPr>
                <w:rFonts w:ascii="Arial Narrow" w:eastAsia="Times New Roman" w:hAnsi="Arial Narrow" w:cs="Arial"/>
                <w:b/>
                <w:color w:val="000000"/>
                <w:sz w:val="20"/>
                <w:lang w:val="en-GB"/>
              </w:rPr>
              <w:t>Mixed comparator treatments</w:t>
            </w:r>
          </w:p>
        </w:tc>
      </w:tr>
      <w:tr w:rsidR="00B832DF" w:rsidRPr="00D20277" w:rsidTr="004B0DB8">
        <w:trPr>
          <w:cantSplit/>
        </w:trPr>
        <w:tc>
          <w:tcPr>
            <w:tcW w:w="3539" w:type="dxa"/>
            <w:shd w:val="clear" w:color="auto" w:fill="auto"/>
            <w:tcMar>
              <w:left w:w="28" w:type="dxa"/>
              <w:right w:w="28" w:type="dxa"/>
            </w:tcMar>
            <w:vAlign w:val="center"/>
          </w:tcPr>
          <w:p w:rsidR="00B832DF" w:rsidRPr="00D20277" w:rsidRDefault="00B832DF" w:rsidP="007D5AB9">
            <w:pPr>
              <w:keepNext/>
              <w:spacing w:before="40" w:after="40"/>
              <w:rPr>
                <w:rFonts w:ascii="Arial Narrow" w:eastAsia="Times New Roman" w:hAnsi="Arial Narrow" w:cs="Arial"/>
                <w:color w:val="000000"/>
                <w:sz w:val="20"/>
                <w:highlight w:val="yellow"/>
                <w:lang w:val="en-GB"/>
              </w:rPr>
            </w:pPr>
            <w:r w:rsidRPr="00A358F2">
              <w:rPr>
                <w:rFonts w:ascii="Arial Narrow" w:eastAsia="Times New Roman" w:hAnsi="Arial Narrow" w:cs="Arial"/>
                <w:color w:val="000000"/>
                <w:sz w:val="20"/>
                <w:lang w:val="en-GB"/>
              </w:rPr>
              <w:t>Pooled</w:t>
            </w:r>
          </w:p>
        </w:tc>
        <w:tc>
          <w:tcPr>
            <w:tcW w:w="992"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993"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842"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w:t>
            </w:r>
          </w:p>
        </w:tc>
        <w:tc>
          <w:tcPr>
            <w:tcW w:w="1701" w:type="dxa"/>
            <w:shd w:val="clear" w:color="auto" w:fill="auto"/>
            <w:tcMar>
              <w:left w:w="28" w:type="dxa"/>
              <w:right w:w="28" w:type="dxa"/>
            </w:tcMar>
            <w:vAlign w:val="center"/>
          </w:tcPr>
          <w:p w:rsidR="00B832DF" w:rsidRPr="000F1D32" w:rsidRDefault="000F1D32" w:rsidP="007D5AB9">
            <w:pPr>
              <w:keepNext/>
              <w:spacing w:before="40" w:after="40"/>
              <w:rPr>
                <w:rFonts w:ascii="Arial Narrow" w:eastAsia="Times New Roman" w:hAnsi="Arial Narrow" w:cs="Arial"/>
                <w:color w:val="000000"/>
                <w:sz w:val="20"/>
                <w:highlight w:val="black"/>
                <w:lang w:val="en-GB"/>
              </w:rPr>
            </w:pPr>
            <w:r>
              <w:rPr>
                <w:rFonts w:ascii="Arial Narrow" w:eastAsia="Times New Roman" w:hAnsi="Arial Narrow" w:cs="Arial"/>
                <w:noProof/>
                <w:color w:val="000000"/>
                <w:sz w:val="20"/>
                <w:highlight w:val="black"/>
                <w:lang w:val="en-GB"/>
              </w:rPr>
              <w:t>''''''''''' '''''''''''' '''''''''''''</w:t>
            </w:r>
          </w:p>
        </w:tc>
      </w:tr>
    </w:tbl>
    <w:p w:rsidR="00B832DF" w:rsidRPr="00A358F2" w:rsidRDefault="00B832DF" w:rsidP="007D5AB9">
      <w:pPr>
        <w:pStyle w:val="TableFooter"/>
        <w:keepNext/>
        <w:widowControl/>
      </w:pPr>
      <w:r w:rsidRPr="00A358F2">
        <w:t>Source: Table 2-64, p2-131; Figure 2-16, p2-132 of the resubmission; and Table 14.2.3, pp155-163 of the PDX-008 CSR</w:t>
      </w:r>
    </w:p>
    <w:p w:rsidR="00B832DF" w:rsidRPr="00852E65" w:rsidRDefault="00B832DF" w:rsidP="007D5AB9">
      <w:pPr>
        <w:pStyle w:val="TableFooter"/>
        <w:widowControl/>
      </w:pPr>
      <w:r w:rsidRPr="00A358F2">
        <w:t xml:space="preserve">CI = confidence interval; DHAP = dexamethasone, </w:t>
      </w:r>
      <w:proofErr w:type="spellStart"/>
      <w:r w:rsidRPr="00A358F2">
        <w:t>cytarabine</w:t>
      </w:r>
      <w:proofErr w:type="spellEnd"/>
      <w:r w:rsidRPr="00A358F2">
        <w:t xml:space="preserve">, cisplatin; ESHAP = etoposide, methylprednisolone, </w:t>
      </w:r>
      <w:proofErr w:type="spellStart"/>
      <w:r w:rsidRPr="00A358F2">
        <w:t>cytarabine</w:t>
      </w:r>
      <w:proofErr w:type="spellEnd"/>
      <w:r w:rsidRPr="00A358F2">
        <w:t xml:space="preserve">, cisplatin; ICE = </w:t>
      </w:r>
      <w:proofErr w:type="spellStart"/>
      <w:r w:rsidRPr="00A358F2">
        <w:t>ifosfamide</w:t>
      </w:r>
      <w:proofErr w:type="spellEnd"/>
      <w:r w:rsidRPr="00A358F2">
        <w:t>, carboplatin, etoposide; NR= not reported; ORR = overall response rate</w:t>
      </w:r>
    </w:p>
    <w:p w:rsidR="00C06504" w:rsidRDefault="00C06504">
      <w:pPr>
        <w:spacing w:before="0" w:line="259" w:lineRule="auto"/>
      </w:pPr>
      <w:r>
        <w:br w:type="page"/>
      </w:r>
    </w:p>
    <w:p w:rsidR="00B832DF" w:rsidRPr="006C19DF" w:rsidRDefault="00064BDD" w:rsidP="00E70329">
      <w:pPr>
        <w:pStyle w:val="ListParagraph"/>
        <w:numPr>
          <w:ilvl w:val="1"/>
          <w:numId w:val="14"/>
        </w:numPr>
        <w:spacing w:before="0" w:after="120"/>
        <w:ind w:hanging="792"/>
        <w:jc w:val="both"/>
      </w:pPr>
      <w:bookmarkStart w:id="23" w:name="_GoBack"/>
      <w:bookmarkEnd w:id="23"/>
      <w:r w:rsidRPr="006C19DF">
        <w:t xml:space="preserve">The </w:t>
      </w:r>
      <w:r w:rsidR="008E5FF1" w:rsidRPr="006C19DF">
        <w:t xml:space="preserve">updated </w:t>
      </w:r>
      <w:r w:rsidRPr="006C19DF">
        <w:t xml:space="preserve">pooled overall response rates </w:t>
      </w:r>
      <w:r w:rsidR="008E5FF1" w:rsidRPr="006C19DF">
        <w:t>were similar to those presented i</w:t>
      </w:r>
      <w:r w:rsidR="004A490F" w:rsidRPr="006C19DF">
        <w:t xml:space="preserve">n the November 2015 submission. </w:t>
      </w:r>
      <w:r w:rsidR="008E5FF1" w:rsidRPr="006C19DF">
        <w:t xml:space="preserve">Again, the rates </w:t>
      </w:r>
      <w:r w:rsidRPr="006C19DF">
        <w:t xml:space="preserve">for </w:t>
      </w:r>
      <w:proofErr w:type="spellStart"/>
      <w:r w:rsidRPr="006C19DF">
        <w:t>pralatrexate</w:t>
      </w:r>
      <w:proofErr w:type="spellEnd"/>
      <w:r w:rsidRPr="006C19DF">
        <w:t xml:space="preserve"> (both investigator and </w:t>
      </w:r>
      <w:r w:rsidRPr="006C19DF">
        <w:lastRenderedPageBreak/>
        <w:t>independent review) were not significantly different from any of the pooled rates for the nominated basket of comparator treatments.</w:t>
      </w:r>
    </w:p>
    <w:p w:rsidR="00BF38E4" w:rsidRPr="00BF38E4" w:rsidRDefault="00B61BCE" w:rsidP="00E70329">
      <w:pPr>
        <w:pStyle w:val="ListParagraph"/>
        <w:numPr>
          <w:ilvl w:val="1"/>
          <w:numId w:val="14"/>
        </w:numPr>
        <w:spacing w:before="0" w:after="120"/>
        <w:ind w:hanging="792"/>
        <w:jc w:val="both"/>
        <w:rPr>
          <w:b/>
          <w:i/>
        </w:rPr>
      </w:pPr>
      <w:r w:rsidRPr="006C19DF">
        <w:t xml:space="preserve">The PSCR (p.3) </w:t>
      </w:r>
      <w:r w:rsidR="00EF340E" w:rsidRPr="006C19DF">
        <w:t>states the relationship between ORR and OS in R/R PTCL is not direct, linear nor predictable, as it is markedly influenced by the duration of therapy that can be tolerated by patients.</w:t>
      </w:r>
      <w:r w:rsidR="00BF38E4">
        <w:t xml:space="preserve"> </w:t>
      </w:r>
      <w:r w:rsidR="00BF38E4" w:rsidRPr="00BF38E4">
        <w:t xml:space="preserve">The PBAC agreed with ESC that while the absence of a response advantage for </w:t>
      </w:r>
      <w:proofErr w:type="spellStart"/>
      <w:r w:rsidR="00BF38E4" w:rsidRPr="00BF38E4">
        <w:t>pralatrexate</w:t>
      </w:r>
      <w:proofErr w:type="spellEnd"/>
      <w:r w:rsidR="00BF38E4" w:rsidRPr="00BF38E4">
        <w:t xml:space="preserve"> did not preclude delivery of a survival advantage, its absence reduced confidence in the magnitude of the survival benefit claimed in this non-randomised comparison.</w:t>
      </w:r>
    </w:p>
    <w:p w:rsidR="00673D97" w:rsidRPr="00852E65" w:rsidRDefault="00673D97" w:rsidP="007D5AB9">
      <w:pPr>
        <w:pStyle w:val="Heading2"/>
      </w:pPr>
      <w:bookmarkStart w:id="24" w:name="_Toc413139279"/>
      <w:bookmarkStart w:id="25" w:name="_Toc482715894"/>
      <w:r w:rsidRPr="00852E65">
        <w:t>Comparative harms</w:t>
      </w:r>
      <w:bookmarkEnd w:id="24"/>
      <w:bookmarkEnd w:id="25"/>
    </w:p>
    <w:p w:rsidR="00673D97" w:rsidRPr="006C19DF" w:rsidRDefault="00673D97" w:rsidP="006B2D41">
      <w:pPr>
        <w:pStyle w:val="ListParagraph"/>
        <w:numPr>
          <w:ilvl w:val="1"/>
          <w:numId w:val="14"/>
        </w:numPr>
        <w:spacing w:before="0" w:after="120"/>
        <w:ind w:hanging="792"/>
        <w:jc w:val="both"/>
      </w:pPr>
      <w:r w:rsidRPr="006C19DF">
        <w:t xml:space="preserve">From study PDX-008, it was reported that 25% of </w:t>
      </w:r>
      <w:proofErr w:type="spellStart"/>
      <w:r w:rsidRPr="006C19DF">
        <w:t>pralatrexate</w:t>
      </w:r>
      <w:proofErr w:type="spellEnd"/>
      <w:r w:rsidRPr="006C19DF">
        <w:t xml:space="preserve"> patients experienced at least one treatment-related serious adverse event, 26% experienced a treatment-related Grade 4/5 adverse event and 38% of patients experienced a Grade 3 treatment-related adverse event.</w:t>
      </w:r>
    </w:p>
    <w:p w:rsidR="00AA7B38" w:rsidRPr="00AA7B38" w:rsidRDefault="00325A05" w:rsidP="00201F41">
      <w:pPr>
        <w:pStyle w:val="ListParagraph"/>
        <w:numPr>
          <w:ilvl w:val="1"/>
          <w:numId w:val="14"/>
        </w:numPr>
        <w:spacing w:before="0" w:after="120"/>
        <w:ind w:hanging="792"/>
        <w:jc w:val="both"/>
      </w:pPr>
      <w:r w:rsidRPr="006C19DF">
        <w:t xml:space="preserve">In </w:t>
      </w:r>
      <w:r w:rsidR="00774FC6" w:rsidRPr="006C19DF">
        <w:t>study</w:t>
      </w:r>
      <w:r w:rsidRPr="006C19DF">
        <w:t xml:space="preserve"> PDX-008 t</w:t>
      </w:r>
      <w:r w:rsidR="00673D97" w:rsidRPr="006C19DF">
        <w:t>he most commonly reported adverse events</w:t>
      </w:r>
      <w:r w:rsidR="007D0044">
        <w:t xml:space="preserve"> (AEs)</w:t>
      </w:r>
      <w:r w:rsidR="00673D97" w:rsidRPr="006C19DF">
        <w:t xml:space="preserve"> </w:t>
      </w:r>
      <w:r w:rsidR="008E4E59" w:rsidRPr="006C19DF">
        <w:t>(Grade 1 to 4</w:t>
      </w:r>
      <w:r w:rsidRPr="006C19DF">
        <w:t xml:space="preserve">) </w:t>
      </w:r>
      <w:r w:rsidR="00673D97" w:rsidRPr="006C19DF">
        <w:t xml:space="preserve">associated with </w:t>
      </w:r>
      <w:proofErr w:type="spellStart"/>
      <w:r w:rsidR="00673D97" w:rsidRPr="006C19DF">
        <w:t>pralatrexate</w:t>
      </w:r>
      <w:proofErr w:type="spellEnd"/>
      <w:r w:rsidR="00673D97" w:rsidRPr="006C19DF">
        <w:t xml:space="preserve"> were mucosal inflammation (68%), thrombocytopenia (40%), nausea (33%), anaemia (32%), fatigue (30%), neutropenia (24%) and epistaxis (23%). </w:t>
      </w:r>
      <w:r w:rsidR="00445BA9" w:rsidRPr="006C19DF">
        <w:t xml:space="preserve">The PSCR (p.4) stated that while the most common Grade 3 or 4 AE seen with </w:t>
      </w:r>
      <w:proofErr w:type="spellStart"/>
      <w:r w:rsidR="00445BA9" w:rsidRPr="006C19DF">
        <w:t>pralatrexate</w:t>
      </w:r>
      <w:proofErr w:type="spellEnd"/>
      <w:r w:rsidR="00445BA9" w:rsidRPr="006C19DF">
        <w:t xml:space="preserve"> is mucositis (22%), it was clinically manageable with dose reduction or discontinuation.  </w:t>
      </w:r>
      <w:r w:rsidR="00A41AAC" w:rsidRPr="00A41AAC">
        <w:t>T</w:t>
      </w:r>
      <w:r w:rsidR="00A41AAC">
        <w:t>he pre-PBAC response (p.1) argued that t</w:t>
      </w:r>
      <w:r w:rsidR="00A41AAC" w:rsidRPr="00A41AAC">
        <w:t xml:space="preserve">he toxicity observed in PDX-008 </w:t>
      </w:r>
      <w:r w:rsidR="00A41AAC">
        <w:t xml:space="preserve">study </w:t>
      </w:r>
      <w:r w:rsidR="00A41AAC" w:rsidRPr="00A41AAC">
        <w:t xml:space="preserve">was predictable, </w:t>
      </w:r>
      <w:r w:rsidR="00A41AAC">
        <w:t xml:space="preserve">and the </w:t>
      </w:r>
      <w:r w:rsidR="00A41AAC" w:rsidRPr="00A41AAC">
        <w:t xml:space="preserve">most commonly </w:t>
      </w:r>
      <w:r w:rsidR="00A41AAC">
        <w:t xml:space="preserve">observes AEs, </w:t>
      </w:r>
      <w:r w:rsidR="00A41AAC" w:rsidRPr="00A41AAC">
        <w:t>mucositis and thrombocytopenia</w:t>
      </w:r>
      <w:r w:rsidR="00A41AAC">
        <w:t>, were</w:t>
      </w:r>
      <w:r w:rsidR="00A41AAC" w:rsidRPr="00A41AAC">
        <w:t xml:space="preserve"> usually manageable, allowing ongoing therapy</w:t>
      </w:r>
      <w:r w:rsidR="00A41AAC">
        <w:t xml:space="preserve"> with</w:t>
      </w:r>
      <w:r w:rsidR="00A41AAC" w:rsidRPr="00A41AAC">
        <w:t xml:space="preserve"> discontinuation</w:t>
      </w:r>
      <w:r w:rsidR="00A41AAC">
        <w:t xml:space="preserve"> rates of</w:t>
      </w:r>
      <w:r w:rsidR="00A41AAC" w:rsidRPr="00A41AAC">
        <w:t xml:space="preserve"> 6% and 5% of cases, respectively</w:t>
      </w:r>
      <w:r w:rsidR="00A41AAC">
        <w:t>.</w:t>
      </w:r>
      <w:r w:rsidR="00AA7B38">
        <w:t xml:space="preserve"> </w:t>
      </w:r>
      <w:r w:rsidR="00AA7B38" w:rsidRPr="00AA7B38">
        <w:t xml:space="preserve">The PBAC considered Grade 3/4 mucositis to be a significant morbidity, </w:t>
      </w:r>
      <w:r w:rsidR="00390CD5" w:rsidRPr="00390CD5">
        <w:t xml:space="preserve">regardless of whether it was predictable, </w:t>
      </w:r>
      <w:r w:rsidR="00AA7B38" w:rsidRPr="00AA7B38">
        <w:t xml:space="preserve">and noted the 23% discontinuation rate due to </w:t>
      </w:r>
      <w:r w:rsidR="007D0044">
        <w:t>AEs</w:t>
      </w:r>
      <w:r w:rsidR="002C1790">
        <w:t xml:space="preserve"> </w:t>
      </w:r>
      <w:r w:rsidR="00AA7B38" w:rsidRPr="00AA7B38">
        <w:t xml:space="preserve">in the trial. </w:t>
      </w:r>
    </w:p>
    <w:p w:rsidR="00673D97" w:rsidRPr="00852E65" w:rsidRDefault="00673D97" w:rsidP="006B2D41">
      <w:pPr>
        <w:pStyle w:val="ListParagraph"/>
        <w:numPr>
          <w:ilvl w:val="1"/>
          <w:numId w:val="14"/>
        </w:numPr>
        <w:spacing w:before="0" w:after="120"/>
        <w:ind w:hanging="792"/>
        <w:jc w:val="both"/>
      </w:pPr>
      <w:r w:rsidRPr="00852E65">
        <w:t xml:space="preserve">The previous submissions did not present comparative safety data. </w:t>
      </w:r>
      <w:r w:rsidR="00F56A00" w:rsidRPr="00852E65">
        <w:t>This</w:t>
      </w:r>
      <w:r w:rsidRPr="00852E65">
        <w:t xml:space="preserve"> resubmission presented a pooled analysis and </w:t>
      </w:r>
      <w:r w:rsidR="00774FC6" w:rsidRPr="00852E65">
        <w:t xml:space="preserve">naïve </w:t>
      </w:r>
      <w:r w:rsidRPr="00852E65">
        <w:t xml:space="preserve">indirect comparison of Grade 3 or 4 </w:t>
      </w:r>
      <w:r w:rsidR="007D0044">
        <w:t>AEs</w:t>
      </w:r>
      <w:r w:rsidRPr="00852E65">
        <w:t xml:space="preserve"> between </w:t>
      </w:r>
      <w:proofErr w:type="spellStart"/>
      <w:r w:rsidRPr="00852E65">
        <w:t>pralatrexate</w:t>
      </w:r>
      <w:proofErr w:type="spellEnd"/>
      <w:r w:rsidRPr="00852E65">
        <w:t xml:space="preserve"> and the basket of comparator treatments</w:t>
      </w:r>
      <w:r w:rsidR="00774FC6" w:rsidRPr="00852E65">
        <w:t xml:space="preserve"> – see Table 8</w:t>
      </w:r>
      <w:r w:rsidRPr="00852E65">
        <w:t>.</w:t>
      </w:r>
      <w:r w:rsidR="007D0044" w:rsidRPr="00852E65" w:rsidDel="007D0044">
        <w:t xml:space="preserve"> </w:t>
      </w:r>
    </w:p>
    <w:p w:rsidR="005C26CE" w:rsidRDefault="005C26CE">
      <w:pPr>
        <w:spacing w:before="0" w:line="259" w:lineRule="auto"/>
        <w:rPr>
          <w:rFonts w:ascii="Arial Narrow" w:hAnsi="Arial Narrow"/>
          <w:b/>
          <w:sz w:val="20"/>
        </w:rPr>
      </w:pPr>
      <w:r>
        <w:br w:type="page"/>
      </w:r>
    </w:p>
    <w:p w:rsidR="007368CA" w:rsidRDefault="007368CA" w:rsidP="007368CA">
      <w:pPr>
        <w:pStyle w:val="Caption"/>
      </w:pPr>
      <w:r>
        <w:lastRenderedPageBreak/>
        <w:t xml:space="preserve">Table </w:t>
      </w:r>
      <w:r w:rsidR="007152C2">
        <w:rPr>
          <w:noProof/>
        </w:rPr>
        <w:t>8</w:t>
      </w:r>
      <w:r w:rsidRPr="00A81407">
        <w:t xml:space="preserve">: Pooled estimated rates of Grade 3 or 4 adverse events with </w:t>
      </w:r>
      <w:proofErr w:type="spellStart"/>
      <w:r w:rsidRPr="00A81407">
        <w:t>pralatrexate</w:t>
      </w:r>
      <w:proofErr w:type="spellEnd"/>
      <w:r w:rsidRPr="00A81407">
        <w:t xml:space="preserve"> and the basket of comparator treatments (occurring in ≥ 10% of patients)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134"/>
        <w:gridCol w:w="992"/>
        <w:gridCol w:w="992"/>
        <w:gridCol w:w="1134"/>
        <w:gridCol w:w="992"/>
        <w:gridCol w:w="1134"/>
      </w:tblGrid>
      <w:tr w:rsidR="00673D97" w:rsidRPr="00852E65" w:rsidTr="000B11CC">
        <w:trPr>
          <w:cantSplit/>
          <w:tblHeader/>
        </w:trPr>
        <w:tc>
          <w:tcPr>
            <w:tcW w:w="1560" w:type="dxa"/>
            <w:shd w:val="clear" w:color="auto" w:fill="auto"/>
            <w:tcMar>
              <w:left w:w="28" w:type="dxa"/>
              <w:right w:w="28" w:type="dxa"/>
            </w:tcMar>
          </w:tcPr>
          <w:p w:rsidR="00673D97" w:rsidRPr="00852E65" w:rsidRDefault="00673D97" w:rsidP="007D5AB9">
            <w:pPr>
              <w:keepNext/>
              <w:spacing w:before="40" w:after="40"/>
              <w:rPr>
                <w:rFonts w:ascii="Arial Narrow" w:eastAsia="Times New Roman" w:hAnsi="Arial Narrow" w:cs="Arial"/>
                <w:b/>
                <w:color w:val="000000"/>
                <w:sz w:val="20"/>
                <w:lang w:val="en-GB"/>
              </w:rPr>
            </w:pPr>
          </w:p>
        </w:tc>
        <w:tc>
          <w:tcPr>
            <w:tcW w:w="1134" w:type="dxa"/>
            <w:shd w:val="clear" w:color="auto" w:fill="auto"/>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b/>
                <w:color w:val="000000"/>
                <w:sz w:val="20"/>
                <w:lang w:val="en-GB"/>
              </w:rPr>
            </w:pPr>
            <w:proofErr w:type="spellStart"/>
            <w:r w:rsidRPr="00852E65">
              <w:rPr>
                <w:rFonts w:ascii="Arial Narrow" w:eastAsia="Times New Roman" w:hAnsi="Arial Narrow" w:cs="Arial"/>
                <w:b/>
                <w:color w:val="000000"/>
                <w:sz w:val="20"/>
                <w:lang w:val="en-GB"/>
              </w:rPr>
              <w:t>Pralatrexate</w:t>
            </w:r>
            <w:proofErr w:type="spellEnd"/>
          </w:p>
        </w:tc>
        <w:tc>
          <w:tcPr>
            <w:tcW w:w="1134" w:type="dxa"/>
            <w:shd w:val="clear" w:color="auto" w:fill="auto"/>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b/>
                <w:color w:val="000000"/>
                <w:sz w:val="20"/>
                <w:lang w:val="en-GB"/>
              </w:rPr>
            </w:pPr>
            <w:proofErr w:type="spellStart"/>
            <w:r w:rsidRPr="00852E65">
              <w:rPr>
                <w:rFonts w:ascii="Arial Narrow" w:eastAsia="Times New Roman" w:hAnsi="Arial Narrow" w:cs="Arial"/>
                <w:b/>
                <w:color w:val="000000"/>
                <w:sz w:val="20"/>
                <w:lang w:val="en-GB"/>
              </w:rPr>
              <w:t>Brentuximab</w:t>
            </w:r>
            <w:proofErr w:type="spellEnd"/>
          </w:p>
        </w:tc>
        <w:tc>
          <w:tcPr>
            <w:tcW w:w="992" w:type="dxa"/>
            <w:shd w:val="clear" w:color="auto" w:fill="auto"/>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b/>
                <w:color w:val="000000"/>
                <w:sz w:val="20"/>
                <w:lang w:val="en-GB"/>
              </w:rPr>
            </w:pPr>
            <w:r w:rsidRPr="00852E65">
              <w:rPr>
                <w:rFonts w:ascii="Arial Narrow" w:eastAsia="Times New Roman" w:hAnsi="Arial Narrow" w:cs="Arial"/>
                <w:b/>
                <w:color w:val="000000"/>
                <w:sz w:val="20"/>
                <w:lang w:val="en-GB"/>
              </w:rPr>
              <w:t>DHAP</w:t>
            </w:r>
          </w:p>
        </w:tc>
        <w:tc>
          <w:tcPr>
            <w:tcW w:w="992" w:type="dxa"/>
            <w:shd w:val="clear" w:color="auto" w:fill="auto"/>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b/>
                <w:color w:val="000000"/>
                <w:sz w:val="20"/>
                <w:lang w:val="en-GB"/>
              </w:rPr>
            </w:pPr>
            <w:r w:rsidRPr="00852E65">
              <w:rPr>
                <w:rFonts w:ascii="Arial Narrow" w:eastAsia="Times New Roman" w:hAnsi="Arial Narrow" w:cs="Arial"/>
                <w:b/>
                <w:color w:val="000000"/>
                <w:sz w:val="20"/>
                <w:lang w:val="en-GB"/>
              </w:rPr>
              <w:t>ESHAP</w:t>
            </w:r>
          </w:p>
        </w:tc>
        <w:tc>
          <w:tcPr>
            <w:tcW w:w="1134" w:type="dxa"/>
            <w:shd w:val="clear" w:color="auto" w:fill="auto"/>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b/>
                <w:color w:val="000000"/>
                <w:sz w:val="20"/>
                <w:lang w:val="en-GB"/>
              </w:rPr>
            </w:pPr>
            <w:r w:rsidRPr="00852E65">
              <w:rPr>
                <w:rFonts w:ascii="Arial Narrow" w:eastAsia="Times New Roman" w:hAnsi="Arial Narrow" w:cs="Arial"/>
                <w:b/>
                <w:color w:val="000000"/>
                <w:sz w:val="20"/>
                <w:lang w:val="en-GB"/>
              </w:rPr>
              <w:t>Gemcitabine-containing</w:t>
            </w:r>
          </w:p>
        </w:tc>
        <w:tc>
          <w:tcPr>
            <w:tcW w:w="992" w:type="dxa"/>
            <w:shd w:val="clear" w:color="auto" w:fill="auto"/>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b/>
                <w:color w:val="000000"/>
                <w:sz w:val="20"/>
                <w:lang w:val="en-GB"/>
              </w:rPr>
            </w:pPr>
            <w:r w:rsidRPr="00852E65">
              <w:rPr>
                <w:rFonts w:ascii="Arial Narrow" w:eastAsia="Times New Roman" w:hAnsi="Arial Narrow" w:cs="Arial"/>
                <w:b/>
                <w:color w:val="000000"/>
                <w:sz w:val="20"/>
                <w:lang w:val="en-GB"/>
              </w:rPr>
              <w:t>ICE</w:t>
            </w:r>
          </w:p>
        </w:tc>
        <w:tc>
          <w:tcPr>
            <w:tcW w:w="1134" w:type="dxa"/>
            <w:shd w:val="clear" w:color="auto" w:fill="auto"/>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b/>
                <w:color w:val="000000"/>
                <w:sz w:val="20"/>
                <w:lang w:val="en-GB"/>
              </w:rPr>
            </w:pPr>
            <w:proofErr w:type="spellStart"/>
            <w:r w:rsidRPr="00852E65">
              <w:rPr>
                <w:rFonts w:ascii="Arial Narrow" w:eastAsia="Times New Roman" w:hAnsi="Arial Narrow" w:cs="Arial"/>
                <w:b/>
                <w:color w:val="000000"/>
                <w:sz w:val="20"/>
                <w:lang w:val="en-GB"/>
              </w:rPr>
              <w:t>Romidepsin</w:t>
            </w:r>
            <w:proofErr w:type="spellEnd"/>
          </w:p>
        </w:tc>
      </w:tr>
      <w:tr w:rsidR="00673D97" w:rsidRPr="00852E65" w:rsidTr="000B11CC">
        <w:trPr>
          <w:cantSplit/>
        </w:trPr>
        <w:tc>
          <w:tcPr>
            <w:tcW w:w="1560"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Number of studies</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w:t>
            </w:r>
          </w:p>
        </w:tc>
        <w:tc>
          <w:tcPr>
            <w:tcW w:w="992"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w:t>
            </w:r>
          </w:p>
        </w:tc>
        <w:tc>
          <w:tcPr>
            <w:tcW w:w="992"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10</w:t>
            </w:r>
          </w:p>
        </w:tc>
        <w:tc>
          <w:tcPr>
            <w:tcW w:w="992"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Max. patients</w:t>
            </w:r>
            <w:r w:rsidRPr="00852E65">
              <w:rPr>
                <w:rFonts w:ascii="Arial Narrow" w:eastAsia="Times New Roman" w:hAnsi="Arial Narrow" w:cs="Arial"/>
                <w:color w:val="000000"/>
                <w:sz w:val="20"/>
                <w:vertAlign w:val="superscript"/>
                <w:lang w:val="en-GB"/>
              </w:rPr>
              <w:t xml:space="preserve"> a </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193</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93</w:t>
            </w:r>
          </w:p>
        </w:tc>
        <w:tc>
          <w:tcPr>
            <w:tcW w:w="992"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487</w:t>
            </w:r>
          </w:p>
        </w:tc>
        <w:tc>
          <w:tcPr>
            <w:tcW w:w="992"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150</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543</w:t>
            </w:r>
          </w:p>
        </w:tc>
        <w:tc>
          <w:tcPr>
            <w:tcW w:w="992"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40</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131</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b/>
                <w:color w:val="000000"/>
                <w:sz w:val="20"/>
                <w:lang w:val="en-GB"/>
              </w:rPr>
            </w:pPr>
            <w:r w:rsidRPr="00852E65">
              <w:rPr>
                <w:rFonts w:ascii="Arial Narrow" w:eastAsia="Times New Roman" w:hAnsi="Arial Narrow" w:cs="Arial"/>
                <w:b/>
                <w:color w:val="000000"/>
                <w:sz w:val="20"/>
                <w:lang w:val="en-GB"/>
              </w:rPr>
              <w:t>Adverse event</w:t>
            </w:r>
          </w:p>
        </w:tc>
        <w:tc>
          <w:tcPr>
            <w:tcW w:w="7512" w:type="dxa"/>
            <w:gridSpan w:val="7"/>
            <w:shd w:val="clear" w:color="auto" w:fill="auto"/>
            <w:tcMar>
              <w:left w:w="28" w:type="dxa"/>
              <w:right w:w="28" w:type="dxa"/>
            </w:tcMar>
            <w:vAlign w:val="center"/>
          </w:tcPr>
          <w:p w:rsidR="00673D97" w:rsidRPr="00852E65" w:rsidDel="00A46B2B"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b/>
                <w:color w:val="000000"/>
                <w:sz w:val="20"/>
                <w:lang w:val="en-GB"/>
              </w:rPr>
              <w:t>Estimated rate, % (95% CI)</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Peripheral neuropathy</w:t>
            </w:r>
          </w:p>
        </w:tc>
        <w:tc>
          <w:tcPr>
            <w:tcW w:w="1134" w:type="dxa"/>
            <w:shd w:val="clear" w:color="auto" w:fill="auto"/>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0.9%</w:t>
            </w:r>
          </w:p>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(0.1, 6.3)</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10.9%</w:t>
            </w:r>
          </w:p>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(5.9, 19.1)</w:t>
            </w:r>
          </w:p>
        </w:tc>
        <w:tc>
          <w:tcPr>
            <w:tcW w:w="992"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4.4%</w:t>
            </w:r>
          </w:p>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(1.2, 11.0)</w:t>
            </w:r>
          </w:p>
        </w:tc>
        <w:tc>
          <w:tcPr>
            <w:tcW w:w="992"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4.0%</w:t>
            </w:r>
          </w:p>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(0.1, 20.4)</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4.4%</w:t>
            </w:r>
          </w:p>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(2.0, 9.4)</w:t>
            </w:r>
            <w:r w:rsidRPr="00852E65" w:rsidDel="00AB431E">
              <w:rPr>
                <w:rFonts w:ascii="Arial Narrow" w:eastAsia="Times New Roman" w:hAnsi="Arial Narrow" w:cs="Arial"/>
                <w:color w:val="000000"/>
                <w:sz w:val="20"/>
                <w:lang w:val="en-GB"/>
              </w:rPr>
              <w:t xml:space="preserve"> </w:t>
            </w:r>
          </w:p>
        </w:tc>
        <w:tc>
          <w:tcPr>
            <w:tcW w:w="992"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10.0%</w:t>
            </w:r>
          </w:p>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(2.8, 23.7)</w:t>
            </w:r>
          </w:p>
        </w:tc>
        <w:tc>
          <w:tcPr>
            <w:tcW w:w="1134" w:type="dxa"/>
            <w:tcMar>
              <w:left w:w="28" w:type="dxa"/>
              <w:right w:w="28" w:type="dxa"/>
            </w:tcMar>
            <w:vAlign w:val="center"/>
          </w:tcPr>
          <w:p w:rsidR="00673D97" w:rsidRPr="00852E65" w:rsidRDefault="00673D97" w:rsidP="007D5AB9">
            <w:pPr>
              <w:keepNext/>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Neutropenia</w:t>
            </w:r>
          </w:p>
        </w:tc>
        <w:tc>
          <w:tcPr>
            <w:tcW w:w="1134" w:type="dxa"/>
            <w:shd w:val="clear" w:color="auto" w:fill="auto"/>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21.3%</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(16.1, 27.6)</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18.5%</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(11.8, 27.8)</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73.8%</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(41.2, 91.9)</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82.1%</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(19.6, 98.9)</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44.3%</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(29.3, 60.5)</w:t>
            </w:r>
            <w:r w:rsidRPr="00852E65" w:rsidDel="00D378CC">
              <w:rPr>
                <w:rFonts w:ascii="Arial Narrow" w:eastAsia="Times New Roman" w:hAnsi="Arial Narrow" w:cs="Arial"/>
                <w:color w:val="000000"/>
                <w:sz w:val="20"/>
                <w:lang w:val="en-GB"/>
              </w:rPr>
              <w:t xml:space="preserve"> </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90.0%</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(76.3, 97.2)</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18.3%</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(12.1, 26.0)</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Thrombocytopenia</w:t>
            </w:r>
          </w:p>
        </w:tc>
        <w:tc>
          <w:tcPr>
            <w:tcW w:w="1134" w:type="dxa"/>
            <w:shd w:val="clear" w:color="auto" w:fill="auto"/>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31.7%</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(25.5, 38.6)</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11.5%</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(6.3, 20.1)</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56.2%</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(31.1, 78.5)</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72.3%</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(4.6, 99.3)</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37.3%</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(25.1, 51.3)</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90.0%</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(76.3, 97.2)</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22.9%</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(16.0, 31.1)</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Anaemia</w:t>
            </w:r>
          </w:p>
        </w:tc>
        <w:tc>
          <w:tcPr>
            <w:tcW w:w="1134" w:type="dxa"/>
            <w:shd w:val="clear" w:color="auto" w:fill="auto"/>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16.6%</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(12.0, 22.6)</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6.5%</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(2.9, 13.7)</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30.8%</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(17.0, 47.6)</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21.5%</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(15.3, 29.5)</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5.3%</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(2.2, 10.7)</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Nausea</w:t>
            </w:r>
          </w:p>
        </w:tc>
        <w:tc>
          <w:tcPr>
            <w:tcW w:w="1134" w:type="dxa"/>
            <w:shd w:val="clear" w:color="auto" w:fill="auto"/>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3.4%</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(1.3, 8.2)</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1.7%</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(0.0, 9.2)</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8.5%</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(6.0, 11.9)</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21.9%</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(9.3, 40.0)</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5.3%</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(3.5, 7.8)</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5.0%</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(0.6, 16.9)</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1.5%</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(0.2, 5.4)</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Vomiting</w:t>
            </w:r>
          </w:p>
        </w:tc>
        <w:tc>
          <w:tcPr>
            <w:tcW w:w="1134" w:type="dxa"/>
            <w:shd w:val="clear" w:color="auto" w:fill="auto"/>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1.8%</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(0.2, 6.4)</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3.4%</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(0.4, 11.9)</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6.9%</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(4.3, 10.4)</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21.9%</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(9.3, 40.0)</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7.2%</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(5.2, 9.9)</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3.8%</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(1.3, 8.7)</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Infection</w:t>
            </w:r>
          </w:p>
        </w:tc>
        <w:tc>
          <w:tcPr>
            <w:tcW w:w="1134" w:type="dxa"/>
            <w:shd w:val="clear" w:color="auto" w:fill="auto"/>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1.2%</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(0.2, 5.5)</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5.7%</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(2.1, 14.3)</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21.3%</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(14.6, 30.1)</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37.5%</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(21.1, 56.3)</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12.3%</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(9.6, 15.8)</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12.5%</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(4.2, 26.8)</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6.1%</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(2.7, 11.7)</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Febrile neutropenia</w:t>
            </w:r>
          </w:p>
        </w:tc>
        <w:tc>
          <w:tcPr>
            <w:tcW w:w="1134" w:type="dxa"/>
            <w:shd w:val="clear" w:color="auto" w:fill="auto"/>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4.7%</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(2.1, 10.0)</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1.7%</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(0.0, 9.2)</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25.1%</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(21.2, 29.4)</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44.6%</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(29.5, 60.7)</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13.1%</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(8.8, 19.0)</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12.5%</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(4.2, 26.8)</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3.8%</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(1.3, 8.7)</w:t>
            </w:r>
          </w:p>
        </w:tc>
      </w:tr>
      <w:tr w:rsidR="00673D97" w:rsidRPr="00852E65" w:rsidTr="000B11CC">
        <w:trPr>
          <w:cantSplit/>
        </w:trPr>
        <w:tc>
          <w:tcPr>
            <w:tcW w:w="1560"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Stomatitis/mucositis</w:t>
            </w:r>
          </w:p>
        </w:tc>
        <w:tc>
          <w:tcPr>
            <w:tcW w:w="1134" w:type="dxa"/>
            <w:shd w:val="clear" w:color="auto" w:fill="auto"/>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20.7%</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(15.6, 27.0)</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40.6%</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(23.7, 59.4)</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5.8%</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(2.6, 12.4)</w:t>
            </w:r>
          </w:p>
        </w:tc>
        <w:tc>
          <w:tcPr>
            <w:tcW w:w="992"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w:t>
            </w:r>
          </w:p>
        </w:tc>
        <w:tc>
          <w:tcPr>
            <w:tcW w:w="1134" w:type="dxa"/>
            <w:tcMar>
              <w:left w:w="28" w:type="dxa"/>
              <w:right w:w="28" w:type="dxa"/>
            </w:tcMar>
            <w:vAlign w:val="center"/>
          </w:tcPr>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w:t>
            </w:r>
          </w:p>
          <w:p w:rsidR="00673D97" w:rsidRPr="00852E65" w:rsidRDefault="00673D97" w:rsidP="007D5AB9">
            <w:pPr>
              <w:spacing w:before="40" w:after="40"/>
              <w:rPr>
                <w:rFonts w:ascii="Arial Narrow" w:eastAsia="Times New Roman" w:hAnsi="Arial Narrow" w:cs="Arial"/>
                <w:color w:val="000000"/>
                <w:sz w:val="20"/>
                <w:lang w:val="en-GB"/>
              </w:rPr>
            </w:pPr>
            <w:r w:rsidRPr="00852E65">
              <w:rPr>
                <w:rFonts w:ascii="Arial Narrow" w:eastAsia="Times New Roman" w:hAnsi="Arial Narrow" w:cs="Arial"/>
                <w:color w:val="000000"/>
                <w:sz w:val="20"/>
                <w:lang w:val="en-GB"/>
              </w:rPr>
              <w:t>(0.0, 2.8)</w:t>
            </w:r>
          </w:p>
        </w:tc>
      </w:tr>
    </w:tbl>
    <w:p w:rsidR="00673D97" w:rsidRPr="00852E65" w:rsidRDefault="00673D97" w:rsidP="007D5AB9">
      <w:pPr>
        <w:pStyle w:val="TableFooter"/>
        <w:widowControl/>
      </w:pPr>
      <w:r w:rsidRPr="00852E65">
        <w:t>Source: Table 2-65, pp2-130 to 2-131 of the resubmission</w:t>
      </w:r>
    </w:p>
    <w:p w:rsidR="00673D97" w:rsidRPr="00852E65" w:rsidRDefault="00673D97" w:rsidP="007D5AB9">
      <w:pPr>
        <w:pStyle w:val="TableFooter"/>
        <w:widowControl/>
      </w:pPr>
      <w:r w:rsidRPr="00852E65">
        <w:t xml:space="preserve">CI = confidence interval; DHAP = dexamethasone, </w:t>
      </w:r>
      <w:proofErr w:type="spellStart"/>
      <w:r w:rsidRPr="00852E65">
        <w:t>cytarabine</w:t>
      </w:r>
      <w:proofErr w:type="spellEnd"/>
      <w:r w:rsidRPr="00852E65">
        <w:t xml:space="preserve">, cisplatin; ESHAP = etoposide, methylprednisolone, </w:t>
      </w:r>
      <w:proofErr w:type="spellStart"/>
      <w:r w:rsidRPr="00852E65">
        <w:t>cytarabine</w:t>
      </w:r>
      <w:proofErr w:type="spellEnd"/>
      <w:r w:rsidRPr="00852E65">
        <w:t xml:space="preserve">, cisplatin; ICE = </w:t>
      </w:r>
      <w:proofErr w:type="spellStart"/>
      <w:r w:rsidRPr="00852E65">
        <w:t>ifosfamide</w:t>
      </w:r>
      <w:proofErr w:type="spellEnd"/>
      <w:r w:rsidRPr="00852E65">
        <w:t>, carboplatin, etoposide</w:t>
      </w:r>
    </w:p>
    <w:p w:rsidR="00673D97" w:rsidRPr="00852E65" w:rsidRDefault="00673D97" w:rsidP="007D5AB9">
      <w:pPr>
        <w:pStyle w:val="TableFooter"/>
        <w:widowControl/>
      </w:pPr>
      <w:proofErr w:type="gramStart"/>
      <w:r w:rsidRPr="00852E65">
        <w:rPr>
          <w:vertAlign w:val="superscript"/>
        </w:rPr>
        <w:t>a</w:t>
      </w:r>
      <w:proofErr w:type="gramEnd"/>
      <w:r w:rsidRPr="00852E65">
        <w:t xml:space="preserve"> Maximum N value for any listed adverse event. </w:t>
      </w:r>
      <w:r w:rsidR="008644D0" w:rsidRPr="00852E65">
        <w:t xml:space="preserve">For </w:t>
      </w:r>
      <w:r w:rsidRPr="00852E65">
        <w:t>some adverse events fewer patients contributed data.</w:t>
      </w:r>
    </w:p>
    <w:p w:rsidR="00673D97" w:rsidRPr="00852E65" w:rsidRDefault="00673D97" w:rsidP="007D5AB9">
      <w:pPr>
        <w:pStyle w:val="Heading2"/>
      </w:pPr>
      <w:bookmarkStart w:id="26" w:name="_Toc482715895"/>
      <w:bookmarkStart w:id="27" w:name="_Toc413139281"/>
      <w:r w:rsidRPr="00852E65">
        <w:t>Benefits and harms</w:t>
      </w:r>
      <w:bookmarkEnd w:id="26"/>
    </w:p>
    <w:p w:rsidR="00673D97" w:rsidRPr="00852E65" w:rsidRDefault="00BE669A" w:rsidP="006B2D41">
      <w:pPr>
        <w:pStyle w:val="ListParagraph"/>
        <w:numPr>
          <w:ilvl w:val="1"/>
          <w:numId w:val="14"/>
        </w:numPr>
        <w:spacing w:before="0" w:after="120"/>
        <w:ind w:hanging="792"/>
        <w:jc w:val="both"/>
      </w:pPr>
      <w:r w:rsidRPr="00852E65">
        <w:t xml:space="preserve">The naïve indirect comparison presented in the resubmission did not allow for a comparison of the benefits and harms of </w:t>
      </w:r>
      <w:proofErr w:type="spellStart"/>
      <w:r w:rsidRPr="00852E65">
        <w:t>pralatrexate</w:t>
      </w:r>
      <w:proofErr w:type="spellEnd"/>
      <w:r w:rsidRPr="00852E65">
        <w:t xml:space="preserve"> and the basket of comparator treatments beyond what has been presented above. Accordingly, a benefits/harms table has not been presented</w:t>
      </w:r>
      <w:r w:rsidR="00736C10" w:rsidRPr="00852E65">
        <w:t xml:space="preserve">. </w:t>
      </w:r>
    </w:p>
    <w:p w:rsidR="00673D97" w:rsidRPr="00852E65" w:rsidRDefault="00673D97" w:rsidP="007D5AB9">
      <w:pPr>
        <w:pStyle w:val="Heading2"/>
      </w:pPr>
      <w:bookmarkStart w:id="28" w:name="_Toc482715896"/>
      <w:r w:rsidRPr="00852E65">
        <w:t>Clinical claim</w:t>
      </w:r>
      <w:bookmarkEnd w:id="27"/>
      <w:bookmarkEnd w:id="28"/>
    </w:p>
    <w:p w:rsidR="00585028" w:rsidRPr="00852E65" w:rsidRDefault="00673D97" w:rsidP="006B2D41">
      <w:pPr>
        <w:pStyle w:val="ListParagraph"/>
        <w:numPr>
          <w:ilvl w:val="1"/>
          <w:numId w:val="14"/>
        </w:numPr>
        <w:spacing w:before="0" w:after="120"/>
        <w:ind w:hanging="792"/>
        <w:jc w:val="both"/>
      </w:pPr>
      <w:r w:rsidRPr="00852E65">
        <w:t xml:space="preserve">The clinical claim presented in </w:t>
      </w:r>
      <w:r w:rsidR="002D2F15" w:rsidRPr="00852E65">
        <w:t>this</w:t>
      </w:r>
      <w:r w:rsidRPr="00852E65">
        <w:t xml:space="preserve"> resubmission was that </w:t>
      </w:r>
      <w:proofErr w:type="spellStart"/>
      <w:r w:rsidRPr="00852E65">
        <w:t>pralatrexate</w:t>
      </w:r>
      <w:proofErr w:type="spellEnd"/>
      <w:r w:rsidRPr="00852E65">
        <w:t xml:space="preserve"> was superior in effectiveness and had comparable</w:t>
      </w:r>
      <w:r w:rsidR="00FC2E51" w:rsidRPr="00852E65">
        <w:t xml:space="preserve"> or</w:t>
      </w:r>
      <w:r w:rsidRPr="00852E65">
        <w:t xml:space="preserve"> non-inferior safety compared to the basket of comparator treatments.  </w:t>
      </w:r>
      <w:r w:rsidR="00FC2E51" w:rsidRPr="00852E65">
        <w:t xml:space="preserve">This was unchanged from </w:t>
      </w:r>
      <w:r w:rsidR="00E146E6" w:rsidRPr="00852E65">
        <w:t xml:space="preserve">the November 2015 </w:t>
      </w:r>
      <w:r w:rsidR="00FC2E51" w:rsidRPr="00852E65">
        <w:t>submission.</w:t>
      </w:r>
      <w:r w:rsidR="00E146E6" w:rsidRPr="00852E65">
        <w:t xml:space="preserve"> The March 2016 minor resubmission did not explicitly state a clinical claim</w:t>
      </w:r>
      <w:r w:rsidR="00183C2F" w:rsidRPr="00852E65">
        <w:t xml:space="preserve">. </w:t>
      </w:r>
      <w:r w:rsidR="00585028" w:rsidRPr="00852E65">
        <w:t xml:space="preserve"> </w:t>
      </w:r>
    </w:p>
    <w:p w:rsidR="00885D03" w:rsidRPr="00852E65" w:rsidRDefault="00585028" w:rsidP="006B2D41">
      <w:pPr>
        <w:pStyle w:val="ListParagraph"/>
        <w:numPr>
          <w:ilvl w:val="1"/>
          <w:numId w:val="14"/>
        </w:numPr>
        <w:spacing w:before="0" w:after="120"/>
        <w:ind w:hanging="792"/>
        <w:jc w:val="both"/>
      </w:pPr>
      <w:r w:rsidRPr="00852E65">
        <w:t>Previously, t</w:t>
      </w:r>
      <w:r w:rsidR="00885D03" w:rsidRPr="00852E65">
        <w:t xml:space="preserve">he PBAC considered that the claim of superior comparative effectiveness was not adequately supported by the data (paragraph 6.21, November 2015 </w:t>
      </w:r>
      <w:r w:rsidR="00AD0C21">
        <w:t>PSD</w:t>
      </w:r>
      <w:r w:rsidR="00885D03" w:rsidRPr="00852E65">
        <w:t>).</w:t>
      </w:r>
    </w:p>
    <w:p w:rsidR="00673D97" w:rsidRPr="006C19DF" w:rsidRDefault="00756DBB" w:rsidP="006B2D41">
      <w:pPr>
        <w:pStyle w:val="ListParagraph"/>
        <w:numPr>
          <w:ilvl w:val="1"/>
          <w:numId w:val="14"/>
        </w:numPr>
        <w:spacing w:before="0" w:after="120"/>
        <w:ind w:hanging="792"/>
        <w:jc w:val="both"/>
      </w:pPr>
      <w:r w:rsidRPr="006C19DF">
        <w:lastRenderedPageBreak/>
        <w:t>In th</w:t>
      </w:r>
      <w:r w:rsidR="00183C2F" w:rsidRPr="006C19DF">
        <w:t>e July 2017</w:t>
      </w:r>
      <w:r w:rsidRPr="006C19DF">
        <w:t xml:space="preserve"> resubmission t</w:t>
      </w:r>
      <w:r w:rsidR="00673D97" w:rsidRPr="006C19DF">
        <w:t>he claim of superior effectiveness was not adequately supported by the evidence as:</w:t>
      </w:r>
    </w:p>
    <w:p w:rsidR="00A6264D" w:rsidRPr="006C19DF" w:rsidRDefault="00183C2F" w:rsidP="00400915">
      <w:pPr>
        <w:pStyle w:val="ListParagraph"/>
        <w:numPr>
          <w:ilvl w:val="0"/>
          <w:numId w:val="6"/>
        </w:numPr>
        <w:jc w:val="both"/>
      </w:pPr>
      <w:r w:rsidRPr="006C19DF">
        <w:t>I</w:t>
      </w:r>
      <w:r w:rsidR="00B11B35" w:rsidRPr="006C19DF">
        <w:t>t</w:t>
      </w:r>
      <w:r w:rsidR="00A6264D" w:rsidRPr="006C19DF">
        <w:t xml:space="preserve"> </w:t>
      </w:r>
      <w:r w:rsidR="00C1062D" w:rsidRPr="006C19DF">
        <w:t>was</w:t>
      </w:r>
      <w:r w:rsidR="00A6264D" w:rsidRPr="006C19DF">
        <w:t xml:space="preserve"> based on naïve indirect comparisons of patients from </w:t>
      </w:r>
      <w:r w:rsidR="00127A9D" w:rsidRPr="006C19DF">
        <w:t xml:space="preserve">numerous </w:t>
      </w:r>
      <w:r w:rsidR="00A6264D" w:rsidRPr="006C19DF">
        <w:t xml:space="preserve">different sources with considerable </w:t>
      </w:r>
      <w:r w:rsidR="00B11B35" w:rsidRPr="006C19DF">
        <w:t xml:space="preserve">heterogeneity; </w:t>
      </w:r>
    </w:p>
    <w:p w:rsidR="00F20F79" w:rsidRPr="006C19DF" w:rsidRDefault="00183C2F" w:rsidP="00EC64C5">
      <w:pPr>
        <w:pStyle w:val="ListParagraph"/>
        <w:numPr>
          <w:ilvl w:val="2"/>
          <w:numId w:val="24"/>
        </w:numPr>
        <w:spacing w:before="0" w:after="120"/>
        <w:ind w:left="1134" w:hanging="425"/>
        <w:jc w:val="both"/>
      </w:pPr>
      <w:r w:rsidRPr="006C19DF">
        <w:t>T</w:t>
      </w:r>
      <w:r w:rsidR="00F64400" w:rsidRPr="006C19DF">
        <w:t xml:space="preserve">he use of the stratified Cox </w:t>
      </w:r>
      <w:r w:rsidR="000227D6" w:rsidRPr="006C19DF">
        <w:t xml:space="preserve">regression </w:t>
      </w:r>
      <w:r w:rsidR="00F64400" w:rsidRPr="006C19DF">
        <w:t xml:space="preserve">model to estimate median </w:t>
      </w:r>
      <w:r w:rsidR="0071033C">
        <w:t>OS</w:t>
      </w:r>
      <w:r w:rsidR="00F64400" w:rsidRPr="006C19DF">
        <w:t xml:space="preserve"> might not have been </w:t>
      </w:r>
      <w:r w:rsidR="00C1062D" w:rsidRPr="006C19DF">
        <w:t>appropriate</w:t>
      </w:r>
      <w:r w:rsidR="00632A10" w:rsidRPr="006C19DF">
        <w:t xml:space="preserve"> and the effect on the combined historical control cohort (i.e. whether it over or underestimated survival) was unknown</w:t>
      </w:r>
      <w:r w:rsidR="00631512" w:rsidRPr="006C19DF">
        <w:t xml:space="preserve">. </w:t>
      </w:r>
      <w:r w:rsidR="00F20F79" w:rsidRPr="006C19DF">
        <w:t xml:space="preserve">The ESC noted the goodness of fit exercise that was conducted, overlaying the Cox </w:t>
      </w:r>
      <w:r w:rsidR="00E94379" w:rsidRPr="006C19DF">
        <w:t xml:space="preserve">regression </w:t>
      </w:r>
      <w:r w:rsidR="00F20F79" w:rsidRPr="006C19DF">
        <w:t xml:space="preserve">model estimate onto the Kaplan-Meier curve for the individual </w:t>
      </w:r>
      <w:proofErr w:type="spellStart"/>
      <w:r w:rsidR="00F20F79" w:rsidRPr="006C19DF">
        <w:t>pralatrexate</w:t>
      </w:r>
      <w:proofErr w:type="spellEnd"/>
      <w:r w:rsidR="00F20F79" w:rsidRPr="006C19DF">
        <w:t xml:space="preserve"> patient data could not be applied for the historical control cohort, as no individual patient data w</w:t>
      </w:r>
      <w:r w:rsidR="00FE2BF6">
        <w:t>ere</w:t>
      </w:r>
      <w:r w:rsidR="00F20F79" w:rsidRPr="006C19DF">
        <w:t xml:space="preserve"> available for comparison with the modelled estimates.</w:t>
      </w:r>
      <w:r w:rsidR="00AA7B38">
        <w:t xml:space="preserve"> The PBAC considered this to be a major limitation.</w:t>
      </w:r>
    </w:p>
    <w:p w:rsidR="00840081" w:rsidRPr="006C19DF" w:rsidRDefault="00183C2F" w:rsidP="00840081">
      <w:pPr>
        <w:pStyle w:val="ListParagraph"/>
        <w:numPr>
          <w:ilvl w:val="0"/>
          <w:numId w:val="6"/>
        </w:numPr>
        <w:jc w:val="both"/>
      </w:pPr>
      <w:r w:rsidRPr="006C19DF">
        <w:t>T</w:t>
      </w:r>
      <w:r w:rsidR="00EA5456" w:rsidRPr="006C19DF">
        <w:t xml:space="preserve">he </w:t>
      </w:r>
      <w:r w:rsidR="00003814" w:rsidRPr="006C19DF">
        <w:t xml:space="preserve">estimated </w:t>
      </w:r>
      <w:r w:rsidR="00EA5456" w:rsidRPr="006C19DF">
        <w:t xml:space="preserve">median </w:t>
      </w:r>
      <w:r w:rsidR="0071033C">
        <w:t>OS</w:t>
      </w:r>
      <w:r w:rsidR="00EA5456" w:rsidRPr="006C19DF">
        <w:t xml:space="preserve"> of </w:t>
      </w:r>
      <w:proofErr w:type="spellStart"/>
      <w:r w:rsidR="00EA5456" w:rsidRPr="006C19DF">
        <w:t>pralatrexate</w:t>
      </w:r>
      <w:proofErr w:type="spellEnd"/>
      <w:r w:rsidR="00EA5456" w:rsidRPr="006C19DF">
        <w:t xml:space="preserve"> patients </w:t>
      </w:r>
      <w:r w:rsidR="00EA5456" w:rsidRPr="00A358F2">
        <w:t>(14.7 months</w:t>
      </w:r>
      <w:r w:rsidR="00EA5456" w:rsidRPr="006C19DF">
        <w:t xml:space="preserve">; 95% CI: </w:t>
      </w:r>
      <w:r w:rsidR="000F1D32">
        <w:rPr>
          <w:noProof/>
          <w:color w:val="000000"/>
          <w:highlight w:val="black"/>
        </w:rPr>
        <w:t>'''''''''' ''''''''</w:t>
      </w:r>
      <w:r w:rsidR="00EA5456" w:rsidRPr="00D66770">
        <w:t xml:space="preserve">) was not significantly different from the median </w:t>
      </w:r>
      <w:r w:rsidR="0071033C" w:rsidRPr="00D66770">
        <w:t>OS</w:t>
      </w:r>
      <w:r w:rsidR="00EA5456" w:rsidRPr="00D66770">
        <w:t xml:space="preserve"> estimate for patients from the Australian database, </w:t>
      </w:r>
      <w:r w:rsidR="000F1D32">
        <w:rPr>
          <w:noProof/>
          <w:color w:val="000000"/>
          <w:highlight w:val="black"/>
        </w:rPr>
        <w:t>''''''''' '''''''''''''</w:t>
      </w:r>
      <w:r w:rsidR="00EA5456" w:rsidRPr="00D66770">
        <w:t xml:space="preserve"> (95% CI: </w:t>
      </w:r>
      <w:r w:rsidR="000F1D32">
        <w:rPr>
          <w:noProof/>
          <w:color w:val="000000"/>
          <w:highlight w:val="black"/>
        </w:rPr>
        <w:t>''''''' ''''''''</w:t>
      </w:r>
      <w:r w:rsidR="00EA5456" w:rsidRPr="00D66770">
        <w:t xml:space="preserve">). In addition, the absolute difference of </w:t>
      </w:r>
      <w:r w:rsidR="000F1D32">
        <w:rPr>
          <w:noProof/>
          <w:color w:val="000000"/>
          <w:highlight w:val="black"/>
        </w:rPr>
        <w:t>''''''' '''''''''''''</w:t>
      </w:r>
      <w:r w:rsidR="00EA5456" w:rsidRPr="00D66770">
        <w:t xml:space="preserve"> and the hazard ratio of death of </w:t>
      </w:r>
      <w:r w:rsidR="000F1D32">
        <w:rPr>
          <w:noProof/>
          <w:color w:val="000000"/>
          <w:highlight w:val="black"/>
        </w:rPr>
        <w:t>''''''''</w:t>
      </w:r>
      <w:r w:rsidR="00EA5456" w:rsidRPr="00D66770">
        <w:t xml:space="preserve"> (95% CI: </w:t>
      </w:r>
      <w:r w:rsidR="000F1D32">
        <w:rPr>
          <w:noProof/>
          <w:color w:val="000000"/>
          <w:highlight w:val="black"/>
        </w:rPr>
        <w:t>''''''''' '''''''''</w:t>
      </w:r>
      <w:r w:rsidR="00EA5456" w:rsidRPr="00D66770">
        <w:t>) did not reach the identified MCIDs</w:t>
      </w:r>
      <w:r w:rsidR="00631512" w:rsidRPr="00D66770">
        <w:t xml:space="preserve">. </w:t>
      </w:r>
      <w:r w:rsidR="00840081" w:rsidRPr="00D66770">
        <w:t>The ESC considered that altho</w:t>
      </w:r>
      <w:r w:rsidR="00840081" w:rsidRPr="006C19DF">
        <w:t xml:space="preserve">ugh of potential clinical relevance, the Australian cohort was small, and therefore any comparison to it would be statistically underpowered, and therefore unreliable.  The ESC considered that the small size of the Australian cohort also meant that differences in the distribution of key confounders between the local and OS historical cohorts were difficult to determine. </w:t>
      </w:r>
    </w:p>
    <w:p w:rsidR="00F20F79" w:rsidRPr="00852E65" w:rsidRDefault="00EA5456" w:rsidP="00840081">
      <w:pPr>
        <w:pStyle w:val="ListParagraph"/>
        <w:numPr>
          <w:ilvl w:val="0"/>
          <w:numId w:val="6"/>
        </w:numPr>
        <w:jc w:val="both"/>
      </w:pPr>
      <w:r w:rsidRPr="006C19DF">
        <w:t xml:space="preserve">The treatments received by patients in the combined historical control cohort </w:t>
      </w:r>
      <w:r w:rsidR="00762031" w:rsidRPr="006C19DF">
        <w:t>were not r</w:t>
      </w:r>
      <w:r w:rsidRPr="006C19DF">
        <w:t>epresentative of the nominated basket of comparator treatments. Approximately 66% of patients from the international database had not received a therapy from the basket of comparator treatments as their most recent</w:t>
      </w:r>
      <w:r w:rsidRPr="00852E65">
        <w:t xml:space="preserve"> </w:t>
      </w:r>
      <w:r w:rsidRPr="006C19DF">
        <w:t>therapy</w:t>
      </w:r>
      <w:r w:rsidR="00003814" w:rsidRPr="006C19DF">
        <w:t xml:space="preserve"> and patients in the Australian dataset were excluded if they had been previously treated with </w:t>
      </w:r>
      <w:proofErr w:type="spellStart"/>
      <w:r w:rsidR="00003814" w:rsidRPr="006C19DF">
        <w:t>romidepsin</w:t>
      </w:r>
      <w:proofErr w:type="spellEnd"/>
      <w:r w:rsidR="00F20F79" w:rsidRPr="006C19DF">
        <w:t xml:space="preserve">. The ESC considered that the removal of patients treated with experimental therapies from the </w:t>
      </w:r>
      <w:r w:rsidR="0071033C">
        <w:t>OS</w:t>
      </w:r>
      <w:r w:rsidR="00F20F79" w:rsidRPr="006C19DF">
        <w:t xml:space="preserve"> analysis, potentially enriched the remaining population for patients with less aggressive disease, and therefore those who would potentially have a better outcome.</w:t>
      </w:r>
    </w:p>
    <w:p w:rsidR="00EA5456" w:rsidRPr="006C19DF" w:rsidRDefault="00EA5456" w:rsidP="0014477A">
      <w:pPr>
        <w:pStyle w:val="ListParagraph"/>
        <w:numPr>
          <w:ilvl w:val="0"/>
          <w:numId w:val="6"/>
        </w:numPr>
        <w:jc w:val="both"/>
      </w:pPr>
      <w:r w:rsidRPr="006C19DF">
        <w:t xml:space="preserve">The </w:t>
      </w:r>
      <w:r w:rsidR="00F97C64" w:rsidRPr="006C19DF">
        <w:t xml:space="preserve">updated </w:t>
      </w:r>
      <w:r w:rsidRPr="006C19DF">
        <w:t xml:space="preserve">pooled overall response rate for </w:t>
      </w:r>
      <w:proofErr w:type="spellStart"/>
      <w:r w:rsidRPr="006C19DF">
        <w:t>pralatrexate</w:t>
      </w:r>
      <w:proofErr w:type="spellEnd"/>
      <w:r w:rsidRPr="006C19DF">
        <w:t xml:space="preserve"> (both investigator and independent review) w</w:t>
      </w:r>
      <w:r w:rsidR="00F97C64" w:rsidRPr="006C19DF">
        <w:t>as</w:t>
      </w:r>
      <w:r w:rsidRPr="006C19DF">
        <w:t xml:space="preserve"> not significantly different </w:t>
      </w:r>
      <w:r w:rsidR="00F97C64" w:rsidRPr="006C19DF">
        <w:t xml:space="preserve">to </w:t>
      </w:r>
      <w:r w:rsidRPr="006C19DF">
        <w:t>any of the pooled rates for the nominated basket of comparator treatments.</w:t>
      </w:r>
      <w:r w:rsidR="00E06D7C" w:rsidRPr="006C19DF">
        <w:t xml:space="preserve"> </w:t>
      </w:r>
      <w:r w:rsidR="00F64400" w:rsidRPr="006C19DF">
        <w:t xml:space="preserve">This did not support the large gain in </w:t>
      </w:r>
      <w:r w:rsidR="0071033C">
        <w:t>OS</w:t>
      </w:r>
      <w:r w:rsidR="00F64400" w:rsidRPr="006C19DF">
        <w:t xml:space="preserve"> presented.</w:t>
      </w:r>
      <w:r w:rsidR="00F20F79" w:rsidRPr="006C19DF">
        <w:t xml:space="preserve"> The ESC noted better OS results are largely due to the better tolerability and longer duration of response</w:t>
      </w:r>
      <w:r w:rsidR="00C32080" w:rsidRPr="006C19DF">
        <w:t xml:space="preserve"> rather than ORR,</w:t>
      </w:r>
      <w:r w:rsidR="00840081" w:rsidRPr="006C19DF">
        <w:t xml:space="preserve"> </w:t>
      </w:r>
      <w:r w:rsidR="00C32080" w:rsidRPr="006C19DF">
        <w:t xml:space="preserve">i.e. </w:t>
      </w:r>
      <w:r w:rsidR="00840081" w:rsidRPr="006C19DF">
        <w:t xml:space="preserve">patients remain on </w:t>
      </w:r>
      <w:r w:rsidR="00F20F79" w:rsidRPr="006C19DF">
        <w:t xml:space="preserve">better tolerated longer resulting in better </w:t>
      </w:r>
      <w:r w:rsidR="0071033C">
        <w:t>OS</w:t>
      </w:r>
      <w:r w:rsidR="00F20F79" w:rsidRPr="006C19DF">
        <w:t>.</w:t>
      </w:r>
      <w:r w:rsidR="0014477A">
        <w:t xml:space="preserve"> </w:t>
      </w:r>
    </w:p>
    <w:p w:rsidR="005C190C" w:rsidRPr="0072747F" w:rsidRDefault="005C190C" w:rsidP="00B6428F">
      <w:pPr>
        <w:pStyle w:val="ListParagraph"/>
        <w:numPr>
          <w:ilvl w:val="0"/>
          <w:numId w:val="6"/>
        </w:numPr>
        <w:jc w:val="both"/>
      </w:pPr>
      <w:r w:rsidRPr="006C19DF">
        <w:t>The ESC noted that the PBAC had previously requested further evidence on clinical benefit, such as Quality of Life (</w:t>
      </w:r>
      <w:proofErr w:type="spellStart"/>
      <w:r w:rsidRPr="006C19DF">
        <w:t>QoL</w:t>
      </w:r>
      <w:proofErr w:type="spellEnd"/>
      <w:r w:rsidRPr="006C19DF">
        <w:t>) data (</w:t>
      </w:r>
      <w:proofErr w:type="spellStart"/>
      <w:r w:rsidRPr="006C19DF">
        <w:t>pralatrexate</w:t>
      </w:r>
      <w:proofErr w:type="spellEnd"/>
      <w:r w:rsidRPr="006C19DF">
        <w:t xml:space="preserve"> PSDs, November 2015 and March 2016 PBAC meetings).  However, the PSCR (p.3) stated that no </w:t>
      </w:r>
      <w:proofErr w:type="spellStart"/>
      <w:r w:rsidRPr="006C19DF">
        <w:t>QoL</w:t>
      </w:r>
      <w:proofErr w:type="spellEnd"/>
      <w:r w:rsidRPr="006C19DF">
        <w:t xml:space="preserve"> data directly related to </w:t>
      </w:r>
      <w:proofErr w:type="spellStart"/>
      <w:r w:rsidRPr="006C19DF">
        <w:t>pralatrexate</w:t>
      </w:r>
      <w:proofErr w:type="spellEnd"/>
      <w:r w:rsidRPr="006C19DF">
        <w:t xml:space="preserve"> were available, as </w:t>
      </w:r>
      <w:proofErr w:type="spellStart"/>
      <w:r w:rsidRPr="006C19DF">
        <w:t>QoL</w:t>
      </w:r>
      <w:proofErr w:type="spellEnd"/>
      <w:r w:rsidRPr="006C19DF">
        <w:t xml:space="preserve"> was not </w:t>
      </w:r>
      <w:r w:rsidRPr="006C19DF">
        <w:lastRenderedPageBreak/>
        <w:t xml:space="preserve">measured in the key PDX-008 trial.  The PSCR further stated that due to the limited survival seen and lack of comparative studies in R/R PTCL, </w:t>
      </w:r>
      <w:proofErr w:type="spellStart"/>
      <w:r w:rsidRPr="006C19DF">
        <w:t>QoL</w:t>
      </w:r>
      <w:proofErr w:type="spellEnd"/>
      <w:r w:rsidRPr="006C19DF">
        <w:t xml:space="preserve"> measurement is not usual in this therapy area. The ESC considered that even a qualitative description of </w:t>
      </w:r>
      <w:proofErr w:type="spellStart"/>
      <w:r w:rsidRPr="006C19DF">
        <w:t>QoL</w:t>
      </w:r>
      <w:proofErr w:type="spellEnd"/>
      <w:r w:rsidRPr="006C19DF">
        <w:t xml:space="preserve"> improvements in patients who respond to treatment would be useful in determining the magnitude of benefit, if any, derived from </w:t>
      </w:r>
      <w:proofErr w:type="spellStart"/>
      <w:r w:rsidRPr="006C19DF">
        <w:t>pralatrexate</w:t>
      </w:r>
      <w:proofErr w:type="spellEnd"/>
      <w:r w:rsidRPr="006C19DF">
        <w:t xml:space="preserve"> compared to the basket of comparators.</w:t>
      </w:r>
      <w:r w:rsidR="00B6428F">
        <w:t xml:space="preserve"> The pre-PBAC response (p.2) claimed that </w:t>
      </w:r>
      <w:proofErr w:type="spellStart"/>
      <w:r w:rsidR="00B6428F">
        <w:t>p</w:t>
      </w:r>
      <w:r w:rsidR="00B6428F" w:rsidRPr="00B6428F">
        <w:t>ralatrexate</w:t>
      </w:r>
      <w:proofErr w:type="spellEnd"/>
      <w:r w:rsidR="00B6428F" w:rsidRPr="00B6428F">
        <w:t xml:space="preserve"> did not demonstrate any significant cumulative toxicity, nor any adverse impact on </w:t>
      </w:r>
      <w:proofErr w:type="spellStart"/>
      <w:r w:rsidR="0071033C">
        <w:t>QoL</w:t>
      </w:r>
      <w:proofErr w:type="spellEnd"/>
      <w:r w:rsidR="00B6428F" w:rsidRPr="00B6428F">
        <w:t xml:space="preserve">, making it suitable </w:t>
      </w:r>
      <w:r w:rsidR="00B6428F" w:rsidRPr="0072747F">
        <w:t xml:space="preserve">for longer term therapy, and argued that extremely poor tolerability is often reported for multi-agent combination therapies included in the ‘basket of comparators’.  </w:t>
      </w:r>
    </w:p>
    <w:p w:rsidR="0072747F" w:rsidRPr="0072747F" w:rsidRDefault="0072747F" w:rsidP="0072747F">
      <w:pPr>
        <w:pStyle w:val="ListParagraph"/>
        <w:numPr>
          <w:ilvl w:val="1"/>
          <w:numId w:val="14"/>
        </w:numPr>
        <w:spacing w:before="0" w:after="120"/>
        <w:ind w:hanging="792"/>
        <w:jc w:val="both"/>
      </w:pPr>
      <w:r w:rsidRPr="0072747F">
        <w:t xml:space="preserve">The PBAC considered that </w:t>
      </w:r>
      <w:proofErr w:type="spellStart"/>
      <w:r w:rsidRPr="0072747F">
        <w:t>pralatrexate</w:t>
      </w:r>
      <w:proofErr w:type="spellEnd"/>
      <w:r w:rsidRPr="0072747F">
        <w:t xml:space="preserve"> was active against previously treated PTCL, and that it was likely to have greater efficacy than historical chemotherapy combinations. However, the increment in efficacy remains uncertain. Further, the relative efficacy of </w:t>
      </w:r>
      <w:proofErr w:type="spellStart"/>
      <w:r w:rsidRPr="0072747F">
        <w:t>pralatrexate</w:t>
      </w:r>
      <w:proofErr w:type="spellEnd"/>
      <w:r w:rsidRPr="0072747F">
        <w:t xml:space="preserve"> and </w:t>
      </w:r>
      <w:proofErr w:type="spellStart"/>
      <w:r w:rsidR="005C26CE" w:rsidRPr="0072747F">
        <w:t>rom</w:t>
      </w:r>
      <w:r w:rsidR="005C26CE">
        <w:t>i</w:t>
      </w:r>
      <w:r w:rsidR="005C26CE" w:rsidRPr="0072747F">
        <w:t>depsin</w:t>
      </w:r>
      <w:proofErr w:type="spellEnd"/>
      <w:r w:rsidRPr="0072747F">
        <w:t xml:space="preserve">, the near market comparator, has not been determined. </w:t>
      </w:r>
      <w:r w:rsidRPr="00302C27">
        <w:t xml:space="preserve">Limited analysis of data from the LUMIERE trial where both </w:t>
      </w:r>
      <w:proofErr w:type="spellStart"/>
      <w:r w:rsidRPr="00302C27">
        <w:t>pralatrexate</w:t>
      </w:r>
      <w:proofErr w:type="spellEnd"/>
      <w:r w:rsidRPr="00302C27">
        <w:t xml:space="preserve"> and </w:t>
      </w:r>
      <w:proofErr w:type="spellStart"/>
      <w:r w:rsidR="005C26CE" w:rsidRPr="00302C27">
        <w:t>romidepsin</w:t>
      </w:r>
      <w:proofErr w:type="spellEnd"/>
      <w:r w:rsidRPr="00302C27">
        <w:t xml:space="preserve"> were included in a basket of comparators for an experimental drug indicates that </w:t>
      </w:r>
      <w:proofErr w:type="spellStart"/>
      <w:r w:rsidR="005C26CE" w:rsidRPr="00302C27">
        <w:t>romidepsin</w:t>
      </w:r>
      <w:proofErr w:type="spellEnd"/>
      <w:r w:rsidRPr="00302C27">
        <w:t xml:space="preserve"> may have a substantially longer PFS than observed for </w:t>
      </w:r>
      <w:proofErr w:type="spellStart"/>
      <w:r w:rsidRPr="00302C27">
        <w:t>pralatrexate</w:t>
      </w:r>
      <w:proofErr w:type="spellEnd"/>
      <w:r w:rsidRPr="00302C27">
        <w:t xml:space="preserve"> (8.0 vs 3.4 </w:t>
      </w:r>
      <w:proofErr w:type="spellStart"/>
      <w:r w:rsidRPr="00302C27">
        <w:t>mths</w:t>
      </w:r>
      <w:proofErr w:type="spellEnd"/>
      <w:r w:rsidRPr="00302C27">
        <w:t>, respectively; O’Connor ASH 2015).</w:t>
      </w:r>
    </w:p>
    <w:p w:rsidR="0072747F" w:rsidRDefault="0072747F" w:rsidP="0072747F">
      <w:pPr>
        <w:pStyle w:val="ListParagraph"/>
        <w:numPr>
          <w:ilvl w:val="1"/>
          <w:numId w:val="14"/>
        </w:numPr>
        <w:spacing w:before="0" w:after="120"/>
        <w:ind w:hanging="792"/>
        <w:jc w:val="both"/>
      </w:pPr>
      <w:r w:rsidRPr="0072747F">
        <w:t xml:space="preserve">Previously, the PBAC considered that the claim of non-inferior comparative safety was not adequately supported by the data (paragraph 6.22, November 2015 </w:t>
      </w:r>
      <w:r w:rsidR="00AD6EBD">
        <w:t>PSD</w:t>
      </w:r>
      <w:r w:rsidRPr="0072747F">
        <w:t xml:space="preserve">). In this resubmission, the claim of non-inferior safety was supported by comparative evidence. The PBAC agreed that safety was non-inferior to other chemotherapy regimens, but that the rates of severe mucositis and discontinuations due to </w:t>
      </w:r>
      <w:r w:rsidR="007D0044">
        <w:t>AEs</w:t>
      </w:r>
      <w:r w:rsidRPr="0072747F">
        <w:t xml:space="preserve"> were substantial and indicated that the treatment had significant toxicity.</w:t>
      </w:r>
    </w:p>
    <w:p w:rsidR="00B64D93" w:rsidRPr="00B64D93" w:rsidRDefault="00B64D93" w:rsidP="00B64D93">
      <w:pPr>
        <w:spacing w:before="0" w:after="120"/>
        <w:jc w:val="both"/>
        <w:rPr>
          <w:rFonts w:ascii="Calibri" w:eastAsia="Times New Roman" w:hAnsi="Calibri" w:cs="Times New Roman"/>
          <w:i/>
          <w:szCs w:val="24"/>
        </w:rPr>
      </w:pPr>
      <w:r w:rsidRPr="00B64D93">
        <w:rPr>
          <w:rFonts w:ascii="Calibri" w:eastAsia="Times New Roman" w:hAnsi="Calibri" w:cs="Times New Roman"/>
          <w:i/>
          <w:szCs w:val="24"/>
        </w:rPr>
        <w:t>For more detail on PBAC’s view, see section 7 “PBAC outcome.”</w:t>
      </w:r>
    </w:p>
    <w:p w:rsidR="00673D97" w:rsidRPr="00852E65" w:rsidRDefault="00673D97" w:rsidP="007D5AB9">
      <w:pPr>
        <w:pStyle w:val="Heading2"/>
      </w:pPr>
      <w:bookmarkStart w:id="29" w:name="_Toc413139282"/>
      <w:bookmarkStart w:id="30" w:name="_Toc482715897"/>
      <w:r w:rsidRPr="00852E65">
        <w:t>Economic analysis</w:t>
      </w:r>
      <w:bookmarkEnd w:id="29"/>
      <w:bookmarkEnd w:id="30"/>
    </w:p>
    <w:p w:rsidR="00DA2D1B" w:rsidRPr="00913B26" w:rsidRDefault="00DA2D1B" w:rsidP="006B2D41">
      <w:pPr>
        <w:pStyle w:val="ListParagraph"/>
        <w:numPr>
          <w:ilvl w:val="1"/>
          <w:numId w:val="14"/>
        </w:numPr>
        <w:spacing w:before="0" w:after="120"/>
        <w:ind w:hanging="792"/>
        <w:jc w:val="both"/>
      </w:pPr>
      <w:r w:rsidRPr="00913B26">
        <w:t xml:space="preserve">The ESC noted structural improvements had been made to the economic model, but this did not resolve the underlying issues regarding clinical effectiveness. A simplified extrapolation of the claimed OS gain may have better informed PBAC of the economic consequences of accepting </w:t>
      </w:r>
      <w:proofErr w:type="spellStart"/>
      <w:r w:rsidRPr="00913B26">
        <w:t>pralatrexate</w:t>
      </w:r>
      <w:proofErr w:type="spellEnd"/>
      <w:r w:rsidRPr="00913B26">
        <w:t xml:space="preserve"> for PBS listing in PTCL. </w:t>
      </w:r>
    </w:p>
    <w:p w:rsidR="00B74DC2" w:rsidRPr="00913B26" w:rsidRDefault="00B74DC2" w:rsidP="006B2D41">
      <w:pPr>
        <w:pStyle w:val="ListParagraph"/>
        <w:numPr>
          <w:ilvl w:val="1"/>
          <w:numId w:val="14"/>
        </w:numPr>
        <w:spacing w:before="0" w:after="120"/>
        <w:ind w:hanging="792"/>
        <w:jc w:val="both"/>
      </w:pPr>
      <w:r w:rsidRPr="00913B26">
        <w:t xml:space="preserve">In November 2015 the PBAC considered that </w:t>
      </w:r>
      <w:r w:rsidR="00A6264D" w:rsidRPr="00913B26">
        <w:t>the economic evaluation was neither informative nor meaningful given the clinical evidence</w:t>
      </w:r>
      <w:r w:rsidR="00C7706C" w:rsidRPr="00913B26">
        <w:t xml:space="preserve"> did not support the clinical claim</w:t>
      </w:r>
      <w:r w:rsidRPr="00913B26">
        <w:t xml:space="preserve"> (paragraph 7.6, November 2015</w:t>
      </w:r>
      <w:r w:rsidR="00AD0C21">
        <w:t xml:space="preserve"> PSD</w:t>
      </w:r>
      <w:r w:rsidRPr="00913B26">
        <w:t>). Although the July 2017 resubmission provided evidence to support the claim of non-inferior safety, the evidence to support the claim of superior efficacy remained insufficient.</w:t>
      </w:r>
    </w:p>
    <w:p w:rsidR="00B74DC2" w:rsidRPr="00913B26" w:rsidRDefault="00B74DC2" w:rsidP="006B2D41">
      <w:pPr>
        <w:pStyle w:val="ListParagraph"/>
        <w:numPr>
          <w:ilvl w:val="1"/>
          <w:numId w:val="14"/>
        </w:numPr>
        <w:spacing w:before="0" w:after="120"/>
        <w:ind w:hanging="792"/>
        <w:jc w:val="both"/>
      </w:pPr>
      <w:r w:rsidRPr="00913B26">
        <w:t xml:space="preserve">In November 2015 the PBAC noted that the economic model was not sufficiently reliable to provide a plausible estimate of value for money for the listing of </w:t>
      </w:r>
      <w:proofErr w:type="spellStart"/>
      <w:r w:rsidRPr="00913B26">
        <w:t>pralatrexate</w:t>
      </w:r>
      <w:proofErr w:type="spellEnd"/>
      <w:r w:rsidRPr="00913B26">
        <w:t xml:space="preserve"> (paragraph 7.6, November 2015</w:t>
      </w:r>
      <w:r w:rsidR="00AD0C21">
        <w:t xml:space="preserve"> PSD</w:t>
      </w:r>
      <w:r w:rsidRPr="00913B26">
        <w:t>). The July 2017 model addressed most of the issues raised by the PBAC and ESC (see below) and was considered more reliable</w:t>
      </w:r>
      <w:r w:rsidR="00C7706C" w:rsidRPr="00913B26">
        <w:t>; however some structural and input issues remained (</w:t>
      </w:r>
      <w:proofErr w:type="gramStart"/>
      <w:r w:rsidR="00C7706C" w:rsidRPr="00913B26">
        <w:t>see</w:t>
      </w:r>
      <w:proofErr w:type="gramEnd"/>
      <w:r w:rsidR="00C7706C" w:rsidRPr="00913B26">
        <w:t xml:space="preserve"> below)</w:t>
      </w:r>
      <w:r w:rsidRPr="00913B26">
        <w:t>.</w:t>
      </w:r>
    </w:p>
    <w:p w:rsidR="00673D97" w:rsidRPr="00913B26" w:rsidRDefault="002D2F15" w:rsidP="006B2D41">
      <w:pPr>
        <w:pStyle w:val="ListParagraph"/>
        <w:numPr>
          <w:ilvl w:val="1"/>
          <w:numId w:val="14"/>
        </w:numPr>
        <w:spacing w:before="0" w:after="120"/>
        <w:ind w:hanging="792"/>
        <w:jc w:val="both"/>
      </w:pPr>
      <w:r w:rsidRPr="00913B26">
        <w:lastRenderedPageBreak/>
        <w:t>The resubmission</w:t>
      </w:r>
      <w:r w:rsidR="00673D97" w:rsidRPr="00913B26">
        <w:t xml:space="preserve"> presented a stepped cost-utility analysis. The </w:t>
      </w:r>
      <w:r w:rsidR="00E146E6" w:rsidRPr="00913B26">
        <w:t xml:space="preserve">new model included the following </w:t>
      </w:r>
      <w:r w:rsidR="00673D97" w:rsidRPr="00913B26">
        <w:t>key changes to th</w:t>
      </w:r>
      <w:r w:rsidR="00E146E6" w:rsidRPr="00913B26">
        <w:t>at</w:t>
      </w:r>
      <w:r w:rsidR="00673D97" w:rsidRPr="00913B26">
        <w:t xml:space="preserve"> presented in the November 2015 submission</w:t>
      </w:r>
      <w:r w:rsidR="00E146E6" w:rsidRPr="00913B26">
        <w:t>:</w:t>
      </w:r>
    </w:p>
    <w:p w:rsidR="00E146E6" w:rsidRPr="006C19DF" w:rsidRDefault="00E146E6" w:rsidP="00400915">
      <w:pPr>
        <w:pStyle w:val="ListParagraph"/>
        <w:numPr>
          <w:ilvl w:val="0"/>
          <w:numId w:val="5"/>
        </w:numPr>
        <w:spacing w:before="0" w:after="120"/>
        <w:jc w:val="both"/>
      </w:pPr>
      <w:r w:rsidRPr="006C19DF">
        <w:t>There were four treatment states (primary treatment, treatment pause, subsequent treatment and dead) rather than two (alive and dead)</w:t>
      </w:r>
      <w:r w:rsidR="00CD4A23" w:rsidRPr="006C19DF">
        <w:t xml:space="preserve">. The ESC considered that a four-health state model </w:t>
      </w:r>
      <w:r w:rsidR="00DA2D1B" w:rsidRPr="006C19DF">
        <w:t>may</w:t>
      </w:r>
      <w:r w:rsidR="007A2DE9" w:rsidRPr="006C19DF">
        <w:t xml:space="preserve"> </w:t>
      </w:r>
      <w:r w:rsidR="004508EF" w:rsidRPr="006C19DF">
        <w:t>have been</w:t>
      </w:r>
      <w:r w:rsidR="007A2DE9" w:rsidRPr="006C19DF">
        <w:t xml:space="preserve"> </w:t>
      </w:r>
      <w:r w:rsidR="00CD4A23" w:rsidRPr="006C19DF">
        <w:t>reasonable</w:t>
      </w:r>
      <w:r w:rsidR="007A2DE9" w:rsidRPr="006C19DF">
        <w:t xml:space="preserve">, but noted that despite approximately a quarter of patients in the PDX-008 study discontinuing </w:t>
      </w:r>
      <w:proofErr w:type="spellStart"/>
      <w:r w:rsidR="007A2DE9" w:rsidRPr="006C19DF">
        <w:t>pralatrexate</w:t>
      </w:r>
      <w:proofErr w:type="spellEnd"/>
      <w:r w:rsidR="007A2DE9" w:rsidRPr="006C19DF">
        <w:t xml:space="preserve"> due to </w:t>
      </w:r>
      <w:proofErr w:type="gramStart"/>
      <w:r w:rsidR="007D0044">
        <w:t>AEs</w:t>
      </w:r>
      <w:r w:rsidR="007A2DE9" w:rsidRPr="006C19DF">
        <w:t>,</w:t>
      </w:r>
      <w:proofErr w:type="gramEnd"/>
      <w:r w:rsidR="007A2DE9" w:rsidRPr="006C19DF">
        <w:t xml:space="preserve"> the model did not have a discontinuation state</w:t>
      </w:r>
      <w:r w:rsidR="00CC57B3" w:rsidRPr="006C19DF">
        <w:t>. Acknowledging that discontinuations may have been captured elsewhere in the model, the ESC considered that the inclusion of a discontinued health state would have increased its transparency</w:t>
      </w:r>
      <w:r w:rsidRPr="006C19DF">
        <w:t>;</w:t>
      </w:r>
    </w:p>
    <w:p w:rsidR="00673D97" w:rsidRPr="006C19DF" w:rsidRDefault="00673D97" w:rsidP="00400915">
      <w:pPr>
        <w:pStyle w:val="ListParagraph"/>
        <w:numPr>
          <w:ilvl w:val="0"/>
          <w:numId w:val="5"/>
        </w:numPr>
        <w:spacing w:before="0" w:after="120"/>
        <w:jc w:val="both"/>
      </w:pPr>
      <w:r w:rsidRPr="006C19DF">
        <w:t>Costs were accrued with each weekly cycle, rather than one off, up-front costs;</w:t>
      </w:r>
    </w:p>
    <w:p w:rsidR="00673D97" w:rsidRPr="006C19DF" w:rsidRDefault="00673D97" w:rsidP="00400915">
      <w:pPr>
        <w:pStyle w:val="ListParagraph"/>
        <w:numPr>
          <w:ilvl w:val="0"/>
          <w:numId w:val="5"/>
        </w:numPr>
        <w:spacing w:before="0" w:after="120"/>
        <w:jc w:val="both"/>
      </w:pPr>
      <w:r w:rsidRPr="006C19DF">
        <w:t>The model allowed for the inclusion of post-progression subsequent therapy costs;</w:t>
      </w:r>
    </w:p>
    <w:p w:rsidR="00673D97" w:rsidRPr="006C19DF" w:rsidRDefault="00673D97" w:rsidP="00400915">
      <w:pPr>
        <w:pStyle w:val="ListParagraph"/>
        <w:numPr>
          <w:ilvl w:val="0"/>
          <w:numId w:val="5"/>
        </w:numPr>
        <w:spacing w:before="0" w:after="120"/>
        <w:jc w:val="both"/>
      </w:pPr>
      <w:r w:rsidRPr="006C19DF">
        <w:t>Cost associated with stem cell transplants were incorporated;</w:t>
      </w:r>
    </w:p>
    <w:p w:rsidR="00673D97" w:rsidRPr="006C19DF" w:rsidRDefault="0071033C" w:rsidP="00400915">
      <w:pPr>
        <w:pStyle w:val="ListParagraph"/>
        <w:numPr>
          <w:ilvl w:val="0"/>
          <w:numId w:val="5"/>
        </w:numPr>
        <w:spacing w:before="0" w:after="120"/>
        <w:jc w:val="both"/>
      </w:pPr>
      <w:r>
        <w:t>OS</w:t>
      </w:r>
      <w:r w:rsidR="00673D97" w:rsidRPr="006C19DF">
        <w:t xml:space="preserve"> estimates in the </w:t>
      </w:r>
      <w:proofErr w:type="spellStart"/>
      <w:r w:rsidR="00673D97" w:rsidRPr="006C19DF">
        <w:t>TreeAge</w:t>
      </w:r>
      <w:proofErr w:type="spellEnd"/>
      <w:r w:rsidR="00673D97" w:rsidRPr="006C19DF">
        <w:t xml:space="preserve"> model were consistent with the Kaplan-Meier data;</w:t>
      </w:r>
    </w:p>
    <w:p w:rsidR="00E146E6" w:rsidRPr="006C19DF" w:rsidRDefault="00673D97" w:rsidP="00400915">
      <w:pPr>
        <w:pStyle w:val="ListParagraph"/>
        <w:numPr>
          <w:ilvl w:val="0"/>
          <w:numId w:val="5"/>
        </w:numPr>
        <w:spacing w:before="0" w:after="120"/>
        <w:jc w:val="both"/>
      </w:pPr>
      <w:r w:rsidRPr="006C19DF">
        <w:t xml:space="preserve">Individual patient data </w:t>
      </w:r>
      <w:r w:rsidR="00116B36" w:rsidRPr="006C19DF">
        <w:t xml:space="preserve">were </w:t>
      </w:r>
      <w:r w:rsidRPr="006C19DF">
        <w:t xml:space="preserve">used to calculate the average number of </w:t>
      </w:r>
      <w:proofErr w:type="spellStart"/>
      <w:r w:rsidRPr="006C19DF">
        <w:t>pralatrexate</w:t>
      </w:r>
      <w:proofErr w:type="spellEnd"/>
      <w:r w:rsidRPr="006C19DF">
        <w:t xml:space="preserve"> vials used</w:t>
      </w:r>
      <w:r w:rsidR="00E146E6" w:rsidRPr="006C19DF">
        <w:t xml:space="preserve">; and </w:t>
      </w:r>
    </w:p>
    <w:p w:rsidR="00673D97" w:rsidRPr="006C19DF" w:rsidRDefault="00E146E6" w:rsidP="00400915">
      <w:pPr>
        <w:pStyle w:val="ListParagraph"/>
        <w:numPr>
          <w:ilvl w:val="0"/>
          <w:numId w:val="5"/>
        </w:numPr>
        <w:spacing w:before="0" w:after="120"/>
        <w:jc w:val="both"/>
      </w:pPr>
      <w:r w:rsidRPr="006C19DF">
        <w:t>PTCL-specific utility values were used.</w:t>
      </w:r>
    </w:p>
    <w:p w:rsidR="00007546" w:rsidRPr="00852E65" w:rsidRDefault="00007546" w:rsidP="006B2D41">
      <w:pPr>
        <w:pStyle w:val="ListParagraph"/>
        <w:numPr>
          <w:ilvl w:val="1"/>
          <w:numId w:val="14"/>
        </w:numPr>
        <w:spacing w:before="0" w:after="120"/>
        <w:ind w:hanging="792"/>
        <w:jc w:val="both"/>
      </w:pPr>
      <w:r w:rsidRPr="00852E65">
        <w:t>A number of structural issues were identified with the new model including:</w:t>
      </w:r>
    </w:p>
    <w:p w:rsidR="00C7706C" w:rsidRPr="006C19DF" w:rsidRDefault="0071033C" w:rsidP="00400915">
      <w:pPr>
        <w:pStyle w:val="ListParagraph"/>
        <w:numPr>
          <w:ilvl w:val="0"/>
          <w:numId w:val="12"/>
        </w:numPr>
        <w:spacing w:before="0" w:after="120"/>
        <w:jc w:val="both"/>
      </w:pPr>
      <w:r>
        <w:t>OS</w:t>
      </w:r>
      <w:r w:rsidR="00C7706C" w:rsidRPr="006C19DF">
        <w:t xml:space="preserve"> for </w:t>
      </w:r>
      <w:proofErr w:type="spellStart"/>
      <w:r w:rsidR="00C7706C" w:rsidRPr="006C19DF">
        <w:t>pralatrexate</w:t>
      </w:r>
      <w:proofErr w:type="spellEnd"/>
      <w:r w:rsidR="00C7706C" w:rsidRPr="006C19DF">
        <w:t xml:space="preserve"> patients was overestimated </w:t>
      </w:r>
      <w:r w:rsidR="003104BD" w:rsidRPr="006C19DF">
        <w:t>(</w:t>
      </w:r>
      <w:r w:rsidR="000F1D32">
        <w:rPr>
          <w:noProof/>
          <w:color w:val="000000"/>
          <w:highlight w:val="black"/>
        </w:rPr>
        <w:t>'''''''</w:t>
      </w:r>
      <w:r w:rsidR="000F1D32" w:rsidRPr="00530FF8">
        <w:rPr>
          <w:noProof/>
          <w:color w:val="000000"/>
        </w:rPr>
        <w:t>'</w:t>
      </w:r>
      <w:r w:rsidR="003104BD" w:rsidRPr="00530FF8">
        <w:t xml:space="preserve"> months)</w:t>
      </w:r>
      <w:r w:rsidR="00986E89" w:rsidRPr="006C19DF">
        <w:t xml:space="preserve"> in the economic model, </w:t>
      </w:r>
      <w:r w:rsidR="00C7706C" w:rsidRPr="006C19DF">
        <w:t>when compared to results from PDX-008</w:t>
      </w:r>
      <w:r w:rsidR="003104BD" w:rsidRPr="006C19DF">
        <w:t xml:space="preserve"> (</w:t>
      </w:r>
      <w:r w:rsidR="000F1D32">
        <w:rPr>
          <w:noProof/>
          <w:color w:val="000000"/>
          <w:highlight w:val="black"/>
        </w:rPr>
        <w:t>'''''''''</w:t>
      </w:r>
      <w:r w:rsidR="003104BD" w:rsidRPr="00A358F2">
        <w:t xml:space="preserve"> months</w:t>
      </w:r>
      <w:r w:rsidR="003104BD" w:rsidRPr="006C19DF">
        <w:t>)</w:t>
      </w:r>
      <w:r w:rsidR="00986E89" w:rsidRPr="006C19DF">
        <w:t>. As such, the ESC considered that the unreliable survival input was further confounded, resulting in greater degree of uncertainty in the economic model</w:t>
      </w:r>
      <w:r w:rsidR="0014477A">
        <w:t>. The pre-PBAC response (p.</w:t>
      </w:r>
      <w:r w:rsidR="001E1A52">
        <w:t>3</w:t>
      </w:r>
      <w:r w:rsidR="0014477A">
        <w:t xml:space="preserve">) argued that the economic model did not overestimate the OS of PDX-008 patients at </w:t>
      </w:r>
      <w:r w:rsidR="000F1D32">
        <w:rPr>
          <w:noProof/>
          <w:color w:val="000000"/>
          <w:highlight w:val="black"/>
        </w:rPr>
        <w:t>''''''''</w:t>
      </w:r>
      <w:r w:rsidR="0014477A" w:rsidRPr="00530FF8">
        <w:t xml:space="preserve"> months</w:t>
      </w:r>
      <w:r w:rsidR="0014477A">
        <w:t xml:space="preserve"> because this was the Cox-regression adjusted OS of patients</w:t>
      </w:r>
      <w:r w:rsidR="00C7706C" w:rsidRPr="006C19DF">
        <w:t>;</w:t>
      </w:r>
    </w:p>
    <w:p w:rsidR="00C7706C" w:rsidRPr="006C19DF" w:rsidRDefault="00C7706C" w:rsidP="00400915">
      <w:pPr>
        <w:pStyle w:val="ListParagraph"/>
        <w:numPr>
          <w:ilvl w:val="0"/>
          <w:numId w:val="12"/>
        </w:numPr>
        <w:spacing w:before="0" w:after="120"/>
        <w:jc w:val="both"/>
      </w:pPr>
      <w:r w:rsidRPr="006C19DF">
        <w:t>All patients were eligible to receive a stem cell transplant after 27 weeks, regardless of treatment success</w:t>
      </w:r>
      <w:r w:rsidR="007C68FC" w:rsidRPr="006C19DF">
        <w:t xml:space="preserve">. The ESC noted this was not a realistic assumption and successful treatment with </w:t>
      </w:r>
      <w:proofErr w:type="spellStart"/>
      <w:r w:rsidR="007C68FC" w:rsidRPr="006C19DF">
        <w:t>pralatrexate</w:t>
      </w:r>
      <w:proofErr w:type="spellEnd"/>
      <w:r w:rsidR="007C68FC" w:rsidRPr="006C19DF">
        <w:t xml:space="preserve"> (if superior to other therapies) may actually lead to more SCT than for the comparator</w:t>
      </w:r>
      <w:r w:rsidRPr="006C19DF">
        <w:t>; and</w:t>
      </w:r>
    </w:p>
    <w:p w:rsidR="00007546" w:rsidRPr="006C19DF" w:rsidRDefault="00007546" w:rsidP="00400915">
      <w:pPr>
        <w:pStyle w:val="ListParagraph"/>
        <w:numPr>
          <w:ilvl w:val="0"/>
          <w:numId w:val="12"/>
        </w:numPr>
        <w:spacing w:before="0" w:after="120"/>
        <w:jc w:val="both"/>
      </w:pPr>
      <w:r w:rsidRPr="006C19DF">
        <w:t xml:space="preserve">The application of adverse event probabilities, costs and </w:t>
      </w:r>
      <w:proofErr w:type="spellStart"/>
      <w:r w:rsidRPr="006C19DF">
        <w:t>disutilities</w:t>
      </w:r>
      <w:proofErr w:type="spellEnd"/>
      <w:r w:rsidRPr="006C19DF">
        <w:t xml:space="preserve"> after four weeks, rather than a</w:t>
      </w:r>
      <w:r w:rsidR="00C7706C" w:rsidRPr="006C19DF">
        <w:t>t the commencement of treatment.</w:t>
      </w:r>
      <w:r w:rsidR="007A2DE9" w:rsidRPr="006C19DF">
        <w:t xml:space="preserve"> </w:t>
      </w:r>
      <w:r w:rsidR="000B2431" w:rsidRPr="006C19DF">
        <w:t>The PSCR (p.5) claimed that a</w:t>
      </w:r>
      <w:r w:rsidR="007A2DE9" w:rsidRPr="006C19DF">
        <w:t xml:space="preserve">pplying the adverse event costing and </w:t>
      </w:r>
      <w:proofErr w:type="spellStart"/>
      <w:r w:rsidR="007A2DE9" w:rsidRPr="006C19DF">
        <w:t>disutilities</w:t>
      </w:r>
      <w:proofErr w:type="spellEnd"/>
      <w:r w:rsidR="007A2DE9" w:rsidRPr="006C19DF">
        <w:t xml:space="preserve"> a</w:t>
      </w:r>
      <w:r w:rsidR="000B2431" w:rsidRPr="006C19DF">
        <w:t>t 4 weeks into the model cycle wa</w:t>
      </w:r>
      <w:r w:rsidR="007A2DE9" w:rsidRPr="006C19DF">
        <w:t>s reasonable</w:t>
      </w:r>
      <w:r w:rsidR="000B2431" w:rsidRPr="006C19DF">
        <w:t>,</w:t>
      </w:r>
      <w:r w:rsidR="007A2DE9" w:rsidRPr="006C19DF">
        <w:t xml:space="preserve"> given that it takes time for treatment toxicities to accumulate.  </w:t>
      </w:r>
    </w:p>
    <w:p w:rsidR="00007546" w:rsidRDefault="00116B36" w:rsidP="006B2D41">
      <w:pPr>
        <w:pStyle w:val="ListParagraph"/>
        <w:numPr>
          <w:ilvl w:val="1"/>
          <w:numId w:val="14"/>
        </w:numPr>
        <w:spacing w:before="0" w:after="120"/>
        <w:ind w:hanging="792"/>
        <w:jc w:val="both"/>
        <w:rPr>
          <w:i/>
        </w:rPr>
      </w:pPr>
      <w:r w:rsidRPr="006C19DF">
        <w:t xml:space="preserve">As </w:t>
      </w:r>
      <w:r w:rsidR="00E146E6" w:rsidRPr="006C19DF">
        <w:t>per</w:t>
      </w:r>
      <w:r w:rsidRPr="006C19DF">
        <w:t xml:space="preserve"> </w:t>
      </w:r>
      <w:r w:rsidR="00673D97" w:rsidRPr="006C19DF">
        <w:t xml:space="preserve">the </w:t>
      </w:r>
      <w:r w:rsidR="00FC2E51" w:rsidRPr="006C19DF">
        <w:t xml:space="preserve">economic model presented in the </w:t>
      </w:r>
      <w:r w:rsidR="00673D97" w:rsidRPr="006C19DF">
        <w:t xml:space="preserve">November 2015 </w:t>
      </w:r>
      <w:r w:rsidR="00FC2E51" w:rsidRPr="006C19DF">
        <w:t>submission</w:t>
      </w:r>
      <w:r w:rsidR="00673D97" w:rsidRPr="006C19DF">
        <w:t xml:space="preserve">, there was no variation in the proportion of patients entering each health state following treatment with </w:t>
      </w:r>
      <w:proofErr w:type="spellStart"/>
      <w:r w:rsidR="00673D97" w:rsidRPr="006C19DF">
        <w:t>pralatrexate</w:t>
      </w:r>
      <w:proofErr w:type="spellEnd"/>
      <w:r w:rsidR="00673D97" w:rsidRPr="006C19DF">
        <w:t xml:space="preserve"> or the comparator. This meant that the resultant gain in quality-adjusted life years (QALY) was again driven by survival differences, rather </w:t>
      </w:r>
      <w:r w:rsidR="00673D97" w:rsidRPr="006C19DF">
        <w:lastRenderedPageBreak/>
        <w:t>than</w:t>
      </w:r>
      <w:r w:rsidR="00007546" w:rsidRPr="006C19DF">
        <w:t xml:space="preserve"> any changes in response to treatment.  </w:t>
      </w:r>
      <w:r w:rsidR="00673D97" w:rsidRPr="006C19DF">
        <w:t xml:space="preserve"> </w:t>
      </w:r>
      <w:r w:rsidR="00A75A72" w:rsidRPr="006C19DF">
        <w:t xml:space="preserve">To address this issue, the PSCR (p.4) presented a new analysis to determine the treatment responses of the historical comparison cohort. The analysis was conducted on </w:t>
      </w:r>
      <w:r w:rsidR="000F1D32">
        <w:rPr>
          <w:noProof/>
          <w:color w:val="000000"/>
          <w:highlight w:val="black"/>
        </w:rPr>
        <w:t>'''''''</w:t>
      </w:r>
      <w:r w:rsidR="00A75A72" w:rsidRPr="006C19DF">
        <w:t xml:space="preserve"> of the potential </w:t>
      </w:r>
      <w:r w:rsidR="000F1D32">
        <w:rPr>
          <w:noProof/>
          <w:color w:val="000000"/>
          <w:highlight w:val="black"/>
        </w:rPr>
        <w:t>''''''''</w:t>
      </w:r>
      <w:r w:rsidR="00A75A72" w:rsidRPr="008B4D33">
        <w:rPr>
          <w:i/>
        </w:rPr>
        <w:t xml:space="preserve"> </w:t>
      </w:r>
      <w:r w:rsidR="00A75A72" w:rsidRPr="006C19DF">
        <w:t>available patients (</w:t>
      </w:r>
      <w:r w:rsidR="000F1D32">
        <w:rPr>
          <w:noProof/>
          <w:color w:val="000000"/>
          <w:highlight w:val="black"/>
        </w:rPr>
        <w:t>'''''''</w:t>
      </w:r>
      <w:r w:rsidR="00A75A72" w:rsidRPr="006C19DF">
        <w:t xml:space="preserve"> international and </w:t>
      </w:r>
      <w:r w:rsidR="000F1D32">
        <w:rPr>
          <w:noProof/>
          <w:color w:val="000000"/>
          <w:highlight w:val="black"/>
        </w:rPr>
        <w:t>'''''</w:t>
      </w:r>
      <w:r w:rsidR="00A75A72" w:rsidRPr="006C19DF">
        <w:t xml:space="preserve"> Australian). </w:t>
      </w:r>
      <w:r w:rsidR="008B4D33" w:rsidRPr="006C19DF">
        <w:t xml:space="preserve">The ESC noted that utilising the updated response rates for the comparator arm presented in the PSCR (p.4) resulted in an incremental QALY gain of </w:t>
      </w:r>
      <w:r w:rsidR="000F1D32">
        <w:rPr>
          <w:noProof/>
          <w:color w:val="000000"/>
          <w:highlight w:val="black"/>
        </w:rPr>
        <w:t>''''''''''</w:t>
      </w:r>
      <w:r w:rsidR="008B4D33" w:rsidRPr="006C19DF">
        <w:t xml:space="preserve"> compared to </w:t>
      </w:r>
      <w:r w:rsidR="000F1D32">
        <w:rPr>
          <w:noProof/>
          <w:color w:val="000000"/>
          <w:highlight w:val="black"/>
        </w:rPr>
        <w:t>'''''''''''</w:t>
      </w:r>
      <w:r w:rsidR="008B4D33" w:rsidRPr="006C19DF">
        <w:t xml:space="preserve"> in the resubmission base case, and a resultant ICER</w:t>
      </w:r>
      <w:r w:rsidR="00731B0F">
        <w:t xml:space="preserve"> at the lower end of the range</w:t>
      </w:r>
      <w:r w:rsidR="008B4D33" w:rsidRPr="006C19DF">
        <w:t xml:space="preserve"> of </w:t>
      </w:r>
      <w:r w:rsidR="00C11CD5">
        <w:t xml:space="preserve">$45,000-$75,000/ QALY </w:t>
      </w:r>
      <w:r w:rsidR="008B4D33" w:rsidRPr="006C19DF">
        <w:t>increased from</w:t>
      </w:r>
      <w:r w:rsidR="00C11CD5">
        <w:t xml:space="preserve"> $45,000-$75,000/ QALY</w:t>
      </w:r>
      <w:r w:rsidR="008B4D33" w:rsidRPr="006C19DF">
        <w:t>.</w:t>
      </w:r>
    </w:p>
    <w:p w:rsidR="00B527D9" w:rsidRPr="00B527D9" w:rsidRDefault="00B527D9" w:rsidP="00B527D9">
      <w:pPr>
        <w:pStyle w:val="ListParagraph"/>
        <w:numPr>
          <w:ilvl w:val="1"/>
          <w:numId w:val="14"/>
        </w:numPr>
        <w:spacing w:before="0" w:after="120"/>
        <w:ind w:hanging="792"/>
        <w:jc w:val="both"/>
      </w:pPr>
      <w:r w:rsidRPr="00B527D9">
        <w:t>The PBAC noted the ESC</w:t>
      </w:r>
      <w:r w:rsidR="0011131F">
        <w:t>’s</w:t>
      </w:r>
      <w:r w:rsidRPr="00B527D9">
        <w:t xml:space="preserve"> advice, as well as the analyses provided in the submission and the arguments from the pre-PBAC response. The PBAC considered that the deficiencies in the primary clinical data required the model to include many</w:t>
      </w:r>
      <w:r w:rsidR="00530FF8">
        <w:t xml:space="preserve"> important assumptions</w:t>
      </w:r>
      <w:r w:rsidRPr="00B527D9">
        <w:t>, and collectively these problems mean that the output of the model is both uncertain and probably optimistic.</w:t>
      </w:r>
    </w:p>
    <w:p w:rsidR="007152C2" w:rsidRDefault="007152C2" w:rsidP="007152C2">
      <w:pPr>
        <w:pStyle w:val="Caption"/>
      </w:pPr>
      <w:r>
        <w:t xml:space="preserve">Table </w:t>
      </w:r>
      <w:r>
        <w:rPr>
          <w:noProof/>
        </w:rPr>
        <w:t>9</w:t>
      </w:r>
      <w:r w:rsidRPr="00DF49D3">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51"/>
        <w:gridCol w:w="7231"/>
      </w:tblGrid>
      <w:tr w:rsidR="00673D97" w:rsidRPr="00852E65" w:rsidTr="000B11CC">
        <w:trPr>
          <w:cantSplit/>
          <w:tblHeader/>
        </w:trPr>
        <w:tc>
          <w:tcPr>
            <w:tcW w:w="1019" w:type="pct"/>
            <w:shd w:val="clear" w:color="auto" w:fill="auto"/>
            <w:vAlign w:val="center"/>
          </w:tcPr>
          <w:p w:rsidR="00673D97" w:rsidRPr="00852E65" w:rsidRDefault="00673D97" w:rsidP="007D5AB9">
            <w:pPr>
              <w:pStyle w:val="TableText"/>
              <w:rPr>
                <w:b/>
              </w:rPr>
            </w:pPr>
            <w:r w:rsidRPr="00852E65">
              <w:rPr>
                <w:b/>
              </w:rPr>
              <w:t>Component</w:t>
            </w:r>
          </w:p>
        </w:tc>
        <w:tc>
          <w:tcPr>
            <w:tcW w:w="3981" w:type="pct"/>
            <w:shd w:val="clear" w:color="auto" w:fill="auto"/>
            <w:vAlign w:val="center"/>
          </w:tcPr>
          <w:p w:rsidR="00673D97" w:rsidRPr="00852E65" w:rsidRDefault="00673D97" w:rsidP="007D5AB9">
            <w:pPr>
              <w:pStyle w:val="TableText"/>
              <w:rPr>
                <w:b/>
              </w:rPr>
            </w:pPr>
            <w:r w:rsidRPr="00852E65">
              <w:rPr>
                <w:b/>
              </w:rPr>
              <w:t>Summary</w:t>
            </w:r>
          </w:p>
        </w:tc>
      </w:tr>
      <w:tr w:rsidR="00673D97" w:rsidRPr="00852E65" w:rsidTr="000B11CC">
        <w:trPr>
          <w:cantSplit/>
        </w:trPr>
        <w:tc>
          <w:tcPr>
            <w:tcW w:w="1019" w:type="pct"/>
            <w:shd w:val="clear" w:color="auto" w:fill="auto"/>
            <w:vAlign w:val="center"/>
          </w:tcPr>
          <w:p w:rsidR="00673D97" w:rsidRPr="00852E65" w:rsidRDefault="00673D97" w:rsidP="007D5AB9">
            <w:pPr>
              <w:pStyle w:val="TableText"/>
            </w:pPr>
            <w:r w:rsidRPr="00852E65">
              <w:t>Time horizon</w:t>
            </w:r>
          </w:p>
        </w:tc>
        <w:tc>
          <w:tcPr>
            <w:tcW w:w="3981" w:type="pct"/>
            <w:shd w:val="clear" w:color="auto" w:fill="auto"/>
            <w:vAlign w:val="center"/>
          </w:tcPr>
          <w:p w:rsidR="00673D97" w:rsidRPr="00852E65" w:rsidRDefault="00673D97" w:rsidP="007D5AB9">
            <w:pPr>
              <w:pStyle w:val="TableText"/>
              <w:rPr>
                <w:rFonts w:ascii="Times" w:eastAsia="Times New Roman" w:hAnsi="Times" w:cs="Times New Roman"/>
              </w:rPr>
            </w:pPr>
            <w:r w:rsidRPr="00852E65">
              <w:t>10 years in the model base case versus 2 years in study PDX-008</w:t>
            </w:r>
            <w:r w:rsidR="00F97C64" w:rsidRPr="00852E65">
              <w:t>. The OS curves converged at 5 years, with no additional incremental costs or benefits; thus, the model base case was essentially 5 years.</w:t>
            </w:r>
          </w:p>
        </w:tc>
      </w:tr>
      <w:tr w:rsidR="00673D97" w:rsidRPr="00852E65" w:rsidTr="000B11CC">
        <w:trPr>
          <w:cantSplit/>
        </w:trPr>
        <w:tc>
          <w:tcPr>
            <w:tcW w:w="1019" w:type="pct"/>
            <w:shd w:val="clear" w:color="auto" w:fill="auto"/>
            <w:vAlign w:val="center"/>
          </w:tcPr>
          <w:p w:rsidR="00673D97" w:rsidRPr="00852E65" w:rsidRDefault="00673D97" w:rsidP="007D5AB9">
            <w:pPr>
              <w:pStyle w:val="TableText"/>
              <w:rPr>
                <w:rFonts w:ascii="Times" w:eastAsia="Times New Roman" w:hAnsi="Times" w:cs="Times New Roman"/>
              </w:rPr>
            </w:pPr>
            <w:r w:rsidRPr="00852E65">
              <w:t>Outcomes</w:t>
            </w:r>
          </w:p>
        </w:tc>
        <w:tc>
          <w:tcPr>
            <w:tcW w:w="3981" w:type="pct"/>
            <w:shd w:val="clear" w:color="auto" w:fill="auto"/>
            <w:vAlign w:val="center"/>
          </w:tcPr>
          <w:p w:rsidR="00673D97" w:rsidRPr="00852E65" w:rsidRDefault="00673D97" w:rsidP="007D5AB9">
            <w:pPr>
              <w:pStyle w:val="TableText"/>
              <w:rPr>
                <w:rFonts w:ascii="Times" w:eastAsia="Times New Roman" w:hAnsi="Times" w:cs="Times New Roman"/>
              </w:rPr>
            </w:pPr>
            <w:r w:rsidRPr="00852E65">
              <w:t>LYG and QALYs</w:t>
            </w:r>
          </w:p>
        </w:tc>
      </w:tr>
      <w:tr w:rsidR="00673D97" w:rsidRPr="00852E65" w:rsidTr="000B11CC">
        <w:trPr>
          <w:cantSplit/>
        </w:trPr>
        <w:tc>
          <w:tcPr>
            <w:tcW w:w="1019" w:type="pct"/>
            <w:shd w:val="clear" w:color="auto" w:fill="auto"/>
            <w:vAlign w:val="center"/>
          </w:tcPr>
          <w:p w:rsidR="00673D97" w:rsidRPr="00852E65" w:rsidRDefault="00673D97" w:rsidP="007D5AB9">
            <w:pPr>
              <w:pStyle w:val="TableText"/>
              <w:keepNext w:val="0"/>
              <w:rPr>
                <w:rFonts w:ascii="Times" w:eastAsia="Times New Roman" w:hAnsi="Times" w:cs="Times New Roman"/>
              </w:rPr>
            </w:pPr>
            <w:r w:rsidRPr="00852E65">
              <w:t>Methods used to generate results</w:t>
            </w:r>
          </w:p>
        </w:tc>
        <w:tc>
          <w:tcPr>
            <w:tcW w:w="3981" w:type="pct"/>
            <w:shd w:val="clear" w:color="auto" w:fill="auto"/>
            <w:vAlign w:val="center"/>
          </w:tcPr>
          <w:p w:rsidR="00673D97" w:rsidRPr="00852E65" w:rsidRDefault="00673D97" w:rsidP="007D5AB9">
            <w:pPr>
              <w:pStyle w:val="TableText"/>
              <w:keepNext w:val="0"/>
              <w:rPr>
                <w:rFonts w:ascii="Times" w:eastAsia="Times New Roman" w:hAnsi="Times" w:cs="Times New Roman"/>
              </w:rPr>
            </w:pPr>
            <w:r w:rsidRPr="00852E65">
              <w:t>A discrete-time Markov model with microsimulations</w:t>
            </w:r>
          </w:p>
        </w:tc>
      </w:tr>
      <w:tr w:rsidR="00673D97" w:rsidRPr="00852E65" w:rsidTr="000B11CC">
        <w:trPr>
          <w:cantSplit/>
        </w:trPr>
        <w:tc>
          <w:tcPr>
            <w:tcW w:w="1019" w:type="pct"/>
            <w:shd w:val="clear" w:color="auto" w:fill="auto"/>
            <w:vAlign w:val="center"/>
          </w:tcPr>
          <w:p w:rsidR="00673D97" w:rsidRPr="00852E65" w:rsidRDefault="00673D97" w:rsidP="007D5AB9">
            <w:pPr>
              <w:pStyle w:val="TableText"/>
              <w:keepNext w:val="0"/>
              <w:rPr>
                <w:rFonts w:ascii="Times" w:eastAsia="Times New Roman" w:hAnsi="Times" w:cs="Times New Roman"/>
              </w:rPr>
            </w:pPr>
            <w:r w:rsidRPr="00852E65">
              <w:t>Health states</w:t>
            </w:r>
          </w:p>
        </w:tc>
        <w:tc>
          <w:tcPr>
            <w:tcW w:w="3981" w:type="pct"/>
            <w:shd w:val="clear" w:color="auto" w:fill="auto"/>
            <w:vAlign w:val="center"/>
          </w:tcPr>
          <w:p w:rsidR="00673D97" w:rsidRPr="00852E65" w:rsidRDefault="00673D97" w:rsidP="007D5AB9">
            <w:pPr>
              <w:pStyle w:val="TableText"/>
              <w:keepNext w:val="0"/>
            </w:pPr>
            <w:r w:rsidRPr="00852E65">
              <w:t xml:space="preserve">The model consisted of 4 treatment states: primary treatment, treatment pause, subsequent treatment or death, from which (except from death) patients could enter one of 4 health states: CR (+ </w:t>
            </w:r>
            <w:proofErr w:type="spellStart"/>
            <w:r w:rsidRPr="00852E65">
              <w:t>CRu</w:t>
            </w:r>
            <w:proofErr w:type="spellEnd"/>
            <w:r w:rsidR="00E67FFE" w:rsidRPr="00852E65">
              <w:t>)</w:t>
            </w:r>
            <w:r w:rsidRPr="00852E65">
              <w:t xml:space="preserve">, PR, SD, PD (+ UR) </w:t>
            </w:r>
          </w:p>
          <w:p w:rsidR="00673D97" w:rsidRPr="00852E65" w:rsidRDefault="00673D97" w:rsidP="007D5AB9">
            <w:pPr>
              <w:pStyle w:val="TableText"/>
              <w:keepNext w:val="0"/>
              <w:rPr>
                <w:rFonts w:ascii="Times" w:eastAsia="Times New Roman" w:hAnsi="Times" w:cs="Times New Roman"/>
              </w:rPr>
            </w:pPr>
            <w:r w:rsidRPr="00852E65">
              <w:t xml:space="preserve">(November 2015 model structure </w:t>
            </w:r>
            <w:r w:rsidR="0063555C" w:rsidRPr="00852E65">
              <w:t>had 2 treatment states – alive and dead.</w:t>
            </w:r>
            <w:r w:rsidRPr="00852E65">
              <w:t>)</w:t>
            </w:r>
          </w:p>
        </w:tc>
      </w:tr>
      <w:tr w:rsidR="00673D97" w:rsidRPr="00852E65" w:rsidTr="000B11CC">
        <w:trPr>
          <w:cantSplit/>
        </w:trPr>
        <w:tc>
          <w:tcPr>
            <w:tcW w:w="1019" w:type="pct"/>
            <w:shd w:val="clear" w:color="auto" w:fill="auto"/>
            <w:vAlign w:val="center"/>
          </w:tcPr>
          <w:p w:rsidR="00673D97" w:rsidRPr="00852E65" w:rsidRDefault="00673D97" w:rsidP="007D5AB9">
            <w:pPr>
              <w:pStyle w:val="TableText"/>
              <w:keepNext w:val="0"/>
              <w:rPr>
                <w:rFonts w:ascii="Times" w:eastAsia="Times New Roman" w:hAnsi="Times" w:cs="Times New Roman"/>
              </w:rPr>
            </w:pPr>
            <w:r w:rsidRPr="00852E65">
              <w:t>Utilities</w:t>
            </w:r>
          </w:p>
        </w:tc>
        <w:tc>
          <w:tcPr>
            <w:tcW w:w="3981" w:type="pct"/>
            <w:shd w:val="clear" w:color="auto" w:fill="auto"/>
            <w:vAlign w:val="center"/>
          </w:tcPr>
          <w:p w:rsidR="00673D97" w:rsidRPr="00852E65" w:rsidRDefault="00673D97" w:rsidP="007D5AB9">
            <w:pPr>
              <w:pStyle w:val="TableText"/>
              <w:keepNext w:val="0"/>
            </w:pPr>
            <w:r w:rsidRPr="00852E65">
              <w:t xml:space="preserve">Trial based; PTCL specific from Kang 2015 (abstract only) </w:t>
            </w:r>
          </w:p>
          <w:p w:rsidR="00673D97" w:rsidRPr="00852E65" w:rsidRDefault="00673D97" w:rsidP="007D5AB9">
            <w:pPr>
              <w:pStyle w:val="TableText"/>
              <w:keepNext w:val="0"/>
              <w:rPr>
                <w:rFonts w:ascii="Times" w:eastAsia="Times New Roman" w:hAnsi="Times" w:cs="Times New Roman"/>
              </w:rPr>
            </w:pPr>
            <w:r w:rsidRPr="00852E65">
              <w:t xml:space="preserve">(November 2015 submission used </w:t>
            </w:r>
            <w:r w:rsidR="004B0DB8" w:rsidRPr="00852E65">
              <w:t xml:space="preserve">utility values for relapsing and/or refractory Hodgkin lymphoma and </w:t>
            </w:r>
            <w:proofErr w:type="spellStart"/>
            <w:r w:rsidR="004B0DB8" w:rsidRPr="00852E65">
              <w:t>sALCL</w:t>
            </w:r>
            <w:proofErr w:type="spellEnd"/>
            <w:r w:rsidR="004B0DB8" w:rsidRPr="00852E65">
              <w:t xml:space="preserve"> from </w:t>
            </w:r>
            <w:proofErr w:type="spellStart"/>
            <w:r w:rsidRPr="00852E65">
              <w:t>Swinburn</w:t>
            </w:r>
            <w:proofErr w:type="spellEnd"/>
            <w:r w:rsidRPr="00852E65">
              <w:t xml:space="preserve"> 2012 – these utilities were used in a sensitivity analysis)</w:t>
            </w:r>
          </w:p>
        </w:tc>
      </w:tr>
      <w:tr w:rsidR="00673D97" w:rsidRPr="00852E65" w:rsidTr="000B11CC">
        <w:trPr>
          <w:cantSplit/>
        </w:trPr>
        <w:tc>
          <w:tcPr>
            <w:tcW w:w="1019" w:type="pct"/>
            <w:shd w:val="clear" w:color="auto" w:fill="auto"/>
            <w:vAlign w:val="center"/>
          </w:tcPr>
          <w:p w:rsidR="00673D97" w:rsidRPr="00852E65" w:rsidRDefault="00673D97" w:rsidP="007D5AB9">
            <w:pPr>
              <w:pStyle w:val="TableText"/>
              <w:keepNext w:val="0"/>
              <w:rPr>
                <w:rFonts w:ascii="Times" w:eastAsia="Times New Roman" w:hAnsi="Times" w:cs="Times New Roman"/>
              </w:rPr>
            </w:pPr>
            <w:r w:rsidRPr="00852E65">
              <w:t>Cycle length</w:t>
            </w:r>
          </w:p>
        </w:tc>
        <w:tc>
          <w:tcPr>
            <w:tcW w:w="3981" w:type="pct"/>
            <w:shd w:val="clear" w:color="auto" w:fill="auto"/>
            <w:vAlign w:val="center"/>
          </w:tcPr>
          <w:p w:rsidR="00673D97" w:rsidRPr="00852E65" w:rsidRDefault="00673D97" w:rsidP="007D5AB9">
            <w:pPr>
              <w:pStyle w:val="TableText"/>
              <w:keepNext w:val="0"/>
            </w:pPr>
            <w:r w:rsidRPr="00852E65">
              <w:t xml:space="preserve">1 week </w:t>
            </w:r>
          </w:p>
          <w:p w:rsidR="00673D97" w:rsidRPr="00852E65" w:rsidRDefault="00673D97" w:rsidP="007D5AB9">
            <w:pPr>
              <w:pStyle w:val="TableText"/>
              <w:keepNext w:val="0"/>
              <w:rPr>
                <w:rFonts w:ascii="Times" w:eastAsia="Times New Roman" w:hAnsi="Times" w:cs="Times New Roman"/>
              </w:rPr>
            </w:pPr>
            <w:r w:rsidRPr="00852E65">
              <w:t>(November 2015 submission used 1 month)</w:t>
            </w:r>
          </w:p>
        </w:tc>
      </w:tr>
      <w:tr w:rsidR="00673D97" w:rsidRPr="00852E65" w:rsidTr="000B11CC">
        <w:trPr>
          <w:cantSplit/>
        </w:trPr>
        <w:tc>
          <w:tcPr>
            <w:tcW w:w="1019" w:type="pct"/>
            <w:shd w:val="clear" w:color="auto" w:fill="auto"/>
            <w:vAlign w:val="center"/>
          </w:tcPr>
          <w:p w:rsidR="00673D97" w:rsidRPr="00852E65" w:rsidRDefault="00673D97" w:rsidP="007D5AB9">
            <w:pPr>
              <w:pStyle w:val="TableText"/>
              <w:keepNext w:val="0"/>
              <w:rPr>
                <w:rFonts w:ascii="Times" w:eastAsia="Times New Roman" w:hAnsi="Times" w:cs="Times New Roman"/>
              </w:rPr>
            </w:pPr>
            <w:r w:rsidRPr="00852E65">
              <w:t>Transition probabilities</w:t>
            </w:r>
          </w:p>
        </w:tc>
        <w:tc>
          <w:tcPr>
            <w:tcW w:w="3981" w:type="pct"/>
            <w:shd w:val="clear" w:color="auto" w:fill="auto"/>
            <w:vAlign w:val="center"/>
          </w:tcPr>
          <w:p w:rsidR="00673D97" w:rsidRPr="00852E65" w:rsidRDefault="003A68CD" w:rsidP="007D5AB9">
            <w:pPr>
              <w:pStyle w:val="TableText"/>
              <w:keepNext w:val="0"/>
            </w:pPr>
            <w:r w:rsidRPr="00852E65">
              <w:t xml:space="preserve">For primary treatment: </w:t>
            </w:r>
            <w:r w:rsidR="00585028" w:rsidRPr="00852E65">
              <w:t xml:space="preserve">Sourced from </w:t>
            </w:r>
            <w:r w:rsidR="00673D97" w:rsidRPr="00852E65">
              <w:t>Study PDX-008</w:t>
            </w:r>
            <w:r w:rsidR="00585028" w:rsidRPr="00852E65">
              <w:t xml:space="preserve"> and used </w:t>
            </w:r>
            <w:r w:rsidRPr="00852E65">
              <w:t>in</w:t>
            </w:r>
            <w:r w:rsidR="00585028" w:rsidRPr="00852E65">
              <w:t xml:space="preserve"> both the </w:t>
            </w:r>
            <w:proofErr w:type="spellStart"/>
            <w:r w:rsidR="00585028" w:rsidRPr="00852E65">
              <w:t>pralatrexate</w:t>
            </w:r>
            <w:proofErr w:type="spellEnd"/>
            <w:r w:rsidR="00585028" w:rsidRPr="00852E65">
              <w:t xml:space="preserve"> and control arms. </w:t>
            </w:r>
          </w:p>
          <w:p w:rsidR="00585028" w:rsidRPr="00852E65" w:rsidRDefault="003A68CD" w:rsidP="007D5AB9">
            <w:pPr>
              <w:pStyle w:val="TableText"/>
              <w:keepNext w:val="0"/>
            </w:pPr>
            <w:r w:rsidRPr="00852E65">
              <w:t xml:space="preserve">For subsequent treatment: Sourced from Australian historical dataset and used in both the </w:t>
            </w:r>
            <w:proofErr w:type="spellStart"/>
            <w:r w:rsidRPr="00852E65">
              <w:t>pralatrexate</w:t>
            </w:r>
            <w:proofErr w:type="spellEnd"/>
            <w:r w:rsidRPr="00852E65">
              <w:t xml:space="preserve"> and control arms.</w:t>
            </w:r>
          </w:p>
        </w:tc>
      </w:tr>
    </w:tbl>
    <w:p w:rsidR="00673D97" w:rsidRPr="00852E65" w:rsidRDefault="00673D97" w:rsidP="007D5AB9">
      <w:pPr>
        <w:pStyle w:val="TableFooter"/>
        <w:widowControl/>
      </w:pPr>
      <w:r w:rsidRPr="00852E65">
        <w:t>Source: Table 3.1, p3-5 of the resubmission</w:t>
      </w:r>
    </w:p>
    <w:p w:rsidR="00673D97" w:rsidRPr="00852E65" w:rsidRDefault="00673D97" w:rsidP="007D5AB9">
      <w:pPr>
        <w:pStyle w:val="TableFooter"/>
        <w:widowControl/>
      </w:pPr>
      <w:r w:rsidRPr="00852E65">
        <w:t xml:space="preserve">CR = complete response; </w:t>
      </w:r>
      <w:proofErr w:type="spellStart"/>
      <w:r w:rsidRPr="00852E65">
        <w:t>CRu</w:t>
      </w:r>
      <w:proofErr w:type="spellEnd"/>
      <w:r w:rsidRPr="00852E65">
        <w:t xml:space="preserve"> = complete response unconfirmed; LYG = life years gained; PD = progressive disease; PR = partial response; PTCL = peripheral T-cell lymphoma; QALY = quality-adjusted life year; </w:t>
      </w:r>
      <w:proofErr w:type="spellStart"/>
      <w:r w:rsidR="004B0DB8" w:rsidRPr="00852E65">
        <w:t>sALCL</w:t>
      </w:r>
      <w:proofErr w:type="spellEnd"/>
      <w:r w:rsidR="004B0DB8" w:rsidRPr="00852E65">
        <w:t xml:space="preserve"> = systemic anaplastic large-cell lymphoma; </w:t>
      </w:r>
      <w:r w:rsidRPr="00852E65">
        <w:t>SD = stable disease; UR = unevaluable response</w:t>
      </w:r>
    </w:p>
    <w:p w:rsidR="00673D97" w:rsidRPr="00852E65" w:rsidRDefault="00673D97" w:rsidP="006B2D41">
      <w:pPr>
        <w:pStyle w:val="ListParagraph"/>
        <w:numPr>
          <w:ilvl w:val="1"/>
          <w:numId w:val="14"/>
        </w:numPr>
        <w:spacing w:before="0" w:after="120"/>
        <w:ind w:hanging="792"/>
        <w:jc w:val="both"/>
      </w:pPr>
      <w:r w:rsidRPr="00852E65">
        <w:t>The key drivers of the model are summarised in the table below. The drivers differ from those presented previously as the model was significantly different.</w:t>
      </w:r>
    </w:p>
    <w:p w:rsidR="007152C2" w:rsidRDefault="007152C2" w:rsidP="007152C2">
      <w:pPr>
        <w:pStyle w:val="Caption"/>
      </w:pPr>
      <w:r>
        <w:lastRenderedPageBreak/>
        <w:t xml:space="preserve">Table </w:t>
      </w:r>
      <w:r>
        <w:rPr>
          <w:noProof/>
        </w:rPr>
        <w:t>10</w:t>
      </w:r>
      <w:r w:rsidRPr="00B6237A">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5426"/>
        <w:gridCol w:w="2091"/>
      </w:tblGrid>
      <w:tr w:rsidR="00673D97" w:rsidRPr="00852E65" w:rsidTr="006561BC">
        <w:trPr>
          <w:cantSplit/>
          <w:tblHeader/>
        </w:trPr>
        <w:tc>
          <w:tcPr>
            <w:tcW w:w="862" w:type="pct"/>
            <w:shd w:val="clear" w:color="auto" w:fill="auto"/>
            <w:vAlign w:val="center"/>
          </w:tcPr>
          <w:p w:rsidR="00673D97" w:rsidRPr="00852E65" w:rsidRDefault="00673D97" w:rsidP="007D5AB9">
            <w:pPr>
              <w:pStyle w:val="TableText"/>
              <w:rPr>
                <w:b/>
              </w:rPr>
            </w:pPr>
            <w:r w:rsidRPr="00852E65">
              <w:rPr>
                <w:b/>
              </w:rPr>
              <w:t>Description</w:t>
            </w:r>
          </w:p>
        </w:tc>
        <w:tc>
          <w:tcPr>
            <w:tcW w:w="2987" w:type="pct"/>
            <w:shd w:val="clear" w:color="auto" w:fill="auto"/>
            <w:vAlign w:val="center"/>
          </w:tcPr>
          <w:p w:rsidR="00673D97" w:rsidRPr="00852E65" w:rsidRDefault="00673D97" w:rsidP="007D5AB9">
            <w:pPr>
              <w:pStyle w:val="TableText"/>
              <w:rPr>
                <w:b/>
              </w:rPr>
            </w:pPr>
            <w:r w:rsidRPr="00852E65">
              <w:rPr>
                <w:b/>
              </w:rPr>
              <w:t>Method/Value</w:t>
            </w:r>
          </w:p>
        </w:tc>
        <w:tc>
          <w:tcPr>
            <w:tcW w:w="1151" w:type="pct"/>
            <w:shd w:val="clear" w:color="auto" w:fill="auto"/>
            <w:vAlign w:val="center"/>
          </w:tcPr>
          <w:p w:rsidR="00673D97" w:rsidRPr="00852E65" w:rsidRDefault="00673D97" w:rsidP="007D5AB9">
            <w:pPr>
              <w:pStyle w:val="TableText"/>
              <w:rPr>
                <w:b/>
              </w:rPr>
            </w:pPr>
            <w:r w:rsidRPr="00852E65">
              <w:rPr>
                <w:b/>
              </w:rPr>
              <w:t>Impact</w:t>
            </w:r>
          </w:p>
        </w:tc>
      </w:tr>
      <w:tr w:rsidR="00673D97" w:rsidRPr="00852E65" w:rsidTr="006561BC">
        <w:trPr>
          <w:cantSplit/>
        </w:trPr>
        <w:tc>
          <w:tcPr>
            <w:tcW w:w="862" w:type="pct"/>
            <w:shd w:val="clear" w:color="auto" w:fill="auto"/>
            <w:vAlign w:val="center"/>
          </w:tcPr>
          <w:p w:rsidR="00673D97" w:rsidRPr="00852E65" w:rsidRDefault="00673D97" w:rsidP="007D5AB9">
            <w:pPr>
              <w:pStyle w:val="TableText"/>
            </w:pPr>
            <w:r w:rsidRPr="00852E65">
              <w:t>Extrapolation</w:t>
            </w:r>
          </w:p>
        </w:tc>
        <w:tc>
          <w:tcPr>
            <w:tcW w:w="2987" w:type="pct"/>
            <w:shd w:val="clear" w:color="auto" w:fill="auto"/>
            <w:vAlign w:val="center"/>
          </w:tcPr>
          <w:p w:rsidR="00673D97" w:rsidRPr="00852E65" w:rsidRDefault="00DF3957" w:rsidP="007D5AB9">
            <w:pPr>
              <w:pStyle w:val="TableText"/>
            </w:pPr>
            <w:r w:rsidRPr="00852E65">
              <w:t>E</w:t>
            </w:r>
            <w:r w:rsidR="001A55E6" w:rsidRPr="00852E65">
              <w:t xml:space="preserve">xtrapolation of overall survival in the </w:t>
            </w:r>
            <w:proofErr w:type="spellStart"/>
            <w:r w:rsidR="001A55E6" w:rsidRPr="00852E65">
              <w:t>pralatrexate</w:t>
            </w:r>
            <w:proofErr w:type="spellEnd"/>
            <w:r w:rsidR="001A55E6" w:rsidRPr="00852E65">
              <w:t xml:space="preserve"> arm overestimate</w:t>
            </w:r>
            <w:r w:rsidR="00655F64" w:rsidRPr="00852E65">
              <w:t>d</w:t>
            </w:r>
            <w:r w:rsidR="001A55E6" w:rsidRPr="00852E65">
              <w:t xml:space="preserve"> survival, when compared to rates from PDX-008</w:t>
            </w:r>
            <w:r w:rsidR="00655F64" w:rsidRPr="00852E65">
              <w:t>.</w:t>
            </w:r>
          </w:p>
        </w:tc>
        <w:tc>
          <w:tcPr>
            <w:tcW w:w="1151" w:type="pct"/>
            <w:shd w:val="clear" w:color="auto" w:fill="auto"/>
            <w:vAlign w:val="center"/>
          </w:tcPr>
          <w:p w:rsidR="00673D97" w:rsidRPr="00852E65" w:rsidRDefault="00673D97" w:rsidP="007D5AB9">
            <w:pPr>
              <w:pStyle w:val="TableText"/>
            </w:pPr>
            <w:r w:rsidRPr="00852E65">
              <w:t xml:space="preserve">High, favours </w:t>
            </w:r>
            <w:proofErr w:type="spellStart"/>
            <w:r w:rsidRPr="00852E65">
              <w:t>pralatrexate</w:t>
            </w:r>
            <w:proofErr w:type="spellEnd"/>
            <w:r w:rsidR="00B90C14" w:rsidRPr="00852E65">
              <w:t xml:space="preserve"> </w:t>
            </w:r>
          </w:p>
        </w:tc>
      </w:tr>
      <w:tr w:rsidR="00673D97" w:rsidRPr="00852E65" w:rsidTr="006561BC">
        <w:trPr>
          <w:cantSplit/>
        </w:trPr>
        <w:tc>
          <w:tcPr>
            <w:tcW w:w="862" w:type="pct"/>
            <w:shd w:val="clear" w:color="auto" w:fill="auto"/>
            <w:vAlign w:val="center"/>
          </w:tcPr>
          <w:p w:rsidR="00673D97" w:rsidRPr="00852E65" w:rsidRDefault="00673D97" w:rsidP="007D5AB9">
            <w:pPr>
              <w:pStyle w:val="TableText"/>
              <w:keepNext w:val="0"/>
            </w:pPr>
            <w:r w:rsidRPr="00852E65">
              <w:t xml:space="preserve">Cost of </w:t>
            </w:r>
            <w:r w:rsidR="00160F82" w:rsidRPr="00852E65">
              <w:t xml:space="preserve">basket of </w:t>
            </w:r>
            <w:r w:rsidRPr="00852E65">
              <w:t>comparator treatment</w:t>
            </w:r>
            <w:r w:rsidR="00160F82" w:rsidRPr="00852E65">
              <w:t>s</w:t>
            </w:r>
          </w:p>
        </w:tc>
        <w:tc>
          <w:tcPr>
            <w:tcW w:w="2987" w:type="pct"/>
            <w:shd w:val="clear" w:color="auto" w:fill="auto"/>
            <w:vAlign w:val="center"/>
          </w:tcPr>
          <w:p w:rsidR="00673D97" w:rsidRPr="00852E65" w:rsidRDefault="00160F82" w:rsidP="007D5AB9">
            <w:pPr>
              <w:pStyle w:val="TableText"/>
              <w:keepNext w:val="0"/>
            </w:pPr>
            <w:r w:rsidRPr="00852E65">
              <w:t>W</w:t>
            </w:r>
            <w:r w:rsidR="00673D97" w:rsidRPr="00852E65">
              <w:t>eighted based on re</w:t>
            </w:r>
            <w:r w:rsidR="0018231A" w:rsidRPr="00852E65">
              <w:t>sults of the E</w:t>
            </w:r>
            <w:r w:rsidR="00673D97" w:rsidRPr="00852E65">
              <w:t>xpert clinician survey</w:t>
            </w:r>
            <w:r w:rsidR="0018231A" w:rsidRPr="00852E65">
              <w:t xml:space="preserve"> </w:t>
            </w:r>
            <w:r w:rsidR="0018231A" w:rsidRPr="00530FF8">
              <w:t xml:space="preserve">(N = </w:t>
            </w:r>
            <w:r w:rsidR="000F1D32">
              <w:rPr>
                <w:noProof/>
                <w:color w:val="000000"/>
                <w:highlight w:val="black"/>
              </w:rPr>
              <w:t>'''''''</w:t>
            </w:r>
            <w:r w:rsidR="0018231A" w:rsidRPr="00852E65">
              <w:t>)</w:t>
            </w:r>
            <w:r w:rsidRPr="00852E65">
              <w:t xml:space="preserve">; costs determined using </w:t>
            </w:r>
            <w:proofErr w:type="spellStart"/>
            <w:r w:rsidRPr="00852E65">
              <w:t>eviQ</w:t>
            </w:r>
            <w:proofErr w:type="spellEnd"/>
            <w:r w:rsidRPr="00852E65">
              <w:t xml:space="preserve"> and PBS data</w:t>
            </w:r>
            <w:r w:rsidR="006561BC" w:rsidRPr="00852E65">
              <w:t xml:space="preserve">. Low rate of response to the Expert survey may have affected the </w:t>
            </w:r>
            <w:proofErr w:type="spellStart"/>
            <w:r w:rsidR="006561BC" w:rsidRPr="00852E65">
              <w:t>generalisibility</w:t>
            </w:r>
            <w:proofErr w:type="spellEnd"/>
            <w:r w:rsidR="006561BC" w:rsidRPr="00852E65">
              <w:t xml:space="preserve"> of the results - DHAP and </w:t>
            </w:r>
            <w:proofErr w:type="spellStart"/>
            <w:r w:rsidR="006561BC" w:rsidRPr="00852E65">
              <w:t>brentuximab</w:t>
            </w:r>
            <w:proofErr w:type="spellEnd"/>
            <w:r w:rsidR="006561BC" w:rsidRPr="00852E65">
              <w:t xml:space="preserve"> were the highest weighted comparator therapies, and the most expensive.</w:t>
            </w:r>
          </w:p>
        </w:tc>
        <w:tc>
          <w:tcPr>
            <w:tcW w:w="1151" w:type="pct"/>
            <w:shd w:val="clear" w:color="auto" w:fill="auto"/>
            <w:vAlign w:val="center"/>
          </w:tcPr>
          <w:p w:rsidR="00673D97" w:rsidRPr="00852E65" w:rsidRDefault="00673D97" w:rsidP="007D5AB9">
            <w:pPr>
              <w:pStyle w:val="TableText"/>
              <w:keepNext w:val="0"/>
            </w:pPr>
            <w:r w:rsidRPr="00852E65">
              <w:t xml:space="preserve">High, favours </w:t>
            </w:r>
            <w:proofErr w:type="spellStart"/>
            <w:r w:rsidRPr="00852E65">
              <w:t>pralatrexate</w:t>
            </w:r>
            <w:proofErr w:type="spellEnd"/>
            <w:r w:rsidR="00E7640D" w:rsidRPr="00852E65">
              <w:t xml:space="preserve"> </w:t>
            </w:r>
          </w:p>
        </w:tc>
      </w:tr>
      <w:tr w:rsidR="00673D97" w:rsidRPr="00852E65" w:rsidTr="006561BC">
        <w:trPr>
          <w:cantSplit/>
        </w:trPr>
        <w:tc>
          <w:tcPr>
            <w:tcW w:w="862" w:type="pct"/>
            <w:shd w:val="clear" w:color="auto" w:fill="auto"/>
            <w:vAlign w:val="center"/>
          </w:tcPr>
          <w:p w:rsidR="00673D97" w:rsidRPr="00852E65" w:rsidRDefault="00673D97" w:rsidP="007D5AB9">
            <w:pPr>
              <w:pStyle w:val="TableText"/>
              <w:keepNext w:val="0"/>
            </w:pPr>
            <w:r w:rsidRPr="00852E65">
              <w:t>Proportion of patients receiving SCT</w:t>
            </w:r>
          </w:p>
        </w:tc>
        <w:tc>
          <w:tcPr>
            <w:tcW w:w="2987" w:type="pct"/>
            <w:shd w:val="clear" w:color="auto" w:fill="auto"/>
            <w:vAlign w:val="center"/>
          </w:tcPr>
          <w:p w:rsidR="00673D97" w:rsidRPr="00852E65" w:rsidRDefault="00673D97" w:rsidP="007D5AB9">
            <w:pPr>
              <w:pStyle w:val="TableText"/>
              <w:keepNext w:val="0"/>
            </w:pPr>
            <w:proofErr w:type="spellStart"/>
            <w:r w:rsidRPr="00852E65">
              <w:t>Pralatrexate</w:t>
            </w:r>
            <w:proofErr w:type="spellEnd"/>
            <w:r w:rsidRPr="00852E65">
              <w:t xml:space="preserve"> arm – derived from PDX-008 (</w:t>
            </w:r>
            <w:r w:rsidR="000F1D32">
              <w:rPr>
                <w:noProof/>
                <w:color w:val="000000"/>
                <w:highlight w:val="black"/>
              </w:rPr>
              <w:t>'''''''''''</w:t>
            </w:r>
            <w:r w:rsidRPr="00530FF8">
              <w:t>%</w:t>
            </w:r>
            <w:r w:rsidRPr="00852E65">
              <w:t>)</w:t>
            </w:r>
          </w:p>
          <w:p w:rsidR="00673D97" w:rsidRPr="00852E65" w:rsidRDefault="00673D97" w:rsidP="007D5AB9">
            <w:pPr>
              <w:pStyle w:val="TableText"/>
              <w:keepNext w:val="0"/>
            </w:pPr>
            <w:r w:rsidRPr="00852E65">
              <w:t>Comparator arm – derived from the Australian dataset (</w:t>
            </w:r>
            <w:r w:rsidR="000F1D32">
              <w:rPr>
                <w:noProof/>
                <w:color w:val="000000"/>
                <w:highlight w:val="black"/>
              </w:rPr>
              <w:t>'''''''''''</w:t>
            </w:r>
            <w:r w:rsidRPr="00530FF8">
              <w:t>%</w:t>
            </w:r>
            <w:r w:rsidRPr="00852E65">
              <w:t>)</w:t>
            </w:r>
          </w:p>
          <w:p w:rsidR="006561BC" w:rsidRPr="00852E65" w:rsidRDefault="006561BC" w:rsidP="007D5AB9">
            <w:pPr>
              <w:pStyle w:val="TableText"/>
              <w:keepNext w:val="0"/>
            </w:pPr>
            <w:r w:rsidRPr="00852E65">
              <w:t xml:space="preserve">Rates of SCT were calculated inappropriately by using the modelled probability of being alive at 27 weeks. </w:t>
            </w:r>
          </w:p>
        </w:tc>
        <w:tc>
          <w:tcPr>
            <w:tcW w:w="1151" w:type="pct"/>
            <w:shd w:val="clear" w:color="auto" w:fill="auto"/>
            <w:vAlign w:val="center"/>
          </w:tcPr>
          <w:p w:rsidR="00673D97" w:rsidRPr="00852E65" w:rsidRDefault="00673D97" w:rsidP="007D5AB9">
            <w:pPr>
              <w:pStyle w:val="TableText"/>
              <w:keepNext w:val="0"/>
            </w:pPr>
            <w:r w:rsidRPr="00852E65">
              <w:t xml:space="preserve">High, favours </w:t>
            </w:r>
            <w:proofErr w:type="spellStart"/>
            <w:r w:rsidRPr="00852E65">
              <w:t>pralatrexate</w:t>
            </w:r>
            <w:proofErr w:type="spellEnd"/>
          </w:p>
        </w:tc>
      </w:tr>
      <w:tr w:rsidR="00135BF8" w:rsidRPr="00852E65" w:rsidTr="006561BC">
        <w:trPr>
          <w:cantSplit/>
        </w:trPr>
        <w:tc>
          <w:tcPr>
            <w:tcW w:w="862" w:type="pct"/>
            <w:shd w:val="clear" w:color="auto" w:fill="auto"/>
            <w:vAlign w:val="center"/>
          </w:tcPr>
          <w:p w:rsidR="00135BF8" w:rsidRPr="00DC4083" w:rsidRDefault="00135BF8" w:rsidP="007D5AB9">
            <w:pPr>
              <w:pStyle w:val="TableText"/>
              <w:keepNext w:val="0"/>
            </w:pPr>
            <w:r w:rsidRPr="00DC4083">
              <w:t>Subsequent lines of treatment</w:t>
            </w:r>
          </w:p>
        </w:tc>
        <w:tc>
          <w:tcPr>
            <w:tcW w:w="2987" w:type="pct"/>
            <w:shd w:val="clear" w:color="auto" w:fill="auto"/>
            <w:vAlign w:val="center"/>
          </w:tcPr>
          <w:p w:rsidR="00135BF8" w:rsidRPr="00DC4083" w:rsidRDefault="00135BF8" w:rsidP="007D5AB9">
            <w:pPr>
              <w:pStyle w:val="TableText"/>
              <w:keepNext w:val="0"/>
            </w:pPr>
            <w:r w:rsidRPr="00DC4083">
              <w:t>In the base case the number of subsequent lines of treatment was set to zero, which was not realistic in light of the treatment algorithm and evidence from the Australian population.</w:t>
            </w:r>
          </w:p>
        </w:tc>
        <w:tc>
          <w:tcPr>
            <w:tcW w:w="1151" w:type="pct"/>
            <w:shd w:val="clear" w:color="auto" w:fill="auto"/>
            <w:vAlign w:val="center"/>
          </w:tcPr>
          <w:p w:rsidR="00135BF8" w:rsidRPr="00DC4083" w:rsidRDefault="00135BF8" w:rsidP="007D5AB9">
            <w:pPr>
              <w:pStyle w:val="TableText"/>
              <w:keepNext w:val="0"/>
            </w:pPr>
            <w:r w:rsidRPr="00DC4083">
              <w:t xml:space="preserve">High, favours </w:t>
            </w:r>
            <w:proofErr w:type="spellStart"/>
            <w:r w:rsidRPr="00DC4083">
              <w:t>pralatrexate</w:t>
            </w:r>
            <w:proofErr w:type="spellEnd"/>
          </w:p>
        </w:tc>
      </w:tr>
    </w:tbl>
    <w:p w:rsidR="00673D97" w:rsidRPr="00852E65" w:rsidRDefault="00673D97" w:rsidP="007D5AB9">
      <w:pPr>
        <w:pStyle w:val="TableFooter"/>
        <w:widowControl/>
      </w:pPr>
      <w:r w:rsidRPr="00852E65">
        <w:t>Source: Compiled during evaluation</w:t>
      </w:r>
    </w:p>
    <w:p w:rsidR="00673D97" w:rsidRPr="00852E65" w:rsidRDefault="00673D97" w:rsidP="007D5AB9">
      <w:pPr>
        <w:pStyle w:val="TableFooter"/>
        <w:widowControl/>
      </w:pPr>
      <w:r w:rsidRPr="00852E65">
        <w:t>ECOG = Eastern Cooperative Oncology Group; SCT = stem cell transplant</w:t>
      </w:r>
    </w:p>
    <w:p w:rsidR="00673D97" w:rsidRPr="00852E65" w:rsidRDefault="00673D97" w:rsidP="006B2D41">
      <w:pPr>
        <w:pStyle w:val="ListParagraph"/>
        <w:numPr>
          <w:ilvl w:val="1"/>
          <w:numId w:val="14"/>
        </w:numPr>
        <w:spacing w:before="0" w:after="120"/>
        <w:ind w:hanging="792"/>
        <w:jc w:val="both"/>
      </w:pPr>
      <w:r w:rsidRPr="00852E65">
        <w:t xml:space="preserve">The results of the stepped economic evaluation are presented below. </w:t>
      </w:r>
    </w:p>
    <w:p w:rsidR="007152C2" w:rsidRDefault="007152C2" w:rsidP="007152C2">
      <w:pPr>
        <w:pStyle w:val="Caption"/>
      </w:pPr>
      <w:r>
        <w:lastRenderedPageBreak/>
        <w:t xml:space="preserve">Table </w:t>
      </w:r>
      <w:r>
        <w:rPr>
          <w:noProof/>
        </w:rPr>
        <w:t>11</w:t>
      </w:r>
      <w:r w:rsidRPr="007B7B6E">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66"/>
        <w:gridCol w:w="1856"/>
        <w:gridCol w:w="1856"/>
        <w:gridCol w:w="1804"/>
      </w:tblGrid>
      <w:tr w:rsidR="00673D97" w:rsidRPr="00852E65" w:rsidTr="000B11CC">
        <w:trPr>
          <w:cantSplit/>
          <w:tblHeader/>
        </w:trPr>
        <w:tc>
          <w:tcPr>
            <w:tcW w:w="1963" w:type="pct"/>
            <w:vAlign w:val="center"/>
          </w:tcPr>
          <w:p w:rsidR="00673D97" w:rsidRPr="00852E65" w:rsidRDefault="00673D97" w:rsidP="007D5AB9">
            <w:pPr>
              <w:pStyle w:val="TableText"/>
              <w:rPr>
                <w:b/>
              </w:rPr>
            </w:pPr>
            <w:r w:rsidRPr="00852E65">
              <w:rPr>
                <w:b/>
              </w:rPr>
              <w:t>Step and component</w:t>
            </w:r>
          </w:p>
        </w:tc>
        <w:tc>
          <w:tcPr>
            <w:tcW w:w="1022" w:type="pct"/>
            <w:vAlign w:val="center"/>
          </w:tcPr>
          <w:p w:rsidR="00673D97" w:rsidRPr="00852E65" w:rsidRDefault="00673D97" w:rsidP="007D5AB9">
            <w:pPr>
              <w:pStyle w:val="TableText"/>
              <w:rPr>
                <w:b/>
              </w:rPr>
            </w:pPr>
            <w:proofErr w:type="spellStart"/>
            <w:r w:rsidRPr="00852E65">
              <w:rPr>
                <w:b/>
              </w:rPr>
              <w:t>Pralatrexate</w:t>
            </w:r>
            <w:proofErr w:type="spellEnd"/>
          </w:p>
        </w:tc>
        <w:tc>
          <w:tcPr>
            <w:tcW w:w="1022" w:type="pct"/>
            <w:vAlign w:val="center"/>
          </w:tcPr>
          <w:p w:rsidR="00673D97" w:rsidRPr="00852E65" w:rsidRDefault="00673D97" w:rsidP="007D5AB9">
            <w:pPr>
              <w:pStyle w:val="TableText"/>
              <w:rPr>
                <w:b/>
              </w:rPr>
            </w:pPr>
            <w:r w:rsidRPr="00852E65">
              <w:rPr>
                <w:b/>
              </w:rPr>
              <w:t>Comparator</w:t>
            </w:r>
          </w:p>
        </w:tc>
        <w:tc>
          <w:tcPr>
            <w:tcW w:w="993" w:type="pct"/>
            <w:vAlign w:val="center"/>
          </w:tcPr>
          <w:p w:rsidR="00673D97" w:rsidRPr="00852E65" w:rsidRDefault="00673D97" w:rsidP="007D5AB9">
            <w:pPr>
              <w:pStyle w:val="TableText"/>
              <w:rPr>
                <w:b/>
              </w:rPr>
            </w:pPr>
            <w:r w:rsidRPr="00852E65">
              <w:rPr>
                <w:b/>
              </w:rPr>
              <w:t>Increment</w:t>
            </w:r>
          </w:p>
        </w:tc>
      </w:tr>
      <w:tr w:rsidR="00673D97" w:rsidRPr="00852E65" w:rsidTr="000B11CC">
        <w:trPr>
          <w:cantSplit/>
        </w:trPr>
        <w:tc>
          <w:tcPr>
            <w:tcW w:w="5000" w:type="pct"/>
            <w:gridSpan w:val="4"/>
            <w:vAlign w:val="center"/>
          </w:tcPr>
          <w:p w:rsidR="00673D97" w:rsidRPr="00852E65" w:rsidRDefault="00673D97" w:rsidP="002C1790">
            <w:pPr>
              <w:pStyle w:val="TableText"/>
              <w:jc w:val="both"/>
              <w:rPr>
                <w:b/>
                <w:snapToGrid w:val="0"/>
              </w:rPr>
            </w:pPr>
            <w:r w:rsidRPr="00852E65">
              <w:rPr>
                <w:b/>
                <w:snapToGrid w:val="0"/>
              </w:rPr>
              <w:t xml:space="preserve">Step 1: </w:t>
            </w:r>
            <w:r w:rsidRPr="00852E65">
              <w:t xml:space="preserve">PDX-008 versus </w:t>
            </w:r>
            <w:r w:rsidR="00E67FFE" w:rsidRPr="00852E65">
              <w:t xml:space="preserve">international </w:t>
            </w:r>
            <w:r w:rsidRPr="00852E65">
              <w:t>historical control cohort</w:t>
            </w:r>
            <w:r w:rsidR="00CD1071" w:rsidRPr="00852E65">
              <w:t xml:space="preserve"> only</w:t>
            </w:r>
            <w:r w:rsidR="00F374B0" w:rsidRPr="00852E65">
              <w:t>; Cox regression model, stratified by cohort, used in both arms;</w:t>
            </w:r>
            <w:r w:rsidRPr="00852E65">
              <w:t xml:space="preserve"> 2 years </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Costs</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Life years gained</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rFonts w:eastAsia="Times New Roman"/>
                <w:noProof/>
                <w:color w:val="000000"/>
                <w:highlight w:val="black"/>
                <w:lang w:val="en-GB"/>
              </w:rPr>
              <w:t>''''''''''</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rFonts w:eastAsia="Times New Roman"/>
                <w:noProof/>
                <w:color w:val="000000"/>
                <w:highlight w:val="black"/>
                <w:lang w:val="en-GB"/>
              </w:rPr>
              <w:t>'''''''''''</w:t>
            </w:r>
          </w:p>
        </w:tc>
        <w:tc>
          <w:tcPr>
            <w:tcW w:w="993" w:type="pct"/>
            <w:vAlign w:val="center"/>
          </w:tcPr>
          <w:p w:rsidR="00673D97" w:rsidRPr="000F1D32" w:rsidRDefault="000F1D32" w:rsidP="007D5AB9">
            <w:pPr>
              <w:pStyle w:val="TableText"/>
              <w:rPr>
                <w:highlight w:val="black"/>
              </w:rPr>
            </w:pPr>
            <w:r>
              <w:rPr>
                <w:rFonts w:eastAsia="Times New Roman"/>
                <w:noProof/>
                <w:color w:val="000000"/>
                <w:highlight w:val="black"/>
                <w:lang w:val="en-GB"/>
              </w:rPr>
              <w:t>'''''''''''''</w:t>
            </w:r>
          </w:p>
        </w:tc>
      </w:tr>
      <w:tr w:rsidR="00673D97" w:rsidRPr="00852E65" w:rsidTr="000B11CC">
        <w:trPr>
          <w:cantSplit/>
        </w:trPr>
        <w:tc>
          <w:tcPr>
            <w:tcW w:w="4007" w:type="pct"/>
            <w:gridSpan w:val="3"/>
            <w:vAlign w:val="center"/>
          </w:tcPr>
          <w:p w:rsidR="00673D97" w:rsidRPr="00852E65" w:rsidRDefault="00673D97" w:rsidP="007D5AB9">
            <w:pPr>
              <w:pStyle w:val="TableText"/>
              <w:rPr>
                <w:rFonts w:ascii="Times" w:eastAsia="Times New Roman" w:hAnsi="Times" w:cs="Times New Roman"/>
                <w:snapToGrid w:val="0"/>
              </w:rPr>
            </w:pPr>
            <w:r w:rsidRPr="00852E65">
              <w:t>Incremental cost/extra life year gained</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r w:rsidRPr="00852E65">
              <w:rPr>
                <w:rFonts w:eastAsia="Times New Roman"/>
                <w:color w:val="000000"/>
                <w:lang w:val="en-GB"/>
              </w:rPr>
              <w:t xml:space="preserve"> per LY</w:t>
            </w:r>
          </w:p>
        </w:tc>
      </w:tr>
      <w:tr w:rsidR="00673D97" w:rsidRPr="00852E65" w:rsidTr="000B11CC">
        <w:trPr>
          <w:cantSplit/>
        </w:trPr>
        <w:tc>
          <w:tcPr>
            <w:tcW w:w="5000" w:type="pct"/>
            <w:gridSpan w:val="4"/>
            <w:vAlign w:val="center"/>
          </w:tcPr>
          <w:p w:rsidR="00673D97" w:rsidRPr="00852E65" w:rsidRDefault="00673D97" w:rsidP="002C1790">
            <w:pPr>
              <w:pStyle w:val="TableText"/>
              <w:rPr>
                <w:b/>
                <w:snapToGrid w:val="0"/>
              </w:rPr>
            </w:pPr>
            <w:r w:rsidRPr="00852E65">
              <w:rPr>
                <w:b/>
                <w:snapToGrid w:val="0"/>
              </w:rPr>
              <w:t xml:space="preserve">Step 2: </w:t>
            </w:r>
            <w:r w:rsidRPr="00852E65">
              <w:t>PDX-008 versus combined historical control cohort</w:t>
            </w:r>
            <w:r w:rsidR="00F374B0" w:rsidRPr="00852E65">
              <w:t xml:space="preserve">; </w:t>
            </w:r>
            <w:r w:rsidRPr="00852E65">
              <w:t>Cox regression</w:t>
            </w:r>
            <w:r w:rsidR="00F374B0" w:rsidRPr="00852E65">
              <w:t xml:space="preserve"> model, stratified by cohort, used in both arms;</w:t>
            </w:r>
            <w:r w:rsidRPr="00852E65">
              <w:t xml:space="preserve"> 2 years, </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Costs</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Life years gained</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rFonts w:eastAsia="Times New Roman"/>
                <w:noProof/>
                <w:color w:val="000000"/>
                <w:highlight w:val="black"/>
                <w:lang w:val="en-GB"/>
              </w:rPr>
              <w:t>''''''''''</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rFonts w:eastAsia="Times New Roman"/>
                <w:noProof/>
                <w:color w:val="000000"/>
                <w:highlight w:val="black"/>
                <w:lang w:val="en-GB"/>
              </w:rPr>
              <w:t>'''''''''''</w:t>
            </w:r>
          </w:p>
        </w:tc>
        <w:tc>
          <w:tcPr>
            <w:tcW w:w="993" w:type="pct"/>
            <w:vAlign w:val="center"/>
          </w:tcPr>
          <w:p w:rsidR="00673D97" w:rsidRPr="000F1D32" w:rsidRDefault="000F1D32" w:rsidP="007D5AB9">
            <w:pPr>
              <w:pStyle w:val="TableText"/>
              <w:rPr>
                <w:highlight w:val="black"/>
              </w:rPr>
            </w:pPr>
            <w:r>
              <w:rPr>
                <w:rFonts w:eastAsia="Times New Roman"/>
                <w:noProof/>
                <w:color w:val="000000"/>
                <w:highlight w:val="black"/>
                <w:lang w:val="en-GB"/>
              </w:rPr>
              <w:t>''''''''''''''</w:t>
            </w:r>
          </w:p>
        </w:tc>
      </w:tr>
      <w:tr w:rsidR="00673D97" w:rsidRPr="00852E65" w:rsidTr="000B11CC">
        <w:trPr>
          <w:cantSplit/>
        </w:trPr>
        <w:tc>
          <w:tcPr>
            <w:tcW w:w="4007" w:type="pct"/>
            <w:gridSpan w:val="3"/>
            <w:vAlign w:val="center"/>
          </w:tcPr>
          <w:p w:rsidR="00673D97" w:rsidRPr="00852E65" w:rsidRDefault="00673D97" w:rsidP="007D5AB9">
            <w:pPr>
              <w:pStyle w:val="TableText"/>
              <w:rPr>
                <w:rFonts w:ascii="Times" w:eastAsia="Times New Roman" w:hAnsi="Times" w:cs="Times New Roman"/>
                <w:snapToGrid w:val="0"/>
              </w:rPr>
            </w:pPr>
            <w:r w:rsidRPr="00852E65">
              <w:t>Incremental cost/extra life year gained</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r w:rsidRPr="00852E65">
              <w:rPr>
                <w:rFonts w:eastAsia="Times New Roman"/>
                <w:color w:val="000000"/>
                <w:lang w:val="en-GB"/>
              </w:rPr>
              <w:t xml:space="preserve"> per LY</w:t>
            </w:r>
          </w:p>
        </w:tc>
      </w:tr>
      <w:tr w:rsidR="00673D97" w:rsidRPr="00852E65" w:rsidTr="000B11CC">
        <w:trPr>
          <w:cantSplit/>
        </w:trPr>
        <w:tc>
          <w:tcPr>
            <w:tcW w:w="5000" w:type="pct"/>
            <w:gridSpan w:val="4"/>
            <w:vAlign w:val="center"/>
          </w:tcPr>
          <w:p w:rsidR="00673D97" w:rsidRPr="00852E65" w:rsidRDefault="00673D97" w:rsidP="007D5AB9">
            <w:pPr>
              <w:pStyle w:val="TableText"/>
              <w:rPr>
                <w:b/>
                <w:snapToGrid w:val="0"/>
              </w:rPr>
            </w:pPr>
            <w:r w:rsidRPr="00852E65">
              <w:rPr>
                <w:b/>
                <w:snapToGrid w:val="0"/>
              </w:rPr>
              <w:t xml:space="preserve">Step 3: </w:t>
            </w:r>
            <w:r w:rsidR="00E3535D" w:rsidRPr="00852E65">
              <w:rPr>
                <w:snapToGrid w:val="0"/>
              </w:rPr>
              <w:t>Clinical outcome data used; t</w:t>
            </w:r>
            <w:r w:rsidRPr="00852E65">
              <w:t>ranslation of study evidence to the Australian setting</w:t>
            </w:r>
            <w:r w:rsidR="00D072F6" w:rsidRPr="00852E65">
              <w:t xml:space="preserve"> (Australian drug costs used)</w:t>
            </w:r>
            <w:r w:rsidR="00E3535D" w:rsidRPr="00852E65">
              <w:t>;</w:t>
            </w:r>
            <w:r w:rsidRPr="00852E65">
              <w:t xml:space="preserve"> 2 years </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Costs</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iCs/>
                <w:color w:val="000000"/>
                <w:lang w:val="en-GB"/>
              </w:rPr>
              <w:t>$</w:t>
            </w:r>
            <w:r w:rsidR="000F1D32">
              <w:rPr>
                <w:rFonts w:eastAsia="Times New Roman"/>
                <w:iCs/>
                <w:noProof/>
                <w:color w:val="000000"/>
                <w:highlight w:val="black"/>
                <w:lang w:val="en-GB"/>
              </w:rPr>
              <w:t>'''''''''''''''</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iCs/>
                <w:color w:val="000000"/>
                <w:lang w:val="en-GB"/>
              </w:rPr>
              <w:t>$</w:t>
            </w:r>
            <w:r w:rsidR="000F1D32">
              <w:rPr>
                <w:rFonts w:eastAsia="Times New Roman"/>
                <w:iCs/>
                <w:noProof/>
                <w:color w:val="000000"/>
                <w:highlight w:val="black"/>
                <w:lang w:val="en-GB"/>
              </w:rPr>
              <w:t>'''''''''''''''</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Life years gained</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rFonts w:eastAsia="Times New Roman"/>
                <w:noProof/>
                <w:color w:val="000000"/>
                <w:highlight w:val="black"/>
                <w:lang w:val="en-GB"/>
              </w:rPr>
              <w:t>'''''''''''''</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rFonts w:eastAsia="Times New Roman"/>
                <w:noProof/>
                <w:color w:val="000000"/>
                <w:highlight w:val="black"/>
                <w:lang w:val="en-GB"/>
              </w:rPr>
              <w:t>'''''''''''''</w:t>
            </w:r>
          </w:p>
        </w:tc>
        <w:tc>
          <w:tcPr>
            <w:tcW w:w="993" w:type="pct"/>
            <w:vAlign w:val="center"/>
          </w:tcPr>
          <w:p w:rsidR="00673D97" w:rsidRPr="000F1D32" w:rsidRDefault="000F1D32" w:rsidP="007D5AB9">
            <w:pPr>
              <w:pStyle w:val="TableText"/>
              <w:rPr>
                <w:highlight w:val="black"/>
              </w:rPr>
            </w:pPr>
            <w:r>
              <w:rPr>
                <w:rFonts w:eastAsia="Times New Roman"/>
                <w:noProof/>
                <w:color w:val="000000"/>
                <w:highlight w:val="black"/>
                <w:lang w:val="en-GB"/>
              </w:rPr>
              <w:t>''''''''''''''</w:t>
            </w:r>
          </w:p>
        </w:tc>
      </w:tr>
      <w:tr w:rsidR="00673D97" w:rsidRPr="00852E65" w:rsidTr="000B11CC">
        <w:trPr>
          <w:cantSplit/>
        </w:trPr>
        <w:tc>
          <w:tcPr>
            <w:tcW w:w="4007" w:type="pct"/>
            <w:gridSpan w:val="3"/>
            <w:vAlign w:val="center"/>
          </w:tcPr>
          <w:p w:rsidR="00673D97" w:rsidRPr="00852E65" w:rsidRDefault="00673D97" w:rsidP="007D5AB9">
            <w:pPr>
              <w:pStyle w:val="TableText"/>
              <w:rPr>
                <w:rFonts w:ascii="Times" w:eastAsia="Times New Roman" w:hAnsi="Times" w:cs="Times New Roman"/>
              </w:rPr>
            </w:pPr>
            <w:r w:rsidRPr="00852E65">
              <w:t>Incremental cost/extra life year gained</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r w:rsidRPr="00852E65">
              <w:rPr>
                <w:rFonts w:eastAsia="Times New Roman"/>
                <w:color w:val="000000"/>
                <w:lang w:val="en-GB"/>
              </w:rPr>
              <w:t xml:space="preserve"> per LY</w:t>
            </w:r>
          </w:p>
        </w:tc>
      </w:tr>
      <w:tr w:rsidR="00673D97" w:rsidRPr="00852E65" w:rsidTr="000B11CC">
        <w:trPr>
          <w:cantSplit/>
        </w:trPr>
        <w:tc>
          <w:tcPr>
            <w:tcW w:w="5000" w:type="pct"/>
            <w:gridSpan w:val="4"/>
            <w:vAlign w:val="center"/>
          </w:tcPr>
          <w:p w:rsidR="00673D97" w:rsidRPr="00852E65" w:rsidRDefault="00673D97" w:rsidP="007D5AB9">
            <w:pPr>
              <w:pStyle w:val="TableText"/>
              <w:rPr>
                <w:b/>
                <w:snapToGrid w:val="0"/>
              </w:rPr>
            </w:pPr>
            <w:r w:rsidRPr="00852E65">
              <w:rPr>
                <w:b/>
              </w:rPr>
              <w:t>Step 4a:</w:t>
            </w:r>
            <w:r w:rsidRPr="00852E65">
              <w:t xml:space="preserve"> Application of health state utilities, chemotherapy administration costs and subsequent treatment costs</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Costs</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iCs/>
                <w:color w:val="000000"/>
                <w:lang w:val="en-GB"/>
              </w:rPr>
              <w:t>$</w:t>
            </w:r>
            <w:r w:rsidR="000F1D32">
              <w:rPr>
                <w:rFonts w:eastAsia="Times New Roman"/>
                <w:iCs/>
                <w:noProof/>
                <w:color w:val="000000"/>
                <w:highlight w:val="black"/>
                <w:lang w:val="en-GB"/>
              </w:rPr>
              <w:t>''''''''''''''''''</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QALYs gained</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noProof/>
                <w:color w:val="000000"/>
                <w:highlight w:val="black"/>
              </w:rPr>
              <w:t>''''''''''''''</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noProof/>
                <w:color w:val="000000"/>
                <w:highlight w:val="black"/>
              </w:rPr>
              <w:t>'''''''''''''</w:t>
            </w:r>
          </w:p>
        </w:tc>
        <w:tc>
          <w:tcPr>
            <w:tcW w:w="993" w:type="pct"/>
            <w:vAlign w:val="center"/>
          </w:tcPr>
          <w:p w:rsidR="00673D97" w:rsidRPr="000F1D32" w:rsidRDefault="000F1D32" w:rsidP="007D5AB9">
            <w:pPr>
              <w:pStyle w:val="TableText"/>
              <w:rPr>
                <w:highlight w:val="black"/>
              </w:rPr>
            </w:pPr>
            <w:r>
              <w:rPr>
                <w:noProof/>
                <w:color w:val="000000"/>
                <w:highlight w:val="black"/>
              </w:rPr>
              <w:t>''''''''''''</w:t>
            </w:r>
          </w:p>
        </w:tc>
      </w:tr>
      <w:tr w:rsidR="00673D97" w:rsidRPr="00852E65" w:rsidTr="000B11CC">
        <w:trPr>
          <w:cantSplit/>
        </w:trPr>
        <w:tc>
          <w:tcPr>
            <w:tcW w:w="4007" w:type="pct"/>
            <w:gridSpan w:val="3"/>
            <w:vAlign w:val="center"/>
          </w:tcPr>
          <w:p w:rsidR="00673D97" w:rsidRPr="00852E65" w:rsidRDefault="00673D97" w:rsidP="007D5AB9">
            <w:pPr>
              <w:pStyle w:val="TableText"/>
              <w:rPr>
                <w:rFonts w:ascii="Times" w:eastAsia="Times New Roman" w:hAnsi="Times" w:cs="Times New Roman"/>
              </w:rPr>
            </w:pPr>
            <w:r w:rsidRPr="00852E65">
              <w:t>Incremental cost/extra QALY gained</w:t>
            </w:r>
          </w:p>
        </w:tc>
        <w:tc>
          <w:tcPr>
            <w:tcW w:w="993" w:type="pct"/>
            <w:vAlign w:val="center"/>
          </w:tcPr>
          <w:p w:rsidR="00673D97" w:rsidRPr="00852E65" w:rsidRDefault="00673D97" w:rsidP="007D5AB9">
            <w:pPr>
              <w:pStyle w:val="TableText"/>
              <w:rPr>
                <w:rFonts w:ascii="Times" w:eastAsia="Times New Roman" w:hAnsi="Times" w:cs="Times New Roman"/>
              </w:rPr>
            </w:pPr>
            <w:r w:rsidRPr="00852E65">
              <w:t>$</w:t>
            </w:r>
            <w:r w:rsidR="000F1D32">
              <w:rPr>
                <w:noProof/>
                <w:color w:val="000000"/>
                <w:highlight w:val="black"/>
              </w:rPr>
              <w:t>''''''''''''''''''</w:t>
            </w:r>
            <w:r w:rsidRPr="00852E65">
              <w:t xml:space="preserve"> per QALY</w:t>
            </w:r>
          </w:p>
        </w:tc>
      </w:tr>
      <w:tr w:rsidR="00673D97" w:rsidRPr="00852E65" w:rsidTr="000B11CC">
        <w:trPr>
          <w:cantSplit/>
        </w:trPr>
        <w:tc>
          <w:tcPr>
            <w:tcW w:w="5000" w:type="pct"/>
            <w:gridSpan w:val="4"/>
            <w:vAlign w:val="center"/>
          </w:tcPr>
          <w:p w:rsidR="00673D97" w:rsidRPr="00852E65" w:rsidRDefault="00673D97" w:rsidP="007D5AB9">
            <w:pPr>
              <w:pStyle w:val="TableText"/>
              <w:rPr>
                <w:b/>
                <w:snapToGrid w:val="0"/>
              </w:rPr>
            </w:pPr>
            <w:r w:rsidRPr="00852E65">
              <w:rPr>
                <w:b/>
              </w:rPr>
              <w:t>Step 4b:</w:t>
            </w:r>
            <w:r w:rsidRPr="00852E65">
              <w:t xml:space="preserve"> </w:t>
            </w:r>
            <w:r w:rsidR="00D072F6" w:rsidRPr="00852E65">
              <w:t>Step 4a and i</w:t>
            </w:r>
            <w:r w:rsidRPr="00852E65">
              <w:t>nclusion of AE</w:t>
            </w:r>
            <w:r w:rsidR="00E3535D" w:rsidRPr="00852E65">
              <w:t xml:space="preserve"> costs and SCT costs</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Costs</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QALYs gained</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noProof/>
                <w:color w:val="000000"/>
                <w:highlight w:val="black"/>
              </w:rPr>
              <w:t>''''''''''''''</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noProof/>
                <w:color w:val="000000"/>
                <w:highlight w:val="black"/>
              </w:rPr>
              <w:t>''''''''''''''</w:t>
            </w:r>
          </w:p>
        </w:tc>
        <w:tc>
          <w:tcPr>
            <w:tcW w:w="993" w:type="pct"/>
            <w:vAlign w:val="center"/>
          </w:tcPr>
          <w:p w:rsidR="00673D97" w:rsidRPr="000F1D32" w:rsidRDefault="000F1D32" w:rsidP="007D5AB9">
            <w:pPr>
              <w:pStyle w:val="TableText"/>
              <w:rPr>
                <w:highlight w:val="black"/>
              </w:rPr>
            </w:pPr>
            <w:r>
              <w:rPr>
                <w:noProof/>
                <w:color w:val="000000"/>
                <w:highlight w:val="black"/>
              </w:rPr>
              <w:t>''''''''''''''</w:t>
            </w:r>
          </w:p>
        </w:tc>
      </w:tr>
      <w:tr w:rsidR="00673D97" w:rsidRPr="00852E65" w:rsidTr="000B11CC">
        <w:trPr>
          <w:cantSplit/>
        </w:trPr>
        <w:tc>
          <w:tcPr>
            <w:tcW w:w="4007" w:type="pct"/>
            <w:gridSpan w:val="3"/>
            <w:vAlign w:val="center"/>
          </w:tcPr>
          <w:p w:rsidR="00673D97" w:rsidRPr="00852E65" w:rsidRDefault="00673D97" w:rsidP="007D5AB9">
            <w:pPr>
              <w:pStyle w:val="TableText"/>
              <w:rPr>
                <w:rFonts w:ascii="Times" w:eastAsia="Times New Roman" w:hAnsi="Times" w:cs="Times New Roman"/>
              </w:rPr>
            </w:pPr>
            <w:r w:rsidRPr="00852E65">
              <w:t>Incremental cost/extra QALY gained</w:t>
            </w:r>
          </w:p>
        </w:tc>
        <w:tc>
          <w:tcPr>
            <w:tcW w:w="993" w:type="pct"/>
            <w:vAlign w:val="center"/>
          </w:tcPr>
          <w:p w:rsidR="00673D97" w:rsidRPr="00852E65" w:rsidRDefault="00673D97" w:rsidP="007D5AB9">
            <w:pPr>
              <w:pStyle w:val="TableText"/>
              <w:rPr>
                <w:rFonts w:ascii="Times" w:eastAsia="Times New Roman" w:hAnsi="Times" w:cs="Times New Roman"/>
              </w:rPr>
            </w:pPr>
            <w:r w:rsidRPr="00852E65">
              <w:t>$</w:t>
            </w:r>
            <w:r w:rsidR="000F1D32">
              <w:rPr>
                <w:noProof/>
                <w:color w:val="000000"/>
                <w:highlight w:val="black"/>
              </w:rPr>
              <w:t>'''''''''''''''</w:t>
            </w:r>
            <w:r w:rsidRPr="00852E65">
              <w:t xml:space="preserve"> per QALY</w:t>
            </w:r>
          </w:p>
        </w:tc>
      </w:tr>
      <w:tr w:rsidR="00673D97" w:rsidRPr="00852E65" w:rsidTr="000B11CC">
        <w:trPr>
          <w:cantSplit/>
        </w:trPr>
        <w:tc>
          <w:tcPr>
            <w:tcW w:w="5000" w:type="pct"/>
            <w:gridSpan w:val="4"/>
            <w:vAlign w:val="center"/>
          </w:tcPr>
          <w:p w:rsidR="00673D97" w:rsidRPr="00852E65" w:rsidRDefault="00673D97" w:rsidP="007D5AB9">
            <w:pPr>
              <w:pStyle w:val="TableText"/>
              <w:rPr>
                <w:b/>
                <w:snapToGrid w:val="0"/>
              </w:rPr>
            </w:pPr>
            <w:r w:rsidRPr="00852E65">
              <w:rPr>
                <w:b/>
              </w:rPr>
              <w:t>Step 5:</w:t>
            </w:r>
            <w:r w:rsidRPr="00852E65">
              <w:t xml:space="preserve"> 10 year time horizon</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Costs</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b/>
                <w:color w:val="000000"/>
                <w:lang w:val="en-GB"/>
              </w:rPr>
              <w:t>$</w:t>
            </w:r>
            <w:r w:rsidR="000F1D32">
              <w:rPr>
                <w:rFonts w:eastAsia="Times New Roman"/>
                <w:b/>
                <w:noProof/>
                <w:color w:val="000000"/>
                <w:highlight w:val="black"/>
                <w:lang w:val="en-GB"/>
              </w:rPr>
              <w:t>'''''''''''''</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QALYs gained</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noProof/>
                <w:color w:val="000000"/>
                <w:highlight w:val="black"/>
              </w:rPr>
              <w:t>''''''''''''</w:t>
            </w:r>
          </w:p>
        </w:tc>
        <w:tc>
          <w:tcPr>
            <w:tcW w:w="1022" w:type="pct"/>
            <w:vAlign w:val="center"/>
          </w:tcPr>
          <w:p w:rsidR="00673D97" w:rsidRPr="000F1D32" w:rsidRDefault="000F1D32" w:rsidP="007D5AB9">
            <w:pPr>
              <w:pStyle w:val="TableText"/>
              <w:rPr>
                <w:rFonts w:ascii="Times" w:eastAsia="Times New Roman" w:hAnsi="Times" w:cs="Times New Roman"/>
                <w:highlight w:val="black"/>
              </w:rPr>
            </w:pPr>
            <w:r>
              <w:rPr>
                <w:noProof/>
                <w:color w:val="000000"/>
                <w:highlight w:val="black"/>
              </w:rPr>
              <w:t>'''''''''''''</w:t>
            </w:r>
          </w:p>
        </w:tc>
        <w:tc>
          <w:tcPr>
            <w:tcW w:w="993" w:type="pct"/>
            <w:vAlign w:val="center"/>
          </w:tcPr>
          <w:p w:rsidR="00673D97" w:rsidRPr="000F1D32" w:rsidRDefault="000F1D32" w:rsidP="007D5AB9">
            <w:pPr>
              <w:pStyle w:val="TableText"/>
              <w:rPr>
                <w:b/>
                <w:highlight w:val="black"/>
              </w:rPr>
            </w:pPr>
            <w:r>
              <w:rPr>
                <w:b/>
                <w:noProof/>
                <w:color w:val="000000"/>
                <w:highlight w:val="black"/>
              </w:rPr>
              <w:t>'''''''''''</w:t>
            </w:r>
          </w:p>
        </w:tc>
      </w:tr>
      <w:tr w:rsidR="00673D97" w:rsidRPr="00852E65" w:rsidTr="000B11CC">
        <w:trPr>
          <w:cantSplit/>
        </w:trPr>
        <w:tc>
          <w:tcPr>
            <w:tcW w:w="4007" w:type="pct"/>
            <w:gridSpan w:val="3"/>
            <w:vAlign w:val="center"/>
          </w:tcPr>
          <w:p w:rsidR="00673D97" w:rsidRPr="00852E65" w:rsidRDefault="00673D97" w:rsidP="007D5AB9">
            <w:pPr>
              <w:pStyle w:val="TableText"/>
              <w:rPr>
                <w:rFonts w:ascii="Times" w:eastAsia="Times New Roman" w:hAnsi="Times" w:cs="Times New Roman"/>
              </w:rPr>
            </w:pPr>
            <w:r w:rsidRPr="00852E65">
              <w:t>Incremental cost/extra QALY gained</w:t>
            </w:r>
          </w:p>
        </w:tc>
        <w:tc>
          <w:tcPr>
            <w:tcW w:w="993" w:type="pct"/>
            <w:vAlign w:val="center"/>
          </w:tcPr>
          <w:p w:rsidR="00673D97" w:rsidRPr="00852E65" w:rsidRDefault="00673D97" w:rsidP="007D5AB9">
            <w:pPr>
              <w:pStyle w:val="TableText"/>
              <w:rPr>
                <w:rFonts w:ascii="Times" w:eastAsia="Times New Roman" w:hAnsi="Times" w:cs="Times New Roman"/>
                <w:b/>
              </w:rPr>
            </w:pPr>
            <w:r w:rsidRPr="00852E65">
              <w:rPr>
                <w:b/>
              </w:rPr>
              <w:t>$</w:t>
            </w:r>
            <w:r w:rsidR="000F1D32">
              <w:rPr>
                <w:b/>
                <w:noProof/>
                <w:color w:val="000000"/>
                <w:highlight w:val="black"/>
              </w:rPr>
              <w:t>''''''''''''''</w:t>
            </w:r>
            <w:r w:rsidRPr="00852E65">
              <w:rPr>
                <w:b/>
              </w:rPr>
              <w:t xml:space="preserve"> per QALY</w:t>
            </w:r>
          </w:p>
        </w:tc>
      </w:tr>
      <w:tr w:rsidR="00673D97" w:rsidRPr="00852E65" w:rsidTr="000B11CC">
        <w:trPr>
          <w:cantSplit/>
        </w:trPr>
        <w:tc>
          <w:tcPr>
            <w:tcW w:w="5000" w:type="pct"/>
            <w:gridSpan w:val="4"/>
            <w:vAlign w:val="center"/>
          </w:tcPr>
          <w:p w:rsidR="00673D97" w:rsidRPr="00852E65" w:rsidRDefault="00673D97" w:rsidP="007D5AB9">
            <w:pPr>
              <w:pStyle w:val="TableText"/>
              <w:rPr>
                <w:b/>
                <w:snapToGrid w:val="0"/>
              </w:rPr>
            </w:pPr>
            <w:r w:rsidRPr="00852E65">
              <w:rPr>
                <w:b/>
                <w:snapToGrid w:val="0"/>
              </w:rPr>
              <w:t>Results from November 2015</w:t>
            </w:r>
          </w:p>
        </w:tc>
      </w:tr>
      <w:tr w:rsidR="00673D97" w:rsidRPr="00852E65" w:rsidTr="000B11CC">
        <w:trPr>
          <w:cantSplit/>
        </w:trPr>
        <w:tc>
          <w:tcPr>
            <w:tcW w:w="1963" w:type="pct"/>
            <w:vAlign w:val="center"/>
          </w:tcPr>
          <w:p w:rsidR="00673D97" w:rsidRPr="00852E65" w:rsidRDefault="00673D97" w:rsidP="007D5AB9">
            <w:pPr>
              <w:pStyle w:val="TableText"/>
              <w:rPr>
                <w:rFonts w:ascii="Times" w:eastAsia="Times New Roman" w:hAnsi="Times" w:cs="Times New Roman"/>
              </w:rPr>
            </w:pPr>
            <w:r w:rsidRPr="00852E65">
              <w:t>Costs</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1022"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p>
        </w:tc>
        <w:tc>
          <w:tcPr>
            <w:tcW w:w="993" w:type="pct"/>
            <w:vAlign w:val="center"/>
          </w:tcPr>
          <w:p w:rsidR="00673D97" w:rsidRPr="00852E65" w:rsidRDefault="00673D97" w:rsidP="007D5AB9">
            <w:pPr>
              <w:pStyle w:val="TableText"/>
              <w:rPr>
                <w:rFonts w:ascii="Times" w:eastAsia="Times New Roman" w:hAnsi="Times" w:cs="Times New Roman"/>
                <w:highlight w:val="cyan"/>
              </w:rPr>
            </w:pPr>
            <w:r w:rsidRPr="00852E65">
              <w:rPr>
                <w:rFonts w:eastAsia="Times New Roman"/>
                <w:color w:val="000000"/>
                <w:lang w:val="en-GB"/>
              </w:rPr>
              <w:t>$</w:t>
            </w:r>
            <w:r w:rsidR="000F1D32">
              <w:rPr>
                <w:rFonts w:eastAsia="Times New Roman"/>
                <w:noProof/>
                <w:color w:val="000000"/>
                <w:highlight w:val="black"/>
                <w:lang w:val="en-GB"/>
              </w:rPr>
              <w:t>''''''''''''''''''</w:t>
            </w:r>
          </w:p>
        </w:tc>
      </w:tr>
      <w:tr w:rsidR="00673D97" w:rsidRPr="00852E65" w:rsidTr="000B11CC">
        <w:trPr>
          <w:cantSplit/>
        </w:trPr>
        <w:tc>
          <w:tcPr>
            <w:tcW w:w="1963" w:type="pct"/>
            <w:vAlign w:val="center"/>
          </w:tcPr>
          <w:p w:rsidR="00673D97" w:rsidRPr="0056398F" w:rsidRDefault="00673D97" w:rsidP="007D5AB9">
            <w:pPr>
              <w:pStyle w:val="TableText"/>
              <w:rPr>
                <w:rFonts w:ascii="Times" w:eastAsia="Times New Roman" w:hAnsi="Times" w:cs="Times New Roman"/>
              </w:rPr>
            </w:pPr>
            <w:r w:rsidRPr="0056398F">
              <w:t>QALYs gained</w:t>
            </w:r>
          </w:p>
        </w:tc>
        <w:tc>
          <w:tcPr>
            <w:tcW w:w="1022" w:type="pct"/>
            <w:vAlign w:val="center"/>
          </w:tcPr>
          <w:p w:rsidR="00673D97" w:rsidRPr="0056398F" w:rsidRDefault="00673D97" w:rsidP="007D5AB9">
            <w:pPr>
              <w:pStyle w:val="TableText"/>
              <w:rPr>
                <w:rFonts w:ascii="Times" w:eastAsia="Times New Roman" w:hAnsi="Times" w:cs="Times New Roman"/>
              </w:rPr>
            </w:pPr>
            <w:r w:rsidRPr="0056398F">
              <w:rPr>
                <w:rFonts w:eastAsia="Times New Roman"/>
                <w:color w:val="000000"/>
                <w:lang w:val="en-GB"/>
              </w:rPr>
              <w:t>2.144</w:t>
            </w:r>
          </w:p>
        </w:tc>
        <w:tc>
          <w:tcPr>
            <w:tcW w:w="1022" w:type="pct"/>
            <w:vAlign w:val="center"/>
          </w:tcPr>
          <w:p w:rsidR="00673D97" w:rsidRPr="0056398F" w:rsidRDefault="00673D97" w:rsidP="007D5AB9">
            <w:pPr>
              <w:pStyle w:val="TableText"/>
              <w:rPr>
                <w:rFonts w:ascii="Times" w:eastAsia="Times New Roman" w:hAnsi="Times" w:cs="Times New Roman"/>
              </w:rPr>
            </w:pPr>
            <w:r w:rsidRPr="0056398F">
              <w:rPr>
                <w:rFonts w:eastAsia="Times New Roman"/>
                <w:color w:val="000000"/>
                <w:lang w:val="en-GB"/>
              </w:rPr>
              <w:t>0.784</w:t>
            </w:r>
          </w:p>
        </w:tc>
        <w:tc>
          <w:tcPr>
            <w:tcW w:w="993" w:type="pct"/>
            <w:vAlign w:val="center"/>
          </w:tcPr>
          <w:p w:rsidR="00673D97" w:rsidRPr="0056398F" w:rsidRDefault="00673D97" w:rsidP="007D5AB9">
            <w:pPr>
              <w:pStyle w:val="TableText"/>
            </w:pPr>
            <w:r w:rsidRPr="0056398F">
              <w:rPr>
                <w:rFonts w:eastAsia="Times New Roman"/>
                <w:color w:val="000000"/>
                <w:lang w:val="en-GB"/>
              </w:rPr>
              <w:t>1.360</w:t>
            </w:r>
          </w:p>
        </w:tc>
      </w:tr>
      <w:tr w:rsidR="00673D97" w:rsidRPr="00852E65" w:rsidTr="000B11CC">
        <w:trPr>
          <w:cantSplit/>
        </w:trPr>
        <w:tc>
          <w:tcPr>
            <w:tcW w:w="4007" w:type="pct"/>
            <w:gridSpan w:val="3"/>
            <w:vAlign w:val="center"/>
          </w:tcPr>
          <w:p w:rsidR="00673D97" w:rsidRPr="00852E65" w:rsidRDefault="00673D97" w:rsidP="007D5AB9">
            <w:pPr>
              <w:pStyle w:val="TableText"/>
              <w:rPr>
                <w:rFonts w:ascii="Times" w:eastAsia="Times New Roman" w:hAnsi="Times" w:cs="Times New Roman"/>
              </w:rPr>
            </w:pPr>
            <w:r w:rsidRPr="00852E65">
              <w:t>Incremental cost/extra QALY gained</w:t>
            </w:r>
          </w:p>
        </w:tc>
        <w:tc>
          <w:tcPr>
            <w:tcW w:w="993" w:type="pct"/>
            <w:vAlign w:val="center"/>
          </w:tcPr>
          <w:p w:rsidR="00673D97" w:rsidRPr="00852E65" w:rsidRDefault="00673D97" w:rsidP="007D5AB9">
            <w:pPr>
              <w:pStyle w:val="TableText"/>
              <w:rPr>
                <w:rFonts w:ascii="Times" w:eastAsia="Times New Roman" w:hAnsi="Times" w:cs="Times New Roman"/>
              </w:rPr>
            </w:pPr>
            <w:r w:rsidRPr="00852E65">
              <w:rPr>
                <w:rFonts w:eastAsia="Times New Roman"/>
                <w:color w:val="000000"/>
                <w:lang w:val="en-GB"/>
              </w:rPr>
              <w:t>$</w:t>
            </w:r>
            <w:r w:rsidR="000F1D32">
              <w:rPr>
                <w:rFonts w:eastAsia="Times New Roman"/>
                <w:noProof/>
                <w:color w:val="000000"/>
                <w:highlight w:val="black"/>
                <w:lang w:val="en-GB"/>
              </w:rPr>
              <w:t>'''''''''''''''''</w:t>
            </w:r>
            <w:r w:rsidRPr="00852E65">
              <w:rPr>
                <w:rFonts w:eastAsia="Times New Roman"/>
                <w:color w:val="000000"/>
                <w:lang w:val="en-GB"/>
              </w:rPr>
              <w:t xml:space="preserve"> per QALY</w:t>
            </w:r>
          </w:p>
        </w:tc>
      </w:tr>
      <w:tr w:rsidR="00673D97" w:rsidRPr="00852E65" w:rsidTr="000B11CC">
        <w:trPr>
          <w:cantSplit/>
        </w:trPr>
        <w:tc>
          <w:tcPr>
            <w:tcW w:w="4007" w:type="pct"/>
            <w:gridSpan w:val="3"/>
            <w:vAlign w:val="center"/>
          </w:tcPr>
          <w:p w:rsidR="00673D97" w:rsidRPr="00852E65" w:rsidRDefault="00673D97" w:rsidP="007D5AB9">
            <w:pPr>
              <w:pStyle w:val="TableText"/>
              <w:rPr>
                <w:b/>
              </w:rPr>
            </w:pPr>
            <w:r w:rsidRPr="00852E65">
              <w:rPr>
                <w:b/>
              </w:rPr>
              <w:t>Results from March 2016</w:t>
            </w:r>
          </w:p>
        </w:tc>
        <w:tc>
          <w:tcPr>
            <w:tcW w:w="993" w:type="pct"/>
            <w:vAlign w:val="center"/>
          </w:tcPr>
          <w:p w:rsidR="00673D97" w:rsidRPr="00852E65" w:rsidRDefault="00673D97" w:rsidP="007D5AB9">
            <w:pPr>
              <w:pStyle w:val="TableText"/>
              <w:rPr>
                <w:rFonts w:eastAsia="Times New Roman"/>
                <w:color w:val="000000"/>
                <w:lang w:val="en-GB"/>
              </w:rPr>
            </w:pPr>
          </w:p>
        </w:tc>
      </w:tr>
      <w:tr w:rsidR="00673D97" w:rsidRPr="00852E65" w:rsidTr="000B11CC">
        <w:trPr>
          <w:cantSplit/>
        </w:trPr>
        <w:tc>
          <w:tcPr>
            <w:tcW w:w="1963" w:type="pct"/>
            <w:vAlign w:val="center"/>
          </w:tcPr>
          <w:p w:rsidR="00673D97" w:rsidRPr="00852E65" w:rsidRDefault="00673D97" w:rsidP="007D5AB9">
            <w:pPr>
              <w:pStyle w:val="TableText"/>
              <w:rPr>
                <w:b/>
                <w:highlight w:val="cyan"/>
              </w:rPr>
            </w:pPr>
            <w:r w:rsidRPr="00852E65">
              <w:t>Costs</w:t>
            </w:r>
          </w:p>
        </w:tc>
        <w:tc>
          <w:tcPr>
            <w:tcW w:w="1022" w:type="pct"/>
            <w:vAlign w:val="center"/>
          </w:tcPr>
          <w:p w:rsidR="00673D97" w:rsidRPr="00852E65" w:rsidRDefault="00673D97" w:rsidP="007D5AB9">
            <w:pPr>
              <w:pStyle w:val="TableText"/>
              <w:rPr>
                <w:b/>
                <w:highlight w:val="cyan"/>
              </w:rPr>
            </w:pPr>
            <w:r w:rsidRPr="00852E65">
              <w:rPr>
                <w:rFonts w:eastAsia="Times New Roman"/>
                <w:color w:val="000000"/>
                <w:lang w:val="en-GB"/>
              </w:rPr>
              <w:t>$</w:t>
            </w:r>
            <w:r w:rsidR="000F1D32">
              <w:rPr>
                <w:rFonts w:eastAsia="Times New Roman"/>
                <w:noProof/>
                <w:color w:val="000000"/>
                <w:highlight w:val="black"/>
                <w:lang w:val="en-GB"/>
              </w:rPr>
              <w:t>'''''''''''''''</w:t>
            </w:r>
          </w:p>
        </w:tc>
        <w:tc>
          <w:tcPr>
            <w:tcW w:w="1022" w:type="pct"/>
            <w:vAlign w:val="center"/>
          </w:tcPr>
          <w:p w:rsidR="00673D97" w:rsidRPr="00852E65" w:rsidRDefault="00673D97" w:rsidP="007D5AB9">
            <w:pPr>
              <w:pStyle w:val="TableText"/>
              <w:rPr>
                <w:b/>
                <w:highlight w:val="cyan"/>
              </w:rPr>
            </w:pPr>
            <w:r w:rsidRPr="00852E65">
              <w:rPr>
                <w:rFonts w:eastAsia="Times New Roman"/>
                <w:color w:val="000000"/>
                <w:lang w:val="en-GB"/>
              </w:rPr>
              <w:t>$</w:t>
            </w:r>
            <w:r w:rsidR="000F1D32">
              <w:rPr>
                <w:rFonts w:eastAsia="Times New Roman"/>
                <w:noProof/>
                <w:color w:val="000000"/>
                <w:highlight w:val="black"/>
                <w:lang w:val="en-GB"/>
              </w:rPr>
              <w:t>''''''''''''''''''</w:t>
            </w:r>
          </w:p>
        </w:tc>
        <w:tc>
          <w:tcPr>
            <w:tcW w:w="993" w:type="pct"/>
            <w:vAlign w:val="center"/>
          </w:tcPr>
          <w:p w:rsidR="00673D97" w:rsidRPr="00852E65" w:rsidRDefault="00673D97" w:rsidP="007D5AB9">
            <w:pPr>
              <w:pStyle w:val="TableText"/>
              <w:rPr>
                <w:rFonts w:eastAsia="Times New Roman"/>
                <w:color w:val="000000"/>
                <w:lang w:val="en-GB"/>
              </w:rPr>
            </w:pPr>
            <w:r w:rsidRPr="00852E65">
              <w:rPr>
                <w:rFonts w:eastAsia="Times New Roman"/>
                <w:color w:val="000000"/>
                <w:lang w:val="en-GB"/>
              </w:rPr>
              <w:t>$</w:t>
            </w:r>
            <w:r w:rsidR="000F1D32">
              <w:rPr>
                <w:rFonts w:eastAsia="Times New Roman"/>
                <w:noProof/>
                <w:color w:val="000000"/>
                <w:highlight w:val="black"/>
                <w:lang w:val="en-GB"/>
              </w:rPr>
              <w:t>'''''''''''''''</w:t>
            </w:r>
          </w:p>
        </w:tc>
      </w:tr>
      <w:tr w:rsidR="00673D97" w:rsidRPr="00852E65" w:rsidTr="000B11CC">
        <w:trPr>
          <w:cantSplit/>
        </w:trPr>
        <w:tc>
          <w:tcPr>
            <w:tcW w:w="1963" w:type="pct"/>
            <w:vAlign w:val="center"/>
          </w:tcPr>
          <w:p w:rsidR="00673D97" w:rsidRPr="00852E65" w:rsidRDefault="00673D97" w:rsidP="007D5AB9">
            <w:pPr>
              <w:pStyle w:val="TableText"/>
              <w:rPr>
                <w:b/>
                <w:highlight w:val="cyan"/>
              </w:rPr>
            </w:pPr>
            <w:r w:rsidRPr="00852E65">
              <w:t>QALYs gained</w:t>
            </w:r>
          </w:p>
        </w:tc>
        <w:tc>
          <w:tcPr>
            <w:tcW w:w="1022" w:type="pct"/>
            <w:vAlign w:val="center"/>
          </w:tcPr>
          <w:p w:rsidR="00673D97" w:rsidRPr="0056398F" w:rsidRDefault="00673D97" w:rsidP="007D5AB9">
            <w:pPr>
              <w:pStyle w:val="TableText"/>
              <w:rPr>
                <w:b/>
              </w:rPr>
            </w:pPr>
            <w:r w:rsidRPr="0056398F">
              <w:rPr>
                <w:rFonts w:eastAsia="Times New Roman"/>
                <w:color w:val="000000"/>
                <w:lang w:val="en-GB"/>
              </w:rPr>
              <w:t>1.745</w:t>
            </w:r>
          </w:p>
        </w:tc>
        <w:tc>
          <w:tcPr>
            <w:tcW w:w="1022" w:type="pct"/>
            <w:vAlign w:val="center"/>
          </w:tcPr>
          <w:p w:rsidR="00673D97" w:rsidRPr="0056398F" w:rsidRDefault="00673D97" w:rsidP="007D5AB9">
            <w:pPr>
              <w:pStyle w:val="TableText"/>
              <w:rPr>
                <w:b/>
              </w:rPr>
            </w:pPr>
            <w:r w:rsidRPr="0056398F">
              <w:rPr>
                <w:rFonts w:eastAsia="Times New Roman"/>
                <w:color w:val="000000"/>
                <w:lang w:val="en-GB"/>
              </w:rPr>
              <w:t>0.784</w:t>
            </w:r>
          </w:p>
        </w:tc>
        <w:tc>
          <w:tcPr>
            <w:tcW w:w="993" w:type="pct"/>
            <w:vAlign w:val="center"/>
          </w:tcPr>
          <w:p w:rsidR="00673D97" w:rsidRPr="0056398F" w:rsidRDefault="00673D97" w:rsidP="007D5AB9">
            <w:pPr>
              <w:pStyle w:val="TableText"/>
              <w:rPr>
                <w:rFonts w:eastAsia="Times New Roman"/>
                <w:color w:val="000000"/>
                <w:lang w:val="en-GB"/>
              </w:rPr>
            </w:pPr>
            <w:r w:rsidRPr="0056398F">
              <w:rPr>
                <w:rFonts w:eastAsia="Times New Roman"/>
                <w:color w:val="000000"/>
                <w:lang w:val="en-GB"/>
              </w:rPr>
              <w:t>0.961</w:t>
            </w:r>
          </w:p>
        </w:tc>
      </w:tr>
      <w:tr w:rsidR="00673D97" w:rsidRPr="00852E65" w:rsidTr="000B11CC">
        <w:trPr>
          <w:cantSplit/>
        </w:trPr>
        <w:tc>
          <w:tcPr>
            <w:tcW w:w="4007" w:type="pct"/>
            <w:gridSpan w:val="3"/>
            <w:vAlign w:val="center"/>
          </w:tcPr>
          <w:p w:rsidR="00673D97" w:rsidRPr="00852E65" w:rsidRDefault="00673D97" w:rsidP="007D5AB9">
            <w:pPr>
              <w:pStyle w:val="TableText"/>
              <w:rPr>
                <w:b/>
                <w:highlight w:val="cyan"/>
              </w:rPr>
            </w:pPr>
            <w:r w:rsidRPr="00852E65">
              <w:t>Incremental cost/extra QALY gained</w:t>
            </w:r>
          </w:p>
        </w:tc>
        <w:tc>
          <w:tcPr>
            <w:tcW w:w="993" w:type="pct"/>
            <w:vAlign w:val="center"/>
          </w:tcPr>
          <w:p w:rsidR="00673D97" w:rsidRPr="00852E65" w:rsidRDefault="00673D97" w:rsidP="007D5AB9">
            <w:pPr>
              <w:pStyle w:val="TableText"/>
              <w:rPr>
                <w:rFonts w:eastAsia="Times New Roman"/>
                <w:color w:val="000000"/>
                <w:lang w:val="en-GB"/>
              </w:rPr>
            </w:pPr>
            <w:r w:rsidRPr="00852E65">
              <w:rPr>
                <w:rFonts w:eastAsia="Times New Roman"/>
                <w:color w:val="000000"/>
                <w:lang w:val="en-GB"/>
              </w:rPr>
              <w:t>$</w:t>
            </w:r>
            <w:r w:rsidR="000F1D32">
              <w:rPr>
                <w:rFonts w:eastAsia="Times New Roman"/>
                <w:noProof/>
                <w:color w:val="000000"/>
                <w:highlight w:val="black"/>
                <w:lang w:val="en-GB"/>
              </w:rPr>
              <w:t>''''''''''''''''</w:t>
            </w:r>
            <w:r w:rsidRPr="00852E65">
              <w:rPr>
                <w:rFonts w:eastAsia="Times New Roman"/>
                <w:color w:val="000000"/>
                <w:lang w:val="en-GB"/>
              </w:rPr>
              <w:t xml:space="preserve"> per QALY</w:t>
            </w:r>
          </w:p>
        </w:tc>
      </w:tr>
    </w:tbl>
    <w:p w:rsidR="00673D97" w:rsidRPr="00852E65" w:rsidRDefault="00673D97" w:rsidP="007D5AB9">
      <w:pPr>
        <w:pStyle w:val="TableFooter"/>
        <w:keepNext/>
        <w:widowControl/>
      </w:pPr>
      <w:r w:rsidRPr="00852E65">
        <w:t>Source: Table 3.29, pp3-80 to 3-81 of the resubmission; and corrected during evaluation</w:t>
      </w:r>
    </w:p>
    <w:p w:rsidR="00673D97" w:rsidRPr="00852E65" w:rsidRDefault="00673D97" w:rsidP="007D5AB9">
      <w:pPr>
        <w:pStyle w:val="TableFooter"/>
        <w:widowControl/>
      </w:pPr>
      <w:r w:rsidRPr="00852E65">
        <w:t xml:space="preserve">AE = adverse event; </w:t>
      </w:r>
      <w:r w:rsidR="00997D66" w:rsidRPr="00852E65">
        <w:t xml:space="preserve">LY = life year; </w:t>
      </w:r>
      <w:r w:rsidRPr="00852E65">
        <w:t>QALY = quality-adjusted life year SCT = stem cell transplant</w:t>
      </w:r>
    </w:p>
    <w:p w:rsidR="00C06504" w:rsidRDefault="00C06504">
      <w:pPr>
        <w:spacing w:before="0" w:line="259" w:lineRule="auto"/>
      </w:pPr>
      <w:r>
        <w:br w:type="page"/>
      </w:r>
    </w:p>
    <w:p w:rsidR="00E3535D" w:rsidRPr="00852E65" w:rsidRDefault="00673D97" w:rsidP="006B2D41">
      <w:pPr>
        <w:pStyle w:val="ListParagraph"/>
        <w:numPr>
          <w:ilvl w:val="1"/>
          <w:numId w:val="14"/>
        </w:numPr>
        <w:spacing w:before="0" w:after="120"/>
        <w:ind w:hanging="792"/>
        <w:jc w:val="both"/>
      </w:pPr>
      <w:r w:rsidRPr="00852E65">
        <w:t>When extrapolated to 10 years, the incremental cost effectiveness ratio (ICER) was</w:t>
      </w:r>
      <w:r w:rsidR="00731B0F">
        <w:t xml:space="preserve"> at the lower end of the range of</w:t>
      </w:r>
      <w:r w:rsidRPr="00852E65">
        <w:t xml:space="preserve"> </w:t>
      </w:r>
      <w:r w:rsidR="00620571">
        <w:t xml:space="preserve">$45,000 - $75,000 </w:t>
      </w:r>
      <w:r w:rsidRPr="00852E65">
        <w:t xml:space="preserve">per QALY gained (and </w:t>
      </w:r>
      <w:r w:rsidR="00620571">
        <w:t xml:space="preserve">$15,000-$45,000 </w:t>
      </w:r>
      <w:r w:rsidRPr="00852E65">
        <w:t xml:space="preserve">per life year gained). </w:t>
      </w:r>
      <w:r w:rsidR="0063555C" w:rsidRPr="00852E65">
        <w:t xml:space="preserve">As there was no additional accrual of costs or benefits </w:t>
      </w:r>
      <w:r w:rsidR="0063555C" w:rsidRPr="00852E65">
        <w:lastRenderedPageBreak/>
        <w:t>past five years, when the survival curves converged, the ICER represented a five year time horizon.</w:t>
      </w:r>
    </w:p>
    <w:p w:rsidR="00673D97" w:rsidRPr="006C19DF" w:rsidRDefault="00673D97" w:rsidP="006B2D41">
      <w:pPr>
        <w:pStyle w:val="ListParagraph"/>
        <w:numPr>
          <w:ilvl w:val="1"/>
          <w:numId w:val="14"/>
        </w:numPr>
        <w:spacing w:before="0" w:after="120"/>
        <w:ind w:hanging="792"/>
        <w:jc w:val="both"/>
      </w:pPr>
      <w:r w:rsidRPr="006C19DF">
        <w:t>This ICER was less than that presented in the November 2015 submission ($</w:t>
      </w:r>
      <w:r w:rsidR="00473951">
        <w:t>45,000-$75,000</w:t>
      </w:r>
      <w:r w:rsidRPr="006C19DF">
        <w:t xml:space="preserve"> per QALY) and in the March 2016 minor resubmission ($</w:t>
      </w:r>
      <w:r w:rsidR="00473951">
        <w:t xml:space="preserve">45,000-$75,000 </w:t>
      </w:r>
      <w:r w:rsidRPr="006C19DF">
        <w:t xml:space="preserve">per QALY). </w:t>
      </w:r>
      <w:r w:rsidR="003967FF" w:rsidRPr="006C19DF">
        <w:t>This reduced ICER</w:t>
      </w:r>
      <w:r w:rsidR="00C83D93" w:rsidRPr="006C19DF">
        <w:t>,</w:t>
      </w:r>
      <w:r w:rsidR="003967FF" w:rsidRPr="006C19DF">
        <w:t xml:space="preserve"> </w:t>
      </w:r>
      <w:r w:rsidR="00163787" w:rsidRPr="006C19DF">
        <w:t>compared to the November 2015 submission</w:t>
      </w:r>
      <w:r w:rsidR="00C83D93" w:rsidRPr="006C19DF">
        <w:t>,</w:t>
      </w:r>
      <w:r w:rsidR="00163787" w:rsidRPr="006C19DF">
        <w:t xml:space="preserve"> </w:t>
      </w:r>
      <w:r w:rsidR="003967FF" w:rsidRPr="006C19DF">
        <w:t xml:space="preserve">was largely driven by </w:t>
      </w:r>
      <w:r w:rsidR="00C83D93" w:rsidRPr="006C19DF">
        <w:t xml:space="preserve">structural changes to the model to include post-progression treatment and stem cell transplants and their associated costs (appropriate), </w:t>
      </w:r>
      <w:r w:rsidR="003967FF" w:rsidRPr="006C19DF">
        <w:t>a</w:t>
      </w:r>
      <w:r w:rsidR="00C83D93" w:rsidRPr="006C19DF">
        <w:t xml:space="preserve"> reduction in the effective price of </w:t>
      </w:r>
      <w:proofErr w:type="spellStart"/>
      <w:r w:rsidR="00C83D93" w:rsidRPr="006C19DF">
        <w:t>pralatrexate</w:t>
      </w:r>
      <w:proofErr w:type="spellEnd"/>
      <w:r w:rsidR="00C83D93" w:rsidRPr="006C19DF">
        <w:t xml:space="preserve"> (appropriate) and a</w:t>
      </w:r>
      <w:r w:rsidR="00390CD5">
        <w:t xml:space="preserve"> substantial</w:t>
      </w:r>
      <w:r w:rsidR="003967FF" w:rsidRPr="006C19DF">
        <w:t xml:space="preserve"> increase in the cost of comparator treatment</w:t>
      </w:r>
      <w:r w:rsidR="00135BF8" w:rsidRPr="006C19DF">
        <w:t xml:space="preserve"> (not appropriate)</w:t>
      </w:r>
      <w:r w:rsidR="00C83D93" w:rsidRPr="006C19DF">
        <w:t xml:space="preserve">. The ICER was </w:t>
      </w:r>
      <w:r w:rsidR="00771C94" w:rsidRPr="006C19DF">
        <w:t>also</w:t>
      </w:r>
      <w:r w:rsidR="00C83D93" w:rsidRPr="006C19DF">
        <w:t xml:space="preserve"> influenced by the large difference in the rates of </w:t>
      </w:r>
      <w:r w:rsidR="00BD5F98" w:rsidRPr="006C19DF">
        <w:t>SCT</w:t>
      </w:r>
      <w:r w:rsidR="00C83D93" w:rsidRPr="006C19DF">
        <w:t xml:space="preserve"> between the two arms of the model</w:t>
      </w:r>
      <w:r w:rsidR="00771C94" w:rsidRPr="006C19DF">
        <w:t>, which were not appropriately calculated</w:t>
      </w:r>
      <w:r w:rsidR="00C83D93" w:rsidRPr="006C19DF">
        <w:t xml:space="preserve">.  </w:t>
      </w:r>
    </w:p>
    <w:p w:rsidR="003E7E0E" w:rsidRPr="006C19DF" w:rsidRDefault="003E7E0E" w:rsidP="006B2D41">
      <w:pPr>
        <w:pStyle w:val="ListParagraph"/>
        <w:numPr>
          <w:ilvl w:val="1"/>
          <w:numId w:val="14"/>
        </w:numPr>
        <w:spacing w:before="0" w:after="120"/>
        <w:ind w:hanging="792"/>
        <w:jc w:val="both"/>
      </w:pPr>
      <w:r w:rsidRPr="006C19DF">
        <w:t xml:space="preserve">The ESC noted that subsequent lines of treatment were set to zero in the base case. Noting the resubmission’s argument that </w:t>
      </w:r>
      <w:proofErr w:type="spellStart"/>
      <w:r w:rsidRPr="006C19DF">
        <w:t>pralatrexate</w:t>
      </w:r>
      <w:proofErr w:type="spellEnd"/>
      <w:r w:rsidRPr="006C19DF">
        <w:t xml:space="preserve"> was intended to be a last line therapy and patients would not receive any subsequent treatment, the ESC considered that this contradicted the treatment algorithm of R/R PTCL, and the evidence from the Australian patient population. The ESC noted that accounting for subsequent lines of therapy resulted in a considerable increase in the ICER.</w:t>
      </w:r>
    </w:p>
    <w:p w:rsidR="00B527D9" w:rsidRPr="00B527D9" w:rsidRDefault="00B527D9" w:rsidP="00B527D9">
      <w:pPr>
        <w:pStyle w:val="ListParagraph"/>
        <w:numPr>
          <w:ilvl w:val="1"/>
          <w:numId w:val="14"/>
        </w:numPr>
        <w:spacing w:before="0" w:after="120"/>
        <w:ind w:hanging="792"/>
        <w:jc w:val="both"/>
      </w:pPr>
      <w:r w:rsidRPr="00B527D9">
        <w:t xml:space="preserve">The PBAC agreed with ESC that in practice </w:t>
      </w:r>
      <w:proofErr w:type="spellStart"/>
      <w:r w:rsidRPr="00B527D9">
        <w:t>pralatrexate</w:t>
      </w:r>
      <w:proofErr w:type="spellEnd"/>
      <w:r w:rsidRPr="00B527D9">
        <w:t xml:space="preserve"> may not be used last line, especially in patients who have to discontinue due to toxicity rather than progression. The </w:t>
      </w:r>
      <w:r w:rsidR="00C9123B">
        <w:t>pre-PBAC response</w:t>
      </w:r>
      <w:r w:rsidRPr="00B527D9">
        <w:t xml:space="preserve"> arguments about whether the inclusion of subsequent therapies may reduce the ICER were noted. The PBAC considered that the applicability of the model’s output to future clinical practice if the drug is subsidised is diminished by not including subsequent lines of therapy post </w:t>
      </w:r>
      <w:proofErr w:type="spellStart"/>
      <w:r w:rsidRPr="00B527D9">
        <w:t>pralatrexate</w:t>
      </w:r>
      <w:proofErr w:type="spellEnd"/>
      <w:r w:rsidRPr="00B527D9">
        <w:t>.</w:t>
      </w:r>
    </w:p>
    <w:p w:rsidR="00673D97" w:rsidRPr="006C19DF" w:rsidRDefault="004A0B01" w:rsidP="006B2D41">
      <w:pPr>
        <w:pStyle w:val="ListParagraph"/>
        <w:numPr>
          <w:ilvl w:val="1"/>
          <w:numId w:val="14"/>
        </w:numPr>
        <w:spacing w:before="0" w:after="120"/>
        <w:ind w:hanging="792"/>
        <w:jc w:val="both"/>
      </w:pPr>
      <w:r w:rsidRPr="006C19DF">
        <w:t>This</w:t>
      </w:r>
      <w:r w:rsidR="00673D97" w:rsidRPr="006C19DF">
        <w:t xml:space="preserve"> resubmission presented univariate, multivariate and probabilistic sensitivity analyses. The key univariate sensitivity analyses conducted by the resubmission and during evaluation are presented below.</w:t>
      </w:r>
    </w:p>
    <w:p w:rsidR="00512018" w:rsidRDefault="00512018">
      <w:pPr>
        <w:spacing w:before="0" w:line="259" w:lineRule="auto"/>
        <w:rPr>
          <w:rFonts w:ascii="Arial Narrow" w:hAnsi="Arial Narrow"/>
          <w:b/>
          <w:sz w:val="20"/>
        </w:rPr>
      </w:pPr>
      <w:r>
        <w:br w:type="page"/>
      </w:r>
    </w:p>
    <w:p w:rsidR="007152C2" w:rsidRDefault="007152C2" w:rsidP="007152C2">
      <w:pPr>
        <w:pStyle w:val="Caption"/>
      </w:pPr>
      <w:r>
        <w:lastRenderedPageBreak/>
        <w:t xml:space="preserve">Table </w:t>
      </w:r>
      <w:r>
        <w:rPr>
          <w:noProof/>
        </w:rPr>
        <w:t>12</w:t>
      </w:r>
      <w:r w:rsidRPr="00A12174">
        <w:t>: Results of the key univariate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49"/>
        <w:gridCol w:w="1128"/>
        <w:gridCol w:w="1104"/>
        <w:gridCol w:w="1001"/>
      </w:tblGrid>
      <w:tr w:rsidR="00673D97" w:rsidRPr="00852E65" w:rsidTr="000B11CC">
        <w:trPr>
          <w:cantSplit/>
          <w:tblHeader/>
        </w:trPr>
        <w:tc>
          <w:tcPr>
            <w:tcW w:w="3220" w:type="pct"/>
            <w:tcBorders>
              <w:top w:val="single" w:sz="4" w:space="0" w:color="auto"/>
              <w:left w:val="single" w:sz="4" w:space="0" w:color="auto"/>
              <w:bottom w:val="single" w:sz="4" w:space="0" w:color="auto"/>
              <w:right w:val="single" w:sz="4" w:space="0" w:color="auto"/>
            </w:tcBorders>
            <w:vAlign w:val="center"/>
            <w:hideMark/>
          </w:tcPr>
          <w:p w:rsidR="00673D97" w:rsidRPr="00852E65" w:rsidRDefault="00673D97" w:rsidP="007D5AB9">
            <w:pPr>
              <w:keepNext/>
              <w:spacing w:before="40" w:after="40" w:line="257" w:lineRule="auto"/>
              <w:rPr>
                <w:rFonts w:ascii="Arial Narrow" w:eastAsia="Calibri" w:hAnsi="Arial Narrow" w:cs="Arial"/>
                <w:b/>
                <w:color w:val="00000A"/>
                <w:sz w:val="20"/>
              </w:rPr>
            </w:pPr>
          </w:p>
        </w:tc>
        <w:tc>
          <w:tcPr>
            <w:tcW w:w="621" w:type="pct"/>
            <w:tcBorders>
              <w:top w:val="single" w:sz="4" w:space="0" w:color="auto"/>
              <w:left w:val="single" w:sz="4" w:space="0" w:color="auto"/>
              <w:bottom w:val="single" w:sz="4" w:space="0" w:color="auto"/>
              <w:right w:val="single" w:sz="4" w:space="0" w:color="auto"/>
            </w:tcBorders>
            <w:vAlign w:val="center"/>
            <w:hideMark/>
          </w:tcPr>
          <w:p w:rsidR="00673D97" w:rsidRPr="00852E65" w:rsidRDefault="00673D97" w:rsidP="007D5AB9">
            <w:pPr>
              <w:keepNext/>
              <w:spacing w:before="40" w:after="40" w:line="257" w:lineRule="auto"/>
              <w:rPr>
                <w:rFonts w:ascii="Arial Narrow" w:eastAsia="Calibri" w:hAnsi="Arial Narrow" w:cs="Arial"/>
                <w:b/>
                <w:color w:val="00000A"/>
                <w:sz w:val="20"/>
              </w:rPr>
            </w:pPr>
            <w:r w:rsidRPr="00852E65">
              <w:rPr>
                <w:rFonts w:ascii="Arial Narrow" w:eastAsia="Calibri" w:hAnsi="Arial Narrow" w:cs="Arial"/>
                <w:b/>
                <w:color w:val="00000A"/>
                <w:sz w:val="20"/>
              </w:rPr>
              <w:t>Incremental costs</w:t>
            </w:r>
          </w:p>
        </w:tc>
        <w:tc>
          <w:tcPr>
            <w:tcW w:w="608" w:type="pct"/>
            <w:tcBorders>
              <w:top w:val="single" w:sz="4" w:space="0" w:color="auto"/>
              <w:left w:val="single" w:sz="4" w:space="0" w:color="auto"/>
              <w:bottom w:val="single" w:sz="4" w:space="0" w:color="auto"/>
              <w:right w:val="single" w:sz="4" w:space="0" w:color="auto"/>
            </w:tcBorders>
            <w:vAlign w:val="center"/>
            <w:hideMark/>
          </w:tcPr>
          <w:p w:rsidR="00673D97" w:rsidRPr="00852E65" w:rsidRDefault="00673D97" w:rsidP="007D5AB9">
            <w:pPr>
              <w:keepNext/>
              <w:spacing w:before="40" w:after="40" w:line="257" w:lineRule="auto"/>
              <w:rPr>
                <w:rFonts w:ascii="Arial Narrow" w:eastAsia="Calibri" w:hAnsi="Arial Narrow" w:cs="Arial"/>
                <w:b/>
                <w:color w:val="00000A"/>
                <w:sz w:val="20"/>
              </w:rPr>
            </w:pPr>
            <w:r w:rsidRPr="00852E65">
              <w:rPr>
                <w:rFonts w:ascii="Arial Narrow" w:eastAsia="Calibri" w:hAnsi="Arial Narrow" w:cs="Arial"/>
                <w:b/>
                <w:color w:val="00000A"/>
                <w:sz w:val="20"/>
              </w:rPr>
              <w:t>Incremental effectiveness</w:t>
            </w:r>
          </w:p>
        </w:tc>
        <w:tc>
          <w:tcPr>
            <w:tcW w:w="551" w:type="pct"/>
            <w:tcBorders>
              <w:top w:val="single" w:sz="4" w:space="0" w:color="auto"/>
              <w:left w:val="single" w:sz="4" w:space="0" w:color="auto"/>
              <w:bottom w:val="single" w:sz="4" w:space="0" w:color="auto"/>
              <w:right w:val="single" w:sz="4" w:space="0" w:color="auto"/>
            </w:tcBorders>
            <w:vAlign w:val="center"/>
            <w:hideMark/>
          </w:tcPr>
          <w:p w:rsidR="00673D97" w:rsidRPr="00852E65" w:rsidRDefault="00673D97" w:rsidP="007D5AB9">
            <w:pPr>
              <w:keepNext/>
              <w:spacing w:before="40" w:after="40" w:line="257" w:lineRule="auto"/>
              <w:rPr>
                <w:rFonts w:ascii="Arial Narrow" w:eastAsia="Calibri" w:hAnsi="Arial Narrow" w:cs="Arial"/>
                <w:b/>
                <w:color w:val="00000A"/>
                <w:sz w:val="20"/>
              </w:rPr>
            </w:pPr>
            <w:r w:rsidRPr="00852E65">
              <w:rPr>
                <w:rFonts w:ascii="Arial Narrow" w:eastAsia="Calibri" w:hAnsi="Arial Narrow" w:cs="Arial"/>
                <w:b/>
                <w:color w:val="00000A"/>
                <w:sz w:val="20"/>
              </w:rPr>
              <w:t>ICER</w:t>
            </w:r>
          </w:p>
        </w:tc>
      </w:tr>
      <w:tr w:rsidR="00673D97" w:rsidRPr="00852E65" w:rsidTr="000B11CC">
        <w:trPr>
          <w:cantSplit/>
        </w:trPr>
        <w:tc>
          <w:tcPr>
            <w:tcW w:w="3220" w:type="pct"/>
            <w:tcBorders>
              <w:top w:val="single" w:sz="4" w:space="0" w:color="auto"/>
              <w:left w:val="single" w:sz="4" w:space="0" w:color="auto"/>
              <w:bottom w:val="single" w:sz="4" w:space="0" w:color="auto"/>
              <w:right w:val="single" w:sz="4" w:space="0" w:color="auto"/>
            </w:tcBorders>
            <w:vAlign w:val="center"/>
            <w:hideMark/>
          </w:tcPr>
          <w:p w:rsidR="00673D97" w:rsidRPr="00852E65" w:rsidRDefault="00673D97" w:rsidP="007D5AB9">
            <w:pPr>
              <w:keepNext/>
              <w:spacing w:before="40" w:after="40" w:line="257" w:lineRule="auto"/>
              <w:rPr>
                <w:rFonts w:ascii="Arial Narrow" w:eastAsia="Calibri" w:hAnsi="Arial Narrow" w:cs="Arial"/>
                <w:b/>
                <w:color w:val="00000A"/>
                <w:sz w:val="20"/>
              </w:rPr>
            </w:pPr>
            <w:r w:rsidRPr="00852E65">
              <w:rPr>
                <w:rFonts w:ascii="Arial Narrow" w:eastAsia="Calibri" w:hAnsi="Arial Narrow" w:cs="Arial"/>
                <w:b/>
                <w:color w:val="00000A"/>
                <w:sz w:val="20"/>
              </w:rPr>
              <w:t>Base case</w:t>
            </w:r>
          </w:p>
        </w:tc>
        <w:tc>
          <w:tcPr>
            <w:tcW w:w="62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keepNext/>
              <w:spacing w:before="40" w:after="40" w:line="257" w:lineRule="auto"/>
              <w:rPr>
                <w:rFonts w:ascii="Arial Narrow" w:eastAsia="Calibri" w:hAnsi="Arial Narrow" w:cs="Arial"/>
                <w:b/>
                <w:color w:val="00000A"/>
                <w:sz w:val="20"/>
              </w:rPr>
            </w:pPr>
            <w:r w:rsidRPr="00852E65">
              <w:rPr>
                <w:rFonts w:ascii="Arial Narrow" w:eastAsia="Calibri" w:hAnsi="Arial Narrow" w:cs="Arial"/>
                <w:b/>
                <w:color w:val="00000A"/>
                <w:sz w:val="20"/>
              </w:rPr>
              <w:t>$</w:t>
            </w:r>
            <w:r w:rsidR="000F1D32">
              <w:rPr>
                <w:rFonts w:ascii="Arial Narrow" w:eastAsia="Calibri" w:hAnsi="Arial Narrow" w:cs="Arial"/>
                <w:b/>
                <w:noProof/>
                <w:color w:val="000000"/>
                <w:sz w:val="20"/>
                <w:highlight w:val="black"/>
              </w:rPr>
              <w:t>'''''''''''''</w:t>
            </w:r>
          </w:p>
        </w:tc>
        <w:tc>
          <w:tcPr>
            <w:tcW w:w="608" w:type="pct"/>
            <w:tcBorders>
              <w:top w:val="single" w:sz="4" w:space="0" w:color="auto"/>
              <w:left w:val="single" w:sz="4" w:space="0" w:color="auto"/>
              <w:bottom w:val="single" w:sz="4" w:space="0" w:color="auto"/>
              <w:right w:val="single" w:sz="4" w:space="0" w:color="auto"/>
            </w:tcBorders>
          </w:tcPr>
          <w:p w:rsidR="00673D97" w:rsidRPr="000F1D32" w:rsidRDefault="000F1D32" w:rsidP="007D5AB9">
            <w:pPr>
              <w:keepNext/>
              <w:spacing w:before="40" w:after="40" w:line="257" w:lineRule="auto"/>
              <w:rPr>
                <w:rFonts w:ascii="Arial Narrow" w:eastAsia="Calibri" w:hAnsi="Arial Narrow" w:cs="Arial"/>
                <w:b/>
                <w:color w:val="00000A"/>
                <w:sz w:val="20"/>
                <w:highlight w:val="black"/>
              </w:rPr>
            </w:pPr>
            <w:r>
              <w:rPr>
                <w:rFonts w:ascii="Arial Narrow" w:eastAsia="Calibri" w:hAnsi="Arial Narrow" w:cs="Arial"/>
                <w:b/>
                <w:noProof/>
                <w:color w:val="000000"/>
                <w:sz w:val="20"/>
                <w:highlight w:val="black"/>
              </w:rPr>
              <w:t>''''''''''</w:t>
            </w:r>
          </w:p>
        </w:tc>
        <w:tc>
          <w:tcPr>
            <w:tcW w:w="55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keepNext/>
              <w:spacing w:before="40" w:after="40" w:line="257" w:lineRule="auto"/>
              <w:rPr>
                <w:rFonts w:ascii="Arial Narrow" w:eastAsia="Calibri" w:hAnsi="Arial Narrow" w:cs="Arial"/>
                <w:b/>
                <w:color w:val="00000A"/>
                <w:sz w:val="20"/>
              </w:rPr>
            </w:pPr>
            <w:r w:rsidRPr="00852E65">
              <w:rPr>
                <w:rFonts w:ascii="Arial Narrow" w:eastAsia="Calibri" w:hAnsi="Arial Narrow" w:cs="Arial"/>
                <w:b/>
                <w:color w:val="00000A"/>
                <w:sz w:val="20"/>
              </w:rPr>
              <w:t>$</w:t>
            </w:r>
            <w:r w:rsidR="000F1D32">
              <w:rPr>
                <w:rFonts w:ascii="Arial Narrow" w:eastAsia="Calibri" w:hAnsi="Arial Narrow" w:cs="Arial"/>
                <w:b/>
                <w:noProof/>
                <w:color w:val="000000"/>
                <w:sz w:val="20"/>
                <w:highlight w:val="black"/>
              </w:rPr>
              <w:t>'''''''''''''</w:t>
            </w:r>
          </w:p>
        </w:tc>
      </w:tr>
      <w:tr w:rsidR="00673D97" w:rsidRPr="00852E65" w:rsidTr="000B11CC">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73D97" w:rsidRPr="00852E65" w:rsidRDefault="00673D97" w:rsidP="007D5AB9">
            <w:pPr>
              <w:keepNext/>
              <w:spacing w:before="40" w:after="40" w:line="257" w:lineRule="auto"/>
              <w:rPr>
                <w:rFonts w:ascii="Arial Narrow" w:eastAsia="Calibri" w:hAnsi="Arial Narrow" w:cs="Arial"/>
                <w:b/>
                <w:color w:val="00000A"/>
                <w:sz w:val="20"/>
              </w:rPr>
            </w:pPr>
            <w:r w:rsidRPr="00852E65">
              <w:rPr>
                <w:rFonts w:ascii="Arial Narrow" w:eastAsia="Calibri" w:hAnsi="Arial Narrow" w:cs="Arial"/>
                <w:b/>
                <w:color w:val="00000A"/>
                <w:sz w:val="20"/>
              </w:rPr>
              <w:t>Structural issues</w:t>
            </w:r>
          </w:p>
        </w:tc>
      </w:tr>
      <w:tr w:rsidR="00673D97" w:rsidRPr="00852E65" w:rsidTr="00771C94">
        <w:trPr>
          <w:cantSplit/>
          <w:trHeight w:val="153"/>
        </w:trPr>
        <w:tc>
          <w:tcPr>
            <w:tcW w:w="3220" w:type="pct"/>
            <w:tcBorders>
              <w:top w:val="single" w:sz="4" w:space="0" w:color="auto"/>
              <w:left w:val="single" w:sz="4" w:space="0" w:color="auto"/>
              <w:bottom w:val="single" w:sz="4" w:space="0" w:color="auto"/>
              <w:right w:val="single" w:sz="4" w:space="0" w:color="auto"/>
            </w:tcBorders>
            <w:vAlign w:val="center"/>
          </w:tcPr>
          <w:p w:rsidR="00673D97" w:rsidRPr="00852E65" w:rsidRDefault="00771C94" w:rsidP="007D5AB9">
            <w:pPr>
              <w:keepNext/>
              <w:spacing w:before="40" w:after="40" w:line="257"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No </w:t>
            </w:r>
            <w:r w:rsidR="00673D97" w:rsidRPr="00852E65">
              <w:rPr>
                <w:rFonts w:ascii="Arial Narrow" w:eastAsia="Calibri" w:hAnsi="Arial Narrow" w:cs="Arial"/>
                <w:color w:val="00000A"/>
                <w:sz w:val="20"/>
              </w:rPr>
              <w:t xml:space="preserve">SCT following treatment </w:t>
            </w:r>
            <w:r w:rsidRPr="00852E65">
              <w:rPr>
                <w:rFonts w:ascii="Arial Narrow" w:eastAsia="Calibri" w:hAnsi="Arial Narrow" w:cs="Arial"/>
                <w:color w:val="00000A"/>
                <w:sz w:val="20"/>
              </w:rPr>
              <w:t>or</w:t>
            </w:r>
            <w:r w:rsidR="00673D97" w:rsidRPr="00852E65">
              <w:rPr>
                <w:rFonts w:ascii="Arial Narrow" w:eastAsia="Calibri" w:hAnsi="Arial Narrow" w:cs="Arial"/>
                <w:color w:val="00000A"/>
                <w:sz w:val="20"/>
              </w:rPr>
              <w:t xml:space="preserve"> subsequent treatment </w:t>
            </w:r>
          </w:p>
        </w:tc>
        <w:tc>
          <w:tcPr>
            <w:tcW w:w="62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keepNext/>
              <w:spacing w:before="40" w:after="40" w:line="257"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673D97" w:rsidRPr="000F1D32" w:rsidRDefault="000F1D32" w:rsidP="007D5AB9">
            <w:pPr>
              <w:keepNext/>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55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keepNext/>
              <w:spacing w:before="40" w:after="40" w:line="257"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tc>
      </w:tr>
      <w:tr w:rsidR="00673D97" w:rsidRPr="00852E65" w:rsidTr="000B11CC">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73D97" w:rsidRPr="00852E65" w:rsidRDefault="00673D97" w:rsidP="007D5AB9">
            <w:pPr>
              <w:spacing w:before="40" w:after="40" w:line="256" w:lineRule="auto"/>
              <w:rPr>
                <w:rFonts w:ascii="Arial Narrow" w:eastAsia="Calibri" w:hAnsi="Arial Narrow" w:cs="Arial"/>
                <w:b/>
                <w:color w:val="00000A"/>
                <w:sz w:val="20"/>
              </w:rPr>
            </w:pPr>
            <w:r w:rsidRPr="00852E65">
              <w:rPr>
                <w:rFonts w:ascii="Arial Narrow" w:eastAsia="Calibri" w:hAnsi="Arial Narrow" w:cs="Arial"/>
                <w:b/>
                <w:color w:val="00000A"/>
                <w:sz w:val="20"/>
              </w:rPr>
              <w:t>Parameter changes</w:t>
            </w:r>
          </w:p>
        </w:tc>
      </w:tr>
      <w:tr w:rsidR="00673D97" w:rsidRPr="00852E65" w:rsidTr="000B11CC">
        <w:trPr>
          <w:cantSplit/>
        </w:trPr>
        <w:tc>
          <w:tcPr>
            <w:tcW w:w="3220"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Cost of </w:t>
            </w:r>
            <w:proofErr w:type="spellStart"/>
            <w:r w:rsidRPr="00852E65">
              <w:rPr>
                <w:rFonts w:ascii="Arial Narrow" w:eastAsia="Calibri" w:hAnsi="Arial Narrow" w:cs="Arial"/>
                <w:color w:val="00000A"/>
                <w:sz w:val="20"/>
              </w:rPr>
              <w:t>pralatrexate</w:t>
            </w:r>
            <w:proofErr w:type="spellEnd"/>
            <w:r w:rsidRPr="00852E65">
              <w:rPr>
                <w:rFonts w:ascii="Arial Narrow" w:eastAsia="Calibri" w:hAnsi="Arial Narrow" w:cs="Arial"/>
                <w:color w:val="00000A"/>
                <w:sz w:val="20"/>
              </w:rPr>
              <w:t xml:space="preserve"> (base case DPMA = $</w:t>
            </w:r>
            <w:r w:rsidR="000F1D32">
              <w:rPr>
                <w:rFonts w:ascii="Arial Narrow" w:eastAsia="Calibri" w:hAnsi="Arial Narrow" w:cs="Arial"/>
                <w:noProof/>
                <w:color w:val="000000"/>
                <w:sz w:val="20"/>
                <w:highlight w:val="black"/>
              </w:rPr>
              <w:t>''''''''''''''''''''</w:t>
            </w:r>
            <w:r w:rsidR="00C7706C" w:rsidRPr="00852E65">
              <w:rPr>
                <w:rFonts w:ascii="Arial Narrow" w:eastAsia="Calibri" w:hAnsi="Arial Narrow" w:cs="Arial"/>
                <w:color w:val="00000A"/>
                <w:sz w:val="20"/>
              </w:rPr>
              <w:t xml:space="preserve"> per vial</w:t>
            </w:r>
            <w:r w:rsidRPr="00852E65">
              <w:rPr>
                <w:rFonts w:ascii="Arial Narrow" w:eastAsia="Calibri" w:hAnsi="Arial Narrow" w:cs="Arial"/>
                <w:color w:val="00000A"/>
                <w:sz w:val="20"/>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+10%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-10%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w:t>
            </w:r>
          </w:p>
        </w:tc>
        <w:tc>
          <w:tcPr>
            <w:tcW w:w="62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hAnsi="Arial Narrow"/>
                <w:color w:val="00000A"/>
                <w:sz w:val="20"/>
              </w:rPr>
            </w:pP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tc>
        <w:tc>
          <w:tcPr>
            <w:tcW w:w="608" w:type="pct"/>
            <w:tcBorders>
              <w:top w:val="single" w:sz="4" w:space="0" w:color="auto"/>
              <w:left w:val="single" w:sz="4" w:space="0" w:color="auto"/>
              <w:bottom w:val="single" w:sz="4" w:space="0" w:color="auto"/>
              <w:right w:val="single" w:sz="4" w:space="0" w:color="auto"/>
            </w:tcBorders>
          </w:tcPr>
          <w:p w:rsidR="00673D97" w:rsidRPr="000F1D32" w:rsidRDefault="00673D97" w:rsidP="007D5AB9">
            <w:pPr>
              <w:spacing w:before="40" w:after="40" w:line="256" w:lineRule="auto"/>
              <w:rPr>
                <w:rFonts w:ascii="Arial Narrow" w:eastAsia="Calibri" w:hAnsi="Arial Narrow" w:cs="Arial"/>
                <w:color w:val="00000A"/>
                <w:sz w:val="20"/>
                <w:highlight w:val="yellow"/>
              </w:rPr>
            </w:pP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55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eastAsia="Calibri" w:hAnsi="Arial Narrow" w:cs="Arial"/>
                <w:color w:val="00000A"/>
                <w:sz w:val="20"/>
              </w:rPr>
            </w:pP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tc>
      </w:tr>
      <w:tr w:rsidR="00673D97" w:rsidRPr="00852E65" w:rsidTr="000B11CC">
        <w:trPr>
          <w:cantSplit/>
        </w:trPr>
        <w:tc>
          <w:tcPr>
            <w:tcW w:w="3220"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Cost of comparator treatment (base case = $</w:t>
            </w:r>
            <w:r w:rsidR="000F1D32">
              <w:rPr>
                <w:rFonts w:ascii="Arial Narrow" w:eastAsia="Calibri" w:hAnsi="Arial Narrow" w:cs="Arial"/>
                <w:noProof/>
                <w:color w:val="000000"/>
                <w:sz w:val="20"/>
                <w:highlight w:val="black"/>
              </w:rPr>
              <w:t>''''''''''''''''''''''</w:t>
            </w:r>
            <w:r w:rsidR="00B73FBB" w:rsidRPr="00852E65">
              <w:rPr>
                <w:rFonts w:ascii="Arial Narrow" w:eastAsia="Calibri" w:hAnsi="Arial Narrow" w:cs="Arial"/>
                <w:color w:val="00000A"/>
                <w:sz w:val="20"/>
              </w:rPr>
              <w:t xml:space="preserve"> per cycle</w:t>
            </w:r>
            <w:r w:rsidRPr="00852E65">
              <w:rPr>
                <w:rFonts w:ascii="Arial Narrow" w:eastAsia="Calibri" w:hAnsi="Arial Narrow" w:cs="Arial"/>
                <w:color w:val="00000A"/>
                <w:sz w:val="20"/>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+ 10%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- 10% ($</w:t>
            </w:r>
            <w:r w:rsidR="000F1D32">
              <w:rPr>
                <w:rFonts w:ascii="Arial Narrow" w:eastAsia="Calibri" w:hAnsi="Arial Narrow" w:cs="Arial"/>
                <w:noProof/>
                <w:color w:val="000000"/>
                <w:sz w:val="20"/>
                <w:highlight w:val="black"/>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 xml:space="preserve"> (March 2016 resubmission)</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 xml:space="preserve"> (November 2015 submission)</w:t>
            </w:r>
          </w:p>
        </w:tc>
        <w:tc>
          <w:tcPr>
            <w:tcW w:w="62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hAnsi="Arial Narrow"/>
                <w:color w:val="00000A"/>
                <w:sz w:val="20"/>
              </w:rPr>
            </w:pP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tc>
        <w:tc>
          <w:tcPr>
            <w:tcW w:w="608" w:type="pct"/>
            <w:tcBorders>
              <w:top w:val="single" w:sz="4" w:space="0" w:color="auto"/>
              <w:left w:val="single" w:sz="4" w:space="0" w:color="auto"/>
              <w:bottom w:val="single" w:sz="4" w:space="0" w:color="auto"/>
              <w:right w:val="single" w:sz="4" w:space="0" w:color="auto"/>
            </w:tcBorders>
          </w:tcPr>
          <w:p w:rsidR="00673D97" w:rsidRPr="000F1D32" w:rsidRDefault="00673D97" w:rsidP="007D5AB9">
            <w:pPr>
              <w:spacing w:before="40" w:after="40" w:line="256" w:lineRule="auto"/>
              <w:rPr>
                <w:rFonts w:ascii="Arial Narrow" w:eastAsia="Calibri" w:hAnsi="Arial Narrow" w:cs="Arial"/>
                <w:color w:val="00000A"/>
                <w:sz w:val="20"/>
                <w:highlight w:val="yellow"/>
              </w:rPr>
            </w:pP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55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eastAsia="Calibri" w:hAnsi="Arial Narrow" w:cs="Arial"/>
                <w:color w:val="00000A"/>
                <w:sz w:val="20"/>
              </w:rPr>
            </w:pPr>
          </w:p>
          <w:p w:rsidR="00673D97" w:rsidRPr="000F1D32"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tc>
      </w:tr>
      <w:tr w:rsidR="00673D97" w:rsidRPr="00852E65" w:rsidTr="000B11CC">
        <w:trPr>
          <w:cantSplit/>
        </w:trPr>
        <w:tc>
          <w:tcPr>
            <w:tcW w:w="3220" w:type="pct"/>
            <w:tcBorders>
              <w:top w:val="single" w:sz="4" w:space="0" w:color="auto"/>
              <w:left w:val="single" w:sz="4" w:space="0" w:color="auto"/>
              <w:bottom w:val="single" w:sz="4" w:space="0" w:color="auto"/>
              <w:right w:val="single" w:sz="4" w:space="0" w:color="auto"/>
            </w:tcBorders>
            <w:vAlign w:val="center"/>
          </w:tcPr>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Comparator response rates (base case = </w:t>
            </w:r>
            <w:r w:rsidR="000F1D32">
              <w:rPr>
                <w:rFonts w:ascii="Arial Narrow" w:eastAsia="Calibri" w:hAnsi="Arial Narrow" w:cs="Arial"/>
                <w:noProof/>
                <w:color w:val="000000"/>
                <w:sz w:val="20"/>
                <w:highlight w:val="black"/>
              </w:rPr>
              <w:t>''''''''''' ''''''''''''' ''''''''''' '''''''''''</w:t>
            </w:r>
            <w:r w:rsidR="00771C94" w:rsidRPr="00852E65">
              <w:rPr>
                <w:rFonts w:ascii="Arial Narrow" w:eastAsia="Calibri" w:hAnsi="Arial Narrow" w:cs="Arial"/>
                <w:color w:val="00000A"/>
                <w:sz w:val="20"/>
              </w:rPr>
              <w:t xml:space="preserve">; </w:t>
            </w:r>
            <w:r w:rsidR="00D4592D" w:rsidRPr="00852E65">
              <w:rPr>
                <w:rFonts w:ascii="Arial Narrow" w:eastAsia="Calibri" w:hAnsi="Arial Narrow" w:cs="Arial"/>
                <w:color w:val="00000A"/>
                <w:sz w:val="20"/>
              </w:rPr>
              <w:t xml:space="preserve">i.e. </w:t>
            </w:r>
            <w:r w:rsidR="00771C94" w:rsidRPr="00852E65">
              <w:rPr>
                <w:rFonts w:ascii="Arial Narrow" w:eastAsia="Calibri" w:hAnsi="Arial Narrow" w:cs="Arial"/>
                <w:color w:val="00000A"/>
                <w:sz w:val="20"/>
              </w:rPr>
              <w:t xml:space="preserve">same as </w:t>
            </w:r>
            <w:proofErr w:type="spellStart"/>
            <w:r w:rsidR="00771C94" w:rsidRPr="00852E65">
              <w:rPr>
                <w:rFonts w:ascii="Arial Narrow" w:eastAsia="Calibri" w:hAnsi="Arial Narrow" w:cs="Arial"/>
                <w:color w:val="00000A"/>
                <w:sz w:val="20"/>
              </w:rPr>
              <w:t>pralatrexate</w:t>
            </w:r>
            <w:proofErr w:type="spellEnd"/>
            <w:r w:rsidR="00D4592D" w:rsidRPr="00852E65">
              <w:rPr>
                <w:rFonts w:ascii="Arial Narrow" w:eastAsia="Calibri" w:hAnsi="Arial Narrow" w:cs="Arial"/>
                <w:color w:val="00000A"/>
                <w:sz w:val="20"/>
              </w:rPr>
              <w:t xml:space="preserve"> and from PDX-008</w:t>
            </w:r>
            <w:r w:rsidRPr="00852E65">
              <w:rPr>
                <w:rFonts w:ascii="Arial Narrow" w:eastAsia="Calibri" w:hAnsi="Arial Narrow" w:cs="Arial"/>
                <w:color w:val="00000A"/>
                <w:sz w:val="20"/>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CR =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 xml:space="preserve">; PR =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 xml:space="preserve">; SD =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 xml:space="preserve">; PD =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 xml:space="preserve"> (</w:t>
            </w:r>
            <w:r w:rsidR="00CA4998" w:rsidRPr="00852E65">
              <w:rPr>
                <w:rFonts w:ascii="Arial Narrow" w:eastAsia="Calibri" w:hAnsi="Arial Narrow" w:cs="Arial"/>
                <w:color w:val="00000A"/>
                <w:sz w:val="20"/>
              </w:rPr>
              <w:t>from Australian historical database</w:t>
            </w:r>
            <w:r w:rsidRPr="00852E65">
              <w:rPr>
                <w:rFonts w:ascii="Arial Narrow" w:eastAsia="Calibri" w:hAnsi="Arial Narrow" w:cs="Arial"/>
                <w:color w:val="00000A"/>
                <w:sz w:val="20"/>
              </w:rPr>
              <w:t>)</w:t>
            </w:r>
          </w:p>
        </w:tc>
        <w:tc>
          <w:tcPr>
            <w:tcW w:w="62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hAnsi="Arial Narrow"/>
                <w:color w:val="00000A"/>
                <w:sz w:val="20"/>
              </w:rPr>
            </w:pPr>
          </w:p>
          <w:p w:rsidR="00D4592D" w:rsidRPr="00852E65" w:rsidRDefault="00D4592D" w:rsidP="007D5AB9">
            <w:pPr>
              <w:spacing w:before="40" w:after="40" w:line="256" w:lineRule="auto"/>
              <w:rPr>
                <w:rFonts w:ascii="Arial Narrow" w:hAnsi="Arial Narrow"/>
                <w:color w:val="00000A"/>
                <w:sz w:val="20"/>
              </w:rPr>
            </w:pPr>
          </w:p>
          <w:p w:rsidR="00673D97" w:rsidRPr="00852E65" w:rsidRDefault="00EA5456"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tc>
        <w:tc>
          <w:tcPr>
            <w:tcW w:w="608" w:type="pct"/>
            <w:tcBorders>
              <w:top w:val="single" w:sz="4" w:space="0" w:color="auto"/>
              <w:left w:val="single" w:sz="4" w:space="0" w:color="auto"/>
              <w:bottom w:val="single" w:sz="4" w:space="0" w:color="auto"/>
              <w:right w:val="single" w:sz="4" w:space="0" w:color="auto"/>
            </w:tcBorders>
          </w:tcPr>
          <w:p w:rsidR="00673D97" w:rsidRPr="00731B0F" w:rsidRDefault="00673D97" w:rsidP="007D5AB9">
            <w:pPr>
              <w:spacing w:before="40" w:after="40" w:line="256" w:lineRule="auto"/>
              <w:rPr>
                <w:rFonts w:ascii="Arial Narrow" w:eastAsia="Calibri" w:hAnsi="Arial Narrow" w:cs="Arial"/>
                <w:color w:val="00000A"/>
                <w:sz w:val="20"/>
                <w:highlight w:val="yellow"/>
              </w:rPr>
            </w:pPr>
          </w:p>
          <w:p w:rsidR="00D4592D" w:rsidRPr="00731B0F" w:rsidRDefault="00D4592D" w:rsidP="007D5AB9">
            <w:pPr>
              <w:spacing w:before="40" w:after="40" w:line="256" w:lineRule="auto"/>
              <w:rPr>
                <w:rFonts w:ascii="Arial Narrow" w:eastAsia="Calibri" w:hAnsi="Arial Narrow" w:cs="Arial"/>
                <w:color w:val="00000A"/>
                <w:sz w:val="20"/>
                <w:highlight w:val="yellow"/>
              </w:rPr>
            </w:pP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55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eastAsia="Calibri" w:hAnsi="Arial Narrow" w:cs="Arial"/>
                <w:color w:val="00000A"/>
                <w:sz w:val="20"/>
              </w:rPr>
            </w:pPr>
          </w:p>
          <w:p w:rsidR="00D4592D" w:rsidRPr="00852E65" w:rsidRDefault="00D4592D" w:rsidP="007D5AB9">
            <w:pPr>
              <w:spacing w:before="40" w:after="40" w:line="256" w:lineRule="auto"/>
              <w:rPr>
                <w:rFonts w:ascii="Arial Narrow" w:eastAsia="Calibri" w:hAnsi="Arial Narrow" w:cs="Arial"/>
                <w:color w:val="00000A"/>
                <w:sz w:val="20"/>
              </w:rPr>
            </w:pPr>
          </w:p>
          <w:p w:rsidR="00673D97" w:rsidRPr="00852E65" w:rsidRDefault="00EA5456"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tc>
      </w:tr>
      <w:tr w:rsidR="00673D97" w:rsidRPr="00852E65" w:rsidTr="000B11CC">
        <w:trPr>
          <w:cantSplit/>
        </w:trPr>
        <w:tc>
          <w:tcPr>
            <w:tcW w:w="3220" w:type="pct"/>
            <w:tcBorders>
              <w:top w:val="single" w:sz="4" w:space="0" w:color="auto"/>
              <w:left w:val="single" w:sz="4" w:space="0" w:color="auto"/>
              <w:bottom w:val="single" w:sz="4" w:space="0" w:color="auto"/>
              <w:right w:val="single" w:sz="4" w:space="0" w:color="auto"/>
            </w:tcBorders>
            <w:vAlign w:val="center"/>
          </w:tcPr>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Lines of subsequent therapy (base case = 0)</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2</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4</w:t>
            </w:r>
          </w:p>
        </w:tc>
        <w:tc>
          <w:tcPr>
            <w:tcW w:w="62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hAnsi="Arial Narrow"/>
                <w:color w:val="00000A"/>
                <w:sz w:val="20"/>
              </w:rPr>
            </w:pP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tc>
        <w:tc>
          <w:tcPr>
            <w:tcW w:w="608" w:type="pct"/>
            <w:tcBorders>
              <w:top w:val="single" w:sz="4" w:space="0" w:color="auto"/>
              <w:left w:val="single" w:sz="4" w:space="0" w:color="auto"/>
              <w:bottom w:val="single" w:sz="4" w:space="0" w:color="auto"/>
              <w:right w:val="single" w:sz="4" w:space="0" w:color="auto"/>
            </w:tcBorders>
          </w:tcPr>
          <w:p w:rsidR="00673D97" w:rsidRPr="00731B0F" w:rsidRDefault="00673D97" w:rsidP="007D5AB9">
            <w:pPr>
              <w:spacing w:before="40" w:after="40" w:line="256" w:lineRule="auto"/>
              <w:rPr>
                <w:rFonts w:ascii="Arial Narrow" w:eastAsia="Calibri" w:hAnsi="Arial Narrow" w:cs="Arial"/>
                <w:color w:val="00000A"/>
                <w:sz w:val="20"/>
                <w:highlight w:val="yellow"/>
              </w:rPr>
            </w:pP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55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eastAsia="Calibri" w:hAnsi="Arial Narrow" w:cs="Arial"/>
                <w:color w:val="00000A"/>
                <w:sz w:val="20"/>
              </w:rPr>
            </w:pP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tc>
      </w:tr>
      <w:tr w:rsidR="00673D97" w:rsidRPr="00852E65" w:rsidTr="000B11CC">
        <w:trPr>
          <w:cantSplit/>
        </w:trPr>
        <w:tc>
          <w:tcPr>
            <w:tcW w:w="3220"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SCT rate in comparator arm (base case = </w:t>
            </w:r>
            <w:r w:rsidRPr="0082323C">
              <w:rPr>
                <w:rFonts w:ascii="Arial Narrow" w:eastAsia="Calibri" w:hAnsi="Arial Narrow" w:cs="Arial"/>
                <w:color w:val="00000A"/>
                <w:sz w:val="20"/>
              </w:rPr>
              <w:t>5</w:t>
            </w:r>
            <w:r w:rsidR="007C68FC" w:rsidRPr="0082323C">
              <w:rPr>
                <w:rFonts w:ascii="Arial Narrow" w:eastAsia="Calibri" w:hAnsi="Arial Narrow" w:cs="Arial"/>
                <w:color w:val="00000A"/>
                <w:sz w:val="20"/>
              </w:rPr>
              <w:t>8</w:t>
            </w:r>
            <w:r w:rsidRPr="0082323C">
              <w:rPr>
                <w:rFonts w:ascii="Arial Narrow" w:eastAsia="Calibri" w:hAnsi="Arial Narrow" w:cs="Arial"/>
                <w:color w:val="00000A"/>
                <w:sz w:val="20"/>
              </w:rPr>
              <w:t>.1%)</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 xml:space="preserve">% (Treatment algorithm rate </w:t>
            </w:r>
            <w:r w:rsidR="009F3981" w:rsidRPr="00852E65">
              <w:rPr>
                <w:rFonts w:ascii="Arial Narrow" w:eastAsia="Calibri" w:hAnsi="Arial Narrow" w:cs="Arial"/>
                <w:color w:val="00000A"/>
                <w:sz w:val="20"/>
              </w:rPr>
              <w:t xml:space="preserve">of pts in remission </w:t>
            </w:r>
            <w:r w:rsidRPr="00852E65">
              <w:rPr>
                <w:rFonts w:ascii="Arial Narrow" w:eastAsia="Calibri" w:hAnsi="Arial Narrow" w:cs="Arial"/>
                <w:color w:val="00000A"/>
                <w:sz w:val="20"/>
              </w:rPr>
              <w:t>following 1</w:t>
            </w:r>
            <w:r w:rsidRPr="00852E65">
              <w:rPr>
                <w:rFonts w:ascii="Arial Narrow" w:eastAsia="Calibri" w:hAnsi="Arial Narrow" w:cs="Arial"/>
                <w:color w:val="00000A"/>
                <w:sz w:val="20"/>
                <w:vertAlign w:val="superscript"/>
              </w:rPr>
              <w:t>st</w:t>
            </w:r>
            <w:r w:rsidRPr="00852E65">
              <w:rPr>
                <w:rFonts w:ascii="Arial Narrow" w:eastAsia="Calibri" w:hAnsi="Arial Narrow" w:cs="Arial"/>
                <w:color w:val="00000A"/>
                <w:sz w:val="20"/>
              </w:rPr>
              <w:t>-line therapy)</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w:t>
            </w:r>
            <w:r w:rsidR="000F1D32">
              <w:rPr>
                <w:rFonts w:ascii="Arial Narrow" w:eastAsia="Calibri" w:hAnsi="Arial Narrow" w:cs="Arial"/>
                <w:noProof/>
                <w:color w:val="000000"/>
                <w:sz w:val="20"/>
                <w:highlight w:val="black"/>
              </w:rPr>
              <w:t>'''''''''''</w:t>
            </w:r>
            <w:r w:rsidRPr="00852E65">
              <w:rPr>
                <w:rFonts w:ascii="Arial Narrow" w:eastAsia="Calibri" w:hAnsi="Arial Narrow" w:cs="Arial"/>
                <w:color w:val="00000A"/>
                <w:sz w:val="20"/>
              </w:rPr>
              <w:t>% (Treatment algorithm rate</w:t>
            </w:r>
            <w:r w:rsidR="001B5863" w:rsidRPr="00852E65">
              <w:t xml:space="preserve"> </w:t>
            </w:r>
            <w:r w:rsidR="001B5863" w:rsidRPr="00852E65">
              <w:rPr>
                <w:rFonts w:ascii="Arial Narrow" w:eastAsia="Calibri" w:hAnsi="Arial Narrow" w:cs="Arial"/>
                <w:color w:val="00000A"/>
                <w:sz w:val="20"/>
              </w:rPr>
              <w:t>of pts in remission</w:t>
            </w:r>
            <w:r w:rsidRPr="00852E65">
              <w:rPr>
                <w:rFonts w:ascii="Arial Narrow" w:eastAsia="Calibri" w:hAnsi="Arial Narrow" w:cs="Arial"/>
                <w:color w:val="00000A"/>
                <w:sz w:val="20"/>
              </w:rPr>
              <w:t xml:space="preserve"> following 2</w:t>
            </w:r>
            <w:r w:rsidRPr="00852E65">
              <w:rPr>
                <w:rFonts w:ascii="Arial Narrow" w:eastAsia="Calibri" w:hAnsi="Arial Narrow" w:cs="Arial"/>
                <w:color w:val="00000A"/>
                <w:sz w:val="20"/>
                <w:vertAlign w:val="superscript"/>
              </w:rPr>
              <w:t>nd</w:t>
            </w:r>
            <w:r w:rsidRPr="00852E65">
              <w:rPr>
                <w:rFonts w:ascii="Arial Narrow" w:eastAsia="Calibri" w:hAnsi="Arial Narrow" w:cs="Arial"/>
                <w:color w:val="00000A"/>
                <w:sz w:val="20"/>
              </w:rPr>
              <w:t>-line therapy)</w:t>
            </w:r>
          </w:p>
        </w:tc>
        <w:tc>
          <w:tcPr>
            <w:tcW w:w="62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hAnsi="Arial Narrow"/>
                <w:color w:val="00000A"/>
                <w:sz w:val="20"/>
              </w:rPr>
            </w:pP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tc>
        <w:tc>
          <w:tcPr>
            <w:tcW w:w="608" w:type="pct"/>
            <w:tcBorders>
              <w:top w:val="single" w:sz="4" w:space="0" w:color="auto"/>
              <w:left w:val="single" w:sz="4" w:space="0" w:color="auto"/>
              <w:bottom w:val="single" w:sz="4" w:space="0" w:color="auto"/>
              <w:right w:val="single" w:sz="4" w:space="0" w:color="auto"/>
            </w:tcBorders>
          </w:tcPr>
          <w:p w:rsidR="00673D97" w:rsidRPr="00731B0F" w:rsidRDefault="00673D97" w:rsidP="007D5AB9">
            <w:pPr>
              <w:spacing w:before="40" w:after="40" w:line="256" w:lineRule="auto"/>
              <w:rPr>
                <w:rFonts w:ascii="Arial Narrow" w:eastAsia="Calibri" w:hAnsi="Arial Narrow" w:cs="Arial"/>
                <w:color w:val="00000A"/>
                <w:sz w:val="20"/>
                <w:highlight w:val="yellow"/>
              </w:rPr>
            </w:pP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55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eastAsia="Calibri" w:hAnsi="Arial Narrow" w:cs="Arial"/>
                <w:color w:val="00000A"/>
                <w:sz w:val="20"/>
              </w:rPr>
            </w:pP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tc>
      </w:tr>
      <w:tr w:rsidR="00673D97" w:rsidRPr="00852E65" w:rsidTr="000B11CC">
        <w:trPr>
          <w:cantSplit/>
          <w:trHeight w:val="60"/>
        </w:trPr>
        <w:tc>
          <w:tcPr>
            <w:tcW w:w="5000" w:type="pct"/>
            <w:gridSpan w:val="4"/>
            <w:tcBorders>
              <w:top w:val="single" w:sz="4" w:space="0" w:color="auto"/>
              <w:left w:val="single" w:sz="4" w:space="0" w:color="auto"/>
              <w:bottom w:val="single" w:sz="4" w:space="0" w:color="auto"/>
              <w:right w:val="single" w:sz="4" w:space="0" w:color="auto"/>
            </w:tcBorders>
            <w:vAlign w:val="center"/>
          </w:tcPr>
          <w:p w:rsidR="00673D97" w:rsidRPr="00852E65" w:rsidRDefault="00673D97" w:rsidP="007D5AB9">
            <w:pPr>
              <w:spacing w:before="40" w:after="40" w:line="256" w:lineRule="auto"/>
              <w:rPr>
                <w:rFonts w:ascii="Arial Narrow" w:eastAsia="Calibri" w:hAnsi="Arial Narrow" w:cs="Arial"/>
                <w:b/>
                <w:color w:val="00000A"/>
                <w:sz w:val="20"/>
              </w:rPr>
            </w:pPr>
            <w:r w:rsidRPr="00852E65">
              <w:rPr>
                <w:rFonts w:ascii="Arial Narrow" w:eastAsia="Calibri" w:hAnsi="Arial Narrow" w:cs="Arial"/>
                <w:b/>
                <w:color w:val="00000A"/>
                <w:sz w:val="20"/>
              </w:rPr>
              <w:t>Utility changes</w:t>
            </w:r>
          </w:p>
        </w:tc>
      </w:tr>
      <w:tr w:rsidR="00673D97" w:rsidRPr="00852E65" w:rsidTr="000B11CC">
        <w:trPr>
          <w:cantSplit/>
        </w:trPr>
        <w:tc>
          <w:tcPr>
            <w:tcW w:w="3220" w:type="pct"/>
            <w:tcBorders>
              <w:top w:val="single" w:sz="4" w:space="0" w:color="auto"/>
              <w:left w:val="single" w:sz="4" w:space="0" w:color="auto"/>
              <w:bottom w:val="single" w:sz="4" w:space="0" w:color="auto"/>
              <w:right w:val="single" w:sz="4" w:space="0" w:color="auto"/>
            </w:tcBorders>
            <w:vAlign w:val="center"/>
          </w:tcPr>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Health state utilities (base case = Kang 2015: 0.885; 0.784; 0.746; 0.567)</w:t>
            </w: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 xml:space="preserve">  </w:t>
            </w:r>
            <w:proofErr w:type="spellStart"/>
            <w:r w:rsidRPr="00852E65">
              <w:rPr>
                <w:rFonts w:ascii="Arial Narrow" w:eastAsia="Calibri" w:hAnsi="Arial Narrow" w:cs="Arial"/>
                <w:color w:val="00000A"/>
                <w:sz w:val="20"/>
              </w:rPr>
              <w:t>Swinburn</w:t>
            </w:r>
            <w:proofErr w:type="spellEnd"/>
            <w:r w:rsidRPr="00852E65">
              <w:rPr>
                <w:rFonts w:ascii="Arial Narrow" w:eastAsia="Calibri" w:hAnsi="Arial Narrow" w:cs="Arial"/>
                <w:color w:val="00000A"/>
                <w:sz w:val="20"/>
              </w:rPr>
              <w:t xml:space="preserve"> 2012 (CR = 0.89; PR = 0.77; SD = 0.67; PD = 0.32)</w:t>
            </w:r>
          </w:p>
        </w:tc>
        <w:tc>
          <w:tcPr>
            <w:tcW w:w="62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hAnsi="Arial Narrow"/>
                <w:color w:val="00000A"/>
                <w:sz w:val="20"/>
              </w:rPr>
            </w:pPr>
          </w:p>
          <w:p w:rsidR="00673D97" w:rsidRPr="00852E65" w:rsidRDefault="00673D97" w:rsidP="007D5AB9">
            <w:pPr>
              <w:spacing w:before="40" w:after="40" w:line="256" w:lineRule="auto"/>
              <w:rPr>
                <w:rFonts w:ascii="Arial Narrow" w:hAnsi="Arial Narrow"/>
                <w:color w:val="00000A"/>
                <w:sz w:val="20"/>
              </w:rPr>
            </w:pPr>
            <w:r w:rsidRPr="00852E65">
              <w:rPr>
                <w:rFonts w:ascii="Arial Narrow" w:hAnsi="Arial Narrow"/>
                <w:color w:val="00000A"/>
                <w:sz w:val="20"/>
              </w:rPr>
              <w:t>$</w:t>
            </w:r>
            <w:r w:rsidR="000F1D32">
              <w:rPr>
                <w:rFonts w:ascii="Arial Narrow" w:hAnsi="Arial Narrow"/>
                <w:noProof/>
                <w:color w:val="000000"/>
                <w:sz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673D97" w:rsidRPr="00852E65" w:rsidRDefault="00673D97" w:rsidP="007D5AB9">
            <w:pPr>
              <w:spacing w:before="40" w:after="40" w:line="256" w:lineRule="auto"/>
              <w:rPr>
                <w:rFonts w:ascii="Arial Narrow" w:eastAsia="Calibri" w:hAnsi="Arial Narrow" w:cs="Arial"/>
                <w:color w:val="00000A"/>
                <w:sz w:val="20"/>
              </w:rPr>
            </w:pPr>
          </w:p>
          <w:p w:rsidR="00673D97" w:rsidRPr="000F1D32" w:rsidRDefault="000F1D32" w:rsidP="007D5AB9">
            <w:pPr>
              <w:spacing w:before="40" w:after="40" w:line="256"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551" w:type="pct"/>
            <w:tcBorders>
              <w:top w:val="single" w:sz="4" w:space="0" w:color="auto"/>
              <w:left w:val="single" w:sz="4" w:space="0" w:color="auto"/>
              <w:bottom w:val="single" w:sz="4" w:space="0" w:color="auto"/>
              <w:right w:val="single" w:sz="4" w:space="0" w:color="auto"/>
            </w:tcBorders>
          </w:tcPr>
          <w:p w:rsidR="00673D97" w:rsidRPr="00852E65" w:rsidRDefault="00673D97" w:rsidP="007D5AB9">
            <w:pPr>
              <w:spacing w:before="40" w:after="40" w:line="256" w:lineRule="auto"/>
              <w:rPr>
                <w:rFonts w:ascii="Arial Narrow" w:eastAsia="Calibri" w:hAnsi="Arial Narrow" w:cs="Arial"/>
                <w:color w:val="00000A"/>
                <w:sz w:val="20"/>
              </w:rPr>
            </w:pPr>
          </w:p>
          <w:p w:rsidR="00673D97" w:rsidRPr="00852E65" w:rsidRDefault="00673D97" w:rsidP="007D5AB9">
            <w:pPr>
              <w:spacing w:before="40" w:after="40" w:line="256" w:lineRule="auto"/>
              <w:rPr>
                <w:rFonts w:ascii="Arial Narrow" w:eastAsia="Calibri" w:hAnsi="Arial Narrow" w:cs="Arial"/>
                <w:color w:val="00000A"/>
                <w:sz w:val="20"/>
              </w:rPr>
            </w:pPr>
            <w:r w:rsidRPr="00852E65">
              <w:rPr>
                <w:rFonts w:ascii="Arial Narrow" w:eastAsia="Calibri" w:hAnsi="Arial Narrow" w:cs="Arial"/>
                <w:color w:val="00000A"/>
                <w:sz w:val="20"/>
              </w:rPr>
              <w:t>$</w:t>
            </w:r>
            <w:r w:rsidR="000F1D32">
              <w:rPr>
                <w:rFonts w:ascii="Arial Narrow" w:eastAsia="Calibri" w:hAnsi="Arial Narrow" w:cs="Arial"/>
                <w:noProof/>
                <w:color w:val="000000"/>
                <w:sz w:val="20"/>
                <w:highlight w:val="black"/>
              </w:rPr>
              <w:t>'''''''''''''''</w:t>
            </w:r>
          </w:p>
        </w:tc>
      </w:tr>
    </w:tbl>
    <w:p w:rsidR="00673D97" w:rsidRPr="00852E65" w:rsidRDefault="00673D97" w:rsidP="007D5AB9">
      <w:pPr>
        <w:pStyle w:val="TableFooter"/>
        <w:widowControl/>
      </w:pPr>
      <w:r w:rsidRPr="00852E65">
        <w:t xml:space="preserve">Source: Table 3.34, p3-85; and </w:t>
      </w:r>
      <w:proofErr w:type="spellStart"/>
      <w:r w:rsidRPr="00852E65">
        <w:t>Folotyn</w:t>
      </w:r>
      <w:proofErr w:type="spellEnd"/>
      <w:r w:rsidRPr="00852E65">
        <w:t xml:space="preserve"> 2017 – Variables list (final).xlsx Excel spreadsheet; and calculated during evaluation </w:t>
      </w:r>
    </w:p>
    <w:p w:rsidR="00673D97" w:rsidRPr="00852E65" w:rsidRDefault="00673D97" w:rsidP="007D5AB9">
      <w:pPr>
        <w:pStyle w:val="TableFooter"/>
        <w:widowControl/>
      </w:pPr>
      <w:r w:rsidRPr="00852E65">
        <w:t xml:space="preserve">CR = complete response; DPMA = dispensed price for maximum amount; ICER = incremental cost-effectiveness ratio; PD = progressive disease; PR = partial response; </w:t>
      </w:r>
      <w:r w:rsidR="00D4592D" w:rsidRPr="00852E65">
        <w:t xml:space="preserve">pts = patients; </w:t>
      </w:r>
      <w:r w:rsidRPr="00852E65">
        <w:t>SCT = stem cell transplant; SD = stable disease</w:t>
      </w:r>
    </w:p>
    <w:p w:rsidR="00673D97" w:rsidRPr="006C19DF" w:rsidRDefault="00BA2C04" w:rsidP="006B2D41">
      <w:pPr>
        <w:pStyle w:val="ListParagraph"/>
        <w:numPr>
          <w:ilvl w:val="1"/>
          <w:numId w:val="14"/>
        </w:numPr>
        <w:spacing w:before="0" w:after="120"/>
        <w:ind w:hanging="792"/>
        <w:jc w:val="both"/>
      </w:pPr>
      <w:r w:rsidRPr="006C19DF">
        <w:t xml:space="preserve">The ESC noted that </w:t>
      </w:r>
      <w:r w:rsidRPr="006C19DF">
        <w:rPr>
          <w:lang w:val="en-US"/>
        </w:rPr>
        <w:t xml:space="preserve">sensitivity analyses around areas of uncertainty </w:t>
      </w:r>
      <w:r w:rsidRPr="006B2D41">
        <w:t>generated</w:t>
      </w:r>
      <w:r w:rsidRPr="006C19DF">
        <w:rPr>
          <w:lang w:val="en-US"/>
        </w:rPr>
        <w:t xml:space="preserve"> ICERs that were considerably higher than </w:t>
      </w:r>
      <w:r w:rsidR="00CB1F89">
        <w:rPr>
          <w:lang w:val="en-US"/>
        </w:rPr>
        <w:t xml:space="preserve">the </w:t>
      </w:r>
      <w:r w:rsidRPr="006C19DF">
        <w:rPr>
          <w:lang w:val="en-US"/>
        </w:rPr>
        <w:t>base case</w:t>
      </w:r>
      <w:r w:rsidRPr="006C19DF">
        <w:t xml:space="preserve">. </w:t>
      </w:r>
      <w:r w:rsidR="00673D97" w:rsidRPr="006C19DF">
        <w:t xml:space="preserve">The model was </w:t>
      </w:r>
      <w:r w:rsidR="004A0B01" w:rsidRPr="006C19DF">
        <w:t xml:space="preserve">most </w:t>
      </w:r>
      <w:r w:rsidR="00673D97" w:rsidRPr="006C19DF">
        <w:t>sensitive to changes in the rate of stem cell transplant in the comparator arm</w:t>
      </w:r>
      <w:r w:rsidR="00D4592D" w:rsidRPr="006C19DF">
        <w:t xml:space="preserve">, the </w:t>
      </w:r>
      <w:r w:rsidR="00673D97" w:rsidRPr="006C19DF">
        <w:t xml:space="preserve">cost of </w:t>
      </w:r>
      <w:proofErr w:type="spellStart"/>
      <w:r w:rsidR="00D4592D" w:rsidRPr="006C19DF">
        <w:t>pralatrexate</w:t>
      </w:r>
      <w:proofErr w:type="spellEnd"/>
      <w:r w:rsidR="00D4592D" w:rsidRPr="006C19DF">
        <w:t xml:space="preserve">, the cost of the comparator and </w:t>
      </w:r>
      <w:r w:rsidR="00673D97" w:rsidRPr="006C19DF">
        <w:t>the lines of subsequent therapy</w:t>
      </w:r>
      <w:r w:rsidR="00D4592D" w:rsidRPr="006C19DF">
        <w:t xml:space="preserve"> received</w:t>
      </w:r>
      <w:r w:rsidR="00673D97" w:rsidRPr="006C19DF">
        <w:t xml:space="preserve">. </w:t>
      </w:r>
    </w:p>
    <w:p w:rsidR="00BA2C04" w:rsidRPr="006C19DF" w:rsidRDefault="00400915" w:rsidP="00EC64C5">
      <w:pPr>
        <w:pStyle w:val="ListParagraph"/>
        <w:numPr>
          <w:ilvl w:val="2"/>
          <w:numId w:val="24"/>
        </w:numPr>
        <w:spacing w:before="0" w:after="0"/>
        <w:jc w:val="both"/>
      </w:pPr>
      <w:r w:rsidRPr="006C19DF">
        <w:t>The ESC noted that the resubmission assumed that a</w:t>
      </w:r>
      <w:proofErr w:type="spellStart"/>
      <w:r w:rsidR="002D4B51" w:rsidRPr="006C19DF">
        <w:rPr>
          <w:lang w:val="en-US"/>
        </w:rPr>
        <w:t>ll</w:t>
      </w:r>
      <w:proofErr w:type="spellEnd"/>
      <w:r w:rsidR="002D4B51" w:rsidRPr="006C19DF">
        <w:rPr>
          <w:lang w:val="en-US"/>
        </w:rPr>
        <w:t xml:space="preserve"> patients were eligible to receive a stem cell transplant after 27 weeks regardless of treatment success</w:t>
      </w:r>
      <w:r w:rsidRPr="006C19DF">
        <w:rPr>
          <w:lang w:val="en-US"/>
        </w:rPr>
        <w:t>.</w:t>
      </w:r>
      <w:r w:rsidR="00CB1F89">
        <w:rPr>
          <w:lang w:val="en-US"/>
        </w:rPr>
        <w:t xml:space="preserve"> </w:t>
      </w:r>
      <w:r w:rsidRPr="006C19DF">
        <w:t xml:space="preserve">The PSCR (p.4) stated that the 27 weeks was taken from the average amount of time between </w:t>
      </w:r>
      <w:r w:rsidR="008C31B7" w:rsidRPr="006C19DF">
        <w:t>trial entry and SCT in PDX-008</w:t>
      </w:r>
      <w:r w:rsidRPr="006C19DF">
        <w:t xml:space="preserve">.  </w:t>
      </w:r>
      <w:r w:rsidR="008C31B7" w:rsidRPr="006C19DF">
        <w:t xml:space="preserve">The PSCR further claimed that given that </w:t>
      </w:r>
      <w:r w:rsidRPr="006C19DF">
        <w:t xml:space="preserve">such a large proportion of comparator arm patients are already dead by week 27 the probability of having an SCT (applied to those still alive) is appropriately adjusted such that the total number of SCT incurred by the entire </w:t>
      </w:r>
      <w:r w:rsidRPr="006C19DF">
        <w:lastRenderedPageBreak/>
        <w:t xml:space="preserve">treatment cohort reflects clinical practice. </w:t>
      </w:r>
      <w:r w:rsidR="008C31B7" w:rsidRPr="006C19DF">
        <w:t>However, the PSCR (p.4) acknowledge</w:t>
      </w:r>
      <w:r w:rsidR="00CB1F89">
        <w:t>d</w:t>
      </w:r>
      <w:r w:rsidR="008C31B7" w:rsidRPr="006C19DF">
        <w:t xml:space="preserve"> that g</w:t>
      </w:r>
      <w:r w:rsidRPr="006C19DF">
        <w:t>iven the data limitations, the model c</w:t>
      </w:r>
      <w:r w:rsidR="008C31B7" w:rsidRPr="006C19DF">
        <w:t>ould not apply SCT</w:t>
      </w:r>
      <w:r w:rsidRPr="006C19DF">
        <w:t>s to only those simulated p</w:t>
      </w:r>
      <w:r w:rsidR="008C31B7" w:rsidRPr="006C19DF">
        <w:t>atients who respond to therapy, noting that d</w:t>
      </w:r>
      <w:r w:rsidRPr="006C19DF">
        <w:t xml:space="preserve">oing so would not alter the associated mean costs nor would it lead to a change in the cohort average modelled life duration (it would only re-allocate this gain between responding and non-responding patients).  </w:t>
      </w:r>
      <w:r w:rsidR="00BA2C04" w:rsidRPr="006C19DF">
        <w:t xml:space="preserve">The ESC considered that the differential </w:t>
      </w:r>
      <w:r w:rsidR="00BA2C04" w:rsidRPr="006C19DF">
        <w:rPr>
          <w:lang w:val="en-US"/>
        </w:rPr>
        <w:t>SCT rates were</w:t>
      </w:r>
      <w:r w:rsidR="008C31B7" w:rsidRPr="006C19DF">
        <w:rPr>
          <w:lang w:val="en-US"/>
        </w:rPr>
        <w:t xml:space="preserve"> uncertain, </w:t>
      </w:r>
      <w:r w:rsidR="002D4B51" w:rsidRPr="006C19DF">
        <w:rPr>
          <w:lang w:val="en-US"/>
        </w:rPr>
        <w:t>overstated</w:t>
      </w:r>
      <w:r w:rsidR="00BA2C04" w:rsidRPr="006C19DF">
        <w:rPr>
          <w:lang w:val="en-US"/>
        </w:rPr>
        <w:t xml:space="preserve"> and </w:t>
      </w:r>
      <w:proofErr w:type="spellStart"/>
      <w:r w:rsidR="00BA2C04" w:rsidRPr="006C19DF">
        <w:rPr>
          <w:lang w:val="en-US"/>
        </w:rPr>
        <w:t>favoured</w:t>
      </w:r>
      <w:proofErr w:type="spellEnd"/>
      <w:r w:rsidR="002D4B51" w:rsidRPr="006C19DF">
        <w:rPr>
          <w:lang w:val="en-US"/>
        </w:rPr>
        <w:t xml:space="preserve"> </w:t>
      </w:r>
      <w:proofErr w:type="spellStart"/>
      <w:r w:rsidR="002D4B51" w:rsidRPr="006C19DF">
        <w:rPr>
          <w:lang w:val="en-US"/>
        </w:rPr>
        <w:t>pralatrexate</w:t>
      </w:r>
      <w:proofErr w:type="spellEnd"/>
      <w:r w:rsidR="00E94379" w:rsidRPr="006C19DF">
        <w:rPr>
          <w:lang w:val="en-US"/>
        </w:rPr>
        <w:t xml:space="preserve"> (see 6.3</w:t>
      </w:r>
      <w:r w:rsidR="00C813FA">
        <w:rPr>
          <w:lang w:val="en-US"/>
        </w:rPr>
        <w:t>8</w:t>
      </w:r>
      <w:r w:rsidR="00E94379" w:rsidRPr="006C19DF">
        <w:rPr>
          <w:lang w:val="en-US"/>
        </w:rPr>
        <w:t>)</w:t>
      </w:r>
      <w:r w:rsidR="00BA2C04" w:rsidRPr="006C19DF">
        <w:rPr>
          <w:lang w:val="en-US"/>
        </w:rPr>
        <w:t>;</w:t>
      </w:r>
    </w:p>
    <w:p w:rsidR="00BA2C04" w:rsidRDefault="0095422D" w:rsidP="00EC64C5">
      <w:pPr>
        <w:pStyle w:val="ListParagraph"/>
        <w:numPr>
          <w:ilvl w:val="2"/>
          <w:numId w:val="24"/>
        </w:numPr>
        <w:spacing w:before="0" w:after="120"/>
        <w:jc w:val="both"/>
      </w:pPr>
      <w:r w:rsidRPr="006C19DF">
        <w:t>The ESC noted that the increase in comparator costs compared to the November 2015 submission was largely due to the increased cost attributed to DHAP, the most heavily weighted chemotherapy, through the inclusion of $</w:t>
      </w:r>
      <w:r w:rsidR="000F1D32">
        <w:rPr>
          <w:noProof/>
          <w:color w:val="000000"/>
          <w:highlight w:val="black"/>
        </w:rPr>
        <w:t>'''''''''''</w:t>
      </w:r>
      <w:r w:rsidRPr="006C19DF">
        <w:t xml:space="preserve"> for concomitant </w:t>
      </w:r>
      <w:proofErr w:type="spellStart"/>
      <w:r w:rsidRPr="006C19DF">
        <w:t>filgrastim</w:t>
      </w:r>
      <w:proofErr w:type="spellEnd"/>
      <w:r w:rsidRPr="006C19DF">
        <w:t xml:space="preserve">, the inclusion of the cost of </w:t>
      </w:r>
      <w:proofErr w:type="spellStart"/>
      <w:r w:rsidRPr="006C19DF">
        <w:t>brentuximab</w:t>
      </w:r>
      <w:proofErr w:type="spellEnd"/>
      <w:r w:rsidRPr="006C19DF">
        <w:t xml:space="preserve"> and the addition of </w:t>
      </w:r>
      <w:proofErr w:type="spellStart"/>
      <w:r w:rsidRPr="006C19DF">
        <w:t>vinorelbine</w:t>
      </w:r>
      <w:proofErr w:type="spellEnd"/>
      <w:r w:rsidRPr="006C19DF">
        <w:t xml:space="preserve"> to the cost of gemcitabine-containing regimens.</w:t>
      </w:r>
    </w:p>
    <w:p w:rsidR="0072747F" w:rsidRPr="0072747F" w:rsidRDefault="0072747F" w:rsidP="00E7632B">
      <w:pPr>
        <w:pStyle w:val="ListParagraph"/>
        <w:numPr>
          <w:ilvl w:val="2"/>
          <w:numId w:val="24"/>
        </w:numPr>
        <w:spacing w:before="0" w:after="120"/>
        <w:jc w:val="both"/>
      </w:pPr>
      <w:r w:rsidRPr="0072747F">
        <w:t xml:space="preserve">The PBAC also considered that the cost of the basket of comparator drugs inappropriately included </w:t>
      </w:r>
      <w:proofErr w:type="spellStart"/>
      <w:r w:rsidRPr="0072747F">
        <w:t>brentuximab</w:t>
      </w:r>
      <w:proofErr w:type="spellEnd"/>
      <w:r w:rsidRPr="0072747F">
        <w:t>. When excluded, the average cost of comparator drugs was reduced to $</w:t>
      </w:r>
      <w:r w:rsidR="000F1D32">
        <w:rPr>
          <w:noProof/>
          <w:color w:val="000000"/>
          <w:highlight w:val="black"/>
        </w:rPr>
        <w:t>'''''''''''</w:t>
      </w:r>
      <w:r w:rsidRPr="0072747F">
        <w:t>.</w:t>
      </w:r>
      <w:r w:rsidR="00E7632B" w:rsidRPr="00E7632B">
        <w:t xml:space="preserve"> Changing the cost of the comparator </w:t>
      </w:r>
      <w:r w:rsidR="00E7632B">
        <w:t xml:space="preserve">alone </w:t>
      </w:r>
      <w:r w:rsidR="00E7632B" w:rsidRPr="00E7632B">
        <w:t>increases the ICER to more than $100,000/QALY gained.</w:t>
      </w:r>
      <w:r w:rsidR="00E7632B" w:rsidRPr="0072747F" w:rsidDel="00E7632B">
        <w:t xml:space="preserve"> </w:t>
      </w:r>
    </w:p>
    <w:p w:rsidR="00BA2C04" w:rsidRDefault="00456FF0" w:rsidP="00456FF0">
      <w:pPr>
        <w:pStyle w:val="ListParagraph"/>
        <w:numPr>
          <w:ilvl w:val="2"/>
          <w:numId w:val="24"/>
        </w:numPr>
        <w:spacing w:before="0" w:after="120"/>
        <w:jc w:val="both"/>
      </w:pPr>
      <w:r w:rsidRPr="00456FF0">
        <w:t xml:space="preserve">Overall, the ESC considered that although the economic model had structural improvements compared to previous submissions, the inputs were unreliable. Specifically, the uncertainty regarding the size of the OS difference and use of a stratified Cox regression model to estimate OS resulted in the possibility that survival was both overestimated in the </w:t>
      </w:r>
      <w:proofErr w:type="spellStart"/>
      <w:r w:rsidRPr="00456FF0">
        <w:t>pralatrexate</w:t>
      </w:r>
      <w:proofErr w:type="spellEnd"/>
      <w:r w:rsidRPr="00456FF0">
        <w:t xml:space="preserve"> arm, and underestimated in the comparator arm. The ESC therefore advised that any incremental cost-effectiveness of </w:t>
      </w:r>
      <w:proofErr w:type="spellStart"/>
      <w:r w:rsidRPr="00456FF0">
        <w:t>pralatrexate</w:t>
      </w:r>
      <w:proofErr w:type="spellEnd"/>
      <w:r w:rsidRPr="00456FF0">
        <w:t xml:space="preserve"> arising from this economic model is unreliable. The PBAC agreed, and considered that the model generated an optimistic estimate of the ICER. The PBAC considered a simpler model in which the incremental survival is calculated directly from the Kaplan Meier plots may be more informative, especially as no quality clinical data will arise to resolve the deficits in the existing data.</w:t>
      </w:r>
    </w:p>
    <w:p w:rsidR="0072747F" w:rsidRPr="00FD59E6" w:rsidRDefault="0072747F" w:rsidP="0072747F">
      <w:pPr>
        <w:spacing w:before="0" w:after="120"/>
        <w:jc w:val="both"/>
        <w:rPr>
          <w:rFonts w:ascii="Calibri" w:eastAsia="Times New Roman" w:hAnsi="Calibri" w:cs="Times New Roman"/>
          <w:i/>
          <w:szCs w:val="24"/>
        </w:rPr>
      </w:pPr>
      <w:r w:rsidRPr="0072747F">
        <w:rPr>
          <w:rFonts w:ascii="Calibri" w:eastAsia="Times New Roman" w:hAnsi="Calibri" w:cs="Times New Roman"/>
          <w:i/>
          <w:szCs w:val="24"/>
        </w:rPr>
        <w:t xml:space="preserve">For </w:t>
      </w:r>
      <w:r w:rsidRPr="00FD59E6">
        <w:rPr>
          <w:rFonts w:ascii="Calibri" w:eastAsia="Times New Roman" w:hAnsi="Calibri" w:cs="Times New Roman"/>
          <w:i/>
          <w:szCs w:val="24"/>
        </w:rPr>
        <w:t>more detail on PBAC’s view, see section 7 “PBAC outcome.”</w:t>
      </w:r>
    </w:p>
    <w:p w:rsidR="00673D97" w:rsidRPr="00FD59E6" w:rsidRDefault="00673D97" w:rsidP="007D5AB9">
      <w:pPr>
        <w:pStyle w:val="Heading2"/>
      </w:pPr>
      <w:bookmarkStart w:id="31" w:name="_Toc413139283"/>
      <w:bookmarkStart w:id="32" w:name="_Toc482715898"/>
      <w:r w:rsidRPr="00FD59E6">
        <w:t>Drug cost/patient/course: $</w:t>
      </w:r>
      <w:bookmarkEnd w:id="31"/>
      <w:bookmarkEnd w:id="32"/>
      <w:r w:rsidR="000F1D32">
        <w:rPr>
          <w:noProof/>
          <w:color w:val="000000"/>
          <w:highlight w:val="black"/>
        </w:rPr>
        <w:t>'''''''''''</w:t>
      </w:r>
    </w:p>
    <w:p w:rsidR="00FD59E6" w:rsidRPr="00FD59E6" w:rsidRDefault="00673D97" w:rsidP="00FD59E6">
      <w:pPr>
        <w:pStyle w:val="ListParagraph"/>
        <w:numPr>
          <w:ilvl w:val="1"/>
          <w:numId w:val="14"/>
        </w:numPr>
        <w:spacing w:before="0" w:after="120"/>
        <w:ind w:hanging="792"/>
        <w:jc w:val="both"/>
      </w:pPr>
      <w:r w:rsidRPr="00FD59E6">
        <w:t xml:space="preserve">The total cost of </w:t>
      </w:r>
      <w:proofErr w:type="spellStart"/>
      <w:r w:rsidRPr="00FD59E6">
        <w:t>pralatrexate</w:t>
      </w:r>
      <w:proofErr w:type="spellEnd"/>
      <w:r w:rsidRPr="00FD59E6">
        <w:t xml:space="preserve"> treatment was calculated to be $</w:t>
      </w:r>
      <w:r w:rsidR="000F1D32">
        <w:rPr>
          <w:noProof/>
          <w:color w:val="000000"/>
          <w:highlight w:val="black"/>
        </w:rPr>
        <w:t>''''''''''''''''''''</w:t>
      </w:r>
      <w:r w:rsidRPr="00FD59E6">
        <w:t>, assuming a mean DPMA per vial of $</w:t>
      </w:r>
      <w:r w:rsidR="000F1D32">
        <w:rPr>
          <w:noProof/>
          <w:color w:val="000000"/>
          <w:highlight w:val="black"/>
        </w:rPr>
        <w:t>'''''''''''''''''</w:t>
      </w:r>
      <w:r w:rsidRPr="00FD59E6">
        <w:t xml:space="preserve"> and 4</w:t>
      </w:r>
      <w:r w:rsidR="00C97409" w:rsidRPr="00FD59E6">
        <w:t>0.4</w:t>
      </w:r>
      <w:r w:rsidRPr="00FD59E6">
        <w:t xml:space="preserve"> vials per patient</w:t>
      </w:r>
      <w:r w:rsidR="00007546" w:rsidRPr="00FD59E6">
        <w:t>, which was appropriately derived from individual patient data from study PDX-008</w:t>
      </w:r>
      <w:r w:rsidR="003C15D8" w:rsidRPr="00FD59E6">
        <w:t>)</w:t>
      </w:r>
      <w:r w:rsidR="00B74DC2" w:rsidRPr="00FD59E6">
        <w:t xml:space="preserve">. This represented </w:t>
      </w:r>
      <w:r w:rsidR="008118A2" w:rsidRPr="00FD59E6">
        <w:t xml:space="preserve">a </w:t>
      </w:r>
      <w:r w:rsidR="003C15D8" w:rsidRPr="00FD59E6">
        <w:t xml:space="preserve">mean of </w:t>
      </w:r>
      <w:r w:rsidR="000F1D32">
        <w:rPr>
          <w:noProof/>
          <w:color w:val="000000"/>
          <w:highlight w:val="black"/>
        </w:rPr>
        <w:t>'''''</w:t>
      </w:r>
      <w:r w:rsidR="00C27C7C" w:rsidRPr="00FD59E6">
        <w:t xml:space="preserve"> </w:t>
      </w:r>
      <w:r w:rsidR="003C15D8" w:rsidRPr="00FD59E6">
        <w:t xml:space="preserve">doses </w:t>
      </w:r>
      <w:r w:rsidR="00B74DC2" w:rsidRPr="00FD59E6">
        <w:t xml:space="preserve">per patient </w:t>
      </w:r>
      <w:r w:rsidR="00A45DB4" w:rsidRPr="00FD59E6">
        <w:t xml:space="preserve">or </w:t>
      </w:r>
      <w:r w:rsidR="000F1D32">
        <w:rPr>
          <w:noProof/>
          <w:color w:val="000000"/>
          <w:highlight w:val="black"/>
        </w:rPr>
        <w:t>''''''</w:t>
      </w:r>
      <w:r w:rsidR="00A45DB4" w:rsidRPr="00FD59E6">
        <w:t xml:space="preserve"> </w:t>
      </w:r>
      <w:r w:rsidR="003C15D8" w:rsidRPr="00FD59E6">
        <w:t>cycles</w:t>
      </w:r>
      <w:r w:rsidR="00A45DB4" w:rsidRPr="00FD59E6">
        <w:t xml:space="preserve">. </w:t>
      </w:r>
      <w:r w:rsidRPr="00FD59E6">
        <w:t>The total cost of comparator treatment was $</w:t>
      </w:r>
      <w:r w:rsidR="000F1D32">
        <w:rPr>
          <w:noProof/>
          <w:color w:val="000000"/>
          <w:highlight w:val="black"/>
        </w:rPr>
        <w:t>'''''''''''''''''</w:t>
      </w:r>
      <w:r w:rsidRPr="00FD59E6">
        <w:t>, assuming an average cost of comparator chemotherapy of $</w:t>
      </w:r>
      <w:r w:rsidR="000F1D32">
        <w:rPr>
          <w:noProof/>
          <w:color w:val="000000"/>
          <w:highlight w:val="black"/>
        </w:rPr>
        <w:t>''''''''''''''''</w:t>
      </w:r>
      <w:r w:rsidRPr="00FD59E6">
        <w:t xml:space="preserve"> and </w:t>
      </w:r>
      <w:r w:rsidR="000F1D32">
        <w:rPr>
          <w:noProof/>
          <w:color w:val="000000"/>
          <w:highlight w:val="black"/>
        </w:rPr>
        <w:t>'''''''''</w:t>
      </w:r>
      <w:r w:rsidR="00C97409" w:rsidRPr="00FD59E6">
        <w:t xml:space="preserve"> </w:t>
      </w:r>
      <w:r w:rsidRPr="00FD59E6">
        <w:t>cycles per patient</w:t>
      </w:r>
      <w:r w:rsidR="00C97409" w:rsidRPr="00FD59E6">
        <w:t>.</w:t>
      </w:r>
      <w:r w:rsidRPr="00FD59E6">
        <w:t xml:space="preserve"> </w:t>
      </w:r>
      <w:r w:rsidR="00FD59E6" w:rsidRPr="00FD59E6">
        <w:t xml:space="preserve">The PBAC considered the comparator costs to be substantially inflated due to the inappropriate inclusion of </w:t>
      </w:r>
      <w:proofErr w:type="spellStart"/>
      <w:r w:rsidR="00FD59E6" w:rsidRPr="00FD59E6">
        <w:t>brentuximab</w:t>
      </w:r>
      <w:proofErr w:type="spellEnd"/>
      <w:r w:rsidR="00FD59E6" w:rsidRPr="00FD59E6">
        <w:t>.</w:t>
      </w:r>
    </w:p>
    <w:p w:rsidR="00C317F3" w:rsidRPr="00FD59E6" w:rsidRDefault="00673D97" w:rsidP="006B2D41">
      <w:pPr>
        <w:pStyle w:val="ListParagraph"/>
        <w:numPr>
          <w:ilvl w:val="1"/>
          <w:numId w:val="14"/>
        </w:numPr>
        <w:spacing w:before="0" w:after="120"/>
        <w:ind w:hanging="792"/>
        <w:jc w:val="both"/>
      </w:pPr>
      <w:r w:rsidRPr="00FD59E6">
        <w:t xml:space="preserve">In the November 2015 submission, the cost of </w:t>
      </w:r>
      <w:proofErr w:type="spellStart"/>
      <w:r w:rsidRPr="00FD59E6">
        <w:t>pralatrexate</w:t>
      </w:r>
      <w:proofErr w:type="spellEnd"/>
      <w:r w:rsidRPr="00FD59E6">
        <w:t xml:space="preserve"> was calculated to be $</w:t>
      </w:r>
      <w:r w:rsidR="000F1D32">
        <w:rPr>
          <w:noProof/>
          <w:color w:val="000000"/>
          <w:highlight w:val="black"/>
        </w:rPr>
        <w:t>''''''''''''</w:t>
      </w:r>
      <w:r w:rsidRPr="00FD59E6">
        <w:t xml:space="preserve"> per patient per course</w:t>
      </w:r>
      <w:r w:rsidR="004A0B01" w:rsidRPr="00FD59E6">
        <w:t xml:space="preserve"> and the comparator cost </w:t>
      </w:r>
      <w:r w:rsidR="0019453E" w:rsidRPr="00FD59E6">
        <w:t>$</w:t>
      </w:r>
      <w:r w:rsidR="000F1D32">
        <w:rPr>
          <w:noProof/>
          <w:color w:val="000000"/>
          <w:highlight w:val="black"/>
        </w:rPr>
        <w:t>'''''''''''''</w:t>
      </w:r>
      <w:r w:rsidRPr="00FD59E6">
        <w:t>.</w:t>
      </w:r>
    </w:p>
    <w:p w:rsidR="00270C04" w:rsidRPr="00852E65" w:rsidRDefault="0019453E" w:rsidP="006B2D41">
      <w:pPr>
        <w:pStyle w:val="ListParagraph"/>
        <w:numPr>
          <w:ilvl w:val="1"/>
          <w:numId w:val="14"/>
        </w:numPr>
        <w:spacing w:before="0" w:after="120"/>
        <w:ind w:hanging="792"/>
        <w:jc w:val="both"/>
      </w:pPr>
      <w:r w:rsidRPr="00FD59E6">
        <w:lastRenderedPageBreak/>
        <w:t xml:space="preserve">In the </w:t>
      </w:r>
      <w:r w:rsidR="00BE4C35" w:rsidRPr="00FD59E6">
        <w:t xml:space="preserve">March </w:t>
      </w:r>
      <w:r w:rsidR="00BE4C35" w:rsidRPr="00852E65">
        <w:t>2016</w:t>
      </w:r>
      <w:r w:rsidRPr="00852E65">
        <w:t xml:space="preserve"> minor </w:t>
      </w:r>
      <w:r w:rsidR="002E40DC" w:rsidRPr="00852E65">
        <w:t>re</w:t>
      </w:r>
      <w:r w:rsidRPr="00852E65">
        <w:t xml:space="preserve">submission, </w:t>
      </w:r>
      <w:r w:rsidR="005D004E" w:rsidRPr="00852E65">
        <w:t xml:space="preserve">the cost of </w:t>
      </w:r>
      <w:proofErr w:type="spellStart"/>
      <w:r w:rsidR="005D004E" w:rsidRPr="00852E65">
        <w:t>pralatrexate</w:t>
      </w:r>
      <w:proofErr w:type="spellEnd"/>
      <w:r w:rsidR="005D004E" w:rsidRPr="00852E65">
        <w:t xml:space="preserve"> for an average patient using 42 vials is $</w:t>
      </w:r>
      <w:r w:rsidR="000F1D32">
        <w:rPr>
          <w:noProof/>
          <w:color w:val="000000"/>
          <w:highlight w:val="black"/>
        </w:rPr>
        <w:t>''''''''''''</w:t>
      </w:r>
      <w:r w:rsidR="005D004E" w:rsidRPr="00852E65">
        <w:t xml:space="preserve"> ($</w:t>
      </w:r>
      <w:r w:rsidR="000F1D32">
        <w:rPr>
          <w:noProof/>
          <w:color w:val="000000"/>
          <w:highlight w:val="black"/>
        </w:rPr>
        <w:t>''''''''''</w:t>
      </w:r>
      <w:r w:rsidR="005D004E" w:rsidRPr="00852E65">
        <w:t xml:space="preserve"> x 42)</w:t>
      </w:r>
      <w:r w:rsidR="002E40DC" w:rsidRPr="00852E65">
        <w:t>. There was no cost calculated for the comparator.</w:t>
      </w:r>
    </w:p>
    <w:p w:rsidR="00C317F3" w:rsidRPr="00852E65" w:rsidRDefault="00C317F3" w:rsidP="007D5AB9">
      <w:pPr>
        <w:pStyle w:val="Heading2"/>
      </w:pPr>
      <w:bookmarkStart w:id="33" w:name="_Toc413139284"/>
      <w:bookmarkStart w:id="34" w:name="_Toc482715899"/>
      <w:r w:rsidRPr="00852E65">
        <w:t>Estimated PBS usage &amp; financial implications</w:t>
      </w:r>
      <w:bookmarkEnd w:id="33"/>
      <w:bookmarkEnd w:id="34"/>
    </w:p>
    <w:p w:rsidR="00C128A3" w:rsidRPr="00852E65" w:rsidRDefault="00C317F3" w:rsidP="006B2D41">
      <w:pPr>
        <w:pStyle w:val="ListParagraph"/>
        <w:numPr>
          <w:ilvl w:val="1"/>
          <w:numId w:val="14"/>
        </w:numPr>
        <w:spacing w:before="0" w:after="120"/>
        <w:ind w:hanging="792"/>
        <w:jc w:val="both"/>
      </w:pPr>
      <w:r w:rsidRPr="00852E65">
        <w:t xml:space="preserve">This </w:t>
      </w:r>
      <w:r w:rsidR="00470003" w:rsidRPr="00852E65">
        <w:t>re</w:t>
      </w:r>
      <w:r w:rsidRPr="00852E65">
        <w:t xml:space="preserve">submission </w:t>
      </w:r>
      <w:r w:rsidR="00140237">
        <w:t>wa</w:t>
      </w:r>
      <w:r w:rsidRPr="00852E65">
        <w:t xml:space="preserve">s </w:t>
      </w:r>
      <w:r w:rsidR="00C128A3" w:rsidRPr="00852E65">
        <w:t>not</w:t>
      </w:r>
      <w:r w:rsidRPr="00852E65">
        <w:t xml:space="preserve"> considered by DUSC.  </w:t>
      </w:r>
    </w:p>
    <w:p w:rsidR="00C317F3" w:rsidRPr="00852E65" w:rsidRDefault="00565B02" w:rsidP="006B2D41">
      <w:pPr>
        <w:pStyle w:val="ListParagraph"/>
        <w:numPr>
          <w:ilvl w:val="1"/>
          <w:numId w:val="14"/>
        </w:numPr>
        <w:spacing w:before="0" w:after="120"/>
        <w:ind w:hanging="792"/>
        <w:jc w:val="both"/>
      </w:pPr>
      <w:r w:rsidRPr="00852E65">
        <w:t>Th</w:t>
      </w:r>
      <w:r w:rsidR="00D451BB" w:rsidRPr="00852E65">
        <w:t>is</w:t>
      </w:r>
      <w:r w:rsidRPr="00852E65">
        <w:t xml:space="preserve"> resubmission, as per the </w:t>
      </w:r>
      <w:r w:rsidR="00E5605B" w:rsidRPr="00852E65">
        <w:t xml:space="preserve">November 2015 </w:t>
      </w:r>
      <w:r w:rsidRPr="00852E65">
        <w:t xml:space="preserve">submission, used an epidemiological approach to determine the likely number of patients and costs associated with listing </w:t>
      </w:r>
      <w:proofErr w:type="spellStart"/>
      <w:r w:rsidRPr="00852E65">
        <w:t>pralatrexate</w:t>
      </w:r>
      <w:proofErr w:type="spellEnd"/>
      <w:r w:rsidRPr="00852E65">
        <w:t xml:space="preserve"> on the PBS/RPBS. </w:t>
      </w:r>
      <w:r w:rsidR="0019435F" w:rsidRPr="00852E65">
        <w:t xml:space="preserve">The March 2016 minor resubmission did not present full financial forecasts – it included a summary </w:t>
      </w:r>
      <w:r w:rsidR="00F92CAA" w:rsidRPr="00852E65">
        <w:t xml:space="preserve">of costs to the PBS/RPBS </w:t>
      </w:r>
      <w:r w:rsidR="0019435F" w:rsidRPr="00852E65">
        <w:t>that adjusted the number of vials per patient.</w:t>
      </w:r>
    </w:p>
    <w:p w:rsidR="00E5605B" w:rsidRPr="00852E65" w:rsidRDefault="00565B02" w:rsidP="00140237">
      <w:pPr>
        <w:pStyle w:val="ListParagraph"/>
        <w:numPr>
          <w:ilvl w:val="1"/>
          <w:numId w:val="14"/>
        </w:numPr>
        <w:spacing w:before="0" w:after="120"/>
        <w:ind w:hanging="792"/>
        <w:jc w:val="both"/>
      </w:pPr>
      <w:r w:rsidRPr="00852E65">
        <w:t>Th</w:t>
      </w:r>
      <w:r w:rsidR="00D451BB" w:rsidRPr="00852E65">
        <w:t>is</w:t>
      </w:r>
      <w:r w:rsidRPr="00852E65">
        <w:t xml:space="preserve"> resubmission updated the financial estimates</w:t>
      </w:r>
      <w:r w:rsidR="00FA20E8" w:rsidRPr="00852E65">
        <w:t xml:space="preserve">. Individual patient data was used to calculate the average </w:t>
      </w:r>
      <w:r w:rsidR="00195383" w:rsidRPr="00852E65">
        <w:t xml:space="preserve">number of </w:t>
      </w:r>
      <w:proofErr w:type="spellStart"/>
      <w:r w:rsidR="00E5605B" w:rsidRPr="00852E65">
        <w:t>pralatrexate</w:t>
      </w:r>
      <w:proofErr w:type="spellEnd"/>
      <w:r w:rsidR="00E5605B" w:rsidRPr="00852E65">
        <w:t xml:space="preserve"> </w:t>
      </w:r>
      <w:r w:rsidR="00195383" w:rsidRPr="00852E65">
        <w:t xml:space="preserve">vials </w:t>
      </w:r>
      <w:r w:rsidR="00E5605B" w:rsidRPr="00852E65">
        <w:t xml:space="preserve">used </w:t>
      </w:r>
      <w:r w:rsidR="00195383" w:rsidRPr="00852E65">
        <w:t>per patient</w:t>
      </w:r>
      <w:r w:rsidR="0019435F" w:rsidRPr="00852E65">
        <w:t xml:space="preserve"> (40, rather t</w:t>
      </w:r>
      <w:r w:rsidR="002E40DC" w:rsidRPr="00852E65">
        <w:t>han 32.9 in November 2015 and 35.2</w:t>
      </w:r>
      <w:r w:rsidR="0019435F" w:rsidRPr="00852E65">
        <w:t xml:space="preserve"> in March 2016)</w:t>
      </w:r>
      <w:r w:rsidR="00E5605B" w:rsidRPr="00852E65">
        <w:t xml:space="preserve">. </w:t>
      </w:r>
      <w:r w:rsidR="0019435F" w:rsidRPr="00852E65">
        <w:t xml:space="preserve">This was appropriate. </w:t>
      </w:r>
      <w:r w:rsidR="00E5605B" w:rsidRPr="00852E65">
        <w:t>Th</w:t>
      </w:r>
      <w:r w:rsidR="00FA20E8" w:rsidRPr="00852E65">
        <w:t xml:space="preserve">e </w:t>
      </w:r>
      <w:r w:rsidR="00E5605B" w:rsidRPr="00852E65">
        <w:t>weightings</w:t>
      </w:r>
      <w:r w:rsidR="00195383" w:rsidRPr="00852E65">
        <w:t xml:space="preserve"> and </w:t>
      </w:r>
      <w:r w:rsidR="00FA20E8" w:rsidRPr="00852E65">
        <w:t xml:space="preserve">costs of the comparator treatments were updated and costs associated with subsequent stem cell transplants were incorporated.  </w:t>
      </w:r>
    </w:p>
    <w:p w:rsidR="0093221F" w:rsidRPr="00D10723" w:rsidRDefault="00E5605B" w:rsidP="006B2D41">
      <w:pPr>
        <w:pStyle w:val="ListParagraph"/>
        <w:numPr>
          <w:ilvl w:val="1"/>
          <w:numId w:val="14"/>
        </w:numPr>
        <w:spacing w:before="0" w:after="120"/>
        <w:ind w:hanging="792"/>
        <w:jc w:val="both"/>
        <w:rPr>
          <w:i/>
        </w:rPr>
      </w:pPr>
      <w:r w:rsidRPr="00852E65">
        <w:t xml:space="preserve">The rates of stem cell </w:t>
      </w:r>
      <w:r w:rsidRPr="00E53C53">
        <w:t>transplant used in the financial estimates (</w:t>
      </w:r>
      <w:proofErr w:type="spellStart"/>
      <w:r w:rsidRPr="00E53C53">
        <w:t>pralatrexate</w:t>
      </w:r>
      <w:proofErr w:type="spellEnd"/>
      <w:r w:rsidRPr="00E53C53">
        <w:t xml:space="preserve"> = </w:t>
      </w:r>
      <w:r w:rsidR="000F1D32">
        <w:rPr>
          <w:noProof/>
          <w:color w:val="000000"/>
          <w:highlight w:val="black"/>
        </w:rPr>
        <w:t>''''''</w:t>
      </w:r>
      <w:r w:rsidRPr="00E53C53">
        <w:t xml:space="preserve">%; comparator therapy = </w:t>
      </w:r>
      <w:r w:rsidR="000F1D32">
        <w:rPr>
          <w:noProof/>
          <w:color w:val="000000"/>
          <w:highlight w:val="black"/>
        </w:rPr>
        <w:t>'''''</w:t>
      </w:r>
      <w:r w:rsidRPr="00E53C53">
        <w:t>%) were not calculated appropriately and differed to those used in the economic model (</w:t>
      </w:r>
      <w:proofErr w:type="spellStart"/>
      <w:r w:rsidRPr="00E53C53">
        <w:t>pralatrexate</w:t>
      </w:r>
      <w:proofErr w:type="spellEnd"/>
      <w:r w:rsidRPr="00E53C53">
        <w:t xml:space="preserve"> = </w:t>
      </w:r>
      <w:r w:rsidR="000F1D32">
        <w:rPr>
          <w:noProof/>
          <w:color w:val="000000"/>
          <w:highlight w:val="black"/>
        </w:rPr>
        <w:t>'''''''''</w:t>
      </w:r>
      <w:r w:rsidRPr="00E53C53">
        <w:t xml:space="preserve">%; comparator therapy = </w:t>
      </w:r>
      <w:proofErr w:type="gramStart"/>
      <w:r w:rsidR="000F1D32">
        <w:rPr>
          <w:noProof/>
          <w:color w:val="000000"/>
          <w:highlight w:val="black"/>
        </w:rPr>
        <w:t>''''''''</w:t>
      </w:r>
      <w:r w:rsidRPr="00E53C53">
        <w:t>%</w:t>
      </w:r>
      <w:proofErr w:type="gramEnd"/>
      <w:r w:rsidRPr="00E53C53">
        <w:t>). This was inappropriate</w:t>
      </w:r>
      <w:r w:rsidR="00BC3831" w:rsidRPr="00E53C53">
        <w:t xml:space="preserve">, </w:t>
      </w:r>
      <w:r w:rsidRPr="00E53C53">
        <w:t>not explained in the resubmission</w:t>
      </w:r>
      <w:r w:rsidR="00BC3831" w:rsidRPr="00E53C53">
        <w:t xml:space="preserve">, </w:t>
      </w:r>
      <w:r w:rsidR="00E7632B" w:rsidRPr="00E53C53">
        <w:t xml:space="preserve">nor </w:t>
      </w:r>
      <w:r w:rsidR="00BC3831" w:rsidRPr="00E53C53">
        <w:t>tested in</w:t>
      </w:r>
      <w:r w:rsidR="00BC3831" w:rsidRPr="00852E65">
        <w:t xml:space="preserve"> the sensitivity analyses</w:t>
      </w:r>
      <w:r w:rsidRPr="00852E65">
        <w:t>.</w:t>
      </w:r>
      <w:r w:rsidR="00BC3831" w:rsidRPr="00852E65">
        <w:t xml:space="preserve"> </w:t>
      </w:r>
      <w:r w:rsidRPr="00852E65">
        <w:t xml:space="preserve"> </w:t>
      </w:r>
    </w:p>
    <w:p w:rsidR="00512018" w:rsidRDefault="00512018">
      <w:pPr>
        <w:spacing w:before="0" w:line="259" w:lineRule="auto"/>
        <w:rPr>
          <w:rFonts w:ascii="Arial Narrow" w:hAnsi="Arial Narrow"/>
          <w:b/>
          <w:sz w:val="20"/>
        </w:rPr>
      </w:pPr>
      <w:r>
        <w:br w:type="page"/>
      </w:r>
    </w:p>
    <w:p w:rsidR="007152C2" w:rsidRDefault="007152C2" w:rsidP="007152C2">
      <w:pPr>
        <w:pStyle w:val="Caption"/>
      </w:pPr>
      <w:r>
        <w:lastRenderedPageBreak/>
        <w:t xml:space="preserve">Table </w:t>
      </w:r>
      <w:r>
        <w:rPr>
          <w:noProof/>
        </w:rPr>
        <w:t>13</w:t>
      </w:r>
      <w:r w:rsidRPr="00462112">
        <w:t xml:space="preserve">: Estimated use and financial implications of </w:t>
      </w:r>
      <w:proofErr w:type="spellStart"/>
      <w:r w:rsidRPr="00462112">
        <w:t>pralatrexate</w:t>
      </w:r>
      <w:proofErr w:type="spellEnd"/>
      <w:r w:rsidRPr="00462112">
        <w:t xml:space="preserve"> </w:t>
      </w:r>
      <w:r w:rsidRPr="007152C2">
        <w:rPr>
          <w:vertAlign w:val="superscript"/>
        </w:rPr>
        <w:t>a</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4"/>
        <w:gridCol w:w="1165"/>
        <w:gridCol w:w="1165"/>
        <w:gridCol w:w="1165"/>
        <w:gridCol w:w="1165"/>
        <w:gridCol w:w="1165"/>
        <w:gridCol w:w="1165"/>
      </w:tblGrid>
      <w:tr w:rsidR="00E37424" w:rsidRPr="00852E65" w:rsidTr="00E3310B">
        <w:trPr>
          <w:tblHeader/>
        </w:trPr>
        <w:tc>
          <w:tcPr>
            <w:tcW w:w="1118" w:type="pct"/>
            <w:shd w:val="clear" w:color="auto" w:fill="auto"/>
            <w:vAlign w:val="center"/>
          </w:tcPr>
          <w:p w:rsidR="00E37424" w:rsidRPr="00852E65" w:rsidRDefault="00E37424" w:rsidP="007D5AB9">
            <w:pPr>
              <w:pStyle w:val="TableText"/>
            </w:pPr>
          </w:p>
        </w:tc>
        <w:tc>
          <w:tcPr>
            <w:tcW w:w="647" w:type="pct"/>
            <w:shd w:val="clear" w:color="auto" w:fill="auto"/>
            <w:vAlign w:val="center"/>
          </w:tcPr>
          <w:p w:rsidR="00E37424" w:rsidRPr="00852E65" w:rsidRDefault="00E37424" w:rsidP="007D5AB9">
            <w:pPr>
              <w:pStyle w:val="TableText"/>
              <w:rPr>
                <w:b/>
              </w:rPr>
            </w:pPr>
            <w:r w:rsidRPr="00852E65">
              <w:rPr>
                <w:b/>
              </w:rPr>
              <w:t>Year 1</w:t>
            </w:r>
          </w:p>
        </w:tc>
        <w:tc>
          <w:tcPr>
            <w:tcW w:w="647" w:type="pct"/>
            <w:shd w:val="clear" w:color="auto" w:fill="auto"/>
            <w:vAlign w:val="center"/>
          </w:tcPr>
          <w:p w:rsidR="00E37424" w:rsidRPr="00852E65" w:rsidRDefault="00E37424" w:rsidP="007D5AB9">
            <w:pPr>
              <w:pStyle w:val="TableText"/>
              <w:rPr>
                <w:b/>
              </w:rPr>
            </w:pPr>
            <w:r w:rsidRPr="00852E65">
              <w:rPr>
                <w:b/>
              </w:rPr>
              <w:t>Year 2</w:t>
            </w:r>
          </w:p>
        </w:tc>
        <w:tc>
          <w:tcPr>
            <w:tcW w:w="647" w:type="pct"/>
            <w:shd w:val="clear" w:color="auto" w:fill="auto"/>
            <w:vAlign w:val="center"/>
          </w:tcPr>
          <w:p w:rsidR="00E37424" w:rsidRPr="00852E65" w:rsidRDefault="00E37424" w:rsidP="007D5AB9">
            <w:pPr>
              <w:pStyle w:val="TableText"/>
              <w:rPr>
                <w:b/>
              </w:rPr>
            </w:pPr>
            <w:r w:rsidRPr="00852E65">
              <w:rPr>
                <w:b/>
              </w:rPr>
              <w:t>Year 3</w:t>
            </w:r>
          </w:p>
        </w:tc>
        <w:tc>
          <w:tcPr>
            <w:tcW w:w="647" w:type="pct"/>
            <w:shd w:val="clear" w:color="auto" w:fill="auto"/>
            <w:vAlign w:val="center"/>
          </w:tcPr>
          <w:p w:rsidR="00E37424" w:rsidRPr="00852E65" w:rsidRDefault="00E37424" w:rsidP="007D5AB9">
            <w:pPr>
              <w:pStyle w:val="TableText"/>
              <w:rPr>
                <w:b/>
              </w:rPr>
            </w:pPr>
            <w:r w:rsidRPr="00852E65">
              <w:rPr>
                <w:b/>
              </w:rPr>
              <w:t>Year 4</w:t>
            </w:r>
          </w:p>
        </w:tc>
        <w:tc>
          <w:tcPr>
            <w:tcW w:w="647" w:type="pct"/>
            <w:shd w:val="clear" w:color="auto" w:fill="auto"/>
            <w:vAlign w:val="center"/>
          </w:tcPr>
          <w:p w:rsidR="00E37424" w:rsidRPr="00852E65" w:rsidRDefault="00E37424" w:rsidP="007D5AB9">
            <w:pPr>
              <w:pStyle w:val="TableText"/>
              <w:rPr>
                <w:b/>
              </w:rPr>
            </w:pPr>
            <w:r w:rsidRPr="00852E65">
              <w:rPr>
                <w:b/>
              </w:rPr>
              <w:t>Year 5</w:t>
            </w:r>
          </w:p>
        </w:tc>
        <w:tc>
          <w:tcPr>
            <w:tcW w:w="647" w:type="pct"/>
          </w:tcPr>
          <w:p w:rsidR="00E37424" w:rsidRPr="00852E65" w:rsidRDefault="00E37424" w:rsidP="007D5AB9">
            <w:pPr>
              <w:pStyle w:val="TableText"/>
              <w:rPr>
                <w:b/>
              </w:rPr>
            </w:pPr>
            <w:r w:rsidRPr="00852E65">
              <w:rPr>
                <w:b/>
              </w:rPr>
              <w:t>Year 6</w:t>
            </w:r>
          </w:p>
        </w:tc>
      </w:tr>
      <w:tr w:rsidR="00E37424" w:rsidRPr="00852E65" w:rsidTr="00E37424">
        <w:tc>
          <w:tcPr>
            <w:tcW w:w="5000" w:type="pct"/>
            <w:gridSpan w:val="7"/>
            <w:shd w:val="clear" w:color="auto" w:fill="auto"/>
            <w:vAlign w:val="center"/>
          </w:tcPr>
          <w:p w:rsidR="00E37424" w:rsidRPr="00852E65" w:rsidRDefault="00E37424" w:rsidP="007D5AB9">
            <w:pPr>
              <w:pStyle w:val="TableText"/>
              <w:rPr>
                <w:b/>
                <w:bCs/>
                <w:color w:val="000000"/>
              </w:rPr>
            </w:pPr>
            <w:r w:rsidRPr="00852E65">
              <w:rPr>
                <w:b/>
                <w:bCs/>
                <w:color w:val="000000"/>
              </w:rPr>
              <w:t>Estimated extent of use</w:t>
            </w:r>
          </w:p>
        </w:tc>
      </w:tr>
      <w:tr w:rsidR="00E37424" w:rsidRPr="00852E65" w:rsidTr="003B239B">
        <w:tc>
          <w:tcPr>
            <w:tcW w:w="1118" w:type="pct"/>
            <w:shd w:val="clear" w:color="auto" w:fill="auto"/>
            <w:vAlign w:val="center"/>
          </w:tcPr>
          <w:p w:rsidR="00E37424" w:rsidRPr="00852E65" w:rsidRDefault="00E37424" w:rsidP="007D5AB9">
            <w:pPr>
              <w:pStyle w:val="TableText"/>
              <w:rPr>
                <w:rFonts w:ascii="Times" w:eastAsia="Times New Roman" w:hAnsi="Times" w:cs="Times New Roman"/>
              </w:rPr>
            </w:pPr>
            <w:r w:rsidRPr="00852E65">
              <w:t>Number of patients treated</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vAlign w:val="center"/>
          </w:tcPr>
          <w:p w:rsidR="00E37424" w:rsidRPr="000F1D32" w:rsidRDefault="000F1D32" w:rsidP="007D5AB9">
            <w:pPr>
              <w:pStyle w:val="TableText"/>
              <w:rPr>
                <w:bCs/>
                <w:color w:val="000000"/>
                <w:highlight w:val="black"/>
              </w:rPr>
            </w:pPr>
            <w:r>
              <w:rPr>
                <w:bCs/>
                <w:noProof/>
                <w:color w:val="000000"/>
                <w:highlight w:val="black"/>
              </w:rPr>
              <w:t>''''''''''</w:t>
            </w:r>
          </w:p>
        </w:tc>
      </w:tr>
      <w:tr w:rsidR="0019435F" w:rsidRPr="00852E65" w:rsidTr="003B239B">
        <w:tc>
          <w:tcPr>
            <w:tcW w:w="1118" w:type="pct"/>
            <w:shd w:val="clear" w:color="auto" w:fill="auto"/>
            <w:vAlign w:val="center"/>
          </w:tcPr>
          <w:p w:rsidR="0019435F" w:rsidRPr="00852E65" w:rsidRDefault="0019435F" w:rsidP="007D5AB9">
            <w:pPr>
              <w:pStyle w:val="TableText"/>
            </w:pPr>
            <w:r w:rsidRPr="00852E65">
              <w:t xml:space="preserve">  Nov 2015</w:t>
            </w:r>
            <w:r w:rsidR="00FF78B9" w:rsidRPr="00852E65">
              <w:t>/Mar 2016</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vAlign w:val="center"/>
          </w:tcPr>
          <w:p w:rsidR="0019435F" w:rsidRPr="000F1D32" w:rsidRDefault="000F1D32" w:rsidP="007D5AB9">
            <w:pPr>
              <w:pStyle w:val="TableText"/>
              <w:rPr>
                <w:bCs/>
                <w:color w:val="000000"/>
                <w:highlight w:val="black"/>
              </w:rPr>
            </w:pPr>
            <w:r>
              <w:rPr>
                <w:bCs/>
                <w:noProof/>
                <w:color w:val="000000"/>
                <w:highlight w:val="black"/>
              </w:rPr>
              <w:t>''</w:t>
            </w:r>
          </w:p>
        </w:tc>
      </w:tr>
      <w:tr w:rsidR="00E37424" w:rsidRPr="00852E65" w:rsidTr="00E3310B">
        <w:tc>
          <w:tcPr>
            <w:tcW w:w="1118" w:type="pct"/>
            <w:shd w:val="clear" w:color="auto" w:fill="auto"/>
            <w:vAlign w:val="center"/>
          </w:tcPr>
          <w:p w:rsidR="00E37424" w:rsidRPr="00852E65" w:rsidRDefault="00E37424" w:rsidP="007D5AB9">
            <w:pPr>
              <w:pStyle w:val="TableText"/>
              <w:rPr>
                <w:rFonts w:ascii="Times" w:eastAsia="Times New Roman" w:hAnsi="Times" w:cs="Times New Roman"/>
              </w:rPr>
            </w:pPr>
            <w:r w:rsidRPr="00852E65">
              <w:t xml:space="preserve">Number of </w:t>
            </w:r>
            <w:r w:rsidR="00E3310B" w:rsidRPr="00852E65">
              <w:t>prescriptions</w:t>
            </w:r>
            <w:r w:rsidR="002E214E" w:rsidRPr="00852E65">
              <w:t xml:space="preserve"> </w:t>
            </w:r>
            <w:r w:rsidR="00D738DB" w:rsidRPr="00852E65">
              <w:rPr>
                <w:vertAlign w:val="superscript"/>
              </w:rPr>
              <w:t>b</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E37424" w:rsidRPr="000F1D32" w:rsidRDefault="000F1D32" w:rsidP="007D5AB9">
            <w:pPr>
              <w:pStyle w:val="TableText"/>
              <w:rPr>
                <w:bCs/>
                <w:color w:val="000000"/>
                <w:highlight w:val="black"/>
              </w:rPr>
            </w:pPr>
            <w:r>
              <w:rPr>
                <w:bCs/>
                <w:noProof/>
                <w:color w:val="000000"/>
                <w:highlight w:val="black"/>
              </w:rPr>
              <w:t>'''''''''''''</w:t>
            </w:r>
          </w:p>
        </w:tc>
        <w:tc>
          <w:tcPr>
            <w:tcW w:w="647" w:type="pct"/>
          </w:tcPr>
          <w:p w:rsidR="00E37424" w:rsidRPr="000F1D32" w:rsidRDefault="000F1D32" w:rsidP="007D5AB9">
            <w:pPr>
              <w:pStyle w:val="TableText"/>
              <w:rPr>
                <w:bCs/>
                <w:color w:val="000000"/>
                <w:highlight w:val="black"/>
              </w:rPr>
            </w:pPr>
            <w:r>
              <w:rPr>
                <w:bCs/>
                <w:noProof/>
                <w:color w:val="000000"/>
                <w:highlight w:val="black"/>
              </w:rPr>
              <w:t>''''''''''''</w:t>
            </w:r>
          </w:p>
        </w:tc>
      </w:tr>
      <w:tr w:rsidR="0019435F" w:rsidRPr="00852E65" w:rsidTr="00E3310B">
        <w:tc>
          <w:tcPr>
            <w:tcW w:w="1118" w:type="pct"/>
            <w:shd w:val="clear" w:color="auto" w:fill="auto"/>
            <w:vAlign w:val="center"/>
          </w:tcPr>
          <w:p w:rsidR="0019435F" w:rsidRPr="00852E65" w:rsidRDefault="0019435F" w:rsidP="007D5AB9">
            <w:pPr>
              <w:pStyle w:val="TableText"/>
            </w:pPr>
            <w:r w:rsidRPr="00852E65">
              <w:t xml:space="preserve">  Nov 2015</w:t>
            </w:r>
            <w:r w:rsidR="00FF78B9" w:rsidRPr="00852E65">
              <w:t>/Mar 2016</w:t>
            </w:r>
            <w:r w:rsidRPr="00852E65">
              <w:t xml:space="preserve"> </w:t>
            </w:r>
            <w:r w:rsidR="00D738DB" w:rsidRPr="00852E65">
              <w:rPr>
                <w:vertAlign w:val="superscript"/>
              </w:rPr>
              <w:t>c</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shd w:val="clear" w:color="auto" w:fill="auto"/>
            <w:vAlign w:val="center"/>
          </w:tcPr>
          <w:p w:rsidR="0019435F" w:rsidRPr="000F1D32" w:rsidRDefault="000F1D32" w:rsidP="007D5AB9">
            <w:pPr>
              <w:pStyle w:val="TableText"/>
              <w:rPr>
                <w:bCs/>
                <w:color w:val="000000"/>
                <w:highlight w:val="black"/>
              </w:rPr>
            </w:pPr>
            <w:r>
              <w:rPr>
                <w:bCs/>
                <w:noProof/>
                <w:color w:val="000000"/>
                <w:highlight w:val="black"/>
              </w:rPr>
              <w:t>''''''''''''''</w:t>
            </w:r>
          </w:p>
        </w:tc>
        <w:tc>
          <w:tcPr>
            <w:tcW w:w="647" w:type="pct"/>
          </w:tcPr>
          <w:p w:rsidR="0019435F" w:rsidRPr="000F1D32" w:rsidRDefault="000F1D32" w:rsidP="007D5AB9">
            <w:pPr>
              <w:pStyle w:val="TableText"/>
              <w:rPr>
                <w:bCs/>
                <w:color w:val="000000"/>
                <w:highlight w:val="black"/>
              </w:rPr>
            </w:pPr>
            <w:r>
              <w:rPr>
                <w:bCs/>
                <w:noProof/>
                <w:color w:val="000000"/>
                <w:highlight w:val="black"/>
              </w:rPr>
              <w:t>''</w:t>
            </w:r>
          </w:p>
        </w:tc>
      </w:tr>
      <w:tr w:rsidR="00E37424" w:rsidRPr="00852E65" w:rsidTr="00E37424">
        <w:tc>
          <w:tcPr>
            <w:tcW w:w="5000" w:type="pct"/>
            <w:gridSpan w:val="7"/>
            <w:shd w:val="clear" w:color="auto" w:fill="auto"/>
            <w:vAlign w:val="center"/>
          </w:tcPr>
          <w:p w:rsidR="00E37424" w:rsidRPr="00852E65" w:rsidRDefault="00E37424" w:rsidP="007D5AB9">
            <w:pPr>
              <w:pStyle w:val="TableText"/>
              <w:rPr>
                <w:b/>
                <w:bCs/>
                <w:color w:val="000000"/>
              </w:rPr>
            </w:pPr>
            <w:r w:rsidRPr="00852E65">
              <w:rPr>
                <w:b/>
                <w:bCs/>
                <w:color w:val="000000"/>
              </w:rPr>
              <w:t xml:space="preserve">Estimated </w:t>
            </w:r>
            <w:r w:rsidR="00607758" w:rsidRPr="00852E65">
              <w:rPr>
                <w:b/>
                <w:bCs/>
                <w:color w:val="000000"/>
              </w:rPr>
              <w:t xml:space="preserve">financial implications of </w:t>
            </w:r>
            <w:proofErr w:type="spellStart"/>
            <w:r w:rsidR="00FA20E8" w:rsidRPr="00852E65">
              <w:rPr>
                <w:b/>
                <w:bCs/>
                <w:color w:val="000000"/>
              </w:rPr>
              <w:t>pralatrexate</w:t>
            </w:r>
            <w:proofErr w:type="spellEnd"/>
          </w:p>
        </w:tc>
      </w:tr>
      <w:tr w:rsidR="00FA20E8" w:rsidRPr="00852E65" w:rsidTr="00E3310B">
        <w:tc>
          <w:tcPr>
            <w:tcW w:w="1118" w:type="pct"/>
            <w:shd w:val="clear" w:color="auto" w:fill="auto"/>
            <w:vAlign w:val="center"/>
          </w:tcPr>
          <w:p w:rsidR="00FA20E8" w:rsidRPr="00852E65" w:rsidRDefault="00FA20E8" w:rsidP="007D5AB9">
            <w:pPr>
              <w:pStyle w:val="TableText"/>
              <w:rPr>
                <w:rFonts w:ascii="Times" w:eastAsia="Times New Roman" w:hAnsi="Times" w:cs="Times New Roman"/>
              </w:rPr>
            </w:pPr>
            <w:r w:rsidRPr="00852E65">
              <w:rPr>
                <w:sz w:val="19"/>
                <w:szCs w:val="19"/>
              </w:rPr>
              <w:t>Cost to PBS/RPBS</w:t>
            </w:r>
          </w:p>
        </w:tc>
        <w:tc>
          <w:tcPr>
            <w:tcW w:w="647" w:type="pct"/>
            <w:shd w:val="clear" w:color="auto" w:fill="auto"/>
            <w:vAlign w:val="center"/>
          </w:tcPr>
          <w:p w:rsidR="00FA20E8" w:rsidRPr="00852E65" w:rsidRDefault="00FA20E8" w:rsidP="007D5AB9">
            <w:pPr>
              <w:pStyle w:val="TableText"/>
              <w:rPr>
                <w:bCs/>
                <w:color w:val="000000"/>
              </w:rPr>
            </w:pPr>
            <w:r w:rsidRPr="00852E65">
              <w:rPr>
                <w:szCs w:val="20"/>
              </w:rPr>
              <w:t>$</w:t>
            </w:r>
            <w:r w:rsidR="000F1D32">
              <w:rPr>
                <w:noProof/>
                <w:color w:val="000000"/>
                <w:szCs w:val="2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rPr>
                <w:szCs w:val="20"/>
              </w:rPr>
              <w:t>$</w:t>
            </w:r>
            <w:r w:rsidR="000F1D32">
              <w:rPr>
                <w:noProof/>
                <w:color w:val="000000"/>
                <w:szCs w:val="2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rPr>
                <w:szCs w:val="20"/>
              </w:rPr>
              <w:t>$</w:t>
            </w:r>
            <w:r w:rsidR="000F1D32">
              <w:rPr>
                <w:noProof/>
                <w:color w:val="000000"/>
                <w:szCs w:val="2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rPr>
                <w:szCs w:val="20"/>
              </w:rPr>
              <w:t>$</w:t>
            </w:r>
            <w:r w:rsidR="000F1D32">
              <w:rPr>
                <w:noProof/>
                <w:color w:val="000000"/>
                <w:szCs w:val="2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rPr>
                <w:szCs w:val="20"/>
              </w:rPr>
              <w:t>$</w:t>
            </w:r>
            <w:r w:rsidR="000F1D32">
              <w:rPr>
                <w:noProof/>
                <w:color w:val="000000"/>
                <w:szCs w:val="20"/>
                <w:highlight w:val="black"/>
              </w:rPr>
              <w:t>'''''''''''''''''''''''''''''</w:t>
            </w:r>
          </w:p>
        </w:tc>
        <w:tc>
          <w:tcPr>
            <w:tcW w:w="647" w:type="pct"/>
            <w:vAlign w:val="center"/>
          </w:tcPr>
          <w:p w:rsidR="00FA20E8" w:rsidRPr="00852E65" w:rsidRDefault="00FA20E8" w:rsidP="007D5AB9">
            <w:pPr>
              <w:pStyle w:val="TableText"/>
              <w:rPr>
                <w:bCs/>
                <w:color w:val="000000"/>
              </w:rPr>
            </w:pPr>
            <w:r w:rsidRPr="00852E65">
              <w:rPr>
                <w:szCs w:val="20"/>
              </w:rPr>
              <w:t>$</w:t>
            </w:r>
            <w:r w:rsidR="000F1D32">
              <w:rPr>
                <w:noProof/>
                <w:color w:val="000000"/>
                <w:szCs w:val="20"/>
                <w:highlight w:val="black"/>
              </w:rPr>
              <w:t>''''''''''''''''''''''''</w:t>
            </w:r>
          </w:p>
        </w:tc>
      </w:tr>
      <w:tr w:rsidR="00FA20E8" w:rsidRPr="00852E65" w:rsidTr="00E3310B">
        <w:tc>
          <w:tcPr>
            <w:tcW w:w="1118" w:type="pct"/>
            <w:shd w:val="clear" w:color="auto" w:fill="auto"/>
            <w:vAlign w:val="center"/>
          </w:tcPr>
          <w:p w:rsidR="00FA20E8" w:rsidRPr="00852E65" w:rsidRDefault="005C26CE" w:rsidP="007D5AB9">
            <w:pPr>
              <w:pStyle w:val="TableText"/>
              <w:rPr>
                <w:sz w:val="19"/>
                <w:szCs w:val="19"/>
              </w:rPr>
            </w:pPr>
            <w:r w:rsidRPr="00852E65">
              <w:rPr>
                <w:sz w:val="19"/>
                <w:szCs w:val="19"/>
              </w:rPr>
              <w:t>Co-payments</w:t>
            </w:r>
          </w:p>
        </w:tc>
        <w:tc>
          <w:tcPr>
            <w:tcW w:w="647" w:type="pct"/>
            <w:shd w:val="clear" w:color="auto" w:fill="auto"/>
            <w:vAlign w:val="center"/>
          </w:tcPr>
          <w:p w:rsidR="00FA20E8" w:rsidRPr="00852E65" w:rsidRDefault="00FA20E8" w:rsidP="007D5AB9">
            <w:pPr>
              <w:pStyle w:val="TableText"/>
              <w:rPr>
                <w:bCs/>
                <w:color w:val="000000"/>
              </w:rPr>
            </w:pPr>
            <w:r w:rsidRPr="00852E65">
              <w:t xml:space="preserve"> $</w:t>
            </w:r>
            <w:r w:rsidR="000F1D32">
              <w:rPr>
                <w:noProof/>
                <w:color w:val="000000"/>
                <w:highlight w:val="black"/>
              </w:rPr>
              <w:t>''''''''''''''''</w:t>
            </w:r>
            <w:r w:rsidRPr="00852E65">
              <w:t xml:space="preserve"> </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r w:rsidRPr="00852E65">
              <w:t xml:space="preserve"> </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r w:rsidRPr="00852E65">
              <w:t xml:space="preserve"> </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r w:rsidRPr="00852E65">
              <w:t xml:space="preserve"> </w:t>
            </w:r>
          </w:p>
        </w:tc>
        <w:tc>
          <w:tcPr>
            <w:tcW w:w="647" w:type="pct"/>
            <w:vAlign w:val="center"/>
          </w:tcPr>
          <w:p w:rsidR="00FA20E8" w:rsidRPr="00852E65" w:rsidRDefault="00FA20E8" w:rsidP="007D5AB9">
            <w:pPr>
              <w:pStyle w:val="TableText"/>
              <w:rPr>
                <w:bCs/>
                <w:color w:val="000000"/>
              </w:rPr>
            </w:pPr>
            <w:r w:rsidRPr="00852E65">
              <w:t>$</w:t>
            </w:r>
            <w:r w:rsidR="000F1D32">
              <w:rPr>
                <w:noProof/>
                <w:color w:val="000000"/>
                <w:highlight w:val="black"/>
              </w:rPr>
              <w:t>''''''''''''''''</w:t>
            </w:r>
            <w:r w:rsidRPr="00852E65">
              <w:t xml:space="preserve"> </w:t>
            </w:r>
          </w:p>
        </w:tc>
      </w:tr>
      <w:tr w:rsidR="00FA20E8" w:rsidRPr="00852E65" w:rsidTr="00E3310B">
        <w:tc>
          <w:tcPr>
            <w:tcW w:w="1118" w:type="pct"/>
            <w:shd w:val="clear" w:color="auto" w:fill="auto"/>
            <w:vAlign w:val="center"/>
          </w:tcPr>
          <w:p w:rsidR="00FA20E8" w:rsidRPr="00852E65" w:rsidRDefault="00E3310B" w:rsidP="007D5AB9">
            <w:pPr>
              <w:pStyle w:val="TableText"/>
              <w:rPr>
                <w:sz w:val="19"/>
                <w:szCs w:val="19"/>
              </w:rPr>
            </w:pPr>
            <w:r w:rsidRPr="00852E65">
              <w:rPr>
                <w:sz w:val="19"/>
                <w:szCs w:val="19"/>
              </w:rPr>
              <w:t>Total c</w:t>
            </w:r>
            <w:r w:rsidR="00FA20E8" w:rsidRPr="00852E65">
              <w:rPr>
                <w:sz w:val="19"/>
                <w:szCs w:val="19"/>
              </w:rPr>
              <w:t xml:space="preserve">ost to PBS/RPBS </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c>
          <w:tcPr>
            <w:tcW w:w="647" w:type="pct"/>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r>
      <w:tr w:rsidR="00607758" w:rsidRPr="00852E65" w:rsidTr="00607758">
        <w:tc>
          <w:tcPr>
            <w:tcW w:w="5000" w:type="pct"/>
            <w:gridSpan w:val="7"/>
            <w:shd w:val="clear" w:color="auto" w:fill="auto"/>
            <w:vAlign w:val="center"/>
          </w:tcPr>
          <w:p w:rsidR="00607758" w:rsidRPr="00852E65" w:rsidRDefault="00607758" w:rsidP="007D5AB9">
            <w:pPr>
              <w:pStyle w:val="TableText"/>
              <w:rPr>
                <w:bCs/>
                <w:color w:val="000000"/>
              </w:rPr>
            </w:pPr>
            <w:r w:rsidRPr="00852E65">
              <w:rPr>
                <w:b/>
                <w:bCs/>
                <w:color w:val="000000"/>
              </w:rPr>
              <w:t xml:space="preserve">Estimated financial implications for </w:t>
            </w:r>
            <w:r w:rsidR="00FA20E8" w:rsidRPr="00852E65">
              <w:rPr>
                <w:b/>
                <w:bCs/>
                <w:color w:val="000000"/>
              </w:rPr>
              <w:t>concomitant and replace therapies</w:t>
            </w:r>
          </w:p>
        </w:tc>
      </w:tr>
      <w:tr w:rsidR="00FA20E8" w:rsidRPr="00852E65" w:rsidTr="00E3310B">
        <w:tc>
          <w:tcPr>
            <w:tcW w:w="1118" w:type="pct"/>
            <w:shd w:val="clear" w:color="auto" w:fill="auto"/>
            <w:vAlign w:val="center"/>
          </w:tcPr>
          <w:p w:rsidR="00FA20E8" w:rsidRPr="00852E65" w:rsidRDefault="00FA20E8" w:rsidP="007D5AB9">
            <w:pPr>
              <w:pStyle w:val="TableText"/>
              <w:rPr>
                <w:sz w:val="19"/>
                <w:szCs w:val="19"/>
              </w:rPr>
            </w:pPr>
            <w:r w:rsidRPr="00852E65">
              <w:rPr>
                <w:sz w:val="19"/>
                <w:szCs w:val="19"/>
              </w:rPr>
              <w:t>Cost of concomitant therapies to the PBS/RPBS</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D0289E"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D0289E"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D0289E" w:rsidP="007D5AB9">
            <w:pPr>
              <w:pStyle w:val="TableText"/>
              <w:rPr>
                <w:bCs/>
                <w:color w:val="000000"/>
              </w:rPr>
            </w:pPr>
            <w:r w:rsidRPr="00852E65">
              <w:t>$</w:t>
            </w:r>
            <w:r w:rsidR="000F1D32">
              <w:rPr>
                <w:noProof/>
                <w:color w:val="000000"/>
                <w:highlight w:val="black"/>
              </w:rPr>
              <w:t>''''''''''''''''</w:t>
            </w:r>
          </w:p>
        </w:tc>
        <w:tc>
          <w:tcPr>
            <w:tcW w:w="647" w:type="pct"/>
            <w:vAlign w:val="center"/>
          </w:tcPr>
          <w:p w:rsidR="00FA20E8" w:rsidRPr="00852E65" w:rsidRDefault="00D0289E" w:rsidP="007D5AB9">
            <w:pPr>
              <w:pStyle w:val="TableText"/>
              <w:rPr>
                <w:bCs/>
                <w:color w:val="000000"/>
              </w:rPr>
            </w:pPr>
            <w:r w:rsidRPr="00852E65">
              <w:t>$</w:t>
            </w:r>
            <w:r w:rsidR="000F1D32">
              <w:rPr>
                <w:noProof/>
                <w:color w:val="000000"/>
                <w:highlight w:val="black"/>
              </w:rPr>
              <w:t>'''''''''''''''''''''</w:t>
            </w:r>
          </w:p>
        </w:tc>
      </w:tr>
      <w:tr w:rsidR="00FA20E8" w:rsidRPr="00852E65" w:rsidTr="00E3310B">
        <w:tc>
          <w:tcPr>
            <w:tcW w:w="1118" w:type="pct"/>
            <w:shd w:val="clear" w:color="auto" w:fill="auto"/>
            <w:vAlign w:val="center"/>
          </w:tcPr>
          <w:p w:rsidR="00FA20E8" w:rsidRPr="00852E65" w:rsidRDefault="00FA20E8" w:rsidP="007D5AB9">
            <w:pPr>
              <w:pStyle w:val="TableText"/>
              <w:rPr>
                <w:sz w:val="19"/>
                <w:szCs w:val="19"/>
              </w:rPr>
            </w:pPr>
            <w:r w:rsidRPr="00852E65">
              <w:rPr>
                <w:sz w:val="19"/>
                <w:szCs w:val="19"/>
              </w:rPr>
              <w:t>Cost of replaced therapies to the PBS/RPBS</w:t>
            </w:r>
          </w:p>
        </w:tc>
        <w:tc>
          <w:tcPr>
            <w:tcW w:w="647" w:type="pct"/>
            <w:shd w:val="clear" w:color="auto" w:fill="auto"/>
            <w:vAlign w:val="center"/>
          </w:tcPr>
          <w:p w:rsidR="00FA20E8" w:rsidRPr="00852E65" w:rsidRDefault="00D0289E" w:rsidP="007D5AB9">
            <w:pPr>
              <w:pStyle w:val="TableText"/>
              <w:rPr>
                <w:bCs/>
                <w:color w:val="000000"/>
              </w:rPr>
            </w:pPr>
            <w:r w:rsidRPr="00852E65">
              <w:rPr>
                <w:color w:val="000000"/>
                <w:szCs w:val="20"/>
              </w:rPr>
              <w:t>$</w:t>
            </w:r>
            <w:r w:rsidR="000F1D32">
              <w:rPr>
                <w:noProof/>
                <w:color w:val="000000"/>
                <w:szCs w:val="2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rPr>
                <w:color w:val="000000"/>
                <w:szCs w:val="20"/>
              </w:rPr>
              <w:t>$</w:t>
            </w:r>
            <w:r w:rsidR="000F1D32">
              <w:rPr>
                <w:noProof/>
                <w:color w:val="000000"/>
                <w:szCs w:val="20"/>
                <w:highlight w:val="black"/>
              </w:rPr>
              <w:t>''''''''''''''''''''''''''</w:t>
            </w:r>
          </w:p>
        </w:tc>
        <w:tc>
          <w:tcPr>
            <w:tcW w:w="647" w:type="pct"/>
            <w:shd w:val="clear" w:color="auto" w:fill="auto"/>
            <w:vAlign w:val="center"/>
          </w:tcPr>
          <w:p w:rsidR="00FA20E8" w:rsidRPr="00852E65" w:rsidRDefault="00D0289E" w:rsidP="007D5AB9">
            <w:pPr>
              <w:pStyle w:val="TableText"/>
              <w:rPr>
                <w:bCs/>
                <w:color w:val="000000"/>
              </w:rPr>
            </w:pPr>
            <w:r w:rsidRPr="00852E65">
              <w:rPr>
                <w:color w:val="000000"/>
                <w:szCs w:val="20"/>
              </w:rPr>
              <w:t>$</w:t>
            </w:r>
            <w:r w:rsidR="000F1D32">
              <w:rPr>
                <w:noProof/>
                <w:color w:val="000000"/>
                <w:szCs w:val="2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rPr>
                <w:color w:val="000000"/>
                <w:szCs w:val="20"/>
              </w:rPr>
              <w:t>$</w:t>
            </w:r>
            <w:r w:rsidR="000F1D32">
              <w:rPr>
                <w:noProof/>
                <w:color w:val="000000"/>
                <w:szCs w:val="20"/>
                <w:highlight w:val="black"/>
              </w:rPr>
              <w:t>''''''''''''''''''''''''''''</w:t>
            </w:r>
          </w:p>
        </w:tc>
        <w:tc>
          <w:tcPr>
            <w:tcW w:w="647" w:type="pct"/>
            <w:shd w:val="clear" w:color="auto" w:fill="auto"/>
            <w:vAlign w:val="center"/>
          </w:tcPr>
          <w:p w:rsidR="00FA20E8" w:rsidRPr="00852E65" w:rsidRDefault="00FA20E8" w:rsidP="007D5AB9">
            <w:pPr>
              <w:pStyle w:val="TableText"/>
              <w:rPr>
                <w:bCs/>
                <w:color w:val="000000"/>
              </w:rPr>
            </w:pPr>
            <w:r w:rsidRPr="00852E65">
              <w:rPr>
                <w:color w:val="000000"/>
                <w:szCs w:val="20"/>
              </w:rPr>
              <w:t>$</w:t>
            </w:r>
            <w:r w:rsidR="000F1D32">
              <w:rPr>
                <w:noProof/>
                <w:color w:val="000000"/>
                <w:szCs w:val="20"/>
                <w:highlight w:val="black"/>
              </w:rPr>
              <w:t>'''''''''''''''''''''''''''</w:t>
            </w:r>
          </w:p>
        </w:tc>
        <w:tc>
          <w:tcPr>
            <w:tcW w:w="647" w:type="pct"/>
            <w:vAlign w:val="center"/>
          </w:tcPr>
          <w:p w:rsidR="00FA20E8" w:rsidRPr="00852E65" w:rsidRDefault="00FA20E8" w:rsidP="007D5AB9">
            <w:pPr>
              <w:pStyle w:val="TableText"/>
              <w:rPr>
                <w:bCs/>
                <w:color w:val="000000"/>
              </w:rPr>
            </w:pPr>
            <w:r w:rsidRPr="00852E65">
              <w:rPr>
                <w:color w:val="000000"/>
                <w:szCs w:val="20"/>
              </w:rPr>
              <w:t>$</w:t>
            </w:r>
            <w:r w:rsidR="000F1D32">
              <w:rPr>
                <w:noProof/>
                <w:color w:val="000000"/>
                <w:szCs w:val="20"/>
                <w:highlight w:val="black"/>
              </w:rPr>
              <w:t>''''''''''''''''''''''''''''</w:t>
            </w:r>
          </w:p>
        </w:tc>
      </w:tr>
      <w:tr w:rsidR="00FA20E8" w:rsidRPr="00852E65" w:rsidTr="00E3310B">
        <w:tc>
          <w:tcPr>
            <w:tcW w:w="1118" w:type="pct"/>
            <w:shd w:val="clear" w:color="auto" w:fill="auto"/>
            <w:vAlign w:val="center"/>
          </w:tcPr>
          <w:p w:rsidR="00FA20E8" w:rsidRPr="00852E65" w:rsidRDefault="00FA20E8" w:rsidP="007D5AB9">
            <w:pPr>
              <w:pStyle w:val="TableText"/>
              <w:rPr>
                <w:b/>
                <w:sz w:val="19"/>
                <w:szCs w:val="19"/>
              </w:rPr>
            </w:pPr>
            <w:r w:rsidRPr="00852E65">
              <w:rPr>
                <w:b/>
                <w:sz w:val="19"/>
                <w:szCs w:val="19"/>
              </w:rPr>
              <w:t>Net cost to the PBS/RPBS</w:t>
            </w:r>
          </w:p>
        </w:tc>
        <w:tc>
          <w:tcPr>
            <w:tcW w:w="647" w:type="pct"/>
            <w:shd w:val="clear" w:color="auto" w:fill="auto"/>
            <w:vAlign w:val="center"/>
          </w:tcPr>
          <w:p w:rsidR="00FA20E8" w:rsidRPr="00852E65" w:rsidRDefault="00D0289E" w:rsidP="007D5AB9">
            <w:pPr>
              <w:pStyle w:val="TableText"/>
              <w:rPr>
                <w:b/>
                <w:bCs/>
                <w:color w:val="000000"/>
              </w:rPr>
            </w:pPr>
            <w:r w:rsidRPr="00852E65">
              <w:rPr>
                <w:b/>
              </w:rPr>
              <w:t>$</w:t>
            </w:r>
            <w:r w:rsidR="000F1D32">
              <w:rPr>
                <w:b/>
                <w:noProof/>
                <w:color w:val="000000"/>
                <w:highlight w:val="black"/>
              </w:rPr>
              <w:t>''''''''''''''''''''</w:t>
            </w:r>
          </w:p>
        </w:tc>
        <w:tc>
          <w:tcPr>
            <w:tcW w:w="647" w:type="pct"/>
            <w:shd w:val="clear" w:color="auto" w:fill="auto"/>
            <w:vAlign w:val="center"/>
          </w:tcPr>
          <w:p w:rsidR="00FA20E8" w:rsidRPr="00852E65" w:rsidRDefault="00D0289E" w:rsidP="007D5AB9">
            <w:pPr>
              <w:pStyle w:val="TableText"/>
              <w:rPr>
                <w:b/>
                <w:bCs/>
                <w:color w:val="000000"/>
              </w:rPr>
            </w:pPr>
            <w:r w:rsidRPr="00852E65">
              <w:rPr>
                <w:b/>
              </w:rPr>
              <w:t>$</w:t>
            </w:r>
            <w:r w:rsidR="000F1D32">
              <w:rPr>
                <w:b/>
                <w:noProof/>
                <w:color w:val="000000"/>
                <w:highlight w:val="black"/>
              </w:rPr>
              <w:t>'''''''''''''''''''''</w:t>
            </w:r>
          </w:p>
        </w:tc>
        <w:tc>
          <w:tcPr>
            <w:tcW w:w="647" w:type="pct"/>
            <w:shd w:val="clear" w:color="auto" w:fill="auto"/>
            <w:vAlign w:val="center"/>
          </w:tcPr>
          <w:p w:rsidR="00FA20E8" w:rsidRPr="00852E65" w:rsidRDefault="00D0289E" w:rsidP="007D5AB9">
            <w:pPr>
              <w:pStyle w:val="TableText"/>
              <w:rPr>
                <w:b/>
                <w:bCs/>
                <w:color w:val="000000"/>
              </w:rPr>
            </w:pPr>
            <w:r w:rsidRPr="00852E65">
              <w:rPr>
                <w:b/>
              </w:rPr>
              <w:t>$</w:t>
            </w:r>
            <w:r w:rsidR="000F1D32">
              <w:rPr>
                <w:b/>
                <w:noProof/>
                <w:color w:val="000000"/>
                <w:highlight w:val="black"/>
              </w:rPr>
              <w:t>''''''''''''''''''''</w:t>
            </w:r>
          </w:p>
        </w:tc>
        <w:tc>
          <w:tcPr>
            <w:tcW w:w="647" w:type="pct"/>
            <w:shd w:val="clear" w:color="auto" w:fill="auto"/>
            <w:vAlign w:val="center"/>
          </w:tcPr>
          <w:p w:rsidR="00FA20E8" w:rsidRPr="00852E65" w:rsidRDefault="00D0289E" w:rsidP="007D5AB9">
            <w:pPr>
              <w:pStyle w:val="TableText"/>
              <w:rPr>
                <w:b/>
                <w:bCs/>
                <w:color w:val="000000"/>
              </w:rPr>
            </w:pPr>
            <w:r w:rsidRPr="00852E65">
              <w:rPr>
                <w:b/>
              </w:rPr>
              <w:t>$</w:t>
            </w:r>
            <w:r w:rsidR="000F1D32">
              <w:rPr>
                <w:b/>
                <w:noProof/>
                <w:color w:val="000000"/>
                <w:highlight w:val="black"/>
              </w:rPr>
              <w:t>'''''''''''''''''''''</w:t>
            </w:r>
          </w:p>
        </w:tc>
        <w:tc>
          <w:tcPr>
            <w:tcW w:w="647" w:type="pct"/>
            <w:shd w:val="clear" w:color="auto" w:fill="auto"/>
            <w:vAlign w:val="center"/>
          </w:tcPr>
          <w:p w:rsidR="00FA20E8" w:rsidRPr="00852E65" w:rsidRDefault="00D0289E" w:rsidP="007D5AB9">
            <w:pPr>
              <w:pStyle w:val="TableText"/>
              <w:rPr>
                <w:b/>
                <w:bCs/>
                <w:color w:val="000000"/>
              </w:rPr>
            </w:pPr>
            <w:r w:rsidRPr="00852E65">
              <w:rPr>
                <w:b/>
              </w:rPr>
              <w:t>$</w:t>
            </w:r>
            <w:r w:rsidR="000F1D32">
              <w:rPr>
                <w:b/>
                <w:noProof/>
                <w:color w:val="000000"/>
                <w:highlight w:val="black"/>
              </w:rPr>
              <w:t>''''''''''''''''''''''</w:t>
            </w:r>
          </w:p>
        </w:tc>
        <w:tc>
          <w:tcPr>
            <w:tcW w:w="647" w:type="pct"/>
            <w:vAlign w:val="center"/>
          </w:tcPr>
          <w:p w:rsidR="00FA20E8" w:rsidRPr="00852E65" w:rsidRDefault="00D0289E" w:rsidP="007D5AB9">
            <w:pPr>
              <w:pStyle w:val="TableText"/>
              <w:rPr>
                <w:b/>
                <w:bCs/>
                <w:color w:val="000000"/>
              </w:rPr>
            </w:pPr>
            <w:r w:rsidRPr="00852E65">
              <w:rPr>
                <w:b/>
              </w:rPr>
              <w:t>$</w:t>
            </w:r>
            <w:r w:rsidR="000F1D32">
              <w:rPr>
                <w:b/>
                <w:noProof/>
                <w:color w:val="000000"/>
                <w:highlight w:val="black"/>
              </w:rPr>
              <w:t>''''''''''''''''''''</w:t>
            </w:r>
          </w:p>
        </w:tc>
      </w:tr>
      <w:tr w:rsidR="00E3310B" w:rsidRPr="00852E65" w:rsidTr="00E3310B">
        <w:tc>
          <w:tcPr>
            <w:tcW w:w="1118" w:type="pct"/>
            <w:shd w:val="clear" w:color="auto" w:fill="auto"/>
            <w:vAlign w:val="center"/>
          </w:tcPr>
          <w:p w:rsidR="00E3310B" w:rsidRPr="00852E65" w:rsidRDefault="00E3310B" w:rsidP="007D5AB9">
            <w:pPr>
              <w:pStyle w:val="TableText"/>
              <w:rPr>
                <w:sz w:val="19"/>
                <w:szCs w:val="19"/>
              </w:rPr>
            </w:pPr>
            <w:r w:rsidRPr="00852E65">
              <w:rPr>
                <w:sz w:val="19"/>
                <w:szCs w:val="19"/>
              </w:rPr>
              <w:t xml:space="preserve">   November 2015</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vAlign w:val="center"/>
          </w:tcPr>
          <w:p w:rsidR="00E3310B" w:rsidRPr="00852E65" w:rsidRDefault="00E3310B" w:rsidP="007D5AB9">
            <w:pPr>
              <w:pStyle w:val="TableText"/>
            </w:pPr>
            <w:r w:rsidRPr="00852E65">
              <w:t>-</w:t>
            </w:r>
          </w:p>
        </w:tc>
      </w:tr>
      <w:tr w:rsidR="00E3310B" w:rsidRPr="00852E65" w:rsidTr="00E3310B">
        <w:tc>
          <w:tcPr>
            <w:tcW w:w="1118" w:type="pct"/>
            <w:shd w:val="clear" w:color="auto" w:fill="auto"/>
            <w:vAlign w:val="center"/>
          </w:tcPr>
          <w:p w:rsidR="00E3310B" w:rsidRPr="00852E65" w:rsidRDefault="00E3310B" w:rsidP="007D5AB9">
            <w:pPr>
              <w:pStyle w:val="TableText"/>
              <w:rPr>
                <w:sz w:val="19"/>
                <w:szCs w:val="19"/>
              </w:rPr>
            </w:pPr>
            <w:r w:rsidRPr="00852E65">
              <w:rPr>
                <w:sz w:val="19"/>
                <w:szCs w:val="19"/>
              </w:rPr>
              <w:t xml:space="preserve">   March 2016</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shd w:val="clear" w:color="auto" w:fill="auto"/>
            <w:vAlign w:val="center"/>
          </w:tcPr>
          <w:p w:rsidR="00E3310B" w:rsidRPr="00852E65" w:rsidRDefault="00E3310B" w:rsidP="007D5AB9">
            <w:pPr>
              <w:pStyle w:val="TableText"/>
              <w:rPr>
                <w:b/>
              </w:rPr>
            </w:pPr>
            <w:r w:rsidRPr="00852E65">
              <w:t>$</w:t>
            </w:r>
            <w:r w:rsidR="000F1D32">
              <w:rPr>
                <w:noProof/>
                <w:color w:val="000000"/>
                <w:highlight w:val="black"/>
              </w:rPr>
              <w:t>''''''''''''''''''''''''''''</w:t>
            </w:r>
          </w:p>
        </w:tc>
        <w:tc>
          <w:tcPr>
            <w:tcW w:w="647" w:type="pct"/>
            <w:vAlign w:val="center"/>
          </w:tcPr>
          <w:p w:rsidR="00E3310B" w:rsidRPr="00852E65" w:rsidRDefault="00E3310B" w:rsidP="007D5AB9">
            <w:pPr>
              <w:pStyle w:val="TableText"/>
            </w:pPr>
            <w:r w:rsidRPr="00852E65">
              <w:t>-</w:t>
            </w:r>
          </w:p>
        </w:tc>
      </w:tr>
      <w:tr w:rsidR="00607758" w:rsidRPr="00852E65" w:rsidTr="00607758">
        <w:tc>
          <w:tcPr>
            <w:tcW w:w="5000" w:type="pct"/>
            <w:gridSpan w:val="7"/>
            <w:shd w:val="clear" w:color="auto" w:fill="auto"/>
            <w:vAlign w:val="center"/>
          </w:tcPr>
          <w:p w:rsidR="00607758" w:rsidRPr="00852E65" w:rsidRDefault="00FC22AB" w:rsidP="007D5AB9">
            <w:pPr>
              <w:pStyle w:val="TableText"/>
              <w:rPr>
                <w:b/>
                <w:bCs/>
                <w:color w:val="000000"/>
              </w:rPr>
            </w:pPr>
            <w:r w:rsidRPr="00852E65">
              <w:rPr>
                <w:b/>
                <w:bCs/>
                <w:color w:val="000000"/>
              </w:rPr>
              <w:t>Net financial implications</w:t>
            </w:r>
            <w:r w:rsidRPr="00852E65">
              <w:rPr>
                <w:b/>
                <w:bCs/>
                <w:color w:val="4472C4" w:themeColor="accent5"/>
              </w:rPr>
              <w:t xml:space="preserve"> </w:t>
            </w:r>
          </w:p>
        </w:tc>
      </w:tr>
      <w:tr w:rsidR="00FA20E8" w:rsidRPr="00852E65" w:rsidTr="00E3310B">
        <w:tc>
          <w:tcPr>
            <w:tcW w:w="1118" w:type="pct"/>
            <w:shd w:val="clear" w:color="auto" w:fill="auto"/>
            <w:vAlign w:val="center"/>
          </w:tcPr>
          <w:p w:rsidR="00FA20E8" w:rsidRPr="00852E65" w:rsidRDefault="00FA20E8" w:rsidP="007D5AB9">
            <w:pPr>
              <w:pStyle w:val="TableText"/>
              <w:rPr>
                <w:sz w:val="19"/>
                <w:szCs w:val="19"/>
              </w:rPr>
            </w:pPr>
            <w:r w:rsidRPr="00852E65">
              <w:rPr>
                <w:sz w:val="19"/>
                <w:szCs w:val="19"/>
              </w:rPr>
              <w:t>Net cost to MBS</w:t>
            </w:r>
            <w:r w:rsidR="00D738DB" w:rsidRPr="00852E65">
              <w:rPr>
                <w:sz w:val="19"/>
                <w:szCs w:val="19"/>
              </w:rPr>
              <w:t xml:space="preserve"> </w:t>
            </w:r>
            <w:r w:rsidR="00D738DB" w:rsidRPr="00852E65">
              <w:rPr>
                <w:sz w:val="19"/>
                <w:szCs w:val="19"/>
                <w:vertAlign w:val="superscript"/>
              </w:rPr>
              <w:t>d</w:t>
            </w:r>
          </w:p>
        </w:tc>
        <w:tc>
          <w:tcPr>
            <w:tcW w:w="647" w:type="pct"/>
            <w:shd w:val="clear" w:color="auto" w:fill="auto"/>
            <w:vAlign w:val="center"/>
          </w:tcPr>
          <w:p w:rsidR="00FA20E8" w:rsidRPr="00852E65" w:rsidRDefault="00FA20E8"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D0289E"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D0289E"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D0289E" w:rsidP="007D5AB9">
            <w:pPr>
              <w:pStyle w:val="TableText"/>
              <w:rPr>
                <w:bCs/>
                <w:color w:val="000000"/>
              </w:rPr>
            </w:pPr>
            <w:r w:rsidRPr="00852E65">
              <w:t>$</w:t>
            </w:r>
            <w:r w:rsidR="000F1D32">
              <w:rPr>
                <w:noProof/>
                <w:color w:val="000000"/>
                <w:highlight w:val="black"/>
              </w:rPr>
              <w:t>''''''''''''''''''''</w:t>
            </w:r>
          </w:p>
        </w:tc>
        <w:tc>
          <w:tcPr>
            <w:tcW w:w="647" w:type="pct"/>
            <w:shd w:val="clear" w:color="auto" w:fill="auto"/>
            <w:vAlign w:val="center"/>
          </w:tcPr>
          <w:p w:rsidR="00FA20E8" w:rsidRPr="00852E65" w:rsidRDefault="00D0289E" w:rsidP="007D5AB9">
            <w:pPr>
              <w:pStyle w:val="TableText"/>
              <w:rPr>
                <w:bCs/>
                <w:color w:val="000000"/>
              </w:rPr>
            </w:pPr>
            <w:r w:rsidRPr="00852E65">
              <w:t>$</w:t>
            </w:r>
            <w:r w:rsidR="000F1D32">
              <w:rPr>
                <w:noProof/>
                <w:color w:val="000000"/>
                <w:highlight w:val="black"/>
              </w:rPr>
              <w:t>''''''''''''''''''''</w:t>
            </w:r>
          </w:p>
        </w:tc>
        <w:tc>
          <w:tcPr>
            <w:tcW w:w="647" w:type="pct"/>
            <w:vAlign w:val="center"/>
          </w:tcPr>
          <w:p w:rsidR="00FA20E8" w:rsidRPr="00852E65" w:rsidRDefault="00D0289E" w:rsidP="007D5AB9">
            <w:pPr>
              <w:pStyle w:val="TableText"/>
              <w:rPr>
                <w:bCs/>
                <w:color w:val="000000"/>
              </w:rPr>
            </w:pPr>
            <w:r w:rsidRPr="00852E65">
              <w:t>$</w:t>
            </w:r>
            <w:r w:rsidR="000F1D32">
              <w:rPr>
                <w:noProof/>
                <w:color w:val="000000"/>
                <w:highlight w:val="black"/>
              </w:rPr>
              <w:t>'''''''''''''''''''</w:t>
            </w:r>
          </w:p>
        </w:tc>
      </w:tr>
      <w:tr w:rsidR="00FA20E8" w:rsidRPr="00852E65" w:rsidTr="00E3310B">
        <w:tc>
          <w:tcPr>
            <w:tcW w:w="1118" w:type="pct"/>
            <w:shd w:val="clear" w:color="auto" w:fill="auto"/>
            <w:vAlign w:val="center"/>
          </w:tcPr>
          <w:p w:rsidR="00FA20E8" w:rsidRPr="00852E65" w:rsidRDefault="00FA20E8" w:rsidP="007D5AB9">
            <w:pPr>
              <w:pStyle w:val="TableText"/>
              <w:rPr>
                <w:rFonts w:ascii="Times" w:eastAsia="Times New Roman" w:hAnsi="Times" w:cs="Times New Roman"/>
              </w:rPr>
            </w:pPr>
            <w:r w:rsidRPr="00852E65">
              <w:rPr>
                <w:sz w:val="19"/>
                <w:szCs w:val="19"/>
              </w:rPr>
              <w:t>Net cost to hospitals</w:t>
            </w:r>
          </w:p>
        </w:tc>
        <w:tc>
          <w:tcPr>
            <w:tcW w:w="647" w:type="pct"/>
            <w:shd w:val="clear" w:color="auto" w:fill="auto"/>
            <w:vAlign w:val="center"/>
          </w:tcPr>
          <w:p w:rsidR="00FA20E8" w:rsidRPr="00852E65" w:rsidRDefault="00D0289E" w:rsidP="007D5AB9">
            <w:pPr>
              <w:pStyle w:val="TableText"/>
              <w:rPr>
                <w:bCs/>
                <w:color w:val="000000"/>
              </w:rPr>
            </w:pPr>
            <w:r w:rsidRPr="00852E65">
              <w:rPr>
                <w:bCs/>
                <w:lang w:eastAsia="en-AU"/>
              </w:rPr>
              <w:t>-$</w:t>
            </w:r>
            <w:r w:rsidR="000F1D32">
              <w:rPr>
                <w:bCs/>
                <w:noProof/>
                <w:color w:val="000000"/>
                <w:highlight w:val="black"/>
                <w:lang w:eastAsia="en-AU"/>
              </w:rPr>
              <w:t>''''''''''''''''''''''</w:t>
            </w:r>
          </w:p>
        </w:tc>
        <w:tc>
          <w:tcPr>
            <w:tcW w:w="647" w:type="pct"/>
            <w:shd w:val="clear" w:color="auto" w:fill="auto"/>
            <w:vAlign w:val="center"/>
          </w:tcPr>
          <w:p w:rsidR="00FA20E8" w:rsidRPr="00852E65" w:rsidRDefault="00D0289E" w:rsidP="007D5AB9">
            <w:pPr>
              <w:pStyle w:val="TableText"/>
              <w:rPr>
                <w:bCs/>
                <w:color w:val="000000"/>
              </w:rPr>
            </w:pPr>
            <w:r w:rsidRPr="00852E65">
              <w:rPr>
                <w:bCs/>
                <w:lang w:eastAsia="en-AU"/>
              </w:rPr>
              <w:t>-$</w:t>
            </w:r>
            <w:r w:rsidR="000F1D32">
              <w:rPr>
                <w:bCs/>
                <w:noProof/>
                <w:color w:val="000000"/>
                <w:highlight w:val="black"/>
                <w:lang w:eastAsia="en-AU"/>
              </w:rPr>
              <w:t>''''''''''''''''''''''''''''</w:t>
            </w:r>
          </w:p>
        </w:tc>
        <w:tc>
          <w:tcPr>
            <w:tcW w:w="647" w:type="pct"/>
            <w:shd w:val="clear" w:color="auto" w:fill="auto"/>
            <w:vAlign w:val="center"/>
          </w:tcPr>
          <w:p w:rsidR="00FA20E8" w:rsidRPr="00852E65" w:rsidRDefault="00D0289E" w:rsidP="007D5AB9">
            <w:pPr>
              <w:pStyle w:val="TableText"/>
              <w:rPr>
                <w:bCs/>
                <w:color w:val="000000"/>
              </w:rPr>
            </w:pPr>
            <w:r w:rsidRPr="00852E65">
              <w:rPr>
                <w:bCs/>
                <w:lang w:eastAsia="en-AU"/>
              </w:rPr>
              <w:t>-$</w:t>
            </w:r>
            <w:r w:rsidR="000F1D32">
              <w:rPr>
                <w:bCs/>
                <w:noProof/>
                <w:color w:val="000000"/>
                <w:highlight w:val="black"/>
                <w:lang w:eastAsia="en-AU"/>
              </w:rPr>
              <w:t>''''''''''''''''''''''''''''</w:t>
            </w:r>
          </w:p>
        </w:tc>
        <w:tc>
          <w:tcPr>
            <w:tcW w:w="647" w:type="pct"/>
            <w:shd w:val="clear" w:color="auto" w:fill="auto"/>
            <w:vAlign w:val="center"/>
          </w:tcPr>
          <w:p w:rsidR="00FA20E8" w:rsidRPr="00852E65" w:rsidRDefault="00D0289E" w:rsidP="007D5AB9">
            <w:pPr>
              <w:pStyle w:val="TableText"/>
              <w:rPr>
                <w:bCs/>
                <w:color w:val="000000"/>
              </w:rPr>
            </w:pPr>
            <w:r w:rsidRPr="00852E65">
              <w:rPr>
                <w:bCs/>
                <w:lang w:eastAsia="en-AU"/>
              </w:rPr>
              <w:t>-$</w:t>
            </w:r>
            <w:r w:rsidR="000F1D32">
              <w:rPr>
                <w:bCs/>
                <w:noProof/>
                <w:color w:val="000000"/>
                <w:highlight w:val="black"/>
                <w:lang w:eastAsia="en-AU"/>
              </w:rPr>
              <w:t>'''''''''''''''''''''''''''</w:t>
            </w:r>
          </w:p>
        </w:tc>
        <w:tc>
          <w:tcPr>
            <w:tcW w:w="647" w:type="pct"/>
            <w:shd w:val="clear" w:color="auto" w:fill="auto"/>
            <w:vAlign w:val="center"/>
          </w:tcPr>
          <w:p w:rsidR="00FA20E8" w:rsidRPr="00852E65" w:rsidRDefault="00D0289E" w:rsidP="007D5AB9">
            <w:pPr>
              <w:pStyle w:val="TableText"/>
              <w:rPr>
                <w:bCs/>
                <w:color w:val="000000"/>
              </w:rPr>
            </w:pPr>
            <w:r w:rsidRPr="00852E65">
              <w:rPr>
                <w:bCs/>
                <w:lang w:eastAsia="en-AU"/>
              </w:rPr>
              <w:t>-$</w:t>
            </w:r>
            <w:r w:rsidR="000F1D32">
              <w:rPr>
                <w:bCs/>
                <w:noProof/>
                <w:color w:val="000000"/>
                <w:highlight w:val="black"/>
                <w:lang w:eastAsia="en-AU"/>
              </w:rPr>
              <w:t>''''''''''''''''''''''''</w:t>
            </w:r>
          </w:p>
        </w:tc>
        <w:tc>
          <w:tcPr>
            <w:tcW w:w="647" w:type="pct"/>
            <w:vAlign w:val="center"/>
          </w:tcPr>
          <w:p w:rsidR="00FA20E8" w:rsidRPr="00852E65" w:rsidRDefault="00D0289E" w:rsidP="007D5AB9">
            <w:pPr>
              <w:pStyle w:val="TableText"/>
              <w:rPr>
                <w:bCs/>
                <w:color w:val="000000"/>
              </w:rPr>
            </w:pPr>
            <w:r w:rsidRPr="00852E65">
              <w:rPr>
                <w:bCs/>
                <w:lang w:eastAsia="en-AU"/>
              </w:rPr>
              <w:t>-$</w:t>
            </w:r>
            <w:r w:rsidR="000F1D32">
              <w:rPr>
                <w:bCs/>
                <w:noProof/>
                <w:color w:val="000000"/>
                <w:highlight w:val="black"/>
                <w:lang w:eastAsia="en-AU"/>
              </w:rPr>
              <w:t>'''''''''''''''''''''''''''''</w:t>
            </w:r>
          </w:p>
        </w:tc>
      </w:tr>
      <w:tr w:rsidR="00FA20E8" w:rsidRPr="00852E65" w:rsidTr="00E3310B">
        <w:tc>
          <w:tcPr>
            <w:tcW w:w="1118" w:type="pct"/>
            <w:shd w:val="clear" w:color="auto" w:fill="auto"/>
            <w:vAlign w:val="center"/>
          </w:tcPr>
          <w:p w:rsidR="00FA20E8" w:rsidRPr="00852E65" w:rsidRDefault="00FA20E8" w:rsidP="007D5AB9">
            <w:pPr>
              <w:pStyle w:val="TableText"/>
              <w:rPr>
                <w:b/>
                <w:sz w:val="19"/>
                <w:szCs w:val="19"/>
              </w:rPr>
            </w:pPr>
            <w:r w:rsidRPr="00852E65">
              <w:rPr>
                <w:b/>
                <w:sz w:val="19"/>
                <w:szCs w:val="19"/>
              </w:rPr>
              <w:t>Net cost to government</w:t>
            </w:r>
          </w:p>
        </w:tc>
        <w:tc>
          <w:tcPr>
            <w:tcW w:w="647" w:type="pct"/>
            <w:shd w:val="clear" w:color="auto" w:fill="auto"/>
            <w:vAlign w:val="center"/>
          </w:tcPr>
          <w:p w:rsidR="00FA20E8" w:rsidRPr="00852E65" w:rsidRDefault="00D0289E" w:rsidP="007D5AB9">
            <w:pPr>
              <w:pStyle w:val="TableText"/>
              <w:rPr>
                <w:b/>
                <w:bCs/>
                <w:color w:val="000000"/>
              </w:rPr>
            </w:pPr>
            <w:r w:rsidRPr="00852E65">
              <w:rPr>
                <w:b/>
                <w:iCs/>
                <w:color w:val="000000"/>
                <w:szCs w:val="20"/>
              </w:rPr>
              <w:t>$</w:t>
            </w:r>
            <w:r w:rsidR="000F1D32">
              <w:rPr>
                <w:b/>
                <w:iCs/>
                <w:noProof/>
                <w:color w:val="000000"/>
                <w:szCs w:val="20"/>
                <w:highlight w:val="black"/>
              </w:rPr>
              <w:t>'''''''''''''''''''''</w:t>
            </w:r>
          </w:p>
        </w:tc>
        <w:tc>
          <w:tcPr>
            <w:tcW w:w="647" w:type="pct"/>
            <w:shd w:val="clear" w:color="auto" w:fill="auto"/>
            <w:vAlign w:val="center"/>
          </w:tcPr>
          <w:p w:rsidR="00FA20E8" w:rsidRPr="00852E65" w:rsidRDefault="00D0289E" w:rsidP="007D5AB9">
            <w:pPr>
              <w:pStyle w:val="TableText"/>
              <w:rPr>
                <w:b/>
                <w:bCs/>
                <w:color w:val="000000"/>
              </w:rPr>
            </w:pPr>
            <w:r w:rsidRPr="00852E65">
              <w:rPr>
                <w:b/>
                <w:iCs/>
                <w:color w:val="000000"/>
                <w:szCs w:val="20"/>
              </w:rPr>
              <w:t>$</w:t>
            </w:r>
            <w:r w:rsidR="000F1D32">
              <w:rPr>
                <w:b/>
                <w:iCs/>
                <w:noProof/>
                <w:color w:val="000000"/>
                <w:szCs w:val="20"/>
                <w:highlight w:val="black"/>
              </w:rPr>
              <w:t>''''''''''''''''''''''</w:t>
            </w:r>
          </w:p>
        </w:tc>
        <w:tc>
          <w:tcPr>
            <w:tcW w:w="647" w:type="pct"/>
            <w:shd w:val="clear" w:color="auto" w:fill="auto"/>
            <w:vAlign w:val="center"/>
          </w:tcPr>
          <w:p w:rsidR="00FA20E8" w:rsidRPr="00852E65" w:rsidRDefault="00D0289E" w:rsidP="007D5AB9">
            <w:pPr>
              <w:pStyle w:val="TableText"/>
              <w:rPr>
                <w:b/>
                <w:bCs/>
                <w:color w:val="000000"/>
              </w:rPr>
            </w:pPr>
            <w:r w:rsidRPr="00852E65">
              <w:rPr>
                <w:b/>
                <w:iCs/>
                <w:color w:val="000000"/>
                <w:szCs w:val="20"/>
              </w:rPr>
              <w:t>$</w:t>
            </w:r>
            <w:r w:rsidR="000F1D32">
              <w:rPr>
                <w:b/>
                <w:iCs/>
                <w:noProof/>
                <w:color w:val="000000"/>
                <w:szCs w:val="20"/>
                <w:highlight w:val="black"/>
              </w:rPr>
              <w:t>''''''''''''''''''''</w:t>
            </w:r>
          </w:p>
        </w:tc>
        <w:tc>
          <w:tcPr>
            <w:tcW w:w="647" w:type="pct"/>
            <w:shd w:val="clear" w:color="auto" w:fill="auto"/>
            <w:vAlign w:val="center"/>
          </w:tcPr>
          <w:p w:rsidR="00FA20E8" w:rsidRPr="00852E65" w:rsidRDefault="00D0289E" w:rsidP="007D5AB9">
            <w:pPr>
              <w:pStyle w:val="TableText"/>
              <w:rPr>
                <w:b/>
                <w:bCs/>
                <w:color w:val="000000"/>
              </w:rPr>
            </w:pPr>
            <w:r w:rsidRPr="00852E65">
              <w:rPr>
                <w:b/>
                <w:iCs/>
                <w:color w:val="000000"/>
                <w:szCs w:val="20"/>
              </w:rPr>
              <w:t>$</w:t>
            </w:r>
            <w:r w:rsidR="000F1D32">
              <w:rPr>
                <w:b/>
                <w:iCs/>
                <w:noProof/>
                <w:color w:val="000000"/>
                <w:szCs w:val="20"/>
                <w:highlight w:val="black"/>
              </w:rPr>
              <w:t>''''''''''''''''''''''''</w:t>
            </w:r>
          </w:p>
        </w:tc>
        <w:tc>
          <w:tcPr>
            <w:tcW w:w="647" w:type="pct"/>
            <w:shd w:val="clear" w:color="auto" w:fill="auto"/>
            <w:vAlign w:val="center"/>
          </w:tcPr>
          <w:p w:rsidR="00FA20E8" w:rsidRPr="00852E65" w:rsidRDefault="00D0289E" w:rsidP="007D5AB9">
            <w:pPr>
              <w:pStyle w:val="TableText"/>
              <w:rPr>
                <w:b/>
                <w:bCs/>
                <w:color w:val="000000"/>
              </w:rPr>
            </w:pPr>
            <w:r w:rsidRPr="00852E65">
              <w:rPr>
                <w:b/>
                <w:iCs/>
                <w:color w:val="000000"/>
                <w:szCs w:val="20"/>
              </w:rPr>
              <w:t>$</w:t>
            </w:r>
            <w:r w:rsidR="000F1D32">
              <w:rPr>
                <w:b/>
                <w:iCs/>
                <w:noProof/>
                <w:color w:val="000000"/>
                <w:szCs w:val="20"/>
                <w:highlight w:val="black"/>
              </w:rPr>
              <w:t>''''''''''''''''''''''</w:t>
            </w:r>
          </w:p>
        </w:tc>
        <w:tc>
          <w:tcPr>
            <w:tcW w:w="647" w:type="pct"/>
            <w:vAlign w:val="center"/>
          </w:tcPr>
          <w:p w:rsidR="00FA20E8" w:rsidRPr="00852E65" w:rsidRDefault="00D0289E" w:rsidP="007D5AB9">
            <w:pPr>
              <w:pStyle w:val="TableText"/>
              <w:rPr>
                <w:b/>
                <w:bCs/>
                <w:color w:val="000000"/>
              </w:rPr>
            </w:pPr>
            <w:r w:rsidRPr="00852E65">
              <w:rPr>
                <w:b/>
                <w:bCs/>
                <w:iCs/>
                <w:color w:val="000000"/>
                <w:szCs w:val="20"/>
              </w:rPr>
              <w:t>$</w:t>
            </w:r>
            <w:r w:rsidR="000F1D32">
              <w:rPr>
                <w:b/>
                <w:bCs/>
                <w:iCs/>
                <w:noProof/>
                <w:color w:val="000000"/>
                <w:szCs w:val="20"/>
                <w:highlight w:val="black"/>
              </w:rPr>
              <w:t>'''''''''''''''''''''''</w:t>
            </w:r>
          </w:p>
        </w:tc>
      </w:tr>
      <w:tr w:rsidR="00E3310B" w:rsidRPr="00852E65" w:rsidTr="00E3310B">
        <w:tc>
          <w:tcPr>
            <w:tcW w:w="1118" w:type="pct"/>
            <w:shd w:val="clear" w:color="auto" w:fill="auto"/>
            <w:vAlign w:val="center"/>
          </w:tcPr>
          <w:p w:rsidR="00E3310B" w:rsidRPr="00852E65" w:rsidRDefault="00E3310B" w:rsidP="007D5AB9">
            <w:pPr>
              <w:pStyle w:val="TableText"/>
              <w:rPr>
                <w:sz w:val="19"/>
                <w:szCs w:val="19"/>
              </w:rPr>
            </w:pPr>
            <w:r w:rsidRPr="00852E65">
              <w:rPr>
                <w:sz w:val="19"/>
                <w:szCs w:val="19"/>
              </w:rPr>
              <w:t xml:space="preserve">   November 2015</w:t>
            </w:r>
          </w:p>
        </w:tc>
        <w:tc>
          <w:tcPr>
            <w:tcW w:w="647" w:type="pct"/>
            <w:shd w:val="clear" w:color="auto" w:fill="auto"/>
            <w:vAlign w:val="center"/>
          </w:tcPr>
          <w:p w:rsidR="00E3310B" w:rsidRPr="00852E65" w:rsidRDefault="00E3310B" w:rsidP="007D5AB9">
            <w:pPr>
              <w:pStyle w:val="TableText"/>
              <w:rPr>
                <w:iCs/>
                <w:color w:val="000000"/>
                <w:szCs w:val="20"/>
              </w:rPr>
            </w:pPr>
            <w:r w:rsidRPr="00852E65">
              <w:rPr>
                <w:color w:val="000000"/>
                <w:szCs w:val="20"/>
              </w:rPr>
              <w:t>$</w:t>
            </w:r>
            <w:r w:rsidR="000F1D32">
              <w:rPr>
                <w:noProof/>
                <w:color w:val="000000"/>
                <w:szCs w:val="20"/>
                <w:highlight w:val="black"/>
              </w:rPr>
              <w:t>'''''''''''''''''''''''''''</w:t>
            </w:r>
          </w:p>
        </w:tc>
        <w:tc>
          <w:tcPr>
            <w:tcW w:w="647" w:type="pct"/>
            <w:shd w:val="clear" w:color="auto" w:fill="auto"/>
            <w:vAlign w:val="center"/>
          </w:tcPr>
          <w:p w:rsidR="00E3310B" w:rsidRPr="00852E65" w:rsidRDefault="00E3310B" w:rsidP="007D5AB9">
            <w:pPr>
              <w:pStyle w:val="TableText"/>
              <w:rPr>
                <w:iCs/>
                <w:color w:val="000000"/>
                <w:szCs w:val="20"/>
              </w:rPr>
            </w:pPr>
            <w:r w:rsidRPr="00852E65">
              <w:rPr>
                <w:bCs/>
                <w:color w:val="000000"/>
                <w:szCs w:val="20"/>
              </w:rPr>
              <w:t>$</w:t>
            </w:r>
            <w:r w:rsidR="000F1D32">
              <w:rPr>
                <w:bCs/>
                <w:noProof/>
                <w:color w:val="000000"/>
                <w:szCs w:val="20"/>
                <w:highlight w:val="black"/>
              </w:rPr>
              <w:t>'''''''''''''''''''''''''''''</w:t>
            </w:r>
          </w:p>
        </w:tc>
        <w:tc>
          <w:tcPr>
            <w:tcW w:w="647" w:type="pct"/>
            <w:shd w:val="clear" w:color="auto" w:fill="auto"/>
            <w:vAlign w:val="center"/>
          </w:tcPr>
          <w:p w:rsidR="00E3310B" w:rsidRPr="00852E65" w:rsidRDefault="00E3310B" w:rsidP="007D5AB9">
            <w:pPr>
              <w:pStyle w:val="TableText"/>
              <w:rPr>
                <w:iCs/>
                <w:color w:val="000000"/>
                <w:szCs w:val="20"/>
              </w:rPr>
            </w:pPr>
            <w:r w:rsidRPr="00852E65">
              <w:rPr>
                <w:bCs/>
                <w:color w:val="000000"/>
                <w:szCs w:val="20"/>
              </w:rPr>
              <w:t>$</w:t>
            </w:r>
            <w:r w:rsidR="000F1D32">
              <w:rPr>
                <w:bCs/>
                <w:noProof/>
                <w:color w:val="000000"/>
                <w:szCs w:val="20"/>
                <w:highlight w:val="black"/>
              </w:rPr>
              <w:t>''''''''''''''''''''''''</w:t>
            </w:r>
          </w:p>
        </w:tc>
        <w:tc>
          <w:tcPr>
            <w:tcW w:w="647" w:type="pct"/>
            <w:shd w:val="clear" w:color="auto" w:fill="auto"/>
            <w:vAlign w:val="center"/>
          </w:tcPr>
          <w:p w:rsidR="00E3310B" w:rsidRPr="00852E65" w:rsidRDefault="00E3310B" w:rsidP="007D5AB9">
            <w:pPr>
              <w:pStyle w:val="TableText"/>
              <w:rPr>
                <w:iCs/>
                <w:color w:val="000000"/>
                <w:szCs w:val="20"/>
              </w:rPr>
            </w:pPr>
            <w:r w:rsidRPr="00852E65">
              <w:rPr>
                <w:bCs/>
                <w:color w:val="000000"/>
                <w:szCs w:val="20"/>
              </w:rPr>
              <w:t>$</w:t>
            </w:r>
            <w:r w:rsidR="000F1D32">
              <w:rPr>
                <w:bCs/>
                <w:noProof/>
                <w:color w:val="000000"/>
                <w:szCs w:val="20"/>
                <w:highlight w:val="black"/>
              </w:rPr>
              <w:t>''''''''''''''''''''''''''''</w:t>
            </w:r>
          </w:p>
        </w:tc>
        <w:tc>
          <w:tcPr>
            <w:tcW w:w="647" w:type="pct"/>
            <w:shd w:val="clear" w:color="auto" w:fill="auto"/>
            <w:vAlign w:val="center"/>
          </w:tcPr>
          <w:p w:rsidR="00E3310B" w:rsidRPr="00852E65" w:rsidRDefault="00E3310B" w:rsidP="007D5AB9">
            <w:pPr>
              <w:pStyle w:val="TableText"/>
              <w:rPr>
                <w:iCs/>
                <w:color w:val="000000"/>
                <w:szCs w:val="20"/>
              </w:rPr>
            </w:pPr>
            <w:r w:rsidRPr="00852E65">
              <w:rPr>
                <w:bCs/>
                <w:color w:val="000000"/>
                <w:szCs w:val="20"/>
              </w:rPr>
              <w:t>$</w:t>
            </w:r>
            <w:r w:rsidR="000F1D32">
              <w:rPr>
                <w:bCs/>
                <w:noProof/>
                <w:color w:val="000000"/>
                <w:szCs w:val="20"/>
                <w:highlight w:val="black"/>
              </w:rPr>
              <w:t>'''''''''''''''''''''''''''</w:t>
            </w:r>
          </w:p>
        </w:tc>
        <w:tc>
          <w:tcPr>
            <w:tcW w:w="647" w:type="pct"/>
            <w:vAlign w:val="center"/>
          </w:tcPr>
          <w:p w:rsidR="00E3310B" w:rsidRPr="00852E65" w:rsidRDefault="00E3310B" w:rsidP="007D5AB9">
            <w:pPr>
              <w:pStyle w:val="TableText"/>
              <w:rPr>
                <w:bCs/>
                <w:iCs/>
                <w:color w:val="000000"/>
                <w:szCs w:val="20"/>
              </w:rPr>
            </w:pPr>
            <w:r w:rsidRPr="00852E65">
              <w:rPr>
                <w:bCs/>
                <w:iCs/>
                <w:color w:val="000000"/>
                <w:szCs w:val="20"/>
              </w:rPr>
              <w:t>-</w:t>
            </w:r>
          </w:p>
        </w:tc>
      </w:tr>
    </w:tbl>
    <w:p w:rsidR="00E3310B" w:rsidRPr="00852E65" w:rsidRDefault="00E3310B" w:rsidP="007D5AB9">
      <w:pPr>
        <w:pStyle w:val="TableFooter"/>
        <w:widowControl/>
        <w:rPr>
          <w:rStyle w:val="TableFooterChar"/>
          <w:rFonts w:eastAsia="Calibri"/>
        </w:rPr>
      </w:pPr>
      <w:r w:rsidRPr="00852E65">
        <w:t xml:space="preserve">Source: </w:t>
      </w:r>
      <w:proofErr w:type="spellStart"/>
      <w:r w:rsidRPr="00852E65">
        <w:t>Folotyn</w:t>
      </w:r>
      <w:proofErr w:type="spellEnd"/>
      <w:r w:rsidRPr="00852E65">
        <w:t xml:space="preserve"> Section 4 – Base Case 2017 (1 March).xlsx Excel spreadsheet; calculated during evaluation</w:t>
      </w:r>
      <w:r w:rsidR="00F92CAA" w:rsidRPr="00852E65">
        <w:t>; Table 8, p18, November 2015 PBAC minutes; and Table 6, p15, March 2016 PBAC minutes</w:t>
      </w:r>
    </w:p>
    <w:p w:rsidR="00E3310B" w:rsidRPr="00852E65" w:rsidRDefault="00D738DB" w:rsidP="007D5AB9">
      <w:pPr>
        <w:pStyle w:val="TableFooter"/>
        <w:widowControl/>
      </w:pPr>
      <w:r w:rsidRPr="00852E65">
        <w:t xml:space="preserve">CT = computer tomography; </w:t>
      </w:r>
      <w:r w:rsidR="00E3310B" w:rsidRPr="00852E65">
        <w:t>MBS = Medicare Benefits Schedule; PBS = Pharmaceutical Benefits Scheme; RPBS = Repatriation Pharmaceutical Benefits Scheme</w:t>
      </w:r>
    </w:p>
    <w:p w:rsidR="00D738DB" w:rsidRPr="00852E65" w:rsidRDefault="00C317F3" w:rsidP="007D5AB9">
      <w:pPr>
        <w:pStyle w:val="TableFooter"/>
        <w:widowControl/>
      </w:pPr>
      <w:proofErr w:type="gramStart"/>
      <w:r w:rsidRPr="00852E65">
        <w:rPr>
          <w:vertAlign w:val="superscript"/>
        </w:rPr>
        <w:t>a</w:t>
      </w:r>
      <w:proofErr w:type="gramEnd"/>
      <w:r w:rsidRPr="00852E65">
        <w:t xml:space="preserve"> </w:t>
      </w:r>
      <w:r w:rsidR="00D738DB" w:rsidRPr="00852E65">
        <w:t>Differences due to rounding</w:t>
      </w:r>
    </w:p>
    <w:p w:rsidR="00C317F3" w:rsidRPr="00852E65" w:rsidRDefault="00D738DB" w:rsidP="007D5AB9">
      <w:pPr>
        <w:pStyle w:val="TableFooter"/>
        <w:widowControl/>
      </w:pPr>
      <w:proofErr w:type="gramStart"/>
      <w:r w:rsidRPr="00852E65">
        <w:rPr>
          <w:vertAlign w:val="superscript"/>
        </w:rPr>
        <w:t>b</w:t>
      </w:r>
      <w:proofErr w:type="gramEnd"/>
      <w:r w:rsidRPr="00852E65">
        <w:t xml:space="preserve"> </w:t>
      </w:r>
      <w:r w:rsidR="00C317F3" w:rsidRPr="00852E65">
        <w:t>Assum</w:t>
      </w:r>
      <w:r w:rsidR="00E3310B" w:rsidRPr="00852E65">
        <w:t>i</w:t>
      </w:r>
      <w:r w:rsidR="00C317F3" w:rsidRPr="00852E65">
        <w:t xml:space="preserve">ng </w:t>
      </w:r>
      <w:r w:rsidR="000F1D32">
        <w:rPr>
          <w:noProof/>
          <w:color w:val="000000"/>
          <w:highlight w:val="black"/>
        </w:rPr>
        <w:t>'''''''''''''</w:t>
      </w:r>
      <w:r w:rsidR="00FA20E8" w:rsidRPr="00852E65">
        <w:t xml:space="preserve"> prescriptions</w:t>
      </w:r>
      <w:r w:rsidR="00C317F3" w:rsidRPr="00852E65">
        <w:t xml:space="preserve"> per </w:t>
      </w:r>
      <w:r w:rsidR="00FA20E8" w:rsidRPr="00852E65">
        <w:t>patient</w:t>
      </w:r>
      <w:r w:rsidR="00F92CAA" w:rsidRPr="00852E65">
        <w:t xml:space="preserve">. </w:t>
      </w:r>
      <w:proofErr w:type="gramStart"/>
      <w:r w:rsidR="00F92CAA" w:rsidRPr="00852E65">
        <w:t xml:space="preserve">The resubmission assumed patients would receive </w:t>
      </w:r>
      <w:r w:rsidR="000F1D32">
        <w:rPr>
          <w:noProof/>
          <w:color w:val="000000"/>
          <w:highlight w:val="black"/>
        </w:rPr>
        <w:t xml:space="preserve">'''''' </w:t>
      </w:r>
      <w:r w:rsidR="00F92CAA" w:rsidRPr="00852E65">
        <w:t xml:space="preserve">prescriptions per patient, but as the average patient would commence </w:t>
      </w:r>
      <w:r w:rsidR="000F1D32">
        <w:rPr>
          <w:noProof/>
          <w:color w:val="000000"/>
          <w:highlight w:val="black"/>
        </w:rPr>
        <w:t>''''</w:t>
      </w:r>
      <w:r w:rsidR="00F92CAA" w:rsidRPr="00852E65">
        <w:t xml:space="preserve"> cycles of therapy they would receive </w:t>
      </w:r>
      <w:r w:rsidR="000F1D32">
        <w:rPr>
          <w:noProof/>
          <w:color w:val="000000"/>
          <w:highlight w:val="black"/>
        </w:rPr>
        <w:t>'''</w:t>
      </w:r>
      <w:r w:rsidR="00F92CAA" w:rsidRPr="00852E65">
        <w:t xml:space="preserve"> prescriptions.</w:t>
      </w:r>
      <w:proofErr w:type="gramEnd"/>
      <w:r w:rsidR="00F92CAA" w:rsidRPr="00852E65">
        <w:t xml:space="preserve"> This resulted in errors in the co-payments. </w:t>
      </w:r>
    </w:p>
    <w:p w:rsidR="0019435F" w:rsidRPr="00852E65" w:rsidRDefault="00D738DB" w:rsidP="007D5AB9">
      <w:pPr>
        <w:pStyle w:val="TableFooter"/>
        <w:widowControl/>
      </w:pPr>
      <w:proofErr w:type="gramStart"/>
      <w:r w:rsidRPr="00852E65">
        <w:rPr>
          <w:vertAlign w:val="superscript"/>
        </w:rPr>
        <w:t>c</w:t>
      </w:r>
      <w:proofErr w:type="gramEnd"/>
      <w:r w:rsidR="0019435F" w:rsidRPr="00852E65">
        <w:rPr>
          <w:vertAlign w:val="superscript"/>
        </w:rPr>
        <w:t xml:space="preserve"> </w:t>
      </w:r>
      <w:r w:rsidR="0019435F" w:rsidRPr="00852E65">
        <w:t xml:space="preserve">The November 2015 </w:t>
      </w:r>
      <w:r w:rsidR="00FF78B9" w:rsidRPr="00852E65">
        <w:t xml:space="preserve">and March 2016 </w:t>
      </w:r>
      <w:r w:rsidR="0019435F" w:rsidRPr="00852E65">
        <w:t>submission</w:t>
      </w:r>
      <w:r w:rsidR="00FF78B9" w:rsidRPr="00852E65">
        <w:t>s</w:t>
      </w:r>
      <w:r w:rsidR="0019435F" w:rsidRPr="00852E65">
        <w:t xml:space="preserve"> incorrectly assumed that patients would receive </w:t>
      </w:r>
      <w:r w:rsidR="000F1D32">
        <w:rPr>
          <w:noProof/>
          <w:color w:val="000000"/>
          <w:highlight w:val="black"/>
        </w:rPr>
        <w:t>''''''</w:t>
      </w:r>
      <w:r w:rsidR="0019435F" w:rsidRPr="00852E65">
        <w:t xml:space="preserve"> prescriptions per patient. The average patient would commence </w:t>
      </w:r>
      <w:r w:rsidR="000F1D32">
        <w:rPr>
          <w:noProof/>
          <w:color w:val="000000"/>
          <w:highlight w:val="black"/>
        </w:rPr>
        <w:t>'''</w:t>
      </w:r>
      <w:r w:rsidR="0019435F" w:rsidRPr="00852E65">
        <w:t xml:space="preserve"> cycles of therapy and therefore receive </w:t>
      </w:r>
      <w:r w:rsidR="000F1D32">
        <w:rPr>
          <w:noProof/>
          <w:color w:val="000000"/>
          <w:highlight w:val="black"/>
        </w:rPr>
        <w:t xml:space="preserve">'''' </w:t>
      </w:r>
      <w:r w:rsidR="0019435F" w:rsidRPr="00852E65">
        <w:t>prescriptions.</w:t>
      </w:r>
    </w:p>
    <w:p w:rsidR="00D738DB" w:rsidRPr="00852E65" w:rsidRDefault="00D738DB" w:rsidP="007D5AB9">
      <w:pPr>
        <w:pStyle w:val="TableFooter"/>
        <w:widowControl/>
      </w:pPr>
      <w:proofErr w:type="gramStart"/>
      <w:r w:rsidRPr="00852E65">
        <w:rPr>
          <w:vertAlign w:val="superscript"/>
        </w:rPr>
        <w:t>d</w:t>
      </w:r>
      <w:proofErr w:type="gramEnd"/>
      <w:r w:rsidRPr="00852E65">
        <w:rPr>
          <w:vertAlign w:val="superscript"/>
        </w:rPr>
        <w:t xml:space="preserve"> </w:t>
      </w:r>
      <w:r w:rsidRPr="00852E65">
        <w:t xml:space="preserve">Number of CT scans corrected to 2. July 2017 resubmission assumed </w:t>
      </w:r>
      <w:proofErr w:type="spellStart"/>
      <w:r w:rsidRPr="00852E65">
        <w:t>pralatrexate</w:t>
      </w:r>
      <w:proofErr w:type="spellEnd"/>
      <w:r w:rsidRPr="00852E65">
        <w:t xml:space="preserve"> patients would receive </w:t>
      </w:r>
      <w:r w:rsidR="000F1D32">
        <w:rPr>
          <w:noProof/>
          <w:color w:val="000000"/>
          <w:highlight w:val="black"/>
        </w:rPr>
        <w:t>''''</w:t>
      </w:r>
      <w:r w:rsidRPr="00852E65">
        <w:t>.</w:t>
      </w:r>
    </w:p>
    <w:p w:rsidR="00FD59E6" w:rsidRPr="00FD59E6" w:rsidRDefault="00FF78B9" w:rsidP="00FD59E6">
      <w:pPr>
        <w:pStyle w:val="ListParagraph"/>
        <w:numPr>
          <w:ilvl w:val="1"/>
          <w:numId w:val="14"/>
        </w:numPr>
        <w:spacing w:before="0" w:after="120"/>
        <w:ind w:hanging="792"/>
        <w:jc w:val="both"/>
      </w:pPr>
      <w:r w:rsidRPr="006C19DF">
        <w:t xml:space="preserve">The number of patients treated with </w:t>
      </w:r>
      <w:proofErr w:type="spellStart"/>
      <w:r w:rsidRPr="006C19DF">
        <w:t>pralatrexate</w:t>
      </w:r>
      <w:proofErr w:type="spellEnd"/>
      <w:r w:rsidRPr="006C19DF">
        <w:t xml:space="preserve"> in the July 2017 resubmission was </w:t>
      </w:r>
      <w:r w:rsidRPr="00FD59E6">
        <w:t xml:space="preserve">higher than estimated in November 2015. </w:t>
      </w:r>
      <w:r w:rsidR="0011131F">
        <w:t xml:space="preserve">In year 5, the estimated number of patients was less than 10,000. </w:t>
      </w:r>
      <w:r w:rsidRPr="00FD59E6">
        <w:t xml:space="preserve">This was primarily due to increases in the proportion of the PTCL population that was relapsed or refractory (from </w:t>
      </w:r>
      <w:r w:rsidR="000F1D32">
        <w:rPr>
          <w:noProof/>
          <w:color w:val="000000"/>
          <w:highlight w:val="black"/>
        </w:rPr>
        <w:t>'''''''''</w:t>
      </w:r>
      <w:r w:rsidRPr="000F0425">
        <w:t xml:space="preserve">% to </w:t>
      </w:r>
      <w:proofErr w:type="gramStart"/>
      <w:r w:rsidR="000F1D32">
        <w:rPr>
          <w:noProof/>
          <w:color w:val="000000"/>
          <w:highlight w:val="black"/>
        </w:rPr>
        <w:t>''''''''</w:t>
      </w:r>
      <w:r w:rsidRPr="000F0425">
        <w:t>%</w:t>
      </w:r>
      <w:proofErr w:type="gramEnd"/>
      <w:r w:rsidRPr="00FD59E6">
        <w:t xml:space="preserve">) and the assumed uptake of </w:t>
      </w:r>
      <w:proofErr w:type="spellStart"/>
      <w:r w:rsidRPr="00FD59E6">
        <w:t>pralatrexate</w:t>
      </w:r>
      <w:proofErr w:type="spellEnd"/>
      <w:r w:rsidRPr="00FD59E6">
        <w:t xml:space="preserve"> (from </w:t>
      </w:r>
      <w:r w:rsidR="000F1D32">
        <w:rPr>
          <w:noProof/>
          <w:color w:val="000000"/>
          <w:highlight w:val="black"/>
        </w:rPr>
        <w:t>'''''''''''</w:t>
      </w:r>
      <w:r w:rsidRPr="000F0425">
        <w:t xml:space="preserve">% to </w:t>
      </w:r>
      <w:r w:rsidR="000F1D32">
        <w:rPr>
          <w:noProof/>
          <w:color w:val="000000"/>
          <w:highlight w:val="black"/>
        </w:rPr>
        <w:t>''''''''''</w:t>
      </w:r>
      <w:r w:rsidRPr="000F0425">
        <w:t>%</w:t>
      </w:r>
      <w:r w:rsidRPr="00FD59E6">
        <w:t xml:space="preserve">). </w:t>
      </w:r>
      <w:r w:rsidR="00FD59E6" w:rsidRPr="00FD59E6">
        <w:t xml:space="preserve">The PBAC considered this number should be reduced by the number of patients receiving </w:t>
      </w:r>
      <w:proofErr w:type="spellStart"/>
      <w:r w:rsidR="00FD59E6" w:rsidRPr="00FD59E6">
        <w:t>brentuximab</w:t>
      </w:r>
      <w:proofErr w:type="spellEnd"/>
      <w:r w:rsidR="00FD59E6" w:rsidRPr="00FD59E6">
        <w:t xml:space="preserve"> for ALCL each year.</w:t>
      </w:r>
    </w:p>
    <w:p w:rsidR="00C317F3" w:rsidRPr="006C19DF" w:rsidRDefault="00F72DE1" w:rsidP="00FD59E6">
      <w:pPr>
        <w:pStyle w:val="ListParagraph"/>
        <w:numPr>
          <w:ilvl w:val="1"/>
          <w:numId w:val="14"/>
        </w:numPr>
        <w:spacing w:before="0" w:after="120"/>
        <w:ind w:hanging="792"/>
        <w:jc w:val="both"/>
      </w:pPr>
      <w:r w:rsidRPr="00FD59E6">
        <w:t xml:space="preserve">The net cost to the PBS/RPBS in Year 5 of the resubmission was </w:t>
      </w:r>
      <w:r w:rsidR="00BD27FB" w:rsidRPr="00BD27FB">
        <w:t>$30 – $60 million</w:t>
      </w:r>
      <w:r w:rsidRPr="00FD59E6">
        <w:t xml:space="preserve">. This was significantly </w:t>
      </w:r>
      <w:r w:rsidRPr="006C19DF">
        <w:t xml:space="preserve">higher than </w:t>
      </w:r>
      <w:r w:rsidR="0017657B" w:rsidRPr="006C19DF">
        <w:t>the estimates provided in the previous submissions ($2</w:t>
      </w:r>
      <w:r w:rsidR="00BD27FB">
        <w:t>0</w:t>
      </w:r>
      <w:r w:rsidR="000F0425">
        <w:t xml:space="preserve"> </w:t>
      </w:r>
      <w:r w:rsidR="00BD27FB">
        <w:t>-$30</w:t>
      </w:r>
      <w:r w:rsidR="0017657B" w:rsidRPr="006C19DF">
        <w:t xml:space="preserve"> million) due to the increase in the eligible patient population. </w:t>
      </w:r>
    </w:p>
    <w:p w:rsidR="0017657B" w:rsidRPr="006C19DF" w:rsidRDefault="0017657B" w:rsidP="00FD59E6">
      <w:pPr>
        <w:pStyle w:val="ListParagraph"/>
        <w:numPr>
          <w:ilvl w:val="1"/>
          <w:numId w:val="14"/>
        </w:numPr>
        <w:spacing w:before="0" w:after="120"/>
        <w:ind w:hanging="792"/>
        <w:jc w:val="both"/>
      </w:pPr>
      <w:r w:rsidRPr="006C19DF">
        <w:lastRenderedPageBreak/>
        <w:t>The</w:t>
      </w:r>
      <w:r w:rsidR="004270A9" w:rsidRPr="006C19DF">
        <w:t>re</w:t>
      </w:r>
      <w:r w:rsidRPr="006C19DF">
        <w:t xml:space="preserve"> was </w:t>
      </w:r>
      <w:r w:rsidR="00145EB2" w:rsidRPr="006C19DF">
        <w:t xml:space="preserve">a high degree of uncertainty in </w:t>
      </w:r>
      <w:r w:rsidRPr="006C19DF">
        <w:t xml:space="preserve">the net cost to </w:t>
      </w:r>
      <w:r w:rsidR="00145EB2" w:rsidRPr="006C19DF">
        <w:t>government, as</w:t>
      </w:r>
      <w:r w:rsidRPr="006C19DF">
        <w:t xml:space="preserve"> it was dependent on </w:t>
      </w:r>
      <w:r w:rsidR="003B239B" w:rsidRPr="006C19DF">
        <w:t xml:space="preserve">a substantial reduction in </w:t>
      </w:r>
      <w:r w:rsidRPr="006C19DF">
        <w:t>the proportion of patients receiving subsequent stem cell transplants.</w:t>
      </w:r>
      <w:r w:rsidR="00D10723" w:rsidRPr="006C19DF">
        <w:t xml:space="preserve"> The ESC considered that the magnitude and direction of differences in SCT rates were difficult to determine from the economic model and the financial estimates</w:t>
      </w:r>
      <w:r w:rsidR="00D10723" w:rsidRPr="006C19DF">
        <w:rPr>
          <w:lang w:val="en-US"/>
        </w:rPr>
        <w:t>.</w:t>
      </w:r>
      <w:r w:rsidR="00FD59E6">
        <w:rPr>
          <w:lang w:val="en-US"/>
        </w:rPr>
        <w:t xml:space="preserve"> The PBAC considered this would be a key component to establishing a cost-effective price for </w:t>
      </w:r>
      <w:proofErr w:type="spellStart"/>
      <w:r w:rsidR="00FD59E6">
        <w:rPr>
          <w:lang w:val="en-US"/>
        </w:rPr>
        <w:t>pralatrexate</w:t>
      </w:r>
      <w:proofErr w:type="spellEnd"/>
      <w:r w:rsidR="00FD59E6">
        <w:rPr>
          <w:lang w:val="en-US"/>
        </w:rPr>
        <w:t>.</w:t>
      </w:r>
    </w:p>
    <w:p w:rsidR="0017657B" w:rsidRPr="00852E65" w:rsidRDefault="00A06C83" w:rsidP="00FD59E6">
      <w:pPr>
        <w:pStyle w:val="ListParagraph"/>
        <w:numPr>
          <w:ilvl w:val="1"/>
          <w:numId w:val="14"/>
        </w:numPr>
        <w:spacing w:before="0" w:after="120"/>
        <w:ind w:hanging="792"/>
        <w:jc w:val="both"/>
      </w:pPr>
      <w:r w:rsidRPr="00852E65">
        <w:t>The key sensitivity analyses are presented below.</w:t>
      </w:r>
    </w:p>
    <w:p w:rsidR="007152C2" w:rsidRDefault="007152C2" w:rsidP="007152C2">
      <w:pPr>
        <w:pStyle w:val="Caption"/>
      </w:pPr>
      <w:r>
        <w:t xml:space="preserve">Table </w:t>
      </w:r>
      <w:r>
        <w:rPr>
          <w:noProof/>
        </w:rPr>
        <w:t>14</w:t>
      </w:r>
      <w:r w:rsidRPr="001A7EAC">
        <w:t>: Results of cost model sensitivity analyses</w:t>
      </w:r>
    </w:p>
    <w:tbl>
      <w:tblPr>
        <w:tblStyle w:val="GridTable1Light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sults of cost model sensitivity analyses "/>
      </w:tblPr>
      <w:tblGrid>
        <w:gridCol w:w="2986"/>
        <w:gridCol w:w="999"/>
        <w:gridCol w:w="999"/>
        <w:gridCol w:w="999"/>
        <w:gridCol w:w="999"/>
        <w:gridCol w:w="1001"/>
        <w:gridCol w:w="1099"/>
      </w:tblGrid>
      <w:tr w:rsidR="00A06C83" w:rsidRPr="00852E65" w:rsidTr="007152C2">
        <w:trPr>
          <w:cnfStyle w:val="100000000000" w:firstRow="1" w:lastRow="0" w:firstColumn="0" w:lastColumn="0" w:oddVBand="0" w:evenVBand="0" w:oddHBand="0" w:evenHBand="0" w:firstRowFirstColumn="0" w:firstRowLastColumn="0" w:lastRowFirstColumn="0" w:lastRowLastColumn="0"/>
          <w:cantSplit/>
          <w:trHeight w:val="201"/>
          <w:tblHeader/>
        </w:trPr>
        <w:tc>
          <w:tcPr>
            <w:cnfStyle w:val="001000000000" w:firstRow="0" w:lastRow="0" w:firstColumn="1" w:lastColumn="0" w:oddVBand="0" w:evenVBand="0" w:oddHBand="0" w:evenHBand="0" w:firstRowFirstColumn="0" w:firstRowLastColumn="0" w:lastRowFirstColumn="0" w:lastRowLastColumn="0"/>
            <w:tcW w:w="1644" w:type="pct"/>
            <w:tcBorders>
              <w:bottom w:val="single" w:sz="4" w:space="0" w:color="auto"/>
            </w:tcBorders>
            <w:tcMar>
              <w:left w:w="28" w:type="dxa"/>
              <w:right w:w="28" w:type="dxa"/>
            </w:tcMar>
          </w:tcPr>
          <w:p w:rsidR="00A06C83" w:rsidRPr="00852E65" w:rsidRDefault="00A06C83" w:rsidP="007D5AB9">
            <w:pPr>
              <w:pStyle w:val="TableText"/>
              <w:tabs>
                <w:tab w:val="left" w:pos="2003"/>
              </w:tabs>
            </w:pPr>
            <w:r w:rsidRPr="00852E65">
              <w:tab/>
            </w:r>
          </w:p>
        </w:tc>
        <w:tc>
          <w:tcPr>
            <w:tcW w:w="550"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Year 1</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2018</w:t>
            </w:r>
          </w:p>
        </w:tc>
        <w:tc>
          <w:tcPr>
            <w:tcW w:w="550"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Year 2</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2019</w:t>
            </w:r>
          </w:p>
        </w:tc>
        <w:tc>
          <w:tcPr>
            <w:tcW w:w="550"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Year 3</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2020</w:t>
            </w:r>
          </w:p>
        </w:tc>
        <w:tc>
          <w:tcPr>
            <w:tcW w:w="550"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Year 4</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2021</w:t>
            </w:r>
          </w:p>
        </w:tc>
        <w:tc>
          <w:tcPr>
            <w:tcW w:w="551"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Year 5</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2022</w:t>
            </w:r>
          </w:p>
        </w:tc>
        <w:tc>
          <w:tcPr>
            <w:tcW w:w="605" w:type="pct"/>
            <w:tcBorders>
              <w:bottom w:val="single" w:sz="4" w:space="0" w:color="auto"/>
            </w:tcBorders>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Year 6</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2023</w:t>
            </w:r>
          </w:p>
        </w:tc>
      </w:tr>
      <w:tr w:rsidR="00A06C83" w:rsidRPr="00852E65" w:rsidTr="00A06C83">
        <w:trPr>
          <w:cnfStyle w:val="100000000000" w:firstRow="1" w:lastRow="0" w:firstColumn="0" w:lastColumn="0" w:oddVBand="0" w:evenVBand="0" w:oddHBand="0" w:evenHBand="0" w:firstRowFirstColumn="0" w:firstRowLastColumn="0" w:lastRowFirstColumn="0" w:lastRowLastColumn="0"/>
          <w:cantSplit/>
          <w:trHeight w:val="112"/>
          <w:tblHeader/>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bottom w:val="single" w:sz="4" w:space="0" w:color="auto"/>
            </w:tcBorders>
            <w:noWrap/>
            <w:tcMar>
              <w:top w:w="0" w:type="dxa"/>
              <w:left w:w="28" w:type="dxa"/>
              <w:bottom w:w="0" w:type="dxa"/>
              <w:right w:w="28" w:type="dxa"/>
            </w:tcMar>
            <w:vAlign w:val="center"/>
          </w:tcPr>
          <w:p w:rsidR="00A06C83" w:rsidRPr="00852E65" w:rsidRDefault="00A06C83" w:rsidP="007D5AB9">
            <w:pPr>
              <w:pStyle w:val="TableText"/>
            </w:pPr>
            <w:r w:rsidRPr="00852E65">
              <w:t>Net cost to PBS/RPBS</w:t>
            </w:r>
          </w:p>
        </w:tc>
      </w:tr>
      <w:tr w:rsidR="00A06C83" w:rsidRPr="00852E65" w:rsidTr="007152C2">
        <w:trPr>
          <w:cnfStyle w:val="100000000000" w:firstRow="1" w:lastRow="0" w:firstColumn="0" w:lastColumn="0" w:oddVBand="0" w:evenVBand="0" w:oddHBand="0" w:evenHBand="0" w:firstRowFirstColumn="0" w:firstRowLastColumn="0" w:lastRowFirstColumn="0" w:lastRowLastColumn="0"/>
          <w:cantSplit/>
          <w:trHeight w:val="386"/>
          <w:tblHeader/>
        </w:trPr>
        <w:tc>
          <w:tcPr>
            <w:cnfStyle w:val="001000000000" w:firstRow="0" w:lastRow="0" w:firstColumn="1" w:lastColumn="0" w:oddVBand="0" w:evenVBand="0" w:oddHBand="0" w:evenHBand="0" w:firstRowFirstColumn="0" w:firstRowLastColumn="0" w:lastRowFirstColumn="0" w:lastRowLastColumn="0"/>
            <w:tcW w:w="1644"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pPr>
            <w:r w:rsidRPr="00852E65">
              <w:t>Base case</w:t>
            </w:r>
          </w:p>
        </w:tc>
        <w:tc>
          <w:tcPr>
            <w:tcW w:w="550"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w:t>
            </w:r>
            <w:r w:rsidR="000F1D32">
              <w:rPr>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color w:val="000000"/>
                <w:szCs w:val="20"/>
              </w:rPr>
            </w:pPr>
            <w:r w:rsidRPr="00852E65">
              <w:t>$</w:t>
            </w:r>
            <w:r w:rsidR="000F1D32">
              <w:rPr>
                <w:noProof/>
                <w:color w:val="000000"/>
                <w:highlight w:val="black"/>
              </w:rPr>
              <w:t>''''''''''''''''''''</w:t>
            </w:r>
          </w:p>
        </w:tc>
        <w:tc>
          <w:tcPr>
            <w:tcW w:w="550"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w:t>
            </w:r>
            <w:r w:rsidR="000F1D32">
              <w:rPr>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color w:val="000000"/>
                <w:szCs w:val="20"/>
              </w:rPr>
            </w:pPr>
            <w:r w:rsidRPr="00852E65">
              <w:t>$</w:t>
            </w:r>
            <w:r w:rsidR="000F1D32">
              <w:rPr>
                <w:noProof/>
                <w:color w:val="000000"/>
                <w:highlight w:val="black"/>
              </w:rPr>
              <w:t>''''''''''''''''''''</w:t>
            </w:r>
          </w:p>
        </w:tc>
        <w:tc>
          <w:tcPr>
            <w:tcW w:w="550"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w:t>
            </w:r>
            <w:r w:rsidR="000F1D32">
              <w:rPr>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color w:val="000000"/>
                <w:szCs w:val="20"/>
              </w:rPr>
            </w:pPr>
            <w:r w:rsidRPr="00852E65">
              <w:t>$</w:t>
            </w:r>
            <w:r w:rsidR="000F1D32">
              <w:rPr>
                <w:noProof/>
                <w:color w:val="000000"/>
                <w:highlight w:val="black"/>
              </w:rPr>
              <w:t>'''''''''''''''''''''</w:t>
            </w:r>
          </w:p>
        </w:tc>
        <w:tc>
          <w:tcPr>
            <w:tcW w:w="550"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w:t>
            </w:r>
            <w:r w:rsidR="000F1D32">
              <w:rPr>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color w:val="000000"/>
                <w:szCs w:val="20"/>
              </w:rPr>
            </w:pPr>
            <w:r w:rsidRPr="00852E65">
              <w:t>$</w:t>
            </w:r>
            <w:r w:rsidR="000F1D32">
              <w:rPr>
                <w:noProof/>
                <w:color w:val="000000"/>
                <w:highlight w:val="black"/>
              </w:rPr>
              <w:t>'''''''''''''''''''''</w:t>
            </w:r>
          </w:p>
        </w:tc>
        <w:tc>
          <w:tcPr>
            <w:tcW w:w="551" w:type="pct"/>
            <w:tcBorders>
              <w:bottom w:val="single" w:sz="4" w:space="0" w:color="auto"/>
            </w:tcBorders>
            <w:noWrap/>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w:t>
            </w:r>
            <w:r w:rsidR="000F1D32">
              <w:rPr>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color w:val="000000"/>
                <w:szCs w:val="20"/>
              </w:rPr>
            </w:pPr>
            <w:r w:rsidRPr="00852E65">
              <w:t>$</w:t>
            </w:r>
            <w:r w:rsidR="000F1D32">
              <w:rPr>
                <w:noProof/>
                <w:color w:val="000000"/>
                <w:highlight w:val="black"/>
              </w:rPr>
              <w:t>''''''''''''''''''''''</w:t>
            </w:r>
          </w:p>
        </w:tc>
        <w:tc>
          <w:tcPr>
            <w:tcW w:w="605" w:type="pct"/>
            <w:tcBorders>
              <w:bottom w:val="single" w:sz="4" w:space="0" w:color="auto"/>
            </w:tcBorders>
            <w:tcMar>
              <w:top w:w="0" w:type="dxa"/>
              <w:left w:w="28" w:type="dxa"/>
              <w:bottom w:w="0" w:type="dxa"/>
              <w:right w:w="28" w:type="dxa"/>
            </w:tcMar>
            <w:vAlign w:val="center"/>
            <w:hideMark/>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pPr>
            <w:r w:rsidRPr="00852E65">
              <w:t>$</w:t>
            </w:r>
            <w:r w:rsidR="000F1D32">
              <w:rPr>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color w:val="000000"/>
                <w:szCs w:val="20"/>
              </w:rPr>
            </w:pPr>
            <w:r w:rsidRPr="00852E65">
              <w:t>$</w:t>
            </w:r>
            <w:r w:rsidR="000F1D32">
              <w:rPr>
                <w:noProof/>
                <w:color w:val="000000"/>
                <w:highlight w:val="black"/>
              </w:rPr>
              <w:t>'''''''''''''''''''</w:t>
            </w:r>
          </w:p>
        </w:tc>
      </w:tr>
      <w:tr w:rsidR="00A06C83" w:rsidRPr="00852E65" w:rsidTr="007152C2">
        <w:trPr>
          <w:cnfStyle w:val="100000000000" w:firstRow="1" w:lastRow="0" w:firstColumn="0" w:lastColumn="0" w:oddVBand="0" w:evenVBand="0" w:oddHBand="0" w:evenHBand="0" w:firstRowFirstColumn="0" w:firstRowLastColumn="0" w:lastRowFirstColumn="0" w:lastRowLastColumn="0"/>
          <w:cantSplit/>
          <w:trHeight w:val="386"/>
          <w:tblHeader/>
        </w:trPr>
        <w:tc>
          <w:tcPr>
            <w:cnfStyle w:val="001000000000" w:firstRow="0" w:lastRow="0" w:firstColumn="1" w:lastColumn="0" w:oddVBand="0" w:evenVBand="0" w:oddHBand="0" w:evenHBand="0" w:firstRowFirstColumn="0" w:firstRowLastColumn="0" w:lastRowFirstColumn="0" w:lastRowLastColumn="0"/>
            <w:tcW w:w="1644" w:type="pct"/>
            <w:tcBorders>
              <w:bottom w:val="single" w:sz="4" w:space="0" w:color="auto"/>
            </w:tcBorders>
            <w:noWrap/>
            <w:tcMar>
              <w:top w:w="0" w:type="dxa"/>
              <w:left w:w="28" w:type="dxa"/>
              <w:bottom w:w="0" w:type="dxa"/>
              <w:right w:w="28" w:type="dxa"/>
            </w:tcMar>
            <w:vAlign w:val="center"/>
          </w:tcPr>
          <w:p w:rsidR="00A06C83" w:rsidRPr="00852E65" w:rsidRDefault="00A06C83" w:rsidP="007D5AB9">
            <w:pPr>
              <w:pStyle w:val="TableText"/>
              <w:rPr>
                <w:b w:val="0"/>
              </w:rPr>
            </w:pPr>
            <w:r w:rsidRPr="00852E65">
              <w:rPr>
                <w:b w:val="0"/>
              </w:rPr>
              <w:t xml:space="preserve">Price of </w:t>
            </w:r>
            <w:proofErr w:type="spellStart"/>
            <w:r w:rsidRPr="00852E65">
              <w:rPr>
                <w:b w:val="0"/>
              </w:rPr>
              <w:t>pralatrexate</w:t>
            </w:r>
            <w:proofErr w:type="spellEnd"/>
            <w:r w:rsidRPr="00852E65">
              <w:rPr>
                <w:b w:val="0"/>
              </w:rPr>
              <w:t xml:space="preserve"> (base = $</w:t>
            </w:r>
            <w:r w:rsidR="000F1D32">
              <w:rPr>
                <w:b w:val="0"/>
                <w:noProof/>
                <w:color w:val="000000"/>
                <w:highlight w:val="black"/>
              </w:rPr>
              <w:t>'''''''''''''</w:t>
            </w:r>
            <w:r w:rsidRPr="00852E65">
              <w:rPr>
                <w:b w:val="0"/>
              </w:rPr>
              <w:t>)</w:t>
            </w:r>
          </w:p>
          <w:p w:rsidR="00A06C83" w:rsidRPr="00852E65" w:rsidRDefault="00A06C83" w:rsidP="007D5AB9">
            <w:pPr>
              <w:pStyle w:val="TableText"/>
              <w:rPr>
                <w:b w:val="0"/>
              </w:rPr>
            </w:pPr>
            <w:r w:rsidRPr="00852E65">
              <w:rPr>
                <w:b w:val="0"/>
              </w:rPr>
              <w:t xml:space="preserve">  + 10% ($</w:t>
            </w:r>
            <w:r w:rsidR="000F1D32">
              <w:rPr>
                <w:b w:val="0"/>
                <w:noProof/>
                <w:color w:val="000000"/>
                <w:highlight w:val="black"/>
              </w:rPr>
              <w:t>'''''''''''''</w:t>
            </w:r>
            <w:r w:rsidRPr="00852E65">
              <w:rPr>
                <w:b w:val="0"/>
              </w:rPr>
              <w:t>)</w:t>
            </w:r>
          </w:p>
          <w:p w:rsidR="00A06C83" w:rsidRPr="00852E65" w:rsidRDefault="00A06C83" w:rsidP="007D5AB9">
            <w:pPr>
              <w:pStyle w:val="TableText"/>
              <w:rPr>
                <w:b w:val="0"/>
              </w:rPr>
            </w:pPr>
            <w:r w:rsidRPr="00852E65">
              <w:rPr>
                <w:b w:val="0"/>
              </w:rPr>
              <w:t xml:space="preserve">  - 10% ($</w:t>
            </w:r>
            <w:r w:rsidR="000F1D32">
              <w:rPr>
                <w:b w:val="0"/>
                <w:noProof/>
                <w:color w:val="000000"/>
                <w:highlight w:val="black"/>
              </w:rPr>
              <w:t>''''''''''''</w:t>
            </w:r>
            <w:r w:rsidRPr="00852E65">
              <w:rPr>
                <w:b w:val="0"/>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1"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605" w:type="pct"/>
            <w:tcBorders>
              <w:bottom w:val="single" w:sz="4" w:space="0" w:color="auto"/>
            </w:tcBorders>
            <w:tcMar>
              <w:top w:w="0" w:type="dxa"/>
              <w:left w:w="28" w:type="dxa"/>
              <w:bottom w:w="0" w:type="dxa"/>
              <w:right w:w="28" w:type="dxa"/>
            </w:tcMar>
            <w:vAlign w:val="bottom"/>
          </w:tcPr>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r>
      <w:tr w:rsidR="00A06C83" w:rsidRPr="00852E65" w:rsidTr="007152C2">
        <w:trPr>
          <w:cnfStyle w:val="100000000000" w:firstRow="1" w:lastRow="0" w:firstColumn="0" w:lastColumn="0" w:oddVBand="0" w:evenVBand="0" w:oddHBand="0" w:evenHBand="0" w:firstRowFirstColumn="0" w:firstRowLastColumn="0" w:lastRowFirstColumn="0" w:lastRowLastColumn="0"/>
          <w:cantSplit/>
          <w:trHeight w:val="315"/>
          <w:tblHeader/>
        </w:trPr>
        <w:tc>
          <w:tcPr>
            <w:cnfStyle w:val="001000000000" w:firstRow="0" w:lastRow="0" w:firstColumn="1" w:lastColumn="0" w:oddVBand="0" w:evenVBand="0" w:oddHBand="0" w:evenHBand="0" w:firstRowFirstColumn="0" w:firstRowLastColumn="0" w:lastRowFirstColumn="0" w:lastRowLastColumn="0"/>
            <w:tcW w:w="1644" w:type="pct"/>
            <w:tcBorders>
              <w:bottom w:val="single" w:sz="4" w:space="0" w:color="auto"/>
            </w:tcBorders>
            <w:noWrap/>
            <w:tcMar>
              <w:top w:w="0" w:type="dxa"/>
              <w:left w:w="28" w:type="dxa"/>
              <w:bottom w:w="0" w:type="dxa"/>
              <w:right w:w="28" w:type="dxa"/>
            </w:tcMar>
          </w:tcPr>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 of NHL that is PTCL (base = 15%)</w:t>
            </w:r>
          </w:p>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 xml:space="preserve">  10%</w:t>
            </w:r>
          </w:p>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 xml:space="preserve">  5%</w:t>
            </w:r>
          </w:p>
        </w:tc>
        <w:tc>
          <w:tcPr>
            <w:tcW w:w="550" w:type="pct"/>
            <w:tcBorders>
              <w:bottom w:val="single" w:sz="4" w:space="0" w:color="auto"/>
            </w:tcBorders>
            <w:noWrap/>
            <w:tcMar>
              <w:top w:w="0" w:type="dxa"/>
              <w:left w:w="28" w:type="dxa"/>
              <w:bottom w:w="0" w:type="dxa"/>
              <w:right w:w="28" w:type="dxa"/>
            </w:tcMar>
            <w:vAlign w:val="center"/>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p>
          <w:p w:rsidR="00A06C83" w:rsidRPr="000F1D32"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Cs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center"/>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Cs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center"/>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Cs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center"/>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Cs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1" w:type="pct"/>
            <w:tcBorders>
              <w:bottom w:val="single" w:sz="4" w:space="0" w:color="auto"/>
            </w:tcBorders>
            <w:noWrap/>
            <w:tcMar>
              <w:top w:w="0" w:type="dxa"/>
              <w:left w:w="28" w:type="dxa"/>
              <w:bottom w:w="0" w:type="dxa"/>
              <w:right w:w="28" w:type="dxa"/>
            </w:tcMar>
            <w:vAlign w:val="center"/>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Cs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605" w:type="pct"/>
            <w:tcBorders>
              <w:bottom w:val="single" w:sz="4" w:space="0" w:color="auto"/>
            </w:tcBorders>
            <w:tcMar>
              <w:top w:w="0" w:type="dxa"/>
              <w:left w:w="28" w:type="dxa"/>
              <w:bottom w:w="0" w:type="dxa"/>
              <w:right w:w="28" w:type="dxa"/>
            </w:tcMar>
            <w:vAlign w:val="center"/>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Cs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r>
      <w:tr w:rsidR="00A06C83" w:rsidRPr="00852E65" w:rsidTr="007152C2">
        <w:trPr>
          <w:cnfStyle w:val="100000000000" w:firstRow="1" w:lastRow="0" w:firstColumn="0" w:lastColumn="0" w:oddVBand="0" w:evenVBand="0" w:oddHBand="0" w:evenHBand="0" w:firstRowFirstColumn="0" w:firstRowLastColumn="0" w:lastRowFirstColumn="0" w:lastRowLastColumn="0"/>
          <w:cantSplit/>
          <w:trHeight w:val="315"/>
          <w:tblHeader/>
        </w:trPr>
        <w:tc>
          <w:tcPr>
            <w:cnfStyle w:val="001000000000" w:firstRow="0" w:lastRow="0" w:firstColumn="1" w:lastColumn="0" w:oddVBand="0" w:evenVBand="0" w:oddHBand="0" w:evenHBand="0" w:firstRowFirstColumn="0" w:firstRowLastColumn="0" w:lastRowFirstColumn="0" w:lastRowLastColumn="0"/>
            <w:tcW w:w="1644" w:type="pct"/>
            <w:tcBorders>
              <w:bottom w:val="single" w:sz="4" w:space="0" w:color="auto"/>
            </w:tcBorders>
            <w:noWrap/>
            <w:tcMar>
              <w:top w:w="0" w:type="dxa"/>
              <w:left w:w="28" w:type="dxa"/>
              <w:bottom w:w="0" w:type="dxa"/>
              <w:right w:w="28" w:type="dxa"/>
            </w:tcMar>
          </w:tcPr>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R/R PTCL (base = 68.8%)</w:t>
            </w:r>
          </w:p>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 xml:space="preserve">  52.5% (as per Nov 2015)</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1"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605" w:type="pct"/>
            <w:tcBorders>
              <w:bottom w:val="single" w:sz="4" w:space="0" w:color="auto"/>
            </w:tcBorders>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r>
      <w:tr w:rsidR="00A06C83" w:rsidRPr="00852E65" w:rsidTr="007152C2">
        <w:trPr>
          <w:cnfStyle w:val="100000000000" w:firstRow="1" w:lastRow="0" w:firstColumn="0" w:lastColumn="0" w:oddVBand="0" w:evenVBand="0" w:oddHBand="0" w:evenHBand="0" w:firstRowFirstColumn="0" w:firstRowLastColumn="0" w:lastRowFirstColumn="0" w:lastRowLastColumn="0"/>
          <w:cantSplit/>
          <w:trHeight w:val="315"/>
          <w:tblHeader/>
        </w:trPr>
        <w:tc>
          <w:tcPr>
            <w:cnfStyle w:val="001000000000" w:firstRow="0" w:lastRow="0" w:firstColumn="1" w:lastColumn="0" w:oddVBand="0" w:evenVBand="0" w:oddHBand="0" w:evenHBand="0" w:firstRowFirstColumn="0" w:firstRowLastColumn="0" w:lastRowFirstColumn="0" w:lastRowLastColumn="0"/>
            <w:tcW w:w="1644" w:type="pct"/>
            <w:tcBorders>
              <w:bottom w:val="single" w:sz="4" w:space="0" w:color="auto"/>
            </w:tcBorders>
            <w:noWrap/>
            <w:tcMar>
              <w:top w:w="0" w:type="dxa"/>
              <w:left w:w="28" w:type="dxa"/>
              <w:bottom w:w="0" w:type="dxa"/>
              <w:right w:w="28" w:type="dxa"/>
            </w:tcMar>
          </w:tcPr>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 xml:space="preserve">Uptake in </w:t>
            </w:r>
            <w:r w:rsidR="00E037E2" w:rsidRPr="00852E65">
              <w:rPr>
                <w:rFonts w:eastAsia="Times New Roman"/>
                <w:b w:val="0"/>
                <w:szCs w:val="20"/>
                <w:lang w:eastAsia="en-AU"/>
              </w:rPr>
              <w:t>PTCL (</w:t>
            </w:r>
            <w:r w:rsidRPr="00852E65">
              <w:rPr>
                <w:rFonts w:eastAsia="Times New Roman"/>
                <w:b w:val="0"/>
                <w:szCs w:val="20"/>
                <w:lang w:eastAsia="en-AU"/>
              </w:rPr>
              <w:t>non-</w:t>
            </w:r>
            <w:proofErr w:type="spellStart"/>
            <w:r w:rsidRPr="00852E65">
              <w:rPr>
                <w:rFonts w:eastAsia="Times New Roman"/>
                <w:b w:val="0"/>
                <w:szCs w:val="20"/>
                <w:lang w:eastAsia="en-AU"/>
              </w:rPr>
              <w:t>sALCL</w:t>
            </w:r>
            <w:proofErr w:type="spellEnd"/>
            <w:r w:rsidR="00E037E2" w:rsidRPr="00852E65">
              <w:rPr>
                <w:rFonts w:eastAsia="Times New Roman"/>
                <w:b w:val="0"/>
                <w:szCs w:val="20"/>
                <w:lang w:eastAsia="en-AU"/>
              </w:rPr>
              <w:t>)</w:t>
            </w:r>
            <w:r w:rsidRPr="00852E65">
              <w:rPr>
                <w:rFonts w:eastAsia="Times New Roman"/>
                <w:b w:val="0"/>
                <w:szCs w:val="20"/>
                <w:lang w:eastAsia="en-AU"/>
              </w:rPr>
              <w:t xml:space="preserve"> patients </w:t>
            </w:r>
          </w:p>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w:t>
            </w:r>
            <w:proofErr w:type="gramStart"/>
            <w:r w:rsidRPr="00852E65">
              <w:rPr>
                <w:rFonts w:eastAsia="Times New Roman"/>
                <w:b w:val="0"/>
                <w:szCs w:val="20"/>
                <w:lang w:eastAsia="en-AU"/>
              </w:rPr>
              <w:t>base</w:t>
            </w:r>
            <w:proofErr w:type="gramEnd"/>
            <w:r w:rsidRPr="00852E65">
              <w:rPr>
                <w:rFonts w:eastAsia="Times New Roman"/>
                <w:b w:val="0"/>
                <w:szCs w:val="20"/>
                <w:lang w:eastAsia="en-AU"/>
              </w:rPr>
              <w:t xml:space="preserve">: </w:t>
            </w:r>
            <w:proofErr w:type="spellStart"/>
            <w:r w:rsidRPr="00852E65">
              <w:rPr>
                <w:rFonts w:eastAsia="Times New Roman"/>
                <w:b w:val="0"/>
                <w:szCs w:val="20"/>
                <w:lang w:eastAsia="en-AU"/>
              </w:rPr>
              <w:t>Yr</w:t>
            </w:r>
            <w:proofErr w:type="spellEnd"/>
            <w:r w:rsidRPr="00852E65">
              <w:rPr>
                <w:rFonts w:eastAsia="Times New Roman"/>
                <w:b w:val="0"/>
                <w:szCs w:val="20"/>
                <w:lang w:eastAsia="en-AU"/>
              </w:rPr>
              <w:t xml:space="preserve"> 1: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r w:rsidRPr="00852E65">
              <w:rPr>
                <w:rFonts w:eastAsia="Times New Roman"/>
                <w:b w:val="0"/>
                <w:szCs w:val="20"/>
                <w:lang w:eastAsia="en-AU"/>
              </w:rPr>
              <w:t xml:space="preserve"> to </w:t>
            </w:r>
            <w:proofErr w:type="spellStart"/>
            <w:r w:rsidRPr="00852E65">
              <w:rPr>
                <w:rFonts w:eastAsia="Times New Roman"/>
                <w:b w:val="0"/>
                <w:szCs w:val="20"/>
                <w:lang w:eastAsia="en-AU"/>
              </w:rPr>
              <w:t>Yr</w:t>
            </w:r>
            <w:proofErr w:type="spellEnd"/>
            <w:r w:rsidRPr="00852E65">
              <w:rPr>
                <w:rFonts w:eastAsia="Times New Roman"/>
                <w:b w:val="0"/>
                <w:szCs w:val="20"/>
                <w:lang w:eastAsia="en-AU"/>
              </w:rPr>
              <w:t xml:space="preserve"> 6: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r w:rsidRPr="00852E65">
              <w:rPr>
                <w:rFonts w:eastAsia="Times New Roman"/>
                <w:b w:val="0"/>
                <w:szCs w:val="20"/>
                <w:lang w:eastAsia="en-AU"/>
              </w:rPr>
              <w:t>)</w:t>
            </w:r>
          </w:p>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 xml:space="preserve">   </w:t>
            </w:r>
            <w:proofErr w:type="spellStart"/>
            <w:r w:rsidRPr="00852E65">
              <w:rPr>
                <w:rFonts w:eastAsia="Times New Roman"/>
                <w:b w:val="0"/>
                <w:szCs w:val="20"/>
                <w:lang w:eastAsia="en-AU"/>
              </w:rPr>
              <w:t>Yr</w:t>
            </w:r>
            <w:proofErr w:type="spellEnd"/>
            <w:r w:rsidRPr="00852E65">
              <w:rPr>
                <w:rFonts w:eastAsia="Times New Roman"/>
                <w:b w:val="0"/>
                <w:szCs w:val="20"/>
                <w:lang w:eastAsia="en-AU"/>
              </w:rPr>
              <w:t xml:space="preserve"> 1: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r w:rsidRPr="00852E65">
              <w:rPr>
                <w:rFonts w:eastAsia="Times New Roman"/>
                <w:b w:val="0"/>
                <w:szCs w:val="20"/>
                <w:lang w:eastAsia="en-AU"/>
              </w:rPr>
              <w:t xml:space="preserve"> to </w:t>
            </w:r>
            <w:proofErr w:type="spellStart"/>
            <w:r w:rsidRPr="00852E65">
              <w:rPr>
                <w:rFonts w:eastAsia="Times New Roman"/>
                <w:b w:val="0"/>
                <w:szCs w:val="20"/>
                <w:lang w:eastAsia="en-AU"/>
              </w:rPr>
              <w:t>Yr</w:t>
            </w:r>
            <w:proofErr w:type="spellEnd"/>
            <w:r w:rsidRPr="00852E65">
              <w:rPr>
                <w:rFonts w:eastAsia="Times New Roman"/>
                <w:b w:val="0"/>
                <w:szCs w:val="20"/>
                <w:lang w:eastAsia="en-AU"/>
              </w:rPr>
              <w:t xml:space="preserve"> 6: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1"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605" w:type="pct"/>
            <w:tcBorders>
              <w:bottom w:val="single" w:sz="4" w:space="0" w:color="auto"/>
            </w:tcBorders>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r>
      <w:tr w:rsidR="00A06C83" w:rsidRPr="00852E65" w:rsidTr="00A06C83">
        <w:trPr>
          <w:cnfStyle w:val="100000000000" w:firstRow="1" w:lastRow="0" w:firstColumn="0" w:lastColumn="0" w:oddVBand="0" w:evenVBand="0" w:oddHBand="0" w:evenHBand="0" w:firstRowFirstColumn="0" w:firstRowLastColumn="0" w:lastRowFirstColumn="0" w:lastRowLastColumn="0"/>
          <w:cantSplit/>
          <w:trHeight w:val="315"/>
          <w:tblHeader/>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auto"/>
            </w:tcBorders>
            <w:noWrap/>
            <w:tcMar>
              <w:top w:w="0" w:type="dxa"/>
              <w:left w:w="28" w:type="dxa"/>
              <w:bottom w:w="0" w:type="dxa"/>
              <w:right w:w="28" w:type="dxa"/>
            </w:tcMar>
          </w:tcPr>
          <w:p w:rsidR="00A06C83" w:rsidRPr="00852E65" w:rsidRDefault="00A06C83" w:rsidP="007D5AB9">
            <w:pPr>
              <w:pStyle w:val="TableText"/>
              <w:keepNext w:val="0"/>
            </w:pPr>
            <w:r w:rsidRPr="00852E65">
              <w:t>Net cost to government</w:t>
            </w:r>
          </w:p>
        </w:tc>
      </w:tr>
      <w:tr w:rsidR="00A06C83" w:rsidRPr="00852E65" w:rsidTr="007152C2">
        <w:trPr>
          <w:cnfStyle w:val="100000000000" w:firstRow="1" w:lastRow="0" w:firstColumn="0" w:lastColumn="0" w:oddVBand="0" w:evenVBand="0" w:oddHBand="0" w:evenHBand="0" w:firstRowFirstColumn="0" w:firstRowLastColumn="0" w:lastRowFirstColumn="0" w:lastRowLastColumn="0"/>
          <w:cantSplit/>
          <w:trHeight w:val="315"/>
          <w:tblHeader/>
        </w:trPr>
        <w:tc>
          <w:tcPr>
            <w:cnfStyle w:val="001000000000" w:firstRow="0" w:lastRow="0" w:firstColumn="1" w:lastColumn="0" w:oddVBand="0" w:evenVBand="0" w:oddHBand="0" w:evenHBand="0" w:firstRowFirstColumn="0" w:firstRowLastColumn="0" w:lastRowFirstColumn="0" w:lastRowLastColumn="0"/>
            <w:tcW w:w="1644" w:type="pct"/>
            <w:tcBorders>
              <w:bottom w:val="single" w:sz="4" w:space="0" w:color="auto"/>
            </w:tcBorders>
            <w:noWrap/>
            <w:tcMar>
              <w:top w:w="0" w:type="dxa"/>
              <w:left w:w="28" w:type="dxa"/>
              <w:bottom w:w="0" w:type="dxa"/>
              <w:right w:w="28" w:type="dxa"/>
            </w:tcMar>
          </w:tcPr>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 xml:space="preserve">Rate of SCT </w:t>
            </w:r>
          </w:p>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w:t>
            </w:r>
            <w:proofErr w:type="gramStart"/>
            <w:r w:rsidRPr="00852E65">
              <w:rPr>
                <w:rFonts w:eastAsia="Times New Roman"/>
                <w:b w:val="0"/>
                <w:szCs w:val="20"/>
                <w:lang w:eastAsia="en-AU"/>
              </w:rPr>
              <w:t>base</w:t>
            </w:r>
            <w:proofErr w:type="gramEnd"/>
            <w:r w:rsidRPr="00852E65">
              <w:rPr>
                <w:rFonts w:eastAsia="Times New Roman"/>
                <w:b w:val="0"/>
                <w:szCs w:val="20"/>
                <w:lang w:eastAsia="en-AU"/>
              </w:rPr>
              <w:t xml:space="preserve">: </w:t>
            </w:r>
            <w:proofErr w:type="spellStart"/>
            <w:r w:rsidRPr="00852E65">
              <w:rPr>
                <w:rFonts w:eastAsia="Times New Roman"/>
                <w:b w:val="0"/>
                <w:szCs w:val="20"/>
                <w:lang w:eastAsia="en-AU"/>
              </w:rPr>
              <w:t>Pral</w:t>
            </w:r>
            <w:proofErr w:type="spellEnd"/>
            <w:r w:rsidRPr="00852E65">
              <w:rPr>
                <w:rFonts w:eastAsia="Times New Roman"/>
                <w:b w:val="0"/>
                <w:szCs w:val="20"/>
                <w:lang w:eastAsia="en-AU"/>
              </w:rPr>
              <w:t xml:space="preserve"> =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r w:rsidRPr="00852E65">
              <w:rPr>
                <w:rFonts w:eastAsia="Times New Roman"/>
                <w:b w:val="0"/>
                <w:szCs w:val="20"/>
                <w:lang w:eastAsia="en-AU"/>
              </w:rPr>
              <w:t xml:space="preserve">, Comp =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r w:rsidRPr="00852E65">
              <w:rPr>
                <w:rFonts w:eastAsia="Times New Roman"/>
                <w:b w:val="0"/>
                <w:szCs w:val="20"/>
                <w:lang w:eastAsia="en-AU"/>
              </w:rPr>
              <w:t>)</w:t>
            </w:r>
          </w:p>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 xml:space="preserve">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r w:rsidRPr="00852E65">
              <w:rPr>
                <w:rFonts w:eastAsia="Times New Roman"/>
                <w:b w:val="0"/>
                <w:szCs w:val="20"/>
                <w:lang w:eastAsia="en-AU"/>
              </w:rPr>
              <w:t xml:space="preserve"> and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r w:rsidR="00D738DB" w:rsidRPr="00852E65">
              <w:rPr>
                <w:rFonts w:eastAsia="Times New Roman"/>
                <w:b w:val="0"/>
                <w:szCs w:val="20"/>
                <w:lang w:eastAsia="en-AU"/>
              </w:rPr>
              <w:t xml:space="preserve"> (per econ model)</w:t>
            </w:r>
          </w:p>
          <w:p w:rsidR="00A06C83" w:rsidRPr="00852E65" w:rsidRDefault="00A06C83" w:rsidP="007D5AB9">
            <w:pPr>
              <w:pStyle w:val="TableText"/>
              <w:keepNext w:val="0"/>
              <w:rPr>
                <w:rFonts w:eastAsia="Times New Roman"/>
                <w:b w:val="0"/>
                <w:szCs w:val="20"/>
                <w:lang w:eastAsia="en-AU"/>
              </w:rPr>
            </w:pPr>
            <w:r w:rsidRPr="00852E65">
              <w:rPr>
                <w:rFonts w:eastAsia="Times New Roman"/>
                <w:b w:val="0"/>
                <w:szCs w:val="20"/>
                <w:lang w:eastAsia="en-AU"/>
              </w:rPr>
              <w:t xml:space="preserve">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r w:rsidRPr="00852E65">
              <w:rPr>
                <w:rFonts w:eastAsia="Times New Roman"/>
                <w:b w:val="0"/>
                <w:szCs w:val="20"/>
                <w:lang w:eastAsia="en-AU"/>
              </w:rPr>
              <w:t xml:space="preserve"> and </w:t>
            </w:r>
            <w:r w:rsidR="000F1D32">
              <w:rPr>
                <w:rFonts w:eastAsia="Times New Roman"/>
                <w:b w:val="0"/>
                <w:noProof/>
                <w:color w:val="000000"/>
                <w:szCs w:val="20"/>
                <w:highlight w:val="black"/>
                <w:lang w:eastAsia="en-AU"/>
              </w:rPr>
              <w:t>''''''</w:t>
            </w:r>
            <w:r w:rsidRPr="000F0425">
              <w:rPr>
                <w:rFonts w:eastAsia="Times New Roman"/>
                <w:b w:val="0"/>
                <w:szCs w:val="20"/>
                <w:lang w:eastAsia="en-AU"/>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0"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551" w:type="pct"/>
            <w:tcBorders>
              <w:bottom w:val="single" w:sz="4" w:space="0" w:color="auto"/>
            </w:tcBorders>
            <w:noWrap/>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c>
          <w:tcPr>
            <w:tcW w:w="605" w:type="pct"/>
            <w:tcBorders>
              <w:bottom w:val="single" w:sz="4" w:space="0" w:color="auto"/>
            </w:tcBorders>
            <w:tcMar>
              <w:top w:w="0" w:type="dxa"/>
              <w:left w:w="28" w:type="dxa"/>
              <w:bottom w:w="0" w:type="dxa"/>
              <w:right w:w="28" w:type="dxa"/>
            </w:tcMar>
            <w:vAlign w:val="bottom"/>
          </w:tcPr>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p w:rsidR="00A06C83" w:rsidRPr="00852E65" w:rsidRDefault="00A06C83" w:rsidP="007D5AB9">
            <w:pPr>
              <w:pStyle w:val="TableText"/>
              <w:keepNext w:val="0"/>
              <w:cnfStyle w:val="100000000000" w:firstRow="1" w:lastRow="0" w:firstColumn="0" w:lastColumn="0" w:oddVBand="0" w:evenVBand="0" w:oddHBand="0" w:evenHBand="0" w:firstRowFirstColumn="0" w:firstRowLastColumn="0" w:lastRowFirstColumn="0" w:lastRowLastColumn="0"/>
              <w:rPr>
                <w:b w:val="0"/>
              </w:rPr>
            </w:pPr>
            <w:r w:rsidRPr="00852E65">
              <w:rPr>
                <w:b w:val="0"/>
              </w:rPr>
              <w:t>$</w:t>
            </w:r>
            <w:r w:rsidR="000F1D32">
              <w:rPr>
                <w:b w:val="0"/>
                <w:noProof/>
                <w:color w:val="000000"/>
                <w:highlight w:val="black"/>
              </w:rPr>
              <w:t>'''''''''''''''''''''''''</w:t>
            </w:r>
          </w:p>
        </w:tc>
      </w:tr>
    </w:tbl>
    <w:p w:rsidR="00A06C83" w:rsidRPr="00852E65" w:rsidRDefault="00A06C83" w:rsidP="007D5AB9">
      <w:pPr>
        <w:pStyle w:val="TableFooter"/>
        <w:widowControl/>
      </w:pPr>
      <w:r w:rsidRPr="00852E65">
        <w:t>Source: Calculated during evaluation</w:t>
      </w:r>
    </w:p>
    <w:p w:rsidR="00A06C83" w:rsidRPr="00852E65" w:rsidRDefault="00A06C83" w:rsidP="007D5AB9">
      <w:pPr>
        <w:pStyle w:val="TableFooter"/>
        <w:widowControl/>
        <w:rPr>
          <w:rStyle w:val="FootnoteReference"/>
          <w:rFonts w:eastAsiaTheme="majorEastAsia"/>
        </w:rPr>
      </w:pPr>
      <w:r w:rsidRPr="00852E65">
        <w:t xml:space="preserve">Comp = comparator; NHL = non-Hodgkin lymphoma; PBS = Pharmaceutical Benefits Scheme; </w:t>
      </w:r>
      <w:proofErr w:type="spellStart"/>
      <w:r w:rsidRPr="00852E65">
        <w:t>Pral</w:t>
      </w:r>
      <w:proofErr w:type="spellEnd"/>
      <w:r w:rsidRPr="00852E65">
        <w:t xml:space="preserve"> = </w:t>
      </w:r>
      <w:proofErr w:type="spellStart"/>
      <w:r w:rsidRPr="00852E65">
        <w:t>pralatrexate</w:t>
      </w:r>
      <w:proofErr w:type="spellEnd"/>
      <w:r w:rsidRPr="00852E65">
        <w:t xml:space="preserve">; PTCL = peripheral T-cell lymphoma; RPBS = Repatriation Pharmaceutical Benefits Scheme; R/R = relapsed or refractory; </w:t>
      </w:r>
      <w:proofErr w:type="spellStart"/>
      <w:r w:rsidRPr="00852E65">
        <w:t>sALCL</w:t>
      </w:r>
      <w:proofErr w:type="spellEnd"/>
      <w:r w:rsidRPr="00852E65">
        <w:t xml:space="preserve"> = systemic anaplastic large cell lymphoma; SCT = stem cell transplant; </w:t>
      </w:r>
      <w:proofErr w:type="spellStart"/>
      <w:r w:rsidRPr="00852E65">
        <w:t>Yr</w:t>
      </w:r>
      <w:proofErr w:type="spellEnd"/>
      <w:r w:rsidRPr="00852E65">
        <w:t xml:space="preserve"> = year</w:t>
      </w:r>
    </w:p>
    <w:p w:rsidR="00C317F3" w:rsidRPr="00852E65" w:rsidRDefault="00C317F3" w:rsidP="007D5AB9">
      <w:pPr>
        <w:pStyle w:val="Heading2"/>
      </w:pPr>
      <w:bookmarkStart w:id="35" w:name="_Toc413139286"/>
      <w:bookmarkStart w:id="36" w:name="_Toc482715900"/>
      <w:r w:rsidRPr="00852E65">
        <w:t>Financial Management – Risk Sharing Arrangements</w:t>
      </w:r>
      <w:bookmarkEnd w:id="35"/>
      <w:bookmarkEnd w:id="36"/>
    </w:p>
    <w:p w:rsidR="005C0602" w:rsidRDefault="0017657B" w:rsidP="006B2D41">
      <w:pPr>
        <w:pStyle w:val="ListParagraph"/>
        <w:numPr>
          <w:ilvl w:val="1"/>
          <w:numId w:val="14"/>
        </w:numPr>
        <w:spacing w:before="0" w:after="120"/>
        <w:ind w:hanging="792"/>
        <w:jc w:val="both"/>
      </w:pPr>
      <w:r w:rsidRPr="00852E65">
        <w:t xml:space="preserve">The resubmission requested a Special Pricing Arrangement such that the </w:t>
      </w:r>
      <w:r w:rsidR="00145EB2" w:rsidRPr="00852E65">
        <w:t xml:space="preserve">published ex-manufacturer </w:t>
      </w:r>
      <w:r w:rsidRPr="00852E65">
        <w:t>pric</w:t>
      </w:r>
      <w:r w:rsidR="00145EB2" w:rsidRPr="00852E65">
        <w:t>e</w:t>
      </w:r>
      <w:r w:rsidRPr="00852E65">
        <w:t xml:space="preserve"> </w:t>
      </w:r>
      <w:r w:rsidR="00145EB2" w:rsidRPr="00852E65">
        <w:t xml:space="preserve">per 20 mg vial </w:t>
      </w:r>
      <w:r w:rsidRPr="00852E65">
        <w:t xml:space="preserve">of </w:t>
      </w:r>
      <w:proofErr w:type="spellStart"/>
      <w:r w:rsidRPr="00852E65">
        <w:t>pralatrexate</w:t>
      </w:r>
      <w:proofErr w:type="spellEnd"/>
      <w:r w:rsidRPr="00852E65">
        <w:t xml:space="preserve"> </w:t>
      </w:r>
      <w:r w:rsidR="00145EB2" w:rsidRPr="00852E65">
        <w:t xml:space="preserve">was </w:t>
      </w:r>
      <w:r w:rsidRPr="00852E65">
        <w:t>no less than $</w:t>
      </w:r>
      <w:r w:rsidR="000F1D32">
        <w:rPr>
          <w:noProof/>
          <w:color w:val="000000"/>
          <w:highlight w:val="black"/>
        </w:rPr>
        <w:t>'''''''''''</w:t>
      </w:r>
      <w:r w:rsidRPr="00852E65">
        <w:t xml:space="preserve">.  The resubmission proposed a risk share arrangement </w:t>
      </w:r>
      <w:r w:rsidR="00145EB2" w:rsidRPr="00852E65">
        <w:t xml:space="preserve">to alleviate any concerns the PBAC might have regarding eligible patient numbers. </w:t>
      </w:r>
      <w:r w:rsidR="001E1A52">
        <w:t>The pre-PBAC response (p.3-4) indicated that the sponsor was willing to enter into a risk share agreement to mitigate the uncertainties in the financial estimates.</w:t>
      </w:r>
    </w:p>
    <w:p w:rsidR="00512018" w:rsidRDefault="00F1019D" w:rsidP="00140237">
      <w:pPr>
        <w:rPr>
          <w:b/>
          <w:u w:val="single"/>
        </w:rPr>
      </w:pPr>
      <w:r w:rsidRPr="00CF5E40">
        <w:rPr>
          <w:rFonts w:ascii="Calibri" w:eastAsia="Times New Roman" w:hAnsi="Calibri" w:cs="Times New Roman"/>
          <w:i/>
          <w:szCs w:val="24"/>
        </w:rPr>
        <w:lastRenderedPageBreak/>
        <w:t>For more detail on PBAC’s view, see section 7 “PBAC outcome.”</w:t>
      </w:r>
    </w:p>
    <w:p w:rsidR="00CA217C" w:rsidRPr="006C19DF" w:rsidRDefault="006B2D41" w:rsidP="00CA217C">
      <w:pPr>
        <w:keepNext/>
        <w:keepLines/>
        <w:widowControl w:val="0"/>
        <w:numPr>
          <w:ilvl w:val="0"/>
          <w:numId w:val="19"/>
        </w:numPr>
        <w:spacing w:before="400" w:after="120"/>
        <w:ind w:left="709" w:hanging="709"/>
        <w:jc w:val="both"/>
        <w:outlineLvl w:val="0"/>
        <w:rPr>
          <w:rFonts w:ascii="Calibri" w:eastAsia="MS Gothic" w:hAnsi="Calibri" w:cs="Times New Roman"/>
          <w:b/>
          <w:sz w:val="32"/>
          <w:szCs w:val="28"/>
        </w:rPr>
      </w:pPr>
      <w:r>
        <w:rPr>
          <w:rFonts w:ascii="Calibri" w:eastAsia="MS Gothic" w:hAnsi="Calibri" w:cs="Times New Roman"/>
          <w:b/>
          <w:sz w:val="32"/>
          <w:szCs w:val="28"/>
        </w:rPr>
        <w:t>PBAC Outcome</w:t>
      </w:r>
    </w:p>
    <w:p w:rsidR="00CA217C" w:rsidRPr="00F1019D" w:rsidRDefault="00CA217C" w:rsidP="00CA217C">
      <w:pPr>
        <w:pStyle w:val="ListParagraph"/>
        <w:numPr>
          <w:ilvl w:val="0"/>
          <w:numId w:val="14"/>
        </w:numPr>
        <w:spacing w:before="0" w:after="120"/>
        <w:jc w:val="both"/>
        <w:rPr>
          <w:vanish/>
        </w:rPr>
      </w:pPr>
    </w:p>
    <w:p w:rsidR="00201F41" w:rsidRPr="00201F41" w:rsidRDefault="00201F41" w:rsidP="00201F41">
      <w:pPr>
        <w:pStyle w:val="ListParagraph"/>
        <w:numPr>
          <w:ilvl w:val="1"/>
          <w:numId w:val="14"/>
        </w:numPr>
        <w:spacing w:before="0" w:after="120"/>
        <w:ind w:hanging="792"/>
        <w:jc w:val="both"/>
      </w:pPr>
      <w:r w:rsidRPr="00201F41">
        <w:t xml:space="preserve">The PBAC did not recommend the Authority Required listing for </w:t>
      </w:r>
      <w:proofErr w:type="spellStart"/>
      <w:r w:rsidRPr="00201F41">
        <w:t>pralatrexate</w:t>
      </w:r>
      <w:proofErr w:type="spellEnd"/>
      <w:r w:rsidRPr="00201F41">
        <w:t xml:space="preserve"> for treatment of relapsed or refractory peripheral T-cell lymphoma (PTCL), on the basis of uncertainty about incremental clinical effectiveness over currently available alternative therapies , together with a high burden of AEs, and unacceptably high cost-effectiveness even if the clinical claim was accepted. </w:t>
      </w:r>
    </w:p>
    <w:p w:rsidR="004F5498" w:rsidRPr="001D299D" w:rsidRDefault="004F5498" w:rsidP="004F5498">
      <w:pPr>
        <w:pStyle w:val="ListParagraph"/>
        <w:numPr>
          <w:ilvl w:val="1"/>
          <w:numId w:val="14"/>
        </w:numPr>
        <w:spacing w:before="0" w:after="120"/>
        <w:ind w:hanging="792"/>
        <w:jc w:val="both"/>
      </w:pPr>
      <w:r>
        <w:t xml:space="preserve">The PBAC recalled </w:t>
      </w:r>
      <w:r w:rsidR="00792EF1">
        <w:t>that the</w:t>
      </w:r>
      <w:r>
        <w:t xml:space="preserve"> </w:t>
      </w:r>
      <w:r w:rsidR="00ED4651">
        <w:t xml:space="preserve">previous decisions to </w:t>
      </w:r>
      <w:r w:rsidR="00792EF1">
        <w:t xml:space="preserve">reject </w:t>
      </w:r>
      <w:proofErr w:type="spellStart"/>
      <w:r w:rsidR="00792EF1">
        <w:t>pralatrexate</w:t>
      </w:r>
      <w:proofErr w:type="spellEnd"/>
      <w:r w:rsidR="00792EF1">
        <w:t xml:space="preserve"> at the </w:t>
      </w:r>
      <w:r>
        <w:t xml:space="preserve">November 2015 and March 2016 had considered that a future major resubmission should </w:t>
      </w:r>
      <w:r w:rsidRPr="007C5436">
        <w:t xml:space="preserve">present more robust evidence to demonstrate the comparative efficacy and safety of </w:t>
      </w:r>
      <w:proofErr w:type="spellStart"/>
      <w:r w:rsidRPr="007C5436">
        <w:t>pralatrexate</w:t>
      </w:r>
      <w:proofErr w:type="spellEnd"/>
      <w:r w:rsidRPr="007C5436">
        <w:t xml:space="preserve"> over the comparators, ideally including other evidence of clinical benefit, such as </w:t>
      </w:r>
      <w:proofErr w:type="spellStart"/>
      <w:r>
        <w:t>QoL</w:t>
      </w:r>
      <w:proofErr w:type="spellEnd"/>
      <w:r w:rsidRPr="007C5436">
        <w:t xml:space="preserve"> data; and a substantially updated economic evaluation and revised financial estimates. Furthermore, noting that </w:t>
      </w:r>
      <w:proofErr w:type="spellStart"/>
      <w:r w:rsidRPr="007C5436">
        <w:t>brentuximab</w:t>
      </w:r>
      <w:proofErr w:type="spellEnd"/>
      <w:r w:rsidRPr="007C5436">
        <w:t xml:space="preserve"> for the treatment of adult patients with relapsed or refractory </w:t>
      </w:r>
      <w:proofErr w:type="spellStart"/>
      <w:r>
        <w:t>sALCL</w:t>
      </w:r>
      <w:proofErr w:type="spellEnd"/>
      <w:r w:rsidRPr="007C5436">
        <w:t xml:space="preserve"> was accepted in the ICER range of $45,000 to $75,000/QALY</w:t>
      </w:r>
      <w:r>
        <w:t>,</w:t>
      </w:r>
      <w:r w:rsidRPr="007C5436">
        <w:t xml:space="preserve"> </w:t>
      </w:r>
      <w:r>
        <w:t>the PBAC had considered that</w:t>
      </w:r>
      <w:r w:rsidRPr="007C5436">
        <w:t xml:space="preserve"> given </w:t>
      </w:r>
      <w:r w:rsidR="00792EF1">
        <w:t xml:space="preserve">the </w:t>
      </w:r>
      <w:r w:rsidRPr="007C5436">
        <w:t>uncertain clinical benefit</w:t>
      </w:r>
      <w:r w:rsidR="00792EF1">
        <w:t xml:space="preserve"> of </w:t>
      </w:r>
      <w:proofErr w:type="spellStart"/>
      <w:r w:rsidR="00792EF1">
        <w:t>pralatrexate</w:t>
      </w:r>
      <w:proofErr w:type="spellEnd"/>
      <w:r w:rsidRPr="007C5436">
        <w:t xml:space="preserve">, an ICER at the lower end of this range would be needed in order for </w:t>
      </w:r>
      <w:proofErr w:type="spellStart"/>
      <w:r w:rsidRPr="007C5436">
        <w:t>pralatrexate</w:t>
      </w:r>
      <w:proofErr w:type="spellEnd"/>
      <w:r w:rsidRPr="007C5436">
        <w:t xml:space="preserve"> to be </w:t>
      </w:r>
      <w:r w:rsidR="00792EF1">
        <w:t xml:space="preserve">considered </w:t>
      </w:r>
      <w:r w:rsidRPr="007C5436">
        <w:t>acceptably cost-effective.</w:t>
      </w:r>
      <w:r w:rsidR="00ED4651">
        <w:t xml:space="preserve"> In </w:t>
      </w:r>
      <w:r w:rsidR="00B93DBD">
        <w:t xml:space="preserve">the </w:t>
      </w:r>
      <w:r w:rsidR="00ED4651">
        <w:t xml:space="preserve">July 2017 </w:t>
      </w:r>
      <w:r w:rsidR="00B93DBD">
        <w:t>resubmission</w:t>
      </w:r>
      <w:r w:rsidR="00ED4651">
        <w:t>, the PBAC noted these key considerations were not adequately met.</w:t>
      </w:r>
    </w:p>
    <w:p w:rsidR="004F5498" w:rsidRPr="00EC72C9" w:rsidRDefault="004F5498" w:rsidP="004F5498">
      <w:pPr>
        <w:pStyle w:val="ListParagraph"/>
        <w:numPr>
          <w:ilvl w:val="1"/>
          <w:numId w:val="14"/>
        </w:numPr>
        <w:spacing w:before="0" w:after="120"/>
        <w:ind w:hanging="792"/>
        <w:jc w:val="both"/>
        <w:rPr>
          <w:bCs/>
        </w:rPr>
      </w:pPr>
      <w:r w:rsidRPr="00FC27EF">
        <w:rPr>
          <w:bCs/>
          <w:lang w:val="en-GB"/>
        </w:rPr>
        <w:t xml:space="preserve">The PBAC </w:t>
      </w:r>
      <w:r>
        <w:rPr>
          <w:bCs/>
          <w:lang w:val="en-GB"/>
        </w:rPr>
        <w:t xml:space="preserve">recalled that it had </w:t>
      </w:r>
      <w:r w:rsidRPr="00FC27EF">
        <w:rPr>
          <w:bCs/>
          <w:lang w:val="en-GB"/>
        </w:rPr>
        <w:t xml:space="preserve">considered that a second or later line listing as proposed in the </w:t>
      </w:r>
      <w:r>
        <w:rPr>
          <w:bCs/>
          <w:lang w:val="en-GB"/>
        </w:rPr>
        <w:t>re</w:t>
      </w:r>
      <w:r w:rsidRPr="00FC27EF">
        <w:rPr>
          <w:bCs/>
          <w:lang w:val="en-GB"/>
        </w:rPr>
        <w:t xml:space="preserve">submission was the appropriate clinical place for </w:t>
      </w:r>
      <w:proofErr w:type="spellStart"/>
      <w:r w:rsidRPr="00FC27EF">
        <w:rPr>
          <w:bCs/>
          <w:lang w:val="en-GB"/>
        </w:rPr>
        <w:t>pralatrexate</w:t>
      </w:r>
      <w:proofErr w:type="spellEnd"/>
      <w:r>
        <w:rPr>
          <w:bCs/>
          <w:lang w:val="en-GB"/>
        </w:rPr>
        <w:t xml:space="preserve"> (paragraph 7.8, </w:t>
      </w:r>
      <w:proofErr w:type="spellStart"/>
      <w:r>
        <w:rPr>
          <w:bCs/>
          <w:lang w:val="en-GB"/>
        </w:rPr>
        <w:t>pralatrexate</w:t>
      </w:r>
      <w:proofErr w:type="spellEnd"/>
      <w:r>
        <w:rPr>
          <w:bCs/>
          <w:lang w:val="en-GB"/>
        </w:rPr>
        <w:t xml:space="preserve"> PSD, November 2015)</w:t>
      </w:r>
      <w:r w:rsidRPr="00FC27EF">
        <w:rPr>
          <w:bCs/>
          <w:lang w:val="en-GB"/>
        </w:rPr>
        <w:t xml:space="preserve">. </w:t>
      </w:r>
      <w:r w:rsidRPr="007C5436">
        <w:rPr>
          <w:bCs/>
          <w:lang w:val="en-GB"/>
        </w:rPr>
        <w:t xml:space="preserve">The PBAC accepted that </w:t>
      </w:r>
      <w:r w:rsidR="00390CD5">
        <w:t xml:space="preserve">a </w:t>
      </w:r>
      <w:r w:rsidRPr="00EC72C9">
        <w:t>basket of treatments was the appropriate main comparator</w:t>
      </w:r>
      <w:r w:rsidRPr="007C5436">
        <w:rPr>
          <w:bCs/>
          <w:lang w:val="en-GB"/>
        </w:rPr>
        <w:t xml:space="preserve">, while noting that GND (gemcitabine, </w:t>
      </w:r>
      <w:proofErr w:type="spellStart"/>
      <w:r w:rsidRPr="007C5436">
        <w:rPr>
          <w:bCs/>
          <w:lang w:val="en-GB"/>
        </w:rPr>
        <w:t>vinorelbine</w:t>
      </w:r>
      <w:proofErr w:type="spellEnd"/>
      <w:r w:rsidRPr="007C5436">
        <w:rPr>
          <w:bCs/>
          <w:lang w:val="en-GB"/>
        </w:rPr>
        <w:t xml:space="preserve">, </w:t>
      </w:r>
      <w:proofErr w:type="gramStart"/>
      <w:r w:rsidRPr="007C5436">
        <w:rPr>
          <w:bCs/>
          <w:lang w:val="en-GB"/>
        </w:rPr>
        <w:t>doxorubicin</w:t>
      </w:r>
      <w:proofErr w:type="gramEnd"/>
      <w:r w:rsidRPr="007C5436">
        <w:rPr>
          <w:bCs/>
          <w:lang w:val="en-GB"/>
        </w:rPr>
        <w:t xml:space="preserve">) and </w:t>
      </w:r>
      <w:proofErr w:type="spellStart"/>
      <w:r w:rsidRPr="007C5436">
        <w:rPr>
          <w:bCs/>
          <w:lang w:val="en-GB"/>
        </w:rPr>
        <w:t>romidepsin</w:t>
      </w:r>
      <w:proofErr w:type="spellEnd"/>
      <w:r w:rsidRPr="007C5436">
        <w:rPr>
          <w:bCs/>
          <w:lang w:val="en-GB"/>
        </w:rPr>
        <w:t xml:space="preserve"> were appropriate comparators for </w:t>
      </w:r>
      <w:r>
        <w:rPr>
          <w:bCs/>
          <w:lang w:val="en-GB"/>
        </w:rPr>
        <w:t>the</w:t>
      </w:r>
      <w:r w:rsidRPr="007C5436">
        <w:rPr>
          <w:bCs/>
          <w:lang w:val="en-GB"/>
        </w:rPr>
        <w:t xml:space="preserve"> potential use </w:t>
      </w:r>
      <w:r>
        <w:rPr>
          <w:bCs/>
          <w:lang w:val="en-GB"/>
        </w:rPr>
        <w:t xml:space="preserve">of </w:t>
      </w:r>
      <w:proofErr w:type="spellStart"/>
      <w:r>
        <w:rPr>
          <w:bCs/>
          <w:lang w:val="en-GB"/>
        </w:rPr>
        <w:t>pralatrexate</w:t>
      </w:r>
      <w:proofErr w:type="spellEnd"/>
      <w:r>
        <w:rPr>
          <w:bCs/>
          <w:lang w:val="en-GB"/>
        </w:rPr>
        <w:t xml:space="preserve"> </w:t>
      </w:r>
      <w:r w:rsidRPr="007C5436">
        <w:rPr>
          <w:bCs/>
          <w:lang w:val="en-GB"/>
        </w:rPr>
        <w:t xml:space="preserve">in </w:t>
      </w:r>
      <w:r>
        <w:rPr>
          <w:bCs/>
          <w:lang w:val="en-GB"/>
        </w:rPr>
        <w:t xml:space="preserve">the </w:t>
      </w:r>
      <w:r w:rsidRPr="007C5436">
        <w:rPr>
          <w:bCs/>
          <w:lang w:val="en-GB"/>
        </w:rPr>
        <w:t xml:space="preserve">third line </w:t>
      </w:r>
      <w:r>
        <w:rPr>
          <w:bCs/>
          <w:lang w:val="en-GB"/>
        </w:rPr>
        <w:t>setting</w:t>
      </w:r>
      <w:r w:rsidRPr="007C5436">
        <w:rPr>
          <w:bCs/>
          <w:lang w:val="en-GB"/>
        </w:rPr>
        <w:t xml:space="preserve">, after progression on </w:t>
      </w:r>
      <w:proofErr w:type="spellStart"/>
      <w:r>
        <w:rPr>
          <w:bCs/>
          <w:lang w:val="en-GB"/>
        </w:rPr>
        <w:t>brentuximab</w:t>
      </w:r>
      <w:proofErr w:type="spellEnd"/>
      <w:r>
        <w:rPr>
          <w:bCs/>
          <w:lang w:val="en-GB"/>
        </w:rPr>
        <w:t xml:space="preserve"> or other treatments from the submission’s nominated basket of treatments in the second line.</w:t>
      </w:r>
      <w:r w:rsidDel="00B33B75">
        <w:rPr>
          <w:bCs/>
          <w:lang w:val="en-GB"/>
        </w:rPr>
        <w:t xml:space="preserve"> </w:t>
      </w:r>
      <w:r>
        <w:rPr>
          <w:bCs/>
          <w:lang w:val="en-GB"/>
        </w:rPr>
        <w:t xml:space="preserve">The PBAC advised that </w:t>
      </w:r>
      <w:proofErr w:type="spellStart"/>
      <w:r>
        <w:rPr>
          <w:bCs/>
          <w:lang w:val="en-GB"/>
        </w:rPr>
        <w:t>brentuximab</w:t>
      </w:r>
      <w:proofErr w:type="spellEnd"/>
      <w:r>
        <w:rPr>
          <w:bCs/>
          <w:lang w:val="en-GB"/>
        </w:rPr>
        <w:t xml:space="preserve"> was expected to remain the preferred choice of treatment for the </w:t>
      </w:r>
      <w:proofErr w:type="spellStart"/>
      <w:r>
        <w:rPr>
          <w:bCs/>
          <w:lang w:val="en-GB"/>
        </w:rPr>
        <w:t>sALCL</w:t>
      </w:r>
      <w:proofErr w:type="spellEnd"/>
      <w:r>
        <w:rPr>
          <w:bCs/>
          <w:lang w:val="en-GB"/>
        </w:rPr>
        <w:t xml:space="preserve"> subtype of PTCL</w:t>
      </w:r>
      <w:r w:rsidR="00E7632B">
        <w:rPr>
          <w:bCs/>
          <w:lang w:val="en-GB"/>
        </w:rPr>
        <w:t xml:space="preserve"> and was most likely to be used prior to </w:t>
      </w:r>
      <w:proofErr w:type="spellStart"/>
      <w:r w:rsidR="00E7632B">
        <w:rPr>
          <w:bCs/>
          <w:lang w:val="en-GB"/>
        </w:rPr>
        <w:t>pralatrexate</w:t>
      </w:r>
      <w:proofErr w:type="spellEnd"/>
      <w:r>
        <w:rPr>
          <w:bCs/>
          <w:lang w:val="en-GB"/>
        </w:rPr>
        <w:t xml:space="preserve">, as confirmed by the sponsor hearing for this resubmission, and therefore it was inappropriate to have included </w:t>
      </w:r>
      <w:proofErr w:type="spellStart"/>
      <w:r>
        <w:rPr>
          <w:bCs/>
          <w:lang w:val="en-GB"/>
        </w:rPr>
        <w:t>brentuximab</w:t>
      </w:r>
      <w:proofErr w:type="spellEnd"/>
      <w:r>
        <w:rPr>
          <w:bCs/>
          <w:lang w:val="en-GB"/>
        </w:rPr>
        <w:t xml:space="preserve"> in the nominated basket of comparators. This was reaffirmed by the fact that only one patient was treated with </w:t>
      </w:r>
      <w:proofErr w:type="spellStart"/>
      <w:r>
        <w:rPr>
          <w:bCs/>
          <w:lang w:val="en-GB"/>
        </w:rPr>
        <w:t>brentuximab</w:t>
      </w:r>
      <w:proofErr w:type="spellEnd"/>
      <w:r>
        <w:rPr>
          <w:bCs/>
          <w:lang w:val="en-GB"/>
        </w:rPr>
        <w:t xml:space="preserve"> in the evidence presented from historical control cohorts.</w:t>
      </w:r>
    </w:p>
    <w:p w:rsidR="004F5498" w:rsidRDefault="004F5498" w:rsidP="004F5498">
      <w:pPr>
        <w:pStyle w:val="ListParagraph"/>
        <w:numPr>
          <w:ilvl w:val="1"/>
          <w:numId w:val="14"/>
        </w:numPr>
        <w:spacing w:before="0" w:after="120"/>
        <w:ind w:hanging="792"/>
        <w:jc w:val="both"/>
      </w:pPr>
      <w:r w:rsidRPr="00A5101C">
        <w:t xml:space="preserve">The PBAC noted that addressing the Committee’s previous concerns regarding the method used in the matched controlled analysis to determine </w:t>
      </w:r>
      <w:r w:rsidR="0071033C">
        <w:t>OS</w:t>
      </w:r>
      <w:r w:rsidRPr="00A5101C">
        <w:t xml:space="preserve">, this resubmission used a comparative analysis set of patients from the key </w:t>
      </w:r>
      <w:r>
        <w:t>s</w:t>
      </w:r>
      <w:r w:rsidRPr="00913B26">
        <w:t>ingle-arm, open label</w:t>
      </w:r>
      <w:r>
        <w:t xml:space="preserve"> </w:t>
      </w:r>
      <w:proofErr w:type="spellStart"/>
      <w:r>
        <w:t>pralatrexate</w:t>
      </w:r>
      <w:proofErr w:type="spellEnd"/>
      <w:r>
        <w:t xml:space="preserve"> study PDX-008 (</w:t>
      </w:r>
      <w:r w:rsidRPr="000F0425">
        <w:t>N = 115</w:t>
      </w:r>
      <w:r>
        <w:t xml:space="preserve">), </w:t>
      </w:r>
      <w:r w:rsidRPr="00A5101C">
        <w:t xml:space="preserve">and </w:t>
      </w:r>
      <w:r>
        <w:t>a combined historical cohort consisting of data from four international (</w:t>
      </w:r>
      <w:r w:rsidRPr="000F0425">
        <w:t xml:space="preserve">N = </w:t>
      </w:r>
      <w:r w:rsidR="000F1D32">
        <w:rPr>
          <w:noProof/>
          <w:color w:val="000000"/>
          <w:highlight w:val="black"/>
        </w:rPr>
        <w:t>''''''''</w:t>
      </w:r>
      <w:r>
        <w:t xml:space="preserve"> and one Australian (</w:t>
      </w:r>
      <w:r w:rsidRPr="000F0425">
        <w:t xml:space="preserve">N = </w:t>
      </w:r>
      <w:r w:rsidR="000F1D32">
        <w:rPr>
          <w:noProof/>
          <w:color w:val="000000"/>
          <w:highlight w:val="black"/>
        </w:rPr>
        <w:t>'''''</w:t>
      </w:r>
      <w:r>
        <w:t>) control cohorts. The PBAC noted that the</w:t>
      </w:r>
      <w:r w:rsidRPr="00913B26">
        <w:t xml:space="preserve"> treatments received by patients in the historical control cohort were not representative of the nominated ba</w:t>
      </w:r>
      <w:r>
        <w:t xml:space="preserve">sket of comparator treatments, </w:t>
      </w:r>
      <w:r>
        <w:lastRenderedPageBreak/>
        <w:t>given that a</w:t>
      </w:r>
      <w:r w:rsidRPr="00913B26">
        <w:t xml:space="preserve">pproximately </w:t>
      </w:r>
      <w:r w:rsidR="000F1D32">
        <w:rPr>
          <w:noProof/>
          <w:color w:val="000000"/>
          <w:highlight w:val="black"/>
        </w:rPr>
        <w:t>'''''</w:t>
      </w:r>
      <w:r w:rsidRPr="000F0425">
        <w:t>%</w:t>
      </w:r>
      <w:r w:rsidRPr="00913B26">
        <w:t xml:space="preserve"> of patients from the international database had not received a therapy from the basket of comparator treatments as their most recent therapy.</w:t>
      </w:r>
      <w:r>
        <w:t xml:space="preserve"> </w:t>
      </w:r>
    </w:p>
    <w:p w:rsidR="004F5498" w:rsidRDefault="004F5498" w:rsidP="004F5498">
      <w:pPr>
        <w:pStyle w:val="ListParagraph"/>
        <w:numPr>
          <w:ilvl w:val="1"/>
          <w:numId w:val="14"/>
        </w:numPr>
        <w:spacing w:before="0" w:after="120"/>
        <w:ind w:hanging="792"/>
        <w:jc w:val="both"/>
      </w:pPr>
      <w:r>
        <w:t>The PBAC maintained that the clinical evidence presented in the resubmission was insufficient in establishing a meaningful survival benefit, as:</w:t>
      </w:r>
    </w:p>
    <w:p w:rsidR="004F5498" w:rsidRDefault="004F5498" w:rsidP="004F5498">
      <w:pPr>
        <w:pStyle w:val="ListParagraph"/>
        <w:numPr>
          <w:ilvl w:val="2"/>
          <w:numId w:val="14"/>
        </w:numPr>
        <w:spacing w:before="0" w:after="120"/>
        <w:jc w:val="both"/>
      </w:pPr>
      <w:r w:rsidRPr="002F18B0">
        <w:t>key confounders</w:t>
      </w:r>
      <w:r>
        <w:t xml:space="preserve">, particularly </w:t>
      </w:r>
      <w:r w:rsidRPr="002F18B0">
        <w:t xml:space="preserve">prognostic factors such as LDH, </w:t>
      </w:r>
      <w:proofErr w:type="spellStart"/>
      <w:r w:rsidRPr="002F18B0">
        <w:t>extranodal</w:t>
      </w:r>
      <w:proofErr w:type="spellEnd"/>
      <w:r w:rsidRPr="002F18B0">
        <w:t xml:space="preserve"> disease, stage, presence or absence of B symptoms</w:t>
      </w:r>
      <w:r>
        <w:t>,</w:t>
      </w:r>
      <w:r w:rsidRPr="002F18B0">
        <w:t xml:space="preserve"> </w:t>
      </w:r>
      <w:r>
        <w:t>were</w:t>
      </w:r>
      <w:r w:rsidRPr="002F18B0">
        <w:t xml:space="preserve"> imbalanced a</w:t>
      </w:r>
      <w:r>
        <w:t>cross the three patient cohorts;</w:t>
      </w:r>
    </w:p>
    <w:p w:rsidR="004F5498" w:rsidRDefault="0071033C" w:rsidP="004F5498">
      <w:pPr>
        <w:pStyle w:val="ListParagraph"/>
        <w:numPr>
          <w:ilvl w:val="2"/>
          <w:numId w:val="14"/>
        </w:numPr>
        <w:spacing w:before="0" w:after="120"/>
        <w:jc w:val="both"/>
      </w:pPr>
      <w:r>
        <w:t>OS</w:t>
      </w:r>
      <w:r w:rsidR="004F5498" w:rsidRPr="002F18B0">
        <w:t xml:space="preserve"> in the combined historical control cohort (</w:t>
      </w:r>
      <w:r w:rsidR="000F1D32">
        <w:rPr>
          <w:noProof/>
          <w:color w:val="000000"/>
          <w:highlight w:val="black"/>
        </w:rPr>
        <w:t>''''''</w:t>
      </w:r>
      <w:r w:rsidR="004F5498" w:rsidRPr="000F0425">
        <w:t xml:space="preserve"> months</w:t>
      </w:r>
      <w:r w:rsidR="004F5498" w:rsidRPr="002F18B0">
        <w:t xml:space="preserve"> (95% CI: </w:t>
      </w:r>
      <w:r w:rsidR="004F5498" w:rsidRPr="000F0425">
        <w:t xml:space="preserve">4.1, </w:t>
      </w:r>
      <w:r w:rsidR="000F1D32">
        <w:rPr>
          <w:noProof/>
          <w:color w:val="000000"/>
          <w:highlight w:val="black"/>
        </w:rPr>
        <w:t>''''''</w:t>
      </w:r>
      <w:r w:rsidR="004F5498" w:rsidRPr="002F18B0">
        <w:t xml:space="preserve">)) underestimated the median </w:t>
      </w:r>
      <w:r>
        <w:t>OS</w:t>
      </w:r>
      <w:r w:rsidR="004F5498" w:rsidRPr="002F18B0">
        <w:t xml:space="preserve"> for patients with </w:t>
      </w:r>
      <w:r w:rsidR="004F5498">
        <w:t>PTCL</w:t>
      </w:r>
      <w:r w:rsidR="004F5498" w:rsidRPr="002F18B0">
        <w:t xml:space="preserve"> in Australia</w:t>
      </w:r>
      <w:r w:rsidR="004F5498">
        <w:t>;</w:t>
      </w:r>
      <w:r w:rsidR="004F5498" w:rsidRPr="002F18B0">
        <w:t xml:space="preserve"> </w:t>
      </w:r>
    </w:p>
    <w:p w:rsidR="004F5498" w:rsidRDefault="004F5498" w:rsidP="004F5498">
      <w:pPr>
        <w:pStyle w:val="ListParagraph"/>
        <w:numPr>
          <w:ilvl w:val="2"/>
          <w:numId w:val="14"/>
        </w:numPr>
        <w:spacing w:before="0" w:after="120"/>
        <w:jc w:val="both"/>
      </w:pPr>
      <w:proofErr w:type="gramStart"/>
      <w:r w:rsidRPr="00E671AB">
        <w:t>the</w:t>
      </w:r>
      <w:proofErr w:type="gramEnd"/>
      <w:r w:rsidRPr="00E671AB">
        <w:t xml:space="preserve"> Australian </w:t>
      </w:r>
      <w:r>
        <w:t xml:space="preserve">control </w:t>
      </w:r>
      <w:r w:rsidRPr="00E671AB">
        <w:t>cohort</w:t>
      </w:r>
      <w:r>
        <w:t xml:space="preserve">, </w:t>
      </w:r>
      <w:r w:rsidRPr="00E671AB">
        <w:t xml:space="preserve">although </w:t>
      </w:r>
      <w:r>
        <w:t>c</w:t>
      </w:r>
      <w:r w:rsidRPr="00E671AB">
        <w:t>linical</w:t>
      </w:r>
      <w:r>
        <w:t>ly relevant</w:t>
      </w:r>
      <w:r w:rsidRPr="00E671AB">
        <w:t>, was small, and therefore any comparisons conducted were statistically underpowered and unreliable.</w:t>
      </w:r>
    </w:p>
    <w:p w:rsidR="004F5498" w:rsidRPr="00913B26" w:rsidRDefault="001459AF" w:rsidP="001459AF">
      <w:pPr>
        <w:pStyle w:val="ListParagraph"/>
        <w:numPr>
          <w:ilvl w:val="1"/>
          <w:numId w:val="14"/>
        </w:numPr>
        <w:spacing w:before="0" w:after="120"/>
        <w:ind w:hanging="792"/>
        <w:jc w:val="both"/>
      </w:pPr>
      <w:r w:rsidRPr="001459AF">
        <w:t xml:space="preserve">The </w:t>
      </w:r>
      <w:r>
        <w:t>PBAC noted the pre-PBAC</w:t>
      </w:r>
      <w:r w:rsidRPr="001459AF">
        <w:t xml:space="preserve"> response on th</w:t>
      </w:r>
      <w:r>
        <w:t>e above issues</w:t>
      </w:r>
      <w:r w:rsidRPr="001459AF">
        <w:t xml:space="preserve">, including the arguments against the relevance of the </w:t>
      </w:r>
      <w:r w:rsidR="00AE2016">
        <w:t xml:space="preserve">potential confounding </w:t>
      </w:r>
      <w:r w:rsidRPr="001459AF">
        <w:t xml:space="preserve">factors identified by ESC (except for performance status). Nevertheless, the fundamental flaw in the data presented remains – the </w:t>
      </w:r>
      <w:r w:rsidR="00DF735E">
        <w:t>submissi</w:t>
      </w:r>
      <w:r w:rsidRPr="001459AF">
        <w:t xml:space="preserve">on compares outcomes of patients prospectively accrued into a clinical trial requiring strict entry criteria and who could receive further lines of therapy after </w:t>
      </w:r>
      <w:proofErr w:type="spellStart"/>
      <w:r w:rsidRPr="001459AF">
        <w:t>pralatrexate</w:t>
      </w:r>
      <w:proofErr w:type="spellEnd"/>
      <w:r w:rsidRPr="001459AF">
        <w:t xml:space="preserve">, with patients treated non-contemporaneously and without strict entry criteria, and only using data from their last line of therapy. This confounding cannot be overcome fully, neither by approaches taken in the current </w:t>
      </w:r>
      <w:r w:rsidR="009A608D">
        <w:t>re</w:t>
      </w:r>
      <w:r w:rsidR="00DF735E">
        <w:t>submiss</w:t>
      </w:r>
      <w:r w:rsidRPr="001459AF">
        <w:t xml:space="preserve">ion, nor the matched analysis used previously. </w:t>
      </w:r>
      <w:r w:rsidR="00B93DBD">
        <w:t>The</w:t>
      </w:r>
      <w:r w:rsidR="004F5498">
        <w:t xml:space="preserve"> PBAC therefore considered that the </w:t>
      </w:r>
      <w:r w:rsidR="003459C4" w:rsidRPr="003459C4">
        <w:rPr>
          <w:lang w:val="en-US"/>
        </w:rPr>
        <w:t>survival benefit has not been prove</w:t>
      </w:r>
      <w:r w:rsidR="003459C4">
        <w:rPr>
          <w:lang w:val="en-US"/>
        </w:rPr>
        <w:t>n</w:t>
      </w:r>
      <w:r w:rsidR="003459C4" w:rsidRPr="003459C4">
        <w:rPr>
          <w:lang w:val="en-US"/>
        </w:rPr>
        <w:t xml:space="preserve"> and that the incremental clinical benefits are highly uncertain</w:t>
      </w:r>
      <w:r w:rsidR="003459C4">
        <w:t>.</w:t>
      </w:r>
      <w:r w:rsidR="004F5498">
        <w:t xml:space="preserve"> </w:t>
      </w:r>
      <w:r w:rsidR="003459C4">
        <w:t>T</w:t>
      </w:r>
      <w:r w:rsidR="004F5498">
        <w:t>he submission’s claim of superior comparative effectiveness against the nominated basket of treatments remained unsupported.</w:t>
      </w:r>
    </w:p>
    <w:p w:rsidR="004F5498" w:rsidRPr="005A1CC2" w:rsidRDefault="004F5498" w:rsidP="004F5498">
      <w:pPr>
        <w:pStyle w:val="ListParagraph"/>
        <w:numPr>
          <w:ilvl w:val="1"/>
          <w:numId w:val="14"/>
        </w:numPr>
        <w:spacing w:before="0" w:after="120"/>
        <w:ind w:hanging="792"/>
        <w:jc w:val="both"/>
      </w:pPr>
      <w:r>
        <w:t xml:space="preserve">The PBAC considered that </w:t>
      </w:r>
      <w:proofErr w:type="spellStart"/>
      <w:r>
        <w:t>pralatrexate</w:t>
      </w:r>
      <w:proofErr w:type="spellEnd"/>
      <w:r>
        <w:t xml:space="preserve"> had a different safety profile compared to the resubmission’s nominated basket of treatments, noting the high burden of </w:t>
      </w:r>
      <w:r w:rsidR="007D0044">
        <w:t>AEs</w:t>
      </w:r>
      <w:r>
        <w:t xml:space="preserve"> in the PDX-008 study that included </w:t>
      </w:r>
      <w:r w:rsidR="003C298A">
        <w:t>mucosal inflammation (68%)</w:t>
      </w:r>
      <w:r>
        <w:t xml:space="preserve">, nausea (33%), fatigue (30%), thrombocytopenia (40%), leading to 23% treatment discontinuations as a result of AEs. The PBAC also noted the pre-PBAC response (p.2) claimed that </w:t>
      </w:r>
      <w:proofErr w:type="spellStart"/>
      <w:r>
        <w:t>pralatrexate</w:t>
      </w:r>
      <w:proofErr w:type="spellEnd"/>
      <w:r>
        <w:t xml:space="preserve"> did not demonstrate any significant cumulative toxicity, </w:t>
      </w:r>
      <w:proofErr w:type="gramStart"/>
      <w:r>
        <w:t>nor</w:t>
      </w:r>
      <w:proofErr w:type="gramEnd"/>
      <w:r>
        <w:t xml:space="preserve"> any adverse impact on </w:t>
      </w:r>
      <w:proofErr w:type="spellStart"/>
      <w:r w:rsidR="0071033C">
        <w:t>QoL</w:t>
      </w:r>
      <w:proofErr w:type="spellEnd"/>
      <w:r>
        <w:t xml:space="preserve">, making it suitable for longer term </w:t>
      </w:r>
      <w:r w:rsidRPr="003C298A">
        <w:t>therapy</w:t>
      </w:r>
      <w:r w:rsidRPr="003C298A">
        <w:rPr>
          <w:rStyle w:val="FootnoteReference"/>
        </w:rPr>
        <w:footnoteReference w:id="1"/>
      </w:r>
      <w:r w:rsidRPr="003C298A">
        <w:t xml:space="preserve">. </w:t>
      </w:r>
      <w:r w:rsidR="003C298A" w:rsidRPr="003C298A">
        <w:t xml:space="preserve">The PBAC noted the lack of </w:t>
      </w:r>
      <w:proofErr w:type="spellStart"/>
      <w:r w:rsidR="003C298A" w:rsidRPr="003C298A">
        <w:t>Q</w:t>
      </w:r>
      <w:r w:rsidR="0071033C">
        <w:t>o</w:t>
      </w:r>
      <w:r w:rsidR="003C298A" w:rsidRPr="003C298A">
        <w:t>L</w:t>
      </w:r>
      <w:proofErr w:type="spellEnd"/>
      <w:r w:rsidR="003C298A" w:rsidRPr="003C298A">
        <w:t xml:space="preserve"> data to provide support for the claim of improved tolerability. The PBAC noted that 20.7% of patients treated with </w:t>
      </w:r>
      <w:proofErr w:type="spellStart"/>
      <w:r w:rsidR="003C298A" w:rsidRPr="003C298A">
        <w:t>pralatrexate</w:t>
      </w:r>
      <w:proofErr w:type="spellEnd"/>
      <w:r w:rsidR="003C298A" w:rsidRPr="003C298A">
        <w:t xml:space="preserve"> experienced Grade 3 or 4 mucositis which represents major morbidity; that 23% of patients discontinued due to </w:t>
      </w:r>
      <w:r w:rsidR="007D0044">
        <w:t>AEs</w:t>
      </w:r>
      <w:r w:rsidR="003C298A" w:rsidRPr="003C298A">
        <w:t>, and that 1.2% (95% CI 0.2</w:t>
      </w:r>
      <w:r w:rsidR="006D7BD4">
        <w:t>,</w:t>
      </w:r>
      <w:r w:rsidR="003C298A" w:rsidRPr="003C298A">
        <w:t xml:space="preserve"> 5.5%) of patients died of toxicity.</w:t>
      </w:r>
      <w:r w:rsidR="003C298A">
        <w:t xml:space="preserve"> </w:t>
      </w:r>
      <w:r w:rsidR="00AE2016" w:rsidRPr="0072747F">
        <w:t>The PBAC agreed that safety was non-inferior to other chemotherapy regimens, but that the rates of severe mucositis and discontinuations due to adverse events were substantial and indicated that the treatment had significant toxicity.</w:t>
      </w:r>
    </w:p>
    <w:p w:rsidR="00512018" w:rsidRPr="00FA4C51" w:rsidRDefault="004F5498" w:rsidP="00512018">
      <w:pPr>
        <w:pStyle w:val="ListParagraph"/>
        <w:numPr>
          <w:ilvl w:val="1"/>
          <w:numId w:val="14"/>
        </w:numPr>
        <w:spacing w:before="0" w:after="120"/>
        <w:ind w:hanging="792"/>
        <w:jc w:val="both"/>
      </w:pPr>
      <w:r>
        <w:lastRenderedPageBreak/>
        <w:t>The PBAC recalled that i</w:t>
      </w:r>
      <w:r w:rsidRPr="00913B26">
        <w:t>n</w:t>
      </w:r>
      <w:r>
        <w:t xml:space="preserve"> its</w:t>
      </w:r>
      <w:r w:rsidRPr="00913B26">
        <w:t xml:space="preserve"> November 2015 </w:t>
      </w:r>
      <w:r>
        <w:t xml:space="preserve">consideration of </w:t>
      </w:r>
      <w:proofErr w:type="spellStart"/>
      <w:r>
        <w:t>pralatrexate</w:t>
      </w:r>
      <w:proofErr w:type="spellEnd"/>
      <w:r>
        <w:t xml:space="preserve">, the Committee had </w:t>
      </w:r>
      <w:r w:rsidRPr="00913B26">
        <w:t>considered that the economic evaluat</w:t>
      </w:r>
      <w:r>
        <w:t xml:space="preserve">ion was neither informative nor </w:t>
      </w:r>
      <w:r w:rsidRPr="00913B26">
        <w:t>meaningful</w:t>
      </w:r>
      <w:r>
        <w:t>,</w:t>
      </w:r>
      <w:r w:rsidRPr="00913B26">
        <w:t xml:space="preserve"> given the clinical evidence did not support the clinical claim (paragraph 7.6, </w:t>
      </w:r>
      <w:proofErr w:type="spellStart"/>
      <w:r>
        <w:t>pralatrexate</w:t>
      </w:r>
      <w:proofErr w:type="spellEnd"/>
      <w:r>
        <w:t xml:space="preserve"> PSD, </w:t>
      </w:r>
      <w:r w:rsidRPr="00913B26">
        <w:t xml:space="preserve">November 2015). </w:t>
      </w:r>
      <w:r>
        <w:t>The PBAC noted that several structural improvements were incorporated in the economic model presented in this resubmission</w:t>
      </w:r>
      <w:r w:rsidRPr="00913B26">
        <w:t xml:space="preserve">, </w:t>
      </w:r>
      <w:r>
        <w:t xml:space="preserve">however: </w:t>
      </w:r>
    </w:p>
    <w:p w:rsidR="004F5498" w:rsidRDefault="0071033C" w:rsidP="004F5498">
      <w:pPr>
        <w:pStyle w:val="ListParagraph"/>
        <w:numPr>
          <w:ilvl w:val="2"/>
          <w:numId w:val="14"/>
        </w:numPr>
        <w:spacing w:before="0" w:after="120"/>
        <w:jc w:val="both"/>
      </w:pPr>
      <w:r>
        <w:t>OS</w:t>
      </w:r>
      <w:r w:rsidR="004F5498" w:rsidRPr="00012624">
        <w:t xml:space="preserve"> for </w:t>
      </w:r>
      <w:proofErr w:type="spellStart"/>
      <w:r w:rsidR="004F5498" w:rsidRPr="00012624">
        <w:t>pralatrexate</w:t>
      </w:r>
      <w:proofErr w:type="spellEnd"/>
      <w:r w:rsidR="004F5498" w:rsidRPr="00012624">
        <w:t xml:space="preserve"> patients was overestimated (</w:t>
      </w:r>
      <w:r w:rsidR="000F1D32">
        <w:rPr>
          <w:noProof/>
          <w:color w:val="000000"/>
          <w:highlight w:val="black"/>
        </w:rPr>
        <w:t>'''''''''</w:t>
      </w:r>
      <w:r w:rsidR="004F5498" w:rsidRPr="000F0425">
        <w:t xml:space="preserve"> months</w:t>
      </w:r>
      <w:r w:rsidR="004F5498" w:rsidRPr="00012624">
        <w:t>) in the economic model, when compared to results from PDX-008 (</w:t>
      </w:r>
      <w:r w:rsidR="004F5498" w:rsidRPr="0056398F">
        <w:t>14.7 months</w:t>
      </w:r>
      <w:r w:rsidR="004F5498">
        <w:t>);</w:t>
      </w:r>
    </w:p>
    <w:p w:rsidR="004F5498" w:rsidRDefault="004F5498" w:rsidP="00D8320C">
      <w:pPr>
        <w:pStyle w:val="ListParagraph"/>
        <w:numPr>
          <w:ilvl w:val="2"/>
          <w:numId w:val="14"/>
        </w:numPr>
        <w:spacing w:before="0" w:after="120"/>
        <w:jc w:val="both"/>
      </w:pPr>
      <w:r>
        <w:t>The comparator costs presented in the economic model in this resubmission was $</w:t>
      </w:r>
      <w:r w:rsidR="000F1D32">
        <w:rPr>
          <w:noProof/>
          <w:color w:val="000000"/>
          <w:highlight w:val="black"/>
        </w:rPr>
        <w:t>'''''''''''''</w:t>
      </w:r>
      <w:r>
        <w:t>, which was higher than comparator costs of $</w:t>
      </w:r>
      <w:r w:rsidR="000F1D32">
        <w:rPr>
          <w:noProof/>
          <w:color w:val="000000"/>
          <w:highlight w:val="black"/>
        </w:rPr>
        <w:t>'''''''''''''</w:t>
      </w:r>
      <w:r>
        <w:t xml:space="preserve"> and $</w:t>
      </w:r>
      <w:r w:rsidR="000F1D32">
        <w:rPr>
          <w:noProof/>
          <w:color w:val="000000"/>
          <w:highlight w:val="black"/>
        </w:rPr>
        <w:t>''''''''''''</w:t>
      </w:r>
      <w:r>
        <w:t xml:space="preserve"> from the November 2015 and March 2016 submissions, respectively.  The PBAC noted that this was due to the inclusion of </w:t>
      </w:r>
      <w:r w:rsidRPr="00852E65">
        <w:t xml:space="preserve">DHAP and </w:t>
      </w:r>
      <w:proofErr w:type="spellStart"/>
      <w:r w:rsidRPr="00852E65">
        <w:t>brentuximab</w:t>
      </w:r>
      <w:proofErr w:type="spellEnd"/>
      <w:r>
        <w:t xml:space="preserve">, which were the highest weighted, and most expensive, </w:t>
      </w:r>
      <w:r w:rsidRPr="00852E65">
        <w:t>comparator therapies</w:t>
      </w:r>
      <w:r>
        <w:t xml:space="preserve">. The PBAC further noted that comparator cost was a key driver of the model, and highly favoured </w:t>
      </w:r>
      <w:proofErr w:type="spellStart"/>
      <w:r>
        <w:t>pralatrexate</w:t>
      </w:r>
      <w:proofErr w:type="spellEnd"/>
      <w:r>
        <w:t xml:space="preserve">, </w:t>
      </w:r>
      <w:r w:rsidR="00DC2DE9">
        <w:t>as</w:t>
      </w:r>
      <w:r>
        <w:t xml:space="preserve"> the removal of </w:t>
      </w:r>
      <w:proofErr w:type="spellStart"/>
      <w:r>
        <w:t>brentuximab</w:t>
      </w:r>
      <w:proofErr w:type="spellEnd"/>
      <w:r>
        <w:t xml:space="preserve"> </w:t>
      </w:r>
      <w:r w:rsidR="003F0415">
        <w:t xml:space="preserve">and </w:t>
      </w:r>
      <w:r w:rsidR="00DC2DE9">
        <w:t>adjusting for the comparator response rates</w:t>
      </w:r>
      <w:r w:rsidR="003F0415">
        <w:t xml:space="preserve"> provided in the PSCR (p.4) </w:t>
      </w:r>
      <w:r w:rsidR="00DC2DE9">
        <w:t>resulted in</w:t>
      </w:r>
      <w:r>
        <w:t xml:space="preserve"> an ICER of </w:t>
      </w:r>
      <w:r w:rsidR="00D8320C" w:rsidRPr="00D8320C">
        <w:t>$105,000/QALY – $200,000/QALY</w:t>
      </w:r>
      <w:r>
        <w:t>;</w:t>
      </w:r>
    </w:p>
    <w:p w:rsidR="004F5498" w:rsidRDefault="004F5498" w:rsidP="00C9123B">
      <w:pPr>
        <w:pStyle w:val="ListParagraph"/>
        <w:numPr>
          <w:ilvl w:val="2"/>
          <w:numId w:val="14"/>
        </w:numPr>
        <w:spacing w:before="0" w:after="120"/>
        <w:jc w:val="both"/>
      </w:pPr>
      <w:r>
        <w:t xml:space="preserve">Although </w:t>
      </w:r>
      <w:r w:rsidRPr="0082323C">
        <w:t xml:space="preserve">the relative proportion of patients receiving SCT at 27 weeks </w:t>
      </w:r>
      <w:r>
        <w:t xml:space="preserve">were assumed </w:t>
      </w:r>
      <w:r w:rsidRPr="0082323C">
        <w:t xml:space="preserve">to be </w:t>
      </w:r>
      <w:r w:rsidR="000F1D32">
        <w:rPr>
          <w:noProof/>
          <w:color w:val="000000"/>
          <w:highlight w:val="black"/>
        </w:rPr>
        <w:t>''''''''</w:t>
      </w:r>
      <w:r w:rsidRPr="000F0425">
        <w:t>%</w:t>
      </w:r>
      <w:r w:rsidRPr="0082323C">
        <w:t xml:space="preserve"> and </w:t>
      </w:r>
      <w:r w:rsidR="000F1D32">
        <w:rPr>
          <w:noProof/>
          <w:color w:val="000000"/>
          <w:highlight w:val="black"/>
        </w:rPr>
        <w:t>'''''''''</w:t>
      </w:r>
      <w:r w:rsidRPr="000F0425">
        <w:t>%</w:t>
      </w:r>
      <w:r w:rsidRPr="0082323C">
        <w:t xml:space="preserve"> for the comparator and </w:t>
      </w:r>
      <w:proofErr w:type="spellStart"/>
      <w:r w:rsidRPr="0082323C">
        <w:t>pralatrexate</w:t>
      </w:r>
      <w:proofErr w:type="spellEnd"/>
      <w:r>
        <w:t xml:space="preserve"> arms</w:t>
      </w:r>
      <w:r w:rsidRPr="0082323C">
        <w:t xml:space="preserve"> respectively, these rates differed again to those applied in the financial estimates (</w:t>
      </w:r>
      <w:r w:rsidR="000F1D32">
        <w:rPr>
          <w:noProof/>
          <w:color w:val="000000"/>
          <w:highlight w:val="black"/>
        </w:rPr>
        <w:t>'''''</w:t>
      </w:r>
      <w:r w:rsidRPr="000F0425">
        <w:t xml:space="preserve">% and </w:t>
      </w:r>
      <w:r w:rsidR="000F1D32">
        <w:rPr>
          <w:noProof/>
          <w:color w:val="000000"/>
          <w:highlight w:val="black"/>
        </w:rPr>
        <w:t>'''''</w:t>
      </w:r>
      <w:r w:rsidRPr="000F0425">
        <w:t>%</w:t>
      </w:r>
      <w:r w:rsidRPr="0082323C">
        <w:t xml:space="preserve">). </w:t>
      </w:r>
      <w:r w:rsidR="00C9123B" w:rsidRPr="00C9123B">
        <w:t>The PBAC considered that the differences in rates of SCT between the two arms could likely reflect the different intents of therapy in this non-randomised comparison, again emphasizing the inher</w:t>
      </w:r>
      <w:r w:rsidR="00C9123B">
        <w:t>ent uncertainty in the approach;</w:t>
      </w:r>
    </w:p>
    <w:p w:rsidR="004F5498" w:rsidRDefault="004F5498" w:rsidP="004F5498">
      <w:pPr>
        <w:pStyle w:val="ListParagraph"/>
        <w:numPr>
          <w:ilvl w:val="2"/>
          <w:numId w:val="14"/>
        </w:numPr>
        <w:spacing w:before="0" w:after="120"/>
        <w:jc w:val="both"/>
      </w:pPr>
      <w:r>
        <w:t xml:space="preserve">The number of subsequent lines of treatment was assumed to be zero. The PBAC considered that this </w:t>
      </w:r>
      <w:r w:rsidRPr="00B33B75">
        <w:t>contradicted the treatment algorithm of R/R PTCL, and the evidence from the</w:t>
      </w:r>
      <w:r>
        <w:t xml:space="preserve"> Australian patient population, noting that </w:t>
      </w:r>
      <w:r w:rsidRPr="00B33B75">
        <w:t>accounting for subsequent lines of therapy resulted in a co</w:t>
      </w:r>
      <w:r>
        <w:t>nsiderable increase in the ICER; and</w:t>
      </w:r>
    </w:p>
    <w:p w:rsidR="004F5498" w:rsidRPr="0082323C" w:rsidRDefault="004F5498" w:rsidP="004F5498">
      <w:pPr>
        <w:pStyle w:val="ListParagraph"/>
        <w:numPr>
          <w:ilvl w:val="2"/>
          <w:numId w:val="14"/>
        </w:numPr>
        <w:spacing w:before="0" w:after="120"/>
        <w:jc w:val="both"/>
      </w:pPr>
      <w:r>
        <w:t xml:space="preserve">The PBAC noted that the price of </w:t>
      </w:r>
      <w:proofErr w:type="spellStart"/>
      <w:r>
        <w:t>pralatrexate</w:t>
      </w:r>
      <w:proofErr w:type="spellEnd"/>
      <w:r>
        <w:t xml:space="preserve"> was unchanged from the March 2016 resubmission. </w:t>
      </w:r>
    </w:p>
    <w:p w:rsidR="004F5498" w:rsidRPr="00D04DF1" w:rsidRDefault="004F5498" w:rsidP="004F5498">
      <w:pPr>
        <w:pStyle w:val="ListParagraph"/>
        <w:numPr>
          <w:ilvl w:val="1"/>
          <w:numId w:val="14"/>
        </w:numPr>
        <w:spacing w:before="0" w:after="120"/>
        <w:ind w:hanging="792"/>
        <w:jc w:val="both"/>
      </w:pPr>
      <w:r>
        <w:t xml:space="preserve">Overall, the PBAC considered that </w:t>
      </w:r>
      <w:r w:rsidRPr="00913B26">
        <w:t>the</w:t>
      </w:r>
      <w:r>
        <w:t xml:space="preserve"> underlying lack of</w:t>
      </w:r>
      <w:r w:rsidRPr="00913B26">
        <w:t xml:space="preserve"> evidence to support the claim of superior efficacy</w:t>
      </w:r>
      <w:r>
        <w:t xml:space="preserve"> resulted in unreliable inputs and optimistic extrapolations, leading to an economic model that did not provide a plausible estimat</w:t>
      </w:r>
      <w:r w:rsidR="007E014F">
        <w:t>e of</w:t>
      </w:r>
      <w:r>
        <w:t xml:space="preserve"> the cost-effectiveness of </w:t>
      </w:r>
      <w:proofErr w:type="spellStart"/>
      <w:r>
        <w:t>pralatrexate</w:t>
      </w:r>
      <w:proofErr w:type="spellEnd"/>
      <w:r>
        <w:t>.</w:t>
      </w:r>
      <w:r w:rsidRPr="00B33B75">
        <w:t xml:space="preserve"> </w:t>
      </w:r>
      <w:r>
        <w:t>As such, notwithstanding the</w:t>
      </w:r>
      <w:r w:rsidRPr="00D04DF1">
        <w:t xml:space="preserve"> clinical need for new </w:t>
      </w:r>
      <w:r>
        <w:t xml:space="preserve">and </w:t>
      </w:r>
      <w:r w:rsidRPr="00D04DF1">
        <w:t xml:space="preserve">effective treatments for relapsed or refractory </w:t>
      </w:r>
      <w:r>
        <w:t>PTCL</w:t>
      </w:r>
      <w:r w:rsidRPr="00D04DF1">
        <w:t xml:space="preserve">, </w:t>
      </w:r>
      <w:r>
        <w:t>the PBAC remained unconvinced that</w:t>
      </w:r>
      <w:r w:rsidRPr="00D04DF1">
        <w:t xml:space="preserve"> </w:t>
      </w:r>
      <w:proofErr w:type="spellStart"/>
      <w:r w:rsidRPr="00D04DF1">
        <w:t>pralatrexate</w:t>
      </w:r>
      <w:proofErr w:type="spellEnd"/>
      <w:r w:rsidRPr="00D04DF1">
        <w:t xml:space="preserve"> </w:t>
      </w:r>
      <w:r>
        <w:t>was cost effective</w:t>
      </w:r>
      <w:r w:rsidRPr="00D04DF1">
        <w:t xml:space="preserve"> compared to current treatm</w:t>
      </w:r>
      <w:r>
        <w:t>ents available to patients, at the price proposed by the submission.</w:t>
      </w:r>
    </w:p>
    <w:p w:rsidR="004F5498" w:rsidRPr="001D299D" w:rsidRDefault="004F5498" w:rsidP="004F5498">
      <w:pPr>
        <w:pStyle w:val="ListParagraph"/>
        <w:numPr>
          <w:ilvl w:val="1"/>
          <w:numId w:val="14"/>
        </w:numPr>
        <w:spacing w:before="0" w:after="120"/>
        <w:ind w:hanging="792"/>
        <w:jc w:val="both"/>
      </w:pPr>
      <w:r w:rsidRPr="00B33B75">
        <w:t xml:space="preserve">The PBAC noted that the net cost to the </w:t>
      </w:r>
      <w:r w:rsidR="00A73457">
        <w:t xml:space="preserve">PBS </w:t>
      </w:r>
      <w:r w:rsidRPr="00B33B75">
        <w:t>was highly variable as it was dependent on the proportion of patients receiving post-treatment stem cell transplant</w:t>
      </w:r>
      <w:r>
        <w:t xml:space="preserve">, creating uncertainty in the estimation of the uptake of </w:t>
      </w:r>
      <w:proofErr w:type="spellStart"/>
      <w:r>
        <w:t>pralatrexate</w:t>
      </w:r>
      <w:proofErr w:type="spellEnd"/>
      <w:r>
        <w:t xml:space="preserve"> in the proposed PBS </w:t>
      </w:r>
      <w:r>
        <w:lastRenderedPageBreak/>
        <w:t xml:space="preserve">population. The PBAC noted that the pre-PBAC response (p3) indicated the sponsor’s willingness to enter into a risk share agreement with the Department in order to mitigate the uncertainties regarding the financial estimates. </w:t>
      </w:r>
    </w:p>
    <w:p w:rsidR="004F5498" w:rsidRDefault="004F5498" w:rsidP="004F5498">
      <w:pPr>
        <w:pStyle w:val="ListParagraph"/>
        <w:numPr>
          <w:ilvl w:val="1"/>
          <w:numId w:val="14"/>
        </w:numPr>
        <w:spacing w:before="0" w:after="120"/>
        <w:ind w:hanging="792"/>
        <w:jc w:val="both"/>
      </w:pPr>
      <w:r w:rsidRPr="00C76A1F">
        <w:t>The PBAC reiterated a</w:t>
      </w:r>
      <w:r w:rsidR="00542449">
        <w:t>ny</w:t>
      </w:r>
      <w:r w:rsidRPr="00C76A1F">
        <w:t xml:space="preserve"> future major </w:t>
      </w:r>
      <w:r>
        <w:t>re</w:t>
      </w:r>
      <w:r w:rsidRPr="00C76A1F">
        <w:t>submission should include more conservative assumptions that include a lower SCT rate in the comparator arm</w:t>
      </w:r>
      <w:r w:rsidR="00447930">
        <w:t xml:space="preserve"> than the </w:t>
      </w:r>
      <w:proofErr w:type="spellStart"/>
      <w:r w:rsidR="00447930">
        <w:t>pralatrexate</w:t>
      </w:r>
      <w:proofErr w:type="spellEnd"/>
      <w:r w:rsidR="00447930">
        <w:t xml:space="preserve"> arm</w:t>
      </w:r>
      <w:r w:rsidRPr="00C76A1F">
        <w:t xml:space="preserve">, noting that Australian data indicated that this was approximately </w:t>
      </w:r>
      <w:r w:rsidR="000F1D32">
        <w:rPr>
          <w:noProof/>
          <w:color w:val="000000"/>
          <w:highlight w:val="black"/>
        </w:rPr>
        <w:t>''''''</w:t>
      </w:r>
      <w:r w:rsidRPr="000F0425">
        <w:t>%</w:t>
      </w:r>
      <w:r w:rsidRPr="00C76A1F">
        <w:t xml:space="preserve">; at least two lines of subsequent therapy; and the removal of </w:t>
      </w:r>
      <w:proofErr w:type="spellStart"/>
      <w:r w:rsidRPr="00C76A1F">
        <w:t>brentuximab</w:t>
      </w:r>
      <w:proofErr w:type="spellEnd"/>
      <w:r w:rsidRPr="00C76A1F">
        <w:t xml:space="preserve"> from the cost-offsets, along with a </w:t>
      </w:r>
      <w:r w:rsidR="003459C4">
        <w:t xml:space="preserve">substantial </w:t>
      </w:r>
      <w:r w:rsidRPr="00C76A1F">
        <w:t xml:space="preserve">price reduction, to account for the associated </w:t>
      </w:r>
      <w:r w:rsidRPr="00FD3FA7">
        <w:t xml:space="preserve">uncertainty </w:t>
      </w:r>
      <w:r>
        <w:t>in the incremental</w:t>
      </w:r>
      <w:r w:rsidRPr="00FD3FA7">
        <w:t xml:space="preserve"> clinical benefit</w:t>
      </w:r>
      <w:r w:rsidRPr="00C76A1F">
        <w:t xml:space="preserve">. The PBAC advised that an economic model incorporating these assumptions and an ICER at the lower end of $45,000 to $75,000/QALY (the range in which </w:t>
      </w:r>
      <w:proofErr w:type="spellStart"/>
      <w:r w:rsidRPr="00C76A1F">
        <w:t>brentuximab</w:t>
      </w:r>
      <w:proofErr w:type="spellEnd"/>
      <w:r w:rsidRPr="00C76A1F">
        <w:t xml:space="preserve"> for </w:t>
      </w:r>
      <w:proofErr w:type="spellStart"/>
      <w:r w:rsidRPr="00C76A1F">
        <w:t>sALCL</w:t>
      </w:r>
      <w:proofErr w:type="spellEnd"/>
      <w:r w:rsidRPr="00C76A1F">
        <w:t xml:space="preserve"> was considered cost-effective) would be ne</w:t>
      </w:r>
      <w:r>
        <w:t>cessary</w:t>
      </w:r>
      <w:r w:rsidRPr="00C76A1F">
        <w:t xml:space="preserve"> in order for </w:t>
      </w:r>
      <w:proofErr w:type="spellStart"/>
      <w:r w:rsidRPr="00C76A1F">
        <w:t>pralatrexate</w:t>
      </w:r>
      <w:proofErr w:type="spellEnd"/>
      <w:r w:rsidRPr="00C76A1F">
        <w:t xml:space="preserve"> to be acceptably cost-effective</w:t>
      </w:r>
      <w:r>
        <w:t>.</w:t>
      </w:r>
      <w:r w:rsidRPr="00C76A1F">
        <w:t xml:space="preserve"> </w:t>
      </w:r>
    </w:p>
    <w:p w:rsidR="004F5498" w:rsidRDefault="004F5498" w:rsidP="004F5498">
      <w:pPr>
        <w:pStyle w:val="ListParagraph"/>
        <w:numPr>
          <w:ilvl w:val="1"/>
          <w:numId w:val="14"/>
        </w:numPr>
        <w:spacing w:before="0" w:after="120"/>
        <w:ind w:hanging="792"/>
        <w:jc w:val="both"/>
      </w:pPr>
      <w:r w:rsidRPr="00C76A1F">
        <w:t>The PBAC noted that this submission is eligible for an Independent Review.</w:t>
      </w:r>
    </w:p>
    <w:p w:rsidR="005C26CE" w:rsidRDefault="005C26CE" w:rsidP="005C26CE">
      <w:pPr>
        <w:spacing w:before="0" w:after="120"/>
        <w:jc w:val="both"/>
      </w:pPr>
    </w:p>
    <w:p w:rsidR="005C26CE" w:rsidRPr="00C76A1F" w:rsidRDefault="005C26CE" w:rsidP="005C26CE">
      <w:pPr>
        <w:spacing w:before="0" w:after="120"/>
        <w:jc w:val="both"/>
      </w:pPr>
    </w:p>
    <w:p w:rsidR="004F5498" w:rsidRPr="00CF5E40" w:rsidRDefault="004F5498" w:rsidP="004F5498">
      <w:pPr>
        <w:spacing w:before="240" w:after="120"/>
        <w:jc w:val="both"/>
        <w:rPr>
          <w:rFonts w:ascii="Calibri" w:eastAsia="Times New Roman" w:hAnsi="Calibri" w:cs="Arial"/>
          <w:b/>
          <w:bCs/>
          <w:snapToGrid w:val="0"/>
          <w:szCs w:val="24"/>
          <w:lang w:val="en-GB"/>
        </w:rPr>
      </w:pPr>
      <w:r w:rsidRPr="00CF5E40">
        <w:rPr>
          <w:rFonts w:ascii="Calibri" w:eastAsia="Times New Roman" w:hAnsi="Calibri" w:cs="Arial"/>
          <w:b/>
          <w:bCs/>
          <w:snapToGrid w:val="0"/>
          <w:szCs w:val="24"/>
          <w:lang w:val="en-GB"/>
        </w:rPr>
        <w:t>Outcome:</w:t>
      </w:r>
    </w:p>
    <w:p w:rsidR="004F5498" w:rsidRPr="00CF5E40" w:rsidRDefault="004F5498" w:rsidP="004F5498">
      <w:pPr>
        <w:spacing w:before="0" w:after="120"/>
        <w:jc w:val="both"/>
        <w:rPr>
          <w:rFonts w:ascii="Calibri" w:eastAsia="Times New Roman" w:hAnsi="Calibri" w:cs="Arial"/>
          <w:bCs/>
          <w:snapToGrid w:val="0"/>
          <w:szCs w:val="24"/>
          <w:lang w:val="en-GB"/>
        </w:rPr>
      </w:pPr>
      <w:r w:rsidRPr="00CF5E40">
        <w:rPr>
          <w:rFonts w:ascii="Calibri" w:eastAsia="Times New Roman" w:hAnsi="Calibri" w:cs="Arial"/>
          <w:bCs/>
          <w:snapToGrid w:val="0"/>
          <w:szCs w:val="24"/>
          <w:lang w:val="en-GB"/>
        </w:rPr>
        <w:t xml:space="preserve">Rejected </w:t>
      </w:r>
    </w:p>
    <w:p w:rsidR="004F5498" w:rsidRPr="00CF5E40" w:rsidRDefault="004F5498" w:rsidP="004F5498">
      <w:pPr>
        <w:widowControl w:val="0"/>
        <w:spacing w:before="0" w:after="120"/>
        <w:jc w:val="both"/>
        <w:rPr>
          <w:rFonts w:ascii="Calibri" w:eastAsia="Times New Roman" w:hAnsi="Calibri" w:cs="Arial"/>
          <w:b/>
          <w:bCs/>
          <w:snapToGrid w:val="0"/>
          <w:szCs w:val="24"/>
        </w:rPr>
      </w:pPr>
    </w:p>
    <w:p w:rsidR="00090276" w:rsidRPr="00090276" w:rsidRDefault="00090276" w:rsidP="00090276">
      <w:pPr>
        <w:keepNext/>
        <w:keepLines/>
        <w:widowControl w:val="0"/>
        <w:numPr>
          <w:ilvl w:val="0"/>
          <w:numId w:val="19"/>
        </w:numPr>
        <w:spacing w:before="400" w:after="120"/>
        <w:ind w:left="709" w:hanging="709"/>
        <w:jc w:val="both"/>
        <w:outlineLvl w:val="0"/>
        <w:rPr>
          <w:rFonts w:ascii="Calibri" w:eastAsia="Calibri" w:hAnsi="Calibri" w:cs="Times New Roman"/>
          <w:b/>
          <w:sz w:val="32"/>
          <w:szCs w:val="32"/>
        </w:rPr>
      </w:pPr>
      <w:r w:rsidRPr="00090276">
        <w:rPr>
          <w:rFonts w:ascii="Calibri" w:eastAsia="Calibri" w:hAnsi="Calibri" w:cs="Times New Roman"/>
          <w:b/>
          <w:sz w:val="32"/>
          <w:szCs w:val="32"/>
        </w:rPr>
        <w:t>Context for Decision</w:t>
      </w:r>
    </w:p>
    <w:p w:rsidR="00090276" w:rsidRPr="00090276" w:rsidRDefault="00090276" w:rsidP="00090276">
      <w:pPr>
        <w:spacing w:before="0" w:after="0" w:line="276" w:lineRule="auto"/>
        <w:ind w:left="426"/>
        <w:jc w:val="both"/>
        <w:rPr>
          <w:rFonts w:ascii="Calibri" w:eastAsia="Calibri" w:hAnsi="Calibri" w:cs="Arial"/>
          <w:szCs w:val="24"/>
        </w:rPr>
      </w:pPr>
    </w:p>
    <w:p w:rsidR="00090276" w:rsidRPr="00090276" w:rsidRDefault="00090276" w:rsidP="00090276">
      <w:pPr>
        <w:spacing w:before="0" w:after="0" w:line="276" w:lineRule="auto"/>
        <w:ind w:left="426"/>
        <w:jc w:val="both"/>
        <w:rPr>
          <w:rFonts w:ascii="Calibri" w:eastAsia="Calibri" w:hAnsi="Calibri" w:cs="Arial"/>
          <w:szCs w:val="24"/>
        </w:rPr>
      </w:pPr>
      <w:r w:rsidRPr="00090276">
        <w:rPr>
          <w:rFonts w:ascii="Calibri" w:eastAsia="Calibri" w:hAnsi="Calibri"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90276" w:rsidRPr="00090276" w:rsidRDefault="00090276" w:rsidP="00090276">
      <w:pPr>
        <w:keepNext/>
        <w:keepLines/>
        <w:widowControl w:val="0"/>
        <w:numPr>
          <w:ilvl w:val="0"/>
          <w:numId w:val="19"/>
        </w:numPr>
        <w:spacing w:before="400" w:after="120"/>
        <w:ind w:left="709" w:hanging="709"/>
        <w:jc w:val="both"/>
        <w:outlineLvl w:val="0"/>
        <w:rPr>
          <w:rFonts w:ascii="Calibri" w:eastAsia="Calibri" w:hAnsi="Calibri" w:cs="Times New Roman"/>
          <w:b/>
          <w:sz w:val="32"/>
          <w:szCs w:val="32"/>
        </w:rPr>
      </w:pPr>
      <w:r w:rsidRPr="00090276">
        <w:rPr>
          <w:rFonts w:ascii="Calibri" w:eastAsia="Calibri" w:hAnsi="Calibri" w:cs="Times New Roman"/>
          <w:b/>
          <w:sz w:val="32"/>
          <w:szCs w:val="32"/>
        </w:rPr>
        <w:t xml:space="preserve"> Sponsor’s Comment</w:t>
      </w:r>
    </w:p>
    <w:p w:rsidR="00090276" w:rsidRPr="00090276" w:rsidRDefault="00090276" w:rsidP="00090276">
      <w:pPr>
        <w:spacing w:before="0" w:after="0" w:line="276" w:lineRule="auto"/>
        <w:ind w:left="426"/>
        <w:jc w:val="both"/>
        <w:rPr>
          <w:rFonts w:ascii="Calibri" w:eastAsia="Calibri" w:hAnsi="Calibri" w:cs="Arial"/>
          <w:bCs/>
          <w:szCs w:val="24"/>
          <w:highlight w:val="yellow"/>
          <w:lang w:val="en-GB"/>
        </w:rPr>
      </w:pPr>
    </w:p>
    <w:p w:rsidR="00731B0F" w:rsidRPr="000F0425" w:rsidRDefault="00731B0F" w:rsidP="000F0425">
      <w:pPr>
        <w:spacing w:before="0" w:after="0" w:line="276" w:lineRule="auto"/>
        <w:ind w:left="426"/>
        <w:jc w:val="both"/>
        <w:rPr>
          <w:rFonts w:ascii="Calibri" w:eastAsia="Calibri" w:hAnsi="Calibri" w:cs="Arial"/>
          <w:szCs w:val="24"/>
        </w:rPr>
      </w:pPr>
      <w:r w:rsidRPr="000F0425">
        <w:rPr>
          <w:rFonts w:ascii="Calibri" w:eastAsia="Calibri" w:hAnsi="Calibri" w:cs="Arial"/>
          <w:szCs w:val="24"/>
        </w:rPr>
        <w:t xml:space="preserve">As recognised by the PBAC, there is a clinical need for new effective treatments for the relapsed or refractory peripheral T-Cell lymphoma. </w:t>
      </w:r>
      <w:proofErr w:type="spellStart"/>
      <w:r w:rsidRPr="000F0425">
        <w:rPr>
          <w:rFonts w:ascii="Calibri" w:eastAsia="Calibri" w:hAnsi="Calibri" w:cs="Arial"/>
          <w:szCs w:val="24"/>
        </w:rPr>
        <w:t>Mundipharma</w:t>
      </w:r>
      <w:proofErr w:type="spellEnd"/>
      <w:r w:rsidRPr="000F0425">
        <w:rPr>
          <w:rFonts w:ascii="Calibri" w:eastAsia="Calibri" w:hAnsi="Calibri" w:cs="Arial"/>
          <w:szCs w:val="24"/>
        </w:rPr>
        <w:t xml:space="preserve"> remains committed to making </w:t>
      </w:r>
      <w:proofErr w:type="spellStart"/>
      <w:r w:rsidRPr="000F0425">
        <w:rPr>
          <w:rFonts w:ascii="Calibri" w:eastAsia="Calibri" w:hAnsi="Calibri" w:cs="Arial"/>
          <w:szCs w:val="24"/>
        </w:rPr>
        <w:t>pralatrexate</w:t>
      </w:r>
      <w:proofErr w:type="spellEnd"/>
      <w:r w:rsidRPr="000F0425">
        <w:rPr>
          <w:rFonts w:ascii="Calibri" w:eastAsia="Calibri" w:hAnsi="Calibri" w:cs="Arial"/>
          <w:szCs w:val="24"/>
        </w:rPr>
        <w:t xml:space="preserve"> available to patients with relapsed or refractory peripheral T-Cell lymphoma.</w:t>
      </w:r>
    </w:p>
    <w:p w:rsidR="00C317F3" w:rsidRPr="006C19DF" w:rsidRDefault="00C317F3" w:rsidP="006C19DF"/>
    <w:sectPr w:rsidR="00C317F3" w:rsidRPr="006C19DF" w:rsidSect="001B7106">
      <w:headerReference w:type="default" r:id="rId10"/>
      <w:footerReference w:type="default" r:id="rId11"/>
      <w:pgSz w:w="11906" w:h="16838"/>
      <w:pgMar w:top="993" w:right="1440" w:bottom="1440" w:left="1440" w:header="1440"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3460C8" w15:done="0"/>
  <w15:commentEx w15:paraId="518EE19C" w15:done="0"/>
  <w15:commentEx w15:paraId="712BE9E9" w15:done="0"/>
  <w15:commentEx w15:paraId="694564F8" w15:done="0"/>
  <w15:commentEx w15:paraId="14EB34DE" w15:done="0"/>
  <w15:commentEx w15:paraId="2AA3E72E" w15:done="0"/>
  <w15:commentEx w15:paraId="573E5CD1" w15:done="0"/>
  <w15:commentEx w15:paraId="4498E0BD" w15:done="0"/>
  <w15:commentEx w15:paraId="6068A92E" w15:done="0"/>
  <w15:commentEx w15:paraId="2E88FB84" w15:done="0"/>
  <w15:commentEx w15:paraId="27F04FD8" w15:done="0"/>
  <w15:commentEx w15:paraId="4A9869AE" w15:done="0"/>
  <w15:commentEx w15:paraId="3E021385" w15:done="0"/>
  <w15:commentEx w15:paraId="1B8488B2" w15:done="0"/>
  <w15:commentEx w15:paraId="76108326" w15:done="0"/>
  <w15:commentEx w15:paraId="0D5A553F" w15:done="0"/>
  <w15:commentEx w15:paraId="54FD3CF2" w15:done="0"/>
  <w15:commentEx w15:paraId="6B394225" w15:done="0"/>
  <w15:commentEx w15:paraId="39FDAD45" w15:done="0"/>
  <w15:commentEx w15:paraId="5977EB96" w15:done="0"/>
  <w15:commentEx w15:paraId="3DCAD480" w15:done="0"/>
  <w15:commentEx w15:paraId="438D391E" w15:done="0"/>
  <w15:commentEx w15:paraId="783F21A9" w15:done="0"/>
  <w15:commentEx w15:paraId="3EEB6B8B" w15:done="0"/>
  <w15:commentEx w15:paraId="14C6C12F" w15:done="0"/>
  <w15:commentEx w15:paraId="3E64182A" w15:done="0"/>
  <w15:commentEx w15:paraId="0A31CAEA" w15:done="0"/>
  <w15:commentEx w15:paraId="6FB3D855" w15:done="0"/>
  <w15:commentEx w15:paraId="2F343C65" w15:done="0"/>
  <w15:commentEx w15:paraId="6822D080" w15:done="0"/>
  <w15:commentEx w15:paraId="734E2C38" w15:done="0"/>
  <w15:commentEx w15:paraId="29641F58" w15:done="0"/>
  <w15:commentEx w15:paraId="4638EECD" w15:done="0"/>
  <w15:commentEx w15:paraId="344E190A" w15:done="0"/>
  <w15:commentEx w15:paraId="3F1F2450" w15:done="0"/>
  <w15:commentEx w15:paraId="60345CC4" w15:done="0"/>
  <w15:commentEx w15:paraId="7919DEEC" w15:done="0"/>
  <w15:commentEx w15:paraId="34A690E8" w15:done="0"/>
  <w15:commentEx w15:paraId="1AF9B1C0" w15:done="0"/>
  <w15:commentEx w15:paraId="42C82656" w15:done="0"/>
  <w15:commentEx w15:paraId="1540C57C" w15:done="0"/>
  <w15:commentEx w15:paraId="3D2E578D" w15:done="0"/>
  <w15:commentEx w15:paraId="6455D76C" w15:done="0"/>
  <w15:commentEx w15:paraId="1941D6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C27" w:rsidRDefault="00302C27" w:rsidP="00BA3306">
      <w:pPr>
        <w:spacing w:before="0" w:after="0"/>
      </w:pPr>
      <w:r>
        <w:separator/>
      </w:r>
    </w:p>
  </w:endnote>
  <w:endnote w:type="continuationSeparator" w:id="0">
    <w:p w:rsidR="00302C27" w:rsidRDefault="00302C27"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27" w:rsidRPr="00264313" w:rsidRDefault="00302C27" w:rsidP="00264313">
    <w:pPr>
      <w:pStyle w:val="Footer"/>
      <w:jc w:val="center"/>
      <w:rPr>
        <w:b/>
      </w:rPr>
    </w:pPr>
    <w:r w:rsidRPr="006C19DF">
      <w:rPr>
        <w:rFonts w:ascii="Calibri" w:eastAsia="Times New Roman" w:hAnsi="Calibri" w:cs="Arial"/>
        <w:szCs w:val="24"/>
      </w:rPr>
      <w:fldChar w:fldCharType="begin"/>
    </w:r>
    <w:r w:rsidRPr="006C19DF">
      <w:rPr>
        <w:rFonts w:ascii="Calibri" w:eastAsia="Times New Roman" w:hAnsi="Calibri" w:cs="Arial"/>
        <w:szCs w:val="24"/>
      </w:rPr>
      <w:instrText xml:space="preserve"> PAGE   \* MERGEFORMAT </w:instrText>
    </w:r>
    <w:r w:rsidRPr="006C19DF">
      <w:rPr>
        <w:rFonts w:ascii="Calibri" w:eastAsia="Times New Roman" w:hAnsi="Calibri" w:cs="Arial"/>
        <w:szCs w:val="24"/>
      </w:rPr>
      <w:fldChar w:fldCharType="separate"/>
    </w:r>
    <w:r w:rsidR="00C06504">
      <w:rPr>
        <w:rFonts w:ascii="Calibri" w:eastAsia="Times New Roman" w:hAnsi="Calibri" w:cs="Arial"/>
        <w:noProof/>
        <w:szCs w:val="24"/>
      </w:rPr>
      <w:t>32</w:t>
    </w:r>
    <w:r w:rsidRPr="006C19DF">
      <w:rPr>
        <w:rFonts w:ascii="Calibri" w:eastAsia="Times New Roman" w:hAnsi="Calibri" w:cs="Arial"/>
        <w:noProof/>
        <w:szCs w:val="24"/>
      </w:rPr>
      <w:fldChar w:fldCharType="end"/>
    </w:r>
  </w:p>
  <w:p w:rsidR="00302C27" w:rsidRDefault="00302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C27" w:rsidRDefault="00302C27" w:rsidP="00BA3306">
      <w:pPr>
        <w:spacing w:before="0" w:after="0"/>
      </w:pPr>
      <w:r>
        <w:separator/>
      </w:r>
    </w:p>
  </w:footnote>
  <w:footnote w:type="continuationSeparator" w:id="0">
    <w:p w:rsidR="00302C27" w:rsidRDefault="00302C27" w:rsidP="00BA3306">
      <w:pPr>
        <w:spacing w:before="0" w:after="0"/>
      </w:pPr>
      <w:r>
        <w:continuationSeparator/>
      </w:r>
    </w:p>
  </w:footnote>
  <w:footnote w:id="1">
    <w:p w:rsidR="00302C27" w:rsidRDefault="00302C27" w:rsidP="004F5498">
      <w:pPr>
        <w:pStyle w:val="FootnoteText"/>
      </w:pPr>
      <w:r>
        <w:rPr>
          <w:rStyle w:val="FootnoteReference"/>
        </w:rPr>
        <w:footnoteRef/>
      </w:r>
      <w:r>
        <w:t xml:space="preserve"> </w:t>
      </w:r>
      <w:proofErr w:type="spellStart"/>
      <w:r w:rsidRPr="00B602A5">
        <w:rPr>
          <w:rFonts w:ascii="Arial" w:hAnsi="Arial" w:cs="Arial"/>
          <w:color w:val="000000"/>
          <w:sz w:val="17"/>
          <w:szCs w:val="17"/>
          <w:shd w:val="clear" w:color="auto" w:fill="FFFFFF"/>
        </w:rPr>
        <w:t>Ther</w:t>
      </w:r>
      <w:proofErr w:type="spellEnd"/>
      <w:r w:rsidRPr="00B602A5">
        <w:rPr>
          <w:rFonts w:ascii="Arial" w:hAnsi="Arial" w:cs="Arial"/>
          <w:color w:val="000000"/>
          <w:sz w:val="17"/>
          <w:szCs w:val="17"/>
          <w:shd w:val="clear" w:color="auto" w:fill="FFFFFF"/>
        </w:rPr>
        <w:t xml:space="preserve"> </w:t>
      </w:r>
      <w:proofErr w:type="spellStart"/>
      <w:r w:rsidRPr="00B602A5">
        <w:rPr>
          <w:rFonts w:ascii="Arial" w:hAnsi="Arial" w:cs="Arial"/>
          <w:color w:val="000000"/>
          <w:sz w:val="17"/>
          <w:szCs w:val="17"/>
          <w:shd w:val="clear" w:color="auto" w:fill="FFFFFF"/>
        </w:rPr>
        <w:t>Adv</w:t>
      </w:r>
      <w:proofErr w:type="spellEnd"/>
      <w:r w:rsidRPr="00B602A5">
        <w:rPr>
          <w:rFonts w:ascii="Arial" w:hAnsi="Arial" w:cs="Arial"/>
          <w:color w:val="000000"/>
          <w:sz w:val="17"/>
          <w:szCs w:val="17"/>
          <w:shd w:val="clear" w:color="auto" w:fill="FFFFFF"/>
        </w:rPr>
        <w:t xml:space="preserve"> </w:t>
      </w:r>
      <w:proofErr w:type="spellStart"/>
      <w:r w:rsidRPr="00B602A5">
        <w:rPr>
          <w:rFonts w:ascii="Arial" w:hAnsi="Arial" w:cs="Arial"/>
          <w:color w:val="000000"/>
          <w:sz w:val="17"/>
          <w:szCs w:val="17"/>
          <w:shd w:val="clear" w:color="auto" w:fill="FFFFFF"/>
        </w:rPr>
        <w:t>Hematol</w:t>
      </w:r>
      <w:proofErr w:type="spellEnd"/>
      <w:r w:rsidRPr="00B602A5">
        <w:rPr>
          <w:rFonts w:ascii="Arial" w:hAnsi="Arial" w:cs="Arial"/>
          <w:color w:val="000000"/>
          <w:sz w:val="17"/>
          <w:szCs w:val="17"/>
          <w:shd w:val="clear" w:color="auto" w:fill="FFFFFF"/>
        </w:rPr>
        <w:t>.</w:t>
      </w:r>
      <w:r>
        <w:rPr>
          <w:rStyle w:val="apple-converted-space"/>
          <w:rFonts w:ascii="Arial" w:hAnsi="Arial" w:cs="Arial"/>
          <w:color w:val="000000"/>
          <w:sz w:val="17"/>
          <w:szCs w:val="17"/>
          <w:shd w:val="clear" w:color="auto" w:fill="FFFFFF"/>
        </w:rPr>
        <w:t> </w:t>
      </w:r>
      <w:r>
        <w:rPr>
          <w:rFonts w:ascii="Arial" w:hAnsi="Arial" w:cs="Arial"/>
          <w:color w:val="000000"/>
          <w:sz w:val="17"/>
          <w:szCs w:val="17"/>
          <w:shd w:val="clear" w:color="auto" w:fill="FFFFFF"/>
        </w:rPr>
        <w:t>2013 Jun</w:t>
      </w:r>
      <w:proofErr w:type="gramStart"/>
      <w:r>
        <w:rPr>
          <w:rFonts w:ascii="Arial" w:hAnsi="Arial" w:cs="Arial"/>
          <w:color w:val="000000"/>
          <w:sz w:val="17"/>
          <w:szCs w:val="17"/>
          <w:shd w:val="clear" w:color="auto" w:fill="FFFFFF"/>
        </w:rPr>
        <w:t>;4</w:t>
      </w:r>
      <w:proofErr w:type="gramEnd"/>
      <w:r>
        <w:rPr>
          <w:rFonts w:ascii="Arial" w:hAnsi="Arial" w:cs="Arial"/>
          <w:color w:val="000000"/>
          <w:sz w:val="17"/>
          <w:szCs w:val="17"/>
          <w:shd w:val="clear" w:color="auto" w:fill="FFFFFF"/>
        </w:rPr>
        <w:t xml:space="preserve">(3):173-87. </w:t>
      </w:r>
      <w:proofErr w:type="spellStart"/>
      <w:proofErr w:type="gramStart"/>
      <w:r>
        <w:rPr>
          <w:rFonts w:ascii="Arial" w:hAnsi="Arial" w:cs="Arial"/>
          <w:color w:val="000000"/>
          <w:sz w:val="17"/>
          <w:szCs w:val="17"/>
          <w:shd w:val="clear" w:color="auto" w:fill="FFFFFF"/>
        </w:rPr>
        <w:t>doi</w:t>
      </w:r>
      <w:proofErr w:type="spellEnd"/>
      <w:proofErr w:type="gramEnd"/>
      <w:r>
        <w:rPr>
          <w:rFonts w:ascii="Arial" w:hAnsi="Arial" w:cs="Arial"/>
          <w:color w:val="000000"/>
          <w:sz w:val="17"/>
          <w:szCs w:val="17"/>
          <w:shd w:val="clear" w:color="auto" w:fill="FFFFFF"/>
        </w:rPr>
        <w:t>: 10.1177/2040620713481980.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27" w:rsidRDefault="00302C27" w:rsidP="001B7106">
    <w:pPr>
      <w:tabs>
        <w:tab w:val="center" w:pos="4153"/>
        <w:tab w:val="right" w:pos="8306"/>
      </w:tabs>
      <w:spacing w:before="0" w:after="120"/>
      <w:jc w:val="center"/>
      <w:rPr>
        <w:rFonts w:ascii="Calibri" w:eastAsia="Times New Roman" w:hAnsi="Calibri" w:cs="Arial"/>
        <w:i/>
        <w:color w:val="808080"/>
        <w:szCs w:val="24"/>
      </w:rPr>
    </w:pPr>
    <w:r>
      <w:rPr>
        <w:rFonts w:ascii="Calibri" w:eastAsia="Times New Roman" w:hAnsi="Calibri" w:cs="Arial"/>
        <w:i/>
        <w:color w:val="808080"/>
        <w:szCs w:val="24"/>
      </w:rPr>
      <w:t>Public Summary Document</w:t>
    </w:r>
    <w:r w:rsidRPr="00BF4E72">
      <w:rPr>
        <w:rFonts w:ascii="Calibri" w:eastAsia="Times New Roman" w:hAnsi="Calibri" w:cs="Arial"/>
        <w:i/>
        <w:color w:val="808080"/>
        <w:szCs w:val="24"/>
      </w:rPr>
      <w:t xml:space="preserve"> – </w:t>
    </w:r>
    <w:r>
      <w:rPr>
        <w:rFonts w:ascii="Calibri" w:eastAsia="Times New Roman" w:hAnsi="Calibri" w:cs="Arial"/>
        <w:i/>
        <w:color w:val="808080"/>
        <w:szCs w:val="24"/>
      </w:rPr>
      <w:t>July 2017</w:t>
    </w:r>
    <w:r w:rsidRPr="00BF4E72">
      <w:rPr>
        <w:rFonts w:ascii="Calibri" w:eastAsia="Times New Roman" w:hAnsi="Calibri" w:cs="Arial"/>
        <w:i/>
        <w:color w:val="808080"/>
        <w:szCs w:val="24"/>
      </w:rPr>
      <w:t xml:space="preserve"> PBAC Meeting</w:t>
    </w:r>
  </w:p>
  <w:p w:rsidR="00302C27" w:rsidRPr="00BF4E72" w:rsidRDefault="00302C27" w:rsidP="001B7106">
    <w:pPr>
      <w:tabs>
        <w:tab w:val="center" w:pos="4153"/>
        <w:tab w:val="right" w:pos="8306"/>
      </w:tabs>
      <w:spacing w:before="0" w:after="120"/>
      <w:jc w:val="center"/>
      <w:rPr>
        <w:rFonts w:ascii="Calibri" w:eastAsia="Times New Roman" w:hAnsi="Calibri" w:cs="Arial"/>
        <w:i/>
        <w:color w:val="80808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FE698B"/>
    <w:multiLevelType w:val="hybridMultilevel"/>
    <w:tmpl w:val="B3E604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4FA244D"/>
    <w:multiLevelType w:val="hybridMultilevel"/>
    <w:tmpl w:val="9BE06684"/>
    <w:lvl w:ilvl="0" w:tplc="4BFC83A6">
      <w:start w:val="1"/>
      <w:numFmt w:val="bullet"/>
      <w:lvlText w:val="•"/>
      <w:lvlJc w:val="left"/>
      <w:pPr>
        <w:tabs>
          <w:tab w:val="num" w:pos="720"/>
        </w:tabs>
        <w:ind w:left="720" w:hanging="360"/>
      </w:pPr>
      <w:rPr>
        <w:rFonts w:ascii="Arial" w:hAnsi="Arial" w:hint="default"/>
      </w:rPr>
    </w:lvl>
    <w:lvl w:ilvl="1" w:tplc="EF1204F4" w:tentative="1">
      <w:start w:val="1"/>
      <w:numFmt w:val="bullet"/>
      <w:lvlText w:val="•"/>
      <w:lvlJc w:val="left"/>
      <w:pPr>
        <w:tabs>
          <w:tab w:val="num" w:pos="1440"/>
        </w:tabs>
        <w:ind w:left="1440" w:hanging="360"/>
      </w:pPr>
      <w:rPr>
        <w:rFonts w:ascii="Arial" w:hAnsi="Arial" w:hint="default"/>
      </w:rPr>
    </w:lvl>
    <w:lvl w:ilvl="2" w:tplc="5F06F9F8" w:tentative="1">
      <w:start w:val="1"/>
      <w:numFmt w:val="bullet"/>
      <w:lvlText w:val="•"/>
      <w:lvlJc w:val="left"/>
      <w:pPr>
        <w:tabs>
          <w:tab w:val="num" w:pos="2160"/>
        </w:tabs>
        <w:ind w:left="2160" w:hanging="360"/>
      </w:pPr>
      <w:rPr>
        <w:rFonts w:ascii="Arial" w:hAnsi="Arial" w:hint="default"/>
      </w:rPr>
    </w:lvl>
    <w:lvl w:ilvl="3" w:tplc="25CAF8D6" w:tentative="1">
      <w:start w:val="1"/>
      <w:numFmt w:val="bullet"/>
      <w:lvlText w:val="•"/>
      <w:lvlJc w:val="left"/>
      <w:pPr>
        <w:tabs>
          <w:tab w:val="num" w:pos="2880"/>
        </w:tabs>
        <w:ind w:left="2880" w:hanging="360"/>
      </w:pPr>
      <w:rPr>
        <w:rFonts w:ascii="Arial" w:hAnsi="Arial" w:hint="default"/>
      </w:rPr>
    </w:lvl>
    <w:lvl w:ilvl="4" w:tplc="C6D09C36" w:tentative="1">
      <w:start w:val="1"/>
      <w:numFmt w:val="bullet"/>
      <w:lvlText w:val="•"/>
      <w:lvlJc w:val="left"/>
      <w:pPr>
        <w:tabs>
          <w:tab w:val="num" w:pos="3600"/>
        </w:tabs>
        <w:ind w:left="3600" w:hanging="360"/>
      </w:pPr>
      <w:rPr>
        <w:rFonts w:ascii="Arial" w:hAnsi="Arial" w:hint="default"/>
      </w:rPr>
    </w:lvl>
    <w:lvl w:ilvl="5" w:tplc="64FA45CE" w:tentative="1">
      <w:start w:val="1"/>
      <w:numFmt w:val="bullet"/>
      <w:lvlText w:val="•"/>
      <w:lvlJc w:val="left"/>
      <w:pPr>
        <w:tabs>
          <w:tab w:val="num" w:pos="4320"/>
        </w:tabs>
        <w:ind w:left="4320" w:hanging="360"/>
      </w:pPr>
      <w:rPr>
        <w:rFonts w:ascii="Arial" w:hAnsi="Arial" w:hint="default"/>
      </w:rPr>
    </w:lvl>
    <w:lvl w:ilvl="6" w:tplc="4C30225A" w:tentative="1">
      <w:start w:val="1"/>
      <w:numFmt w:val="bullet"/>
      <w:lvlText w:val="•"/>
      <w:lvlJc w:val="left"/>
      <w:pPr>
        <w:tabs>
          <w:tab w:val="num" w:pos="5040"/>
        </w:tabs>
        <w:ind w:left="5040" w:hanging="360"/>
      </w:pPr>
      <w:rPr>
        <w:rFonts w:ascii="Arial" w:hAnsi="Arial" w:hint="default"/>
      </w:rPr>
    </w:lvl>
    <w:lvl w:ilvl="7" w:tplc="4BD45674" w:tentative="1">
      <w:start w:val="1"/>
      <w:numFmt w:val="bullet"/>
      <w:lvlText w:val="•"/>
      <w:lvlJc w:val="left"/>
      <w:pPr>
        <w:tabs>
          <w:tab w:val="num" w:pos="5760"/>
        </w:tabs>
        <w:ind w:left="5760" w:hanging="360"/>
      </w:pPr>
      <w:rPr>
        <w:rFonts w:ascii="Arial" w:hAnsi="Arial" w:hint="default"/>
      </w:rPr>
    </w:lvl>
    <w:lvl w:ilvl="8" w:tplc="1154145E" w:tentative="1">
      <w:start w:val="1"/>
      <w:numFmt w:val="bullet"/>
      <w:lvlText w:val="•"/>
      <w:lvlJc w:val="left"/>
      <w:pPr>
        <w:tabs>
          <w:tab w:val="num" w:pos="6480"/>
        </w:tabs>
        <w:ind w:left="6480" w:hanging="360"/>
      </w:pPr>
      <w:rPr>
        <w:rFonts w:ascii="Arial" w:hAnsi="Arial" w:hint="default"/>
      </w:rPr>
    </w:lvl>
  </w:abstractNum>
  <w:abstractNum w:abstractNumId="3">
    <w:nsid w:val="069370D5"/>
    <w:multiLevelType w:val="hybridMultilevel"/>
    <w:tmpl w:val="80A84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A43877"/>
    <w:multiLevelType w:val="hybridMultilevel"/>
    <w:tmpl w:val="C058725A"/>
    <w:lvl w:ilvl="0" w:tplc="400C6EB0">
      <w:start w:val="1"/>
      <w:numFmt w:val="bullet"/>
      <w:lvlText w:val="•"/>
      <w:lvlJc w:val="left"/>
      <w:pPr>
        <w:tabs>
          <w:tab w:val="num" w:pos="720"/>
        </w:tabs>
        <w:ind w:left="720" w:hanging="360"/>
      </w:pPr>
      <w:rPr>
        <w:rFonts w:ascii="Arial" w:hAnsi="Arial" w:hint="default"/>
      </w:rPr>
    </w:lvl>
    <w:lvl w:ilvl="1" w:tplc="F98292F0" w:tentative="1">
      <w:start w:val="1"/>
      <w:numFmt w:val="bullet"/>
      <w:lvlText w:val="•"/>
      <w:lvlJc w:val="left"/>
      <w:pPr>
        <w:tabs>
          <w:tab w:val="num" w:pos="1440"/>
        </w:tabs>
        <w:ind w:left="1440" w:hanging="360"/>
      </w:pPr>
      <w:rPr>
        <w:rFonts w:ascii="Arial" w:hAnsi="Arial" w:hint="default"/>
      </w:rPr>
    </w:lvl>
    <w:lvl w:ilvl="2" w:tplc="729A1CE4" w:tentative="1">
      <w:start w:val="1"/>
      <w:numFmt w:val="bullet"/>
      <w:lvlText w:val="•"/>
      <w:lvlJc w:val="left"/>
      <w:pPr>
        <w:tabs>
          <w:tab w:val="num" w:pos="2160"/>
        </w:tabs>
        <w:ind w:left="2160" w:hanging="360"/>
      </w:pPr>
      <w:rPr>
        <w:rFonts w:ascii="Arial" w:hAnsi="Arial" w:hint="default"/>
      </w:rPr>
    </w:lvl>
    <w:lvl w:ilvl="3" w:tplc="B31E30BA" w:tentative="1">
      <w:start w:val="1"/>
      <w:numFmt w:val="bullet"/>
      <w:lvlText w:val="•"/>
      <w:lvlJc w:val="left"/>
      <w:pPr>
        <w:tabs>
          <w:tab w:val="num" w:pos="2880"/>
        </w:tabs>
        <w:ind w:left="2880" w:hanging="360"/>
      </w:pPr>
      <w:rPr>
        <w:rFonts w:ascii="Arial" w:hAnsi="Arial" w:hint="default"/>
      </w:rPr>
    </w:lvl>
    <w:lvl w:ilvl="4" w:tplc="D7E6189A" w:tentative="1">
      <w:start w:val="1"/>
      <w:numFmt w:val="bullet"/>
      <w:lvlText w:val="•"/>
      <w:lvlJc w:val="left"/>
      <w:pPr>
        <w:tabs>
          <w:tab w:val="num" w:pos="3600"/>
        </w:tabs>
        <w:ind w:left="3600" w:hanging="360"/>
      </w:pPr>
      <w:rPr>
        <w:rFonts w:ascii="Arial" w:hAnsi="Arial" w:hint="default"/>
      </w:rPr>
    </w:lvl>
    <w:lvl w:ilvl="5" w:tplc="1272E95E" w:tentative="1">
      <w:start w:val="1"/>
      <w:numFmt w:val="bullet"/>
      <w:lvlText w:val="•"/>
      <w:lvlJc w:val="left"/>
      <w:pPr>
        <w:tabs>
          <w:tab w:val="num" w:pos="4320"/>
        </w:tabs>
        <w:ind w:left="4320" w:hanging="360"/>
      </w:pPr>
      <w:rPr>
        <w:rFonts w:ascii="Arial" w:hAnsi="Arial" w:hint="default"/>
      </w:rPr>
    </w:lvl>
    <w:lvl w:ilvl="6" w:tplc="68504C20" w:tentative="1">
      <w:start w:val="1"/>
      <w:numFmt w:val="bullet"/>
      <w:lvlText w:val="•"/>
      <w:lvlJc w:val="left"/>
      <w:pPr>
        <w:tabs>
          <w:tab w:val="num" w:pos="5040"/>
        </w:tabs>
        <w:ind w:left="5040" w:hanging="360"/>
      </w:pPr>
      <w:rPr>
        <w:rFonts w:ascii="Arial" w:hAnsi="Arial" w:hint="default"/>
      </w:rPr>
    </w:lvl>
    <w:lvl w:ilvl="7" w:tplc="CD888742" w:tentative="1">
      <w:start w:val="1"/>
      <w:numFmt w:val="bullet"/>
      <w:lvlText w:val="•"/>
      <w:lvlJc w:val="left"/>
      <w:pPr>
        <w:tabs>
          <w:tab w:val="num" w:pos="5760"/>
        </w:tabs>
        <w:ind w:left="5760" w:hanging="360"/>
      </w:pPr>
      <w:rPr>
        <w:rFonts w:ascii="Arial" w:hAnsi="Arial" w:hint="default"/>
      </w:rPr>
    </w:lvl>
    <w:lvl w:ilvl="8" w:tplc="5ADE54F2" w:tentative="1">
      <w:start w:val="1"/>
      <w:numFmt w:val="bullet"/>
      <w:lvlText w:val="•"/>
      <w:lvlJc w:val="left"/>
      <w:pPr>
        <w:tabs>
          <w:tab w:val="num" w:pos="6480"/>
        </w:tabs>
        <w:ind w:left="6480" w:hanging="360"/>
      </w:pPr>
      <w:rPr>
        <w:rFonts w:ascii="Arial" w:hAnsi="Arial" w:hint="default"/>
      </w:rPr>
    </w:lvl>
  </w:abstractNum>
  <w:abstractNum w:abstractNumId="6">
    <w:nsid w:val="236A479F"/>
    <w:multiLevelType w:val="hybridMultilevel"/>
    <w:tmpl w:val="A5621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63619E7"/>
    <w:multiLevelType w:val="hybridMultilevel"/>
    <w:tmpl w:val="B5AC2578"/>
    <w:lvl w:ilvl="0" w:tplc="DA1AD824">
      <w:start w:val="1"/>
      <w:numFmt w:val="bullet"/>
      <w:lvlText w:val="–"/>
      <w:lvlJc w:val="left"/>
      <w:pPr>
        <w:tabs>
          <w:tab w:val="num" w:pos="720"/>
        </w:tabs>
        <w:ind w:left="720" w:hanging="360"/>
      </w:pPr>
      <w:rPr>
        <w:rFonts w:ascii="Arial" w:hAnsi="Arial" w:hint="default"/>
      </w:rPr>
    </w:lvl>
    <w:lvl w:ilvl="1" w:tplc="7B9C8784">
      <w:start w:val="1"/>
      <w:numFmt w:val="bullet"/>
      <w:lvlText w:val="–"/>
      <w:lvlJc w:val="left"/>
      <w:pPr>
        <w:tabs>
          <w:tab w:val="num" w:pos="1440"/>
        </w:tabs>
        <w:ind w:left="1440" w:hanging="360"/>
      </w:pPr>
      <w:rPr>
        <w:rFonts w:ascii="Arial" w:hAnsi="Arial" w:hint="default"/>
      </w:rPr>
    </w:lvl>
    <w:lvl w:ilvl="2" w:tplc="5624F62E" w:tentative="1">
      <w:start w:val="1"/>
      <w:numFmt w:val="bullet"/>
      <w:lvlText w:val="–"/>
      <w:lvlJc w:val="left"/>
      <w:pPr>
        <w:tabs>
          <w:tab w:val="num" w:pos="2160"/>
        </w:tabs>
        <w:ind w:left="2160" w:hanging="360"/>
      </w:pPr>
      <w:rPr>
        <w:rFonts w:ascii="Arial" w:hAnsi="Arial" w:hint="default"/>
      </w:rPr>
    </w:lvl>
    <w:lvl w:ilvl="3" w:tplc="0D9C9296" w:tentative="1">
      <w:start w:val="1"/>
      <w:numFmt w:val="bullet"/>
      <w:lvlText w:val="–"/>
      <w:lvlJc w:val="left"/>
      <w:pPr>
        <w:tabs>
          <w:tab w:val="num" w:pos="2880"/>
        </w:tabs>
        <w:ind w:left="2880" w:hanging="360"/>
      </w:pPr>
      <w:rPr>
        <w:rFonts w:ascii="Arial" w:hAnsi="Arial" w:hint="default"/>
      </w:rPr>
    </w:lvl>
    <w:lvl w:ilvl="4" w:tplc="01CA02A0" w:tentative="1">
      <w:start w:val="1"/>
      <w:numFmt w:val="bullet"/>
      <w:lvlText w:val="–"/>
      <w:lvlJc w:val="left"/>
      <w:pPr>
        <w:tabs>
          <w:tab w:val="num" w:pos="3600"/>
        </w:tabs>
        <w:ind w:left="3600" w:hanging="360"/>
      </w:pPr>
      <w:rPr>
        <w:rFonts w:ascii="Arial" w:hAnsi="Arial" w:hint="default"/>
      </w:rPr>
    </w:lvl>
    <w:lvl w:ilvl="5" w:tplc="1400AC4C" w:tentative="1">
      <w:start w:val="1"/>
      <w:numFmt w:val="bullet"/>
      <w:lvlText w:val="–"/>
      <w:lvlJc w:val="left"/>
      <w:pPr>
        <w:tabs>
          <w:tab w:val="num" w:pos="4320"/>
        </w:tabs>
        <w:ind w:left="4320" w:hanging="360"/>
      </w:pPr>
      <w:rPr>
        <w:rFonts w:ascii="Arial" w:hAnsi="Arial" w:hint="default"/>
      </w:rPr>
    </w:lvl>
    <w:lvl w:ilvl="6" w:tplc="761C8B16" w:tentative="1">
      <w:start w:val="1"/>
      <w:numFmt w:val="bullet"/>
      <w:lvlText w:val="–"/>
      <w:lvlJc w:val="left"/>
      <w:pPr>
        <w:tabs>
          <w:tab w:val="num" w:pos="5040"/>
        </w:tabs>
        <w:ind w:left="5040" w:hanging="360"/>
      </w:pPr>
      <w:rPr>
        <w:rFonts w:ascii="Arial" w:hAnsi="Arial" w:hint="default"/>
      </w:rPr>
    </w:lvl>
    <w:lvl w:ilvl="7" w:tplc="5BA685FC" w:tentative="1">
      <w:start w:val="1"/>
      <w:numFmt w:val="bullet"/>
      <w:lvlText w:val="–"/>
      <w:lvlJc w:val="left"/>
      <w:pPr>
        <w:tabs>
          <w:tab w:val="num" w:pos="5760"/>
        </w:tabs>
        <w:ind w:left="5760" w:hanging="360"/>
      </w:pPr>
      <w:rPr>
        <w:rFonts w:ascii="Arial" w:hAnsi="Arial" w:hint="default"/>
      </w:rPr>
    </w:lvl>
    <w:lvl w:ilvl="8" w:tplc="AEA47B22" w:tentative="1">
      <w:start w:val="1"/>
      <w:numFmt w:val="bullet"/>
      <w:lvlText w:val="–"/>
      <w:lvlJc w:val="left"/>
      <w:pPr>
        <w:tabs>
          <w:tab w:val="num" w:pos="6480"/>
        </w:tabs>
        <w:ind w:left="6480" w:hanging="360"/>
      </w:pPr>
      <w:rPr>
        <w:rFonts w:ascii="Arial" w:hAnsi="Arial" w:hint="default"/>
      </w:rPr>
    </w:lvl>
  </w:abstractNum>
  <w:abstractNum w:abstractNumId="9">
    <w:nsid w:val="284E6825"/>
    <w:multiLevelType w:val="multilevel"/>
    <w:tmpl w:val="C3F65C10"/>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85E681C"/>
    <w:multiLevelType w:val="multilevel"/>
    <w:tmpl w:val="14D470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8E3598F"/>
    <w:multiLevelType w:val="multilevel"/>
    <w:tmpl w:val="14D470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13E5304"/>
    <w:multiLevelType w:val="hybridMultilevel"/>
    <w:tmpl w:val="18C6DEE0"/>
    <w:lvl w:ilvl="0" w:tplc="B706ECA0">
      <w:start w:val="1"/>
      <w:numFmt w:val="bullet"/>
      <w:lvlText w:val="•"/>
      <w:lvlJc w:val="left"/>
      <w:pPr>
        <w:tabs>
          <w:tab w:val="num" w:pos="720"/>
        </w:tabs>
        <w:ind w:left="720" w:hanging="360"/>
      </w:pPr>
      <w:rPr>
        <w:rFonts w:ascii="Arial" w:hAnsi="Arial" w:hint="default"/>
      </w:rPr>
    </w:lvl>
    <w:lvl w:ilvl="1" w:tplc="7FC6402A" w:tentative="1">
      <w:start w:val="1"/>
      <w:numFmt w:val="bullet"/>
      <w:lvlText w:val="•"/>
      <w:lvlJc w:val="left"/>
      <w:pPr>
        <w:tabs>
          <w:tab w:val="num" w:pos="1440"/>
        </w:tabs>
        <w:ind w:left="1440" w:hanging="360"/>
      </w:pPr>
      <w:rPr>
        <w:rFonts w:ascii="Arial" w:hAnsi="Arial" w:hint="default"/>
      </w:rPr>
    </w:lvl>
    <w:lvl w:ilvl="2" w:tplc="0ED8E8CC" w:tentative="1">
      <w:start w:val="1"/>
      <w:numFmt w:val="bullet"/>
      <w:lvlText w:val="•"/>
      <w:lvlJc w:val="left"/>
      <w:pPr>
        <w:tabs>
          <w:tab w:val="num" w:pos="2160"/>
        </w:tabs>
        <w:ind w:left="2160" w:hanging="360"/>
      </w:pPr>
      <w:rPr>
        <w:rFonts w:ascii="Arial" w:hAnsi="Arial" w:hint="default"/>
      </w:rPr>
    </w:lvl>
    <w:lvl w:ilvl="3" w:tplc="7CDEEF86" w:tentative="1">
      <w:start w:val="1"/>
      <w:numFmt w:val="bullet"/>
      <w:lvlText w:val="•"/>
      <w:lvlJc w:val="left"/>
      <w:pPr>
        <w:tabs>
          <w:tab w:val="num" w:pos="2880"/>
        </w:tabs>
        <w:ind w:left="2880" w:hanging="360"/>
      </w:pPr>
      <w:rPr>
        <w:rFonts w:ascii="Arial" w:hAnsi="Arial" w:hint="default"/>
      </w:rPr>
    </w:lvl>
    <w:lvl w:ilvl="4" w:tplc="8FEE314A" w:tentative="1">
      <w:start w:val="1"/>
      <w:numFmt w:val="bullet"/>
      <w:lvlText w:val="•"/>
      <w:lvlJc w:val="left"/>
      <w:pPr>
        <w:tabs>
          <w:tab w:val="num" w:pos="3600"/>
        </w:tabs>
        <w:ind w:left="3600" w:hanging="360"/>
      </w:pPr>
      <w:rPr>
        <w:rFonts w:ascii="Arial" w:hAnsi="Arial" w:hint="default"/>
      </w:rPr>
    </w:lvl>
    <w:lvl w:ilvl="5" w:tplc="6F4660EE" w:tentative="1">
      <w:start w:val="1"/>
      <w:numFmt w:val="bullet"/>
      <w:lvlText w:val="•"/>
      <w:lvlJc w:val="left"/>
      <w:pPr>
        <w:tabs>
          <w:tab w:val="num" w:pos="4320"/>
        </w:tabs>
        <w:ind w:left="4320" w:hanging="360"/>
      </w:pPr>
      <w:rPr>
        <w:rFonts w:ascii="Arial" w:hAnsi="Arial" w:hint="default"/>
      </w:rPr>
    </w:lvl>
    <w:lvl w:ilvl="6" w:tplc="FB1E6E60" w:tentative="1">
      <w:start w:val="1"/>
      <w:numFmt w:val="bullet"/>
      <w:lvlText w:val="•"/>
      <w:lvlJc w:val="left"/>
      <w:pPr>
        <w:tabs>
          <w:tab w:val="num" w:pos="5040"/>
        </w:tabs>
        <w:ind w:left="5040" w:hanging="360"/>
      </w:pPr>
      <w:rPr>
        <w:rFonts w:ascii="Arial" w:hAnsi="Arial" w:hint="default"/>
      </w:rPr>
    </w:lvl>
    <w:lvl w:ilvl="7" w:tplc="CB96C964" w:tentative="1">
      <w:start w:val="1"/>
      <w:numFmt w:val="bullet"/>
      <w:lvlText w:val="•"/>
      <w:lvlJc w:val="left"/>
      <w:pPr>
        <w:tabs>
          <w:tab w:val="num" w:pos="5760"/>
        </w:tabs>
        <w:ind w:left="5760" w:hanging="360"/>
      </w:pPr>
      <w:rPr>
        <w:rFonts w:ascii="Arial" w:hAnsi="Arial" w:hint="default"/>
      </w:rPr>
    </w:lvl>
    <w:lvl w:ilvl="8" w:tplc="AFF4B4C0" w:tentative="1">
      <w:start w:val="1"/>
      <w:numFmt w:val="bullet"/>
      <w:lvlText w:val="•"/>
      <w:lvlJc w:val="left"/>
      <w:pPr>
        <w:tabs>
          <w:tab w:val="num" w:pos="6480"/>
        </w:tabs>
        <w:ind w:left="6480" w:hanging="360"/>
      </w:pPr>
      <w:rPr>
        <w:rFonts w:ascii="Arial" w:hAnsi="Arial" w:hint="default"/>
      </w:rPr>
    </w:lvl>
  </w:abstractNum>
  <w:abstractNum w:abstractNumId="14">
    <w:nsid w:val="316B203D"/>
    <w:multiLevelType w:val="hybridMultilevel"/>
    <w:tmpl w:val="E9E6E4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02F1334"/>
    <w:multiLevelType w:val="hybridMultilevel"/>
    <w:tmpl w:val="B2004FF0"/>
    <w:lvl w:ilvl="0" w:tplc="AD30BB0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4B1784"/>
    <w:multiLevelType w:val="hybridMultilevel"/>
    <w:tmpl w:val="8B20A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7AD0C8B"/>
    <w:multiLevelType w:val="hybridMultilevel"/>
    <w:tmpl w:val="0A1AF9AA"/>
    <w:lvl w:ilvl="0" w:tplc="0C090001">
      <w:start w:val="1"/>
      <w:numFmt w:val="bullet"/>
      <w:lvlText w:val=""/>
      <w:lvlJc w:val="left"/>
      <w:pPr>
        <w:ind w:left="360" w:hanging="360"/>
      </w:pPr>
      <w:rPr>
        <w:rFonts w:ascii="Symbol" w:hAnsi="Symbol" w:hint="default"/>
      </w:rPr>
    </w:lvl>
    <w:lvl w:ilvl="1" w:tplc="91C4A280">
      <w:numFmt w:val="bullet"/>
      <w:lvlText w:val="-"/>
      <w:lvlJc w:val="left"/>
      <w:pPr>
        <w:ind w:left="1080" w:hanging="360"/>
      </w:pPr>
      <w:rPr>
        <w:rFonts w:ascii="Arial Narrow" w:eastAsiaTheme="minorHAnsi" w:hAnsi="Arial Narrow"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88E614A"/>
    <w:multiLevelType w:val="hybridMultilevel"/>
    <w:tmpl w:val="5972E8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E4D583F"/>
    <w:multiLevelType w:val="hybridMultilevel"/>
    <w:tmpl w:val="5414D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43C64E8"/>
    <w:multiLevelType w:val="multilevel"/>
    <w:tmpl w:val="C1C8B9F4"/>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84D033C"/>
    <w:multiLevelType w:val="multilevel"/>
    <w:tmpl w:val="0C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AB96549"/>
    <w:multiLevelType w:val="hybridMultilevel"/>
    <w:tmpl w:val="C9E4A812"/>
    <w:lvl w:ilvl="0" w:tplc="29364136">
      <w:start w:val="1"/>
      <w:numFmt w:val="bullet"/>
      <w:lvlText w:val="•"/>
      <w:lvlJc w:val="left"/>
      <w:pPr>
        <w:tabs>
          <w:tab w:val="num" w:pos="720"/>
        </w:tabs>
        <w:ind w:left="720" w:hanging="360"/>
      </w:pPr>
      <w:rPr>
        <w:rFonts w:ascii="Arial" w:hAnsi="Arial" w:hint="default"/>
      </w:rPr>
    </w:lvl>
    <w:lvl w:ilvl="1" w:tplc="191CB4BA">
      <w:start w:val="1"/>
      <w:numFmt w:val="bullet"/>
      <w:lvlText w:val="•"/>
      <w:lvlJc w:val="left"/>
      <w:pPr>
        <w:tabs>
          <w:tab w:val="num" w:pos="1440"/>
        </w:tabs>
        <w:ind w:left="1440" w:hanging="360"/>
      </w:pPr>
      <w:rPr>
        <w:rFonts w:ascii="Arial" w:hAnsi="Arial" w:hint="default"/>
      </w:rPr>
    </w:lvl>
    <w:lvl w:ilvl="2" w:tplc="E5769840" w:tentative="1">
      <w:start w:val="1"/>
      <w:numFmt w:val="bullet"/>
      <w:lvlText w:val="•"/>
      <w:lvlJc w:val="left"/>
      <w:pPr>
        <w:tabs>
          <w:tab w:val="num" w:pos="2160"/>
        </w:tabs>
        <w:ind w:left="2160" w:hanging="360"/>
      </w:pPr>
      <w:rPr>
        <w:rFonts w:ascii="Arial" w:hAnsi="Arial" w:hint="default"/>
      </w:rPr>
    </w:lvl>
    <w:lvl w:ilvl="3" w:tplc="4874FC1C" w:tentative="1">
      <w:start w:val="1"/>
      <w:numFmt w:val="bullet"/>
      <w:lvlText w:val="•"/>
      <w:lvlJc w:val="left"/>
      <w:pPr>
        <w:tabs>
          <w:tab w:val="num" w:pos="2880"/>
        </w:tabs>
        <w:ind w:left="2880" w:hanging="360"/>
      </w:pPr>
      <w:rPr>
        <w:rFonts w:ascii="Arial" w:hAnsi="Arial" w:hint="default"/>
      </w:rPr>
    </w:lvl>
    <w:lvl w:ilvl="4" w:tplc="4FBE7F20" w:tentative="1">
      <w:start w:val="1"/>
      <w:numFmt w:val="bullet"/>
      <w:lvlText w:val="•"/>
      <w:lvlJc w:val="left"/>
      <w:pPr>
        <w:tabs>
          <w:tab w:val="num" w:pos="3600"/>
        </w:tabs>
        <w:ind w:left="3600" w:hanging="360"/>
      </w:pPr>
      <w:rPr>
        <w:rFonts w:ascii="Arial" w:hAnsi="Arial" w:hint="default"/>
      </w:rPr>
    </w:lvl>
    <w:lvl w:ilvl="5" w:tplc="853268D8" w:tentative="1">
      <w:start w:val="1"/>
      <w:numFmt w:val="bullet"/>
      <w:lvlText w:val="•"/>
      <w:lvlJc w:val="left"/>
      <w:pPr>
        <w:tabs>
          <w:tab w:val="num" w:pos="4320"/>
        </w:tabs>
        <w:ind w:left="4320" w:hanging="360"/>
      </w:pPr>
      <w:rPr>
        <w:rFonts w:ascii="Arial" w:hAnsi="Arial" w:hint="default"/>
      </w:rPr>
    </w:lvl>
    <w:lvl w:ilvl="6" w:tplc="B55E8660" w:tentative="1">
      <w:start w:val="1"/>
      <w:numFmt w:val="bullet"/>
      <w:lvlText w:val="•"/>
      <w:lvlJc w:val="left"/>
      <w:pPr>
        <w:tabs>
          <w:tab w:val="num" w:pos="5040"/>
        </w:tabs>
        <w:ind w:left="5040" w:hanging="360"/>
      </w:pPr>
      <w:rPr>
        <w:rFonts w:ascii="Arial" w:hAnsi="Arial" w:hint="default"/>
      </w:rPr>
    </w:lvl>
    <w:lvl w:ilvl="7" w:tplc="AE903636" w:tentative="1">
      <w:start w:val="1"/>
      <w:numFmt w:val="bullet"/>
      <w:lvlText w:val="•"/>
      <w:lvlJc w:val="left"/>
      <w:pPr>
        <w:tabs>
          <w:tab w:val="num" w:pos="5760"/>
        </w:tabs>
        <w:ind w:left="5760" w:hanging="360"/>
      </w:pPr>
      <w:rPr>
        <w:rFonts w:ascii="Arial" w:hAnsi="Arial" w:hint="default"/>
      </w:rPr>
    </w:lvl>
    <w:lvl w:ilvl="8" w:tplc="032C28B6" w:tentative="1">
      <w:start w:val="1"/>
      <w:numFmt w:val="bullet"/>
      <w:lvlText w:val="•"/>
      <w:lvlJc w:val="left"/>
      <w:pPr>
        <w:tabs>
          <w:tab w:val="num" w:pos="6480"/>
        </w:tabs>
        <w:ind w:left="6480" w:hanging="360"/>
      </w:pPr>
      <w:rPr>
        <w:rFonts w:ascii="Arial" w:hAnsi="Arial" w:hint="default"/>
      </w:rPr>
    </w:lvl>
  </w:abstractNum>
  <w:abstractNum w:abstractNumId="26">
    <w:nsid w:val="7DDC47B4"/>
    <w:multiLevelType w:val="hybridMultilevel"/>
    <w:tmpl w:val="09904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24"/>
  </w:num>
  <w:num w:numId="3">
    <w:abstractNumId w:val="12"/>
  </w:num>
  <w:num w:numId="4">
    <w:abstractNumId w:val="20"/>
  </w:num>
  <w:num w:numId="5">
    <w:abstractNumId w:val="21"/>
  </w:num>
  <w:num w:numId="6">
    <w:abstractNumId w:val="6"/>
  </w:num>
  <w:num w:numId="7">
    <w:abstractNumId w:val="14"/>
  </w:num>
  <w:num w:numId="8">
    <w:abstractNumId w:val="26"/>
  </w:num>
  <w:num w:numId="9">
    <w:abstractNumId w:val="17"/>
  </w:num>
  <w:num w:numId="10">
    <w:abstractNumId w:val="3"/>
  </w:num>
  <w:num w:numId="11">
    <w:abstractNumId w:val="22"/>
  </w:num>
  <w:num w:numId="12">
    <w:abstractNumId w:val="1"/>
  </w:num>
  <w:num w:numId="13">
    <w:abstractNumId w:val="16"/>
  </w:num>
  <w:num w:numId="14">
    <w:abstractNumId w:val="23"/>
  </w:num>
  <w:num w:numId="15">
    <w:abstractNumId w:val="2"/>
  </w:num>
  <w:num w:numId="16">
    <w:abstractNumId w:val="25"/>
  </w:num>
  <w:num w:numId="17">
    <w:abstractNumId w:val="5"/>
  </w:num>
  <w:num w:numId="18">
    <w:abstractNumId w:val="13"/>
  </w:num>
  <w:num w:numId="19">
    <w:abstractNumId w:val="9"/>
  </w:num>
  <w:num w:numId="20">
    <w:abstractNumId w:val="19"/>
  </w:num>
  <w:num w:numId="21">
    <w:abstractNumId w:val="4"/>
  </w:num>
  <w:num w:numId="22">
    <w:abstractNumId w:val="0"/>
  </w:num>
  <w:num w:numId="23">
    <w:abstractNumId w:val="7"/>
  </w:num>
  <w:num w:numId="24">
    <w:abstractNumId w:val="11"/>
  </w:num>
  <w:num w:numId="25">
    <w:abstractNumId w:val="8"/>
  </w:num>
  <w:num w:numId="26">
    <w:abstractNumId w:val="10"/>
  </w:num>
  <w:num w:numId="27">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ie Bettington">
    <w15:presenceInfo w15:providerId="AD" w15:userId="S-1-5-21-3783748790-1650380912-4064278123-71690"/>
  </w15:person>
  <w15:person w15:author="Paul Scuffham">
    <w15:presenceInfo w15:providerId="AD" w15:userId="S-1-5-21-3783748790-1650380912-4064278123-21065"/>
  </w15:person>
  <w15:person w15:author="soeadmin">
    <w15:presenceInfo w15:providerId="None" w15:userId="soeadmin"/>
  </w15:person>
  <w15:person w15:author="Emilie Bettington [2]">
    <w15:presenceInfo w15:providerId="Windows Live" w15:userId="330331721064e3b1"/>
  </w15:person>
  <w15:person w15:author="Martin Downes">
    <w15:presenceInfo w15:providerId="AD" w15:userId="S-1-5-21-3783748790-1650380912-4064278123-71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3149"/>
    <w:rsid w:val="0000333E"/>
    <w:rsid w:val="00003629"/>
    <w:rsid w:val="00003814"/>
    <w:rsid w:val="00003C2B"/>
    <w:rsid w:val="000051DD"/>
    <w:rsid w:val="00005D68"/>
    <w:rsid w:val="000067B4"/>
    <w:rsid w:val="00006C58"/>
    <w:rsid w:val="00007546"/>
    <w:rsid w:val="0001066F"/>
    <w:rsid w:val="00011888"/>
    <w:rsid w:val="00012624"/>
    <w:rsid w:val="00013222"/>
    <w:rsid w:val="00013D9B"/>
    <w:rsid w:val="000167EF"/>
    <w:rsid w:val="00016ACF"/>
    <w:rsid w:val="00016B42"/>
    <w:rsid w:val="00016CC5"/>
    <w:rsid w:val="0001794A"/>
    <w:rsid w:val="0002095B"/>
    <w:rsid w:val="000227D6"/>
    <w:rsid w:val="00024AD2"/>
    <w:rsid w:val="000258C5"/>
    <w:rsid w:val="0003051A"/>
    <w:rsid w:val="00031598"/>
    <w:rsid w:val="00032482"/>
    <w:rsid w:val="00032926"/>
    <w:rsid w:val="00034404"/>
    <w:rsid w:val="00034C64"/>
    <w:rsid w:val="00035A36"/>
    <w:rsid w:val="00041C2A"/>
    <w:rsid w:val="000428BE"/>
    <w:rsid w:val="0004547F"/>
    <w:rsid w:val="0004572F"/>
    <w:rsid w:val="000461CF"/>
    <w:rsid w:val="0004676F"/>
    <w:rsid w:val="00050B59"/>
    <w:rsid w:val="00050E52"/>
    <w:rsid w:val="00052968"/>
    <w:rsid w:val="00053A24"/>
    <w:rsid w:val="0005545A"/>
    <w:rsid w:val="0005757A"/>
    <w:rsid w:val="00057ED2"/>
    <w:rsid w:val="00057F71"/>
    <w:rsid w:val="00062067"/>
    <w:rsid w:val="00062679"/>
    <w:rsid w:val="00062C34"/>
    <w:rsid w:val="000630C7"/>
    <w:rsid w:val="00064BDD"/>
    <w:rsid w:val="00065812"/>
    <w:rsid w:val="00065C62"/>
    <w:rsid w:val="00065CDE"/>
    <w:rsid w:val="00065F4A"/>
    <w:rsid w:val="00066FC9"/>
    <w:rsid w:val="000718E6"/>
    <w:rsid w:val="000722E5"/>
    <w:rsid w:val="00072A05"/>
    <w:rsid w:val="000753D0"/>
    <w:rsid w:val="00075DB5"/>
    <w:rsid w:val="0008071E"/>
    <w:rsid w:val="00080FF3"/>
    <w:rsid w:val="00082A1C"/>
    <w:rsid w:val="0008340B"/>
    <w:rsid w:val="000839F6"/>
    <w:rsid w:val="000847FE"/>
    <w:rsid w:val="00086133"/>
    <w:rsid w:val="00086919"/>
    <w:rsid w:val="00087026"/>
    <w:rsid w:val="00090276"/>
    <w:rsid w:val="000906C9"/>
    <w:rsid w:val="00091933"/>
    <w:rsid w:val="00092AE5"/>
    <w:rsid w:val="00096447"/>
    <w:rsid w:val="000A05A1"/>
    <w:rsid w:val="000A1204"/>
    <w:rsid w:val="000A179B"/>
    <w:rsid w:val="000A17D7"/>
    <w:rsid w:val="000A2694"/>
    <w:rsid w:val="000A2EF1"/>
    <w:rsid w:val="000A51E2"/>
    <w:rsid w:val="000A6023"/>
    <w:rsid w:val="000A6FBD"/>
    <w:rsid w:val="000A7C5B"/>
    <w:rsid w:val="000B11CC"/>
    <w:rsid w:val="000B2431"/>
    <w:rsid w:val="000B457B"/>
    <w:rsid w:val="000B56CD"/>
    <w:rsid w:val="000B6B69"/>
    <w:rsid w:val="000C0142"/>
    <w:rsid w:val="000C311B"/>
    <w:rsid w:val="000C6A40"/>
    <w:rsid w:val="000C750B"/>
    <w:rsid w:val="000D0023"/>
    <w:rsid w:val="000D00E8"/>
    <w:rsid w:val="000D09B2"/>
    <w:rsid w:val="000D2F9B"/>
    <w:rsid w:val="000D3A14"/>
    <w:rsid w:val="000D4DBD"/>
    <w:rsid w:val="000D792D"/>
    <w:rsid w:val="000E4F43"/>
    <w:rsid w:val="000E521A"/>
    <w:rsid w:val="000E6695"/>
    <w:rsid w:val="000F01C8"/>
    <w:rsid w:val="000F0425"/>
    <w:rsid w:val="000F13EF"/>
    <w:rsid w:val="000F1D32"/>
    <w:rsid w:val="000F2534"/>
    <w:rsid w:val="000F3652"/>
    <w:rsid w:val="000F3F0A"/>
    <w:rsid w:val="000F46A9"/>
    <w:rsid w:val="000F4E29"/>
    <w:rsid w:val="000F5920"/>
    <w:rsid w:val="000F614A"/>
    <w:rsid w:val="00100C5F"/>
    <w:rsid w:val="0010203C"/>
    <w:rsid w:val="001021EC"/>
    <w:rsid w:val="001025BA"/>
    <w:rsid w:val="00102D3D"/>
    <w:rsid w:val="00102DB9"/>
    <w:rsid w:val="00103C2C"/>
    <w:rsid w:val="00107FBB"/>
    <w:rsid w:val="0011131F"/>
    <w:rsid w:val="00113797"/>
    <w:rsid w:val="001140A9"/>
    <w:rsid w:val="0011416B"/>
    <w:rsid w:val="00114494"/>
    <w:rsid w:val="00116B36"/>
    <w:rsid w:val="0012017C"/>
    <w:rsid w:val="001220E9"/>
    <w:rsid w:val="00122106"/>
    <w:rsid w:val="001254FA"/>
    <w:rsid w:val="0012701F"/>
    <w:rsid w:val="001279AE"/>
    <w:rsid w:val="00127A9D"/>
    <w:rsid w:val="00131965"/>
    <w:rsid w:val="00132992"/>
    <w:rsid w:val="0013346A"/>
    <w:rsid w:val="00133BEC"/>
    <w:rsid w:val="00135BF8"/>
    <w:rsid w:val="00136E76"/>
    <w:rsid w:val="00140237"/>
    <w:rsid w:val="00141EC0"/>
    <w:rsid w:val="00142483"/>
    <w:rsid w:val="001426C9"/>
    <w:rsid w:val="00142D42"/>
    <w:rsid w:val="0014477A"/>
    <w:rsid w:val="001459AF"/>
    <w:rsid w:val="00145EB2"/>
    <w:rsid w:val="001468C6"/>
    <w:rsid w:val="00146C47"/>
    <w:rsid w:val="00147B1F"/>
    <w:rsid w:val="00152B67"/>
    <w:rsid w:val="001545A3"/>
    <w:rsid w:val="001558DF"/>
    <w:rsid w:val="001575C4"/>
    <w:rsid w:val="00160F82"/>
    <w:rsid w:val="00163787"/>
    <w:rsid w:val="00163864"/>
    <w:rsid w:val="001649C1"/>
    <w:rsid w:val="00165A49"/>
    <w:rsid w:val="001673DA"/>
    <w:rsid w:val="0017063E"/>
    <w:rsid w:val="0017321C"/>
    <w:rsid w:val="00173577"/>
    <w:rsid w:val="0017657B"/>
    <w:rsid w:val="00176AA5"/>
    <w:rsid w:val="0017720E"/>
    <w:rsid w:val="001777FF"/>
    <w:rsid w:val="00177893"/>
    <w:rsid w:val="001801ED"/>
    <w:rsid w:val="00181241"/>
    <w:rsid w:val="0018152F"/>
    <w:rsid w:val="00181F49"/>
    <w:rsid w:val="0018231A"/>
    <w:rsid w:val="00182B99"/>
    <w:rsid w:val="0018343E"/>
    <w:rsid w:val="00183C2F"/>
    <w:rsid w:val="00184221"/>
    <w:rsid w:val="00184654"/>
    <w:rsid w:val="00186307"/>
    <w:rsid w:val="00186E6B"/>
    <w:rsid w:val="00186EBC"/>
    <w:rsid w:val="00187570"/>
    <w:rsid w:val="00193016"/>
    <w:rsid w:val="001938C3"/>
    <w:rsid w:val="00193B06"/>
    <w:rsid w:val="0019435F"/>
    <w:rsid w:val="0019453E"/>
    <w:rsid w:val="00195383"/>
    <w:rsid w:val="00195DA4"/>
    <w:rsid w:val="0019609C"/>
    <w:rsid w:val="00196DC5"/>
    <w:rsid w:val="00197120"/>
    <w:rsid w:val="001A0142"/>
    <w:rsid w:val="001A2C48"/>
    <w:rsid w:val="001A55E6"/>
    <w:rsid w:val="001A6E21"/>
    <w:rsid w:val="001A74D0"/>
    <w:rsid w:val="001B00CE"/>
    <w:rsid w:val="001B0623"/>
    <w:rsid w:val="001B5863"/>
    <w:rsid w:val="001B6389"/>
    <w:rsid w:val="001B7106"/>
    <w:rsid w:val="001B7854"/>
    <w:rsid w:val="001B791F"/>
    <w:rsid w:val="001B7A97"/>
    <w:rsid w:val="001C04CC"/>
    <w:rsid w:val="001C051E"/>
    <w:rsid w:val="001C10FB"/>
    <w:rsid w:val="001C20EC"/>
    <w:rsid w:val="001C2AEB"/>
    <w:rsid w:val="001C544A"/>
    <w:rsid w:val="001D0599"/>
    <w:rsid w:val="001D1285"/>
    <w:rsid w:val="001D1E68"/>
    <w:rsid w:val="001D1FE6"/>
    <w:rsid w:val="001D299D"/>
    <w:rsid w:val="001D2FCC"/>
    <w:rsid w:val="001D498D"/>
    <w:rsid w:val="001D5DE3"/>
    <w:rsid w:val="001D6622"/>
    <w:rsid w:val="001D73B5"/>
    <w:rsid w:val="001E0D6E"/>
    <w:rsid w:val="001E1A52"/>
    <w:rsid w:val="001E294B"/>
    <w:rsid w:val="001E5918"/>
    <w:rsid w:val="001E615D"/>
    <w:rsid w:val="001F073C"/>
    <w:rsid w:val="001F185B"/>
    <w:rsid w:val="001F2912"/>
    <w:rsid w:val="001F381E"/>
    <w:rsid w:val="001F3DCB"/>
    <w:rsid w:val="001F5DCB"/>
    <w:rsid w:val="001F6711"/>
    <w:rsid w:val="001F697A"/>
    <w:rsid w:val="00200296"/>
    <w:rsid w:val="00201ADB"/>
    <w:rsid w:val="00201F41"/>
    <w:rsid w:val="002029B5"/>
    <w:rsid w:val="00204F62"/>
    <w:rsid w:val="0020530D"/>
    <w:rsid w:val="002058E5"/>
    <w:rsid w:val="00205EBA"/>
    <w:rsid w:val="00210FAA"/>
    <w:rsid w:val="00212EDE"/>
    <w:rsid w:val="002142DE"/>
    <w:rsid w:val="0021695F"/>
    <w:rsid w:val="00216B63"/>
    <w:rsid w:val="002204F0"/>
    <w:rsid w:val="0022186A"/>
    <w:rsid w:val="00222483"/>
    <w:rsid w:val="002234A6"/>
    <w:rsid w:val="002248E6"/>
    <w:rsid w:val="00230720"/>
    <w:rsid w:val="00231CB0"/>
    <w:rsid w:val="00234E24"/>
    <w:rsid w:val="002369AF"/>
    <w:rsid w:val="002425EA"/>
    <w:rsid w:val="00242EA0"/>
    <w:rsid w:val="00243685"/>
    <w:rsid w:val="0024607F"/>
    <w:rsid w:val="00250A17"/>
    <w:rsid w:val="00253E8B"/>
    <w:rsid w:val="0025433D"/>
    <w:rsid w:val="002545CB"/>
    <w:rsid w:val="00255BDA"/>
    <w:rsid w:val="0025613F"/>
    <w:rsid w:val="002605F1"/>
    <w:rsid w:val="00261DC6"/>
    <w:rsid w:val="00262149"/>
    <w:rsid w:val="00262F41"/>
    <w:rsid w:val="00264313"/>
    <w:rsid w:val="00264623"/>
    <w:rsid w:val="002665B2"/>
    <w:rsid w:val="0026668F"/>
    <w:rsid w:val="002675CC"/>
    <w:rsid w:val="00270C04"/>
    <w:rsid w:val="00270CC3"/>
    <w:rsid w:val="002716EF"/>
    <w:rsid w:val="00271A3F"/>
    <w:rsid w:val="00271D7B"/>
    <w:rsid w:val="00272444"/>
    <w:rsid w:val="00274D23"/>
    <w:rsid w:val="0027773D"/>
    <w:rsid w:val="00277819"/>
    <w:rsid w:val="00280010"/>
    <w:rsid w:val="00280B5B"/>
    <w:rsid w:val="002822F8"/>
    <w:rsid w:val="0028300C"/>
    <w:rsid w:val="002834D5"/>
    <w:rsid w:val="002836DF"/>
    <w:rsid w:val="002928F4"/>
    <w:rsid w:val="002931F1"/>
    <w:rsid w:val="002948B8"/>
    <w:rsid w:val="00296162"/>
    <w:rsid w:val="002A18BF"/>
    <w:rsid w:val="002A34CD"/>
    <w:rsid w:val="002A4503"/>
    <w:rsid w:val="002A4539"/>
    <w:rsid w:val="002A4847"/>
    <w:rsid w:val="002A78FA"/>
    <w:rsid w:val="002B0E85"/>
    <w:rsid w:val="002B10BF"/>
    <w:rsid w:val="002B3253"/>
    <w:rsid w:val="002B4941"/>
    <w:rsid w:val="002B498D"/>
    <w:rsid w:val="002B52AB"/>
    <w:rsid w:val="002B5459"/>
    <w:rsid w:val="002B5D74"/>
    <w:rsid w:val="002B7ADB"/>
    <w:rsid w:val="002B7D8D"/>
    <w:rsid w:val="002C1790"/>
    <w:rsid w:val="002C1D2F"/>
    <w:rsid w:val="002C2985"/>
    <w:rsid w:val="002C3399"/>
    <w:rsid w:val="002C6145"/>
    <w:rsid w:val="002C757E"/>
    <w:rsid w:val="002D0006"/>
    <w:rsid w:val="002D2F15"/>
    <w:rsid w:val="002D2FCA"/>
    <w:rsid w:val="002D3F17"/>
    <w:rsid w:val="002D4B51"/>
    <w:rsid w:val="002D4BFD"/>
    <w:rsid w:val="002D5CC7"/>
    <w:rsid w:val="002D602B"/>
    <w:rsid w:val="002D7823"/>
    <w:rsid w:val="002E214E"/>
    <w:rsid w:val="002E2CDD"/>
    <w:rsid w:val="002E3FCA"/>
    <w:rsid w:val="002E40DC"/>
    <w:rsid w:val="002E492B"/>
    <w:rsid w:val="002E4C2D"/>
    <w:rsid w:val="002E5D29"/>
    <w:rsid w:val="002E5DEA"/>
    <w:rsid w:val="002E724A"/>
    <w:rsid w:val="002F013D"/>
    <w:rsid w:val="002F18B0"/>
    <w:rsid w:val="002F311E"/>
    <w:rsid w:val="002F461C"/>
    <w:rsid w:val="002F71B8"/>
    <w:rsid w:val="002F7400"/>
    <w:rsid w:val="00301EA1"/>
    <w:rsid w:val="00302C27"/>
    <w:rsid w:val="00302FCC"/>
    <w:rsid w:val="00304348"/>
    <w:rsid w:val="003062AE"/>
    <w:rsid w:val="003064F9"/>
    <w:rsid w:val="00306E2C"/>
    <w:rsid w:val="003104BD"/>
    <w:rsid w:val="003117EA"/>
    <w:rsid w:val="00314058"/>
    <w:rsid w:val="00314BC9"/>
    <w:rsid w:val="00315514"/>
    <w:rsid w:val="00321476"/>
    <w:rsid w:val="003214C6"/>
    <w:rsid w:val="00324488"/>
    <w:rsid w:val="00325721"/>
    <w:rsid w:val="00325A05"/>
    <w:rsid w:val="003269D7"/>
    <w:rsid w:val="0032773E"/>
    <w:rsid w:val="00327ABF"/>
    <w:rsid w:val="0033056E"/>
    <w:rsid w:val="00334ACF"/>
    <w:rsid w:val="00341A14"/>
    <w:rsid w:val="00341DD6"/>
    <w:rsid w:val="00342B58"/>
    <w:rsid w:val="00343003"/>
    <w:rsid w:val="003440E1"/>
    <w:rsid w:val="00344D9F"/>
    <w:rsid w:val="003459C4"/>
    <w:rsid w:val="003474B1"/>
    <w:rsid w:val="00350F6F"/>
    <w:rsid w:val="00351381"/>
    <w:rsid w:val="00351D08"/>
    <w:rsid w:val="003528BB"/>
    <w:rsid w:val="003530A6"/>
    <w:rsid w:val="00353627"/>
    <w:rsid w:val="003548FB"/>
    <w:rsid w:val="00355F72"/>
    <w:rsid w:val="00356826"/>
    <w:rsid w:val="00356FB7"/>
    <w:rsid w:val="00357657"/>
    <w:rsid w:val="00360D4E"/>
    <w:rsid w:val="0036186F"/>
    <w:rsid w:val="003639A6"/>
    <w:rsid w:val="00366539"/>
    <w:rsid w:val="003679AE"/>
    <w:rsid w:val="0037528E"/>
    <w:rsid w:val="0038043B"/>
    <w:rsid w:val="00380A1F"/>
    <w:rsid w:val="0038281C"/>
    <w:rsid w:val="00385A64"/>
    <w:rsid w:val="00386D1A"/>
    <w:rsid w:val="00390CD5"/>
    <w:rsid w:val="00390F25"/>
    <w:rsid w:val="0039141D"/>
    <w:rsid w:val="00391B5E"/>
    <w:rsid w:val="003947E7"/>
    <w:rsid w:val="00395A17"/>
    <w:rsid w:val="00396372"/>
    <w:rsid w:val="003967FF"/>
    <w:rsid w:val="00397170"/>
    <w:rsid w:val="00397916"/>
    <w:rsid w:val="003A154B"/>
    <w:rsid w:val="003A17EF"/>
    <w:rsid w:val="003A1D6C"/>
    <w:rsid w:val="003A2487"/>
    <w:rsid w:val="003A3433"/>
    <w:rsid w:val="003A537E"/>
    <w:rsid w:val="003A660F"/>
    <w:rsid w:val="003A68CD"/>
    <w:rsid w:val="003A7CA8"/>
    <w:rsid w:val="003B036F"/>
    <w:rsid w:val="003B095E"/>
    <w:rsid w:val="003B0C2B"/>
    <w:rsid w:val="003B1C7C"/>
    <w:rsid w:val="003B239B"/>
    <w:rsid w:val="003C0EAF"/>
    <w:rsid w:val="003C1075"/>
    <w:rsid w:val="003C15D8"/>
    <w:rsid w:val="003C1A9F"/>
    <w:rsid w:val="003C298A"/>
    <w:rsid w:val="003C5E77"/>
    <w:rsid w:val="003C675B"/>
    <w:rsid w:val="003C79EF"/>
    <w:rsid w:val="003D11A9"/>
    <w:rsid w:val="003D2631"/>
    <w:rsid w:val="003D2A37"/>
    <w:rsid w:val="003D3CE2"/>
    <w:rsid w:val="003D3D25"/>
    <w:rsid w:val="003D3FC6"/>
    <w:rsid w:val="003D4007"/>
    <w:rsid w:val="003D69EF"/>
    <w:rsid w:val="003D6C7E"/>
    <w:rsid w:val="003D7678"/>
    <w:rsid w:val="003E0EDB"/>
    <w:rsid w:val="003E3571"/>
    <w:rsid w:val="003E4D67"/>
    <w:rsid w:val="003E6475"/>
    <w:rsid w:val="003E7E0E"/>
    <w:rsid w:val="003F0415"/>
    <w:rsid w:val="003F043F"/>
    <w:rsid w:val="003F105A"/>
    <w:rsid w:val="003F1464"/>
    <w:rsid w:val="003F33A5"/>
    <w:rsid w:val="003F3EA5"/>
    <w:rsid w:val="003F6199"/>
    <w:rsid w:val="00400293"/>
    <w:rsid w:val="00400772"/>
    <w:rsid w:val="00400915"/>
    <w:rsid w:val="00401FB1"/>
    <w:rsid w:val="004033BE"/>
    <w:rsid w:val="004033BF"/>
    <w:rsid w:val="00404F01"/>
    <w:rsid w:val="00407BD0"/>
    <w:rsid w:val="004109E1"/>
    <w:rsid w:val="00410A3A"/>
    <w:rsid w:val="00414254"/>
    <w:rsid w:val="0041758B"/>
    <w:rsid w:val="00417BF8"/>
    <w:rsid w:val="00417F22"/>
    <w:rsid w:val="00421450"/>
    <w:rsid w:val="00421CAF"/>
    <w:rsid w:val="004239C6"/>
    <w:rsid w:val="00424079"/>
    <w:rsid w:val="00424E50"/>
    <w:rsid w:val="004266C2"/>
    <w:rsid w:val="004270A9"/>
    <w:rsid w:val="00427E55"/>
    <w:rsid w:val="00437BB5"/>
    <w:rsid w:val="00437DB9"/>
    <w:rsid w:val="00437FCF"/>
    <w:rsid w:val="00440CE0"/>
    <w:rsid w:val="00441F34"/>
    <w:rsid w:val="00444ABB"/>
    <w:rsid w:val="00445BA9"/>
    <w:rsid w:val="00446F2B"/>
    <w:rsid w:val="00447930"/>
    <w:rsid w:val="0045028A"/>
    <w:rsid w:val="004508EF"/>
    <w:rsid w:val="00453BAE"/>
    <w:rsid w:val="00453D59"/>
    <w:rsid w:val="004549B3"/>
    <w:rsid w:val="004552D9"/>
    <w:rsid w:val="00455C39"/>
    <w:rsid w:val="00456FF0"/>
    <w:rsid w:val="00457C7A"/>
    <w:rsid w:val="004619BB"/>
    <w:rsid w:val="004622EC"/>
    <w:rsid w:val="004635B8"/>
    <w:rsid w:val="00463638"/>
    <w:rsid w:val="0046412E"/>
    <w:rsid w:val="00464944"/>
    <w:rsid w:val="00465760"/>
    <w:rsid w:val="00465D3F"/>
    <w:rsid w:val="00465D6C"/>
    <w:rsid w:val="0046621E"/>
    <w:rsid w:val="00467D7B"/>
    <w:rsid w:val="00470003"/>
    <w:rsid w:val="00470174"/>
    <w:rsid w:val="00470391"/>
    <w:rsid w:val="0047179A"/>
    <w:rsid w:val="00471ED3"/>
    <w:rsid w:val="00472D4D"/>
    <w:rsid w:val="00473951"/>
    <w:rsid w:val="0047682A"/>
    <w:rsid w:val="0047767B"/>
    <w:rsid w:val="00480230"/>
    <w:rsid w:val="00480B75"/>
    <w:rsid w:val="0048294C"/>
    <w:rsid w:val="0048405F"/>
    <w:rsid w:val="00484B1C"/>
    <w:rsid w:val="0048621A"/>
    <w:rsid w:val="004919DD"/>
    <w:rsid w:val="004931AE"/>
    <w:rsid w:val="00494F7C"/>
    <w:rsid w:val="00495833"/>
    <w:rsid w:val="004967D3"/>
    <w:rsid w:val="004971B7"/>
    <w:rsid w:val="00497651"/>
    <w:rsid w:val="004A05FE"/>
    <w:rsid w:val="004A0B01"/>
    <w:rsid w:val="004A0C80"/>
    <w:rsid w:val="004A1DA6"/>
    <w:rsid w:val="004A2DF5"/>
    <w:rsid w:val="004A3544"/>
    <w:rsid w:val="004A490F"/>
    <w:rsid w:val="004A4BD0"/>
    <w:rsid w:val="004A4EF3"/>
    <w:rsid w:val="004A7053"/>
    <w:rsid w:val="004B0DB8"/>
    <w:rsid w:val="004B35C8"/>
    <w:rsid w:val="004B3C00"/>
    <w:rsid w:val="004C04ED"/>
    <w:rsid w:val="004C45FA"/>
    <w:rsid w:val="004C63E8"/>
    <w:rsid w:val="004C79F9"/>
    <w:rsid w:val="004D0819"/>
    <w:rsid w:val="004D1006"/>
    <w:rsid w:val="004D18A3"/>
    <w:rsid w:val="004D1D8E"/>
    <w:rsid w:val="004D45DF"/>
    <w:rsid w:val="004D5052"/>
    <w:rsid w:val="004E0C0B"/>
    <w:rsid w:val="004E1DA2"/>
    <w:rsid w:val="004E2125"/>
    <w:rsid w:val="004E270E"/>
    <w:rsid w:val="004E6F1C"/>
    <w:rsid w:val="004E7C16"/>
    <w:rsid w:val="004F0AF5"/>
    <w:rsid w:val="004F12BB"/>
    <w:rsid w:val="004F3688"/>
    <w:rsid w:val="004F3AAE"/>
    <w:rsid w:val="004F4BDE"/>
    <w:rsid w:val="004F5498"/>
    <w:rsid w:val="004F7CAC"/>
    <w:rsid w:val="00503279"/>
    <w:rsid w:val="00507BF4"/>
    <w:rsid w:val="00511320"/>
    <w:rsid w:val="00512018"/>
    <w:rsid w:val="00512789"/>
    <w:rsid w:val="00512A85"/>
    <w:rsid w:val="00513C61"/>
    <w:rsid w:val="005143F9"/>
    <w:rsid w:val="00516566"/>
    <w:rsid w:val="00517109"/>
    <w:rsid w:val="00517133"/>
    <w:rsid w:val="00520B20"/>
    <w:rsid w:val="00520CF1"/>
    <w:rsid w:val="00521382"/>
    <w:rsid w:val="0052169A"/>
    <w:rsid w:val="005218C3"/>
    <w:rsid w:val="00523299"/>
    <w:rsid w:val="00530E0B"/>
    <w:rsid w:val="00530FF8"/>
    <w:rsid w:val="00531C11"/>
    <w:rsid w:val="00532748"/>
    <w:rsid w:val="00535C74"/>
    <w:rsid w:val="005361AB"/>
    <w:rsid w:val="00541D43"/>
    <w:rsid w:val="00542068"/>
    <w:rsid w:val="00542333"/>
    <w:rsid w:val="00542449"/>
    <w:rsid w:val="00543AF9"/>
    <w:rsid w:val="00550894"/>
    <w:rsid w:val="00551907"/>
    <w:rsid w:val="00552543"/>
    <w:rsid w:val="00554993"/>
    <w:rsid w:val="0055532F"/>
    <w:rsid w:val="005558A9"/>
    <w:rsid w:val="005602D9"/>
    <w:rsid w:val="00560C60"/>
    <w:rsid w:val="00561BFD"/>
    <w:rsid w:val="00561D24"/>
    <w:rsid w:val="0056398F"/>
    <w:rsid w:val="00565B02"/>
    <w:rsid w:val="00566B6C"/>
    <w:rsid w:val="005672EF"/>
    <w:rsid w:val="00571352"/>
    <w:rsid w:val="005718C6"/>
    <w:rsid w:val="005719DD"/>
    <w:rsid w:val="00574250"/>
    <w:rsid w:val="00574B72"/>
    <w:rsid w:val="00575EF1"/>
    <w:rsid w:val="00576ADE"/>
    <w:rsid w:val="00576DE0"/>
    <w:rsid w:val="00577CFD"/>
    <w:rsid w:val="00577DEF"/>
    <w:rsid w:val="00580CC3"/>
    <w:rsid w:val="00581C92"/>
    <w:rsid w:val="0058232D"/>
    <w:rsid w:val="005827D3"/>
    <w:rsid w:val="0058429B"/>
    <w:rsid w:val="00585028"/>
    <w:rsid w:val="005852BD"/>
    <w:rsid w:val="00586F7E"/>
    <w:rsid w:val="00587783"/>
    <w:rsid w:val="00590399"/>
    <w:rsid w:val="00590B7C"/>
    <w:rsid w:val="005931C7"/>
    <w:rsid w:val="00595E14"/>
    <w:rsid w:val="005972A4"/>
    <w:rsid w:val="00597972"/>
    <w:rsid w:val="00597A20"/>
    <w:rsid w:val="005A0E11"/>
    <w:rsid w:val="005A10DB"/>
    <w:rsid w:val="005A155F"/>
    <w:rsid w:val="005A1CC2"/>
    <w:rsid w:val="005A453E"/>
    <w:rsid w:val="005A5DF9"/>
    <w:rsid w:val="005A7962"/>
    <w:rsid w:val="005B178F"/>
    <w:rsid w:val="005B6E14"/>
    <w:rsid w:val="005B6E1E"/>
    <w:rsid w:val="005C0602"/>
    <w:rsid w:val="005C07F8"/>
    <w:rsid w:val="005C190C"/>
    <w:rsid w:val="005C26CE"/>
    <w:rsid w:val="005C402B"/>
    <w:rsid w:val="005C7D20"/>
    <w:rsid w:val="005D004E"/>
    <w:rsid w:val="005D03F6"/>
    <w:rsid w:val="005D0BC3"/>
    <w:rsid w:val="005D1EE3"/>
    <w:rsid w:val="005D23B3"/>
    <w:rsid w:val="005D2A9D"/>
    <w:rsid w:val="005D5BA1"/>
    <w:rsid w:val="005D6D76"/>
    <w:rsid w:val="005E22E0"/>
    <w:rsid w:val="005E49B2"/>
    <w:rsid w:val="005E6AE2"/>
    <w:rsid w:val="005E703C"/>
    <w:rsid w:val="005F0AE8"/>
    <w:rsid w:val="005F0C4A"/>
    <w:rsid w:val="005F0EDE"/>
    <w:rsid w:val="005F2A6B"/>
    <w:rsid w:val="005F40C1"/>
    <w:rsid w:val="006024D3"/>
    <w:rsid w:val="00602747"/>
    <w:rsid w:val="00603B61"/>
    <w:rsid w:val="00604D42"/>
    <w:rsid w:val="00606EF9"/>
    <w:rsid w:val="0060706A"/>
    <w:rsid w:val="0060712F"/>
    <w:rsid w:val="00607758"/>
    <w:rsid w:val="006077B1"/>
    <w:rsid w:val="00610D5E"/>
    <w:rsid w:val="006110E8"/>
    <w:rsid w:val="00612023"/>
    <w:rsid w:val="006120E5"/>
    <w:rsid w:val="00613467"/>
    <w:rsid w:val="00620571"/>
    <w:rsid w:val="00621F5A"/>
    <w:rsid w:val="00622FF0"/>
    <w:rsid w:val="00624315"/>
    <w:rsid w:val="0062545B"/>
    <w:rsid w:val="0062552A"/>
    <w:rsid w:val="00626588"/>
    <w:rsid w:val="006268A8"/>
    <w:rsid w:val="00627F79"/>
    <w:rsid w:val="00631512"/>
    <w:rsid w:val="00632A10"/>
    <w:rsid w:val="006332BE"/>
    <w:rsid w:val="00634A3B"/>
    <w:rsid w:val="0063555C"/>
    <w:rsid w:val="006408C3"/>
    <w:rsid w:val="00643E5A"/>
    <w:rsid w:val="00645304"/>
    <w:rsid w:val="00645B8F"/>
    <w:rsid w:val="0064620D"/>
    <w:rsid w:val="006514A9"/>
    <w:rsid w:val="00655F64"/>
    <w:rsid w:val="006561BC"/>
    <w:rsid w:val="0065707C"/>
    <w:rsid w:val="00657754"/>
    <w:rsid w:val="0066154A"/>
    <w:rsid w:val="006618BC"/>
    <w:rsid w:val="00661E96"/>
    <w:rsid w:val="006621A9"/>
    <w:rsid w:val="00662DFF"/>
    <w:rsid w:val="00664356"/>
    <w:rsid w:val="00664442"/>
    <w:rsid w:val="00672119"/>
    <w:rsid w:val="00672120"/>
    <w:rsid w:val="00673494"/>
    <w:rsid w:val="00673D97"/>
    <w:rsid w:val="006761EE"/>
    <w:rsid w:val="00687A55"/>
    <w:rsid w:val="0069144F"/>
    <w:rsid w:val="006915E5"/>
    <w:rsid w:val="00691913"/>
    <w:rsid w:val="00691F2D"/>
    <w:rsid w:val="00692F72"/>
    <w:rsid w:val="006948E4"/>
    <w:rsid w:val="006975CE"/>
    <w:rsid w:val="006A0D15"/>
    <w:rsid w:val="006A138B"/>
    <w:rsid w:val="006B140A"/>
    <w:rsid w:val="006B1434"/>
    <w:rsid w:val="006B250E"/>
    <w:rsid w:val="006B2D41"/>
    <w:rsid w:val="006B345F"/>
    <w:rsid w:val="006B41B8"/>
    <w:rsid w:val="006B7A63"/>
    <w:rsid w:val="006C0236"/>
    <w:rsid w:val="006C19DF"/>
    <w:rsid w:val="006C27B2"/>
    <w:rsid w:val="006C4560"/>
    <w:rsid w:val="006C4906"/>
    <w:rsid w:val="006C6554"/>
    <w:rsid w:val="006D0AAC"/>
    <w:rsid w:val="006D0EDE"/>
    <w:rsid w:val="006D302D"/>
    <w:rsid w:val="006D3271"/>
    <w:rsid w:val="006D40ED"/>
    <w:rsid w:val="006D7BD4"/>
    <w:rsid w:val="006E3EA9"/>
    <w:rsid w:val="006E42A7"/>
    <w:rsid w:val="006E7302"/>
    <w:rsid w:val="006E78B9"/>
    <w:rsid w:val="006F161E"/>
    <w:rsid w:val="006F21CC"/>
    <w:rsid w:val="006F463C"/>
    <w:rsid w:val="006F77C6"/>
    <w:rsid w:val="0070164B"/>
    <w:rsid w:val="007022CA"/>
    <w:rsid w:val="007035AC"/>
    <w:rsid w:val="0070422F"/>
    <w:rsid w:val="00706A5B"/>
    <w:rsid w:val="007078CA"/>
    <w:rsid w:val="0071033C"/>
    <w:rsid w:val="00711919"/>
    <w:rsid w:val="00712C73"/>
    <w:rsid w:val="007143A4"/>
    <w:rsid w:val="00714509"/>
    <w:rsid w:val="00714980"/>
    <w:rsid w:val="007152C2"/>
    <w:rsid w:val="00717363"/>
    <w:rsid w:val="00723E1E"/>
    <w:rsid w:val="00724E0A"/>
    <w:rsid w:val="00724E45"/>
    <w:rsid w:val="007250D7"/>
    <w:rsid w:val="0072747F"/>
    <w:rsid w:val="00731B0F"/>
    <w:rsid w:val="00731F74"/>
    <w:rsid w:val="00734CC3"/>
    <w:rsid w:val="0073616E"/>
    <w:rsid w:val="007368AA"/>
    <w:rsid w:val="007368CA"/>
    <w:rsid w:val="00736C10"/>
    <w:rsid w:val="00741EA3"/>
    <w:rsid w:val="00742FE3"/>
    <w:rsid w:val="00743EC3"/>
    <w:rsid w:val="00744889"/>
    <w:rsid w:val="00747D66"/>
    <w:rsid w:val="007509A6"/>
    <w:rsid w:val="00750B5A"/>
    <w:rsid w:val="007519B6"/>
    <w:rsid w:val="00753399"/>
    <w:rsid w:val="0075385C"/>
    <w:rsid w:val="007546E9"/>
    <w:rsid w:val="0075476A"/>
    <w:rsid w:val="00756DBB"/>
    <w:rsid w:val="00760127"/>
    <w:rsid w:val="00760908"/>
    <w:rsid w:val="007617CA"/>
    <w:rsid w:val="00761F69"/>
    <w:rsid w:val="00762031"/>
    <w:rsid w:val="00764CE8"/>
    <w:rsid w:val="00767363"/>
    <w:rsid w:val="00767BBC"/>
    <w:rsid w:val="00770322"/>
    <w:rsid w:val="00770893"/>
    <w:rsid w:val="00771C94"/>
    <w:rsid w:val="00772C70"/>
    <w:rsid w:val="00774FC6"/>
    <w:rsid w:val="00780E4A"/>
    <w:rsid w:val="007817CF"/>
    <w:rsid w:val="00781962"/>
    <w:rsid w:val="007847FA"/>
    <w:rsid w:val="007907C8"/>
    <w:rsid w:val="00790910"/>
    <w:rsid w:val="00791DE1"/>
    <w:rsid w:val="00792DD6"/>
    <w:rsid w:val="00792EF1"/>
    <w:rsid w:val="007930EC"/>
    <w:rsid w:val="00793FDD"/>
    <w:rsid w:val="00794303"/>
    <w:rsid w:val="00794B7A"/>
    <w:rsid w:val="007A1C7C"/>
    <w:rsid w:val="007A1FF8"/>
    <w:rsid w:val="007A27DA"/>
    <w:rsid w:val="007A2D25"/>
    <w:rsid w:val="007A2DE9"/>
    <w:rsid w:val="007A373C"/>
    <w:rsid w:val="007A3A8C"/>
    <w:rsid w:val="007A464E"/>
    <w:rsid w:val="007A7925"/>
    <w:rsid w:val="007A7EE0"/>
    <w:rsid w:val="007B0E0C"/>
    <w:rsid w:val="007B1D6B"/>
    <w:rsid w:val="007B2314"/>
    <w:rsid w:val="007B289C"/>
    <w:rsid w:val="007B331E"/>
    <w:rsid w:val="007B52C0"/>
    <w:rsid w:val="007B6AEA"/>
    <w:rsid w:val="007C26E5"/>
    <w:rsid w:val="007C53ED"/>
    <w:rsid w:val="007C5436"/>
    <w:rsid w:val="007C68B5"/>
    <w:rsid w:val="007C68FC"/>
    <w:rsid w:val="007C69DA"/>
    <w:rsid w:val="007C720A"/>
    <w:rsid w:val="007D0044"/>
    <w:rsid w:val="007D1092"/>
    <w:rsid w:val="007D1AFE"/>
    <w:rsid w:val="007D2621"/>
    <w:rsid w:val="007D285C"/>
    <w:rsid w:val="007D2D58"/>
    <w:rsid w:val="007D36E7"/>
    <w:rsid w:val="007D4196"/>
    <w:rsid w:val="007D5AB9"/>
    <w:rsid w:val="007E00BF"/>
    <w:rsid w:val="007E014F"/>
    <w:rsid w:val="007E30F6"/>
    <w:rsid w:val="007E35AD"/>
    <w:rsid w:val="007E5557"/>
    <w:rsid w:val="007E6A7B"/>
    <w:rsid w:val="007F08CA"/>
    <w:rsid w:val="007F0EAD"/>
    <w:rsid w:val="007F3402"/>
    <w:rsid w:val="007F3B6E"/>
    <w:rsid w:val="007F4354"/>
    <w:rsid w:val="007F5F00"/>
    <w:rsid w:val="007F73E9"/>
    <w:rsid w:val="007F7459"/>
    <w:rsid w:val="008001B6"/>
    <w:rsid w:val="00802931"/>
    <w:rsid w:val="00804231"/>
    <w:rsid w:val="00806434"/>
    <w:rsid w:val="008118A2"/>
    <w:rsid w:val="00811D07"/>
    <w:rsid w:val="00812B6E"/>
    <w:rsid w:val="00813288"/>
    <w:rsid w:val="00815714"/>
    <w:rsid w:val="00820701"/>
    <w:rsid w:val="00820893"/>
    <w:rsid w:val="008217F2"/>
    <w:rsid w:val="00821A29"/>
    <w:rsid w:val="00823233"/>
    <w:rsid w:val="0082323C"/>
    <w:rsid w:val="008238EB"/>
    <w:rsid w:val="00823F7B"/>
    <w:rsid w:val="00824426"/>
    <w:rsid w:val="00825F1E"/>
    <w:rsid w:val="008279B8"/>
    <w:rsid w:val="00827D76"/>
    <w:rsid w:val="00830E52"/>
    <w:rsid w:val="008324E3"/>
    <w:rsid w:val="008331E3"/>
    <w:rsid w:val="008333B6"/>
    <w:rsid w:val="008334A0"/>
    <w:rsid w:val="008347F4"/>
    <w:rsid w:val="0083595D"/>
    <w:rsid w:val="00835F84"/>
    <w:rsid w:val="00836422"/>
    <w:rsid w:val="00836E8D"/>
    <w:rsid w:val="00840081"/>
    <w:rsid w:val="00841848"/>
    <w:rsid w:val="00842148"/>
    <w:rsid w:val="00845946"/>
    <w:rsid w:val="00845C13"/>
    <w:rsid w:val="00846C63"/>
    <w:rsid w:val="008476A0"/>
    <w:rsid w:val="00847BE2"/>
    <w:rsid w:val="008505A0"/>
    <w:rsid w:val="00851950"/>
    <w:rsid w:val="00852E65"/>
    <w:rsid w:val="00852F38"/>
    <w:rsid w:val="00853531"/>
    <w:rsid w:val="00856161"/>
    <w:rsid w:val="00856C34"/>
    <w:rsid w:val="0086183A"/>
    <w:rsid w:val="008626EC"/>
    <w:rsid w:val="008644D0"/>
    <w:rsid w:val="00865DC1"/>
    <w:rsid w:val="0087096A"/>
    <w:rsid w:val="008750F9"/>
    <w:rsid w:val="00875341"/>
    <w:rsid w:val="0087536F"/>
    <w:rsid w:val="008761AD"/>
    <w:rsid w:val="008779CE"/>
    <w:rsid w:val="00877B30"/>
    <w:rsid w:val="00880555"/>
    <w:rsid w:val="00880A40"/>
    <w:rsid w:val="00881551"/>
    <w:rsid w:val="00884006"/>
    <w:rsid w:val="00885D03"/>
    <w:rsid w:val="00885E09"/>
    <w:rsid w:val="00886535"/>
    <w:rsid w:val="0088688B"/>
    <w:rsid w:val="008869F4"/>
    <w:rsid w:val="00891F72"/>
    <w:rsid w:val="00893EEF"/>
    <w:rsid w:val="00895BE9"/>
    <w:rsid w:val="008A0E60"/>
    <w:rsid w:val="008A2258"/>
    <w:rsid w:val="008A4880"/>
    <w:rsid w:val="008A52B1"/>
    <w:rsid w:val="008A65F2"/>
    <w:rsid w:val="008A77CA"/>
    <w:rsid w:val="008A794F"/>
    <w:rsid w:val="008A7E7D"/>
    <w:rsid w:val="008B2B30"/>
    <w:rsid w:val="008B4D33"/>
    <w:rsid w:val="008B5647"/>
    <w:rsid w:val="008B5B32"/>
    <w:rsid w:val="008B6BE1"/>
    <w:rsid w:val="008B7E86"/>
    <w:rsid w:val="008C01C1"/>
    <w:rsid w:val="008C0AD5"/>
    <w:rsid w:val="008C0F06"/>
    <w:rsid w:val="008C15A6"/>
    <w:rsid w:val="008C2E73"/>
    <w:rsid w:val="008C31B7"/>
    <w:rsid w:val="008C4FED"/>
    <w:rsid w:val="008C78B8"/>
    <w:rsid w:val="008D083F"/>
    <w:rsid w:val="008D09C2"/>
    <w:rsid w:val="008D32EE"/>
    <w:rsid w:val="008D344D"/>
    <w:rsid w:val="008D3EA5"/>
    <w:rsid w:val="008D6B5A"/>
    <w:rsid w:val="008D78FF"/>
    <w:rsid w:val="008E0FF0"/>
    <w:rsid w:val="008E18DC"/>
    <w:rsid w:val="008E1B26"/>
    <w:rsid w:val="008E4E59"/>
    <w:rsid w:val="008E5981"/>
    <w:rsid w:val="008E5FF1"/>
    <w:rsid w:val="009016A7"/>
    <w:rsid w:val="00901996"/>
    <w:rsid w:val="00903AD9"/>
    <w:rsid w:val="0090491E"/>
    <w:rsid w:val="00905FB2"/>
    <w:rsid w:val="00906431"/>
    <w:rsid w:val="009112E9"/>
    <w:rsid w:val="00911921"/>
    <w:rsid w:val="0091337B"/>
    <w:rsid w:val="00913B26"/>
    <w:rsid w:val="00914DA7"/>
    <w:rsid w:val="00915F63"/>
    <w:rsid w:val="00916A40"/>
    <w:rsid w:val="00917678"/>
    <w:rsid w:val="009177E9"/>
    <w:rsid w:val="00920710"/>
    <w:rsid w:val="00921DF6"/>
    <w:rsid w:val="00922CF1"/>
    <w:rsid w:val="00922E4C"/>
    <w:rsid w:val="00926848"/>
    <w:rsid w:val="00926AEB"/>
    <w:rsid w:val="00927F79"/>
    <w:rsid w:val="009312E5"/>
    <w:rsid w:val="0093145E"/>
    <w:rsid w:val="0093221F"/>
    <w:rsid w:val="009331CF"/>
    <w:rsid w:val="009334AC"/>
    <w:rsid w:val="009339E5"/>
    <w:rsid w:val="0093490C"/>
    <w:rsid w:val="00935933"/>
    <w:rsid w:val="00936318"/>
    <w:rsid w:val="00940FA3"/>
    <w:rsid w:val="00941761"/>
    <w:rsid w:val="00942010"/>
    <w:rsid w:val="0094300D"/>
    <w:rsid w:val="0094320A"/>
    <w:rsid w:val="00943C8B"/>
    <w:rsid w:val="00947E9A"/>
    <w:rsid w:val="0095170D"/>
    <w:rsid w:val="00951FA3"/>
    <w:rsid w:val="0095307F"/>
    <w:rsid w:val="009534BC"/>
    <w:rsid w:val="0095422D"/>
    <w:rsid w:val="00955526"/>
    <w:rsid w:val="00960C14"/>
    <w:rsid w:val="00961498"/>
    <w:rsid w:val="00964D21"/>
    <w:rsid w:val="0096617E"/>
    <w:rsid w:val="00966C09"/>
    <w:rsid w:val="00970279"/>
    <w:rsid w:val="00970C14"/>
    <w:rsid w:val="00970DC1"/>
    <w:rsid w:val="00970F62"/>
    <w:rsid w:val="009713CD"/>
    <w:rsid w:val="009723F9"/>
    <w:rsid w:val="00973AD5"/>
    <w:rsid w:val="009743DF"/>
    <w:rsid w:val="009766C6"/>
    <w:rsid w:val="00976FA8"/>
    <w:rsid w:val="00977FFC"/>
    <w:rsid w:val="0098066B"/>
    <w:rsid w:val="00984441"/>
    <w:rsid w:val="009844CF"/>
    <w:rsid w:val="00984DD8"/>
    <w:rsid w:val="00986E89"/>
    <w:rsid w:val="009872F6"/>
    <w:rsid w:val="0099085F"/>
    <w:rsid w:val="0099123D"/>
    <w:rsid w:val="009925DB"/>
    <w:rsid w:val="00993268"/>
    <w:rsid w:val="00993CC9"/>
    <w:rsid w:val="00995000"/>
    <w:rsid w:val="00995001"/>
    <w:rsid w:val="009958EB"/>
    <w:rsid w:val="00997D66"/>
    <w:rsid w:val="009A065C"/>
    <w:rsid w:val="009A3B64"/>
    <w:rsid w:val="009A608D"/>
    <w:rsid w:val="009A6F74"/>
    <w:rsid w:val="009B1502"/>
    <w:rsid w:val="009B383C"/>
    <w:rsid w:val="009B5075"/>
    <w:rsid w:val="009B6885"/>
    <w:rsid w:val="009C37F5"/>
    <w:rsid w:val="009C438D"/>
    <w:rsid w:val="009C5B48"/>
    <w:rsid w:val="009D1A61"/>
    <w:rsid w:val="009D29E2"/>
    <w:rsid w:val="009D3628"/>
    <w:rsid w:val="009D4C2A"/>
    <w:rsid w:val="009D6914"/>
    <w:rsid w:val="009D6A41"/>
    <w:rsid w:val="009D6F64"/>
    <w:rsid w:val="009D7D92"/>
    <w:rsid w:val="009E0C99"/>
    <w:rsid w:val="009E1C22"/>
    <w:rsid w:val="009E2481"/>
    <w:rsid w:val="009E2639"/>
    <w:rsid w:val="009E3D8B"/>
    <w:rsid w:val="009F0B50"/>
    <w:rsid w:val="009F339D"/>
    <w:rsid w:val="009F3631"/>
    <w:rsid w:val="009F3790"/>
    <w:rsid w:val="009F3981"/>
    <w:rsid w:val="009F5535"/>
    <w:rsid w:val="009F56D9"/>
    <w:rsid w:val="009F5EC8"/>
    <w:rsid w:val="009F669A"/>
    <w:rsid w:val="009F6CC6"/>
    <w:rsid w:val="009F7CEB"/>
    <w:rsid w:val="00A00D05"/>
    <w:rsid w:val="00A03F35"/>
    <w:rsid w:val="00A040FD"/>
    <w:rsid w:val="00A0426A"/>
    <w:rsid w:val="00A04C0D"/>
    <w:rsid w:val="00A06C83"/>
    <w:rsid w:val="00A12891"/>
    <w:rsid w:val="00A143AE"/>
    <w:rsid w:val="00A14699"/>
    <w:rsid w:val="00A17FA7"/>
    <w:rsid w:val="00A20423"/>
    <w:rsid w:val="00A20B1A"/>
    <w:rsid w:val="00A20C7A"/>
    <w:rsid w:val="00A22A39"/>
    <w:rsid w:val="00A23EE2"/>
    <w:rsid w:val="00A25FEC"/>
    <w:rsid w:val="00A335B8"/>
    <w:rsid w:val="00A358F2"/>
    <w:rsid w:val="00A37F1D"/>
    <w:rsid w:val="00A41AAC"/>
    <w:rsid w:val="00A41E5D"/>
    <w:rsid w:val="00A4284A"/>
    <w:rsid w:val="00A45DB4"/>
    <w:rsid w:val="00A5101C"/>
    <w:rsid w:val="00A51348"/>
    <w:rsid w:val="00A52348"/>
    <w:rsid w:val="00A526F7"/>
    <w:rsid w:val="00A535FB"/>
    <w:rsid w:val="00A536A1"/>
    <w:rsid w:val="00A53B53"/>
    <w:rsid w:val="00A549AC"/>
    <w:rsid w:val="00A565C7"/>
    <w:rsid w:val="00A6264D"/>
    <w:rsid w:val="00A62E16"/>
    <w:rsid w:val="00A63095"/>
    <w:rsid w:val="00A6368C"/>
    <w:rsid w:val="00A6374D"/>
    <w:rsid w:val="00A709C9"/>
    <w:rsid w:val="00A70B2A"/>
    <w:rsid w:val="00A72466"/>
    <w:rsid w:val="00A73457"/>
    <w:rsid w:val="00A75A72"/>
    <w:rsid w:val="00A77BD2"/>
    <w:rsid w:val="00A77F96"/>
    <w:rsid w:val="00A80E9C"/>
    <w:rsid w:val="00A81F82"/>
    <w:rsid w:val="00A824CF"/>
    <w:rsid w:val="00A82604"/>
    <w:rsid w:val="00A841B0"/>
    <w:rsid w:val="00A842FE"/>
    <w:rsid w:val="00A85342"/>
    <w:rsid w:val="00A85A2B"/>
    <w:rsid w:val="00A87553"/>
    <w:rsid w:val="00A90477"/>
    <w:rsid w:val="00A913F8"/>
    <w:rsid w:val="00A91FD9"/>
    <w:rsid w:val="00A91FEE"/>
    <w:rsid w:val="00A93543"/>
    <w:rsid w:val="00A94EFC"/>
    <w:rsid w:val="00A953D1"/>
    <w:rsid w:val="00AA0084"/>
    <w:rsid w:val="00AA067E"/>
    <w:rsid w:val="00AA14BA"/>
    <w:rsid w:val="00AA1681"/>
    <w:rsid w:val="00AA2FA1"/>
    <w:rsid w:val="00AA2FCB"/>
    <w:rsid w:val="00AA51C1"/>
    <w:rsid w:val="00AA6156"/>
    <w:rsid w:val="00AA6532"/>
    <w:rsid w:val="00AA73AC"/>
    <w:rsid w:val="00AA7B38"/>
    <w:rsid w:val="00AA7B77"/>
    <w:rsid w:val="00AA7EAA"/>
    <w:rsid w:val="00AB0971"/>
    <w:rsid w:val="00AB0C98"/>
    <w:rsid w:val="00AB187A"/>
    <w:rsid w:val="00AB29AF"/>
    <w:rsid w:val="00AB3CEA"/>
    <w:rsid w:val="00AB4050"/>
    <w:rsid w:val="00AB514A"/>
    <w:rsid w:val="00AB51EE"/>
    <w:rsid w:val="00AC10C0"/>
    <w:rsid w:val="00AC18B6"/>
    <w:rsid w:val="00AC1AEC"/>
    <w:rsid w:val="00AC2AC4"/>
    <w:rsid w:val="00AC36E2"/>
    <w:rsid w:val="00AC50E3"/>
    <w:rsid w:val="00AC5467"/>
    <w:rsid w:val="00AC66B8"/>
    <w:rsid w:val="00AD0C21"/>
    <w:rsid w:val="00AD1989"/>
    <w:rsid w:val="00AD3395"/>
    <w:rsid w:val="00AD51C9"/>
    <w:rsid w:val="00AD5664"/>
    <w:rsid w:val="00AD5D6F"/>
    <w:rsid w:val="00AD6EBD"/>
    <w:rsid w:val="00AD745B"/>
    <w:rsid w:val="00AE0970"/>
    <w:rsid w:val="00AE09D5"/>
    <w:rsid w:val="00AE0D06"/>
    <w:rsid w:val="00AE2016"/>
    <w:rsid w:val="00AE282C"/>
    <w:rsid w:val="00AE2A68"/>
    <w:rsid w:val="00AE3816"/>
    <w:rsid w:val="00AE40B0"/>
    <w:rsid w:val="00AE6DB4"/>
    <w:rsid w:val="00AF0DF9"/>
    <w:rsid w:val="00AF1BAA"/>
    <w:rsid w:val="00AF22A7"/>
    <w:rsid w:val="00AF4253"/>
    <w:rsid w:val="00AF4BE4"/>
    <w:rsid w:val="00AF53A0"/>
    <w:rsid w:val="00B039D0"/>
    <w:rsid w:val="00B05A6C"/>
    <w:rsid w:val="00B06719"/>
    <w:rsid w:val="00B07903"/>
    <w:rsid w:val="00B10917"/>
    <w:rsid w:val="00B10DFD"/>
    <w:rsid w:val="00B11B35"/>
    <w:rsid w:val="00B11EA0"/>
    <w:rsid w:val="00B13F0D"/>
    <w:rsid w:val="00B142C8"/>
    <w:rsid w:val="00B17E64"/>
    <w:rsid w:val="00B17FDB"/>
    <w:rsid w:val="00B20C53"/>
    <w:rsid w:val="00B21BB1"/>
    <w:rsid w:val="00B2205F"/>
    <w:rsid w:val="00B25D68"/>
    <w:rsid w:val="00B2659D"/>
    <w:rsid w:val="00B2777B"/>
    <w:rsid w:val="00B31ECB"/>
    <w:rsid w:val="00B32354"/>
    <w:rsid w:val="00B336E7"/>
    <w:rsid w:val="00B33B75"/>
    <w:rsid w:val="00B34655"/>
    <w:rsid w:val="00B3724D"/>
    <w:rsid w:val="00B462F2"/>
    <w:rsid w:val="00B527D9"/>
    <w:rsid w:val="00B52DB8"/>
    <w:rsid w:val="00B52EBD"/>
    <w:rsid w:val="00B56CED"/>
    <w:rsid w:val="00B5754C"/>
    <w:rsid w:val="00B602A5"/>
    <w:rsid w:val="00B61BCE"/>
    <w:rsid w:val="00B6428F"/>
    <w:rsid w:val="00B64D93"/>
    <w:rsid w:val="00B65943"/>
    <w:rsid w:val="00B66C37"/>
    <w:rsid w:val="00B67119"/>
    <w:rsid w:val="00B67430"/>
    <w:rsid w:val="00B67F91"/>
    <w:rsid w:val="00B70198"/>
    <w:rsid w:val="00B702E8"/>
    <w:rsid w:val="00B71675"/>
    <w:rsid w:val="00B71B62"/>
    <w:rsid w:val="00B7358F"/>
    <w:rsid w:val="00B73FBB"/>
    <w:rsid w:val="00B74DC2"/>
    <w:rsid w:val="00B75BC0"/>
    <w:rsid w:val="00B7796D"/>
    <w:rsid w:val="00B77FBB"/>
    <w:rsid w:val="00B80B83"/>
    <w:rsid w:val="00B812EF"/>
    <w:rsid w:val="00B832DF"/>
    <w:rsid w:val="00B846B7"/>
    <w:rsid w:val="00B84FAD"/>
    <w:rsid w:val="00B85527"/>
    <w:rsid w:val="00B85B50"/>
    <w:rsid w:val="00B863A0"/>
    <w:rsid w:val="00B87962"/>
    <w:rsid w:val="00B90C14"/>
    <w:rsid w:val="00B916CF"/>
    <w:rsid w:val="00B92870"/>
    <w:rsid w:val="00B92A16"/>
    <w:rsid w:val="00B93DBD"/>
    <w:rsid w:val="00B93FD5"/>
    <w:rsid w:val="00B9400D"/>
    <w:rsid w:val="00B9543E"/>
    <w:rsid w:val="00B962FF"/>
    <w:rsid w:val="00B97553"/>
    <w:rsid w:val="00B97670"/>
    <w:rsid w:val="00BA01AB"/>
    <w:rsid w:val="00BA234F"/>
    <w:rsid w:val="00BA2C04"/>
    <w:rsid w:val="00BA3306"/>
    <w:rsid w:val="00BA4456"/>
    <w:rsid w:val="00BA48FB"/>
    <w:rsid w:val="00BA50B7"/>
    <w:rsid w:val="00BA5760"/>
    <w:rsid w:val="00BA609E"/>
    <w:rsid w:val="00BA73EE"/>
    <w:rsid w:val="00BB254E"/>
    <w:rsid w:val="00BB4078"/>
    <w:rsid w:val="00BB76F5"/>
    <w:rsid w:val="00BC155B"/>
    <w:rsid w:val="00BC1A97"/>
    <w:rsid w:val="00BC3831"/>
    <w:rsid w:val="00BC3B79"/>
    <w:rsid w:val="00BC4835"/>
    <w:rsid w:val="00BD03EC"/>
    <w:rsid w:val="00BD0585"/>
    <w:rsid w:val="00BD15BD"/>
    <w:rsid w:val="00BD27FB"/>
    <w:rsid w:val="00BD36C4"/>
    <w:rsid w:val="00BD4D36"/>
    <w:rsid w:val="00BD5F98"/>
    <w:rsid w:val="00BE14A7"/>
    <w:rsid w:val="00BE293E"/>
    <w:rsid w:val="00BE304F"/>
    <w:rsid w:val="00BE3CAA"/>
    <w:rsid w:val="00BE3E5F"/>
    <w:rsid w:val="00BE4C35"/>
    <w:rsid w:val="00BE583A"/>
    <w:rsid w:val="00BE669A"/>
    <w:rsid w:val="00BF1B89"/>
    <w:rsid w:val="00BF38E4"/>
    <w:rsid w:val="00BF43CF"/>
    <w:rsid w:val="00BF4E72"/>
    <w:rsid w:val="00BF6463"/>
    <w:rsid w:val="00C06504"/>
    <w:rsid w:val="00C069D6"/>
    <w:rsid w:val="00C06FA9"/>
    <w:rsid w:val="00C07417"/>
    <w:rsid w:val="00C07BBA"/>
    <w:rsid w:val="00C1062D"/>
    <w:rsid w:val="00C11CD5"/>
    <w:rsid w:val="00C128A3"/>
    <w:rsid w:val="00C14945"/>
    <w:rsid w:val="00C168B0"/>
    <w:rsid w:val="00C1719F"/>
    <w:rsid w:val="00C17CB5"/>
    <w:rsid w:val="00C238E7"/>
    <w:rsid w:val="00C23FEA"/>
    <w:rsid w:val="00C246C7"/>
    <w:rsid w:val="00C26DAD"/>
    <w:rsid w:val="00C27C7C"/>
    <w:rsid w:val="00C317F3"/>
    <w:rsid w:val="00C31B03"/>
    <w:rsid w:val="00C31DAC"/>
    <w:rsid w:val="00C32080"/>
    <w:rsid w:val="00C41339"/>
    <w:rsid w:val="00C41727"/>
    <w:rsid w:val="00C41C1A"/>
    <w:rsid w:val="00C44C37"/>
    <w:rsid w:val="00C46AE5"/>
    <w:rsid w:val="00C47654"/>
    <w:rsid w:val="00C50342"/>
    <w:rsid w:val="00C5134A"/>
    <w:rsid w:val="00C5134B"/>
    <w:rsid w:val="00C5470A"/>
    <w:rsid w:val="00C56A35"/>
    <w:rsid w:val="00C57E4D"/>
    <w:rsid w:val="00C6069E"/>
    <w:rsid w:val="00C60FC3"/>
    <w:rsid w:val="00C60FFC"/>
    <w:rsid w:val="00C626E2"/>
    <w:rsid w:val="00C628C8"/>
    <w:rsid w:val="00C63D5F"/>
    <w:rsid w:val="00C704DF"/>
    <w:rsid w:val="00C726B3"/>
    <w:rsid w:val="00C74521"/>
    <w:rsid w:val="00C74F18"/>
    <w:rsid w:val="00C7519E"/>
    <w:rsid w:val="00C7619A"/>
    <w:rsid w:val="00C76379"/>
    <w:rsid w:val="00C76A1F"/>
    <w:rsid w:val="00C7706C"/>
    <w:rsid w:val="00C77C97"/>
    <w:rsid w:val="00C77FA3"/>
    <w:rsid w:val="00C8101B"/>
    <w:rsid w:val="00C813FA"/>
    <w:rsid w:val="00C81A12"/>
    <w:rsid w:val="00C829F5"/>
    <w:rsid w:val="00C82AC9"/>
    <w:rsid w:val="00C83996"/>
    <w:rsid w:val="00C83D93"/>
    <w:rsid w:val="00C844A9"/>
    <w:rsid w:val="00C846BE"/>
    <w:rsid w:val="00C86228"/>
    <w:rsid w:val="00C86858"/>
    <w:rsid w:val="00C87784"/>
    <w:rsid w:val="00C9123B"/>
    <w:rsid w:val="00C93C00"/>
    <w:rsid w:val="00C941D3"/>
    <w:rsid w:val="00C963DE"/>
    <w:rsid w:val="00C97409"/>
    <w:rsid w:val="00CA0C26"/>
    <w:rsid w:val="00CA217C"/>
    <w:rsid w:val="00CA4998"/>
    <w:rsid w:val="00CA529A"/>
    <w:rsid w:val="00CA68C0"/>
    <w:rsid w:val="00CA7531"/>
    <w:rsid w:val="00CB07A8"/>
    <w:rsid w:val="00CB0FCB"/>
    <w:rsid w:val="00CB1F89"/>
    <w:rsid w:val="00CB22FE"/>
    <w:rsid w:val="00CB47C2"/>
    <w:rsid w:val="00CB5389"/>
    <w:rsid w:val="00CB5CA4"/>
    <w:rsid w:val="00CB627D"/>
    <w:rsid w:val="00CB6E2B"/>
    <w:rsid w:val="00CB72D6"/>
    <w:rsid w:val="00CC10E1"/>
    <w:rsid w:val="00CC12AA"/>
    <w:rsid w:val="00CC4485"/>
    <w:rsid w:val="00CC57B3"/>
    <w:rsid w:val="00CD0385"/>
    <w:rsid w:val="00CD1071"/>
    <w:rsid w:val="00CD12E3"/>
    <w:rsid w:val="00CD12F3"/>
    <w:rsid w:val="00CD2075"/>
    <w:rsid w:val="00CD4A23"/>
    <w:rsid w:val="00CD6327"/>
    <w:rsid w:val="00CD6900"/>
    <w:rsid w:val="00CE2B78"/>
    <w:rsid w:val="00CE74A3"/>
    <w:rsid w:val="00CF0B13"/>
    <w:rsid w:val="00CF2C4D"/>
    <w:rsid w:val="00CF52C5"/>
    <w:rsid w:val="00CF5547"/>
    <w:rsid w:val="00CF5E40"/>
    <w:rsid w:val="00CF738F"/>
    <w:rsid w:val="00D00A71"/>
    <w:rsid w:val="00D0289E"/>
    <w:rsid w:val="00D034DD"/>
    <w:rsid w:val="00D04952"/>
    <w:rsid w:val="00D04DF1"/>
    <w:rsid w:val="00D054F1"/>
    <w:rsid w:val="00D0617D"/>
    <w:rsid w:val="00D062F1"/>
    <w:rsid w:val="00D06A16"/>
    <w:rsid w:val="00D072F6"/>
    <w:rsid w:val="00D10654"/>
    <w:rsid w:val="00D10723"/>
    <w:rsid w:val="00D1078F"/>
    <w:rsid w:val="00D10E60"/>
    <w:rsid w:val="00D12439"/>
    <w:rsid w:val="00D12AB0"/>
    <w:rsid w:val="00D12CD2"/>
    <w:rsid w:val="00D1377F"/>
    <w:rsid w:val="00D13C9A"/>
    <w:rsid w:val="00D14D23"/>
    <w:rsid w:val="00D15CFB"/>
    <w:rsid w:val="00D15D8B"/>
    <w:rsid w:val="00D161F3"/>
    <w:rsid w:val="00D17984"/>
    <w:rsid w:val="00D20277"/>
    <w:rsid w:val="00D22812"/>
    <w:rsid w:val="00D24DAD"/>
    <w:rsid w:val="00D255E6"/>
    <w:rsid w:val="00D25916"/>
    <w:rsid w:val="00D25987"/>
    <w:rsid w:val="00D25A35"/>
    <w:rsid w:val="00D307BD"/>
    <w:rsid w:val="00D30B09"/>
    <w:rsid w:val="00D326A1"/>
    <w:rsid w:val="00D329E6"/>
    <w:rsid w:val="00D33004"/>
    <w:rsid w:val="00D34275"/>
    <w:rsid w:val="00D360E8"/>
    <w:rsid w:val="00D37972"/>
    <w:rsid w:val="00D40896"/>
    <w:rsid w:val="00D41534"/>
    <w:rsid w:val="00D41895"/>
    <w:rsid w:val="00D44068"/>
    <w:rsid w:val="00D44ED3"/>
    <w:rsid w:val="00D451BB"/>
    <w:rsid w:val="00D451FC"/>
    <w:rsid w:val="00D4560C"/>
    <w:rsid w:val="00D4592D"/>
    <w:rsid w:val="00D4732C"/>
    <w:rsid w:val="00D51682"/>
    <w:rsid w:val="00D53EB7"/>
    <w:rsid w:val="00D565AD"/>
    <w:rsid w:val="00D61996"/>
    <w:rsid w:val="00D61EE3"/>
    <w:rsid w:val="00D63B87"/>
    <w:rsid w:val="00D63C10"/>
    <w:rsid w:val="00D63C48"/>
    <w:rsid w:val="00D64200"/>
    <w:rsid w:val="00D64289"/>
    <w:rsid w:val="00D6667B"/>
    <w:rsid w:val="00D66770"/>
    <w:rsid w:val="00D671F3"/>
    <w:rsid w:val="00D71400"/>
    <w:rsid w:val="00D738DB"/>
    <w:rsid w:val="00D742C8"/>
    <w:rsid w:val="00D75600"/>
    <w:rsid w:val="00D76794"/>
    <w:rsid w:val="00D767B3"/>
    <w:rsid w:val="00D76DDA"/>
    <w:rsid w:val="00D76DF9"/>
    <w:rsid w:val="00D81A8A"/>
    <w:rsid w:val="00D823A1"/>
    <w:rsid w:val="00D8320C"/>
    <w:rsid w:val="00D832DC"/>
    <w:rsid w:val="00D83EB1"/>
    <w:rsid w:val="00D84B1C"/>
    <w:rsid w:val="00D86F76"/>
    <w:rsid w:val="00D91E87"/>
    <w:rsid w:val="00D921FB"/>
    <w:rsid w:val="00D94D17"/>
    <w:rsid w:val="00D95394"/>
    <w:rsid w:val="00D95C13"/>
    <w:rsid w:val="00D970E7"/>
    <w:rsid w:val="00D97541"/>
    <w:rsid w:val="00DA032B"/>
    <w:rsid w:val="00DA0456"/>
    <w:rsid w:val="00DA239E"/>
    <w:rsid w:val="00DA2D1B"/>
    <w:rsid w:val="00DA55BB"/>
    <w:rsid w:val="00DA73EE"/>
    <w:rsid w:val="00DB1B91"/>
    <w:rsid w:val="00DB346F"/>
    <w:rsid w:val="00DB369D"/>
    <w:rsid w:val="00DB6751"/>
    <w:rsid w:val="00DB7BCF"/>
    <w:rsid w:val="00DC1743"/>
    <w:rsid w:val="00DC1A23"/>
    <w:rsid w:val="00DC29D1"/>
    <w:rsid w:val="00DC2DE9"/>
    <w:rsid w:val="00DC313A"/>
    <w:rsid w:val="00DC3E6B"/>
    <w:rsid w:val="00DC4083"/>
    <w:rsid w:val="00DC4CC9"/>
    <w:rsid w:val="00DC7746"/>
    <w:rsid w:val="00DD2763"/>
    <w:rsid w:val="00DD3049"/>
    <w:rsid w:val="00DD461C"/>
    <w:rsid w:val="00DD4EB6"/>
    <w:rsid w:val="00DD6010"/>
    <w:rsid w:val="00DD7405"/>
    <w:rsid w:val="00DE1484"/>
    <w:rsid w:val="00DE30E2"/>
    <w:rsid w:val="00DE3A9A"/>
    <w:rsid w:val="00DE6421"/>
    <w:rsid w:val="00DE7EB4"/>
    <w:rsid w:val="00DF083D"/>
    <w:rsid w:val="00DF16C0"/>
    <w:rsid w:val="00DF3957"/>
    <w:rsid w:val="00DF548B"/>
    <w:rsid w:val="00DF65D7"/>
    <w:rsid w:val="00DF735E"/>
    <w:rsid w:val="00DF7EB9"/>
    <w:rsid w:val="00E037E2"/>
    <w:rsid w:val="00E03CF7"/>
    <w:rsid w:val="00E052D1"/>
    <w:rsid w:val="00E05C95"/>
    <w:rsid w:val="00E05FBC"/>
    <w:rsid w:val="00E060B7"/>
    <w:rsid w:val="00E0662E"/>
    <w:rsid w:val="00E06D7C"/>
    <w:rsid w:val="00E079FB"/>
    <w:rsid w:val="00E10AA5"/>
    <w:rsid w:val="00E10B7D"/>
    <w:rsid w:val="00E11D29"/>
    <w:rsid w:val="00E146E6"/>
    <w:rsid w:val="00E159FD"/>
    <w:rsid w:val="00E15EC6"/>
    <w:rsid w:val="00E227EA"/>
    <w:rsid w:val="00E23660"/>
    <w:rsid w:val="00E23A98"/>
    <w:rsid w:val="00E241A3"/>
    <w:rsid w:val="00E24F83"/>
    <w:rsid w:val="00E25522"/>
    <w:rsid w:val="00E2761D"/>
    <w:rsid w:val="00E27B16"/>
    <w:rsid w:val="00E31A1E"/>
    <w:rsid w:val="00E3310B"/>
    <w:rsid w:val="00E34484"/>
    <w:rsid w:val="00E351B4"/>
    <w:rsid w:val="00E3535D"/>
    <w:rsid w:val="00E37424"/>
    <w:rsid w:val="00E43A16"/>
    <w:rsid w:val="00E45180"/>
    <w:rsid w:val="00E45305"/>
    <w:rsid w:val="00E462E0"/>
    <w:rsid w:val="00E46AC9"/>
    <w:rsid w:val="00E46B76"/>
    <w:rsid w:val="00E50477"/>
    <w:rsid w:val="00E53C53"/>
    <w:rsid w:val="00E53DB6"/>
    <w:rsid w:val="00E543DC"/>
    <w:rsid w:val="00E54FB3"/>
    <w:rsid w:val="00E55904"/>
    <w:rsid w:val="00E55E72"/>
    <w:rsid w:val="00E5605B"/>
    <w:rsid w:val="00E57FFE"/>
    <w:rsid w:val="00E618A4"/>
    <w:rsid w:val="00E61EAC"/>
    <w:rsid w:val="00E62361"/>
    <w:rsid w:val="00E6283D"/>
    <w:rsid w:val="00E664F4"/>
    <w:rsid w:val="00E66614"/>
    <w:rsid w:val="00E66F12"/>
    <w:rsid w:val="00E671AB"/>
    <w:rsid w:val="00E67FFE"/>
    <w:rsid w:val="00E70329"/>
    <w:rsid w:val="00E7632B"/>
    <w:rsid w:val="00E7640D"/>
    <w:rsid w:val="00E80E9B"/>
    <w:rsid w:val="00E81EB9"/>
    <w:rsid w:val="00E8269B"/>
    <w:rsid w:val="00E83FB8"/>
    <w:rsid w:val="00E846CA"/>
    <w:rsid w:val="00E8601D"/>
    <w:rsid w:val="00E86AF6"/>
    <w:rsid w:val="00E86FAF"/>
    <w:rsid w:val="00E8776E"/>
    <w:rsid w:val="00E90EEC"/>
    <w:rsid w:val="00E92ADE"/>
    <w:rsid w:val="00E930FA"/>
    <w:rsid w:val="00E94379"/>
    <w:rsid w:val="00E94C3F"/>
    <w:rsid w:val="00EA1B29"/>
    <w:rsid w:val="00EA3584"/>
    <w:rsid w:val="00EA5356"/>
    <w:rsid w:val="00EA5456"/>
    <w:rsid w:val="00EA66E6"/>
    <w:rsid w:val="00EB426B"/>
    <w:rsid w:val="00EB5869"/>
    <w:rsid w:val="00EB5E6D"/>
    <w:rsid w:val="00EB62A3"/>
    <w:rsid w:val="00EB6ECB"/>
    <w:rsid w:val="00EB7BAE"/>
    <w:rsid w:val="00EC0120"/>
    <w:rsid w:val="00EC1E23"/>
    <w:rsid w:val="00EC2DDB"/>
    <w:rsid w:val="00EC427C"/>
    <w:rsid w:val="00EC64C5"/>
    <w:rsid w:val="00ED1075"/>
    <w:rsid w:val="00ED1834"/>
    <w:rsid w:val="00ED359B"/>
    <w:rsid w:val="00ED4651"/>
    <w:rsid w:val="00ED6456"/>
    <w:rsid w:val="00ED6D53"/>
    <w:rsid w:val="00EE120C"/>
    <w:rsid w:val="00EE1421"/>
    <w:rsid w:val="00EE2DBC"/>
    <w:rsid w:val="00EE5B74"/>
    <w:rsid w:val="00EE5BB5"/>
    <w:rsid w:val="00EE6FE9"/>
    <w:rsid w:val="00EE73C8"/>
    <w:rsid w:val="00EE772F"/>
    <w:rsid w:val="00EE7D0D"/>
    <w:rsid w:val="00EF186F"/>
    <w:rsid w:val="00EF3278"/>
    <w:rsid w:val="00EF340E"/>
    <w:rsid w:val="00EF4399"/>
    <w:rsid w:val="00EF4F8E"/>
    <w:rsid w:val="00EF764A"/>
    <w:rsid w:val="00EF7EE4"/>
    <w:rsid w:val="00F00ED5"/>
    <w:rsid w:val="00F029D9"/>
    <w:rsid w:val="00F049EC"/>
    <w:rsid w:val="00F0555A"/>
    <w:rsid w:val="00F1019D"/>
    <w:rsid w:val="00F1236D"/>
    <w:rsid w:val="00F167F8"/>
    <w:rsid w:val="00F20F79"/>
    <w:rsid w:val="00F239F1"/>
    <w:rsid w:val="00F26B4B"/>
    <w:rsid w:val="00F2706C"/>
    <w:rsid w:val="00F3094A"/>
    <w:rsid w:val="00F30B37"/>
    <w:rsid w:val="00F317B3"/>
    <w:rsid w:val="00F353A5"/>
    <w:rsid w:val="00F3738D"/>
    <w:rsid w:val="00F3742F"/>
    <w:rsid w:val="00F374B0"/>
    <w:rsid w:val="00F42486"/>
    <w:rsid w:val="00F42E31"/>
    <w:rsid w:val="00F43127"/>
    <w:rsid w:val="00F4326A"/>
    <w:rsid w:val="00F520CF"/>
    <w:rsid w:val="00F5523F"/>
    <w:rsid w:val="00F56314"/>
    <w:rsid w:val="00F56471"/>
    <w:rsid w:val="00F56A00"/>
    <w:rsid w:val="00F63B60"/>
    <w:rsid w:val="00F64400"/>
    <w:rsid w:val="00F65F47"/>
    <w:rsid w:val="00F70C44"/>
    <w:rsid w:val="00F7119C"/>
    <w:rsid w:val="00F71FAA"/>
    <w:rsid w:val="00F72B42"/>
    <w:rsid w:val="00F72DE1"/>
    <w:rsid w:val="00F733F3"/>
    <w:rsid w:val="00F73A39"/>
    <w:rsid w:val="00F73A4E"/>
    <w:rsid w:val="00F73EA2"/>
    <w:rsid w:val="00F74419"/>
    <w:rsid w:val="00F75D3A"/>
    <w:rsid w:val="00F77087"/>
    <w:rsid w:val="00F80139"/>
    <w:rsid w:val="00F84126"/>
    <w:rsid w:val="00F8527D"/>
    <w:rsid w:val="00F87C31"/>
    <w:rsid w:val="00F90747"/>
    <w:rsid w:val="00F907F0"/>
    <w:rsid w:val="00F91441"/>
    <w:rsid w:val="00F9212E"/>
    <w:rsid w:val="00F927A6"/>
    <w:rsid w:val="00F92CAA"/>
    <w:rsid w:val="00F94401"/>
    <w:rsid w:val="00F950F9"/>
    <w:rsid w:val="00F97360"/>
    <w:rsid w:val="00F97C64"/>
    <w:rsid w:val="00FA0329"/>
    <w:rsid w:val="00FA1259"/>
    <w:rsid w:val="00FA20E8"/>
    <w:rsid w:val="00FA2A46"/>
    <w:rsid w:val="00FA4C51"/>
    <w:rsid w:val="00FA4C86"/>
    <w:rsid w:val="00FA5477"/>
    <w:rsid w:val="00FA5E10"/>
    <w:rsid w:val="00FB0659"/>
    <w:rsid w:val="00FB3E44"/>
    <w:rsid w:val="00FB40A5"/>
    <w:rsid w:val="00FB4773"/>
    <w:rsid w:val="00FB57DB"/>
    <w:rsid w:val="00FB659B"/>
    <w:rsid w:val="00FC06E3"/>
    <w:rsid w:val="00FC0870"/>
    <w:rsid w:val="00FC22AB"/>
    <w:rsid w:val="00FC27EF"/>
    <w:rsid w:val="00FC2E51"/>
    <w:rsid w:val="00FC2F84"/>
    <w:rsid w:val="00FC47CE"/>
    <w:rsid w:val="00FC4D12"/>
    <w:rsid w:val="00FC594B"/>
    <w:rsid w:val="00FD0DA5"/>
    <w:rsid w:val="00FD1A49"/>
    <w:rsid w:val="00FD23C7"/>
    <w:rsid w:val="00FD3C1D"/>
    <w:rsid w:val="00FD4772"/>
    <w:rsid w:val="00FD4E47"/>
    <w:rsid w:val="00FD5051"/>
    <w:rsid w:val="00FD59E6"/>
    <w:rsid w:val="00FD6FB2"/>
    <w:rsid w:val="00FD7841"/>
    <w:rsid w:val="00FE2431"/>
    <w:rsid w:val="00FE2BF6"/>
    <w:rsid w:val="00FE4BFD"/>
    <w:rsid w:val="00FE4C58"/>
    <w:rsid w:val="00FE5103"/>
    <w:rsid w:val="00FE6746"/>
    <w:rsid w:val="00FE7111"/>
    <w:rsid w:val="00FE7B57"/>
    <w:rsid w:val="00FF0BFD"/>
    <w:rsid w:val="00FF2550"/>
    <w:rsid w:val="00FF3C6F"/>
    <w:rsid w:val="00FF479A"/>
    <w:rsid w:val="00FF4A91"/>
    <w:rsid w:val="00FF5DFA"/>
    <w:rsid w:val="00FF610D"/>
    <w:rsid w:val="00FF78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35" w:qFormat="1"/>
    <w:lsdException w:name="footnote reference" w:uiPriority="0"/>
    <w:lsdException w:name="annotation reference" w:qFormat="1"/>
    <w:lsdException w:name="List Bullet" w:uiPriority="0"/>
    <w:lsdException w:name="Title" w:semiHidden="0" w:uiPriority="7" w:unhideWhenUsed="0" w:qFormat="1"/>
    <w:lsdException w:name="Default Paragraph Font" w:uiPriority="1"/>
    <w:lsdException w:name="Body Text" w:uiPriority="0"/>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4654"/>
    <w:pPr>
      <w:spacing w:before="120" w:line="240" w:lineRule="auto"/>
    </w:pPr>
    <w:rPr>
      <w:sz w:val="24"/>
    </w:rPr>
  </w:style>
  <w:style w:type="paragraph" w:styleId="Heading1">
    <w:name w:val="heading 1"/>
    <w:basedOn w:val="Normal"/>
    <w:next w:val="Normal"/>
    <w:link w:val="Heading1Char"/>
    <w:uiPriority w:val="1"/>
    <w:qFormat/>
    <w:rsid w:val="00793FDD"/>
    <w:pPr>
      <w:keepNext/>
      <w:keepLines/>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3FD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35"/>
    <w:unhideWhenUsed/>
    <w:qFormat/>
    <w:rsid w:val="007368CA"/>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1"/>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qFormat/>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7368CA"/>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qFormat/>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KMC16-Tablecontent">
    <w:name w:val="KMC16 - Table content"/>
    <w:basedOn w:val="Normal"/>
    <w:link w:val="KMC16-TablecontentChar"/>
    <w:rsid w:val="000722E5"/>
    <w:pPr>
      <w:spacing w:before="40" w:after="40"/>
    </w:pPr>
    <w:rPr>
      <w:rFonts w:ascii="Arial Narrow" w:eastAsia="Times New Roman" w:hAnsi="Arial Narrow" w:cs="Arial"/>
      <w:color w:val="000000"/>
      <w:sz w:val="20"/>
      <w:lang w:val="en-GB"/>
    </w:rPr>
  </w:style>
  <w:style w:type="character" w:customStyle="1" w:styleId="KMC16-TablecontentChar">
    <w:name w:val="KMC16 - Table content Char"/>
    <w:basedOn w:val="DefaultParagraphFont"/>
    <w:link w:val="KMC16-Tablecontent"/>
    <w:rsid w:val="000722E5"/>
    <w:rPr>
      <w:rFonts w:ascii="Arial Narrow" w:eastAsia="Times New Roman" w:hAnsi="Arial Narrow" w:cs="Arial"/>
      <w:color w:val="000000"/>
      <w:sz w:val="20"/>
      <w:lang w:val="en-GB"/>
    </w:rPr>
  </w:style>
  <w:style w:type="paragraph" w:customStyle="1" w:styleId="KMC16-TableHeading">
    <w:name w:val="KMC16 - Table Heading"/>
    <w:basedOn w:val="Normal"/>
    <w:rsid w:val="000722E5"/>
    <w:pPr>
      <w:spacing w:before="40" w:after="40"/>
    </w:pPr>
    <w:rPr>
      <w:rFonts w:ascii="Arial Narrow" w:eastAsia="Arial Unicode MS" w:hAnsi="Arial Narrow" w:cs="Arial"/>
      <w:b/>
      <w:color w:val="000000"/>
      <w:sz w:val="20"/>
    </w:rPr>
  </w:style>
  <w:style w:type="paragraph" w:customStyle="1" w:styleId="KMC-Tabletext">
    <w:name w:val="KMC-Table text"/>
    <w:basedOn w:val="Normal"/>
    <w:rsid w:val="000722E5"/>
    <w:pPr>
      <w:spacing w:before="40" w:after="40"/>
      <w:jc w:val="both"/>
    </w:pPr>
    <w:rPr>
      <w:rFonts w:ascii="Arial Narrow" w:eastAsia="Times New Roman" w:hAnsi="Arial Narrow" w:cs="Arial"/>
      <w:bCs/>
      <w:sz w:val="22"/>
      <w:szCs w:val="20"/>
      <w:lang w:eastAsia="en-AU"/>
    </w:rPr>
  </w:style>
  <w:style w:type="paragraph" w:customStyle="1" w:styleId="KMC16-TFNotes">
    <w:name w:val="KMC16 - TF Notes"/>
    <w:basedOn w:val="Normal"/>
    <w:rsid w:val="000722E5"/>
    <w:pPr>
      <w:keepNext/>
      <w:spacing w:before="45" w:after="240"/>
      <w:contextualSpacing/>
      <w:jc w:val="both"/>
    </w:pPr>
    <w:rPr>
      <w:rFonts w:ascii="Calibri" w:hAnsi="Calibri"/>
      <w:color w:val="000000" w:themeColor="text1"/>
      <w:sz w:val="16"/>
    </w:rPr>
  </w:style>
  <w:style w:type="table" w:customStyle="1" w:styleId="TableGrid1">
    <w:name w:val="Table Grid1"/>
    <w:basedOn w:val="TableNormal"/>
    <w:next w:val="TableGrid"/>
    <w:uiPriority w:val="59"/>
    <w:rsid w:val="000722E5"/>
    <w:pPr>
      <w:keepNext/>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22E5"/>
    <w:pPr>
      <w:spacing w:after="0" w:line="240" w:lineRule="auto"/>
    </w:pPr>
    <w:rPr>
      <w:sz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rPr>
      <w:tblPr/>
      <w:tcPr>
        <w:shd w:val="clear" w:color="auto" w:fill="F2F2F2" w:themeFill="background1" w:themeFillShade="F2"/>
      </w:tcPr>
    </w:tblStylePr>
  </w:style>
  <w:style w:type="character" w:customStyle="1" w:styleId="InternetLink">
    <w:name w:val="Internet Link"/>
    <w:basedOn w:val="DefaultParagraphFont"/>
    <w:uiPriority w:val="99"/>
    <w:unhideWhenUsed/>
    <w:rsid w:val="000722E5"/>
    <w:rPr>
      <w:color w:val="00B0F0"/>
      <w:u w:val="single"/>
    </w:rPr>
  </w:style>
  <w:style w:type="table" w:customStyle="1" w:styleId="TableGridLight2">
    <w:name w:val="Table Grid Light2"/>
    <w:basedOn w:val="TableNormal"/>
    <w:uiPriority w:val="40"/>
    <w:rsid w:val="000722E5"/>
    <w:pPr>
      <w:spacing w:after="0" w:line="240" w:lineRule="auto"/>
    </w:pPr>
    <w:rPr>
      <w:sz w:val="20"/>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GridTable1Light1">
    <w:name w:val="Grid Table 1 Light1"/>
    <w:basedOn w:val="TableNormal"/>
    <w:uiPriority w:val="46"/>
    <w:rsid w:val="000722E5"/>
    <w:pPr>
      <w:spacing w:after="0" w:line="240" w:lineRule="auto"/>
    </w:pPr>
    <w:rPr>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FootnoteCharacters">
    <w:name w:val="Footnote Characters"/>
    <w:rsid w:val="000722E5"/>
  </w:style>
  <w:style w:type="character" w:customStyle="1" w:styleId="FootnoteAnchor">
    <w:name w:val="Footnote Anchor"/>
    <w:rsid w:val="000722E5"/>
    <w:rPr>
      <w:vertAlign w:val="superscript"/>
    </w:rPr>
  </w:style>
  <w:style w:type="paragraph" w:customStyle="1" w:styleId="KMC16-Footnotes">
    <w:name w:val="KMC16 - Footnotes"/>
    <w:basedOn w:val="Normal"/>
    <w:rsid w:val="000722E5"/>
    <w:pPr>
      <w:spacing w:before="40" w:after="40"/>
      <w:jc w:val="both"/>
    </w:pPr>
    <w:rPr>
      <w:rFonts w:ascii="Arial" w:hAnsi="Arial"/>
      <w:sz w:val="18"/>
    </w:rPr>
  </w:style>
  <w:style w:type="paragraph" w:customStyle="1" w:styleId="KMC16-Text">
    <w:name w:val="KMC16 - Text"/>
    <w:basedOn w:val="Normal"/>
    <w:rsid w:val="000722E5"/>
    <w:pPr>
      <w:spacing w:after="240" w:line="360" w:lineRule="auto"/>
      <w:jc w:val="both"/>
    </w:pPr>
    <w:rPr>
      <w:rFonts w:ascii="Arial" w:hAnsi="Arial"/>
      <w:color w:val="000000" w:themeColor="text1"/>
      <w:sz w:val="22"/>
    </w:rPr>
  </w:style>
  <w:style w:type="table" w:customStyle="1" w:styleId="TableGridbeth1">
    <w:name w:val="Table Gridbeth1"/>
    <w:basedOn w:val="TableNormal"/>
    <w:next w:val="TableGrid"/>
    <w:uiPriority w:val="59"/>
    <w:rsid w:val="00E62361"/>
    <w:pPr>
      <w:spacing w:after="0" w:line="240" w:lineRule="auto"/>
    </w:pPr>
    <w:rPr>
      <w:rFonts w:ascii="Calibri" w:eastAsia="Calibri" w:hAnsi="Calibri" w:cs="Arial"/>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GridTable1Light10">
    <w:name w:val="Grid Table 1 Light1"/>
    <w:basedOn w:val="TableNormal"/>
    <w:next w:val="GridTable1Light1"/>
    <w:uiPriority w:val="46"/>
    <w:rsid w:val="00E62361"/>
    <w:pPr>
      <w:spacing w:after="0" w:line="240" w:lineRule="auto"/>
    </w:pPr>
    <w:rPr>
      <w:rFonts w:ascii="Calibri" w:eastAsia="Calibri" w:hAnsi="Calibri" w:cs="Arial"/>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1"/>
    <w:uiPriority w:val="46"/>
    <w:rsid w:val="00E62361"/>
    <w:pPr>
      <w:spacing w:after="0" w:line="240" w:lineRule="auto"/>
    </w:pPr>
    <w:rPr>
      <w:rFonts w:ascii="Calibri" w:eastAsia="Calibri" w:hAnsi="Calibri" w:cs="Arial"/>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KMC16-Caption">
    <w:name w:val="KMC16 - Caption"/>
    <w:basedOn w:val="Normal"/>
    <w:rsid w:val="00C128A3"/>
    <w:pPr>
      <w:keepNext/>
      <w:tabs>
        <w:tab w:val="left" w:pos="567"/>
      </w:tabs>
      <w:spacing w:before="240" w:after="40"/>
      <w:ind w:left="1588" w:hanging="1588"/>
      <w:contextualSpacing/>
    </w:pPr>
    <w:rPr>
      <w:rFonts w:ascii="Arial" w:eastAsia="Times New Roman" w:hAnsi="Arial" w:cs="Times New Roman"/>
      <w:b/>
      <w:color w:val="000000"/>
      <w:sz w:val="20"/>
      <w:szCs w:val="20"/>
      <w:lang w:eastAsia="en-AU"/>
    </w:rPr>
  </w:style>
  <w:style w:type="character" w:customStyle="1" w:styleId="TableTextChar0">
    <w:name w:val="TableText Char"/>
    <w:basedOn w:val="DefaultParagraphFont"/>
    <w:link w:val="TableText1"/>
    <w:locked/>
    <w:rsid w:val="00FB40A5"/>
    <w:rPr>
      <w:rFonts w:ascii="Arial Narrow" w:eastAsia="Times New Roman" w:hAnsi="Arial Narrow" w:cs="Arial Narrow"/>
      <w:sz w:val="20"/>
      <w:szCs w:val="20"/>
    </w:rPr>
  </w:style>
  <w:style w:type="table" w:customStyle="1" w:styleId="GridTable1Light3">
    <w:name w:val="Grid Table 1 Light3"/>
    <w:basedOn w:val="TableNormal"/>
    <w:next w:val="GridTable1Light1"/>
    <w:uiPriority w:val="46"/>
    <w:rsid w:val="00A06C83"/>
    <w:pPr>
      <w:spacing w:after="0" w:line="240" w:lineRule="auto"/>
    </w:pPr>
    <w:rPr>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customStyle="1" w:styleId="EndNoteBibliography">
    <w:name w:val="EndNote Bibliography"/>
    <w:basedOn w:val="Normal"/>
    <w:link w:val="EndNoteBibliographyChar"/>
    <w:locked/>
    <w:rsid w:val="00581C92"/>
    <w:pPr>
      <w:spacing w:before="0"/>
    </w:pPr>
    <w:rPr>
      <w:rFonts w:ascii="Arial" w:hAnsi="Arial" w:cs="Arial"/>
      <w:noProof/>
      <w:sz w:val="22"/>
      <w:lang w:val="en-US"/>
    </w:rPr>
  </w:style>
  <w:style w:type="character" w:customStyle="1" w:styleId="EndNoteBibliographyChar">
    <w:name w:val="EndNote Bibliography Char"/>
    <w:basedOn w:val="DefaultParagraphFont"/>
    <w:link w:val="EndNoteBibliography"/>
    <w:rsid w:val="00581C92"/>
    <w:rPr>
      <w:rFonts w:ascii="Arial" w:hAnsi="Arial" w:cs="Arial"/>
      <w:noProof/>
      <w:lang w:val="en-US"/>
    </w:rPr>
  </w:style>
  <w:style w:type="table" w:customStyle="1" w:styleId="TableGridbeth2">
    <w:name w:val="Table Gridbeth2"/>
    <w:basedOn w:val="TableNormal"/>
    <w:next w:val="TableGrid"/>
    <w:uiPriority w:val="59"/>
    <w:rsid w:val="00100C5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ListBullet">
    <w:name w:val="List Bullet"/>
    <w:basedOn w:val="Normal"/>
    <w:autoRedefine/>
    <w:rsid w:val="00960C14"/>
    <w:pPr>
      <w:spacing w:before="0" w:after="0"/>
      <w:jc w:val="both"/>
    </w:pPr>
    <w:rPr>
      <w:rFonts w:ascii="Arial" w:eastAsia="Times New Roman" w:hAnsi="Arial" w:cs="Arial"/>
      <w:snapToGrid w:val="0"/>
      <w:sz w:val="20"/>
      <w:szCs w:val="20"/>
    </w:rPr>
  </w:style>
  <w:style w:type="character" w:customStyle="1" w:styleId="apple-converted-space">
    <w:name w:val="apple-converted-space"/>
    <w:basedOn w:val="DefaultParagraphFont"/>
    <w:rsid w:val="00B60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35" w:qFormat="1"/>
    <w:lsdException w:name="footnote reference" w:uiPriority="0"/>
    <w:lsdException w:name="annotation reference" w:qFormat="1"/>
    <w:lsdException w:name="List Bullet" w:uiPriority="0"/>
    <w:lsdException w:name="Title" w:semiHidden="0" w:uiPriority="7" w:unhideWhenUsed="0" w:qFormat="1"/>
    <w:lsdException w:name="Default Paragraph Font" w:uiPriority="1"/>
    <w:lsdException w:name="Body Text" w:uiPriority="0"/>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4654"/>
    <w:pPr>
      <w:spacing w:before="120" w:line="240" w:lineRule="auto"/>
    </w:pPr>
    <w:rPr>
      <w:sz w:val="24"/>
    </w:rPr>
  </w:style>
  <w:style w:type="paragraph" w:styleId="Heading1">
    <w:name w:val="heading 1"/>
    <w:basedOn w:val="Normal"/>
    <w:next w:val="Normal"/>
    <w:link w:val="Heading1Char"/>
    <w:uiPriority w:val="1"/>
    <w:qFormat/>
    <w:rsid w:val="00793FDD"/>
    <w:pPr>
      <w:keepNext/>
      <w:keepLines/>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3FD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35"/>
    <w:unhideWhenUsed/>
    <w:qFormat/>
    <w:rsid w:val="007368CA"/>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1"/>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qFormat/>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7368CA"/>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qFormat/>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KMC16-Tablecontent">
    <w:name w:val="KMC16 - Table content"/>
    <w:basedOn w:val="Normal"/>
    <w:link w:val="KMC16-TablecontentChar"/>
    <w:rsid w:val="000722E5"/>
    <w:pPr>
      <w:spacing w:before="40" w:after="40"/>
    </w:pPr>
    <w:rPr>
      <w:rFonts w:ascii="Arial Narrow" w:eastAsia="Times New Roman" w:hAnsi="Arial Narrow" w:cs="Arial"/>
      <w:color w:val="000000"/>
      <w:sz w:val="20"/>
      <w:lang w:val="en-GB"/>
    </w:rPr>
  </w:style>
  <w:style w:type="character" w:customStyle="1" w:styleId="KMC16-TablecontentChar">
    <w:name w:val="KMC16 - Table content Char"/>
    <w:basedOn w:val="DefaultParagraphFont"/>
    <w:link w:val="KMC16-Tablecontent"/>
    <w:rsid w:val="000722E5"/>
    <w:rPr>
      <w:rFonts w:ascii="Arial Narrow" w:eastAsia="Times New Roman" w:hAnsi="Arial Narrow" w:cs="Arial"/>
      <w:color w:val="000000"/>
      <w:sz w:val="20"/>
      <w:lang w:val="en-GB"/>
    </w:rPr>
  </w:style>
  <w:style w:type="paragraph" w:customStyle="1" w:styleId="KMC16-TableHeading">
    <w:name w:val="KMC16 - Table Heading"/>
    <w:basedOn w:val="Normal"/>
    <w:rsid w:val="000722E5"/>
    <w:pPr>
      <w:spacing w:before="40" w:after="40"/>
    </w:pPr>
    <w:rPr>
      <w:rFonts w:ascii="Arial Narrow" w:eastAsia="Arial Unicode MS" w:hAnsi="Arial Narrow" w:cs="Arial"/>
      <w:b/>
      <w:color w:val="000000"/>
      <w:sz w:val="20"/>
    </w:rPr>
  </w:style>
  <w:style w:type="paragraph" w:customStyle="1" w:styleId="KMC-Tabletext">
    <w:name w:val="KMC-Table text"/>
    <w:basedOn w:val="Normal"/>
    <w:rsid w:val="000722E5"/>
    <w:pPr>
      <w:spacing w:before="40" w:after="40"/>
      <w:jc w:val="both"/>
    </w:pPr>
    <w:rPr>
      <w:rFonts w:ascii="Arial Narrow" w:eastAsia="Times New Roman" w:hAnsi="Arial Narrow" w:cs="Arial"/>
      <w:bCs/>
      <w:sz w:val="22"/>
      <w:szCs w:val="20"/>
      <w:lang w:eastAsia="en-AU"/>
    </w:rPr>
  </w:style>
  <w:style w:type="paragraph" w:customStyle="1" w:styleId="KMC16-TFNotes">
    <w:name w:val="KMC16 - TF Notes"/>
    <w:basedOn w:val="Normal"/>
    <w:rsid w:val="000722E5"/>
    <w:pPr>
      <w:keepNext/>
      <w:spacing w:before="45" w:after="240"/>
      <w:contextualSpacing/>
      <w:jc w:val="both"/>
    </w:pPr>
    <w:rPr>
      <w:rFonts w:ascii="Calibri" w:hAnsi="Calibri"/>
      <w:color w:val="000000" w:themeColor="text1"/>
      <w:sz w:val="16"/>
    </w:rPr>
  </w:style>
  <w:style w:type="table" w:customStyle="1" w:styleId="TableGrid1">
    <w:name w:val="Table Grid1"/>
    <w:basedOn w:val="TableNormal"/>
    <w:next w:val="TableGrid"/>
    <w:uiPriority w:val="59"/>
    <w:rsid w:val="000722E5"/>
    <w:pPr>
      <w:keepNext/>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22E5"/>
    <w:pPr>
      <w:spacing w:after="0" w:line="240" w:lineRule="auto"/>
    </w:pPr>
    <w:rPr>
      <w:sz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rPr>
      <w:tblPr/>
      <w:tcPr>
        <w:shd w:val="clear" w:color="auto" w:fill="F2F2F2" w:themeFill="background1" w:themeFillShade="F2"/>
      </w:tcPr>
    </w:tblStylePr>
  </w:style>
  <w:style w:type="character" w:customStyle="1" w:styleId="InternetLink">
    <w:name w:val="Internet Link"/>
    <w:basedOn w:val="DefaultParagraphFont"/>
    <w:uiPriority w:val="99"/>
    <w:unhideWhenUsed/>
    <w:rsid w:val="000722E5"/>
    <w:rPr>
      <w:color w:val="00B0F0"/>
      <w:u w:val="single"/>
    </w:rPr>
  </w:style>
  <w:style w:type="table" w:customStyle="1" w:styleId="TableGridLight2">
    <w:name w:val="Table Grid Light2"/>
    <w:basedOn w:val="TableNormal"/>
    <w:uiPriority w:val="40"/>
    <w:rsid w:val="000722E5"/>
    <w:pPr>
      <w:spacing w:after="0" w:line="240" w:lineRule="auto"/>
    </w:pPr>
    <w:rPr>
      <w:sz w:val="20"/>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GridTable1Light1">
    <w:name w:val="Grid Table 1 Light1"/>
    <w:basedOn w:val="TableNormal"/>
    <w:uiPriority w:val="46"/>
    <w:rsid w:val="000722E5"/>
    <w:pPr>
      <w:spacing w:after="0" w:line="240" w:lineRule="auto"/>
    </w:pPr>
    <w:rPr>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FootnoteCharacters">
    <w:name w:val="Footnote Characters"/>
    <w:rsid w:val="000722E5"/>
  </w:style>
  <w:style w:type="character" w:customStyle="1" w:styleId="FootnoteAnchor">
    <w:name w:val="Footnote Anchor"/>
    <w:rsid w:val="000722E5"/>
    <w:rPr>
      <w:vertAlign w:val="superscript"/>
    </w:rPr>
  </w:style>
  <w:style w:type="paragraph" w:customStyle="1" w:styleId="KMC16-Footnotes">
    <w:name w:val="KMC16 - Footnotes"/>
    <w:basedOn w:val="Normal"/>
    <w:rsid w:val="000722E5"/>
    <w:pPr>
      <w:spacing w:before="40" w:after="40"/>
      <w:jc w:val="both"/>
    </w:pPr>
    <w:rPr>
      <w:rFonts w:ascii="Arial" w:hAnsi="Arial"/>
      <w:sz w:val="18"/>
    </w:rPr>
  </w:style>
  <w:style w:type="paragraph" w:customStyle="1" w:styleId="KMC16-Text">
    <w:name w:val="KMC16 - Text"/>
    <w:basedOn w:val="Normal"/>
    <w:rsid w:val="000722E5"/>
    <w:pPr>
      <w:spacing w:after="240" w:line="360" w:lineRule="auto"/>
      <w:jc w:val="both"/>
    </w:pPr>
    <w:rPr>
      <w:rFonts w:ascii="Arial" w:hAnsi="Arial"/>
      <w:color w:val="000000" w:themeColor="text1"/>
      <w:sz w:val="22"/>
    </w:rPr>
  </w:style>
  <w:style w:type="table" w:customStyle="1" w:styleId="TableGridbeth1">
    <w:name w:val="Table Gridbeth1"/>
    <w:basedOn w:val="TableNormal"/>
    <w:next w:val="TableGrid"/>
    <w:uiPriority w:val="59"/>
    <w:rsid w:val="00E62361"/>
    <w:pPr>
      <w:spacing w:after="0" w:line="240" w:lineRule="auto"/>
    </w:pPr>
    <w:rPr>
      <w:rFonts w:ascii="Calibri" w:eastAsia="Calibri" w:hAnsi="Calibri" w:cs="Arial"/>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GridTable1Light10">
    <w:name w:val="Grid Table 1 Light1"/>
    <w:basedOn w:val="TableNormal"/>
    <w:next w:val="GridTable1Light1"/>
    <w:uiPriority w:val="46"/>
    <w:rsid w:val="00E62361"/>
    <w:pPr>
      <w:spacing w:after="0" w:line="240" w:lineRule="auto"/>
    </w:pPr>
    <w:rPr>
      <w:rFonts w:ascii="Calibri" w:eastAsia="Calibri" w:hAnsi="Calibri" w:cs="Arial"/>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1"/>
    <w:uiPriority w:val="46"/>
    <w:rsid w:val="00E62361"/>
    <w:pPr>
      <w:spacing w:after="0" w:line="240" w:lineRule="auto"/>
    </w:pPr>
    <w:rPr>
      <w:rFonts w:ascii="Calibri" w:eastAsia="Calibri" w:hAnsi="Calibri" w:cs="Arial"/>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KMC16-Caption">
    <w:name w:val="KMC16 - Caption"/>
    <w:basedOn w:val="Normal"/>
    <w:rsid w:val="00C128A3"/>
    <w:pPr>
      <w:keepNext/>
      <w:tabs>
        <w:tab w:val="left" w:pos="567"/>
      </w:tabs>
      <w:spacing w:before="240" w:after="40"/>
      <w:ind w:left="1588" w:hanging="1588"/>
      <w:contextualSpacing/>
    </w:pPr>
    <w:rPr>
      <w:rFonts w:ascii="Arial" w:eastAsia="Times New Roman" w:hAnsi="Arial" w:cs="Times New Roman"/>
      <w:b/>
      <w:color w:val="000000"/>
      <w:sz w:val="20"/>
      <w:szCs w:val="20"/>
      <w:lang w:eastAsia="en-AU"/>
    </w:rPr>
  </w:style>
  <w:style w:type="character" w:customStyle="1" w:styleId="TableTextChar0">
    <w:name w:val="TableText Char"/>
    <w:basedOn w:val="DefaultParagraphFont"/>
    <w:link w:val="TableText1"/>
    <w:locked/>
    <w:rsid w:val="00FB40A5"/>
    <w:rPr>
      <w:rFonts w:ascii="Arial Narrow" w:eastAsia="Times New Roman" w:hAnsi="Arial Narrow" w:cs="Arial Narrow"/>
      <w:sz w:val="20"/>
      <w:szCs w:val="20"/>
    </w:rPr>
  </w:style>
  <w:style w:type="table" w:customStyle="1" w:styleId="GridTable1Light3">
    <w:name w:val="Grid Table 1 Light3"/>
    <w:basedOn w:val="TableNormal"/>
    <w:next w:val="GridTable1Light1"/>
    <w:uiPriority w:val="46"/>
    <w:rsid w:val="00A06C83"/>
    <w:pPr>
      <w:spacing w:after="0" w:line="240" w:lineRule="auto"/>
    </w:pPr>
    <w:rPr>
      <w:sz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customStyle="1" w:styleId="EndNoteBibliography">
    <w:name w:val="EndNote Bibliography"/>
    <w:basedOn w:val="Normal"/>
    <w:link w:val="EndNoteBibliographyChar"/>
    <w:locked/>
    <w:rsid w:val="00581C92"/>
    <w:pPr>
      <w:spacing w:before="0"/>
    </w:pPr>
    <w:rPr>
      <w:rFonts w:ascii="Arial" w:hAnsi="Arial" w:cs="Arial"/>
      <w:noProof/>
      <w:sz w:val="22"/>
      <w:lang w:val="en-US"/>
    </w:rPr>
  </w:style>
  <w:style w:type="character" w:customStyle="1" w:styleId="EndNoteBibliographyChar">
    <w:name w:val="EndNote Bibliography Char"/>
    <w:basedOn w:val="DefaultParagraphFont"/>
    <w:link w:val="EndNoteBibliography"/>
    <w:rsid w:val="00581C92"/>
    <w:rPr>
      <w:rFonts w:ascii="Arial" w:hAnsi="Arial" w:cs="Arial"/>
      <w:noProof/>
      <w:lang w:val="en-US"/>
    </w:rPr>
  </w:style>
  <w:style w:type="table" w:customStyle="1" w:styleId="TableGridbeth2">
    <w:name w:val="Table Gridbeth2"/>
    <w:basedOn w:val="TableNormal"/>
    <w:next w:val="TableGrid"/>
    <w:uiPriority w:val="59"/>
    <w:rsid w:val="00100C5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ListBullet">
    <w:name w:val="List Bullet"/>
    <w:basedOn w:val="Normal"/>
    <w:autoRedefine/>
    <w:rsid w:val="00960C14"/>
    <w:pPr>
      <w:spacing w:before="0" w:after="0"/>
      <w:jc w:val="both"/>
    </w:pPr>
    <w:rPr>
      <w:rFonts w:ascii="Arial" w:eastAsia="Times New Roman" w:hAnsi="Arial" w:cs="Arial"/>
      <w:snapToGrid w:val="0"/>
      <w:sz w:val="20"/>
      <w:szCs w:val="20"/>
    </w:rPr>
  </w:style>
  <w:style w:type="character" w:customStyle="1" w:styleId="apple-converted-space">
    <w:name w:val="apple-converted-space"/>
    <w:basedOn w:val="DefaultParagraphFont"/>
    <w:rsid w:val="00B6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7092">
      <w:bodyDiv w:val="1"/>
      <w:marLeft w:val="0"/>
      <w:marRight w:val="0"/>
      <w:marTop w:val="0"/>
      <w:marBottom w:val="0"/>
      <w:divBdr>
        <w:top w:val="none" w:sz="0" w:space="0" w:color="auto"/>
        <w:left w:val="none" w:sz="0" w:space="0" w:color="auto"/>
        <w:bottom w:val="none" w:sz="0" w:space="0" w:color="auto"/>
        <w:right w:val="none" w:sz="0" w:space="0" w:color="auto"/>
      </w:divBdr>
      <w:divsChild>
        <w:div w:id="816452472">
          <w:marLeft w:val="288"/>
          <w:marRight w:val="0"/>
          <w:marTop w:val="120"/>
          <w:marBottom w:val="120"/>
          <w:divBdr>
            <w:top w:val="none" w:sz="0" w:space="0" w:color="auto"/>
            <w:left w:val="none" w:sz="0" w:space="0" w:color="auto"/>
            <w:bottom w:val="none" w:sz="0" w:space="0" w:color="auto"/>
            <w:right w:val="none" w:sz="0" w:space="0" w:color="auto"/>
          </w:divBdr>
        </w:div>
      </w:divsChild>
    </w:div>
    <w:div w:id="46613866">
      <w:bodyDiv w:val="1"/>
      <w:marLeft w:val="0"/>
      <w:marRight w:val="0"/>
      <w:marTop w:val="0"/>
      <w:marBottom w:val="0"/>
      <w:divBdr>
        <w:top w:val="none" w:sz="0" w:space="0" w:color="auto"/>
        <w:left w:val="none" w:sz="0" w:space="0" w:color="auto"/>
        <w:bottom w:val="none" w:sz="0" w:space="0" w:color="auto"/>
        <w:right w:val="none" w:sz="0" w:space="0" w:color="auto"/>
      </w:divBdr>
      <w:divsChild>
        <w:div w:id="2016415235">
          <w:marLeft w:val="288"/>
          <w:marRight w:val="0"/>
          <w:marTop w:val="240"/>
          <w:marBottom w:val="0"/>
          <w:divBdr>
            <w:top w:val="none" w:sz="0" w:space="0" w:color="auto"/>
            <w:left w:val="none" w:sz="0" w:space="0" w:color="auto"/>
            <w:bottom w:val="none" w:sz="0" w:space="0" w:color="auto"/>
            <w:right w:val="none" w:sz="0" w:space="0" w:color="auto"/>
          </w:divBdr>
        </w:div>
      </w:divsChild>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17652035">
      <w:bodyDiv w:val="1"/>
      <w:marLeft w:val="0"/>
      <w:marRight w:val="0"/>
      <w:marTop w:val="0"/>
      <w:marBottom w:val="0"/>
      <w:divBdr>
        <w:top w:val="none" w:sz="0" w:space="0" w:color="auto"/>
        <w:left w:val="none" w:sz="0" w:space="0" w:color="auto"/>
        <w:bottom w:val="none" w:sz="0" w:space="0" w:color="auto"/>
        <w:right w:val="none" w:sz="0" w:space="0" w:color="auto"/>
      </w:divBdr>
    </w:div>
    <w:div w:id="130028171">
      <w:bodyDiv w:val="1"/>
      <w:marLeft w:val="0"/>
      <w:marRight w:val="0"/>
      <w:marTop w:val="0"/>
      <w:marBottom w:val="0"/>
      <w:divBdr>
        <w:top w:val="none" w:sz="0" w:space="0" w:color="auto"/>
        <w:left w:val="none" w:sz="0" w:space="0" w:color="auto"/>
        <w:bottom w:val="none" w:sz="0" w:space="0" w:color="auto"/>
        <w:right w:val="none" w:sz="0" w:space="0" w:color="auto"/>
      </w:divBdr>
      <w:divsChild>
        <w:div w:id="1237204870">
          <w:marLeft w:val="1166"/>
          <w:marRight w:val="0"/>
          <w:marTop w:val="86"/>
          <w:marBottom w:val="0"/>
          <w:divBdr>
            <w:top w:val="none" w:sz="0" w:space="0" w:color="auto"/>
            <w:left w:val="none" w:sz="0" w:space="0" w:color="auto"/>
            <w:bottom w:val="none" w:sz="0" w:space="0" w:color="auto"/>
            <w:right w:val="none" w:sz="0" w:space="0" w:color="auto"/>
          </w:divBdr>
        </w:div>
      </w:divsChild>
    </w:div>
    <w:div w:id="171577103">
      <w:bodyDiv w:val="1"/>
      <w:marLeft w:val="0"/>
      <w:marRight w:val="0"/>
      <w:marTop w:val="0"/>
      <w:marBottom w:val="0"/>
      <w:divBdr>
        <w:top w:val="none" w:sz="0" w:space="0" w:color="auto"/>
        <w:left w:val="none" w:sz="0" w:space="0" w:color="auto"/>
        <w:bottom w:val="none" w:sz="0" w:space="0" w:color="auto"/>
        <w:right w:val="none" w:sz="0" w:space="0" w:color="auto"/>
      </w:divBdr>
    </w:div>
    <w:div w:id="212079547">
      <w:bodyDiv w:val="1"/>
      <w:marLeft w:val="0"/>
      <w:marRight w:val="0"/>
      <w:marTop w:val="0"/>
      <w:marBottom w:val="0"/>
      <w:divBdr>
        <w:top w:val="none" w:sz="0" w:space="0" w:color="auto"/>
        <w:left w:val="none" w:sz="0" w:space="0" w:color="auto"/>
        <w:bottom w:val="none" w:sz="0" w:space="0" w:color="auto"/>
        <w:right w:val="none" w:sz="0" w:space="0" w:color="auto"/>
      </w:divBdr>
      <w:divsChild>
        <w:div w:id="399251788">
          <w:marLeft w:val="0"/>
          <w:marRight w:val="0"/>
          <w:marTop w:val="0"/>
          <w:marBottom w:val="0"/>
          <w:divBdr>
            <w:top w:val="none" w:sz="0" w:space="0" w:color="auto"/>
            <w:left w:val="none" w:sz="0" w:space="0" w:color="auto"/>
            <w:bottom w:val="none" w:sz="0" w:space="0" w:color="auto"/>
            <w:right w:val="none" w:sz="0" w:space="0" w:color="auto"/>
          </w:divBdr>
          <w:divsChild>
            <w:div w:id="73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76431">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38776681">
      <w:bodyDiv w:val="1"/>
      <w:marLeft w:val="0"/>
      <w:marRight w:val="0"/>
      <w:marTop w:val="0"/>
      <w:marBottom w:val="0"/>
      <w:divBdr>
        <w:top w:val="none" w:sz="0" w:space="0" w:color="auto"/>
        <w:left w:val="none" w:sz="0" w:space="0" w:color="auto"/>
        <w:bottom w:val="none" w:sz="0" w:space="0" w:color="auto"/>
        <w:right w:val="none" w:sz="0" w:space="0" w:color="auto"/>
      </w:divBdr>
      <w:divsChild>
        <w:div w:id="517428343">
          <w:marLeft w:val="446"/>
          <w:marRight w:val="0"/>
          <w:marTop w:val="0"/>
          <w:marBottom w:val="0"/>
          <w:divBdr>
            <w:top w:val="none" w:sz="0" w:space="0" w:color="auto"/>
            <w:left w:val="none" w:sz="0" w:space="0" w:color="auto"/>
            <w:bottom w:val="none" w:sz="0" w:space="0" w:color="auto"/>
            <w:right w:val="none" w:sz="0" w:space="0" w:color="auto"/>
          </w:divBdr>
        </w:div>
        <w:div w:id="352152770">
          <w:marLeft w:val="446"/>
          <w:marRight w:val="0"/>
          <w:marTop w:val="0"/>
          <w:marBottom w:val="0"/>
          <w:divBdr>
            <w:top w:val="none" w:sz="0" w:space="0" w:color="auto"/>
            <w:left w:val="none" w:sz="0" w:space="0" w:color="auto"/>
            <w:bottom w:val="none" w:sz="0" w:space="0" w:color="auto"/>
            <w:right w:val="none" w:sz="0" w:space="0" w:color="auto"/>
          </w:divBdr>
        </w:div>
        <w:div w:id="617837648">
          <w:marLeft w:val="446"/>
          <w:marRight w:val="0"/>
          <w:marTop w:val="0"/>
          <w:marBottom w:val="0"/>
          <w:divBdr>
            <w:top w:val="none" w:sz="0" w:space="0" w:color="auto"/>
            <w:left w:val="none" w:sz="0" w:space="0" w:color="auto"/>
            <w:bottom w:val="none" w:sz="0" w:space="0" w:color="auto"/>
            <w:right w:val="none" w:sz="0" w:space="0" w:color="auto"/>
          </w:divBdr>
        </w:div>
        <w:div w:id="688609187">
          <w:marLeft w:val="446"/>
          <w:marRight w:val="0"/>
          <w:marTop w:val="0"/>
          <w:marBottom w:val="0"/>
          <w:divBdr>
            <w:top w:val="none" w:sz="0" w:space="0" w:color="auto"/>
            <w:left w:val="none" w:sz="0" w:space="0" w:color="auto"/>
            <w:bottom w:val="none" w:sz="0" w:space="0" w:color="auto"/>
            <w:right w:val="none" w:sz="0" w:space="0" w:color="auto"/>
          </w:divBdr>
        </w:div>
        <w:div w:id="232661377">
          <w:marLeft w:val="446"/>
          <w:marRight w:val="0"/>
          <w:marTop w:val="0"/>
          <w:marBottom w:val="0"/>
          <w:divBdr>
            <w:top w:val="none" w:sz="0" w:space="0" w:color="auto"/>
            <w:left w:val="none" w:sz="0" w:space="0" w:color="auto"/>
            <w:bottom w:val="none" w:sz="0" w:space="0" w:color="auto"/>
            <w:right w:val="none" w:sz="0" w:space="0" w:color="auto"/>
          </w:divBdr>
        </w:div>
        <w:div w:id="208690469">
          <w:marLeft w:val="446"/>
          <w:marRight w:val="0"/>
          <w:marTop w:val="0"/>
          <w:marBottom w:val="0"/>
          <w:divBdr>
            <w:top w:val="none" w:sz="0" w:space="0" w:color="auto"/>
            <w:left w:val="none" w:sz="0" w:space="0" w:color="auto"/>
            <w:bottom w:val="none" w:sz="0" w:space="0" w:color="auto"/>
            <w:right w:val="none" w:sz="0" w:space="0" w:color="auto"/>
          </w:divBdr>
        </w:div>
      </w:divsChild>
    </w:div>
    <w:div w:id="388309795">
      <w:bodyDiv w:val="1"/>
      <w:marLeft w:val="0"/>
      <w:marRight w:val="0"/>
      <w:marTop w:val="0"/>
      <w:marBottom w:val="0"/>
      <w:divBdr>
        <w:top w:val="none" w:sz="0" w:space="0" w:color="auto"/>
        <w:left w:val="none" w:sz="0" w:space="0" w:color="auto"/>
        <w:bottom w:val="none" w:sz="0" w:space="0" w:color="auto"/>
        <w:right w:val="none" w:sz="0" w:space="0" w:color="auto"/>
      </w:divBdr>
      <w:divsChild>
        <w:div w:id="920722641">
          <w:marLeft w:val="0"/>
          <w:marRight w:val="0"/>
          <w:marTop w:val="0"/>
          <w:marBottom w:val="0"/>
          <w:divBdr>
            <w:top w:val="none" w:sz="0" w:space="0" w:color="auto"/>
            <w:left w:val="none" w:sz="0" w:space="0" w:color="auto"/>
            <w:bottom w:val="none" w:sz="0" w:space="0" w:color="auto"/>
            <w:right w:val="none" w:sz="0" w:space="0" w:color="auto"/>
          </w:divBdr>
          <w:divsChild>
            <w:div w:id="9269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6713">
      <w:bodyDiv w:val="1"/>
      <w:marLeft w:val="0"/>
      <w:marRight w:val="0"/>
      <w:marTop w:val="0"/>
      <w:marBottom w:val="0"/>
      <w:divBdr>
        <w:top w:val="none" w:sz="0" w:space="0" w:color="auto"/>
        <w:left w:val="none" w:sz="0" w:space="0" w:color="auto"/>
        <w:bottom w:val="none" w:sz="0" w:space="0" w:color="auto"/>
        <w:right w:val="none" w:sz="0" w:space="0" w:color="auto"/>
      </w:divBdr>
      <w:divsChild>
        <w:div w:id="359664918">
          <w:marLeft w:val="720"/>
          <w:marRight w:val="0"/>
          <w:marTop w:val="86"/>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399523572">
      <w:bodyDiv w:val="1"/>
      <w:marLeft w:val="0"/>
      <w:marRight w:val="0"/>
      <w:marTop w:val="0"/>
      <w:marBottom w:val="0"/>
      <w:divBdr>
        <w:top w:val="none" w:sz="0" w:space="0" w:color="auto"/>
        <w:left w:val="none" w:sz="0" w:space="0" w:color="auto"/>
        <w:bottom w:val="none" w:sz="0" w:space="0" w:color="auto"/>
        <w:right w:val="none" w:sz="0" w:space="0" w:color="auto"/>
      </w:divBdr>
    </w:div>
    <w:div w:id="558251117">
      <w:bodyDiv w:val="1"/>
      <w:marLeft w:val="0"/>
      <w:marRight w:val="0"/>
      <w:marTop w:val="0"/>
      <w:marBottom w:val="0"/>
      <w:divBdr>
        <w:top w:val="none" w:sz="0" w:space="0" w:color="auto"/>
        <w:left w:val="none" w:sz="0" w:space="0" w:color="auto"/>
        <w:bottom w:val="none" w:sz="0" w:space="0" w:color="auto"/>
        <w:right w:val="none" w:sz="0" w:space="0" w:color="auto"/>
      </w:divBdr>
    </w:div>
    <w:div w:id="650332142">
      <w:bodyDiv w:val="1"/>
      <w:marLeft w:val="0"/>
      <w:marRight w:val="0"/>
      <w:marTop w:val="0"/>
      <w:marBottom w:val="0"/>
      <w:divBdr>
        <w:top w:val="none" w:sz="0" w:space="0" w:color="auto"/>
        <w:left w:val="none" w:sz="0" w:space="0" w:color="auto"/>
        <w:bottom w:val="none" w:sz="0" w:space="0" w:color="auto"/>
        <w:right w:val="none" w:sz="0" w:space="0" w:color="auto"/>
      </w:divBdr>
    </w:div>
    <w:div w:id="979532285">
      <w:bodyDiv w:val="1"/>
      <w:marLeft w:val="0"/>
      <w:marRight w:val="0"/>
      <w:marTop w:val="0"/>
      <w:marBottom w:val="0"/>
      <w:divBdr>
        <w:top w:val="none" w:sz="0" w:space="0" w:color="auto"/>
        <w:left w:val="none" w:sz="0" w:space="0" w:color="auto"/>
        <w:bottom w:val="none" w:sz="0" w:space="0" w:color="auto"/>
        <w:right w:val="none" w:sz="0" w:space="0" w:color="auto"/>
      </w:divBdr>
    </w:div>
    <w:div w:id="1003509820">
      <w:bodyDiv w:val="1"/>
      <w:marLeft w:val="0"/>
      <w:marRight w:val="0"/>
      <w:marTop w:val="0"/>
      <w:marBottom w:val="0"/>
      <w:divBdr>
        <w:top w:val="none" w:sz="0" w:space="0" w:color="auto"/>
        <w:left w:val="none" w:sz="0" w:space="0" w:color="auto"/>
        <w:bottom w:val="none" w:sz="0" w:space="0" w:color="auto"/>
        <w:right w:val="none" w:sz="0" w:space="0" w:color="auto"/>
      </w:divBdr>
      <w:divsChild>
        <w:div w:id="1631010682">
          <w:marLeft w:val="288"/>
          <w:marRight w:val="0"/>
          <w:marTop w:val="240"/>
          <w:marBottom w:val="0"/>
          <w:divBdr>
            <w:top w:val="none" w:sz="0" w:space="0" w:color="auto"/>
            <w:left w:val="none" w:sz="0" w:space="0" w:color="auto"/>
            <w:bottom w:val="none" w:sz="0" w:space="0" w:color="auto"/>
            <w:right w:val="none" w:sz="0" w:space="0" w:color="auto"/>
          </w:divBdr>
        </w:div>
      </w:divsChild>
    </w:div>
    <w:div w:id="1046175227">
      <w:bodyDiv w:val="1"/>
      <w:marLeft w:val="0"/>
      <w:marRight w:val="0"/>
      <w:marTop w:val="0"/>
      <w:marBottom w:val="0"/>
      <w:divBdr>
        <w:top w:val="none" w:sz="0" w:space="0" w:color="auto"/>
        <w:left w:val="none" w:sz="0" w:space="0" w:color="auto"/>
        <w:bottom w:val="none" w:sz="0" w:space="0" w:color="auto"/>
        <w:right w:val="none" w:sz="0" w:space="0" w:color="auto"/>
      </w:divBdr>
    </w:div>
    <w:div w:id="1049649030">
      <w:bodyDiv w:val="1"/>
      <w:marLeft w:val="0"/>
      <w:marRight w:val="0"/>
      <w:marTop w:val="0"/>
      <w:marBottom w:val="0"/>
      <w:divBdr>
        <w:top w:val="none" w:sz="0" w:space="0" w:color="auto"/>
        <w:left w:val="none" w:sz="0" w:space="0" w:color="auto"/>
        <w:bottom w:val="none" w:sz="0" w:space="0" w:color="auto"/>
        <w:right w:val="none" w:sz="0" w:space="0" w:color="auto"/>
      </w:divBdr>
      <w:divsChild>
        <w:div w:id="1972859639">
          <w:marLeft w:val="446"/>
          <w:marRight w:val="0"/>
          <w:marTop w:val="0"/>
          <w:marBottom w:val="0"/>
          <w:divBdr>
            <w:top w:val="none" w:sz="0" w:space="0" w:color="auto"/>
            <w:left w:val="none" w:sz="0" w:space="0" w:color="auto"/>
            <w:bottom w:val="none" w:sz="0" w:space="0" w:color="auto"/>
            <w:right w:val="none" w:sz="0" w:space="0" w:color="auto"/>
          </w:divBdr>
        </w:div>
        <w:div w:id="399442736">
          <w:marLeft w:val="446"/>
          <w:marRight w:val="0"/>
          <w:marTop w:val="0"/>
          <w:marBottom w:val="0"/>
          <w:divBdr>
            <w:top w:val="none" w:sz="0" w:space="0" w:color="auto"/>
            <w:left w:val="none" w:sz="0" w:space="0" w:color="auto"/>
            <w:bottom w:val="none" w:sz="0" w:space="0" w:color="auto"/>
            <w:right w:val="none" w:sz="0" w:space="0" w:color="auto"/>
          </w:divBdr>
        </w:div>
        <w:div w:id="480972490">
          <w:marLeft w:val="446"/>
          <w:marRight w:val="0"/>
          <w:marTop w:val="0"/>
          <w:marBottom w:val="0"/>
          <w:divBdr>
            <w:top w:val="none" w:sz="0" w:space="0" w:color="auto"/>
            <w:left w:val="none" w:sz="0" w:space="0" w:color="auto"/>
            <w:bottom w:val="none" w:sz="0" w:space="0" w:color="auto"/>
            <w:right w:val="none" w:sz="0" w:space="0" w:color="auto"/>
          </w:divBdr>
        </w:div>
        <w:div w:id="186799114">
          <w:marLeft w:val="446"/>
          <w:marRight w:val="0"/>
          <w:marTop w:val="0"/>
          <w:marBottom w:val="0"/>
          <w:divBdr>
            <w:top w:val="none" w:sz="0" w:space="0" w:color="auto"/>
            <w:left w:val="none" w:sz="0" w:space="0" w:color="auto"/>
            <w:bottom w:val="none" w:sz="0" w:space="0" w:color="auto"/>
            <w:right w:val="none" w:sz="0" w:space="0" w:color="auto"/>
          </w:divBdr>
        </w:div>
        <w:div w:id="2043434901">
          <w:marLeft w:val="446"/>
          <w:marRight w:val="0"/>
          <w:marTop w:val="0"/>
          <w:marBottom w:val="0"/>
          <w:divBdr>
            <w:top w:val="none" w:sz="0" w:space="0" w:color="auto"/>
            <w:left w:val="none" w:sz="0" w:space="0" w:color="auto"/>
            <w:bottom w:val="none" w:sz="0" w:space="0" w:color="auto"/>
            <w:right w:val="none" w:sz="0" w:space="0" w:color="auto"/>
          </w:divBdr>
        </w:div>
        <w:div w:id="1847282638">
          <w:marLeft w:val="446"/>
          <w:marRight w:val="0"/>
          <w:marTop w:val="0"/>
          <w:marBottom w:val="0"/>
          <w:divBdr>
            <w:top w:val="none" w:sz="0" w:space="0" w:color="auto"/>
            <w:left w:val="none" w:sz="0" w:space="0" w:color="auto"/>
            <w:bottom w:val="none" w:sz="0" w:space="0" w:color="auto"/>
            <w:right w:val="none" w:sz="0" w:space="0" w:color="auto"/>
          </w:divBdr>
        </w:div>
      </w:divsChild>
    </w:div>
    <w:div w:id="1106005396">
      <w:bodyDiv w:val="1"/>
      <w:marLeft w:val="0"/>
      <w:marRight w:val="0"/>
      <w:marTop w:val="0"/>
      <w:marBottom w:val="0"/>
      <w:divBdr>
        <w:top w:val="none" w:sz="0" w:space="0" w:color="auto"/>
        <w:left w:val="none" w:sz="0" w:space="0" w:color="auto"/>
        <w:bottom w:val="none" w:sz="0" w:space="0" w:color="auto"/>
        <w:right w:val="none" w:sz="0" w:space="0" w:color="auto"/>
      </w:divBdr>
      <w:divsChild>
        <w:div w:id="1428698174">
          <w:marLeft w:val="446"/>
          <w:marRight w:val="0"/>
          <w:marTop w:val="0"/>
          <w:marBottom w:val="0"/>
          <w:divBdr>
            <w:top w:val="none" w:sz="0" w:space="0" w:color="auto"/>
            <w:left w:val="none" w:sz="0" w:space="0" w:color="auto"/>
            <w:bottom w:val="none" w:sz="0" w:space="0" w:color="auto"/>
            <w:right w:val="none" w:sz="0" w:space="0" w:color="auto"/>
          </w:divBdr>
        </w:div>
        <w:div w:id="510148799">
          <w:marLeft w:val="446"/>
          <w:marRight w:val="0"/>
          <w:marTop w:val="0"/>
          <w:marBottom w:val="0"/>
          <w:divBdr>
            <w:top w:val="none" w:sz="0" w:space="0" w:color="auto"/>
            <w:left w:val="none" w:sz="0" w:space="0" w:color="auto"/>
            <w:bottom w:val="none" w:sz="0" w:space="0" w:color="auto"/>
            <w:right w:val="none" w:sz="0" w:space="0" w:color="auto"/>
          </w:divBdr>
        </w:div>
        <w:div w:id="2106262864">
          <w:marLeft w:val="446"/>
          <w:marRight w:val="0"/>
          <w:marTop w:val="0"/>
          <w:marBottom w:val="0"/>
          <w:divBdr>
            <w:top w:val="none" w:sz="0" w:space="0" w:color="auto"/>
            <w:left w:val="none" w:sz="0" w:space="0" w:color="auto"/>
            <w:bottom w:val="none" w:sz="0" w:space="0" w:color="auto"/>
            <w:right w:val="none" w:sz="0" w:space="0" w:color="auto"/>
          </w:divBdr>
        </w:div>
        <w:div w:id="1292980938">
          <w:marLeft w:val="446"/>
          <w:marRight w:val="0"/>
          <w:marTop w:val="0"/>
          <w:marBottom w:val="0"/>
          <w:divBdr>
            <w:top w:val="none" w:sz="0" w:space="0" w:color="auto"/>
            <w:left w:val="none" w:sz="0" w:space="0" w:color="auto"/>
            <w:bottom w:val="none" w:sz="0" w:space="0" w:color="auto"/>
            <w:right w:val="none" w:sz="0" w:space="0" w:color="auto"/>
          </w:divBdr>
        </w:div>
        <w:div w:id="1611861762">
          <w:marLeft w:val="446"/>
          <w:marRight w:val="0"/>
          <w:marTop w:val="0"/>
          <w:marBottom w:val="0"/>
          <w:divBdr>
            <w:top w:val="none" w:sz="0" w:space="0" w:color="auto"/>
            <w:left w:val="none" w:sz="0" w:space="0" w:color="auto"/>
            <w:bottom w:val="none" w:sz="0" w:space="0" w:color="auto"/>
            <w:right w:val="none" w:sz="0" w:space="0" w:color="auto"/>
          </w:divBdr>
        </w:div>
      </w:divsChild>
    </w:div>
    <w:div w:id="1137257043">
      <w:bodyDiv w:val="1"/>
      <w:marLeft w:val="0"/>
      <w:marRight w:val="0"/>
      <w:marTop w:val="0"/>
      <w:marBottom w:val="0"/>
      <w:divBdr>
        <w:top w:val="none" w:sz="0" w:space="0" w:color="auto"/>
        <w:left w:val="none" w:sz="0" w:space="0" w:color="auto"/>
        <w:bottom w:val="none" w:sz="0" w:space="0" w:color="auto"/>
        <w:right w:val="none" w:sz="0" w:space="0" w:color="auto"/>
      </w:divBdr>
      <w:divsChild>
        <w:div w:id="1009723083">
          <w:marLeft w:val="720"/>
          <w:marRight w:val="0"/>
          <w:marTop w:val="120"/>
          <w:marBottom w:val="120"/>
          <w:divBdr>
            <w:top w:val="none" w:sz="0" w:space="0" w:color="auto"/>
            <w:left w:val="none" w:sz="0" w:space="0" w:color="auto"/>
            <w:bottom w:val="none" w:sz="0" w:space="0" w:color="auto"/>
            <w:right w:val="none" w:sz="0" w:space="0" w:color="auto"/>
          </w:divBdr>
        </w:div>
      </w:divsChild>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2398298">
      <w:bodyDiv w:val="1"/>
      <w:marLeft w:val="0"/>
      <w:marRight w:val="0"/>
      <w:marTop w:val="0"/>
      <w:marBottom w:val="0"/>
      <w:divBdr>
        <w:top w:val="none" w:sz="0" w:space="0" w:color="auto"/>
        <w:left w:val="none" w:sz="0" w:space="0" w:color="auto"/>
        <w:bottom w:val="none" w:sz="0" w:space="0" w:color="auto"/>
        <w:right w:val="none" w:sz="0" w:space="0" w:color="auto"/>
      </w:divBdr>
      <w:divsChild>
        <w:div w:id="518127875">
          <w:marLeft w:val="288"/>
          <w:marRight w:val="0"/>
          <w:marTop w:val="120"/>
          <w:marBottom w:val="120"/>
          <w:divBdr>
            <w:top w:val="none" w:sz="0" w:space="0" w:color="auto"/>
            <w:left w:val="none" w:sz="0" w:space="0" w:color="auto"/>
            <w:bottom w:val="none" w:sz="0" w:space="0" w:color="auto"/>
            <w:right w:val="none" w:sz="0" w:space="0" w:color="auto"/>
          </w:divBdr>
        </w:div>
      </w:divsChild>
    </w:div>
    <w:div w:id="1586301867">
      <w:bodyDiv w:val="1"/>
      <w:marLeft w:val="0"/>
      <w:marRight w:val="0"/>
      <w:marTop w:val="0"/>
      <w:marBottom w:val="0"/>
      <w:divBdr>
        <w:top w:val="none" w:sz="0" w:space="0" w:color="auto"/>
        <w:left w:val="none" w:sz="0" w:space="0" w:color="auto"/>
        <w:bottom w:val="none" w:sz="0" w:space="0" w:color="auto"/>
        <w:right w:val="none" w:sz="0" w:space="0" w:color="auto"/>
      </w:divBdr>
    </w:div>
    <w:div w:id="1715350597">
      <w:bodyDiv w:val="1"/>
      <w:marLeft w:val="0"/>
      <w:marRight w:val="0"/>
      <w:marTop w:val="0"/>
      <w:marBottom w:val="0"/>
      <w:divBdr>
        <w:top w:val="none" w:sz="0" w:space="0" w:color="auto"/>
        <w:left w:val="none" w:sz="0" w:space="0" w:color="auto"/>
        <w:bottom w:val="none" w:sz="0" w:space="0" w:color="auto"/>
        <w:right w:val="none" w:sz="0" w:space="0" w:color="auto"/>
      </w:divBdr>
      <w:divsChild>
        <w:div w:id="1779835652">
          <w:marLeft w:val="288"/>
          <w:marRight w:val="0"/>
          <w:marTop w:val="120"/>
          <w:marBottom w:val="120"/>
          <w:divBdr>
            <w:top w:val="none" w:sz="0" w:space="0" w:color="auto"/>
            <w:left w:val="none" w:sz="0" w:space="0" w:color="auto"/>
            <w:bottom w:val="none" w:sz="0" w:space="0" w:color="auto"/>
            <w:right w:val="none" w:sz="0" w:space="0" w:color="auto"/>
          </w:divBdr>
        </w:div>
      </w:divsChild>
    </w:div>
    <w:div w:id="1745293583">
      <w:bodyDiv w:val="1"/>
      <w:marLeft w:val="0"/>
      <w:marRight w:val="0"/>
      <w:marTop w:val="0"/>
      <w:marBottom w:val="0"/>
      <w:divBdr>
        <w:top w:val="none" w:sz="0" w:space="0" w:color="auto"/>
        <w:left w:val="none" w:sz="0" w:space="0" w:color="auto"/>
        <w:bottom w:val="none" w:sz="0" w:space="0" w:color="auto"/>
        <w:right w:val="none" w:sz="0" w:space="0" w:color="auto"/>
      </w:divBdr>
    </w:div>
    <w:div w:id="1792086515">
      <w:bodyDiv w:val="1"/>
      <w:marLeft w:val="0"/>
      <w:marRight w:val="0"/>
      <w:marTop w:val="0"/>
      <w:marBottom w:val="0"/>
      <w:divBdr>
        <w:top w:val="none" w:sz="0" w:space="0" w:color="auto"/>
        <w:left w:val="none" w:sz="0" w:space="0" w:color="auto"/>
        <w:bottom w:val="none" w:sz="0" w:space="0" w:color="auto"/>
        <w:right w:val="none" w:sz="0" w:space="0" w:color="auto"/>
      </w:divBdr>
    </w:div>
    <w:div w:id="1819492357">
      <w:bodyDiv w:val="1"/>
      <w:marLeft w:val="0"/>
      <w:marRight w:val="0"/>
      <w:marTop w:val="0"/>
      <w:marBottom w:val="0"/>
      <w:divBdr>
        <w:top w:val="none" w:sz="0" w:space="0" w:color="auto"/>
        <w:left w:val="none" w:sz="0" w:space="0" w:color="auto"/>
        <w:bottom w:val="none" w:sz="0" w:space="0" w:color="auto"/>
        <w:right w:val="none" w:sz="0" w:space="0" w:color="auto"/>
      </w:divBdr>
    </w:div>
    <w:div w:id="2064670224">
      <w:bodyDiv w:val="1"/>
      <w:marLeft w:val="0"/>
      <w:marRight w:val="0"/>
      <w:marTop w:val="0"/>
      <w:marBottom w:val="0"/>
      <w:divBdr>
        <w:top w:val="none" w:sz="0" w:space="0" w:color="auto"/>
        <w:left w:val="none" w:sz="0" w:space="0" w:color="auto"/>
        <w:bottom w:val="none" w:sz="0" w:space="0" w:color="auto"/>
        <w:right w:val="none" w:sz="0" w:space="0" w:color="auto"/>
      </w:divBdr>
      <w:divsChild>
        <w:div w:id="1722553922">
          <w:marLeft w:val="288"/>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46"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45"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B0F86-5F76-4B9C-866C-531ACB8A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12692</Words>
  <Characters>72350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2017-10-16T03:50:00Z</dcterms:created>
  <dcterms:modified xsi:type="dcterms:W3CDTF">2017-10-16T22:42:00Z</dcterms:modified>
</cp:coreProperties>
</file>